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87712">
      <w:pPr>
        <w:shd w:val="clear" w:color="auto" w:fill="auto"/>
        <w:spacing w:after="120" w:line="360" w:lineRule="auto"/>
        <w:rPr>
          <w:rFonts w:hint="eastAsia" w:asciiTheme="minorEastAsia" w:hAnsiTheme="minorEastAsia" w:eastAsiaTheme="minorEastAsia" w:cstheme="minorEastAsia"/>
          <w:color w:val="auto"/>
          <w:highlight w:val="none"/>
        </w:rPr>
      </w:pPr>
    </w:p>
    <w:p w14:paraId="4D5EABC6">
      <w:pPr>
        <w:snapToGrid w:val="0"/>
        <w:spacing w:before="156" w:beforeLines="50" w:line="360" w:lineRule="auto"/>
        <w:jc w:val="center"/>
        <w:rPr>
          <w:color w:val="auto"/>
          <w:highlight w:val="none"/>
        </w:rPr>
      </w:pPr>
      <w:r>
        <w:rPr>
          <w:color w:val="auto"/>
          <w:highlight w:val="none"/>
        </w:rPr>
        <w:drawing>
          <wp:inline distT="0" distB="0" distL="114300" distR="114300">
            <wp:extent cx="2068830" cy="2020570"/>
            <wp:effectExtent l="0" t="0" r="7620" b="17780"/>
            <wp:docPr id="11" name="图片 3" descr="TIM图片2019040917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TIM图片20190409175741"/>
                    <pic:cNvPicPr>
                      <a:picLocks noChangeAspect="1"/>
                    </pic:cNvPicPr>
                  </pic:nvPicPr>
                  <pic:blipFill>
                    <a:blip r:embed="rId15"/>
                    <a:stretch>
                      <a:fillRect/>
                    </a:stretch>
                  </pic:blipFill>
                  <pic:spPr>
                    <a:xfrm>
                      <a:off x="0" y="0"/>
                      <a:ext cx="2068830" cy="2020570"/>
                    </a:xfrm>
                    <a:prstGeom prst="rect">
                      <a:avLst/>
                    </a:prstGeom>
                    <a:noFill/>
                    <a:ln>
                      <a:noFill/>
                    </a:ln>
                  </pic:spPr>
                </pic:pic>
              </a:graphicData>
            </a:graphic>
          </wp:inline>
        </w:drawing>
      </w:r>
    </w:p>
    <w:p w14:paraId="73EB5747">
      <w:pPr>
        <w:snapToGrid w:val="0"/>
        <w:spacing w:before="156" w:beforeLines="50" w:line="360" w:lineRule="auto"/>
        <w:jc w:val="center"/>
        <w:rPr>
          <w:rFonts w:hint="eastAsia" w:ascii="黑体" w:hAnsi="黑体" w:eastAsia="黑体"/>
          <w:color w:val="auto"/>
          <w:sz w:val="72"/>
          <w:szCs w:val="72"/>
          <w:highlight w:val="none"/>
        </w:rPr>
      </w:pPr>
      <w:r>
        <w:rPr>
          <w:rFonts w:hint="eastAsia" w:ascii="黑体" w:hAnsi="黑体" w:eastAsia="黑体"/>
          <w:color w:val="auto"/>
          <w:sz w:val="72"/>
          <w:szCs w:val="72"/>
          <w:highlight w:val="none"/>
        </w:rPr>
        <w:t>竞争性谈判文件</w:t>
      </w:r>
    </w:p>
    <w:p w14:paraId="200C3334">
      <w:pPr>
        <w:snapToGrid w:val="0"/>
        <w:spacing w:before="156" w:beforeLines="50" w:line="360" w:lineRule="auto"/>
        <w:jc w:val="center"/>
        <w:rPr>
          <w:rFonts w:hint="eastAsia" w:ascii="黑体" w:hAnsi="黑体" w:eastAsia="黑体"/>
          <w:color w:val="auto"/>
          <w:sz w:val="120"/>
          <w:szCs w:val="120"/>
          <w:highlight w:val="none"/>
        </w:rPr>
      </w:pPr>
      <w:r>
        <w:rPr>
          <w:rFonts w:hint="eastAsia" w:ascii="仿宋_GB2312" w:hAnsi="宋体" w:eastAsia="仿宋_GB2312"/>
          <w:b/>
          <w:color w:val="auto"/>
          <w:sz w:val="48"/>
          <w:szCs w:val="48"/>
          <w:highlight w:val="none"/>
        </w:rPr>
        <w:t>（全流程电子化采购）</w:t>
      </w:r>
    </w:p>
    <w:p w14:paraId="6DC574D5">
      <w:pPr>
        <w:snapToGrid w:val="0"/>
        <w:spacing w:line="360" w:lineRule="auto"/>
        <w:rPr>
          <w:rFonts w:hint="eastAsia" w:ascii="仿宋_GB2312" w:hAnsi="宋体" w:eastAsia="仿宋_GB2312"/>
          <w:color w:val="auto"/>
          <w:sz w:val="30"/>
          <w:szCs w:val="72"/>
          <w:highlight w:val="none"/>
        </w:rPr>
      </w:pPr>
    </w:p>
    <w:p w14:paraId="526F9DAE">
      <w:pPr>
        <w:pStyle w:val="12"/>
        <w:snapToGrid w:val="0"/>
        <w:spacing w:line="360" w:lineRule="auto"/>
        <w:ind w:firstLine="1807" w:firstLineChars="600"/>
        <w:rPr>
          <w:rFonts w:hint="eastAsia" w:ascii="仿宋_GB2312" w:hAnsi="宋体" w:eastAsia="仿宋_GB2312"/>
          <w:b/>
          <w:bCs/>
          <w:color w:val="auto"/>
          <w:sz w:val="30"/>
          <w:szCs w:val="30"/>
          <w:highlight w:val="none"/>
        </w:rPr>
      </w:pPr>
    </w:p>
    <w:p w14:paraId="60AAA1FB">
      <w:pPr>
        <w:pStyle w:val="12"/>
        <w:snapToGrid w:val="0"/>
        <w:spacing w:line="360" w:lineRule="auto"/>
        <w:ind w:firstLine="1419" w:firstLineChars="471"/>
        <w:rPr>
          <w:rFonts w:hint="eastAsia" w:asciiTheme="majorEastAsia" w:hAnsiTheme="majorEastAsia" w:eastAsiaTheme="majorEastAsia" w:cstheme="majorEastAsia"/>
          <w:b/>
          <w:bCs/>
          <w:color w:val="auto"/>
          <w:sz w:val="30"/>
          <w:szCs w:val="30"/>
          <w:highlight w:val="none"/>
          <w:lang w:eastAsia="zh-CN"/>
        </w:rPr>
      </w:pPr>
      <w:r>
        <w:rPr>
          <w:rFonts w:hint="eastAsia" w:asciiTheme="majorEastAsia" w:hAnsiTheme="majorEastAsia" w:eastAsiaTheme="majorEastAsia" w:cstheme="majorEastAsia"/>
          <w:b/>
          <w:bCs/>
          <w:color w:val="auto"/>
          <w:sz w:val="30"/>
          <w:szCs w:val="30"/>
          <w:highlight w:val="none"/>
        </w:rPr>
        <w:t>项目名称：</w:t>
      </w:r>
      <w:r>
        <w:rPr>
          <w:rFonts w:hint="eastAsia" w:asciiTheme="majorEastAsia" w:hAnsiTheme="majorEastAsia" w:eastAsiaTheme="majorEastAsia" w:cstheme="majorEastAsia"/>
          <w:b/>
          <w:bCs/>
          <w:color w:val="auto"/>
          <w:sz w:val="30"/>
          <w:szCs w:val="30"/>
          <w:highlight w:val="none"/>
          <w:lang w:eastAsia="zh-CN"/>
        </w:rPr>
        <w:t>广西壮族自治区人民医院视光中心楼负一、一层高压氧科氧舱设备更新土建设计工程</w:t>
      </w:r>
    </w:p>
    <w:p w14:paraId="0F4F3045">
      <w:pPr>
        <w:pStyle w:val="12"/>
        <w:snapToGrid w:val="0"/>
        <w:spacing w:line="360" w:lineRule="auto"/>
        <w:ind w:firstLine="1419" w:firstLineChars="471"/>
        <w:rPr>
          <w:rFonts w:hint="eastAsia" w:asciiTheme="majorEastAsia" w:hAnsiTheme="majorEastAsia" w:eastAsiaTheme="majorEastAsia" w:cstheme="majorEastAsia"/>
          <w:b/>
          <w:bCs/>
          <w:color w:val="auto"/>
          <w:sz w:val="30"/>
          <w:szCs w:val="30"/>
          <w:highlight w:val="none"/>
          <w:lang w:val="en-US" w:eastAsia="zh-CN"/>
        </w:rPr>
      </w:pPr>
      <w:r>
        <w:rPr>
          <w:rFonts w:hint="eastAsia" w:asciiTheme="majorEastAsia" w:hAnsiTheme="majorEastAsia" w:eastAsiaTheme="majorEastAsia" w:cstheme="majorEastAsia"/>
          <w:b/>
          <w:bCs/>
          <w:color w:val="auto"/>
          <w:sz w:val="30"/>
          <w:szCs w:val="30"/>
          <w:highlight w:val="none"/>
        </w:rPr>
        <w:t>项目编号：</w:t>
      </w:r>
      <w:r>
        <w:rPr>
          <w:rFonts w:hint="eastAsia" w:asciiTheme="majorEastAsia" w:hAnsiTheme="majorEastAsia" w:eastAsiaTheme="majorEastAsia" w:cstheme="majorEastAsia"/>
          <w:b/>
          <w:bCs/>
          <w:color w:val="auto"/>
          <w:sz w:val="30"/>
          <w:szCs w:val="30"/>
          <w:highlight w:val="none"/>
          <w:lang w:eastAsia="zh-CN"/>
        </w:rPr>
        <w:t>GXZC2026-J2-001931-JGJD</w:t>
      </w:r>
    </w:p>
    <w:p w14:paraId="62D4AD8B">
      <w:pPr>
        <w:pStyle w:val="12"/>
        <w:snapToGrid w:val="0"/>
        <w:spacing w:line="360" w:lineRule="auto"/>
        <w:ind w:firstLine="0" w:firstLineChars="0"/>
        <w:rPr>
          <w:rFonts w:hint="eastAsia" w:asciiTheme="majorEastAsia" w:hAnsiTheme="majorEastAsia" w:eastAsiaTheme="majorEastAsia" w:cstheme="majorEastAsia"/>
          <w:b/>
          <w:bCs/>
          <w:color w:val="auto"/>
          <w:w w:val="95"/>
          <w:sz w:val="30"/>
          <w:szCs w:val="30"/>
          <w:highlight w:val="none"/>
        </w:rPr>
      </w:pPr>
    </w:p>
    <w:p w14:paraId="510F9C49">
      <w:pPr>
        <w:pStyle w:val="12"/>
        <w:snapToGrid w:val="0"/>
        <w:spacing w:line="360" w:lineRule="auto"/>
        <w:rPr>
          <w:rFonts w:hint="eastAsia" w:asciiTheme="majorEastAsia" w:hAnsiTheme="majorEastAsia" w:eastAsiaTheme="majorEastAsia" w:cstheme="majorEastAsia"/>
          <w:b/>
          <w:bCs/>
          <w:color w:val="auto"/>
          <w:w w:val="95"/>
          <w:sz w:val="30"/>
          <w:szCs w:val="30"/>
          <w:highlight w:val="none"/>
        </w:rPr>
      </w:pPr>
    </w:p>
    <w:p w14:paraId="640C64F2">
      <w:pPr>
        <w:pStyle w:val="12"/>
        <w:snapToGrid w:val="0"/>
        <w:spacing w:line="360" w:lineRule="auto"/>
        <w:jc w:val="both"/>
        <w:rPr>
          <w:rFonts w:hint="eastAsia" w:asciiTheme="majorEastAsia" w:hAnsiTheme="majorEastAsia" w:eastAsiaTheme="majorEastAsia" w:cstheme="majorEastAsia"/>
          <w:b/>
          <w:bCs/>
          <w:color w:val="auto"/>
          <w:w w:val="95"/>
          <w:sz w:val="30"/>
          <w:szCs w:val="30"/>
          <w:highlight w:val="none"/>
          <w:lang w:eastAsia="zh-CN"/>
        </w:rPr>
      </w:pPr>
      <w:r>
        <w:rPr>
          <w:rFonts w:hint="eastAsia" w:asciiTheme="majorEastAsia" w:hAnsiTheme="majorEastAsia" w:eastAsiaTheme="majorEastAsia" w:cstheme="majorEastAsia"/>
          <w:b/>
          <w:bCs/>
          <w:color w:val="auto"/>
          <w:w w:val="95"/>
          <w:sz w:val="30"/>
          <w:szCs w:val="30"/>
          <w:highlight w:val="none"/>
          <w:lang w:val="en-US" w:eastAsia="zh-CN"/>
        </w:rPr>
        <w:t xml:space="preserve">         </w:t>
      </w:r>
      <w:r>
        <w:rPr>
          <w:rFonts w:hint="eastAsia" w:asciiTheme="majorEastAsia" w:hAnsiTheme="majorEastAsia" w:eastAsiaTheme="majorEastAsia" w:cstheme="majorEastAsia"/>
          <w:b/>
          <w:bCs/>
          <w:color w:val="auto"/>
          <w:w w:val="95"/>
          <w:sz w:val="30"/>
          <w:szCs w:val="30"/>
          <w:highlight w:val="none"/>
        </w:rPr>
        <w:t>采 购 人：</w:t>
      </w:r>
      <w:r>
        <w:rPr>
          <w:rFonts w:hint="eastAsia" w:asciiTheme="majorEastAsia" w:hAnsiTheme="majorEastAsia" w:eastAsiaTheme="majorEastAsia" w:cstheme="majorEastAsia"/>
          <w:b/>
          <w:color w:val="auto"/>
          <w:sz w:val="32"/>
          <w:szCs w:val="32"/>
          <w:highlight w:val="none"/>
          <w:lang w:eastAsia="zh-CN"/>
        </w:rPr>
        <w:t>广西壮族自治区人民医院</w:t>
      </w:r>
    </w:p>
    <w:p w14:paraId="3DAAF6E6">
      <w:pPr>
        <w:pStyle w:val="12"/>
        <w:snapToGrid w:val="0"/>
        <w:spacing w:line="360" w:lineRule="auto"/>
        <w:jc w:val="center"/>
        <w:rPr>
          <w:rFonts w:hint="eastAsia" w:asciiTheme="majorEastAsia" w:hAnsiTheme="majorEastAsia" w:eastAsiaTheme="majorEastAsia" w:cstheme="majorEastAsia"/>
          <w:b/>
          <w:bCs/>
          <w:color w:val="auto"/>
          <w:w w:val="95"/>
          <w:sz w:val="30"/>
          <w:szCs w:val="30"/>
          <w:highlight w:val="none"/>
        </w:rPr>
      </w:pPr>
      <w:r>
        <w:rPr>
          <w:rFonts w:hint="eastAsia" w:asciiTheme="majorEastAsia" w:hAnsiTheme="majorEastAsia" w:eastAsiaTheme="majorEastAsia" w:cstheme="majorEastAsia"/>
          <w:b/>
          <w:bCs/>
          <w:color w:val="auto"/>
          <w:w w:val="95"/>
          <w:sz w:val="30"/>
          <w:szCs w:val="30"/>
          <w:highlight w:val="none"/>
        </w:rPr>
        <w:t>采购代理机构：广西建设工程机电设备招标中心有限公司</w:t>
      </w:r>
    </w:p>
    <w:p w14:paraId="2AF8CE19">
      <w:pPr>
        <w:pStyle w:val="12"/>
        <w:snapToGrid w:val="0"/>
        <w:spacing w:line="360" w:lineRule="auto"/>
        <w:ind w:firstLine="841" w:firstLineChars="294"/>
        <w:jc w:val="center"/>
        <w:rPr>
          <w:rFonts w:hint="eastAsia" w:asciiTheme="majorEastAsia" w:hAnsiTheme="majorEastAsia" w:eastAsiaTheme="majorEastAsia" w:cstheme="majorEastAsia"/>
          <w:color w:val="auto"/>
          <w:szCs w:val="20"/>
          <w:highlight w:val="none"/>
          <w:u w:val="none"/>
        </w:rPr>
      </w:pPr>
      <w:r>
        <w:rPr>
          <w:rFonts w:hint="eastAsia" w:asciiTheme="majorEastAsia" w:hAnsiTheme="majorEastAsia" w:eastAsiaTheme="majorEastAsia" w:cstheme="majorEastAsia"/>
          <w:b/>
          <w:bCs/>
          <w:color w:val="auto"/>
          <w:w w:val="95"/>
          <w:sz w:val="30"/>
          <w:szCs w:val="30"/>
          <w:highlight w:val="none"/>
          <w:u w:val="none"/>
        </w:rPr>
        <w:t>202</w:t>
      </w:r>
      <w:r>
        <w:rPr>
          <w:rFonts w:hint="eastAsia" w:asciiTheme="majorEastAsia" w:hAnsiTheme="majorEastAsia" w:eastAsiaTheme="majorEastAsia" w:cstheme="majorEastAsia"/>
          <w:b/>
          <w:bCs/>
          <w:color w:val="auto"/>
          <w:w w:val="95"/>
          <w:sz w:val="30"/>
          <w:szCs w:val="30"/>
          <w:highlight w:val="none"/>
          <w:u w:val="none"/>
          <w:lang w:val="en-US" w:eastAsia="zh-CN"/>
        </w:rPr>
        <w:t>6</w:t>
      </w:r>
      <w:r>
        <w:rPr>
          <w:rFonts w:hint="eastAsia" w:asciiTheme="majorEastAsia" w:hAnsiTheme="majorEastAsia" w:eastAsiaTheme="majorEastAsia" w:cstheme="majorEastAsia"/>
          <w:b/>
          <w:bCs/>
          <w:color w:val="auto"/>
          <w:w w:val="95"/>
          <w:sz w:val="30"/>
          <w:szCs w:val="30"/>
          <w:highlight w:val="none"/>
          <w:u w:val="none"/>
        </w:rPr>
        <w:t>年</w:t>
      </w:r>
      <w:r>
        <w:rPr>
          <w:rFonts w:hint="eastAsia" w:asciiTheme="majorEastAsia" w:hAnsiTheme="majorEastAsia" w:eastAsiaTheme="majorEastAsia" w:cstheme="majorEastAsia"/>
          <w:b/>
          <w:bCs/>
          <w:color w:val="auto"/>
          <w:w w:val="95"/>
          <w:sz w:val="30"/>
          <w:szCs w:val="30"/>
          <w:highlight w:val="none"/>
          <w:u w:val="none"/>
          <w:lang w:val="en-US" w:eastAsia="zh-CN"/>
        </w:rPr>
        <w:t>6</w:t>
      </w:r>
      <w:r>
        <w:rPr>
          <w:rFonts w:hint="eastAsia" w:asciiTheme="majorEastAsia" w:hAnsiTheme="majorEastAsia" w:eastAsiaTheme="majorEastAsia" w:cstheme="majorEastAsia"/>
          <w:b/>
          <w:bCs/>
          <w:color w:val="auto"/>
          <w:w w:val="95"/>
          <w:sz w:val="30"/>
          <w:szCs w:val="30"/>
          <w:highlight w:val="none"/>
          <w:u w:val="none"/>
        </w:rPr>
        <w:t>月</w:t>
      </w:r>
      <w:r>
        <w:rPr>
          <w:rFonts w:hint="eastAsia" w:asciiTheme="majorEastAsia" w:hAnsiTheme="majorEastAsia" w:eastAsiaTheme="majorEastAsia" w:cstheme="majorEastAsia"/>
          <w:b/>
          <w:bCs/>
          <w:color w:val="auto"/>
          <w:w w:val="95"/>
          <w:sz w:val="30"/>
          <w:szCs w:val="30"/>
          <w:highlight w:val="none"/>
          <w:u w:val="none"/>
          <w:lang w:val="en-US" w:eastAsia="zh-CN"/>
        </w:rPr>
        <w:t>22</w:t>
      </w:r>
      <w:r>
        <w:rPr>
          <w:rFonts w:hint="eastAsia" w:asciiTheme="majorEastAsia" w:hAnsiTheme="majorEastAsia" w:eastAsiaTheme="majorEastAsia" w:cstheme="majorEastAsia"/>
          <w:b/>
          <w:bCs/>
          <w:color w:val="auto"/>
          <w:w w:val="95"/>
          <w:sz w:val="30"/>
          <w:szCs w:val="30"/>
          <w:highlight w:val="none"/>
          <w:u w:val="none"/>
        </w:rPr>
        <w:t>日</w:t>
      </w:r>
    </w:p>
    <w:p w14:paraId="04D2A8D9">
      <w:pPr>
        <w:pStyle w:val="8"/>
        <w:jc w:val="center"/>
        <w:rPr>
          <w:rFonts w:hint="eastAsia" w:asciiTheme="majorEastAsia" w:hAnsiTheme="majorEastAsia" w:eastAsiaTheme="majorEastAsia" w:cstheme="majorEastAsia"/>
          <w:b/>
          <w:color w:val="auto"/>
          <w:sz w:val="44"/>
          <w:szCs w:val="44"/>
          <w:highlight w:val="none"/>
        </w:rPr>
        <w:sectPr>
          <w:headerReference r:id="rId4" w:type="first"/>
          <w:footerReference r:id="rId6" w:type="first"/>
          <w:headerReference r:id="rId3" w:type="default"/>
          <w:footerReference r:id="rId5" w:type="default"/>
          <w:pgSz w:w="11906" w:h="16838"/>
          <w:pgMar w:top="1440" w:right="1080" w:bottom="1440" w:left="1080" w:header="851" w:footer="992" w:gutter="0"/>
          <w:pgNumType w:fmt="decimal" w:start="0"/>
          <w:cols w:space="720" w:num="1"/>
          <w:titlePg/>
          <w:docGrid w:type="lines" w:linePitch="312" w:charSpace="0"/>
        </w:sectPr>
      </w:pPr>
    </w:p>
    <w:p w14:paraId="692233B9">
      <w:pPr>
        <w:pStyle w:val="5"/>
        <w:shd w:val="clear" w:color="auto" w:fill="auto"/>
        <w:spacing w:line="360" w:lineRule="auto"/>
        <w:ind w:left="0"/>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48"/>
          <w:szCs w:val="48"/>
          <w:highlight w:val="none"/>
        </w:rPr>
        <w:t>目   录</w:t>
      </w:r>
    </w:p>
    <w:p w14:paraId="492AC568">
      <w:pPr>
        <w:pStyle w:val="15"/>
        <w:tabs>
          <w:tab w:val="right" w:leader="dot" w:pos="9564"/>
        </w:tabs>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b w:val="0"/>
          <w:color w:val="auto"/>
          <w:sz w:val="36"/>
          <w:szCs w:val="36"/>
          <w:highlight w:val="none"/>
        </w:rPr>
        <w:fldChar w:fldCharType="begin"/>
      </w:r>
      <w:r>
        <w:rPr>
          <w:rFonts w:hint="eastAsia" w:asciiTheme="minorEastAsia" w:hAnsiTheme="minorEastAsia" w:eastAsiaTheme="minorEastAsia" w:cstheme="minorEastAsia"/>
          <w:b w:val="0"/>
          <w:color w:val="auto"/>
          <w:sz w:val="36"/>
          <w:szCs w:val="36"/>
          <w:highlight w:val="none"/>
        </w:rPr>
        <w:instrText xml:space="preserve"> TOC \o "1-3" \h \z \u </w:instrText>
      </w:r>
      <w:r>
        <w:rPr>
          <w:rFonts w:hint="eastAsia" w:asciiTheme="minorEastAsia" w:hAnsiTheme="minorEastAsia" w:eastAsiaTheme="minorEastAsia" w:cstheme="minorEastAsia"/>
          <w:b w:val="0"/>
          <w:color w:val="auto"/>
          <w:sz w:val="36"/>
          <w:szCs w:val="36"/>
          <w:highlight w:val="none"/>
        </w:rPr>
        <w:fldChar w:fldCharType="separate"/>
      </w:r>
      <w:r>
        <w:rPr>
          <w:rFonts w:hint="eastAsia" w:asciiTheme="minorEastAsia" w:hAnsiTheme="minorEastAsia" w:eastAsiaTheme="minorEastAsia" w:cstheme="minorEastAsia"/>
          <w:color w:val="auto"/>
          <w:szCs w:val="36"/>
          <w:highlight w:val="none"/>
          <w:u w:val="none"/>
        </w:rPr>
        <w:fldChar w:fldCharType="begin"/>
      </w:r>
      <w:r>
        <w:rPr>
          <w:rFonts w:hint="eastAsia" w:asciiTheme="minorEastAsia" w:hAnsiTheme="minorEastAsia" w:eastAsiaTheme="minorEastAsia" w:cstheme="minorEastAsia"/>
          <w:color w:val="auto"/>
          <w:szCs w:val="36"/>
          <w:highlight w:val="none"/>
          <w:u w:val="none"/>
        </w:rPr>
        <w:instrText xml:space="preserve"> HYPERLINK \l _Toc16593 </w:instrText>
      </w:r>
      <w:r>
        <w:rPr>
          <w:rFonts w:hint="eastAsia" w:asciiTheme="minorEastAsia" w:hAnsiTheme="minorEastAsia" w:eastAsiaTheme="minorEastAsia" w:cstheme="minorEastAsia"/>
          <w:color w:val="auto"/>
          <w:szCs w:val="36"/>
          <w:highlight w:val="none"/>
          <w:u w:val="none"/>
        </w:rPr>
        <w:fldChar w:fldCharType="separate"/>
      </w:r>
      <w:r>
        <w:rPr>
          <w:rFonts w:hint="eastAsia" w:asciiTheme="minorEastAsia" w:hAnsiTheme="minorEastAsia" w:eastAsiaTheme="minorEastAsia" w:cstheme="minorEastAsia"/>
          <w:color w:val="auto"/>
          <w:kern w:val="44"/>
          <w:szCs w:val="24"/>
          <w:highlight w:val="none"/>
          <w:u w:val="none"/>
          <w:lang w:val="en-US" w:eastAsia="zh-CN" w:bidi="ar-SA"/>
        </w:rPr>
        <w:t xml:space="preserve">第一章 </w:t>
      </w:r>
      <w:r>
        <w:rPr>
          <w:rFonts w:hint="eastAsia" w:asciiTheme="minorEastAsia" w:hAnsiTheme="minorEastAsia" w:eastAsiaTheme="minorEastAsia" w:cstheme="minorEastAsia"/>
          <w:color w:val="auto"/>
          <w:highlight w:val="none"/>
          <w:u w:val="none"/>
          <w:lang w:val="en-US" w:eastAsia="zh-CN"/>
        </w:rPr>
        <w:t xml:space="preserve"> </w:t>
      </w:r>
      <w:r>
        <w:rPr>
          <w:rFonts w:hint="eastAsia" w:asciiTheme="minorEastAsia" w:hAnsiTheme="minorEastAsia" w:eastAsiaTheme="minorEastAsia" w:cstheme="minorEastAsia"/>
          <w:color w:val="auto"/>
          <w:highlight w:val="none"/>
          <w:u w:val="none"/>
          <w:lang w:eastAsia="zh-CN"/>
        </w:rPr>
        <w:t>竞争性谈判</w:t>
      </w:r>
      <w:r>
        <w:rPr>
          <w:rFonts w:hint="eastAsia" w:asciiTheme="minorEastAsia" w:hAnsiTheme="minorEastAsia" w:eastAsiaTheme="minorEastAsia" w:cstheme="minorEastAsia"/>
          <w:color w:val="auto"/>
          <w:highlight w:val="none"/>
          <w:u w:val="none"/>
        </w:rPr>
        <w:t>公告</w:t>
      </w:r>
      <w:r>
        <w:rPr>
          <w:rFonts w:hint="eastAsia" w:asciiTheme="minorEastAsia" w:hAnsiTheme="minorEastAsia" w:eastAsiaTheme="minorEastAsia" w:cstheme="minorEastAsia"/>
          <w:color w:val="auto"/>
          <w:highlight w:val="none"/>
          <w:u w:val="none"/>
        </w:rPr>
        <w:tab/>
      </w:r>
      <w:r>
        <w:rPr>
          <w:rFonts w:hint="eastAsia" w:asciiTheme="minorEastAsia" w:hAnsiTheme="minorEastAsia" w:eastAsiaTheme="minorEastAsia" w:cstheme="minorEastAsia"/>
          <w:color w:val="auto"/>
          <w:highlight w:val="none"/>
          <w:u w:val="none"/>
        </w:rPr>
        <w:fldChar w:fldCharType="begin"/>
      </w:r>
      <w:r>
        <w:rPr>
          <w:rFonts w:hint="eastAsia" w:asciiTheme="minorEastAsia" w:hAnsiTheme="minorEastAsia" w:eastAsiaTheme="minorEastAsia" w:cstheme="minorEastAsia"/>
          <w:color w:val="auto"/>
          <w:highlight w:val="none"/>
          <w:u w:val="none"/>
        </w:rPr>
        <w:instrText xml:space="preserve"> PAGEREF _Toc16593 \h </w:instrText>
      </w:r>
      <w:r>
        <w:rPr>
          <w:rFonts w:hint="eastAsia" w:asciiTheme="minorEastAsia" w:hAnsiTheme="minorEastAsia" w:eastAsiaTheme="minorEastAsia" w:cstheme="minorEastAsia"/>
          <w:color w:val="auto"/>
          <w:highlight w:val="none"/>
          <w:u w:val="none"/>
        </w:rPr>
        <w:fldChar w:fldCharType="separate"/>
      </w:r>
      <w:r>
        <w:rPr>
          <w:rFonts w:hint="eastAsia" w:asciiTheme="minorEastAsia" w:hAnsiTheme="minorEastAsia" w:eastAsiaTheme="minorEastAsia" w:cstheme="minorEastAsia"/>
          <w:color w:val="auto"/>
          <w:highlight w:val="none"/>
          <w:u w:val="none"/>
        </w:rPr>
        <w:t>2</w:t>
      </w:r>
      <w:r>
        <w:rPr>
          <w:rFonts w:hint="eastAsia" w:asciiTheme="minorEastAsia" w:hAnsiTheme="minorEastAsia" w:eastAsiaTheme="minorEastAsia" w:cstheme="minorEastAsia"/>
          <w:color w:val="auto"/>
          <w:highlight w:val="none"/>
          <w:u w:val="none"/>
        </w:rPr>
        <w:fldChar w:fldCharType="end"/>
      </w:r>
      <w:r>
        <w:rPr>
          <w:rFonts w:hint="eastAsia" w:asciiTheme="minorEastAsia" w:hAnsiTheme="minorEastAsia" w:eastAsiaTheme="minorEastAsia" w:cstheme="minorEastAsia"/>
          <w:color w:val="auto"/>
          <w:szCs w:val="36"/>
          <w:highlight w:val="none"/>
          <w:u w:val="none"/>
        </w:rPr>
        <w:fldChar w:fldCharType="end"/>
      </w:r>
    </w:p>
    <w:p w14:paraId="262DDF0A">
      <w:pPr>
        <w:pStyle w:val="15"/>
        <w:tabs>
          <w:tab w:val="right" w:leader="dot" w:pos="9564"/>
        </w:tabs>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szCs w:val="36"/>
          <w:highlight w:val="none"/>
          <w:u w:val="none"/>
        </w:rPr>
        <w:fldChar w:fldCharType="begin"/>
      </w:r>
      <w:r>
        <w:rPr>
          <w:rFonts w:hint="eastAsia" w:asciiTheme="minorEastAsia" w:hAnsiTheme="minorEastAsia" w:eastAsiaTheme="minorEastAsia" w:cstheme="minorEastAsia"/>
          <w:color w:val="auto"/>
          <w:szCs w:val="36"/>
          <w:highlight w:val="none"/>
          <w:u w:val="none"/>
        </w:rPr>
        <w:instrText xml:space="preserve"> HYPERLINK \l _Toc29965 </w:instrText>
      </w:r>
      <w:r>
        <w:rPr>
          <w:rFonts w:hint="eastAsia" w:asciiTheme="minorEastAsia" w:hAnsiTheme="minorEastAsia" w:eastAsiaTheme="minorEastAsia" w:cstheme="minorEastAsia"/>
          <w:color w:val="auto"/>
          <w:szCs w:val="36"/>
          <w:highlight w:val="none"/>
          <w:u w:val="none"/>
        </w:rPr>
        <w:fldChar w:fldCharType="separate"/>
      </w:r>
      <w:r>
        <w:rPr>
          <w:rFonts w:hint="eastAsia" w:asciiTheme="minorEastAsia" w:hAnsiTheme="minorEastAsia" w:eastAsiaTheme="minorEastAsia" w:cstheme="minorEastAsia"/>
          <w:color w:val="auto"/>
          <w:highlight w:val="none"/>
          <w:u w:val="none"/>
        </w:rPr>
        <w:t>第二章</w:t>
      </w:r>
      <w:r>
        <w:rPr>
          <w:rFonts w:hint="eastAsia" w:asciiTheme="minorEastAsia" w:hAnsiTheme="minorEastAsia" w:eastAsiaTheme="minorEastAsia" w:cstheme="minorEastAsia"/>
          <w:color w:val="auto"/>
          <w:highlight w:val="none"/>
          <w:u w:val="none"/>
          <w:lang w:val="en-US" w:eastAsia="zh-CN"/>
        </w:rPr>
        <w:t xml:space="preserve">  </w:t>
      </w:r>
      <w:r>
        <w:rPr>
          <w:rFonts w:hint="eastAsia" w:asciiTheme="minorEastAsia" w:hAnsiTheme="minorEastAsia" w:eastAsiaTheme="minorEastAsia" w:cstheme="minorEastAsia"/>
          <w:color w:val="auto"/>
          <w:highlight w:val="none"/>
          <w:u w:val="none"/>
        </w:rPr>
        <w:t>供应商须知</w:t>
      </w:r>
      <w:r>
        <w:rPr>
          <w:rFonts w:hint="eastAsia" w:asciiTheme="minorEastAsia" w:hAnsiTheme="minorEastAsia" w:eastAsiaTheme="minorEastAsia" w:cstheme="minorEastAsia"/>
          <w:color w:val="auto"/>
          <w:highlight w:val="none"/>
          <w:u w:val="none"/>
        </w:rPr>
        <w:tab/>
      </w:r>
      <w:r>
        <w:rPr>
          <w:rFonts w:hint="eastAsia" w:asciiTheme="minorEastAsia" w:hAnsiTheme="minorEastAsia" w:eastAsiaTheme="minorEastAsia" w:cstheme="minorEastAsia"/>
          <w:color w:val="auto"/>
          <w:highlight w:val="none"/>
          <w:u w:val="none"/>
        </w:rPr>
        <w:fldChar w:fldCharType="begin"/>
      </w:r>
      <w:r>
        <w:rPr>
          <w:rFonts w:hint="eastAsia" w:asciiTheme="minorEastAsia" w:hAnsiTheme="minorEastAsia" w:eastAsiaTheme="minorEastAsia" w:cstheme="minorEastAsia"/>
          <w:color w:val="auto"/>
          <w:highlight w:val="none"/>
          <w:u w:val="none"/>
        </w:rPr>
        <w:instrText xml:space="preserve"> PAGEREF _Toc29965 \h </w:instrText>
      </w:r>
      <w:r>
        <w:rPr>
          <w:rFonts w:hint="eastAsia" w:asciiTheme="minorEastAsia" w:hAnsiTheme="minorEastAsia" w:eastAsiaTheme="minorEastAsia" w:cstheme="minorEastAsia"/>
          <w:color w:val="auto"/>
          <w:highlight w:val="none"/>
          <w:u w:val="none"/>
        </w:rPr>
        <w:fldChar w:fldCharType="separate"/>
      </w:r>
      <w:r>
        <w:rPr>
          <w:rFonts w:hint="eastAsia" w:asciiTheme="minorEastAsia" w:hAnsiTheme="minorEastAsia" w:eastAsiaTheme="minorEastAsia" w:cstheme="minorEastAsia"/>
          <w:color w:val="auto"/>
          <w:highlight w:val="none"/>
          <w:u w:val="none"/>
        </w:rPr>
        <w:t>6</w:t>
      </w:r>
      <w:r>
        <w:rPr>
          <w:rFonts w:hint="eastAsia" w:asciiTheme="minorEastAsia" w:hAnsiTheme="minorEastAsia" w:eastAsiaTheme="minorEastAsia" w:cstheme="minorEastAsia"/>
          <w:color w:val="auto"/>
          <w:highlight w:val="none"/>
          <w:u w:val="none"/>
        </w:rPr>
        <w:fldChar w:fldCharType="end"/>
      </w:r>
      <w:r>
        <w:rPr>
          <w:rFonts w:hint="eastAsia" w:asciiTheme="minorEastAsia" w:hAnsiTheme="minorEastAsia" w:eastAsiaTheme="minorEastAsia" w:cstheme="minorEastAsia"/>
          <w:color w:val="auto"/>
          <w:szCs w:val="36"/>
          <w:highlight w:val="none"/>
          <w:u w:val="none"/>
        </w:rPr>
        <w:fldChar w:fldCharType="end"/>
      </w:r>
    </w:p>
    <w:p w14:paraId="2070093D">
      <w:pPr>
        <w:pStyle w:val="15"/>
        <w:tabs>
          <w:tab w:val="right" w:leader="dot" w:pos="9564"/>
        </w:tabs>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szCs w:val="36"/>
          <w:highlight w:val="none"/>
          <w:u w:val="none"/>
        </w:rPr>
        <w:fldChar w:fldCharType="begin"/>
      </w:r>
      <w:r>
        <w:rPr>
          <w:rFonts w:hint="eastAsia" w:asciiTheme="minorEastAsia" w:hAnsiTheme="minorEastAsia" w:eastAsiaTheme="minorEastAsia" w:cstheme="minorEastAsia"/>
          <w:color w:val="auto"/>
          <w:szCs w:val="36"/>
          <w:highlight w:val="none"/>
          <w:u w:val="none"/>
        </w:rPr>
        <w:instrText xml:space="preserve"> HYPERLINK \l _Toc13931 </w:instrText>
      </w:r>
      <w:r>
        <w:rPr>
          <w:rFonts w:hint="eastAsia" w:asciiTheme="minorEastAsia" w:hAnsiTheme="minorEastAsia" w:eastAsiaTheme="minorEastAsia" w:cstheme="minorEastAsia"/>
          <w:color w:val="auto"/>
          <w:szCs w:val="36"/>
          <w:highlight w:val="none"/>
          <w:u w:val="none"/>
        </w:rPr>
        <w:fldChar w:fldCharType="separate"/>
      </w:r>
      <w:r>
        <w:rPr>
          <w:rFonts w:hint="eastAsia" w:asciiTheme="minorEastAsia" w:hAnsiTheme="minorEastAsia" w:eastAsiaTheme="minorEastAsia" w:cstheme="minorEastAsia"/>
          <w:color w:val="auto"/>
          <w:highlight w:val="none"/>
          <w:u w:val="none"/>
          <w:lang w:val="en-US" w:eastAsia="zh-CN"/>
        </w:rPr>
        <w:t xml:space="preserve">第三章 </w:t>
      </w:r>
      <w:r>
        <w:rPr>
          <w:rFonts w:hint="eastAsia" w:asciiTheme="minorEastAsia" w:hAnsiTheme="minorEastAsia" w:eastAsiaTheme="minorEastAsia" w:cstheme="minorEastAsia"/>
          <w:color w:val="auto"/>
          <w:highlight w:val="none"/>
          <w:u w:val="none"/>
        </w:rPr>
        <w:t xml:space="preserve"> 采购需求</w:t>
      </w:r>
      <w:r>
        <w:rPr>
          <w:rFonts w:hint="eastAsia" w:asciiTheme="minorEastAsia" w:hAnsiTheme="minorEastAsia" w:eastAsiaTheme="minorEastAsia" w:cstheme="minorEastAsia"/>
          <w:color w:val="auto"/>
          <w:highlight w:val="none"/>
          <w:u w:val="none"/>
        </w:rPr>
        <w:tab/>
      </w:r>
      <w:r>
        <w:rPr>
          <w:rFonts w:hint="eastAsia" w:asciiTheme="minorEastAsia" w:hAnsiTheme="minorEastAsia" w:eastAsiaTheme="minorEastAsia" w:cstheme="minorEastAsia"/>
          <w:color w:val="auto"/>
          <w:highlight w:val="none"/>
          <w:u w:val="none"/>
        </w:rPr>
        <w:fldChar w:fldCharType="begin"/>
      </w:r>
      <w:r>
        <w:rPr>
          <w:rFonts w:hint="eastAsia" w:asciiTheme="minorEastAsia" w:hAnsiTheme="minorEastAsia" w:eastAsiaTheme="minorEastAsia" w:cstheme="minorEastAsia"/>
          <w:color w:val="auto"/>
          <w:highlight w:val="none"/>
          <w:u w:val="none"/>
        </w:rPr>
        <w:instrText xml:space="preserve"> PAGEREF _Toc13931 \h </w:instrText>
      </w:r>
      <w:r>
        <w:rPr>
          <w:rFonts w:hint="eastAsia" w:asciiTheme="minorEastAsia" w:hAnsiTheme="minorEastAsia" w:eastAsiaTheme="minorEastAsia" w:cstheme="minorEastAsia"/>
          <w:color w:val="auto"/>
          <w:highlight w:val="none"/>
          <w:u w:val="none"/>
        </w:rPr>
        <w:fldChar w:fldCharType="separate"/>
      </w:r>
      <w:r>
        <w:rPr>
          <w:rFonts w:hint="eastAsia" w:asciiTheme="minorEastAsia" w:hAnsiTheme="minorEastAsia" w:eastAsiaTheme="minorEastAsia" w:cstheme="minorEastAsia"/>
          <w:color w:val="auto"/>
          <w:highlight w:val="none"/>
          <w:u w:val="none"/>
        </w:rPr>
        <w:t>26</w:t>
      </w:r>
      <w:r>
        <w:rPr>
          <w:rFonts w:hint="eastAsia" w:asciiTheme="minorEastAsia" w:hAnsiTheme="minorEastAsia" w:eastAsiaTheme="minorEastAsia" w:cstheme="minorEastAsia"/>
          <w:color w:val="auto"/>
          <w:highlight w:val="none"/>
          <w:u w:val="none"/>
        </w:rPr>
        <w:fldChar w:fldCharType="end"/>
      </w:r>
      <w:r>
        <w:rPr>
          <w:rFonts w:hint="eastAsia" w:asciiTheme="minorEastAsia" w:hAnsiTheme="minorEastAsia" w:eastAsiaTheme="minorEastAsia" w:cstheme="minorEastAsia"/>
          <w:color w:val="auto"/>
          <w:szCs w:val="36"/>
          <w:highlight w:val="none"/>
          <w:u w:val="none"/>
        </w:rPr>
        <w:fldChar w:fldCharType="end"/>
      </w:r>
    </w:p>
    <w:p w14:paraId="299F9F06">
      <w:pPr>
        <w:pStyle w:val="15"/>
        <w:tabs>
          <w:tab w:val="right" w:leader="dot" w:pos="9564"/>
        </w:tabs>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szCs w:val="36"/>
          <w:highlight w:val="none"/>
          <w:u w:val="none"/>
        </w:rPr>
        <w:fldChar w:fldCharType="begin"/>
      </w:r>
      <w:r>
        <w:rPr>
          <w:rFonts w:hint="eastAsia" w:asciiTheme="minorEastAsia" w:hAnsiTheme="minorEastAsia" w:eastAsiaTheme="minorEastAsia" w:cstheme="minorEastAsia"/>
          <w:color w:val="auto"/>
          <w:szCs w:val="36"/>
          <w:highlight w:val="none"/>
          <w:u w:val="none"/>
        </w:rPr>
        <w:instrText xml:space="preserve"> HYPERLINK \l _Toc13344 </w:instrText>
      </w:r>
      <w:r>
        <w:rPr>
          <w:rFonts w:hint="eastAsia" w:asciiTheme="minorEastAsia" w:hAnsiTheme="minorEastAsia" w:eastAsiaTheme="minorEastAsia" w:cstheme="minorEastAsia"/>
          <w:color w:val="auto"/>
          <w:szCs w:val="36"/>
          <w:highlight w:val="none"/>
          <w:u w:val="none"/>
        </w:rPr>
        <w:fldChar w:fldCharType="separate"/>
      </w:r>
      <w:r>
        <w:rPr>
          <w:rFonts w:hint="eastAsia" w:asciiTheme="minorEastAsia" w:hAnsiTheme="minorEastAsia" w:eastAsiaTheme="minorEastAsia" w:cstheme="minorEastAsia"/>
          <w:color w:val="auto"/>
          <w:highlight w:val="none"/>
          <w:u w:val="none"/>
          <w:lang w:val="en-US" w:eastAsia="zh-CN"/>
        </w:rPr>
        <w:t>第四章  评审程序、评审方法和评审标准</w:t>
      </w:r>
      <w:bookmarkStart w:id="1469" w:name="_GoBack"/>
      <w:bookmarkEnd w:id="1469"/>
      <w:r>
        <w:rPr>
          <w:rFonts w:hint="eastAsia" w:asciiTheme="minorEastAsia" w:hAnsiTheme="minorEastAsia" w:eastAsiaTheme="minorEastAsia" w:cstheme="minorEastAsia"/>
          <w:color w:val="auto"/>
          <w:highlight w:val="none"/>
          <w:u w:val="none"/>
        </w:rPr>
        <w:tab/>
      </w:r>
      <w:r>
        <w:rPr>
          <w:rFonts w:hint="eastAsia" w:asciiTheme="minorEastAsia" w:hAnsiTheme="minorEastAsia" w:eastAsiaTheme="minorEastAsia" w:cstheme="minorEastAsia"/>
          <w:color w:val="auto"/>
          <w:highlight w:val="none"/>
          <w:u w:val="none"/>
        </w:rPr>
        <w:fldChar w:fldCharType="begin"/>
      </w:r>
      <w:r>
        <w:rPr>
          <w:rFonts w:hint="eastAsia" w:asciiTheme="minorEastAsia" w:hAnsiTheme="minorEastAsia" w:eastAsiaTheme="minorEastAsia" w:cstheme="minorEastAsia"/>
          <w:color w:val="auto"/>
          <w:highlight w:val="none"/>
          <w:u w:val="none"/>
        </w:rPr>
        <w:instrText xml:space="preserve"> PAGEREF _Toc13344 \h </w:instrText>
      </w:r>
      <w:r>
        <w:rPr>
          <w:rFonts w:hint="eastAsia" w:asciiTheme="minorEastAsia" w:hAnsiTheme="minorEastAsia" w:eastAsiaTheme="minorEastAsia" w:cstheme="minorEastAsia"/>
          <w:color w:val="auto"/>
          <w:highlight w:val="none"/>
          <w:u w:val="none"/>
        </w:rPr>
        <w:fldChar w:fldCharType="separate"/>
      </w:r>
      <w:r>
        <w:rPr>
          <w:rFonts w:hint="eastAsia" w:asciiTheme="minorEastAsia" w:hAnsiTheme="minorEastAsia" w:eastAsiaTheme="minorEastAsia" w:cstheme="minorEastAsia"/>
          <w:color w:val="auto"/>
          <w:highlight w:val="none"/>
          <w:u w:val="none"/>
        </w:rPr>
        <w:t>33</w:t>
      </w:r>
      <w:r>
        <w:rPr>
          <w:rFonts w:hint="eastAsia" w:asciiTheme="minorEastAsia" w:hAnsiTheme="minorEastAsia" w:eastAsiaTheme="minorEastAsia" w:cstheme="minorEastAsia"/>
          <w:color w:val="auto"/>
          <w:highlight w:val="none"/>
          <w:u w:val="none"/>
        </w:rPr>
        <w:fldChar w:fldCharType="end"/>
      </w:r>
      <w:r>
        <w:rPr>
          <w:rFonts w:hint="eastAsia" w:asciiTheme="minorEastAsia" w:hAnsiTheme="minorEastAsia" w:eastAsiaTheme="minorEastAsia" w:cstheme="minorEastAsia"/>
          <w:color w:val="auto"/>
          <w:szCs w:val="36"/>
          <w:highlight w:val="none"/>
          <w:u w:val="none"/>
        </w:rPr>
        <w:fldChar w:fldCharType="end"/>
      </w:r>
    </w:p>
    <w:p w14:paraId="7A4586FC">
      <w:pPr>
        <w:pStyle w:val="15"/>
        <w:tabs>
          <w:tab w:val="right" w:leader="dot" w:pos="9564"/>
        </w:tabs>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szCs w:val="36"/>
          <w:highlight w:val="none"/>
          <w:u w:val="none"/>
        </w:rPr>
        <w:fldChar w:fldCharType="begin"/>
      </w:r>
      <w:r>
        <w:rPr>
          <w:rFonts w:hint="eastAsia" w:asciiTheme="minorEastAsia" w:hAnsiTheme="minorEastAsia" w:eastAsiaTheme="minorEastAsia" w:cstheme="minorEastAsia"/>
          <w:color w:val="auto"/>
          <w:szCs w:val="36"/>
          <w:highlight w:val="none"/>
          <w:u w:val="none"/>
        </w:rPr>
        <w:instrText xml:space="preserve"> HYPERLINK \l _Toc9706 </w:instrText>
      </w:r>
      <w:r>
        <w:rPr>
          <w:rFonts w:hint="eastAsia" w:asciiTheme="minorEastAsia" w:hAnsiTheme="minorEastAsia" w:eastAsiaTheme="minorEastAsia" w:cstheme="minorEastAsia"/>
          <w:color w:val="auto"/>
          <w:szCs w:val="36"/>
          <w:highlight w:val="none"/>
          <w:u w:val="none"/>
        </w:rPr>
        <w:fldChar w:fldCharType="separate"/>
      </w:r>
      <w:r>
        <w:rPr>
          <w:rFonts w:hint="eastAsia" w:asciiTheme="minorEastAsia" w:hAnsiTheme="minorEastAsia" w:eastAsiaTheme="minorEastAsia" w:cstheme="minorEastAsia"/>
          <w:color w:val="auto"/>
          <w:highlight w:val="none"/>
          <w:u w:val="none"/>
          <w:lang w:val="en-US" w:eastAsia="zh-CN"/>
        </w:rPr>
        <w:t>第五章  工程量清单及图纸</w:t>
      </w:r>
      <w:r>
        <w:rPr>
          <w:rFonts w:hint="eastAsia" w:asciiTheme="minorEastAsia" w:hAnsiTheme="minorEastAsia" w:eastAsiaTheme="minorEastAsia" w:cstheme="minorEastAsia"/>
          <w:color w:val="auto"/>
          <w:highlight w:val="none"/>
          <w:u w:val="none"/>
        </w:rPr>
        <w:tab/>
      </w:r>
      <w:r>
        <w:rPr>
          <w:rFonts w:hint="eastAsia" w:asciiTheme="minorEastAsia" w:hAnsiTheme="minorEastAsia" w:eastAsiaTheme="minorEastAsia" w:cstheme="minorEastAsia"/>
          <w:color w:val="auto"/>
          <w:highlight w:val="none"/>
          <w:u w:val="none"/>
        </w:rPr>
        <w:fldChar w:fldCharType="begin"/>
      </w:r>
      <w:r>
        <w:rPr>
          <w:rFonts w:hint="eastAsia" w:asciiTheme="minorEastAsia" w:hAnsiTheme="minorEastAsia" w:eastAsiaTheme="minorEastAsia" w:cstheme="minorEastAsia"/>
          <w:color w:val="auto"/>
          <w:highlight w:val="none"/>
          <w:u w:val="none"/>
        </w:rPr>
        <w:instrText xml:space="preserve"> PAGEREF _Toc9706 \h </w:instrText>
      </w:r>
      <w:r>
        <w:rPr>
          <w:rFonts w:hint="eastAsia" w:asciiTheme="minorEastAsia" w:hAnsiTheme="minorEastAsia" w:eastAsiaTheme="minorEastAsia" w:cstheme="minorEastAsia"/>
          <w:color w:val="auto"/>
          <w:highlight w:val="none"/>
          <w:u w:val="none"/>
        </w:rPr>
        <w:fldChar w:fldCharType="separate"/>
      </w:r>
      <w:r>
        <w:rPr>
          <w:rFonts w:hint="eastAsia" w:asciiTheme="minorEastAsia" w:hAnsiTheme="minorEastAsia" w:eastAsiaTheme="minorEastAsia" w:cstheme="minorEastAsia"/>
          <w:color w:val="auto"/>
          <w:highlight w:val="none"/>
          <w:u w:val="none"/>
        </w:rPr>
        <w:t>40</w:t>
      </w:r>
      <w:r>
        <w:rPr>
          <w:rFonts w:hint="eastAsia" w:asciiTheme="minorEastAsia" w:hAnsiTheme="minorEastAsia" w:eastAsiaTheme="minorEastAsia" w:cstheme="minorEastAsia"/>
          <w:color w:val="auto"/>
          <w:highlight w:val="none"/>
          <w:u w:val="none"/>
        </w:rPr>
        <w:fldChar w:fldCharType="end"/>
      </w:r>
      <w:r>
        <w:rPr>
          <w:rFonts w:hint="eastAsia" w:asciiTheme="minorEastAsia" w:hAnsiTheme="minorEastAsia" w:eastAsiaTheme="minorEastAsia" w:cstheme="minorEastAsia"/>
          <w:color w:val="auto"/>
          <w:szCs w:val="36"/>
          <w:highlight w:val="none"/>
          <w:u w:val="none"/>
        </w:rPr>
        <w:fldChar w:fldCharType="end"/>
      </w:r>
    </w:p>
    <w:p w14:paraId="20338A51">
      <w:pPr>
        <w:pStyle w:val="15"/>
        <w:tabs>
          <w:tab w:val="right" w:leader="dot" w:pos="9564"/>
        </w:tabs>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szCs w:val="36"/>
          <w:highlight w:val="none"/>
          <w:u w:val="none"/>
        </w:rPr>
        <w:fldChar w:fldCharType="begin"/>
      </w:r>
      <w:r>
        <w:rPr>
          <w:rFonts w:hint="eastAsia" w:asciiTheme="minorEastAsia" w:hAnsiTheme="minorEastAsia" w:eastAsiaTheme="minorEastAsia" w:cstheme="minorEastAsia"/>
          <w:color w:val="auto"/>
          <w:szCs w:val="36"/>
          <w:highlight w:val="none"/>
          <w:u w:val="none"/>
        </w:rPr>
        <w:instrText xml:space="preserve"> HYPERLINK \l _Toc21630 </w:instrText>
      </w:r>
      <w:r>
        <w:rPr>
          <w:rFonts w:hint="eastAsia" w:asciiTheme="minorEastAsia" w:hAnsiTheme="minorEastAsia" w:eastAsiaTheme="minorEastAsia" w:cstheme="minorEastAsia"/>
          <w:color w:val="auto"/>
          <w:szCs w:val="36"/>
          <w:highlight w:val="none"/>
          <w:u w:val="none"/>
        </w:rPr>
        <w:fldChar w:fldCharType="separate"/>
      </w:r>
      <w:r>
        <w:rPr>
          <w:rFonts w:hint="eastAsia" w:asciiTheme="minorEastAsia" w:hAnsiTheme="minorEastAsia" w:eastAsiaTheme="minorEastAsia" w:cstheme="minorEastAsia"/>
          <w:color w:val="auto"/>
          <w:highlight w:val="none"/>
          <w:u w:val="none"/>
          <w:lang w:val="en-US" w:eastAsia="zh-CN"/>
        </w:rPr>
        <w:t>第六章  响应文件格式</w:t>
      </w:r>
      <w:r>
        <w:rPr>
          <w:rFonts w:hint="eastAsia" w:asciiTheme="minorEastAsia" w:hAnsiTheme="minorEastAsia" w:eastAsiaTheme="minorEastAsia" w:cstheme="minorEastAsia"/>
          <w:color w:val="auto"/>
          <w:highlight w:val="none"/>
          <w:u w:val="none"/>
        </w:rPr>
        <w:tab/>
      </w:r>
      <w:r>
        <w:rPr>
          <w:rFonts w:hint="eastAsia" w:asciiTheme="minorEastAsia" w:hAnsiTheme="minorEastAsia" w:eastAsiaTheme="minorEastAsia" w:cstheme="minorEastAsia"/>
          <w:color w:val="auto"/>
          <w:highlight w:val="none"/>
          <w:u w:val="none"/>
        </w:rPr>
        <w:fldChar w:fldCharType="begin"/>
      </w:r>
      <w:r>
        <w:rPr>
          <w:rFonts w:hint="eastAsia" w:asciiTheme="minorEastAsia" w:hAnsiTheme="minorEastAsia" w:eastAsiaTheme="minorEastAsia" w:cstheme="minorEastAsia"/>
          <w:color w:val="auto"/>
          <w:highlight w:val="none"/>
          <w:u w:val="none"/>
        </w:rPr>
        <w:instrText xml:space="preserve"> PAGEREF _Toc21630 \h </w:instrText>
      </w:r>
      <w:r>
        <w:rPr>
          <w:rFonts w:hint="eastAsia" w:asciiTheme="minorEastAsia" w:hAnsiTheme="minorEastAsia" w:eastAsiaTheme="minorEastAsia" w:cstheme="minorEastAsia"/>
          <w:color w:val="auto"/>
          <w:highlight w:val="none"/>
          <w:u w:val="none"/>
        </w:rPr>
        <w:fldChar w:fldCharType="separate"/>
      </w:r>
      <w:r>
        <w:rPr>
          <w:rFonts w:hint="eastAsia" w:asciiTheme="minorEastAsia" w:hAnsiTheme="minorEastAsia" w:eastAsiaTheme="minorEastAsia" w:cstheme="minorEastAsia"/>
          <w:color w:val="auto"/>
          <w:highlight w:val="none"/>
          <w:u w:val="none"/>
        </w:rPr>
        <w:t>42</w:t>
      </w:r>
      <w:r>
        <w:rPr>
          <w:rFonts w:hint="eastAsia" w:asciiTheme="minorEastAsia" w:hAnsiTheme="minorEastAsia" w:eastAsiaTheme="minorEastAsia" w:cstheme="minorEastAsia"/>
          <w:color w:val="auto"/>
          <w:highlight w:val="none"/>
          <w:u w:val="none"/>
        </w:rPr>
        <w:fldChar w:fldCharType="end"/>
      </w:r>
      <w:r>
        <w:rPr>
          <w:rFonts w:hint="eastAsia" w:asciiTheme="minorEastAsia" w:hAnsiTheme="minorEastAsia" w:eastAsiaTheme="minorEastAsia" w:cstheme="minorEastAsia"/>
          <w:color w:val="auto"/>
          <w:szCs w:val="36"/>
          <w:highlight w:val="none"/>
          <w:u w:val="none"/>
        </w:rPr>
        <w:fldChar w:fldCharType="end"/>
      </w:r>
    </w:p>
    <w:p w14:paraId="249DF00D">
      <w:pPr>
        <w:pStyle w:val="15"/>
        <w:tabs>
          <w:tab w:val="right" w:leader="dot" w:pos="9564"/>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36"/>
          <w:highlight w:val="none"/>
          <w:u w:val="none"/>
        </w:rPr>
        <w:fldChar w:fldCharType="begin"/>
      </w:r>
      <w:r>
        <w:rPr>
          <w:rFonts w:hint="eastAsia" w:asciiTheme="minorEastAsia" w:hAnsiTheme="minorEastAsia" w:eastAsiaTheme="minorEastAsia" w:cstheme="minorEastAsia"/>
          <w:color w:val="auto"/>
          <w:szCs w:val="36"/>
          <w:highlight w:val="none"/>
          <w:u w:val="none"/>
        </w:rPr>
        <w:instrText xml:space="preserve"> HYPERLINK \l _Toc11991 </w:instrText>
      </w:r>
      <w:r>
        <w:rPr>
          <w:rFonts w:hint="eastAsia" w:asciiTheme="minorEastAsia" w:hAnsiTheme="minorEastAsia" w:eastAsiaTheme="minorEastAsia" w:cstheme="minorEastAsia"/>
          <w:color w:val="auto"/>
          <w:szCs w:val="36"/>
          <w:highlight w:val="none"/>
          <w:u w:val="none"/>
        </w:rPr>
        <w:fldChar w:fldCharType="separate"/>
      </w:r>
      <w:r>
        <w:rPr>
          <w:rFonts w:hint="eastAsia" w:asciiTheme="minorEastAsia" w:hAnsiTheme="minorEastAsia" w:eastAsiaTheme="minorEastAsia" w:cstheme="minorEastAsia"/>
          <w:bCs/>
          <w:color w:val="auto"/>
          <w:highlight w:val="none"/>
          <w:u w:val="none"/>
        </w:rPr>
        <w:t>第</w:t>
      </w:r>
      <w:r>
        <w:rPr>
          <w:rFonts w:hint="eastAsia" w:asciiTheme="minorEastAsia" w:hAnsiTheme="minorEastAsia" w:eastAsiaTheme="minorEastAsia" w:cstheme="minorEastAsia"/>
          <w:bCs/>
          <w:color w:val="auto"/>
          <w:highlight w:val="none"/>
          <w:u w:val="none"/>
          <w:lang w:val="en-US" w:eastAsia="zh-CN"/>
        </w:rPr>
        <w:t>七</w:t>
      </w:r>
      <w:r>
        <w:rPr>
          <w:rFonts w:hint="eastAsia" w:asciiTheme="minorEastAsia" w:hAnsiTheme="minorEastAsia" w:eastAsiaTheme="minorEastAsia" w:cstheme="minorEastAsia"/>
          <w:bCs/>
          <w:color w:val="auto"/>
          <w:highlight w:val="none"/>
          <w:u w:val="none"/>
        </w:rPr>
        <w:t>章  拟定的合同文本</w:t>
      </w:r>
      <w:r>
        <w:rPr>
          <w:rFonts w:hint="eastAsia" w:asciiTheme="minorEastAsia" w:hAnsiTheme="minorEastAsia" w:eastAsiaTheme="minorEastAsia" w:cstheme="minorEastAsia"/>
          <w:color w:val="auto"/>
          <w:highlight w:val="none"/>
          <w:u w:val="none"/>
        </w:rPr>
        <w:tab/>
      </w:r>
      <w:r>
        <w:rPr>
          <w:rFonts w:hint="eastAsia" w:asciiTheme="minorEastAsia" w:hAnsiTheme="minorEastAsia" w:eastAsiaTheme="minorEastAsia" w:cstheme="minorEastAsia"/>
          <w:color w:val="auto"/>
          <w:highlight w:val="none"/>
          <w:u w:val="none"/>
        </w:rPr>
        <w:fldChar w:fldCharType="begin"/>
      </w:r>
      <w:r>
        <w:rPr>
          <w:rFonts w:hint="eastAsia" w:asciiTheme="minorEastAsia" w:hAnsiTheme="minorEastAsia" w:eastAsiaTheme="minorEastAsia" w:cstheme="minorEastAsia"/>
          <w:color w:val="auto"/>
          <w:highlight w:val="none"/>
          <w:u w:val="none"/>
        </w:rPr>
        <w:instrText xml:space="preserve"> PAGEREF _Toc11991 \h </w:instrText>
      </w:r>
      <w:r>
        <w:rPr>
          <w:rFonts w:hint="eastAsia" w:asciiTheme="minorEastAsia" w:hAnsiTheme="minorEastAsia" w:eastAsiaTheme="minorEastAsia" w:cstheme="minorEastAsia"/>
          <w:color w:val="auto"/>
          <w:highlight w:val="none"/>
          <w:u w:val="none"/>
        </w:rPr>
        <w:fldChar w:fldCharType="separate"/>
      </w:r>
      <w:r>
        <w:rPr>
          <w:rFonts w:hint="eastAsia" w:asciiTheme="minorEastAsia" w:hAnsiTheme="minorEastAsia" w:eastAsiaTheme="minorEastAsia" w:cstheme="minorEastAsia"/>
          <w:color w:val="auto"/>
          <w:highlight w:val="none"/>
          <w:u w:val="none"/>
        </w:rPr>
        <w:t>73</w:t>
      </w:r>
      <w:r>
        <w:rPr>
          <w:rFonts w:hint="eastAsia" w:asciiTheme="minorEastAsia" w:hAnsiTheme="minorEastAsia" w:eastAsiaTheme="minorEastAsia" w:cstheme="minorEastAsia"/>
          <w:color w:val="auto"/>
          <w:highlight w:val="none"/>
          <w:u w:val="none"/>
        </w:rPr>
        <w:fldChar w:fldCharType="end"/>
      </w:r>
      <w:r>
        <w:rPr>
          <w:rFonts w:hint="eastAsia" w:asciiTheme="minorEastAsia" w:hAnsiTheme="minorEastAsia" w:eastAsiaTheme="minorEastAsia" w:cstheme="minorEastAsia"/>
          <w:color w:val="auto"/>
          <w:szCs w:val="36"/>
          <w:highlight w:val="none"/>
          <w:u w:val="none"/>
        </w:rPr>
        <w:fldChar w:fldCharType="end"/>
      </w:r>
    </w:p>
    <w:p w14:paraId="1633A76A">
      <w:pPr>
        <w:pStyle w:val="11"/>
        <w:tabs>
          <w:tab w:val="right" w:leader="dot" w:pos="9564"/>
        </w:tabs>
        <w:rPr>
          <w:rFonts w:hint="eastAsia" w:asciiTheme="minorEastAsia" w:hAnsiTheme="minorEastAsia" w:eastAsiaTheme="minorEastAsia" w:cstheme="minorEastAsia"/>
          <w:color w:val="auto"/>
          <w:highlight w:val="none"/>
        </w:rPr>
      </w:pPr>
    </w:p>
    <w:p w14:paraId="5E577982">
      <w:pPr>
        <w:pStyle w:val="16"/>
        <w:shd w:val="clear" w:color="auto" w:fill="auto"/>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36"/>
          <w:highlight w:val="none"/>
        </w:rPr>
        <w:fldChar w:fldCharType="end"/>
      </w:r>
    </w:p>
    <w:p w14:paraId="12B7E5A7">
      <w:pPr>
        <w:shd w:val="clear" w:color="auto" w:fill="auto"/>
        <w:tabs>
          <w:tab w:val="left" w:pos="4030"/>
        </w:tabs>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b/>
      </w:r>
      <w:bookmarkStart w:id="0" w:name="_Toc44229877"/>
    </w:p>
    <w:p w14:paraId="4849E9A6">
      <w:pPr>
        <w:shd w:val="clear" w:color="auto" w:fill="auto"/>
        <w:tabs>
          <w:tab w:val="left" w:pos="4030"/>
        </w:tabs>
        <w:spacing w:line="360" w:lineRule="auto"/>
        <w:jc w:val="left"/>
        <w:rPr>
          <w:rFonts w:hint="eastAsia" w:asciiTheme="minorEastAsia" w:hAnsiTheme="minorEastAsia" w:eastAsiaTheme="minorEastAsia" w:cstheme="minorEastAsia"/>
          <w:color w:val="auto"/>
          <w:highlight w:val="none"/>
        </w:rPr>
        <w:sectPr>
          <w:footerReference r:id="rId7" w:type="default"/>
          <w:pgSz w:w="11906" w:h="16838"/>
          <w:pgMar w:top="1440" w:right="1208" w:bottom="1440" w:left="113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6FD8FDCD">
      <w:pPr>
        <w:pStyle w:val="2"/>
        <w:numPr>
          <w:ilvl w:val="0"/>
          <w:numId w:val="0"/>
        </w:numPr>
        <w:shd w:val="clear" w:color="auto" w:fill="auto"/>
        <w:spacing w:line="360" w:lineRule="auto"/>
        <w:jc w:val="center"/>
        <w:rPr>
          <w:rFonts w:hint="eastAsia" w:asciiTheme="minorEastAsia" w:hAnsiTheme="minorEastAsia" w:eastAsiaTheme="minorEastAsia" w:cstheme="minorEastAsia"/>
          <w:color w:val="auto"/>
          <w:highlight w:val="none"/>
        </w:rPr>
      </w:pPr>
      <w:bookmarkStart w:id="1" w:name="_Toc16593"/>
      <w:r>
        <w:rPr>
          <w:rFonts w:hint="eastAsia" w:asciiTheme="minorEastAsia" w:hAnsiTheme="minorEastAsia" w:eastAsiaTheme="minorEastAsia" w:cstheme="minorEastAsia"/>
          <w:b/>
          <w:color w:val="auto"/>
          <w:kern w:val="44"/>
          <w:sz w:val="44"/>
          <w:szCs w:val="24"/>
          <w:highlight w:val="none"/>
          <w:lang w:val="en-US" w:eastAsia="zh-CN" w:bidi="ar-SA"/>
        </w:rPr>
        <w:t xml:space="preserve">第一章 </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lang w:eastAsia="zh-CN"/>
        </w:rPr>
        <w:t>竞争性谈判</w:t>
      </w:r>
      <w:r>
        <w:rPr>
          <w:rFonts w:hint="eastAsia" w:asciiTheme="minorEastAsia" w:hAnsiTheme="minorEastAsia" w:eastAsiaTheme="minorEastAsia" w:cstheme="minorEastAsia"/>
          <w:color w:val="auto"/>
          <w:highlight w:val="none"/>
        </w:rPr>
        <w:t>公告</w:t>
      </w:r>
      <w:bookmarkEnd w:id="0"/>
      <w:bookmarkEnd w:id="1"/>
    </w:p>
    <w:p w14:paraId="2DF42A4C">
      <w:pPr>
        <w:widowControl w:val="0"/>
        <w:numPr>
          <w:ilvl w:val="0"/>
          <w:numId w:val="0"/>
        </w:numPr>
        <w:spacing w:line="360" w:lineRule="auto"/>
        <w:jc w:val="center"/>
        <w:rPr>
          <w:rFonts w:hint="eastAsia" w:asciiTheme="minorEastAsia" w:hAnsiTheme="minorEastAsia" w:eastAsiaTheme="minorEastAsia" w:cstheme="minorEastAsia"/>
          <w:b/>
          <w:color w:val="auto"/>
          <w:sz w:val="28"/>
          <w:szCs w:val="28"/>
          <w:highlight w:val="none"/>
          <w:lang w:val="en-US" w:eastAsia="zh-CN"/>
        </w:rPr>
      </w:pPr>
      <w:r>
        <w:rPr>
          <w:rFonts w:hint="eastAsia" w:asciiTheme="majorEastAsia" w:hAnsiTheme="majorEastAsia" w:eastAsiaTheme="majorEastAsia" w:cstheme="majorEastAsia"/>
          <w:b/>
          <w:bCs/>
          <w:color w:val="auto"/>
          <w:w w:val="95"/>
          <w:sz w:val="28"/>
          <w:szCs w:val="28"/>
          <w:highlight w:val="none"/>
        </w:rPr>
        <w:t>广西建设工程机电设备招标中心有限公司</w:t>
      </w:r>
      <w:r>
        <w:rPr>
          <w:rFonts w:hint="eastAsia" w:asciiTheme="minorEastAsia" w:hAnsiTheme="minorEastAsia" w:eastAsiaTheme="minorEastAsia" w:cstheme="minorEastAsia"/>
          <w:b/>
          <w:color w:val="auto"/>
          <w:sz w:val="28"/>
          <w:szCs w:val="28"/>
          <w:highlight w:val="none"/>
          <w:lang w:val="en-US" w:eastAsia="zh-CN"/>
        </w:rPr>
        <w:t>关于广西壮族自治区人民医院视光中心楼负一、一层高压氧科氧舱设备更新土建设计工程【</w:t>
      </w:r>
      <w:r>
        <w:rPr>
          <w:rFonts w:hint="eastAsia" w:asciiTheme="majorEastAsia" w:hAnsiTheme="majorEastAsia" w:eastAsiaTheme="majorEastAsia" w:cstheme="majorEastAsia"/>
          <w:b/>
          <w:bCs/>
          <w:color w:val="auto"/>
          <w:sz w:val="28"/>
          <w:szCs w:val="28"/>
          <w:highlight w:val="none"/>
          <w:lang w:eastAsia="zh-CN"/>
        </w:rPr>
        <w:t>GXZC2026-J2-001931-JGJD</w:t>
      </w:r>
      <w:r>
        <w:rPr>
          <w:rFonts w:hint="eastAsia" w:asciiTheme="minorEastAsia" w:hAnsiTheme="minorEastAsia" w:eastAsiaTheme="minorEastAsia" w:cstheme="minorEastAsia"/>
          <w:b/>
          <w:color w:val="auto"/>
          <w:sz w:val="28"/>
          <w:szCs w:val="28"/>
          <w:highlight w:val="none"/>
          <w:lang w:val="en-US" w:eastAsia="zh-CN"/>
        </w:rPr>
        <w:t>】</w:t>
      </w:r>
    </w:p>
    <w:p w14:paraId="2D2A74C3">
      <w:pPr>
        <w:widowControl w:val="0"/>
        <w:numPr>
          <w:ilvl w:val="0"/>
          <w:numId w:val="0"/>
        </w:numPr>
        <w:spacing w:line="360" w:lineRule="auto"/>
        <w:jc w:val="center"/>
        <w:rPr>
          <w:rFonts w:hint="eastAsia" w:asciiTheme="minorEastAsia" w:hAnsiTheme="minorEastAsia" w:eastAsiaTheme="minorEastAsia" w:cstheme="minorEastAsia"/>
          <w:color w:val="auto"/>
          <w:sz w:val="20"/>
          <w:szCs w:val="22"/>
          <w:highlight w:val="none"/>
          <w:lang w:val="en-US" w:eastAsia="zh-CN"/>
        </w:rPr>
      </w:pPr>
      <w:r>
        <w:rPr>
          <w:rFonts w:hint="eastAsia" w:asciiTheme="minorEastAsia" w:hAnsiTheme="minorEastAsia" w:eastAsiaTheme="minorEastAsia" w:cstheme="minorEastAsia"/>
          <w:b/>
          <w:color w:val="auto"/>
          <w:sz w:val="28"/>
          <w:szCs w:val="28"/>
          <w:highlight w:val="none"/>
          <w:lang w:val="en-US" w:eastAsia="zh-CN"/>
        </w:rPr>
        <w:t>竞争性谈判公告</w:t>
      </w:r>
    </w:p>
    <w:p w14:paraId="14C65C27">
      <w:pPr>
        <w:pBdr>
          <w:top w:val="single" w:color="auto" w:sz="4" w:space="1"/>
          <w:left w:val="single" w:color="auto" w:sz="4" w:space="4"/>
          <w:bottom w:val="single" w:color="auto" w:sz="4" w:space="1"/>
          <w:right w:val="single" w:color="auto" w:sz="4" w:space="4"/>
        </w:pBdr>
        <w:shd w:val="clear" w:color="auto" w:fill="auto"/>
        <w:spacing w:line="360" w:lineRule="auto"/>
        <w:rPr>
          <w:rFonts w:hint="eastAsia" w:asciiTheme="minorEastAsia" w:hAnsiTheme="minorEastAsia" w:eastAsiaTheme="minorEastAsia" w:cstheme="minorEastAsia"/>
          <w:color w:val="auto"/>
          <w:szCs w:val="21"/>
          <w:highlight w:val="none"/>
        </w:rPr>
      </w:pPr>
      <w:bookmarkStart w:id="2" w:name="_Hlk37430271"/>
      <w:r>
        <w:rPr>
          <w:rFonts w:hint="eastAsia" w:asciiTheme="minorEastAsia" w:hAnsiTheme="minorEastAsia" w:eastAsiaTheme="minorEastAsia" w:cstheme="minorEastAsia"/>
          <w:color w:val="auto"/>
          <w:szCs w:val="21"/>
          <w:highlight w:val="none"/>
        </w:rPr>
        <w:t>项目概况：</w:t>
      </w:r>
      <w:r>
        <w:rPr>
          <w:rFonts w:hint="eastAsia" w:asciiTheme="minorEastAsia" w:hAnsiTheme="minorEastAsia" w:eastAsiaTheme="minorEastAsia" w:cstheme="minorEastAsia"/>
          <w:b/>
          <w:bCs/>
          <w:color w:val="auto"/>
          <w:szCs w:val="21"/>
          <w:highlight w:val="none"/>
          <w:u w:val="single"/>
          <w:lang w:val="en-US" w:eastAsia="zh-CN"/>
        </w:rPr>
        <w:t>广西壮族自治区人民医院视光中心楼负一、一层高压氧科氧舱设备更新土建设计工程</w:t>
      </w:r>
      <w:r>
        <w:rPr>
          <w:rFonts w:hint="eastAsia" w:asciiTheme="minorEastAsia" w:hAnsiTheme="minorEastAsia" w:eastAsiaTheme="minorEastAsia" w:cstheme="minorEastAsia"/>
          <w:color w:val="auto"/>
          <w:spacing w:val="-2"/>
          <w:szCs w:val="21"/>
          <w:highlight w:val="none"/>
          <w:lang w:eastAsia="zh-CN"/>
        </w:rPr>
        <w:t>项目</w:t>
      </w:r>
      <w:r>
        <w:rPr>
          <w:rFonts w:hint="eastAsia" w:asciiTheme="minorEastAsia" w:hAnsiTheme="minorEastAsia" w:eastAsiaTheme="minorEastAsia" w:cstheme="minorEastAsia"/>
          <w:color w:val="auto"/>
          <w:spacing w:val="-2"/>
          <w:szCs w:val="21"/>
          <w:highlight w:val="none"/>
        </w:rPr>
        <w:t>的潜在供应商应</w:t>
      </w:r>
      <w:r>
        <w:rPr>
          <w:rFonts w:hint="eastAsia" w:asciiTheme="minorEastAsia" w:hAnsiTheme="minorEastAsia" w:eastAsiaTheme="minorEastAsia" w:cstheme="minorEastAsia"/>
          <w:color w:val="auto"/>
          <w:szCs w:val="21"/>
          <w:highlight w:val="none"/>
        </w:rPr>
        <w:t>在广西政府采购云平台 （https://www.gcy.zfcg.gxzf.gov.cn/）获取（下载）</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采购文件</w:t>
      </w:r>
      <w:r>
        <w:rPr>
          <w:rFonts w:hint="eastAsia" w:asciiTheme="minorEastAsia" w:hAnsiTheme="minorEastAsia" w:eastAsiaTheme="minorEastAsia" w:cstheme="minorEastAsia"/>
          <w:color w:val="auto"/>
          <w:spacing w:val="-2"/>
          <w:szCs w:val="21"/>
          <w:highlight w:val="none"/>
        </w:rPr>
        <w:t>，并于</w:t>
      </w:r>
      <w:r>
        <w:rPr>
          <w:rFonts w:hint="eastAsia" w:asciiTheme="minorEastAsia" w:hAnsiTheme="minorEastAsia" w:eastAsiaTheme="minorEastAsia" w:cstheme="minorEastAsia"/>
          <w:color w:val="auto"/>
          <w:spacing w:val="-2"/>
          <w:szCs w:val="21"/>
          <w:highlight w:val="none"/>
          <w:u w:val="single"/>
        </w:rPr>
        <w:t>202</w:t>
      </w:r>
      <w:r>
        <w:rPr>
          <w:rFonts w:hint="eastAsia" w:asciiTheme="minorEastAsia" w:hAnsiTheme="minorEastAsia" w:eastAsiaTheme="minorEastAsia" w:cstheme="minorEastAsia"/>
          <w:color w:val="auto"/>
          <w:spacing w:val="-2"/>
          <w:szCs w:val="21"/>
          <w:highlight w:val="none"/>
          <w:u w:val="single"/>
          <w:lang w:val="en-US" w:eastAsia="zh-CN"/>
        </w:rPr>
        <w:t>6</w:t>
      </w:r>
      <w:r>
        <w:rPr>
          <w:rFonts w:hint="eastAsia" w:asciiTheme="minorEastAsia" w:hAnsiTheme="minorEastAsia" w:eastAsiaTheme="minorEastAsia" w:cstheme="minorEastAsia"/>
          <w:color w:val="auto"/>
          <w:spacing w:val="-2"/>
          <w:szCs w:val="21"/>
          <w:highlight w:val="none"/>
          <w:u w:val="single"/>
        </w:rPr>
        <w:t>年</w:t>
      </w:r>
      <w:r>
        <w:rPr>
          <w:rFonts w:hint="eastAsia" w:asciiTheme="minorEastAsia" w:hAnsiTheme="minorEastAsia" w:eastAsiaTheme="minorEastAsia" w:cstheme="minorEastAsia"/>
          <w:color w:val="auto"/>
          <w:spacing w:val="-2"/>
          <w:szCs w:val="21"/>
          <w:highlight w:val="none"/>
          <w:u w:val="single"/>
          <w:lang w:val="en-US" w:eastAsia="zh-CN"/>
        </w:rPr>
        <w:t>6</w:t>
      </w:r>
      <w:r>
        <w:rPr>
          <w:rFonts w:hint="eastAsia" w:asciiTheme="minorEastAsia" w:hAnsiTheme="minorEastAsia" w:eastAsiaTheme="minorEastAsia" w:cstheme="minorEastAsia"/>
          <w:color w:val="auto"/>
          <w:spacing w:val="-2"/>
          <w:szCs w:val="21"/>
          <w:highlight w:val="none"/>
          <w:u w:val="single"/>
        </w:rPr>
        <w:t>月</w:t>
      </w:r>
      <w:r>
        <w:rPr>
          <w:rFonts w:hint="eastAsia" w:asciiTheme="minorEastAsia" w:hAnsiTheme="minorEastAsia" w:eastAsiaTheme="minorEastAsia" w:cstheme="minorEastAsia"/>
          <w:color w:val="auto"/>
          <w:spacing w:val="-2"/>
          <w:szCs w:val="21"/>
          <w:highlight w:val="none"/>
          <w:u w:val="single"/>
          <w:lang w:val="en-US" w:eastAsia="zh-CN"/>
        </w:rPr>
        <w:t>26</w:t>
      </w:r>
      <w:r>
        <w:rPr>
          <w:rFonts w:hint="eastAsia" w:asciiTheme="minorEastAsia" w:hAnsiTheme="minorEastAsia" w:eastAsiaTheme="minorEastAsia" w:cstheme="minorEastAsia"/>
          <w:color w:val="auto"/>
          <w:spacing w:val="-2"/>
          <w:szCs w:val="21"/>
          <w:highlight w:val="none"/>
          <w:u w:val="single"/>
        </w:rPr>
        <w:t>日</w:t>
      </w:r>
      <w:r>
        <w:rPr>
          <w:rFonts w:hint="eastAsia" w:asciiTheme="minorEastAsia" w:hAnsiTheme="minorEastAsia" w:eastAsiaTheme="minorEastAsia" w:cstheme="minorEastAsia"/>
          <w:bCs/>
          <w:color w:val="auto"/>
          <w:spacing w:val="-2"/>
          <w:szCs w:val="21"/>
          <w:highlight w:val="none"/>
          <w:u w:val="single"/>
          <w:lang w:val="en-US" w:eastAsia="zh-CN"/>
        </w:rPr>
        <w:t>9</w:t>
      </w:r>
      <w:r>
        <w:rPr>
          <w:rFonts w:hint="eastAsia" w:asciiTheme="minorEastAsia" w:hAnsiTheme="minorEastAsia" w:eastAsiaTheme="minorEastAsia" w:cstheme="minorEastAsia"/>
          <w:bCs/>
          <w:color w:val="auto"/>
          <w:spacing w:val="-2"/>
          <w:szCs w:val="21"/>
          <w:highlight w:val="none"/>
          <w:u w:val="single"/>
        </w:rPr>
        <w:t>时</w:t>
      </w:r>
      <w:r>
        <w:rPr>
          <w:rFonts w:hint="eastAsia" w:asciiTheme="minorEastAsia" w:hAnsiTheme="minorEastAsia" w:eastAsiaTheme="minorEastAsia" w:cstheme="minorEastAsia"/>
          <w:bCs/>
          <w:color w:val="auto"/>
          <w:spacing w:val="-2"/>
          <w:szCs w:val="21"/>
          <w:highlight w:val="none"/>
          <w:u w:val="single"/>
          <w:lang w:val="en-US" w:eastAsia="zh-CN"/>
        </w:rPr>
        <w:t>0</w:t>
      </w:r>
      <w:r>
        <w:rPr>
          <w:rFonts w:hint="eastAsia" w:asciiTheme="minorEastAsia" w:hAnsiTheme="minorEastAsia" w:eastAsiaTheme="minorEastAsia" w:cstheme="minorEastAsia"/>
          <w:bCs/>
          <w:color w:val="auto"/>
          <w:spacing w:val="-2"/>
          <w:szCs w:val="21"/>
          <w:highlight w:val="none"/>
          <w:u w:val="single"/>
        </w:rPr>
        <w:t>0分</w:t>
      </w:r>
      <w:r>
        <w:rPr>
          <w:rFonts w:hint="eastAsia" w:asciiTheme="minorEastAsia" w:hAnsiTheme="minorEastAsia" w:eastAsiaTheme="minorEastAsia" w:cstheme="minorEastAsia"/>
          <w:bCs/>
          <w:color w:val="auto"/>
          <w:spacing w:val="-2"/>
          <w:szCs w:val="21"/>
          <w:highlight w:val="none"/>
        </w:rPr>
        <w:t>（北京时间）前提交响应文件</w:t>
      </w:r>
      <w:r>
        <w:rPr>
          <w:rFonts w:hint="eastAsia" w:asciiTheme="minorEastAsia" w:hAnsiTheme="minorEastAsia" w:eastAsiaTheme="minorEastAsia" w:cstheme="minorEastAsia"/>
          <w:color w:val="auto"/>
          <w:szCs w:val="21"/>
          <w:highlight w:val="none"/>
        </w:rPr>
        <w:t>。</w:t>
      </w:r>
    </w:p>
    <w:p w14:paraId="1D2597AF">
      <w:pPr>
        <w:pStyle w:val="3"/>
        <w:shd w:val="clear" w:color="auto" w:fill="auto"/>
        <w:spacing w:before="0" w:after="0" w:line="360" w:lineRule="auto"/>
        <w:ind w:firstLine="482" w:firstLineChars="200"/>
        <w:rPr>
          <w:rFonts w:hint="eastAsia" w:asciiTheme="minorEastAsia" w:hAnsiTheme="minorEastAsia" w:eastAsiaTheme="minorEastAsia" w:cstheme="minorEastAsia"/>
          <w:bCs w:val="0"/>
          <w:color w:val="auto"/>
          <w:sz w:val="24"/>
          <w:szCs w:val="24"/>
          <w:highlight w:val="none"/>
        </w:rPr>
      </w:pPr>
      <w:bookmarkStart w:id="3" w:name="_Toc5131"/>
      <w:bookmarkStart w:id="4" w:name="_Toc3183"/>
      <w:bookmarkStart w:id="5" w:name="_Toc73549979"/>
      <w:bookmarkStart w:id="6" w:name="_Toc26980"/>
      <w:bookmarkStart w:id="7" w:name="_Toc18017"/>
      <w:bookmarkStart w:id="8" w:name="_Toc859"/>
      <w:bookmarkStart w:id="9" w:name="_Toc28359089"/>
      <w:bookmarkStart w:id="10" w:name="_Toc8615"/>
      <w:bookmarkStart w:id="11" w:name="_Toc28359012"/>
      <w:bookmarkStart w:id="12" w:name="_Toc44229878"/>
      <w:bookmarkStart w:id="13" w:name="_Toc35393798"/>
      <w:bookmarkStart w:id="14" w:name="_Toc35393629"/>
      <w:r>
        <w:rPr>
          <w:rFonts w:hint="eastAsia" w:asciiTheme="minorEastAsia" w:hAnsiTheme="minorEastAsia" w:eastAsiaTheme="minorEastAsia" w:cstheme="minorEastAsia"/>
          <w:bCs w:val="0"/>
          <w:color w:val="auto"/>
          <w:sz w:val="24"/>
          <w:szCs w:val="24"/>
          <w:highlight w:val="none"/>
        </w:rPr>
        <w:t>一、项目基本情况</w:t>
      </w:r>
      <w:bookmarkEnd w:id="3"/>
      <w:bookmarkEnd w:id="4"/>
      <w:bookmarkEnd w:id="5"/>
      <w:bookmarkEnd w:id="6"/>
      <w:bookmarkEnd w:id="7"/>
      <w:bookmarkEnd w:id="8"/>
      <w:bookmarkEnd w:id="9"/>
      <w:bookmarkEnd w:id="10"/>
      <w:bookmarkEnd w:id="11"/>
      <w:bookmarkEnd w:id="12"/>
      <w:bookmarkEnd w:id="13"/>
      <w:bookmarkEnd w:id="14"/>
    </w:p>
    <w:p w14:paraId="6D12AE8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项目编号：</w:t>
      </w:r>
      <w:r>
        <w:rPr>
          <w:rFonts w:hint="eastAsia" w:asciiTheme="minorEastAsia" w:hAnsiTheme="minorEastAsia" w:eastAsiaTheme="minorEastAsia" w:cstheme="minorEastAsia"/>
          <w:color w:val="auto"/>
          <w:szCs w:val="21"/>
          <w:highlight w:val="none"/>
          <w:lang w:eastAsia="zh-CN"/>
        </w:rPr>
        <w:t>GXZC2026-J2-001931-JGJD</w:t>
      </w:r>
      <w:r>
        <w:rPr>
          <w:rFonts w:hint="eastAsia" w:asciiTheme="minorEastAsia" w:hAnsiTheme="minorEastAsia" w:eastAsiaTheme="minorEastAsia" w:cstheme="minorEastAsia"/>
          <w:color w:val="auto"/>
          <w:szCs w:val="21"/>
          <w:highlight w:val="none"/>
          <w:lang w:val="en-US" w:eastAsia="zh-CN"/>
        </w:rPr>
        <w:t xml:space="preserve"> </w:t>
      </w:r>
    </w:p>
    <w:p w14:paraId="5A8AE09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u w:val="single"/>
          <w:lang w:eastAsia="zh-CN"/>
        </w:rPr>
      </w:pPr>
      <w:r>
        <w:rPr>
          <w:rFonts w:hint="eastAsia" w:asciiTheme="minorEastAsia" w:hAnsiTheme="minorEastAsia" w:eastAsiaTheme="minorEastAsia" w:cstheme="minorEastAsia"/>
          <w:color w:val="auto"/>
          <w:szCs w:val="21"/>
          <w:highlight w:val="none"/>
        </w:rPr>
        <w:t>项目名称：</w:t>
      </w:r>
      <w:r>
        <w:rPr>
          <w:rFonts w:hint="eastAsia" w:asciiTheme="minorEastAsia" w:hAnsiTheme="minorEastAsia" w:eastAsiaTheme="minorEastAsia" w:cstheme="minorEastAsia"/>
          <w:color w:val="auto"/>
          <w:szCs w:val="21"/>
          <w:highlight w:val="none"/>
          <w:lang w:eastAsia="zh-CN"/>
        </w:rPr>
        <w:t>广西壮族自治区人民医院视光中心楼负一、一层高压氧科氧舱设备更新土建设计工程</w:t>
      </w:r>
    </w:p>
    <w:p w14:paraId="2B1312F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采购方式：</w:t>
      </w:r>
      <w:r>
        <w:rPr>
          <w:rFonts w:hint="eastAsia" w:asciiTheme="minorEastAsia" w:hAnsiTheme="minorEastAsia" w:eastAsiaTheme="minorEastAsia" w:cstheme="minorEastAsia"/>
          <w:color w:val="auto"/>
          <w:szCs w:val="21"/>
          <w:highlight w:val="none"/>
          <w:lang w:eastAsia="zh-CN"/>
        </w:rPr>
        <w:t>竞争性谈判</w:t>
      </w:r>
    </w:p>
    <w:p w14:paraId="5BFFDD5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预算金额（人民币）：</w:t>
      </w:r>
      <w:r>
        <w:rPr>
          <w:rFonts w:hint="eastAsia" w:asciiTheme="minorEastAsia" w:hAnsiTheme="minorEastAsia" w:eastAsiaTheme="minorEastAsia" w:cstheme="minorEastAsia"/>
          <w:color w:val="auto"/>
          <w:szCs w:val="21"/>
          <w:highlight w:val="none"/>
          <w:lang w:val="en-US" w:eastAsia="zh-CN"/>
        </w:rPr>
        <w:t>1434049.13元</w:t>
      </w:r>
    </w:p>
    <w:p w14:paraId="50D0B79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最高限价（人民币）：1434049.13</w:t>
      </w:r>
      <w:r>
        <w:rPr>
          <w:rFonts w:hint="eastAsia" w:asciiTheme="minorEastAsia" w:hAnsiTheme="minorEastAsia" w:eastAsiaTheme="minorEastAsia" w:cstheme="minorEastAsia"/>
          <w:i w:val="0"/>
          <w:caps w:val="0"/>
          <w:color w:val="auto"/>
          <w:spacing w:val="0"/>
          <w:sz w:val="21"/>
          <w:szCs w:val="21"/>
          <w:highlight w:val="none"/>
          <w:shd w:val="clear" w:color="auto" w:fill="FFFFFF"/>
          <w:lang w:eastAsia="zh-CN"/>
        </w:rPr>
        <w:t>元</w:t>
      </w:r>
    </w:p>
    <w:p w14:paraId="2F6D364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 xml:space="preserve">采购需求： </w:t>
      </w:r>
      <w:r>
        <w:rPr>
          <w:rFonts w:hint="eastAsia" w:asciiTheme="minorEastAsia" w:hAnsiTheme="minorEastAsia" w:eastAsiaTheme="minorEastAsia" w:cstheme="minorEastAsia"/>
          <w:color w:val="auto"/>
          <w:szCs w:val="21"/>
          <w:highlight w:val="none"/>
          <w:lang w:eastAsia="zh-CN"/>
        </w:rPr>
        <w:t>广西壮族自治区人民医院视光中心楼负一、一层高压氧科氧舱设备更新土建设计工程</w:t>
      </w:r>
      <w:r>
        <w:rPr>
          <w:rFonts w:hint="eastAsia" w:asciiTheme="minorEastAsia" w:hAnsiTheme="minorEastAsia" w:eastAsiaTheme="minorEastAsia" w:cstheme="minorEastAsia"/>
          <w:color w:val="auto"/>
          <w:szCs w:val="21"/>
          <w:highlight w:val="none"/>
        </w:rPr>
        <w:t>1项，具体内容详见工程量清单及图纸</w:t>
      </w:r>
      <w:r>
        <w:rPr>
          <w:rFonts w:hint="eastAsia" w:asciiTheme="minorEastAsia" w:hAnsiTheme="minorEastAsia" w:eastAsiaTheme="minorEastAsia" w:cstheme="minorEastAsia"/>
          <w:color w:val="auto"/>
          <w:szCs w:val="21"/>
          <w:highlight w:val="none"/>
          <w:lang w:eastAsia="zh-CN"/>
        </w:rPr>
        <w:t>。</w:t>
      </w:r>
    </w:p>
    <w:p w14:paraId="1678FCE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bookmarkStart w:id="15" w:name="_Toc3767"/>
      <w:bookmarkStart w:id="16" w:name="_Toc28359090"/>
      <w:bookmarkStart w:id="17" w:name="_Toc35393799"/>
      <w:bookmarkStart w:id="18" w:name="_Toc35393630"/>
      <w:bookmarkStart w:id="19" w:name="_Toc25858"/>
      <w:bookmarkStart w:id="20" w:name="_Toc3584"/>
      <w:bookmarkStart w:id="21" w:name="_Toc5041"/>
      <w:bookmarkStart w:id="22" w:name="_Toc44229879"/>
      <w:bookmarkStart w:id="23" w:name="_Toc15668"/>
      <w:bookmarkStart w:id="24" w:name="_Toc26728"/>
      <w:bookmarkStart w:id="25" w:name="_Toc73549980"/>
      <w:bookmarkStart w:id="26" w:name="_Toc28359013"/>
      <w:r>
        <w:rPr>
          <w:rFonts w:hint="eastAsia" w:asciiTheme="minorEastAsia" w:hAnsiTheme="minorEastAsia" w:eastAsiaTheme="minorEastAsia" w:cstheme="minorEastAsia"/>
          <w:color w:val="auto"/>
          <w:szCs w:val="21"/>
          <w:highlight w:val="none"/>
        </w:rPr>
        <w:t>工期：1</w:t>
      </w:r>
      <w:r>
        <w:rPr>
          <w:rFonts w:hint="eastAsia" w:asciiTheme="minorEastAsia" w:hAnsiTheme="minorEastAsia" w:eastAsiaTheme="minorEastAsia" w:cstheme="minorEastAsia"/>
          <w:color w:val="auto"/>
          <w:szCs w:val="21"/>
          <w:highlight w:val="none"/>
          <w:lang w:val="en-US" w:eastAsia="zh-CN"/>
        </w:rPr>
        <w:t>20</w:t>
      </w:r>
      <w:r>
        <w:rPr>
          <w:rFonts w:hint="eastAsia" w:ascii="宋体" w:hAnsi="宋体" w:eastAsia="宋体" w:cs="宋体"/>
          <w:color w:val="auto"/>
          <w:szCs w:val="21"/>
          <w:highlight w:val="none"/>
          <w:lang w:val="en-US" w:eastAsia="zh-CN"/>
        </w:rPr>
        <w:t>个</w:t>
      </w:r>
      <w:r>
        <w:rPr>
          <w:rFonts w:hint="eastAsia" w:asciiTheme="minorEastAsia" w:hAnsiTheme="minorEastAsia" w:eastAsiaTheme="minorEastAsia" w:cstheme="minorEastAsia"/>
          <w:color w:val="auto"/>
          <w:szCs w:val="21"/>
          <w:highlight w:val="none"/>
        </w:rPr>
        <w:t>日历天。</w:t>
      </w:r>
    </w:p>
    <w:p w14:paraId="12670A24">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质量要求：符合国家现行的工程建设标准、技术规范及强制性标准条文、以及施工图纸载明的其他有关规范标准。</w:t>
      </w:r>
    </w:p>
    <w:p w14:paraId="63BE54DD">
      <w:pPr>
        <w:shd w:val="clear" w:color="auto" w:fill="auto"/>
        <w:spacing w:line="360" w:lineRule="auto"/>
        <w:ind w:firstLine="420" w:firstLineChars="200"/>
        <w:rPr>
          <w:b/>
          <w:bCs/>
          <w:spacing w:val="8"/>
          <w:sz w:val="20"/>
          <w:szCs w:val="20"/>
          <w:highlight w:val="none"/>
        </w:rPr>
      </w:pPr>
      <w:r>
        <w:rPr>
          <w:rFonts w:hint="eastAsia" w:asciiTheme="minorEastAsia" w:hAnsiTheme="minorEastAsia" w:eastAsiaTheme="minorEastAsia" w:cstheme="minorEastAsia"/>
          <w:b w:val="0"/>
          <w:bCs w:val="0"/>
          <w:color w:val="auto"/>
          <w:szCs w:val="21"/>
          <w:highlight w:val="none"/>
        </w:rPr>
        <w:t>本项目</w:t>
      </w:r>
      <w:r>
        <w:rPr>
          <w:rFonts w:hint="eastAsia" w:asciiTheme="minorEastAsia" w:hAnsiTheme="minorEastAsia" w:eastAsiaTheme="minorEastAsia" w:cstheme="minorEastAsia"/>
          <w:b/>
          <w:bCs/>
          <w:color w:val="auto"/>
          <w:szCs w:val="21"/>
          <w:highlight w:val="none"/>
          <w:u w:val="single"/>
        </w:rPr>
        <w:t>不接受</w:t>
      </w:r>
      <w:r>
        <w:rPr>
          <w:rFonts w:hint="eastAsia" w:asciiTheme="minorEastAsia" w:hAnsiTheme="minorEastAsia" w:eastAsiaTheme="minorEastAsia" w:cstheme="minorEastAsia"/>
          <w:b w:val="0"/>
          <w:bCs w:val="0"/>
          <w:color w:val="auto"/>
          <w:szCs w:val="21"/>
          <w:highlight w:val="none"/>
        </w:rPr>
        <w:t>联合体</w:t>
      </w:r>
      <w:r>
        <w:rPr>
          <w:rFonts w:hint="eastAsia" w:asciiTheme="minorEastAsia" w:hAnsiTheme="minorEastAsia" w:eastAsiaTheme="minorEastAsia" w:cstheme="minorEastAsia"/>
          <w:b w:val="0"/>
          <w:bCs w:val="0"/>
          <w:color w:val="auto"/>
          <w:szCs w:val="21"/>
          <w:highlight w:val="none"/>
          <w:lang w:eastAsia="zh-CN"/>
        </w:rPr>
        <w:t>竞</w:t>
      </w:r>
      <w:r>
        <w:rPr>
          <w:rFonts w:hint="eastAsia" w:asciiTheme="minorEastAsia" w:hAnsiTheme="minorEastAsia" w:eastAsiaTheme="minorEastAsia" w:cstheme="minorEastAsia"/>
          <w:b w:val="0"/>
          <w:bCs w:val="0"/>
          <w:color w:val="auto"/>
          <w:szCs w:val="21"/>
          <w:highlight w:val="none"/>
        </w:rPr>
        <w:t>标。</w:t>
      </w:r>
    </w:p>
    <w:p w14:paraId="5138834E">
      <w:pPr>
        <w:pStyle w:val="3"/>
        <w:shd w:val="clear" w:color="auto" w:fill="auto"/>
        <w:spacing w:before="0" w:after="0" w:line="360" w:lineRule="auto"/>
        <w:ind w:firstLine="482" w:firstLineChars="200"/>
        <w:rPr>
          <w:rFonts w:hint="eastAsia" w:asciiTheme="minorEastAsia" w:hAnsiTheme="minorEastAsia" w:eastAsiaTheme="minorEastAsia" w:cstheme="minorEastAsia"/>
          <w:bCs w:val="0"/>
          <w:color w:val="auto"/>
          <w:sz w:val="24"/>
          <w:szCs w:val="24"/>
          <w:highlight w:val="none"/>
        </w:rPr>
      </w:pPr>
      <w:r>
        <w:rPr>
          <w:rFonts w:hint="eastAsia" w:asciiTheme="minorEastAsia" w:hAnsiTheme="minorEastAsia" w:eastAsiaTheme="minorEastAsia" w:cstheme="minorEastAsia"/>
          <w:bCs w:val="0"/>
          <w:color w:val="auto"/>
          <w:sz w:val="24"/>
          <w:szCs w:val="24"/>
          <w:highlight w:val="none"/>
        </w:rPr>
        <w:t>二、申请人的资格要求：</w:t>
      </w:r>
      <w:bookmarkEnd w:id="15"/>
      <w:bookmarkEnd w:id="16"/>
      <w:bookmarkEnd w:id="17"/>
      <w:bookmarkEnd w:id="18"/>
      <w:bookmarkEnd w:id="19"/>
      <w:bookmarkEnd w:id="20"/>
      <w:bookmarkEnd w:id="21"/>
      <w:bookmarkEnd w:id="22"/>
      <w:bookmarkEnd w:id="23"/>
      <w:bookmarkEnd w:id="24"/>
      <w:bookmarkEnd w:id="25"/>
      <w:bookmarkEnd w:id="26"/>
    </w:p>
    <w:p w14:paraId="1B56407A">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bookmarkStart w:id="27" w:name="_Toc44229880"/>
      <w:bookmarkStart w:id="28" w:name="_Toc28359091"/>
      <w:bookmarkStart w:id="29" w:name="_Toc35393800"/>
      <w:bookmarkStart w:id="30" w:name="_Toc35393631"/>
      <w:bookmarkStart w:id="31" w:name="_Toc28359014"/>
      <w:r>
        <w:rPr>
          <w:rFonts w:hint="eastAsia" w:asciiTheme="minorEastAsia" w:hAnsiTheme="minorEastAsia" w:eastAsiaTheme="minorEastAsia" w:cstheme="minorEastAsia"/>
          <w:color w:val="auto"/>
          <w:szCs w:val="21"/>
          <w:highlight w:val="none"/>
        </w:rPr>
        <w:t>1.满足《中华人民共和国政府采购法》第二十二条规定；</w:t>
      </w:r>
    </w:p>
    <w:p w14:paraId="3F842BD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2.落实政府采购政策需满足的资格要求：专门面向</w:t>
      </w:r>
      <w:r>
        <w:rPr>
          <w:rFonts w:hint="eastAsia" w:asciiTheme="minorEastAsia" w:hAnsiTheme="minorEastAsia" w:eastAsiaTheme="minorEastAsia" w:cstheme="minorEastAsia"/>
          <w:color w:val="auto"/>
          <w:szCs w:val="21"/>
          <w:highlight w:val="none"/>
          <w:lang w:val="en-US" w:eastAsia="zh-CN"/>
        </w:rPr>
        <w:t>中小企业</w:t>
      </w:r>
      <w:r>
        <w:rPr>
          <w:rFonts w:hint="eastAsia" w:asciiTheme="minorEastAsia" w:hAnsiTheme="minorEastAsia" w:eastAsiaTheme="minorEastAsia" w:cstheme="minorEastAsia"/>
          <w:color w:val="auto"/>
          <w:szCs w:val="21"/>
          <w:highlight w:val="none"/>
        </w:rPr>
        <w:t>采购的项目</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供应商应为中型或小型或微型企业或监狱企业或残疾人福利性单位</w:t>
      </w:r>
      <w:r>
        <w:rPr>
          <w:rFonts w:hint="eastAsia" w:asciiTheme="minorEastAsia" w:hAnsiTheme="minorEastAsia" w:eastAsiaTheme="minorEastAsia" w:cstheme="minorEastAsia"/>
          <w:color w:val="auto"/>
          <w:szCs w:val="21"/>
          <w:highlight w:val="none"/>
          <w:lang w:eastAsia="zh-CN"/>
        </w:rPr>
        <w:t>）。</w:t>
      </w:r>
    </w:p>
    <w:p w14:paraId="7CDE3A3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3.本项目的特定资格要求：</w:t>
      </w:r>
    </w:p>
    <w:p w14:paraId="36146289">
      <w:pPr>
        <w:shd w:val="clear" w:color="auto" w:fill="auto"/>
        <w:spacing w:line="360" w:lineRule="auto"/>
        <w:ind w:firstLine="420" w:firstLineChars="200"/>
        <w:rPr>
          <w:rFonts w:hint="eastAsia"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（1）供应商应具备建筑工程施工总承包</w:t>
      </w:r>
      <w:r>
        <w:rPr>
          <w:rFonts w:hint="eastAsia" w:asciiTheme="minorEastAsia" w:hAnsiTheme="minorEastAsia" w:eastAsiaTheme="minorEastAsia" w:cstheme="minorEastAsia"/>
          <w:bCs/>
          <w:color w:val="auto"/>
          <w:kern w:val="0"/>
          <w:szCs w:val="21"/>
          <w:highlight w:val="none"/>
          <w:lang w:eastAsia="zh-CN"/>
        </w:rPr>
        <w:t>三</w:t>
      </w:r>
      <w:r>
        <w:rPr>
          <w:rFonts w:hint="eastAsia" w:asciiTheme="minorEastAsia" w:hAnsiTheme="minorEastAsia" w:eastAsiaTheme="minorEastAsia" w:cstheme="minorEastAsia"/>
          <w:bCs/>
          <w:color w:val="auto"/>
          <w:kern w:val="0"/>
          <w:szCs w:val="21"/>
          <w:highlight w:val="none"/>
        </w:rPr>
        <w:t>级及以上资质，并在人员、设备、资金等方面具备相应的施工能力</w:t>
      </w:r>
    </w:p>
    <w:p w14:paraId="62884733">
      <w:pPr>
        <w:shd w:val="clear" w:color="auto" w:fill="auto"/>
        <w:spacing w:line="360" w:lineRule="auto"/>
        <w:ind w:firstLine="420" w:firstLineChars="200"/>
        <w:rPr>
          <w:rFonts w:hint="eastAsia"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lang w:eastAsia="zh-CN"/>
        </w:rPr>
        <w:t>（</w:t>
      </w:r>
      <w:r>
        <w:rPr>
          <w:rFonts w:hint="eastAsia" w:asciiTheme="minorEastAsia" w:hAnsiTheme="minorEastAsia" w:eastAsiaTheme="minorEastAsia" w:cstheme="minorEastAsia"/>
          <w:bCs/>
          <w:color w:val="auto"/>
          <w:kern w:val="0"/>
          <w:szCs w:val="21"/>
          <w:highlight w:val="none"/>
          <w:lang w:val="en-US" w:eastAsia="zh-CN"/>
        </w:rPr>
        <w:t>2</w:t>
      </w:r>
      <w:r>
        <w:rPr>
          <w:rFonts w:hint="eastAsia" w:asciiTheme="minorEastAsia" w:hAnsiTheme="minorEastAsia" w:eastAsiaTheme="minorEastAsia" w:cstheme="minorEastAsia"/>
          <w:bCs/>
          <w:color w:val="auto"/>
          <w:kern w:val="0"/>
          <w:szCs w:val="21"/>
          <w:highlight w:val="none"/>
          <w:lang w:eastAsia="zh-CN"/>
        </w:rPr>
        <w:t>）</w:t>
      </w:r>
      <w:r>
        <w:rPr>
          <w:rFonts w:hint="eastAsia" w:asciiTheme="minorEastAsia" w:hAnsiTheme="minorEastAsia" w:eastAsiaTheme="minorEastAsia" w:cstheme="minorEastAsia"/>
          <w:bCs/>
          <w:color w:val="auto"/>
          <w:kern w:val="0"/>
          <w:szCs w:val="21"/>
          <w:highlight w:val="none"/>
        </w:rPr>
        <w:t>拟投入本项目的项目经理为施工企业注册人员且具备建筑工程专业贰级及以上注册建造师资格，具备有效的安全生产考核合格证书（B 类）。</w:t>
      </w:r>
    </w:p>
    <w:p w14:paraId="7C22033F">
      <w:pPr>
        <w:shd w:val="clear" w:color="auto" w:fill="auto"/>
        <w:spacing w:line="360" w:lineRule="auto"/>
        <w:ind w:firstLine="420" w:firstLineChars="200"/>
        <w:rPr>
          <w:rFonts w:hint="eastAsia"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w:t>
      </w:r>
      <w:r>
        <w:rPr>
          <w:rFonts w:hint="eastAsia" w:asciiTheme="minorEastAsia" w:hAnsiTheme="minorEastAsia" w:eastAsiaTheme="minorEastAsia" w:cstheme="minorEastAsia"/>
          <w:bCs/>
          <w:color w:val="auto"/>
          <w:kern w:val="0"/>
          <w:szCs w:val="21"/>
          <w:highlight w:val="none"/>
          <w:lang w:val="en-US" w:eastAsia="zh-CN"/>
        </w:rPr>
        <w:t>3</w:t>
      </w:r>
      <w:r>
        <w:rPr>
          <w:rFonts w:hint="eastAsia" w:asciiTheme="minorEastAsia" w:hAnsiTheme="minorEastAsia" w:eastAsiaTheme="minorEastAsia" w:cstheme="minorEastAsia"/>
          <w:bCs/>
          <w:color w:val="auto"/>
          <w:kern w:val="0"/>
          <w:szCs w:val="21"/>
          <w:highlight w:val="none"/>
        </w:rPr>
        <w:t>）</w:t>
      </w:r>
      <w:r>
        <w:rPr>
          <w:rFonts w:hint="eastAsia" w:asciiTheme="minorEastAsia" w:hAnsiTheme="minorEastAsia" w:eastAsiaTheme="minorEastAsia" w:cstheme="minorEastAsia"/>
          <w:bCs/>
          <w:color w:val="auto"/>
          <w:kern w:val="0"/>
          <w:szCs w:val="21"/>
          <w:highlight w:val="none"/>
          <w:lang w:eastAsia="zh-CN"/>
        </w:rPr>
        <w:t>竞</w:t>
      </w:r>
      <w:r>
        <w:rPr>
          <w:rFonts w:hint="eastAsia" w:asciiTheme="minorEastAsia" w:hAnsiTheme="minorEastAsia" w:eastAsiaTheme="minorEastAsia" w:cstheme="minorEastAsia"/>
          <w:bCs/>
          <w:color w:val="auto"/>
          <w:kern w:val="0"/>
          <w:szCs w:val="21"/>
          <w:highlight w:val="none"/>
        </w:rPr>
        <w:t>标人拟派专职安全员要求：专职安全员须具备有效的安全生产考核合格证书（C 类），人数符合住房和城乡建设部《建筑施工企业、工程项目安全生产管理机构设置及安全生产管理人员配备办法》（建质规〔2025〕3号）的规定不少于 1 人。</w:t>
      </w:r>
    </w:p>
    <w:p w14:paraId="068608FC">
      <w:pPr>
        <w:pStyle w:val="3"/>
        <w:shd w:val="clear" w:color="auto" w:fill="auto"/>
        <w:spacing w:before="0" w:after="0" w:line="360" w:lineRule="auto"/>
        <w:ind w:firstLine="482" w:firstLineChars="200"/>
        <w:rPr>
          <w:rFonts w:hint="eastAsia" w:asciiTheme="minorEastAsia" w:hAnsiTheme="minorEastAsia" w:eastAsiaTheme="minorEastAsia" w:cstheme="minorEastAsia"/>
          <w:bCs w:val="0"/>
          <w:color w:val="auto"/>
          <w:sz w:val="24"/>
          <w:szCs w:val="24"/>
          <w:highlight w:val="none"/>
        </w:rPr>
      </w:pPr>
      <w:bookmarkStart w:id="32" w:name="_Toc26584"/>
      <w:bookmarkStart w:id="33" w:name="_Toc15653"/>
      <w:bookmarkStart w:id="34" w:name="_Toc26984"/>
      <w:bookmarkStart w:id="35" w:name="_Toc31151"/>
      <w:bookmarkStart w:id="36" w:name="_Toc73549981"/>
      <w:bookmarkStart w:id="37" w:name="_Toc10969"/>
      <w:bookmarkStart w:id="38" w:name="_Toc17229"/>
      <w:r>
        <w:rPr>
          <w:rFonts w:hint="eastAsia" w:asciiTheme="minorEastAsia" w:hAnsiTheme="minorEastAsia" w:eastAsiaTheme="minorEastAsia" w:cstheme="minorEastAsia"/>
          <w:bCs w:val="0"/>
          <w:color w:val="auto"/>
          <w:sz w:val="24"/>
          <w:szCs w:val="24"/>
          <w:highlight w:val="none"/>
        </w:rPr>
        <w:t>三、获取采购文件</w:t>
      </w:r>
      <w:bookmarkEnd w:id="27"/>
      <w:bookmarkEnd w:id="28"/>
      <w:bookmarkEnd w:id="29"/>
      <w:bookmarkEnd w:id="30"/>
      <w:bookmarkEnd w:id="31"/>
      <w:bookmarkEnd w:id="32"/>
      <w:bookmarkEnd w:id="33"/>
      <w:bookmarkEnd w:id="34"/>
      <w:bookmarkEnd w:id="35"/>
      <w:bookmarkEnd w:id="36"/>
      <w:bookmarkEnd w:id="37"/>
      <w:bookmarkEnd w:id="38"/>
    </w:p>
    <w:p w14:paraId="64B92169">
      <w:pPr>
        <w:shd w:val="clear" w:color="auto" w:fill="auto"/>
        <w:spacing w:line="360" w:lineRule="auto"/>
        <w:ind w:firstLine="540"/>
        <w:rPr>
          <w:rFonts w:hint="eastAsia"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时间：202</w:t>
      </w:r>
      <w:r>
        <w:rPr>
          <w:rFonts w:hint="eastAsia" w:asciiTheme="minorEastAsia" w:hAnsiTheme="minorEastAsia" w:eastAsiaTheme="minorEastAsia" w:cstheme="minorEastAsia"/>
          <w:bCs/>
          <w:color w:val="auto"/>
          <w:kern w:val="0"/>
          <w:szCs w:val="21"/>
          <w:highlight w:val="none"/>
          <w:lang w:val="en-US" w:eastAsia="zh-CN"/>
        </w:rPr>
        <w:t>6</w:t>
      </w:r>
      <w:r>
        <w:rPr>
          <w:rFonts w:hint="eastAsia" w:asciiTheme="minorEastAsia" w:hAnsiTheme="minorEastAsia" w:eastAsiaTheme="minorEastAsia" w:cstheme="minorEastAsia"/>
          <w:bCs/>
          <w:color w:val="auto"/>
          <w:kern w:val="0"/>
          <w:szCs w:val="21"/>
          <w:highlight w:val="none"/>
        </w:rPr>
        <w:t>年</w:t>
      </w:r>
      <w:r>
        <w:rPr>
          <w:rFonts w:hint="eastAsia" w:asciiTheme="minorEastAsia" w:hAnsiTheme="minorEastAsia" w:eastAsiaTheme="minorEastAsia" w:cstheme="minorEastAsia"/>
          <w:bCs/>
          <w:color w:val="auto"/>
          <w:kern w:val="0"/>
          <w:szCs w:val="21"/>
          <w:highlight w:val="none"/>
          <w:lang w:val="en-US" w:eastAsia="zh-CN"/>
        </w:rPr>
        <w:t>6</w:t>
      </w:r>
      <w:r>
        <w:rPr>
          <w:rFonts w:hint="eastAsia" w:asciiTheme="minorEastAsia" w:hAnsiTheme="minorEastAsia" w:eastAsiaTheme="minorEastAsia" w:cstheme="minorEastAsia"/>
          <w:bCs/>
          <w:color w:val="auto"/>
          <w:kern w:val="0"/>
          <w:szCs w:val="21"/>
          <w:highlight w:val="none"/>
        </w:rPr>
        <w:t>月</w:t>
      </w:r>
      <w:r>
        <w:rPr>
          <w:rFonts w:hint="eastAsia" w:asciiTheme="minorEastAsia" w:hAnsiTheme="minorEastAsia" w:eastAsiaTheme="minorEastAsia" w:cstheme="minorEastAsia"/>
          <w:bCs/>
          <w:color w:val="auto"/>
          <w:kern w:val="0"/>
          <w:szCs w:val="21"/>
          <w:highlight w:val="none"/>
          <w:lang w:val="en-US" w:eastAsia="zh-CN"/>
        </w:rPr>
        <w:t>22</w:t>
      </w:r>
      <w:r>
        <w:rPr>
          <w:rFonts w:hint="eastAsia" w:asciiTheme="minorEastAsia" w:hAnsiTheme="minorEastAsia" w:eastAsiaTheme="minorEastAsia" w:cstheme="minorEastAsia"/>
          <w:bCs/>
          <w:color w:val="auto"/>
          <w:kern w:val="0"/>
          <w:szCs w:val="21"/>
          <w:highlight w:val="none"/>
        </w:rPr>
        <w:t>日至202</w:t>
      </w:r>
      <w:r>
        <w:rPr>
          <w:rFonts w:hint="eastAsia" w:asciiTheme="minorEastAsia" w:hAnsiTheme="minorEastAsia" w:eastAsiaTheme="minorEastAsia" w:cstheme="minorEastAsia"/>
          <w:bCs/>
          <w:color w:val="auto"/>
          <w:kern w:val="0"/>
          <w:szCs w:val="21"/>
          <w:highlight w:val="none"/>
          <w:lang w:val="en-US" w:eastAsia="zh-CN"/>
        </w:rPr>
        <w:t>6</w:t>
      </w:r>
      <w:r>
        <w:rPr>
          <w:rFonts w:hint="eastAsia" w:asciiTheme="minorEastAsia" w:hAnsiTheme="minorEastAsia" w:eastAsiaTheme="minorEastAsia" w:cstheme="minorEastAsia"/>
          <w:bCs/>
          <w:color w:val="auto"/>
          <w:kern w:val="0"/>
          <w:szCs w:val="21"/>
          <w:highlight w:val="none"/>
        </w:rPr>
        <w:t>年</w:t>
      </w:r>
      <w:r>
        <w:rPr>
          <w:rFonts w:hint="eastAsia" w:asciiTheme="minorEastAsia" w:hAnsiTheme="minorEastAsia" w:eastAsiaTheme="minorEastAsia" w:cstheme="minorEastAsia"/>
          <w:bCs/>
          <w:color w:val="auto"/>
          <w:kern w:val="0"/>
          <w:szCs w:val="21"/>
          <w:highlight w:val="none"/>
          <w:lang w:val="en-US" w:eastAsia="zh-CN"/>
        </w:rPr>
        <w:t>6</w:t>
      </w:r>
      <w:r>
        <w:rPr>
          <w:rFonts w:hint="eastAsia" w:asciiTheme="minorEastAsia" w:hAnsiTheme="minorEastAsia" w:eastAsiaTheme="minorEastAsia" w:cstheme="minorEastAsia"/>
          <w:bCs/>
          <w:color w:val="auto"/>
          <w:kern w:val="0"/>
          <w:szCs w:val="21"/>
          <w:highlight w:val="none"/>
        </w:rPr>
        <w:t>月</w:t>
      </w:r>
      <w:r>
        <w:rPr>
          <w:rFonts w:hint="eastAsia" w:asciiTheme="minorEastAsia" w:hAnsiTheme="minorEastAsia" w:eastAsiaTheme="minorEastAsia" w:cstheme="minorEastAsia"/>
          <w:bCs/>
          <w:color w:val="auto"/>
          <w:kern w:val="0"/>
          <w:szCs w:val="21"/>
          <w:highlight w:val="none"/>
          <w:lang w:val="en-US" w:eastAsia="zh-CN"/>
        </w:rPr>
        <w:t>25</w:t>
      </w:r>
      <w:r>
        <w:rPr>
          <w:rFonts w:hint="eastAsia" w:asciiTheme="minorEastAsia" w:hAnsiTheme="minorEastAsia" w:eastAsiaTheme="minorEastAsia" w:cstheme="minorEastAsia"/>
          <w:bCs/>
          <w:color w:val="auto"/>
          <w:kern w:val="0"/>
          <w:szCs w:val="21"/>
          <w:highlight w:val="none"/>
        </w:rPr>
        <w:t>日，每天上午08:</w:t>
      </w:r>
      <w:r>
        <w:rPr>
          <w:rFonts w:hint="eastAsia" w:asciiTheme="minorEastAsia" w:hAnsiTheme="minorEastAsia" w:eastAsiaTheme="minorEastAsia" w:cstheme="minorEastAsia"/>
          <w:bCs/>
          <w:color w:val="auto"/>
          <w:kern w:val="0"/>
          <w:szCs w:val="21"/>
          <w:highlight w:val="none"/>
          <w:lang w:val="en-US" w:eastAsia="zh-CN"/>
        </w:rPr>
        <w:t>3</w:t>
      </w:r>
      <w:r>
        <w:rPr>
          <w:rFonts w:hint="eastAsia" w:asciiTheme="minorEastAsia" w:hAnsiTheme="minorEastAsia" w:eastAsiaTheme="minorEastAsia" w:cstheme="minorEastAsia"/>
          <w:bCs/>
          <w:color w:val="auto"/>
          <w:kern w:val="0"/>
          <w:szCs w:val="21"/>
          <w:highlight w:val="none"/>
        </w:rPr>
        <w:t>0至1</w:t>
      </w:r>
      <w:r>
        <w:rPr>
          <w:rFonts w:hint="eastAsia" w:asciiTheme="minorEastAsia" w:hAnsiTheme="minorEastAsia" w:eastAsiaTheme="minorEastAsia" w:cstheme="minorEastAsia"/>
          <w:bCs/>
          <w:color w:val="auto"/>
          <w:kern w:val="0"/>
          <w:szCs w:val="21"/>
          <w:highlight w:val="none"/>
          <w:lang w:val="en-US" w:eastAsia="zh-CN"/>
        </w:rPr>
        <w:t>1</w:t>
      </w:r>
      <w:r>
        <w:rPr>
          <w:rFonts w:hint="eastAsia" w:asciiTheme="minorEastAsia" w:hAnsiTheme="minorEastAsia" w:eastAsiaTheme="minorEastAsia" w:cstheme="minorEastAsia"/>
          <w:bCs/>
          <w:color w:val="auto"/>
          <w:kern w:val="0"/>
          <w:szCs w:val="21"/>
          <w:highlight w:val="none"/>
        </w:rPr>
        <w:t>:</w:t>
      </w:r>
      <w:r>
        <w:rPr>
          <w:rFonts w:hint="eastAsia" w:asciiTheme="minorEastAsia" w:hAnsiTheme="minorEastAsia" w:eastAsiaTheme="minorEastAsia" w:cstheme="minorEastAsia"/>
          <w:bCs/>
          <w:color w:val="auto"/>
          <w:kern w:val="0"/>
          <w:szCs w:val="21"/>
          <w:highlight w:val="none"/>
          <w:lang w:val="en-US" w:eastAsia="zh-CN"/>
        </w:rPr>
        <w:t>59</w:t>
      </w:r>
      <w:r>
        <w:rPr>
          <w:rFonts w:hint="eastAsia" w:asciiTheme="minorEastAsia" w:hAnsiTheme="minorEastAsia" w:eastAsiaTheme="minorEastAsia" w:cstheme="minorEastAsia"/>
          <w:bCs/>
          <w:color w:val="auto"/>
          <w:kern w:val="0"/>
          <w:szCs w:val="21"/>
          <w:highlight w:val="none"/>
        </w:rPr>
        <w:t>，下午</w:t>
      </w:r>
      <w:r>
        <w:rPr>
          <w:rFonts w:hint="eastAsia" w:asciiTheme="minorEastAsia" w:hAnsiTheme="minorEastAsia" w:eastAsiaTheme="minorEastAsia" w:cstheme="minorEastAsia"/>
          <w:bCs/>
          <w:color w:val="auto"/>
          <w:kern w:val="0"/>
          <w:szCs w:val="21"/>
          <w:highlight w:val="none"/>
          <w:lang w:val="en-US" w:eastAsia="zh-CN"/>
        </w:rPr>
        <w:t>12</w:t>
      </w:r>
      <w:r>
        <w:rPr>
          <w:rFonts w:hint="eastAsia" w:asciiTheme="minorEastAsia" w:hAnsiTheme="minorEastAsia" w:eastAsiaTheme="minorEastAsia" w:cstheme="minorEastAsia"/>
          <w:bCs/>
          <w:color w:val="auto"/>
          <w:kern w:val="0"/>
          <w:szCs w:val="21"/>
          <w:highlight w:val="none"/>
        </w:rPr>
        <w:t>:00至</w:t>
      </w:r>
      <w:r>
        <w:rPr>
          <w:rFonts w:hint="eastAsia" w:asciiTheme="minorEastAsia" w:hAnsiTheme="minorEastAsia" w:eastAsiaTheme="minorEastAsia" w:cstheme="minorEastAsia"/>
          <w:bCs/>
          <w:color w:val="auto"/>
          <w:kern w:val="0"/>
          <w:szCs w:val="21"/>
          <w:highlight w:val="none"/>
          <w:lang w:val="en-US" w:eastAsia="zh-CN"/>
        </w:rPr>
        <w:t>23</w:t>
      </w:r>
      <w:r>
        <w:rPr>
          <w:rFonts w:hint="eastAsia" w:asciiTheme="minorEastAsia" w:hAnsiTheme="minorEastAsia" w:eastAsiaTheme="minorEastAsia" w:cstheme="minorEastAsia"/>
          <w:bCs/>
          <w:color w:val="auto"/>
          <w:kern w:val="0"/>
          <w:szCs w:val="21"/>
          <w:highlight w:val="none"/>
        </w:rPr>
        <w:t>:</w:t>
      </w:r>
      <w:r>
        <w:rPr>
          <w:rFonts w:hint="eastAsia" w:asciiTheme="minorEastAsia" w:hAnsiTheme="minorEastAsia" w:eastAsiaTheme="minorEastAsia" w:cstheme="minorEastAsia"/>
          <w:bCs/>
          <w:color w:val="auto"/>
          <w:kern w:val="0"/>
          <w:szCs w:val="21"/>
          <w:highlight w:val="none"/>
          <w:lang w:val="en-US" w:eastAsia="zh-CN"/>
        </w:rPr>
        <w:t>59</w:t>
      </w:r>
      <w:r>
        <w:rPr>
          <w:rFonts w:hint="eastAsia" w:asciiTheme="minorEastAsia" w:hAnsiTheme="minorEastAsia" w:eastAsiaTheme="minorEastAsia" w:cstheme="minorEastAsia"/>
          <w:bCs/>
          <w:color w:val="auto"/>
          <w:kern w:val="0"/>
          <w:szCs w:val="21"/>
          <w:highlight w:val="none"/>
        </w:rPr>
        <w:t>（北京时间，法定节假日除外）</w:t>
      </w:r>
    </w:p>
    <w:p w14:paraId="6533D7BB">
      <w:pPr>
        <w:spacing w:line="360" w:lineRule="auto"/>
        <w:ind w:firstLine="420" w:firstLineChars="200"/>
        <w:rPr>
          <w:rFonts w:hint="eastAsia"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color w:val="auto"/>
          <w:szCs w:val="21"/>
          <w:highlight w:val="none"/>
        </w:rPr>
        <w:t>地点（网址）：广西政府采购云平台（https：//www.gcy.zfcg.gxzf.gov.cn/）</w:t>
      </w:r>
    </w:p>
    <w:p w14:paraId="022CF166">
      <w:pPr>
        <w:shd w:val="clear" w:color="auto" w:fill="auto"/>
        <w:spacing w:line="360" w:lineRule="auto"/>
        <w:ind w:firstLine="540"/>
        <w:rPr>
          <w:rFonts w:hint="eastAsia"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方式：网上下载。本项目不提供纸质文件，潜在供应商可自行在广西政府采购云平台（https://www.gcy.zfcg.gxzf.gov.cn/）下载采购文件。电子响应文件制作需要基于广西政府采购云平台获取的采购文件编制。</w:t>
      </w:r>
    </w:p>
    <w:p w14:paraId="31D68C6B">
      <w:pPr>
        <w:shd w:val="clear" w:color="auto" w:fill="auto"/>
        <w:spacing w:line="360" w:lineRule="auto"/>
        <w:ind w:firstLine="420" w:firstLineChars="200"/>
        <w:rPr>
          <w:rFonts w:hint="eastAsia"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售价：0元。</w:t>
      </w:r>
    </w:p>
    <w:p w14:paraId="5353082B">
      <w:pPr>
        <w:pStyle w:val="3"/>
        <w:shd w:val="clear" w:color="auto" w:fill="auto"/>
        <w:spacing w:before="0" w:after="0" w:line="360" w:lineRule="auto"/>
        <w:ind w:firstLine="482" w:firstLineChars="200"/>
        <w:rPr>
          <w:rFonts w:hint="eastAsia" w:asciiTheme="minorEastAsia" w:hAnsiTheme="minorEastAsia" w:eastAsiaTheme="minorEastAsia" w:cstheme="minorEastAsia"/>
          <w:bCs w:val="0"/>
          <w:color w:val="auto"/>
          <w:sz w:val="24"/>
          <w:szCs w:val="24"/>
          <w:highlight w:val="none"/>
        </w:rPr>
      </w:pPr>
      <w:bookmarkStart w:id="39" w:name="_Toc28359092"/>
      <w:bookmarkStart w:id="40" w:name="_Toc35393632"/>
      <w:bookmarkStart w:id="41" w:name="_Toc28359015"/>
      <w:bookmarkStart w:id="42" w:name="_Toc13791"/>
      <w:bookmarkStart w:id="43" w:name="_Toc73549982"/>
      <w:bookmarkStart w:id="44" w:name="_Toc19120"/>
      <w:bookmarkStart w:id="45" w:name="_Toc32225"/>
      <w:bookmarkStart w:id="46" w:name="_Toc18406"/>
      <w:bookmarkStart w:id="47" w:name="_Toc35393801"/>
      <w:bookmarkStart w:id="48" w:name="_Toc44229881"/>
      <w:bookmarkStart w:id="49" w:name="_Toc24389"/>
      <w:bookmarkStart w:id="50" w:name="_Toc16477"/>
      <w:r>
        <w:rPr>
          <w:rFonts w:hint="eastAsia" w:asciiTheme="minorEastAsia" w:hAnsiTheme="minorEastAsia" w:eastAsiaTheme="minorEastAsia" w:cstheme="minorEastAsia"/>
          <w:bCs w:val="0"/>
          <w:color w:val="auto"/>
          <w:sz w:val="24"/>
          <w:szCs w:val="24"/>
          <w:highlight w:val="none"/>
        </w:rPr>
        <w:t>四、响应文件提交</w:t>
      </w:r>
      <w:bookmarkEnd w:id="39"/>
      <w:bookmarkEnd w:id="40"/>
      <w:bookmarkEnd w:id="41"/>
      <w:bookmarkEnd w:id="42"/>
      <w:bookmarkEnd w:id="43"/>
      <w:bookmarkEnd w:id="44"/>
      <w:bookmarkEnd w:id="45"/>
      <w:bookmarkEnd w:id="46"/>
      <w:bookmarkEnd w:id="47"/>
      <w:bookmarkEnd w:id="48"/>
      <w:bookmarkEnd w:id="49"/>
      <w:bookmarkEnd w:id="50"/>
    </w:p>
    <w:p w14:paraId="31F5E2E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截止时间：</w:t>
      </w:r>
      <w:r>
        <w:rPr>
          <w:rFonts w:hint="eastAsia" w:asciiTheme="minorEastAsia" w:hAnsiTheme="minorEastAsia" w:eastAsiaTheme="minorEastAsia" w:cstheme="minorEastAsia"/>
          <w:color w:val="auto"/>
          <w:spacing w:val="-2"/>
          <w:szCs w:val="21"/>
          <w:highlight w:val="none"/>
          <w:u w:val="single"/>
        </w:rPr>
        <w:t>202</w:t>
      </w:r>
      <w:r>
        <w:rPr>
          <w:rFonts w:hint="eastAsia" w:asciiTheme="minorEastAsia" w:hAnsiTheme="minorEastAsia" w:eastAsiaTheme="minorEastAsia" w:cstheme="minorEastAsia"/>
          <w:color w:val="auto"/>
          <w:spacing w:val="-2"/>
          <w:szCs w:val="21"/>
          <w:highlight w:val="none"/>
          <w:u w:val="single"/>
          <w:lang w:val="en-US" w:eastAsia="zh-CN"/>
        </w:rPr>
        <w:t>6</w:t>
      </w:r>
      <w:r>
        <w:rPr>
          <w:rFonts w:hint="eastAsia" w:asciiTheme="minorEastAsia" w:hAnsiTheme="minorEastAsia" w:eastAsiaTheme="minorEastAsia" w:cstheme="minorEastAsia"/>
          <w:color w:val="auto"/>
          <w:spacing w:val="-2"/>
          <w:szCs w:val="21"/>
          <w:highlight w:val="none"/>
          <w:u w:val="single"/>
        </w:rPr>
        <w:t>年</w:t>
      </w:r>
      <w:r>
        <w:rPr>
          <w:rFonts w:hint="eastAsia" w:asciiTheme="minorEastAsia" w:hAnsiTheme="minorEastAsia" w:eastAsiaTheme="minorEastAsia" w:cstheme="minorEastAsia"/>
          <w:color w:val="auto"/>
          <w:spacing w:val="-2"/>
          <w:szCs w:val="21"/>
          <w:highlight w:val="none"/>
          <w:u w:val="single"/>
          <w:lang w:val="en-US" w:eastAsia="zh-CN"/>
        </w:rPr>
        <w:t>6</w:t>
      </w:r>
      <w:r>
        <w:rPr>
          <w:rFonts w:hint="eastAsia" w:asciiTheme="minorEastAsia" w:hAnsiTheme="minorEastAsia" w:eastAsiaTheme="minorEastAsia" w:cstheme="minorEastAsia"/>
          <w:color w:val="auto"/>
          <w:spacing w:val="-2"/>
          <w:szCs w:val="21"/>
          <w:highlight w:val="none"/>
          <w:u w:val="single"/>
        </w:rPr>
        <w:t>月</w:t>
      </w:r>
      <w:r>
        <w:rPr>
          <w:rFonts w:hint="eastAsia" w:asciiTheme="minorEastAsia" w:hAnsiTheme="minorEastAsia" w:eastAsiaTheme="minorEastAsia" w:cstheme="minorEastAsia"/>
          <w:color w:val="auto"/>
          <w:spacing w:val="-2"/>
          <w:szCs w:val="21"/>
          <w:highlight w:val="none"/>
          <w:u w:val="single"/>
          <w:lang w:val="en-US" w:eastAsia="zh-CN"/>
        </w:rPr>
        <w:t>26</w:t>
      </w:r>
      <w:r>
        <w:rPr>
          <w:rFonts w:hint="eastAsia" w:asciiTheme="minorEastAsia" w:hAnsiTheme="minorEastAsia" w:eastAsiaTheme="minorEastAsia" w:cstheme="minorEastAsia"/>
          <w:color w:val="auto"/>
          <w:spacing w:val="-2"/>
          <w:szCs w:val="21"/>
          <w:highlight w:val="none"/>
          <w:u w:val="single"/>
        </w:rPr>
        <w:t>日</w:t>
      </w:r>
      <w:r>
        <w:rPr>
          <w:rFonts w:hint="eastAsia" w:asciiTheme="minorEastAsia" w:hAnsiTheme="minorEastAsia" w:eastAsiaTheme="minorEastAsia" w:cstheme="minorEastAsia"/>
          <w:bCs/>
          <w:color w:val="auto"/>
          <w:spacing w:val="-2"/>
          <w:szCs w:val="21"/>
          <w:highlight w:val="none"/>
          <w:u w:val="single"/>
          <w:lang w:val="en-US" w:eastAsia="zh-CN"/>
        </w:rPr>
        <w:t>9</w:t>
      </w:r>
      <w:r>
        <w:rPr>
          <w:rFonts w:hint="eastAsia" w:asciiTheme="minorEastAsia" w:hAnsiTheme="minorEastAsia" w:eastAsiaTheme="minorEastAsia" w:cstheme="minorEastAsia"/>
          <w:bCs/>
          <w:color w:val="auto"/>
          <w:spacing w:val="-2"/>
          <w:szCs w:val="21"/>
          <w:highlight w:val="none"/>
          <w:u w:val="single"/>
        </w:rPr>
        <w:t>时</w:t>
      </w:r>
      <w:r>
        <w:rPr>
          <w:rFonts w:hint="eastAsia" w:asciiTheme="minorEastAsia" w:hAnsiTheme="minorEastAsia" w:eastAsiaTheme="minorEastAsia" w:cstheme="minorEastAsia"/>
          <w:bCs/>
          <w:color w:val="auto"/>
          <w:spacing w:val="-2"/>
          <w:szCs w:val="21"/>
          <w:highlight w:val="none"/>
          <w:u w:val="single"/>
          <w:lang w:val="en-US" w:eastAsia="zh-CN"/>
        </w:rPr>
        <w:t>0</w:t>
      </w:r>
      <w:r>
        <w:rPr>
          <w:rFonts w:hint="eastAsia" w:asciiTheme="minorEastAsia" w:hAnsiTheme="minorEastAsia" w:eastAsiaTheme="minorEastAsia" w:cstheme="minorEastAsia"/>
          <w:bCs/>
          <w:color w:val="auto"/>
          <w:spacing w:val="-2"/>
          <w:szCs w:val="21"/>
          <w:highlight w:val="none"/>
          <w:u w:val="single"/>
        </w:rPr>
        <w:t>0分</w:t>
      </w:r>
      <w:r>
        <w:rPr>
          <w:rFonts w:hint="eastAsia" w:asciiTheme="minorEastAsia" w:hAnsiTheme="minorEastAsia" w:eastAsiaTheme="minorEastAsia" w:cstheme="minorEastAsia"/>
          <w:color w:val="auto"/>
          <w:szCs w:val="21"/>
          <w:highlight w:val="none"/>
        </w:rPr>
        <w:t>（北京时间）</w:t>
      </w:r>
    </w:p>
    <w:p w14:paraId="253405D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地点（网址）：广西政府采购云平台（https：//www.gcy.zfcg.gxzf.gov.cn/）</w:t>
      </w:r>
    </w:p>
    <w:p w14:paraId="032711EF">
      <w:pPr>
        <w:pStyle w:val="3"/>
        <w:shd w:val="clear" w:color="auto" w:fill="auto"/>
        <w:spacing w:before="0" w:after="0" w:line="360" w:lineRule="auto"/>
        <w:ind w:firstLine="482" w:firstLineChars="200"/>
        <w:rPr>
          <w:rFonts w:hint="eastAsia" w:asciiTheme="minorEastAsia" w:hAnsiTheme="minorEastAsia" w:eastAsiaTheme="minorEastAsia" w:cstheme="minorEastAsia"/>
          <w:bCs w:val="0"/>
          <w:color w:val="auto"/>
          <w:sz w:val="24"/>
          <w:szCs w:val="24"/>
          <w:highlight w:val="none"/>
        </w:rPr>
      </w:pPr>
      <w:bookmarkStart w:id="51" w:name="_Toc28359016"/>
      <w:bookmarkStart w:id="52" w:name="_Toc73549983"/>
      <w:bookmarkStart w:id="53" w:name="_Toc35393802"/>
      <w:bookmarkStart w:id="54" w:name="_Toc35393633"/>
      <w:bookmarkStart w:id="55" w:name="_Toc44229882"/>
      <w:bookmarkStart w:id="56" w:name="_Toc28359093"/>
      <w:bookmarkStart w:id="57" w:name="_Toc4007"/>
      <w:bookmarkStart w:id="58" w:name="_Toc9562"/>
      <w:bookmarkStart w:id="59" w:name="_Toc29024"/>
      <w:bookmarkStart w:id="60" w:name="_Toc25984"/>
      <w:bookmarkStart w:id="61" w:name="_Toc24153"/>
      <w:bookmarkStart w:id="62" w:name="_Toc29675"/>
      <w:r>
        <w:rPr>
          <w:rFonts w:hint="eastAsia" w:asciiTheme="minorEastAsia" w:hAnsiTheme="minorEastAsia" w:eastAsiaTheme="minorEastAsia" w:cstheme="minorEastAsia"/>
          <w:bCs w:val="0"/>
          <w:color w:val="auto"/>
          <w:sz w:val="24"/>
          <w:szCs w:val="24"/>
          <w:highlight w:val="none"/>
        </w:rPr>
        <w:t>五、开启</w:t>
      </w:r>
      <w:bookmarkEnd w:id="51"/>
      <w:bookmarkEnd w:id="52"/>
      <w:bookmarkEnd w:id="53"/>
      <w:bookmarkEnd w:id="54"/>
      <w:bookmarkEnd w:id="55"/>
      <w:bookmarkEnd w:id="56"/>
      <w:r>
        <w:rPr>
          <w:rFonts w:hint="eastAsia" w:asciiTheme="minorEastAsia" w:hAnsiTheme="minorEastAsia" w:eastAsiaTheme="minorEastAsia" w:cstheme="minorEastAsia"/>
          <w:bCs w:val="0"/>
          <w:color w:val="auto"/>
          <w:sz w:val="24"/>
          <w:highlight w:val="none"/>
        </w:rPr>
        <w:t>（首次响应文件开启时间）</w:t>
      </w:r>
      <w:bookmarkEnd w:id="57"/>
      <w:bookmarkEnd w:id="58"/>
      <w:bookmarkEnd w:id="59"/>
      <w:bookmarkEnd w:id="60"/>
      <w:bookmarkEnd w:id="61"/>
      <w:bookmarkEnd w:id="62"/>
    </w:p>
    <w:p w14:paraId="7819A651">
      <w:pPr>
        <w:shd w:val="clear" w:color="auto" w:fill="auto"/>
        <w:spacing w:line="360" w:lineRule="auto"/>
        <w:ind w:firstLine="420" w:firstLineChars="200"/>
        <w:rPr>
          <w:rFonts w:hint="eastAsia" w:asciiTheme="minorEastAsia" w:hAnsiTheme="minorEastAsia" w:eastAsiaTheme="minorEastAsia" w:cstheme="minorEastAsia"/>
          <w:bCs/>
          <w:color w:val="auto"/>
          <w:szCs w:val="21"/>
          <w:highlight w:val="none"/>
          <w:u w:val="single"/>
        </w:rPr>
      </w:pPr>
      <w:r>
        <w:rPr>
          <w:rFonts w:hint="eastAsia" w:asciiTheme="minorEastAsia" w:hAnsiTheme="minorEastAsia" w:eastAsiaTheme="minorEastAsia" w:cstheme="minorEastAsia"/>
          <w:color w:val="auto"/>
          <w:szCs w:val="21"/>
          <w:highlight w:val="none"/>
        </w:rPr>
        <w:t>开启时间：</w:t>
      </w:r>
      <w:r>
        <w:rPr>
          <w:rFonts w:hint="eastAsia" w:asciiTheme="minorEastAsia" w:hAnsiTheme="minorEastAsia" w:eastAsiaTheme="minorEastAsia" w:cstheme="minorEastAsia"/>
          <w:color w:val="auto"/>
          <w:spacing w:val="-2"/>
          <w:szCs w:val="21"/>
          <w:highlight w:val="none"/>
          <w:u w:val="single"/>
        </w:rPr>
        <w:t>202</w:t>
      </w:r>
      <w:r>
        <w:rPr>
          <w:rFonts w:hint="eastAsia" w:asciiTheme="minorEastAsia" w:hAnsiTheme="minorEastAsia" w:eastAsiaTheme="minorEastAsia" w:cstheme="minorEastAsia"/>
          <w:color w:val="auto"/>
          <w:spacing w:val="-2"/>
          <w:szCs w:val="21"/>
          <w:highlight w:val="none"/>
          <w:u w:val="single"/>
          <w:lang w:val="en-US" w:eastAsia="zh-CN"/>
        </w:rPr>
        <w:t>6</w:t>
      </w:r>
      <w:r>
        <w:rPr>
          <w:rFonts w:hint="eastAsia" w:asciiTheme="minorEastAsia" w:hAnsiTheme="minorEastAsia" w:eastAsiaTheme="minorEastAsia" w:cstheme="minorEastAsia"/>
          <w:color w:val="auto"/>
          <w:spacing w:val="-2"/>
          <w:szCs w:val="21"/>
          <w:highlight w:val="none"/>
          <w:u w:val="single"/>
        </w:rPr>
        <w:t>年</w:t>
      </w:r>
      <w:r>
        <w:rPr>
          <w:rFonts w:hint="eastAsia" w:asciiTheme="minorEastAsia" w:hAnsiTheme="minorEastAsia" w:eastAsiaTheme="minorEastAsia" w:cstheme="minorEastAsia"/>
          <w:color w:val="auto"/>
          <w:spacing w:val="-2"/>
          <w:szCs w:val="21"/>
          <w:highlight w:val="none"/>
          <w:u w:val="single"/>
          <w:lang w:val="en-US" w:eastAsia="zh-CN"/>
        </w:rPr>
        <w:t>6</w:t>
      </w:r>
      <w:r>
        <w:rPr>
          <w:rFonts w:hint="eastAsia" w:asciiTheme="minorEastAsia" w:hAnsiTheme="minorEastAsia" w:eastAsiaTheme="minorEastAsia" w:cstheme="minorEastAsia"/>
          <w:color w:val="auto"/>
          <w:spacing w:val="-2"/>
          <w:szCs w:val="21"/>
          <w:highlight w:val="none"/>
          <w:u w:val="single"/>
        </w:rPr>
        <w:t>月</w:t>
      </w:r>
      <w:r>
        <w:rPr>
          <w:rFonts w:hint="eastAsia" w:asciiTheme="minorEastAsia" w:hAnsiTheme="minorEastAsia" w:eastAsiaTheme="minorEastAsia" w:cstheme="minorEastAsia"/>
          <w:color w:val="auto"/>
          <w:spacing w:val="-2"/>
          <w:szCs w:val="21"/>
          <w:highlight w:val="none"/>
          <w:u w:val="single"/>
          <w:lang w:val="en-US" w:eastAsia="zh-CN"/>
        </w:rPr>
        <w:t>26</w:t>
      </w:r>
      <w:r>
        <w:rPr>
          <w:rFonts w:hint="eastAsia" w:asciiTheme="minorEastAsia" w:hAnsiTheme="minorEastAsia" w:eastAsiaTheme="minorEastAsia" w:cstheme="minorEastAsia"/>
          <w:color w:val="auto"/>
          <w:spacing w:val="-2"/>
          <w:szCs w:val="21"/>
          <w:highlight w:val="none"/>
          <w:u w:val="single"/>
        </w:rPr>
        <w:t>日</w:t>
      </w:r>
      <w:r>
        <w:rPr>
          <w:rFonts w:hint="eastAsia" w:asciiTheme="minorEastAsia" w:hAnsiTheme="minorEastAsia" w:eastAsiaTheme="minorEastAsia" w:cstheme="minorEastAsia"/>
          <w:bCs/>
          <w:color w:val="auto"/>
          <w:spacing w:val="-2"/>
          <w:szCs w:val="21"/>
          <w:highlight w:val="none"/>
          <w:u w:val="single"/>
          <w:lang w:val="en-US" w:eastAsia="zh-CN"/>
        </w:rPr>
        <w:t>9</w:t>
      </w:r>
      <w:r>
        <w:rPr>
          <w:rFonts w:hint="eastAsia" w:asciiTheme="minorEastAsia" w:hAnsiTheme="minorEastAsia" w:eastAsiaTheme="minorEastAsia" w:cstheme="minorEastAsia"/>
          <w:bCs/>
          <w:color w:val="auto"/>
          <w:spacing w:val="-2"/>
          <w:szCs w:val="21"/>
          <w:highlight w:val="none"/>
          <w:u w:val="single"/>
        </w:rPr>
        <w:t>时</w:t>
      </w:r>
      <w:r>
        <w:rPr>
          <w:rFonts w:hint="eastAsia" w:asciiTheme="minorEastAsia" w:hAnsiTheme="minorEastAsia" w:eastAsiaTheme="minorEastAsia" w:cstheme="minorEastAsia"/>
          <w:bCs/>
          <w:color w:val="auto"/>
          <w:spacing w:val="-2"/>
          <w:szCs w:val="21"/>
          <w:highlight w:val="none"/>
          <w:u w:val="single"/>
          <w:lang w:val="en-US" w:eastAsia="zh-CN"/>
        </w:rPr>
        <w:t>0</w:t>
      </w:r>
      <w:r>
        <w:rPr>
          <w:rFonts w:hint="eastAsia" w:asciiTheme="minorEastAsia" w:hAnsiTheme="minorEastAsia" w:eastAsiaTheme="minorEastAsia" w:cstheme="minorEastAsia"/>
          <w:bCs/>
          <w:color w:val="auto"/>
          <w:spacing w:val="-2"/>
          <w:szCs w:val="21"/>
          <w:highlight w:val="none"/>
          <w:u w:val="single"/>
        </w:rPr>
        <w:t>0分</w:t>
      </w:r>
      <w:r>
        <w:rPr>
          <w:rFonts w:hint="eastAsia" w:asciiTheme="minorEastAsia" w:hAnsiTheme="minorEastAsia" w:eastAsiaTheme="minorEastAsia" w:cstheme="minorEastAsia"/>
          <w:bCs/>
          <w:color w:val="auto"/>
          <w:szCs w:val="21"/>
          <w:highlight w:val="none"/>
          <w:u w:val="none"/>
        </w:rPr>
        <w:t>（北京时间）</w:t>
      </w:r>
      <w:r>
        <w:rPr>
          <w:rFonts w:hint="eastAsia" w:asciiTheme="minorEastAsia" w:hAnsiTheme="minorEastAsia" w:eastAsiaTheme="minorEastAsia" w:cstheme="minorEastAsia"/>
          <w:color w:val="auto"/>
          <w:szCs w:val="21"/>
          <w:highlight w:val="none"/>
          <w:u w:val="none"/>
        </w:rPr>
        <w:t>后</w:t>
      </w:r>
    </w:p>
    <w:p w14:paraId="5E2A8750">
      <w:pPr>
        <w:shd w:val="clear" w:color="auto" w:fill="auto"/>
        <w:spacing w:line="360" w:lineRule="auto"/>
        <w:ind w:firstLine="420" w:firstLineChars="200"/>
        <w:rPr>
          <w:rFonts w:hint="eastAsia" w:asciiTheme="minorEastAsia" w:hAnsiTheme="minorEastAsia" w:eastAsiaTheme="minorEastAsia" w:cstheme="minorEastAsia"/>
          <w:bCs/>
          <w:color w:val="auto"/>
          <w:szCs w:val="21"/>
          <w:highlight w:val="none"/>
          <w:u w:val="single"/>
        </w:rPr>
      </w:pPr>
      <w:r>
        <w:rPr>
          <w:rFonts w:hint="eastAsia" w:asciiTheme="minorEastAsia" w:hAnsiTheme="minorEastAsia" w:eastAsiaTheme="minorEastAsia" w:cstheme="minorEastAsia"/>
          <w:color w:val="auto"/>
          <w:szCs w:val="21"/>
          <w:highlight w:val="none"/>
        </w:rPr>
        <w:t>地点：</w:t>
      </w:r>
      <w:r>
        <w:rPr>
          <w:rFonts w:hint="eastAsia" w:asciiTheme="minorEastAsia" w:hAnsiTheme="minorEastAsia" w:eastAsiaTheme="minorEastAsia" w:cstheme="minorEastAsia"/>
          <w:spacing w:val="8"/>
          <w:sz w:val="21"/>
          <w:szCs w:val="21"/>
          <w:highlight w:val="none"/>
        </w:rPr>
        <w:t>本项目将在</w:t>
      </w:r>
      <w:r>
        <w:rPr>
          <w:rFonts w:hint="eastAsia" w:asciiTheme="minorEastAsia" w:hAnsiTheme="minorEastAsia" w:eastAsiaTheme="minorEastAsia" w:cstheme="minorEastAsia"/>
          <w:color w:val="auto"/>
          <w:szCs w:val="21"/>
          <w:highlight w:val="none"/>
        </w:rPr>
        <w:t>广西政府采购云平台</w:t>
      </w:r>
      <w:r>
        <w:rPr>
          <w:rFonts w:hint="eastAsia" w:asciiTheme="minorEastAsia" w:hAnsiTheme="minorEastAsia" w:eastAsiaTheme="minorEastAsia" w:cstheme="minorEastAsia"/>
          <w:spacing w:val="8"/>
          <w:sz w:val="21"/>
          <w:szCs w:val="21"/>
          <w:highlight w:val="none"/>
        </w:rPr>
        <w:t>电子开标大厅解密、开启</w:t>
      </w:r>
    </w:p>
    <w:p w14:paraId="7CBCB26B">
      <w:pPr>
        <w:pStyle w:val="3"/>
        <w:shd w:val="clear" w:color="auto" w:fill="auto"/>
        <w:spacing w:before="0" w:after="0" w:line="360" w:lineRule="auto"/>
        <w:ind w:firstLine="482" w:firstLineChars="200"/>
        <w:rPr>
          <w:rFonts w:hint="eastAsia" w:asciiTheme="minorEastAsia" w:hAnsiTheme="minorEastAsia" w:eastAsiaTheme="minorEastAsia" w:cstheme="minorEastAsia"/>
          <w:bCs w:val="0"/>
          <w:color w:val="auto"/>
          <w:sz w:val="24"/>
          <w:szCs w:val="24"/>
          <w:highlight w:val="none"/>
        </w:rPr>
      </w:pPr>
      <w:bookmarkStart w:id="63" w:name="_Toc16929"/>
      <w:bookmarkStart w:id="64" w:name="_Toc35393634"/>
      <w:bookmarkStart w:id="65" w:name="_Toc21934"/>
      <w:bookmarkStart w:id="66" w:name="_Toc28359094"/>
      <w:bookmarkStart w:id="67" w:name="_Toc28073"/>
      <w:bookmarkStart w:id="68" w:name="_Toc6825"/>
      <w:bookmarkStart w:id="69" w:name="_Toc11943"/>
      <w:bookmarkStart w:id="70" w:name="_Toc20100"/>
      <w:bookmarkStart w:id="71" w:name="_Toc35393803"/>
      <w:bookmarkStart w:id="72" w:name="_Toc73549984"/>
      <w:bookmarkStart w:id="73" w:name="_Toc44229883"/>
      <w:bookmarkStart w:id="74" w:name="_Toc28359017"/>
      <w:r>
        <w:rPr>
          <w:rFonts w:hint="eastAsia" w:asciiTheme="minorEastAsia" w:hAnsiTheme="minorEastAsia" w:eastAsiaTheme="minorEastAsia" w:cstheme="minorEastAsia"/>
          <w:bCs w:val="0"/>
          <w:color w:val="auto"/>
          <w:sz w:val="24"/>
          <w:szCs w:val="24"/>
          <w:highlight w:val="none"/>
        </w:rPr>
        <w:t>六、公告期限</w:t>
      </w:r>
      <w:bookmarkEnd w:id="63"/>
      <w:bookmarkEnd w:id="64"/>
      <w:bookmarkEnd w:id="65"/>
      <w:bookmarkEnd w:id="66"/>
      <w:bookmarkEnd w:id="67"/>
      <w:bookmarkEnd w:id="68"/>
      <w:bookmarkEnd w:id="69"/>
      <w:bookmarkEnd w:id="70"/>
      <w:bookmarkEnd w:id="71"/>
      <w:bookmarkEnd w:id="72"/>
      <w:bookmarkEnd w:id="73"/>
      <w:bookmarkEnd w:id="74"/>
    </w:p>
    <w:p w14:paraId="7C1718F4">
      <w:pPr>
        <w:shd w:val="clear" w:color="auto" w:fill="auto"/>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自本公告发布之日起3个工作日。</w:t>
      </w:r>
    </w:p>
    <w:p w14:paraId="1619168C">
      <w:pPr>
        <w:pStyle w:val="3"/>
        <w:shd w:val="clear" w:color="auto" w:fill="auto"/>
        <w:spacing w:before="0" w:after="0" w:line="360" w:lineRule="auto"/>
        <w:ind w:firstLine="482" w:firstLineChars="200"/>
        <w:rPr>
          <w:rFonts w:hint="eastAsia" w:asciiTheme="minorEastAsia" w:hAnsiTheme="minorEastAsia" w:eastAsiaTheme="minorEastAsia" w:cstheme="minorEastAsia"/>
          <w:bCs w:val="0"/>
          <w:color w:val="auto"/>
          <w:sz w:val="24"/>
          <w:szCs w:val="24"/>
          <w:highlight w:val="none"/>
        </w:rPr>
      </w:pPr>
      <w:bookmarkStart w:id="75" w:name="_Toc25201"/>
      <w:bookmarkStart w:id="76" w:name="_Toc35393635"/>
      <w:bookmarkStart w:id="77" w:name="_Toc1678"/>
      <w:bookmarkStart w:id="78" w:name="_Toc73549985"/>
      <w:bookmarkStart w:id="79" w:name="_Toc44229884"/>
      <w:bookmarkStart w:id="80" w:name="_Toc35393804"/>
      <w:bookmarkStart w:id="81" w:name="_Toc12561"/>
      <w:bookmarkStart w:id="82" w:name="_Toc21555"/>
      <w:bookmarkStart w:id="83" w:name="_Toc17572"/>
      <w:bookmarkStart w:id="84" w:name="_Toc15423"/>
      <w:r>
        <w:rPr>
          <w:rFonts w:hint="eastAsia" w:asciiTheme="minorEastAsia" w:hAnsiTheme="minorEastAsia" w:eastAsiaTheme="minorEastAsia" w:cstheme="minorEastAsia"/>
          <w:bCs w:val="0"/>
          <w:color w:val="auto"/>
          <w:sz w:val="24"/>
          <w:szCs w:val="24"/>
          <w:highlight w:val="none"/>
        </w:rPr>
        <w:t>七、其他补充事宜</w:t>
      </w:r>
      <w:bookmarkEnd w:id="75"/>
      <w:bookmarkEnd w:id="76"/>
      <w:bookmarkEnd w:id="77"/>
      <w:bookmarkEnd w:id="78"/>
      <w:bookmarkEnd w:id="79"/>
      <w:bookmarkEnd w:id="80"/>
      <w:bookmarkEnd w:id="81"/>
      <w:bookmarkEnd w:id="82"/>
      <w:bookmarkEnd w:id="83"/>
      <w:bookmarkEnd w:id="84"/>
    </w:p>
    <w:p w14:paraId="602DC908">
      <w:pPr>
        <w:shd w:val="clear" w:color="auto" w:fill="auto"/>
        <w:spacing w:line="360" w:lineRule="auto"/>
        <w:ind w:firstLine="420" w:firstLineChars="200"/>
        <w:rPr>
          <w:rFonts w:hint="eastAsia" w:asciiTheme="minorEastAsia" w:hAnsiTheme="minorEastAsia" w:eastAsiaTheme="minorEastAsia" w:cstheme="minorEastAsia"/>
          <w:b w:val="0"/>
          <w:bCs/>
          <w:color w:val="auto"/>
          <w:highlight w:val="none"/>
        </w:rPr>
      </w:pPr>
      <w:r>
        <w:rPr>
          <w:rFonts w:hint="eastAsia" w:asciiTheme="minorEastAsia" w:hAnsiTheme="minorEastAsia" w:eastAsiaTheme="minorEastAsia" w:cstheme="minorEastAsia"/>
          <w:b w:val="0"/>
          <w:bCs/>
          <w:color w:val="auto"/>
          <w:highlight w:val="none"/>
        </w:rPr>
        <w:t xml:space="preserve">1. </w:t>
      </w:r>
      <w:r>
        <w:rPr>
          <w:rFonts w:hint="eastAsia" w:asciiTheme="minorEastAsia" w:hAnsiTheme="minorEastAsia" w:eastAsiaTheme="minorEastAsia" w:cstheme="minorEastAsia"/>
          <w:b w:val="0"/>
          <w:bCs/>
          <w:color w:val="auto"/>
          <w:highlight w:val="none"/>
          <w:lang w:eastAsia="zh-CN"/>
        </w:rPr>
        <w:t>竞标保证金</w:t>
      </w:r>
    </w:p>
    <w:p w14:paraId="7DAB1AE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竞标</w:t>
      </w:r>
      <w:r>
        <w:rPr>
          <w:rFonts w:ascii="宋体" w:hAnsi="宋体" w:cs="宋体"/>
          <w:color w:val="auto"/>
          <w:kern w:val="0"/>
          <w:szCs w:val="21"/>
          <w:highlight w:val="none"/>
        </w:rPr>
        <w:t>保证金金额</w:t>
      </w:r>
      <w:r>
        <w:rPr>
          <w:rFonts w:hint="eastAsia" w:ascii="宋体" w:hAnsi="宋体" w:cs="宋体"/>
          <w:color w:val="auto"/>
          <w:kern w:val="0"/>
          <w:szCs w:val="21"/>
          <w:highlight w:val="none"/>
        </w:rPr>
        <w:t>:</w:t>
      </w:r>
      <w:r>
        <w:rPr>
          <w:rFonts w:hint="eastAsia" w:ascii="宋体" w:hAnsi="宋体" w:cs="宋体"/>
          <w:b/>
          <w:bCs/>
          <w:color w:val="auto"/>
          <w:kern w:val="0"/>
          <w:szCs w:val="21"/>
          <w:highlight w:val="none"/>
        </w:rPr>
        <w:t>人民币</w:t>
      </w:r>
      <w:r>
        <w:rPr>
          <w:rFonts w:hint="eastAsia" w:ascii="宋体" w:hAnsi="宋体" w:cs="宋体"/>
          <w:b/>
          <w:bCs/>
          <w:color w:val="auto"/>
          <w:kern w:val="0"/>
          <w:szCs w:val="21"/>
          <w:highlight w:val="none"/>
          <w:lang w:eastAsia="zh-CN"/>
        </w:rPr>
        <w:t>壹万贰仟元整</w:t>
      </w:r>
      <w:r>
        <w:rPr>
          <w:rFonts w:hint="eastAsia" w:ascii="宋体" w:hAnsi="宋体" w:cs="宋体"/>
          <w:b/>
          <w:bCs/>
          <w:color w:val="auto"/>
          <w:kern w:val="0"/>
          <w:szCs w:val="21"/>
          <w:highlight w:val="none"/>
        </w:rPr>
        <w:t>（¥</w:t>
      </w:r>
      <w:r>
        <w:rPr>
          <w:rFonts w:hint="eastAsia" w:asciiTheme="minorEastAsia" w:hAnsiTheme="minorEastAsia" w:eastAsiaTheme="minorEastAsia" w:cstheme="minorEastAsia"/>
          <w:b/>
          <w:bCs/>
          <w:color w:val="auto"/>
          <w:szCs w:val="21"/>
          <w:highlight w:val="none"/>
          <w:lang w:val="en-US" w:eastAsia="zh-CN"/>
        </w:rPr>
        <w:t>12000</w:t>
      </w:r>
      <w:r>
        <w:rPr>
          <w:rFonts w:hint="eastAsia" w:asciiTheme="minorEastAsia" w:hAnsiTheme="minorEastAsia" w:eastAsiaTheme="minorEastAsia" w:cstheme="minorEastAsia"/>
          <w:b/>
          <w:bCs/>
          <w:color w:val="auto"/>
          <w:szCs w:val="21"/>
          <w:highlight w:val="none"/>
        </w:rPr>
        <w:t>.00</w:t>
      </w:r>
      <w:r>
        <w:rPr>
          <w:rFonts w:hint="eastAsia" w:ascii="宋体" w:hAnsi="宋体" w:cs="宋体"/>
          <w:b/>
          <w:bCs/>
          <w:color w:val="auto"/>
          <w:kern w:val="0"/>
          <w:szCs w:val="21"/>
          <w:highlight w:val="none"/>
        </w:rPr>
        <w:t>）</w:t>
      </w:r>
      <w:r>
        <w:rPr>
          <w:rFonts w:hint="eastAsia" w:ascii="宋体" w:hAnsi="宋体"/>
          <w:b/>
          <w:bCs/>
          <w:color w:val="auto"/>
          <w:szCs w:val="21"/>
          <w:highlight w:val="none"/>
          <w:lang w:val="en-US" w:eastAsia="zh-CN"/>
        </w:rPr>
        <w:t>(必须足额缴纳)</w:t>
      </w:r>
      <w:r>
        <w:rPr>
          <w:rFonts w:hint="eastAsia" w:ascii="宋体" w:hAnsi="宋体" w:cs="宋体"/>
          <w:color w:val="auto"/>
          <w:kern w:val="0"/>
          <w:szCs w:val="21"/>
          <w:highlight w:val="none"/>
        </w:rPr>
        <w:t>。</w:t>
      </w:r>
    </w:p>
    <w:p w14:paraId="73646302">
      <w:pPr>
        <w:snapToGrid w:val="0"/>
        <w:spacing w:line="400" w:lineRule="exact"/>
        <w:ind w:firstLine="420" w:firstLineChars="200"/>
        <w:rPr>
          <w:rFonts w:hint="eastAsia" w:ascii="宋体" w:hAnsi="宋体" w:cs="宋体"/>
          <w:kern w:val="0"/>
          <w:szCs w:val="21"/>
          <w:highlight w:val="none"/>
        </w:rPr>
      </w:pPr>
      <w:r>
        <w:rPr>
          <w:rFonts w:hint="eastAsia" w:ascii="宋体" w:hAnsi="宋体" w:cs="宋体"/>
          <w:color w:val="auto"/>
          <w:kern w:val="0"/>
          <w:szCs w:val="21"/>
          <w:highlight w:val="none"/>
        </w:rPr>
        <w:t>竞标保证金的交纳方式：</w:t>
      </w:r>
      <w:r>
        <w:rPr>
          <w:rFonts w:hint="eastAsia" w:ascii="宋体" w:hAnsi="宋体" w:cs="宋体"/>
          <w:kern w:val="0"/>
          <w:szCs w:val="21"/>
          <w:highlight w:val="none"/>
        </w:rPr>
        <w:t>银行转账、支票、汇票、本票或者金融机构、担保机构出具的保函等非现金形式。采用银行转账方式的，在响应文件提交截止时间前交至采购代理机构指定账户并且到账，</w:t>
      </w:r>
      <w:r>
        <w:rPr>
          <w:rFonts w:hint="eastAsia" w:ascii="宋体" w:hAnsi="宋体" w:cs="宋体"/>
          <w:szCs w:val="21"/>
          <w:highlight w:val="none"/>
        </w:rPr>
        <w:t>（竞标人转账时，须在银行转账底单上备注项目标识如“【项目编号：</w:t>
      </w:r>
      <w:r>
        <w:rPr>
          <w:rFonts w:hint="eastAsia" w:asciiTheme="minorEastAsia" w:hAnsiTheme="minorEastAsia" w:eastAsiaTheme="minorEastAsia" w:cstheme="minorEastAsia"/>
          <w:color w:val="auto"/>
          <w:szCs w:val="21"/>
          <w:highlight w:val="none"/>
          <w:lang w:eastAsia="zh-CN"/>
        </w:rPr>
        <w:t>GXZC2026-J2-001931-JGJD</w:t>
      </w:r>
      <w:r>
        <w:rPr>
          <w:rFonts w:hint="eastAsia" w:ascii="宋体" w:hAnsi="宋体" w:cs="宋体"/>
          <w:szCs w:val="21"/>
          <w:highlight w:val="none"/>
        </w:rPr>
        <w:t>】</w:t>
      </w:r>
      <w:r>
        <w:rPr>
          <w:rFonts w:hint="eastAsia" w:ascii="宋体" w:hAnsi="宋体" w:cs="宋体"/>
          <w:color w:val="auto"/>
          <w:kern w:val="0"/>
          <w:szCs w:val="21"/>
          <w:highlight w:val="none"/>
        </w:rPr>
        <w:t>竞标</w:t>
      </w:r>
      <w:r>
        <w:rPr>
          <w:rFonts w:hint="eastAsia" w:ascii="宋体" w:hAnsi="宋体" w:cs="宋体"/>
          <w:szCs w:val="21"/>
          <w:highlight w:val="none"/>
        </w:rPr>
        <w:t>保证金”</w:t>
      </w:r>
      <w:r>
        <w:rPr>
          <w:rFonts w:hint="eastAsia" w:ascii="宋体" w:hAnsi="宋体" w:cs="宋体"/>
          <w:kern w:val="0"/>
          <w:szCs w:val="21"/>
          <w:highlight w:val="none"/>
        </w:rPr>
        <w:t>缴纳</w:t>
      </w:r>
      <w:r>
        <w:rPr>
          <w:rFonts w:hint="eastAsia" w:ascii="宋体" w:hAnsi="宋体" w:cs="宋体"/>
          <w:kern w:val="0"/>
          <w:szCs w:val="21"/>
          <w:highlight w:val="none"/>
          <w:lang w:eastAsia="zh-CN"/>
        </w:rPr>
        <w:t>竞标保证金</w:t>
      </w:r>
      <w:r>
        <w:rPr>
          <w:rFonts w:hint="eastAsia" w:ascii="宋体" w:hAnsi="宋体" w:cs="宋体"/>
          <w:kern w:val="0"/>
          <w:szCs w:val="21"/>
          <w:highlight w:val="none"/>
        </w:rPr>
        <w:t>指定账户的信息：</w:t>
      </w:r>
    </w:p>
    <w:p w14:paraId="3E6FA120">
      <w:pPr>
        <w:snapToGrid w:val="0"/>
        <w:spacing w:line="360" w:lineRule="auto"/>
        <w:ind w:firstLine="422" w:firstLineChars="200"/>
        <w:rPr>
          <w:rFonts w:ascii="宋体" w:hAnsi="宋体" w:cs="宋体"/>
          <w:b/>
          <w:bCs/>
          <w:szCs w:val="21"/>
          <w:highlight w:val="none"/>
        </w:rPr>
      </w:pPr>
      <w:r>
        <w:rPr>
          <w:rFonts w:hint="eastAsia" w:ascii="宋体" w:hAnsi="宋体" w:cs="宋体"/>
          <w:b/>
          <w:bCs/>
          <w:szCs w:val="21"/>
          <w:highlight w:val="none"/>
        </w:rPr>
        <w:t xml:space="preserve">开户名称： 广西建设工程机电设备招标中心有限公司 </w:t>
      </w:r>
    </w:p>
    <w:p w14:paraId="099C66D9">
      <w:pPr>
        <w:snapToGrid w:val="0"/>
        <w:spacing w:line="360" w:lineRule="auto"/>
        <w:ind w:firstLine="422" w:firstLineChars="200"/>
        <w:rPr>
          <w:rFonts w:ascii="宋体" w:hAnsi="宋体" w:cs="宋体"/>
          <w:b/>
          <w:bCs/>
          <w:szCs w:val="21"/>
          <w:highlight w:val="none"/>
        </w:rPr>
      </w:pPr>
      <w:r>
        <w:rPr>
          <w:rFonts w:hint="eastAsia" w:ascii="宋体" w:hAnsi="宋体" w:cs="宋体"/>
          <w:b/>
          <w:bCs/>
          <w:szCs w:val="21"/>
          <w:highlight w:val="none"/>
        </w:rPr>
        <w:t>开户银行： 招商银行南宁分行营业部</w:t>
      </w:r>
    </w:p>
    <w:p w14:paraId="4B98867B">
      <w:pPr>
        <w:snapToGrid w:val="0"/>
        <w:spacing w:line="400" w:lineRule="exact"/>
        <w:ind w:firstLine="422" w:firstLineChars="200"/>
        <w:rPr>
          <w:rFonts w:hint="eastAsia" w:ascii="宋体" w:hAnsi="宋体" w:cs="宋体"/>
          <w:kern w:val="0"/>
          <w:szCs w:val="21"/>
          <w:highlight w:val="none"/>
        </w:rPr>
      </w:pPr>
      <w:r>
        <w:rPr>
          <w:rFonts w:hint="eastAsia" w:ascii="宋体" w:hAnsi="宋体" w:cs="宋体"/>
          <w:b/>
          <w:bCs/>
          <w:szCs w:val="21"/>
          <w:highlight w:val="none"/>
        </w:rPr>
        <w:t>账    号： 7719  0142  3310  201</w:t>
      </w:r>
      <w:r>
        <w:rPr>
          <w:rFonts w:hint="eastAsia" w:ascii="宋体" w:hAnsi="宋体" w:cs="宋体"/>
          <w:kern w:val="0"/>
          <w:szCs w:val="21"/>
          <w:highlight w:val="none"/>
        </w:rPr>
        <w:t>；</w:t>
      </w:r>
    </w:p>
    <w:p w14:paraId="39ACA566">
      <w:pPr>
        <w:shd w:val="clear" w:color="auto" w:fill="auto"/>
        <w:spacing w:line="360" w:lineRule="auto"/>
        <w:ind w:firstLine="420" w:firstLineChars="200"/>
        <w:rPr>
          <w:rFonts w:hint="eastAsia" w:ascii="宋体" w:hAnsi="宋体" w:cs="宋体"/>
          <w:kern w:val="0"/>
          <w:szCs w:val="21"/>
          <w:highlight w:val="none"/>
        </w:rPr>
      </w:pPr>
      <w:r>
        <w:rPr>
          <w:rFonts w:hint="eastAsia" w:ascii="宋体" w:hAnsi="宋体" w:cs="宋体"/>
          <w:color w:val="auto"/>
          <w:kern w:val="0"/>
          <w:szCs w:val="21"/>
          <w:highlight w:val="none"/>
        </w:rPr>
        <w:t>采用支票、汇票、本票或者保函等方式的</w:t>
      </w:r>
      <w:r>
        <w:rPr>
          <w:rFonts w:hint="eastAsia" w:ascii="宋体" w:hAnsi="宋体" w:cs="宋体"/>
          <w:kern w:val="0"/>
          <w:szCs w:val="21"/>
          <w:highlight w:val="none"/>
        </w:rPr>
        <w:t>，在响应文件提交截止时间前，供应商必须递交单独密封的支票、汇票、本票或者保函等原件给采购代理机构。否则视为无效</w:t>
      </w:r>
      <w:r>
        <w:rPr>
          <w:rFonts w:hint="eastAsia" w:ascii="宋体" w:hAnsi="宋体" w:cs="宋体"/>
          <w:color w:val="auto"/>
          <w:kern w:val="0"/>
          <w:szCs w:val="21"/>
          <w:highlight w:val="none"/>
        </w:rPr>
        <w:t>竞标</w:t>
      </w:r>
      <w:r>
        <w:rPr>
          <w:rFonts w:hint="eastAsia" w:ascii="宋体" w:hAnsi="宋体" w:cs="宋体"/>
          <w:kern w:val="0"/>
          <w:szCs w:val="21"/>
          <w:highlight w:val="none"/>
        </w:rPr>
        <w:t>保证金。</w:t>
      </w:r>
    </w:p>
    <w:p w14:paraId="5B932766">
      <w:pPr>
        <w:spacing w:line="360" w:lineRule="auto"/>
        <w:ind w:firstLine="420" w:firstLineChars="200"/>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.网上查询地址：</w:t>
      </w:r>
      <w:r>
        <w:rPr>
          <w:rFonts w:hint="eastAsia" w:ascii="宋体" w:hAnsi="宋体" w:eastAsia="宋体" w:cs="宋体"/>
          <w:i w:val="0"/>
          <w:iCs w:val="0"/>
          <w:caps w:val="0"/>
          <w:color w:val="auto"/>
          <w:spacing w:val="0"/>
          <w:sz w:val="21"/>
          <w:szCs w:val="21"/>
          <w:highlight w:val="none"/>
          <w:shd w:val="clear" w:color="auto" w:fill="auto"/>
          <w:lang w:eastAsia="zh-CN"/>
        </w:rPr>
        <w:t>中国政府采购网（www.ccgp.gov.cn）、广西政府采购网（zfcg.gxzf.gov.cn）、</w:t>
      </w:r>
      <w:r>
        <w:rPr>
          <w:rFonts w:hint="eastAsia" w:ascii="宋体" w:hAnsi="宋体" w:eastAsia="宋体" w:cs="宋体"/>
          <w:color w:val="auto"/>
          <w:szCs w:val="21"/>
          <w:highlight w:val="none"/>
          <w:shd w:val="clear" w:color="auto" w:fill="auto"/>
        </w:rPr>
        <w:t>广西招标网（http://www.guangxibid.com.cn/）</w:t>
      </w:r>
      <w:r>
        <w:rPr>
          <w:rFonts w:hint="eastAsia" w:ascii="宋体" w:hAnsi="宋体" w:eastAsia="宋体" w:cs="宋体"/>
          <w:color w:val="auto"/>
          <w:szCs w:val="21"/>
          <w:highlight w:val="none"/>
          <w:shd w:val="clear" w:color="auto" w:fill="auto"/>
          <w:lang w:eastAsia="zh-CN"/>
        </w:rPr>
        <w:t>。</w:t>
      </w:r>
    </w:p>
    <w:p w14:paraId="339B4AEE">
      <w:pPr>
        <w:shd w:val="clear" w:color="auto" w:fill="auto"/>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kern w:val="0"/>
          <w:szCs w:val="21"/>
          <w:highlight w:val="none"/>
        </w:rPr>
        <w:t>本项目需要落实的政府采购政策：</w:t>
      </w:r>
    </w:p>
    <w:p w14:paraId="79D40B01">
      <w:pPr>
        <w:shd w:val="clear" w:color="auto" w:fill="auto"/>
        <w:snapToGrid w:val="0"/>
        <w:spacing w:line="360" w:lineRule="auto"/>
        <w:ind w:firstLine="420"/>
        <w:jc w:val="left"/>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（1）政府采购促进中小企业发展。</w:t>
      </w:r>
    </w:p>
    <w:p w14:paraId="200F946E">
      <w:pPr>
        <w:shd w:val="clear" w:color="auto" w:fill="auto"/>
        <w:snapToGrid w:val="0"/>
        <w:spacing w:line="360" w:lineRule="auto"/>
        <w:ind w:firstLine="420"/>
        <w:jc w:val="left"/>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（2）政府采购支持采用本国产品的政策。</w:t>
      </w:r>
    </w:p>
    <w:p w14:paraId="49575CC1">
      <w:pPr>
        <w:shd w:val="clear" w:color="auto" w:fill="auto"/>
        <w:snapToGrid w:val="0"/>
        <w:spacing w:line="360" w:lineRule="auto"/>
        <w:ind w:firstLine="420"/>
        <w:jc w:val="left"/>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（3）强制采购节能产品；优先采购节能产品、环境标志产品。</w:t>
      </w:r>
    </w:p>
    <w:p w14:paraId="308E5A73">
      <w:pPr>
        <w:shd w:val="clear" w:color="auto" w:fill="auto"/>
        <w:snapToGrid w:val="0"/>
        <w:spacing w:line="360" w:lineRule="auto"/>
        <w:ind w:firstLine="420"/>
        <w:jc w:val="left"/>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（4）政府采购促进残疾人就业政策。</w:t>
      </w:r>
    </w:p>
    <w:p w14:paraId="0F2D9263">
      <w:pPr>
        <w:shd w:val="clear" w:color="auto" w:fill="auto"/>
        <w:snapToGrid w:val="0"/>
        <w:spacing w:line="360" w:lineRule="auto"/>
        <w:ind w:firstLine="420"/>
        <w:jc w:val="left"/>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（5）政府采购支持监狱企业发展。</w:t>
      </w:r>
    </w:p>
    <w:p w14:paraId="5095FC39">
      <w:pPr>
        <w:shd w:val="clear" w:color="auto" w:fill="auto"/>
        <w:snapToGrid w:val="0"/>
        <w:spacing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val="en-US" w:eastAsia="zh-CN"/>
        </w:rPr>
        <w:t>（6）扶持不发达地区和少数民族地区政策</w:t>
      </w:r>
    </w:p>
    <w:p w14:paraId="02EDDF40">
      <w:pPr>
        <w:shd w:val="clear" w:color="auto" w:fill="auto"/>
        <w:snapToGrid w:val="0"/>
        <w:spacing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kern w:val="0"/>
          <w:szCs w:val="21"/>
          <w:highlight w:val="none"/>
        </w:rPr>
        <w:t>4</w:t>
      </w:r>
      <w:r>
        <w:rPr>
          <w:rFonts w:hint="eastAsia" w:asciiTheme="minorEastAsia" w:hAnsiTheme="minorEastAsia" w:eastAsiaTheme="minorEastAsia" w:cstheme="minorEastAsia"/>
          <w:bCs/>
          <w:color w:val="auto"/>
          <w:kern w:val="0"/>
          <w:szCs w:val="21"/>
          <w:highlight w:val="none"/>
          <w:lang w:val="en-US" w:eastAsia="zh-CN"/>
        </w:rPr>
        <w:t>.</w:t>
      </w:r>
      <w:r>
        <w:rPr>
          <w:rFonts w:hint="eastAsia" w:asciiTheme="minorEastAsia" w:hAnsiTheme="minorEastAsia" w:eastAsiaTheme="minorEastAsia" w:cstheme="minorEastAsia"/>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024CA02">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4DDAE83A">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竞标注意事项：</w:t>
      </w:r>
    </w:p>
    <w:p w14:paraId="2738F97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bidi="ar"/>
        </w:rPr>
        <w:t>（1 ） 响应文件提交方式： 本项 目为全流程电子化政府采购项 目 ，通过 “广西政府采购云 ”平台（</w:t>
      </w:r>
      <w:r>
        <w:rPr>
          <w:rFonts w:hint="eastAsia" w:asciiTheme="minorEastAsia" w:hAnsiTheme="minorEastAsia" w:eastAsiaTheme="minorEastAsia" w:cstheme="minorEastAsia"/>
          <w:color w:val="auto"/>
          <w:szCs w:val="21"/>
          <w:highlight w:val="none"/>
          <w:lang w:bidi="ar"/>
        </w:rPr>
        <w:fldChar w:fldCharType="begin"/>
      </w:r>
      <w:r>
        <w:rPr>
          <w:rFonts w:hint="eastAsia" w:asciiTheme="minorEastAsia" w:hAnsiTheme="minorEastAsia" w:eastAsiaTheme="minorEastAsia" w:cstheme="minorEastAsia"/>
          <w:color w:val="auto"/>
          <w:szCs w:val="21"/>
          <w:highlight w:val="none"/>
          <w:lang w:bidi="ar"/>
        </w:rPr>
        <w:instrText xml:space="preserve"> HYPERLINK "https://www.gcy.zfcg.gxzf.gov.cn/" </w:instrText>
      </w:r>
      <w:r>
        <w:rPr>
          <w:rFonts w:hint="eastAsia" w:asciiTheme="minorEastAsia" w:hAnsiTheme="minorEastAsia" w:eastAsiaTheme="minorEastAsia" w:cstheme="minorEastAsia"/>
          <w:color w:val="auto"/>
          <w:szCs w:val="21"/>
          <w:highlight w:val="none"/>
          <w:lang w:bidi="ar"/>
        </w:rPr>
        <w:fldChar w:fldCharType="separate"/>
      </w:r>
      <w:r>
        <w:rPr>
          <w:rFonts w:hint="eastAsia" w:asciiTheme="minorEastAsia" w:hAnsiTheme="minorEastAsia" w:eastAsiaTheme="minorEastAsia" w:cstheme="minorEastAsia"/>
          <w:color w:val="auto"/>
          <w:szCs w:val="21"/>
          <w:highlight w:val="none"/>
          <w:lang w:bidi="ar"/>
        </w:rPr>
        <w:t>https://www.gcy.zfcg.gxzf.gov.cn/</w:t>
      </w:r>
      <w:r>
        <w:rPr>
          <w:rFonts w:hint="eastAsia" w:asciiTheme="minorEastAsia" w:hAnsiTheme="minorEastAsia" w:eastAsiaTheme="minorEastAsia" w:cstheme="minorEastAsia"/>
          <w:color w:val="auto"/>
          <w:szCs w:val="21"/>
          <w:highlight w:val="none"/>
          <w:lang w:bidi="ar"/>
        </w:rPr>
        <w:fldChar w:fldCharType="end"/>
      </w:r>
      <w:r>
        <w:rPr>
          <w:rFonts w:hint="eastAsia" w:asciiTheme="minorEastAsia" w:hAnsiTheme="minorEastAsia" w:eastAsiaTheme="minorEastAsia" w:cstheme="minorEastAsia"/>
          <w:color w:val="auto"/>
          <w:szCs w:val="21"/>
          <w:highlight w:val="none"/>
          <w:lang w:bidi="ar"/>
        </w:rPr>
        <w:t>）实行在线电子谈判采购，供应商应先安装“广西政府采购云电子 交易客户端 ”（请自行前往“广西政府采购云 ”平台进行下载） ，并按照本项目竞争性谈判文件和“广西政府采购云 ”平台的要求编制、加密后在首次响应文件提交截止时间前通过网络上传至“广西政府采购云 ”平台，供应商在“广西政府采购云 ”平台提交电子版响应文件时，请填写参加远程开标活动经办人联系方 式。</w:t>
      </w:r>
    </w:p>
    <w:p w14:paraId="76E7B82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bidi="ar"/>
        </w:rPr>
        <w:t>（2）供应商应及时熟悉掌握电子标系统操作指南（见广西政府采购云电子卖场首页右上角—服务中心</w:t>
      </w:r>
    </w:p>
    <w:p w14:paraId="2593A97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bidi="ar"/>
        </w:rPr>
        <w:t>—帮助文档—项目采购；及时完成 CA 申领和绑定（见广西壮族自治区政府采购网—办事服务—下载专区-广西政府采购云 CA 证书办理操作指南）。</w:t>
      </w:r>
    </w:p>
    <w:p w14:paraId="6E7D5C1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bidi="ar"/>
        </w:rPr>
        <w:t>（3）未进行网上注册并办理数字证书（CA 认证）的供应商将无法参与本项目政府采购活动，潜在供应商应当在首次响应文件提交截止时间前，完成电子交易平台上的CA 数字证书办理及响应文件的提交。完成CA 数字证书办理预计 7 日左右，供应商只需办理其中一家 CA 数字证书及签章，建议各供应商抓紧时间办理。</w:t>
      </w:r>
    </w:p>
    <w:p w14:paraId="7730CC8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bidi="ar"/>
        </w:rPr>
        <w:t>（4）为确保网上操作合法、有效和安全，请供应商确保在电子竞标过程中能够对相关数据电文进行加密和使用电子签章，妥善保管 CA 数字证书并使用有效的 CA 数字证书参与整个采购活动。</w:t>
      </w:r>
    </w:p>
    <w:p w14:paraId="49F38D8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bidi="ar"/>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 “广西政府采购云 ”平台将予以拒收。</w:t>
      </w:r>
    </w:p>
    <w:p w14:paraId="3575C61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val="en-US" w:eastAsia="zh-CN" w:bidi="ar"/>
        </w:rPr>
        <w:t>7.</w:t>
      </w:r>
      <w:r>
        <w:rPr>
          <w:rFonts w:hint="eastAsia" w:asciiTheme="minorEastAsia" w:hAnsiTheme="minorEastAsia" w:eastAsiaTheme="minorEastAsia" w:cstheme="minorEastAsia"/>
          <w:color w:val="auto"/>
          <w:szCs w:val="21"/>
          <w:highlight w:val="none"/>
          <w:lang w:bidi="ar"/>
        </w:rPr>
        <w:t>CA 证书在线解密：首次响应文件开启时，须要供应商携带制作响应文件时用来加密的有效数字证书（CA 认证）登录“广西政府采购云 ”平台电子开标大厅现场按规定时间对加密的响应文件进行解密，否则后果自负。</w:t>
      </w:r>
    </w:p>
    <w:p w14:paraId="60738F5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val="en-US" w:eastAsia="zh-CN" w:bidi="ar"/>
        </w:rPr>
        <w:t>8.</w:t>
      </w:r>
      <w:r>
        <w:rPr>
          <w:rFonts w:hint="eastAsia" w:asciiTheme="minorEastAsia" w:hAnsiTheme="minorEastAsia" w:eastAsiaTheme="minorEastAsia" w:cstheme="minorEastAsia"/>
          <w:color w:val="auto"/>
          <w:szCs w:val="21"/>
          <w:highlight w:val="none"/>
          <w:lang w:bidi="ar"/>
        </w:rPr>
        <w:t>供应商需要在具备有摄像头及语音功能且互联网网络状况良好的电脑登录“广西政府采购云 ”平台远程开标大厅参与本次谈判，否则后果自负。</w:t>
      </w:r>
    </w:p>
    <w:p w14:paraId="29DC7C21">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bidi="ar"/>
        </w:rPr>
      </w:pPr>
      <w:r>
        <w:rPr>
          <w:rFonts w:hint="eastAsia" w:asciiTheme="minorEastAsia" w:hAnsiTheme="minorEastAsia" w:eastAsiaTheme="minorEastAsia" w:cstheme="minorEastAsia"/>
          <w:color w:val="auto"/>
          <w:szCs w:val="21"/>
          <w:highlight w:val="none"/>
          <w:lang w:val="en-US" w:eastAsia="zh-CN" w:bidi="ar"/>
        </w:rPr>
        <w:t>9.</w:t>
      </w:r>
      <w:r>
        <w:rPr>
          <w:rFonts w:hint="eastAsia" w:asciiTheme="minorEastAsia" w:hAnsiTheme="minorEastAsia" w:eastAsiaTheme="minorEastAsia" w:cstheme="minorEastAsia"/>
          <w:color w:val="auto"/>
          <w:szCs w:val="21"/>
          <w:highlight w:val="none"/>
          <w:lang w:bidi="ar"/>
        </w:rPr>
        <w:t>若 对 项 目 采 购 电 子 交 易 系 统 操 作 有 疑 问 ， 可 登 录 “ 广 西 政 府 采 购 云 ” 平 台（</w:t>
      </w:r>
      <w:r>
        <w:rPr>
          <w:rFonts w:hint="eastAsia" w:asciiTheme="minorEastAsia" w:hAnsiTheme="minorEastAsia" w:eastAsiaTheme="minorEastAsia" w:cstheme="minorEastAsia"/>
          <w:color w:val="auto"/>
          <w:szCs w:val="21"/>
          <w:highlight w:val="none"/>
          <w:lang w:bidi="ar"/>
        </w:rPr>
        <w:fldChar w:fldCharType="begin"/>
      </w:r>
      <w:r>
        <w:rPr>
          <w:rFonts w:hint="eastAsia" w:asciiTheme="minorEastAsia" w:hAnsiTheme="minorEastAsia" w:eastAsiaTheme="minorEastAsia" w:cstheme="minorEastAsia"/>
          <w:color w:val="auto"/>
          <w:szCs w:val="21"/>
          <w:highlight w:val="none"/>
          <w:lang w:bidi="ar"/>
        </w:rPr>
        <w:instrText xml:space="preserve"> HYPERLINK "https://www.gcy.zfcg.gxzf.gov.cn/" </w:instrText>
      </w:r>
      <w:r>
        <w:rPr>
          <w:rFonts w:hint="eastAsia" w:asciiTheme="minorEastAsia" w:hAnsiTheme="minorEastAsia" w:eastAsiaTheme="minorEastAsia" w:cstheme="minorEastAsia"/>
          <w:color w:val="auto"/>
          <w:szCs w:val="21"/>
          <w:highlight w:val="none"/>
          <w:lang w:bidi="ar"/>
        </w:rPr>
        <w:fldChar w:fldCharType="separate"/>
      </w:r>
      <w:r>
        <w:rPr>
          <w:rFonts w:hint="eastAsia" w:asciiTheme="minorEastAsia" w:hAnsiTheme="minorEastAsia" w:eastAsiaTheme="minorEastAsia" w:cstheme="minorEastAsia"/>
          <w:color w:val="auto"/>
          <w:szCs w:val="21"/>
          <w:highlight w:val="none"/>
          <w:lang w:bidi="ar"/>
        </w:rPr>
        <w:t>https://www.gcy.zfcg.gxzf.gov.cn/</w:t>
      </w:r>
      <w:r>
        <w:rPr>
          <w:rFonts w:hint="eastAsia" w:asciiTheme="minorEastAsia" w:hAnsiTheme="minorEastAsia" w:eastAsiaTheme="minorEastAsia" w:cstheme="minorEastAsia"/>
          <w:color w:val="auto"/>
          <w:szCs w:val="21"/>
          <w:highlight w:val="none"/>
          <w:lang w:bidi="ar"/>
        </w:rPr>
        <w:fldChar w:fldCharType="end"/>
      </w:r>
      <w:r>
        <w:rPr>
          <w:rFonts w:hint="eastAsia" w:asciiTheme="minorEastAsia" w:hAnsiTheme="minorEastAsia" w:eastAsiaTheme="minorEastAsia" w:cstheme="minorEastAsia"/>
          <w:color w:val="auto"/>
          <w:szCs w:val="21"/>
          <w:highlight w:val="none"/>
          <w:lang w:bidi="ar"/>
        </w:rPr>
        <w:t>），点击右侧咨询小采，获取采小蜜智能服务管家帮助，或拨打广西政府采购云服务热线 95763 获取热线服务帮助。</w:t>
      </w:r>
    </w:p>
    <w:p w14:paraId="5AF6BAE6">
      <w:pPr>
        <w:pStyle w:val="3"/>
        <w:shd w:val="clear" w:color="auto" w:fill="auto"/>
        <w:spacing w:before="0" w:after="0" w:line="360" w:lineRule="auto"/>
        <w:ind w:firstLine="482" w:firstLineChars="200"/>
        <w:rPr>
          <w:rFonts w:hint="eastAsia" w:asciiTheme="minorEastAsia" w:hAnsiTheme="minorEastAsia" w:eastAsiaTheme="minorEastAsia" w:cstheme="minorEastAsia"/>
          <w:bCs w:val="0"/>
          <w:color w:val="auto"/>
          <w:sz w:val="24"/>
          <w:szCs w:val="24"/>
          <w:highlight w:val="none"/>
        </w:rPr>
      </w:pPr>
      <w:bookmarkStart w:id="85" w:name="_Toc22797"/>
      <w:bookmarkStart w:id="86" w:name="_Toc17624"/>
      <w:bookmarkStart w:id="87" w:name="_Toc25124"/>
      <w:bookmarkStart w:id="88" w:name="_Toc16871"/>
      <w:bookmarkStart w:id="89" w:name="_Toc28359018"/>
      <w:bookmarkStart w:id="90" w:name="_Toc44229885"/>
      <w:bookmarkStart w:id="91" w:name="_Toc12913"/>
      <w:bookmarkStart w:id="92" w:name="_Toc17435"/>
      <w:bookmarkStart w:id="93" w:name="_Toc35393636"/>
      <w:bookmarkStart w:id="94" w:name="_Toc35393805"/>
      <w:bookmarkStart w:id="95" w:name="_Toc73549986"/>
      <w:bookmarkStart w:id="96" w:name="_Toc28359095"/>
      <w:r>
        <w:rPr>
          <w:rFonts w:hint="eastAsia" w:asciiTheme="minorEastAsia" w:hAnsiTheme="minorEastAsia" w:eastAsiaTheme="minorEastAsia" w:cstheme="minorEastAsia"/>
          <w:bCs w:val="0"/>
          <w:color w:val="auto"/>
          <w:sz w:val="24"/>
          <w:szCs w:val="24"/>
          <w:highlight w:val="none"/>
        </w:rPr>
        <w:t>八、凡对本次采购提出询问，请按以下方式联系。</w:t>
      </w:r>
      <w:bookmarkEnd w:id="85"/>
      <w:bookmarkEnd w:id="86"/>
      <w:bookmarkEnd w:id="87"/>
      <w:bookmarkEnd w:id="88"/>
      <w:bookmarkEnd w:id="89"/>
      <w:bookmarkEnd w:id="90"/>
      <w:bookmarkEnd w:id="91"/>
      <w:bookmarkEnd w:id="92"/>
      <w:bookmarkEnd w:id="93"/>
      <w:bookmarkEnd w:id="94"/>
      <w:bookmarkEnd w:id="95"/>
      <w:bookmarkEnd w:id="96"/>
    </w:p>
    <w:p w14:paraId="289978E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1.采购人信息：广西壮族自治区人民医院</w:t>
      </w:r>
    </w:p>
    <w:p w14:paraId="5D4AEEC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地址：广西壮族自治区南宁市青秀区桃源路6号</w:t>
      </w:r>
    </w:p>
    <w:p w14:paraId="07CB173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联系方式：</w:t>
      </w:r>
      <w:bookmarkStart w:id="97" w:name="_Toc28359009"/>
      <w:bookmarkStart w:id="98" w:name="_Toc28359086"/>
      <w:r>
        <w:rPr>
          <w:rFonts w:hint="eastAsia" w:asciiTheme="minorEastAsia" w:hAnsiTheme="minorEastAsia" w:eastAsiaTheme="minorEastAsia" w:cstheme="minorEastAsia"/>
          <w:color w:val="auto"/>
          <w:szCs w:val="21"/>
          <w:highlight w:val="none"/>
          <w:lang w:eastAsia="zh-CN"/>
        </w:rPr>
        <w:t>朱纲  联系电话：0771-5722430</w:t>
      </w:r>
    </w:p>
    <w:bookmarkEnd w:id="97"/>
    <w:bookmarkEnd w:id="98"/>
    <w:p w14:paraId="5BDD44A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 xml:space="preserve">2.采购代理机构名称：广西建设工程机电设备招标中心有限公司 </w:t>
      </w:r>
    </w:p>
    <w:p w14:paraId="7F54A45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 xml:space="preserve">地址：广西南宁市青秀区枫林路18号广西国控集团（枫林路办公区）裙楼三层 </w:t>
      </w:r>
    </w:p>
    <w:p w14:paraId="27CB76D1">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联系人：江艳妹、陈秋蓉、方芳       联系电话：0771-2804614</w:t>
      </w:r>
    </w:p>
    <w:p w14:paraId="3AA54210">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3.项目联系方式</w:t>
      </w:r>
    </w:p>
    <w:p w14:paraId="311CFE1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联系人：江艳妹、陈秋蓉、方芳       联系电话：0771-2804614</w:t>
      </w:r>
    </w:p>
    <w:p w14:paraId="7104436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p>
    <w:p w14:paraId="589D7A8C">
      <w:pPr>
        <w:shd w:val="clear" w:color="auto" w:fill="auto"/>
        <w:spacing w:line="360" w:lineRule="auto"/>
        <w:ind w:firstLine="420" w:firstLineChars="200"/>
        <w:jc w:val="right"/>
        <w:rPr>
          <w:rFonts w:hint="eastAsia" w:asciiTheme="minorEastAsia" w:hAnsiTheme="minorEastAsia" w:eastAsiaTheme="minorEastAsia" w:cstheme="minorEastAsia"/>
          <w:color w:val="auto"/>
          <w:szCs w:val="21"/>
          <w:highlight w:val="none"/>
        </w:rPr>
      </w:pPr>
    </w:p>
    <w:p w14:paraId="386AA09D">
      <w:pPr>
        <w:shd w:val="clear" w:color="auto" w:fill="auto"/>
        <w:spacing w:line="360" w:lineRule="auto"/>
        <w:ind w:firstLine="420" w:firstLineChars="200"/>
        <w:jc w:val="right"/>
        <w:rPr>
          <w:rFonts w:hint="eastAsia" w:asciiTheme="minorEastAsia" w:hAnsiTheme="minorEastAsia" w:eastAsiaTheme="minorEastAsia" w:cstheme="minorEastAsia"/>
          <w:color w:val="auto"/>
          <w:szCs w:val="21"/>
          <w:highlight w:val="none"/>
        </w:rPr>
      </w:pPr>
    </w:p>
    <w:p w14:paraId="6B8C8B5A">
      <w:pPr>
        <w:shd w:val="clear" w:color="auto" w:fill="auto"/>
        <w:spacing w:line="360" w:lineRule="auto"/>
        <w:ind w:firstLine="420" w:firstLineChars="200"/>
        <w:jc w:val="righ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釆购代理机构：</w:t>
      </w:r>
      <w:r>
        <w:rPr>
          <w:rFonts w:hint="eastAsia" w:asciiTheme="minorEastAsia" w:hAnsiTheme="minorEastAsia" w:eastAsiaTheme="minorEastAsia" w:cstheme="minorEastAsia"/>
          <w:color w:val="auto"/>
          <w:szCs w:val="21"/>
          <w:highlight w:val="none"/>
          <w:lang w:eastAsia="zh-CN"/>
        </w:rPr>
        <w:t>广西建设工程机电设备招标中心有限公司</w:t>
      </w:r>
    </w:p>
    <w:p w14:paraId="7568B690">
      <w:pPr>
        <w:shd w:val="clear" w:color="auto" w:fill="auto"/>
        <w:spacing w:line="360" w:lineRule="auto"/>
        <w:jc w:val="right"/>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color w:val="auto"/>
          <w:szCs w:val="21"/>
          <w:highlight w:val="none"/>
        </w:rPr>
        <w:t xml:space="preserve">        202</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22</w:t>
      </w:r>
      <w:r>
        <w:rPr>
          <w:rFonts w:hint="eastAsia" w:asciiTheme="minorEastAsia" w:hAnsiTheme="minorEastAsia" w:eastAsiaTheme="minorEastAsia" w:cstheme="minorEastAsia"/>
          <w:color w:val="auto"/>
          <w:szCs w:val="21"/>
          <w:highlight w:val="none"/>
        </w:rPr>
        <w:t>日</w:t>
      </w:r>
      <w:bookmarkEnd w:id="2"/>
    </w:p>
    <w:p w14:paraId="55D6A57E">
      <w:pPr>
        <w:pStyle w:val="2"/>
        <w:shd w:val="clear" w:color="auto" w:fill="auto"/>
        <w:spacing w:line="360" w:lineRule="auto"/>
        <w:jc w:val="center"/>
        <w:rPr>
          <w:rFonts w:hint="eastAsia" w:asciiTheme="minorEastAsia" w:hAnsiTheme="minorEastAsia" w:eastAsiaTheme="minorEastAsia" w:cstheme="minorEastAsia"/>
          <w:b/>
          <w:color w:val="auto"/>
          <w:highlight w:val="none"/>
        </w:rPr>
        <w:sectPr>
          <w:headerReference r:id="rId8" w:type="default"/>
          <w:footerReference r:id="rId9" w:type="default"/>
          <w:pgSz w:w="11906" w:h="16839"/>
          <w:pgMar w:top="1431" w:right="1051" w:bottom="1362" w:left="1088" w:header="0" w:footer="1200" w:gutter="0"/>
          <w:pgNumType w:fmt="decimal"/>
          <w:cols w:space="720" w:num="1"/>
        </w:sectPr>
      </w:pPr>
      <w:bookmarkStart w:id="99" w:name="_Toc44229894"/>
      <w:bookmarkStart w:id="100" w:name="_Toc29965"/>
    </w:p>
    <w:p w14:paraId="05E78171">
      <w:pPr>
        <w:pStyle w:val="2"/>
        <w:numPr>
          <w:ilvl w:val="0"/>
          <w:numId w:val="0"/>
        </w:num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kern w:val="44"/>
          <w:sz w:val="44"/>
          <w:szCs w:val="24"/>
          <w:highlight w:val="none"/>
          <w:lang w:val="en-US" w:eastAsia="zh-CN" w:bidi="ar-SA"/>
        </w:rPr>
        <w:t>第二章  供应商须知</w:t>
      </w:r>
      <w:bookmarkEnd w:id="99"/>
      <w:bookmarkEnd w:id="100"/>
    </w:p>
    <w:p w14:paraId="57A0724E">
      <w:pPr>
        <w:shd w:val="clear" w:color="auto" w:fill="auto"/>
        <w:spacing w:line="360" w:lineRule="auto"/>
        <w:jc w:val="center"/>
        <w:outlineLvl w:val="1"/>
        <w:rPr>
          <w:rFonts w:hint="eastAsia" w:asciiTheme="minorEastAsia" w:hAnsiTheme="minorEastAsia" w:eastAsiaTheme="minorEastAsia" w:cstheme="minorEastAsia"/>
          <w:b/>
          <w:color w:val="auto"/>
          <w:sz w:val="32"/>
          <w:szCs w:val="32"/>
          <w:highlight w:val="none"/>
        </w:rPr>
      </w:pPr>
      <w:bookmarkStart w:id="101" w:name="_Toc5394"/>
      <w:r>
        <w:rPr>
          <w:rFonts w:hint="eastAsia" w:asciiTheme="minorEastAsia" w:hAnsiTheme="minorEastAsia" w:eastAsiaTheme="minorEastAsia" w:cstheme="minorEastAsia"/>
          <w:b/>
          <w:color w:val="auto"/>
          <w:sz w:val="32"/>
          <w:szCs w:val="32"/>
          <w:highlight w:val="none"/>
        </w:rPr>
        <w:t>第一节 供应商须知前附表</w:t>
      </w:r>
      <w:bookmarkEnd w:id="101"/>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510"/>
      </w:tblGrid>
      <w:tr w14:paraId="4974F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top"/>
          </w:tcPr>
          <w:p w14:paraId="205CEA1E">
            <w:pPr>
              <w:shd w:val="clear" w:color="auto" w:fill="auto"/>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条款号</w:t>
            </w:r>
          </w:p>
        </w:tc>
        <w:tc>
          <w:tcPr>
            <w:tcW w:w="8510" w:type="dxa"/>
            <w:noWrap w:val="0"/>
            <w:vAlign w:val="top"/>
          </w:tcPr>
          <w:p w14:paraId="4A62A03F">
            <w:pPr>
              <w:shd w:val="clear" w:color="auto" w:fill="auto"/>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内    容</w:t>
            </w:r>
          </w:p>
        </w:tc>
      </w:tr>
      <w:tr w14:paraId="58F65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5D30A16E">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8510" w:type="dxa"/>
            <w:noWrap w:val="0"/>
            <w:vAlign w:val="center"/>
          </w:tcPr>
          <w:p w14:paraId="4A797A54">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供应商的资格条件</w:t>
            </w:r>
            <w:r>
              <w:rPr>
                <w:rFonts w:hint="eastAsia" w:asciiTheme="minorEastAsia" w:hAnsiTheme="minorEastAsia" w:eastAsiaTheme="minorEastAsia" w:cstheme="minorEastAsia"/>
                <w:color w:val="auto"/>
                <w:szCs w:val="21"/>
                <w:highlight w:val="none"/>
              </w:rPr>
              <w:t>：详见</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公告</w:t>
            </w:r>
          </w:p>
        </w:tc>
      </w:tr>
      <w:tr w14:paraId="1B2FC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5A0B9449">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w:t>
            </w:r>
          </w:p>
        </w:tc>
        <w:tc>
          <w:tcPr>
            <w:tcW w:w="8510" w:type="dxa"/>
            <w:noWrap w:val="0"/>
            <w:vAlign w:val="center"/>
          </w:tcPr>
          <w:p w14:paraId="51CB12B2">
            <w:pPr>
              <w:shd w:val="clear" w:color="auto" w:fill="auto"/>
              <w:spacing w:line="360" w:lineRule="auto"/>
              <w:rPr>
                <w:rFonts w:hint="eastAsia" w:eastAsia="宋体" w:asciiTheme="minorEastAsia" w:hAnsi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是否接受联合体竞标：</w:t>
            </w:r>
            <w:r>
              <w:rPr>
                <w:spacing w:val="9"/>
                <w:highlight w:val="none"/>
              </w:rPr>
              <w:t>详见竞争性谈判公告</w:t>
            </w:r>
            <w:r>
              <w:rPr>
                <w:rFonts w:hint="eastAsia"/>
                <w:spacing w:val="9"/>
                <w:highlight w:val="none"/>
                <w:lang w:eastAsia="zh-CN"/>
              </w:rPr>
              <w:t>。</w:t>
            </w:r>
          </w:p>
        </w:tc>
      </w:tr>
      <w:tr w14:paraId="5B285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1E78B429">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w:t>
            </w:r>
          </w:p>
        </w:tc>
        <w:tc>
          <w:tcPr>
            <w:tcW w:w="8510" w:type="dxa"/>
            <w:noWrap w:val="0"/>
            <w:vAlign w:val="center"/>
          </w:tcPr>
          <w:p w14:paraId="421BD190">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如接受联合体竞标，联合体竞标要求如下：无。</w:t>
            </w:r>
          </w:p>
        </w:tc>
      </w:tr>
      <w:tr w14:paraId="726AE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2269B448">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w:t>
            </w:r>
          </w:p>
        </w:tc>
        <w:tc>
          <w:tcPr>
            <w:tcW w:w="8510" w:type="dxa"/>
            <w:noWrap w:val="0"/>
            <w:vAlign w:val="center"/>
          </w:tcPr>
          <w:p w14:paraId="73F23186">
            <w:pPr>
              <w:pStyle w:val="8"/>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☑不允许分包</w:t>
            </w:r>
          </w:p>
          <w:p w14:paraId="41F69904">
            <w:pPr>
              <w:pStyle w:val="8"/>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□允许分包</w:t>
            </w:r>
          </w:p>
          <w:p w14:paraId="33BAFC26">
            <w:pPr>
              <w:pStyle w:val="8"/>
              <w:shd w:val="clear" w:color="auto" w:fill="auto"/>
              <w:spacing w:line="360" w:lineRule="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分包内容：</w:t>
            </w:r>
            <w:r>
              <w:rPr>
                <w:rFonts w:hint="eastAsia" w:asciiTheme="minorEastAsia" w:hAnsiTheme="minorEastAsia" w:eastAsiaTheme="minorEastAsia" w:cstheme="minorEastAsia"/>
                <w:color w:val="auto"/>
                <w:szCs w:val="21"/>
                <w:highlight w:val="none"/>
                <w:u w:val="single"/>
              </w:rPr>
              <w:t>无</w:t>
            </w:r>
          </w:p>
          <w:p w14:paraId="72D27AE2">
            <w:pPr>
              <w:pStyle w:val="8"/>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分包金额或者比例：</w:t>
            </w:r>
            <w:r>
              <w:rPr>
                <w:rFonts w:hint="eastAsia" w:asciiTheme="minorEastAsia" w:hAnsiTheme="minorEastAsia" w:eastAsiaTheme="minorEastAsia" w:cstheme="minorEastAsia"/>
                <w:color w:val="auto"/>
                <w:szCs w:val="21"/>
                <w:highlight w:val="none"/>
                <w:u w:val="single"/>
              </w:rPr>
              <w:t>无</w:t>
            </w:r>
          </w:p>
        </w:tc>
      </w:tr>
      <w:tr w14:paraId="2DA4B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6965AAC5">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12.1.1</w:t>
            </w:r>
          </w:p>
        </w:tc>
        <w:tc>
          <w:tcPr>
            <w:tcW w:w="8510" w:type="dxa"/>
            <w:noWrap w:val="0"/>
            <w:vAlign w:val="center"/>
          </w:tcPr>
          <w:p w14:paraId="4B89B504">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资格证明文件</w:t>
            </w:r>
          </w:p>
          <w:p w14:paraId="7A6A5F73">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1、供应商为法人或者其他组织的，证明文件为其营业执照复印件（如营业执照或者事业单位法人证书或者执业许可证等）；供应商为自然人的，证明文件为其身份证复印件；</w:t>
            </w:r>
            <w:r>
              <w:rPr>
                <w:rFonts w:hint="eastAsia" w:asciiTheme="minorEastAsia" w:hAnsiTheme="minorEastAsia" w:eastAsiaTheme="minorEastAsia" w:cstheme="minorEastAsia"/>
                <w:b/>
                <w:bCs/>
                <w:color w:val="auto"/>
                <w:highlight w:val="none"/>
              </w:rPr>
              <w:t>（必须提供，否则响应文件按无效响应处理）</w:t>
            </w:r>
          </w:p>
          <w:p w14:paraId="084C3FE0">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2、供应商依法缴纳税收的相关材料（</w:t>
            </w:r>
            <w:r>
              <w:rPr>
                <w:rFonts w:hint="eastAsia" w:asciiTheme="minorEastAsia" w:hAnsiTheme="minorEastAsia" w:eastAsiaTheme="minorEastAsia" w:cstheme="minorEastAsia"/>
                <w:b w:val="0"/>
                <w:bCs w:val="0"/>
                <w:color w:val="auto"/>
                <w:highlight w:val="none"/>
              </w:rPr>
              <w:t>2025 年</w:t>
            </w:r>
            <w:r>
              <w:rPr>
                <w:rFonts w:hint="eastAsia" w:asciiTheme="minorEastAsia" w:hAnsiTheme="minorEastAsia" w:eastAsiaTheme="minorEastAsia" w:cstheme="minorEastAsia"/>
                <w:b w:val="0"/>
                <w:bCs w:val="0"/>
                <w:color w:val="auto"/>
                <w:highlight w:val="none"/>
                <w:lang w:val="en-US" w:eastAsia="zh-CN"/>
              </w:rPr>
              <w:t>12</w:t>
            </w:r>
            <w:r>
              <w:rPr>
                <w:rFonts w:hint="eastAsia" w:asciiTheme="minorEastAsia" w:hAnsiTheme="minorEastAsia" w:eastAsiaTheme="minorEastAsia" w:cstheme="minorEastAsia"/>
                <w:b w:val="0"/>
                <w:bCs w:val="0"/>
                <w:color w:val="auto"/>
                <w:highlight w:val="none"/>
              </w:rPr>
              <w:t>月至 2026 年</w:t>
            </w:r>
            <w:r>
              <w:rPr>
                <w:rFonts w:hint="eastAsia" w:asciiTheme="minorEastAsia" w:hAnsiTheme="minorEastAsia" w:eastAsiaTheme="minorEastAsia" w:cstheme="minorEastAsia"/>
                <w:b w:val="0"/>
                <w:bCs w:val="0"/>
                <w:color w:val="auto"/>
                <w:highlight w:val="none"/>
                <w:lang w:val="en-US" w:eastAsia="zh-CN"/>
              </w:rPr>
              <w:t>5</w:t>
            </w:r>
            <w:r>
              <w:rPr>
                <w:rFonts w:hint="eastAsia" w:asciiTheme="minorEastAsia" w:hAnsiTheme="minorEastAsia" w:eastAsiaTheme="minorEastAsia" w:cstheme="minorEastAsia"/>
                <w:b w:val="0"/>
                <w:bCs w:val="0"/>
                <w:color w:val="auto"/>
                <w:highlight w:val="none"/>
              </w:rPr>
              <w:t>月</w:t>
            </w:r>
            <w:r>
              <w:rPr>
                <w:rFonts w:hint="eastAsia" w:asciiTheme="minorEastAsia" w:hAnsiTheme="minorEastAsia" w:eastAsiaTheme="minorEastAsia" w:cstheme="minorEastAsia"/>
                <w:color w:val="auto"/>
                <w:highlight w:val="none"/>
              </w:rPr>
              <w:t>内连续 3个月的依法缴纳税收的凭据复印件；依法免税的，必须提供相应文件证明其依法免税。从成立之日起到响应文件提交截止时间止不足要求月数的，只需提供从成立之日起的依法缴纳税收相应证明文件）；</w:t>
            </w:r>
            <w:r>
              <w:rPr>
                <w:rFonts w:hint="eastAsia" w:asciiTheme="minorEastAsia" w:hAnsiTheme="minorEastAsia" w:eastAsiaTheme="minorEastAsia" w:cstheme="minorEastAsia"/>
                <w:b/>
                <w:bCs/>
                <w:color w:val="auto"/>
                <w:highlight w:val="none"/>
              </w:rPr>
              <w:t>（必须提供，否则响应文件按无效响应处理）</w:t>
            </w:r>
          </w:p>
          <w:p w14:paraId="109FBCA0">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3、供应商依法缴纳社会保障资金的相关材料[2025年</w:t>
            </w:r>
            <w:r>
              <w:rPr>
                <w:rFonts w:hint="eastAsia" w:asciiTheme="minorEastAsia" w:hAnsiTheme="minorEastAsia" w:eastAsiaTheme="minorEastAsia" w:cstheme="minorEastAsia"/>
                <w:color w:val="auto"/>
                <w:highlight w:val="none"/>
                <w:lang w:val="en-US" w:eastAsia="zh-CN"/>
              </w:rPr>
              <w:t>12</w:t>
            </w:r>
            <w:r>
              <w:rPr>
                <w:rFonts w:hint="eastAsia" w:asciiTheme="minorEastAsia" w:hAnsiTheme="minorEastAsia" w:eastAsiaTheme="minorEastAsia" w:cstheme="minorEastAsia"/>
                <w:color w:val="auto"/>
                <w:highlight w:val="none"/>
              </w:rPr>
              <w:t xml:space="preserve"> 月至 2026 年</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月内连续 3 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rFonts w:hint="eastAsia" w:asciiTheme="minorEastAsia" w:hAnsiTheme="minorEastAsia" w:eastAsiaTheme="minorEastAsia" w:cstheme="minorEastAsia"/>
                <w:b/>
                <w:bCs/>
                <w:color w:val="auto"/>
                <w:highlight w:val="none"/>
              </w:rPr>
              <w:t>（必须提供，否则响应文件按无效响应处理）</w:t>
            </w:r>
          </w:p>
          <w:p w14:paraId="3F15A121">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4、供应商财务状况报告</w:t>
            </w:r>
            <w:r>
              <w:rPr>
                <w:rFonts w:hint="eastAsia" w:asciiTheme="minorEastAsia" w:hAnsiTheme="minorEastAsia" w:eastAsiaTheme="minorEastAsia" w:cstheme="minorEastAsia"/>
                <w:b w:val="0"/>
                <w:bCs w:val="0"/>
                <w:color w:val="auto"/>
                <w:highlight w:val="none"/>
              </w:rPr>
              <w:t>（2024年</w:t>
            </w:r>
            <w:r>
              <w:rPr>
                <w:rFonts w:hint="eastAsia" w:asciiTheme="minorEastAsia" w:hAnsiTheme="minorEastAsia" w:eastAsiaTheme="minorEastAsia" w:cstheme="minorEastAsia"/>
                <w:b w:val="0"/>
                <w:bCs w:val="0"/>
                <w:color w:val="auto"/>
                <w:highlight w:val="none"/>
                <w:lang w:eastAsia="zh-CN"/>
              </w:rPr>
              <w:t>或</w:t>
            </w:r>
            <w:r>
              <w:rPr>
                <w:rFonts w:hint="eastAsia" w:asciiTheme="minorEastAsia" w:hAnsiTheme="minorEastAsia" w:eastAsiaTheme="minorEastAsia" w:cstheme="minorEastAsia"/>
                <w:b w:val="0"/>
                <w:bCs w:val="0"/>
                <w:color w:val="auto"/>
                <w:highlight w:val="none"/>
                <w:lang w:val="en-US" w:eastAsia="zh-CN"/>
              </w:rPr>
              <w:t>2025年</w:t>
            </w:r>
            <w:r>
              <w:rPr>
                <w:rFonts w:hint="eastAsia" w:asciiTheme="minorEastAsia" w:hAnsiTheme="minorEastAsia" w:eastAsiaTheme="minorEastAsia" w:cstheme="minorEastAsia"/>
                <w:color w:val="auto"/>
                <w:highlight w:val="none"/>
              </w:rPr>
              <w:t>度财务报表复印件或者银行出具的资信证明；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r>
              <w:rPr>
                <w:rFonts w:hint="eastAsia" w:asciiTheme="minorEastAsia" w:hAnsiTheme="minorEastAsia" w:eastAsiaTheme="minorEastAsia" w:cstheme="minorEastAsia"/>
                <w:b/>
                <w:bCs/>
                <w:color w:val="auto"/>
                <w:highlight w:val="none"/>
              </w:rPr>
              <w:t>（除自然人外必须提供，否则响应文件按无效响应处理）</w:t>
            </w:r>
          </w:p>
          <w:p w14:paraId="09B0AB7F">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5、供应商直接控股、管理关系信息表（格式后附）；</w:t>
            </w:r>
            <w:r>
              <w:rPr>
                <w:rFonts w:hint="eastAsia" w:asciiTheme="minorEastAsia" w:hAnsiTheme="minorEastAsia" w:eastAsiaTheme="minorEastAsia" w:cstheme="minorEastAsia"/>
                <w:b/>
                <w:bCs/>
                <w:color w:val="auto"/>
                <w:highlight w:val="none"/>
              </w:rPr>
              <w:t>（必须提供，否则响应文件按无效响应处理）</w:t>
            </w:r>
          </w:p>
          <w:p w14:paraId="50AB12A1">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6、竞标声明（格式后附）；</w:t>
            </w:r>
            <w:r>
              <w:rPr>
                <w:rFonts w:hint="eastAsia" w:asciiTheme="minorEastAsia" w:hAnsiTheme="minorEastAsia" w:eastAsiaTheme="minorEastAsia" w:cstheme="minorEastAsia"/>
                <w:b/>
                <w:bCs/>
                <w:color w:val="auto"/>
                <w:highlight w:val="none"/>
              </w:rPr>
              <w:t>（必须提供，否则响应文件按无效响应处理）</w:t>
            </w:r>
          </w:p>
          <w:p w14:paraId="2F94FF32">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7 、供应商须有效的建筑工程施工总承包</w:t>
            </w:r>
            <w:r>
              <w:rPr>
                <w:rFonts w:hint="eastAsia" w:asciiTheme="minorEastAsia" w:hAnsiTheme="minorEastAsia" w:eastAsiaTheme="minorEastAsia" w:cstheme="minorEastAsia"/>
                <w:color w:val="auto"/>
                <w:highlight w:val="none"/>
                <w:lang w:eastAsia="zh-CN"/>
              </w:rPr>
              <w:t>三</w:t>
            </w:r>
            <w:r>
              <w:rPr>
                <w:rFonts w:hint="eastAsia" w:asciiTheme="minorEastAsia" w:hAnsiTheme="minorEastAsia" w:eastAsiaTheme="minorEastAsia" w:cstheme="minorEastAsia"/>
                <w:color w:val="auto"/>
                <w:highlight w:val="none"/>
              </w:rPr>
              <w:t>级及以上资质复印件及供应商拟派项目经理为施工企业注册人员且具备建筑工程专业贰级及以上注册建造师资格、有效的安全生产考核合格证书（B 类）复印件、专职安全员有效的安全生产考核合格证书（C 类）复印件；</w:t>
            </w:r>
            <w:r>
              <w:rPr>
                <w:rFonts w:hint="eastAsia" w:asciiTheme="minorEastAsia" w:hAnsiTheme="minorEastAsia" w:eastAsiaTheme="minorEastAsia" w:cstheme="minorEastAsia"/>
                <w:b/>
                <w:bCs/>
                <w:color w:val="auto"/>
                <w:highlight w:val="none"/>
              </w:rPr>
              <w:t>（必须提供，否则响应文件按无效响应处理）</w:t>
            </w:r>
          </w:p>
          <w:p w14:paraId="3EB228A3">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lang w:val="en-US" w:eastAsia="zh-CN"/>
              </w:rPr>
              <w:t>8</w:t>
            </w:r>
            <w:r>
              <w:rPr>
                <w:rFonts w:hint="eastAsia" w:asciiTheme="minorEastAsia" w:hAnsiTheme="minorEastAsia" w:eastAsiaTheme="minorEastAsia" w:cstheme="minorEastAsia"/>
                <w:color w:val="auto"/>
                <w:highlight w:val="none"/>
              </w:rPr>
              <w:t>、中小企业声明函或监狱企业由省级以上监狱管理局、戒毒管理局（含新疆生产建设兵团）出具的属于监狱企业的证明文件或残疾人福利性单位声明函（格式后附）；</w:t>
            </w:r>
            <w:r>
              <w:rPr>
                <w:rFonts w:hint="eastAsia" w:asciiTheme="minorEastAsia" w:hAnsiTheme="minorEastAsia" w:eastAsiaTheme="minorEastAsia" w:cstheme="minorEastAsia"/>
                <w:b/>
                <w:bCs/>
                <w:color w:val="auto"/>
                <w:highlight w:val="none"/>
              </w:rPr>
              <w:t>（必须提供，否则响应文件按无效响应处理）</w:t>
            </w:r>
          </w:p>
          <w:p w14:paraId="752C243D">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9</w:t>
            </w:r>
            <w:r>
              <w:rPr>
                <w:rFonts w:hint="eastAsia" w:asciiTheme="minorEastAsia" w:hAnsiTheme="minorEastAsia" w:eastAsiaTheme="minorEastAsia" w:cstheme="minorEastAsia"/>
                <w:color w:val="auto"/>
                <w:highlight w:val="none"/>
              </w:rPr>
              <w:t xml:space="preserve"> 、除采购文件规定必须提供以外，供应商认为需要提供的其他证明材料</w:t>
            </w:r>
            <w:r>
              <w:rPr>
                <w:rFonts w:hint="eastAsia" w:asciiTheme="minorEastAsia" w:hAnsiTheme="minorEastAsia" w:eastAsiaTheme="minorEastAsia" w:cstheme="minorEastAsia"/>
                <w:color w:val="auto"/>
                <w:highlight w:val="none"/>
                <w:lang w:eastAsia="zh-CN"/>
              </w:rPr>
              <w:t>。</w:t>
            </w:r>
          </w:p>
          <w:p w14:paraId="5AD6D606">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b/>
                <w:bCs/>
                <w:spacing w:val="-2"/>
                <w:highlight w:val="none"/>
              </w:rPr>
            </w:pPr>
            <w:r>
              <w:rPr>
                <w:b/>
                <w:bCs/>
                <w:spacing w:val="-2"/>
                <w:highlight w:val="none"/>
              </w:rPr>
              <w:t>注：</w:t>
            </w:r>
            <w:r>
              <w:rPr>
                <w:rFonts w:hint="eastAsia"/>
                <w:b/>
                <w:bCs/>
                <w:spacing w:val="-2"/>
                <w:highlight w:val="none"/>
              </w:rPr>
              <w:t>1.以上标明“必须提供”的材料，必须加盖供应商电子签章，必须提供的材料在第</w:t>
            </w:r>
            <w:r>
              <w:rPr>
                <w:rFonts w:hint="eastAsia"/>
                <w:b/>
                <w:bCs/>
                <w:spacing w:val="-2"/>
                <w:highlight w:val="none"/>
                <w:lang w:eastAsia="zh-CN"/>
              </w:rPr>
              <w:t>六</w:t>
            </w:r>
            <w:r>
              <w:rPr>
                <w:rFonts w:hint="eastAsia"/>
                <w:b/>
                <w:bCs/>
                <w:spacing w:val="-2"/>
                <w:highlight w:val="none"/>
              </w:rPr>
              <w:t>章“响应文件格式”中有要求法定代表人或委托代理人签字的，必须由法定代表人或委托代理人签字（或者电子签名）</w:t>
            </w:r>
            <w:r>
              <w:rPr>
                <w:rFonts w:hint="eastAsia"/>
                <w:b/>
                <w:bCs/>
                <w:spacing w:val="-2"/>
                <w:highlight w:val="none"/>
                <w:lang w:eastAsia="zh-CN"/>
              </w:rPr>
              <w:t>，</w:t>
            </w:r>
            <w:r>
              <w:rPr>
                <w:rFonts w:hint="eastAsia"/>
                <w:b/>
                <w:bCs/>
                <w:spacing w:val="-2"/>
                <w:highlight w:val="none"/>
              </w:rPr>
              <w:t>否则响应文件按无效处理。</w:t>
            </w:r>
          </w:p>
          <w:p w14:paraId="4BEC744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211" w:firstLineChars="100"/>
              <w:jc w:val="lef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kern w:val="2"/>
                <w:sz w:val="21"/>
                <w:szCs w:val="24"/>
                <w:highlight w:val="none"/>
                <w:lang w:val="en-US" w:eastAsia="zh-CN" w:bidi="ar-SA"/>
              </w:rPr>
              <w:t>2.</w:t>
            </w:r>
            <w:r>
              <w:rPr>
                <w:b/>
                <w:bCs/>
                <w:spacing w:val="-2"/>
                <w:highlight w:val="none"/>
              </w:rPr>
              <w:t>分公司参加竞标的，应当取得总公司授权，否则响应文件按无效响应处理。</w:t>
            </w:r>
          </w:p>
        </w:tc>
      </w:tr>
      <w:tr w14:paraId="12261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7C5B1C4C">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12.1.2</w:t>
            </w:r>
          </w:p>
        </w:tc>
        <w:tc>
          <w:tcPr>
            <w:tcW w:w="8510" w:type="dxa"/>
            <w:noWrap w:val="0"/>
            <w:vAlign w:val="center"/>
          </w:tcPr>
          <w:p w14:paraId="45BF6F73">
            <w:pPr>
              <w:shd w:val="clear" w:color="auto" w:fill="auto"/>
              <w:spacing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报价文件</w:t>
            </w:r>
          </w:p>
          <w:p w14:paraId="6847EDA5">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1.竞标函及竞标函附录（格式后附）；（</w:t>
            </w:r>
            <w:r>
              <w:rPr>
                <w:rFonts w:hint="eastAsia" w:asciiTheme="minorEastAsia" w:hAnsiTheme="minorEastAsia" w:eastAsiaTheme="minorEastAsia" w:cstheme="minorEastAsia"/>
                <w:b/>
                <w:color w:val="auto"/>
                <w:szCs w:val="21"/>
                <w:highlight w:val="none"/>
              </w:rPr>
              <w:t>必须提供，否则响应文件按无效处理</w:t>
            </w:r>
            <w:r>
              <w:rPr>
                <w:rFonts w:hint="eastAsia" w:asciiTheme="minorEastAsia" w:hAnsiTheme="minorEastAsia" w:eastAsiaTheme="minorEastAsia" w:cstheme="minorEastAsia"/>
                <w:color w:val="auto"/>
                <w:szCs w:val="21"/>
                <w:highlight w:val="none"/>
              </w:rPr>
              <w:t>）</w:t>
            </w:r>
          </w:p>
          <w:p w14:paraId="4C1E32A8">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2.竞标报价表（格式后附）；（</w:t>
            </w:r>
            <w:r>
              <w:rPr>
                <w:rFonts w:hint="eastAsia" w:asciiTheme="minorEastAsia" w:hAnsiTheme="minorEastAsia" w:eastAsiaTheme="minorEastAsia" w:cstheme="minorEastAsia"/>
                <w:b/>
                <w:color w:val="auto"/>
                <w:szCs w:val="21"/>
                <w:highlight w:val="none"/>
              </w:rPr>
              <w:t>必须提供，否则响应文件按无效处理</w:t>
            </w:r>
            <w:r>
              <w:rPr>
                <w:rFonts w:hint="eastAsia" w:asciiTheme="minorEastAsia" w:hAnsiTheme="minorEastAsia" w:eastAsiaTheme="minorEastAsia" w:cstheme="minorEastAsia"/>
                <w:color w:val="auto"/>
                <w:szCs w:val="21"/>
                <w:highlight w:val="none"/>
              </w:rPr>
              <w:t>）</w:t>
            </w:r>
          </w:p>
          <w:p w14:paraId="3D833A6D">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3.已标价工程量清单；（</w:t>
            </w:r>
            <w:r>
              <w:rPr>
                <w:rFonts w:hint="eastAsia" w:asciiTheme="minorEastAsia" w:hAnsiTheme="minorEastAsia" w:eastAsiaTheme="minorEastAsia" w:cstheme="minorEastAsia"/>
                <w:b/>
                <w:color w:val="auto"/>
                <w:szCs w:val="21"/>
                <w:highlight w:val="none"/>
              </w:rPr>
              <w:t>必须提供，否则响应文件按无效处理</w:t>
            </w:r>
            <w:r>
              <w:rPr>
                <w:rFonts w:hint="eastAsia" w:asciiTheme="minorEastAsia" w:hAnsiTheme="minorEastAsia" w:eastAsiaTheme="minorEastAsia" w:cstheme="minorEastAsia"/>
                <w:color w:val="auto"/>
                <w:szCs w:val="21"/>
                <w:highlight w:val="none"/>
              </w:rPr>
              <w:t>）</w:t>
            </w:r>
          </w:p>
          <w:p w14:paraId="138B84A6">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4.供应商认为需要提供的其他有关资料。</w:t>
            </w:r>
          </w:p>
          <w:p w14:paraId="2324CE30">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注：以上标明“必须提供 ”的材料属于复印件的，必须加盖供应商公章，否则响应文件按无效响应处理。</w:t>
            </w:r>
          </w:p>
        </w:tc>
      </w:tr>
      <w:tr w14:paraId="4975F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7810125D">
            <w:pPr>
              <w:shd w:val="clear" w:color="auto" w:fill="auto"/>
              <w:spacing w:line="360" w:lineRule="auto"/>
              <w:jc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12.1.3</w:t>
            </w:r>
          </w:p>
        </w:tc>
        <w:tc>
          <w:tcPr>
            <w:tcW w:w="8510" w:type="dxa"/>
            <w:noWrap w:val="0"/>
            <w:vAlign w:val="center"/>
          </w:tcPr>
          <w:p w14:paraId="58AAD109">
            <w:pPr>
              <w:shd w:val="clear" w:color="auto" w:fill="auto"/>
              <w:spacing w:line="360" w:lineRule="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商务技术文件</w:t>
            </w:r>
          </w:p>
          <w:p w14:paraId="14A90C86">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1.无串通竞标行为的承诺函（格式后附）；（</w:t>
            </w:r>
            <w:r>
              <w:rPr>
                <w:rFonts w:hint="eastAsia" w:asciiTheme="minorEastAsia" w:hAnsiTheme="minorEastAsia" w:eastAsiaTheme="minorEastAsia" w:cstheme="minorEastAsia"/>
                <w:b/>
                <w:color w:val="auto"/>
                <w:szCs w:val="21"/>
                <w:highlight w:val="none"/>
              </w:rPr>
              <w:t>必须提供，否则响应文件按无效处理</w:t>
            </w:r>
            <w:r>
              <w:rPr>
                <w:rFonts w:hint="eastAsia" w:asciiTheme="minorEastAsia" w:hAnsiTheme="minorEastAsia" w:eastAsiaTheme="minorEastAsia" w:cstheme="minorEastAsia"/>
                <w:color w:val="auto"/>
                <w:szCs w:val="21"/>
                <w:highlight w:val="none"/>
              </w:rPr>
              <w:t>）</w:t>
            </w:r>
          </w:p>
          <w:p w14:paraId="78C99757">
            <w:pPr>
              <w:shd w:val="clear" w:color="auto" w:fill="auto"/>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2.法定代表人身份证明书及法定代表人有效身份证正反面复印件（格式后附）；（</w:t>
            </w:r>
            <w:r>
              <w:rPr>
                <w:rFonts w:hint="eastAsia" w:asciiTheme="minorEastAsia" w:hAnsiTheme="minorEastAsia" w:eastAsiaTheme="minorEastAsia" w:cstheme="minorEastAsia"/>
                <w:b/>
                <w:color w:val="auto"/>
                <w:szCs w:val="21"/>
                <w:highlight w:val="none"/>
              </w:rPr>
              <w:t>必须提供，否则响应文件按无效处理</w:t>
            </w:r>
            <w:r>
              <w:rPr>
                <w:rFonts w:hint="eastAsia" w:asciiTheme="minorEastAsia" w:hAnsiTheme="minorEastAsia" w:eastAsiaTheme="minorEastAsia" w:cstheme="minorEastAsia"/>
                <w:color w:val="auto"/>
                <w:szCs w:val="21"/>
                <w:highlight w:val="none"/>
              </w:rPr>
              <w:t>）</w:t>
            </w:r>
          </w:p>
          <w:p w14:paraId="0381FB75">
            <w:pPr>
              <w:shd w:val="clear" w:color="auto" w:fill="auto"/>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3.授权委托书及委托代理人有效身份证正反面复印件（格式后附）；（</w:t>
            </w:r>
            <w:r>
              <w:rPr>
                <w:rFonts w:hint="eastAsia" w:asciiTheme="minorEastAsia" w:hAnsiTheme="minorEastAsia" w:eastAsiaTheme="minorEastAsia" w:cstheme="minorEastAsia"/>
                <w:b/>
                <w:color w:val="auto"/>
                <w:szCs w:val="21"/>
                <w:highlight w:val="none"/>
              </w:rPr>
              <w:t>委托时必须提供，否则响应文件按无效处理</w:t>
            </w:r>
            <w:r>
              <w:rPr>
                <w:rFonts w:hint="eastAsia" w:asciiTheme="minorEastAsia" w:hAnsiTheme="minorEastAsia" w:eastAsiaTheme="minorEastAsia" w:cstheme="minorEastAsia"/>
                <w:color w:val="auto"/>
                <w:szCs w:val="21"/>
                <w:highlight w:val="none"/>
              </w:rPr>
              <w:t>）</w:t>
            </w:r>
          </w:p>
          <w:p w14:paraId="27FC8FDF">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保证金提交凭证；（</w:t>
            </w:r>
            <w:r>
              <w:rPr>
                <w:rFonts w:hint="eastAsia" w:asciiTheme="minorEastAsia" w:hAnsiTheme="minorEastAsia" w:eastAsiaTheme="minorEastAsia" w:cstheme="minorEastAsia"/>
                <w:b/>
                <w:bCs/>
                <w:color w:val="auto"/>
                <w:highlight w:val="none"/>
              </w:rPr>
              <w:t>如要求提交</w:t>
            </w:r>
            <w:r>
              <w:rPr>
                <w:rFonts w:hint="eastAsia" w:asciiTheme="minorEastAsia" w:hAnsiTheme="minorEastAsia" w:eastAsiaTheme="minorEastAsia" w:cstheme="minorEastAsia"/>
                <w:b/>
                <w:bCs/>
                <w:color w:val="auto"/>
                <w:highlight w:val="none"/>
                <w:lang w:eastAsia="zh-CN"/>
              </w:rPr>
              <w:t>竞标保证金</w:t>
            </w:r>
            <w:r>
              <w:rPr>
                <w:rFonts w:hint="eastAsia" w:asciiTheme="minorEastAsia" w:hAnsiTheme="minorEastAsia" w:eastAsiaTheme="minorEastAsia" w:cstheme="minorEastAsia"/>
                <w:b/>
                <w:bCs/>
                <w:color w:val="auto"/>
                <w:highlight w:val="none"/>
              </w:rPr>
              <w:t>的则必须提供</w:t>
            </w:r>
            <w:r>
              <w:rPr>
                <w:rFonts w:hint="eastAsia" w:asciiTheme="minorEastAsia" w:hAnsiTheme="minorEastAsia" w:eastAsiaTheme="minorEastAsia" w:cstheme="minorEastAsia"/>
                <w:b/>
                <w:color w:val="auto"/>
                <w:szCs w:val="21"/>
                <w:highlight w:val="none"/>
              </w:rPr>
              <w:t>，否则响应文件按无效处理</w:t>
            </w:r>
            <w:r>
              <w:rPr>
                <w:rFonts w:hint="eastAsia" w:asciiTheme="minorEastAsia" w:hAnsiTheme="minorEastAsia" w:eastAsiaTheme="minorEastAsia" w:cstheme="minorEastAsia"/>
                <w:color w:val="auto"/>
                <w:szCs w:val="21"/>
                <w:highlight w:val="none"/>
              </w:rPr>
              <w:t>）</w:t>
            </w:r>
          </w:p>
          <w:p w14:paraId="13E24E06">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5.技术及商务偏离表</w:t>
            </w:r>
            <w:r>
              <w:rPr>
                <w:rFonts w:hint="eastAsia" w:asciiTheme="minorEastAsia" w:hAnsiTheme="minorEastAsia" w:eastAsiaTheme="minorEastAsia" w:cstheme="minorEastAsia"/>
                <w:color w:val="auto"/>
                <w:szCs w:val="21"/>
                <w:highlight w:val="none"/>
                <w:lang w:val="en-US" w:eastAsia="zh-CN"/>
              </w:rPr>
              <w:t>（格式后附）；</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必须提供，否则响应文件按无效处理</w:t>
            </w:r>
            <w:r>
              <w:rPr>
                <w:rFonts w:hint="eastAsia" w:asciiTheme="minorEastAsia" w:hAnsiTheme="minorEastAsia" w:eastAsiaTheme="minorEastAsia" w:cstheme="minorEastAsia"/>
                <w:color w:val="auto"/>
                <w:szCs w:val="21"/>
                <w:highlight w:val="none"/>
              </w:rPr>
              <w:t>）</w:t>
            </w:r>
          </w:p>
          <w:p w14:paraId="68A936E3">
            <w:pPr>
              <w:shd w:val="clear" w:color="auto" w:fill="auto"/>
              <w:spacing w:line="360" w:lineRule="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6.针对本项目的项目实施方案（包括但不限于： ①施工进度计划和各阶段进度的保证措施；②主要工程项目的施工方案、方法与技术措施；③工程质量管理体系及保证措施；④劳动力和材料投入计划；⑤拟投入本工程的主要施工机械设备情况及主要施工机械进场计划；⑥文明施工的技术组织措施。）；（格式自拟）</w:t>
            </w:r>
            <w:r>
              <w:rPr>
                <w:rFonts w:hint="eastAsia" w:asciiTheme="minorEastAsia" w:hAnsiTheme="minorEastAsia" w:eastAsiaTheme="minorEastAsia" w:cstheme="minorEastAsia"/>
                <w:b/>
                <w:bCs/>
                <w:color w:val="auto"/>
                <w:szCs w:val="21"/>
                <w:highlight w:val="none"/>
                <w:lang w:val="en-US" w:eastAsia="zh-CN"/>
              </w:rPr>
              <w:t>（必须提供，否则响应文件按无效响应处理）</w:t>
            </w:r>
          </w:p>
          <w:p w14:paraId="72D9CA3A">
            <w:pPr>
              <w:shd w:val="clear" w:color="auto" w:fill="auto"/>
              <w:spacing w:line="360" w:lineRule="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7、拟投入的项目经理资历表（格式后附）；</w:t>
            </w:r>
            <w:r>
              <w:rPr>
                <w:rFonts w:hint="eastAsia" w:asciiTheme="minorEastAsia" w:hAnsiTheme="minorEastAsia" w:eastAsiaTheme="minorEastAsia" w:cstheme="minorEastAsia"/>
                <w:b/>
                <w:bCs/>
                <w:color w:val="auto"/>
                <w:szCs w:val="21"/>
                <w:highlight w:val="none"/>
                <w:lang w:val="en-US" w:eastAsia="zh-CN"/>
              </w:rPr>
              <w:t>（必须提供，否则响应文件按无效响应处理）</w:t>
            </w:r>
          </w:p>
          <w:p w14:paraId="010AF936">
            <w:pPr>
              <w:shd w:val="clear" w:color="auto" w:fill="auto"/>
              <w:spacing w:line="360" w:lineRule="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9、拟投入的主要管理人员和技术人员资历表（格式后附）；</w:t>
            </w:r>
            <w:r>
              <w:rPr>
                <w:rFonts w:hint="eastAsia" w:asciiTheme="minorEastAsia" w:hAnsiTheme="minorEastAsia" w:eastAsiaTheme="minorEastAsia" w:cstheme="minorEastAsia"/>
                <w:b/>
                <w:bCs/>
                <w:color w:val="auto"/>
                <w:szCs w:val="21"/>
                <w:highlight w:val="none"/>
                <w:lang w:val="en-US" w:eastAsia="zh-CN"/>
              </w:rPr>
              <w:t>（必须提供，否则响应文件按无效响应处理）</w:t>
            </w:r>
          </w:p>
          <w:p w14:paraId="588E6CC5">
            <w:pPr>
              <w:shd w:val="clear" w:color="auto" w:fill="auto"/>
              <w:spacing w:line="360" w:lineRule="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10、建设工程项目管理承诺书（格式后附）；</w:t>
            </w:r>
            <w:r>
              <w:rPr>
                <w:rFonts w:hint="eastAsia" w:asciiTheme="minorEastAsia" w:hAnsiTheme="minorEastAsia" w:eastAsiaTheme="minorEastAsia" w:cstheme="minorEastAsia"/>
                <w:b/>
                <w:bCs/>
                <w:color w:val="auto"/>
                <w:szCs w:val="21"/>
                <w:highlight w:val="none"/>
                <w:lang w:val="en-US" w:eastAsia="zh-CN"/>
              </w:rPr>
              <w:t>（必须提供，否则响应文件按无效响应处理）</w:t>
            </w:r>
          </w:p>
          <w:p w14:paraId="5A0A90BC">
            <w:pPr>
              <w:shd w:val="clear" w:color="auto" w:fill="auto"/>
              <w:spacing w:line="360" w:lineRule="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11、农民工工资保证金承诺书（格式后附）；</w:t>
            </w:r>
            <w:r>
              <w:rPr>
                <w:rFonts w:hint="eastAsia" w:asciiTheme="minorEastAsia" w:hAnsiTheme="minorEastAsia" w:eastAsiaTheme="minorEastAsia" w:cstheme="minorEastAsia"/>
                <w:b/>
                <w:bCs/>
                <w:color w:val="auto"/>
                <w:szCs w:val="21"/>
                <w:highlight w:val="none"/>
                <w:lang w:val="en-US" w:eastAsia="zh-CN"/>
              </w:rPr>
              <w:t>（必须提供，否则响应文件按无效响应处理）</w:t>
            </w:r>
          </w:p>
          <w:p w14:paraId="3DCEE7AF">
            <w:pPr>
              <w:shd w:val="clear" w:color="auto" w:fill="auto"/>
              <w:spacing w:line="360" w:lineRule="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12、供应商任务需要提供的其他资料。</w:t>
            </w:r>
          </w:p>
          <w:p w14:paraId="1020F73A">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注：以上标明“必须提供 ”的材料属于复印件的，必须加盖供应商公章，否则响应文件按无效响应处理。</w:t>
            </w:r>
          </w:p>
        </w:tc>
      </w:tr>
      <w:tr w14:paraId="3D9D5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1BEC29A0">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12.2</w:t>
            </w:r>
          </w:p>
        </w:tc>
        <w:tc>
          <w:tcPr>
            <w:tcW w:w="8510" w:type="dxa"/>
            <w:noWrap w:val="0"/>
            <w:vAlign w:val="center"/>
          </w:tcPr>
          <w:p w14:paraId="1607A5D7">
            <w:pPr>
              <w:shd w:val="clear" w:color="auto" w:fill="auto"/>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1.响应文件电子版要求：按照本采购文件“第</w:t>
            </w:r>
            <w:r>
              <w:rPr>
                <w:rFonts w:hint="eastAsia" w:asciiTheme="minorEastAsia" w:hAnsiTheme="minorEastAsia" w:eastAsiaTheme="minorEastAsia" w:cstheme="minorEastAsia"/>
                <w:color w:val="auto"/>
                <w:szCs w:val="21"/>
                <w:highlight w:val="none"/>
                <w:lang w:eastAsia="zh-CN"/>
              </w:rPr>
              <w:t>六</w:t>
            </w:r>
            <w:r>
              <w:rPr>
                <w:rFonts w:hint="eastAsia" w:asciiTheme="minorEastAsia" w:hAnsiTheme="minorEastAsia" w:eastAsiaTheme="minorEastAsia" w:cstheme="minorEastAsia"/>
                <w:color w:val="auto"/>
                <w:szCs w:val="21"/>
                <w:highlight w:val="none"/>
              </w:rPr>
              <w:t>章 响应文件格式”编写（第</w:t>
            </w:r>
            <w:r>
              <w:rPr>
                <w:rFonts w:hint="eastAsia" w:asciiTheme="minorEastAsia" w:hAnsiTheme="minorEastAsia" w:eastAsiaTheme="minorEastAsia" w:cstheme="minorEastAsia"/>
                <w:color w:val="auto"/>
                <w:szCs w:val="21"/>
                <w:highlight w:val="none"/>
                <w:lang w:eastAsia="zh-CN"/>
              </w:rPr>
              <w:t>六</w:t>
            </w:r>
            <w:r>
              <w:rPr>
                <w:rFonts w:hint="eastAsia" w:asciiTheme="minorEastAsia" w:hAnsiTheme="minorEastAsia" w:eastAsiaTheme="minorEastAsia" w:cstheme="minorEastAsia"/>
                <w:color w:val="auto"/>
                <w:szCs w:val="21"/>
                <w:highlight w:val="none"/>
              </w:rPr>
              <w:t>章未附格式的，由供应商自行拟定），不可涂改并在规定处加盖公章，</w:t>
            </w:r>
            <w:r>
              <w:rPr>
                <w:rFonts w:hint="eastAsia" w:asciiTheme="minorEastAsia" w:hAnsiTheme="minorEastAsia" w:eastAsiaTheme="minorEastAsia" w:cstheme="minorEastAsia"/>
                <w:b/>
                <w:color w:val="auto"/>
                <w:szCs w:val="21"/>
                <w:highlight w:val="none"/>
              </w:rPr>
              <w:t>否则响应文件按无效响应处理</w:t>
            </w:r>
            <w:r>
              <w:rPr>
                <w:rFonts w:hint="eastAsia" w:asciiTheme="minorEastAsia" w:hAnsiTheme="minorEastAsia" w:eastAsiaTheme="minorEastAsia" w:cstheme="minorEastAsia"/>
                <w:color w:val="auto"/>
                <w:szCs w:val="21"/>
                <w:highlight w:val="none"/>
              </w:rPr>
              <w:t>。</w:t>
            </w:r>
          </w:p>
          <w:p w14:paraId="6F3CD354">
            <w:pPr>
              <w:shd w:val="clear" w:color="auto" w:fill="auto"/>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2.响应文件电子版密封方式：电子响应文件通过平台有效CA加密后在广西政府采购云平台投送。</w:t>
            </w:r>
          </w:p>
        </w:tc>
      </w:tr>
      <w:tr w14:paraId="03E45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6DEE5494">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15.2</w:t>
            </w:r>
          </w:p>
        </w:tc>
        <w:tc>
          <w:tcPr>
            <w:tcW w:w="8510" w:type="dxa"/>
            <w:noWrap w:val="0"/>
            <w:vAlign w:val="center"/>
          </w:tcPr>
          <w:p w14:paraId="7AD3D276">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竞标报价内容及要求：竞标报价必须包含完成该工程项目的成本、利润、增值税、技术措施费、设备费、风险费、政策性文件规定费用等所有费用。</w:t>
            </w:r>
          </w:p>
          <w:p w14:paraId="33DBB720">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1.</w:t>
            </w:r>
            <w:r>
              <w:rPr>
                <w:rFonts w:hint="eastAsia" w:asciiTheme="minorEastAsia" w:hAnsiTheme="minorEastAsia" w:eastAsiaTheme="minorEastAsia" w:cstheme="minorEastAsia"/>
                <w:color w:val="auto"/>
                <w:szCs w:val="21"/>
                <w:highlight w:val="none"/>
              </w:rPr>
              <w:t>本工程竞标报价采用工程量清单报价。</w:t>
            </w:r>
          </w:p>
          <w:p w14:paraId="49E2925F">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（1)供应商必须就所竞标的全部内容作完整报价，漏项报价的或有选择的或有条件的报价，其竞标将视为无效。</w:t>
            </w:r>
          </w:p>
          <w:p w14:paraId="036A3303">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项目采用工程量清单报价方式，供应商应使用符合该数据交换标准的计价软件导入电子工程量清单，填写单价和计算总额价，完成已标价工程量清单的编制。严禁供应商修改工程量清单的项目结构、标段名称、单项工程名称、单位工程名称、项目编码、项目名称、项目特征、计量单位、工程量、清单顺序和序号。供应商不得对工程量清单项目进行增减调整。</w:t>
            </w:r>
          </w:p>
          <w:p w14:paraId="327C2489">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（3）设计变更、签证工程的计价方法：①国家和自治区政策性调整有关费用标准的，按文件规定执行。②</w:t>
            </w:r>
            <w:r>
              <w:rPr>
                <w:rFonts w:hint="eastAsia" w:asciiTheme="minorEastAsia" w:hAnsiTheme="minorEastAsia" w:eastAsiaTheme="minorEastAsia" w:cstheme="minorEastAsia"/>
                <w:color w:val="auto"/>
                <w:szCs w:val="21"/>
                <w:highlight w:val="none"/>
                <w:lang w:val="en-US" w:eastAsia="zh-CN"/>
              </w:rPr>
              <w:t>采购</w:t>
            </w:r>
            <w:r>
              <w:rPr>
                <w:rFonts w:hint="eastAsia" w:asciiTheme="minorEastAsia" w:hAnsiTheme="minorEastAsia" w:eastAsiaTheme="minorEastAsia" w:cstheme="minorEastAsia"/>
                <w:color w:val="auto"/>
                <w:szCs w:val="21"/>
                <w:highlight w:val="none"/>
              </w:rPr>
              <w:t>人招标预算编制说明中暂定的价格实际发生时由双方协商定价。③招标工程量清单中漏项、施工图纸上标有的内容施工时作为增加工程签证，结算时按实际发生工程量进行结算。</w:t>
            </w:r>
          </w:p>
          <w:p w14:paraId="6A7A0E6F">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（4）竞标单位应认真填写工程量清单中所列的所有各细目的单价和合价，填写工程量清单时应注意：</w:t>
            </w:r>
          </w:p>
          <w:p w14:paraId="5571176B">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①有工程数量的应报单价和合价。</w:t>
            </w:r>
          </w:p>
          <w:p w14:paraId="239456F7">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②无工程数量的项目不报价。</w:t>
            </w:r>
          </w:p>
          <w:p w14:paraId="7179D06F">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（5）竞标供应商应按采购代理机构提供的工程量清单中列出的工程项目和工程量填报单价和合价。每一项目只允许有一个报价。任何有选择的报价将不予接受。竞标供应商未填单价或合价的工程项目在实施后，</w:t>
            </w:r>
            <w:r>
              <w:rPr>
                <w:rFonts w:hint="eastAsia" w:asciiTheme="minorEastAsia" w:hAnsiTheme="minorEastAsia" w:eastAsiaTheme="minorEastAsia" w:cstheme="minorEastAsia"/>
                <w:color w:val="auto"/>
                <w:szCs w:val="21"/>
                <w:highlight w:val="none"/>
                <w:lang w:val="en-US" w:eastAsia="zh-CN"/>
              </w:rPr>
              <w:t>采购单位</w:t>
            </w:r>
            <w:r>
              <w:rPr>
                <w:rFonts w:hint="eastAsia" w:asciiTheme="minorEastAsia" w:hAnsiTheme="minorEastAsia" w:eastAsiaTheme="minorEastAsia" w:cstheme="minorEastAsia"/>
                <w:color w:val="auto"/>
                <w:szCs w:val="21"/>
                <w:highlight w:val="none"/>
              </w:rPr>
              <w:t>将不予以支付，并视为该项费用已包括在其他有价款的单价或合价内，竞标供应商必须完成工程量清单中未填入单价或总额价的工程细目，但不能得到支付与结算。</w:t>
            </w:r>
          </w:p>
          <w:p w14:paraId="58AA483C">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采购人所提供的工程量清单，应认为已包括按正常施工工艺完成工程量清单项目各单项的有关内容。凡工程量清单所示工程所必不可少的附属工程、相关工程、衔接与后续工程所需的费用，供应商应计入相关项目的单价中。</w:t>
            </w:r>
          </w:p>
          <w:p w14:paraId="4B0B1BCF">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（7）供应商的竞标报价须按竞争性谈判文件及澄清答疑中所确认的工程量清单及清单顺序进行报价，否则，将视为实质上不响应竞争性谈判文件的要求。</w:t>
            </w:r>
          </w:p>
          <w:p w14:paraId="42FD2257">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（8）按采购预算控制价明细施工，工程最终按实际工程结算。</w:t>
            </w:r>
          </w:p>
          <w:p w14:paraId="51493997">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（9）承包方式：固定综合单价包干，包工包料。</w:t>
            </w:r>
          </w:p>
          <w:p w14:paraId="3188EBF8">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竞标供应商的临时占地（含预制厂、料厂、拌和站、借弃土场、项目部驻地等）租用费（含拆迁补偿）、临时用地的环保、恢复及所有临时性占地的青苗补偿及地面附着物发生的费用均由竞标供应商负责；由于竞标供应商原因引起工期延长造成竞标供应商临时占地的租用费增加由竞标供应商负责。以上费用在竞标价中自行考虑。</w:t>
            </w:r>
          </w:p>
          <w:p w14:paraId="3ACBABD7">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（11）竞标供应商在报价中所报的单价和合价，以及竞标报价汇总表中的价格均包括完成该工程项目的成本、利润、税金、开办费、技术措施费、大型机械进出场费、风险费、政策性文件规定费用等所有费用。</w:t>
            </w:r>
          </w:p>
          <w:p w14:paraId="10BDEA21">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（12）竞标供应商可先到工地踏勘以充分了解工地位置、情况、道路、储存空间、装卸限制及任何其他足以影响承包价的情况，任何因忽视或误解工地情况而导致的索赔或工期延长申请将不被批准。</w:t>
            </w:r>
          </w:p>
          <w:p w14:paraId="75A26DA9">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（13）竞标货币响应文件报价中的单价和合价全部采用人民币表示。</w:t>
            </w:r>
          </w:p>
          <w:p w14:paraId="3D2A532B">
            <w:pPr>
              <w:keepNext w:val="0"/>
              <w:keepLines w:val="0"/>
              <w:pageBreakBefore w:val="0"/>
              <w:widowControl w:val="0"/>
              <w:shd w:val="clear" w:color="auto" w:fill="auto"/>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（14）本项目采用多次报价方式，</w:t>
            </w:r>
            <w:r>
              <w:rPr>
                <w:rFonts w:hint="eastAsia" w:asciiTheme="minorEastAsia" w:hAnsiTheme="minorEastAsia" w:eastAsiaTheme="minorEastAsia" w:cstheme="minorEastAsia"/>
                <w:b/>
                <w:bCs/>
                <w:color w:val="auto"/>
                <w:szCs w:val="21"/>
                <w:highlight w:val="none"/>
              </w:rPr>
              <w:t>竞标供应商的最终报价如有变动，则必须以工程量清单报价表的格式编制提交，不得以总价下浮的方式</w:t>
            </w:r>
            <w:r>
              <w:rPr>
                <w:rFonts w:hint="eastAsia" w:asciiTheme="minorEastAsia" w:hAnsiTheme="minorEastAsia" w:eastAsiaTheme="minorEastAsia" w:cstheme="minorEastAsia"/>
                <w:b/>
                <w:bCs/>
                <w:color w:val="auto"/>
                <w:szCs w:val="21"/>
                <w:highlight w:val="none"/>
                <w:lang w:eastAsia="zh-CN"/>
              </w:rPr>
              <w:t>作</w:t>
            </w:r>
            <w:r>
              <w:rPr>
                <w:rFonts w:hint="eastAsia" w:asciiTheme="minorEastAsia" w:hAnsiTheme="minorEastAsia" w:eastAsiaTheme="minorEastAsia" w:cstheme="minorEastAsia"/>
                <w:b/>
                <w:bCs/>
                <w:color w:val="auto"/>
                <w:szCs w:val="21"/>
                <w:highlight w:val="none"/>
              </w:rPr>
              <w:t>报价，否则作无效竞标处理</w:t>
            </w:r>
            <w:r>
              <w:rPr>
                <w:rFonts w:hint="eastAsia" w:asciiTheme="minorEastAsia" w:hAnsiTheme="minorEastAsia" w:eastAsiaTheme="minorEastAsia" w:cstheme="minorEastAsia"/>
                <w:color w:val="auto"/>
                <w:szCs w:val="21"/>
                <w:highlight w:val="none"/>
              </w:rPr>
              <w:t>。竞标供应商须提前做好相关准备并按时提交最终报价文件。</w:t>
            </w:r>
          </w:p>
          <w:p w14:paraId="2A8FBEC7">
            <w:pPr>
              <w:keepNext w:val="0"/>
              <w:keepLines w:val="0"/>
              <w:pageBreakBefore w:val="0"/>
              <w:widowControl w:val="0"/>
              <w:numPr>
                <w:ilvl w:val="0"/>
                <w:numId w:val="0"/>
              </w:numPr>
              <w:kinsoku/>
              <w:wordWrap/>
              <w:overflowPunct/>
              <w:topLinePunct w:val="0"/>
              <w:autoSpaceDE/>
              <w:autoSpaceDN/>
              <w:bidi w:val="0"/>
              <w:adjustRightInd/>
              <w:spacing w:line="420" w:lineRule="exact"/>
              <w:textAlignment w:val="auto"/>
              <w:rPr>
                <w:rFonts w:hint="eastAsia" w:asciiTheme="minorEastAsia" w:hAnsiTheme="minorEastAsia" w:eastAsiaTheme="minorEastAsia" w:cstheme="minorEastAsia"/>
                <w:b/>
                <w:color w:val="auto"/>
                <w:kern w:val="2"/>
                <w:sz w:val="24"/>
                <w:szCs w:val="24"/>
                <w:highlight w:val="none"/>
                <w:lang w:val="en-US" w:eastAsia="zh-CN" w:bidi="ar-SA"/>
              </w:rPr>
            </w:pPr>
            <w:r>
              <w:rPr>
                <w:rFonts w:hint="eastAsia" w:ascii="宋体" w:hAnsi="宋体" w:eastAsia="宋体" w:cs="宋体"/>
                <w:b/>
                <w:bCs/>
                <w:color w:val="auto"/>
                <w:sz w:val="21"/>
                <w:szCs w:val="21"/>
                <w:highlight w:val="none"/>
                <w:lang w:val="en-US" w:eastAsia="zh-CN"/>
              </w:rPr>
              <w:t>2.</w:t>
            </w:r>
            <w:r>
              <w:rPr>
                <w:rFonts w:hint="eastAsia" w:asciiTheme="minorEastAsia" w:hAnsiTheme="minorEastAsia" w:eastAsiaTheme="minorEastAsia" w:cstheme="minorEastAsia"/>
                <w:b/>
                <w:color w:val="auto"/>
                <w:kern w:val="2"/>
                <w:sz w:val="24"/>
                <w:szCs w:val="24"/>
                <w:highlight w:val="none"/>
                <w:lang w:val="en-US" w:eastAsia="zh-CN" w:bidi="ar-SA"/>
              </w:rPr>
              <w:t>政府采购异常低价审查</w:t>
            </w:r>
          </w:p>
          <w:p w14:paraId="26602A04">
            <w:pPr>
              <w:pStyle w:val="9"/>
              <w:widowControl w:val="0"/>
              <w:numPr>
                <w:ilvl w:val="0"/>
                <w:numId w:val="0"/>
              </w:numPr>
              <w:spacing w:before="78" w:after="120" w:line="218" w:lineRule="auto"/>
              <w:jc w:val="both"/>
              <w:rPr>
                <w:rFonts w:hint="eastAsia" w:asciiTheme="minorEastAsia" w:hAnsiTheme="minorEastAsia" w:eastAsiaTheme="minorEastAsia" w:cstheme="minorEastAsia"/>
                <w:b/>
                <w:bCs/>
                <w:color w:val="auto"/>
                <w:kern w:val="2"/>
                <w:sz w:val="21"/>
                <w:szCs w:val="24"/>
                <w:highlight w:val="none"/>
                <w:lang w:val="en-US" w:eastAsia="zh-CN" w:bidi="ar-SA"/>
              </w:rPr>
            </w:pPr>
            <w:r>
              <w:rPr>
                <w:rFonts w:hint="eastAsia" w:asciiTheme="minorEastAsia" w:hAnsiTheme="minorEastAsia" w:eastAsiaTheme="minorEastAsia" w:cstheme="minorEastAsia"/>
                <w:b/>
                <w:bCs/>
                <w:color w:val="auto"/>
                <w:kern w:val="2"/>
                <w:sz w:val="21"/>
                <w:szCs w:val="24"/>
                <w:highlight w:val="none"/>
                <w:lang w:val="en-US" w:eastAsia="zh-CN" w:bidi="ar-SA"/>
              </w:rPr>
              <w:t>（一）谈判小组在评审中发现下列情形之一的，应当启动异常低价响应审查程序：</w:t>
            </w:r>
          </w:p>
          <w:p w14:paraId="424EE368">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（1）响应报价低于全部通过符合性审查供应商响应报价平均值 65%的，即响应报价&lt;全部通过符合性审查供应商响应报价平均值×65%；</w:t>
            </w:r>
          </w:p>
          <w:p w14:paraId="443AD3F7">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（2）响应报价低于通过符合性审查的次低报价供应商响应报价 65%的，即响应报价&lt;通过符合性审查的次低报价供应商响应报价×65%；</w:t>
            </w:r>
          </w:p>
          <w:p w14:paraId="71871303">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（3）响应报价低于采购项目最高限价 65%的，即响应报价&lt;采购项目最高限价×65%；</w:t>
            </w:r>
          </w:p>
          <w:p w14:paraId="0CCC9CA1">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（4）谈判小组基于专业判断，认为供应商报价过低，有可能影响工程质量或者不能诚信履约的其他情形。</w:t>
            </w:r>
          </w:p>
          <w:p w14:paraId="69EB9181">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相关法律法规对供应商报价有规定的，从其规定。</w:t>
            </w:r>
          </w:p>
          <w:p w14:paraId="0ECC104B">
            <w:p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（二）谈判小组启动异常低价响应审查后，属于前述第（1）项至第（4）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分钟。其中，属于第（3）项情形，供应商已随响应文件一并提交相关书面说明及必要的证明材料的，在评审现场可不再重复提交。</w:t>
            </w:r>
          </w:p>
          <w:p w14:paraId="28340474">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谈判小组依据专业经验，参考同类项目成交价格、类似项目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无效响应处理。</w:t>
            </w:r>
          </w:p>
          <w:p w14:paraId="5BF6C8BD">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采购人、采购代理机构应当为谈判小组在评审现场及时获取同类项目成交价格、类似项目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25428233">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lang w:val="en-US" w:eastAsia="zh-CN"/>
              </w:rPr>
              <w:t>异常低价响应审查的启动原因、审查意见和审查结果应当在评审报告中记录，并随供应商提供的相关书面说明及证明材料， 以及谈判小组有关互联网浏览、查询历史一并归档。</w:t>
            </w:r>
          </w:p>
        </w:tc>
      </w:tr>
      <w:tr w14:paraId="23866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992" w:type="dxa"/>
            <w:noWrap w:val="0"/>
            <w:vAlign w:val="center"/>
          </w:tcPr>
          <w:p w14:paraId="1EF9CB9A">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w:t>
            </w:r>
          </w:p>
        </w:tc>
        <w:tc>
          <w:tcPr>
            <w:tcW w:w="8510" w:type="dxa"/>
            <w:noWrap w:val="0"/>
            <w:vAlign w:val="center"/>
          </w:tcPr>
          <w:p w14:paraId="7F238851">
            <w:pPr>
              <w:shd w:val="clear" w:color="auto" w:fill="auto"/>
              <w:spacing w:line="360" w:lineRule="auto"/>
              <w:contextualSpacing/>
              <w:jc w:val="left"/>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highlight w:val="none"/>
              </w:rPr>
              <w:t>本工程增值税计税方法：</w:t>
            </w:r>
            <w:r>
              <w:rPr>
                <w:rFonts w:hint="eastAsia" w:asciiTheme="minorEastAsia" w:hAnsiTheme="minorEastAsia" w:eastAsiaTheme="minorEastAsia" w:cstheme="minorEastAsia"/>
                <w:color w:val="auto"/>
                <w:szCs w:val="21"/>
                <w:highlight w:val="none"/>
              </w:rPr>
              <w:sym w:font="Wingdings 2" w:char="F052"/>
            </w:r>
            <w:r>
              <w:rPr>
                <w:rFonts w:hint="eastAsia" w:asciiTheme="minorEastAsia" w:hAnsiTheme="minorEastAsia" w:eastAsiaTheme="minorEastAsia" w:cstheme="minorEastAsia"/>
                <w:color w:val="auto"/>
                <w:highlight w:val="none"/>
              </w:rPr>
              <w:t>一般计税法； □简易计税法</w:t>
            </w:r>
          </w:p>
        </w:tc>
      </w:tr>
      <w:tr w14:paraId="5C724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06A39A4F">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16.2</w:t>
            </w:r>
          </w:p>
        </w:tc>
        <w:tc>
          <w:tcPr>
            <w:tcW w:w="8510" w:type="dxa"/>
            <w:noWrap w:val="0"/>
            <w:vAlign w:val="center"/>
          </w:tcPr>
          <w:p w14:paraId="5853C0C0">
            <w:pPr>
              <w:pStyle w:val="6"/>
              <w:widowControl w:val="0"/>
              <w:numPr>
                <w:ilvl w:val="0"/>
                <w:numId w:val="0"/>
              </w:numPr>
              <w:shd w:val="clear" w:color="auto" w:fill="auto"/>
              <w:tabs>
                <w:tab w:val="left" w:pos="720"/>
                <w:tab w:val="left" w:pos="840"/>
                <w:tab w:val="clear" w:pos="360"/>
              </w:tabs>
              <w:snapToGrid w:val="0"/>
              <w:spacing w:afterLines="0" w:line="360" w:lineRule="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竞标有效期：自首次响应文件提交截止之日起</w:t>
            </w:r>
            <w:r>
              <w:rPr>
                <w:rFonts w:hint="eastAsia" w:asciiTheme="minorEastAsia" w:hAnsiTheme="minorEastAsia" w:eastAsiaTheme="minorEastAsia" w:cstheme="minorEastAsia"/>
                <w:color w:val="auto"/>
                <w:kern w:val="2"/>
                <w:sz w:val="21"/>
                <w:szCs w:val="21"/>
                <w:highlight w:val="none"/>
                <w:u w:val="single"/>
              </w:rPr>
              <w:t>60</w:t>
            </w:r>
            <w:r>
              <w:rPr>
                <w:rFonts w:hint="eastAsia" w:asciiTheme="minorEastAsia" w:hAnsiTheme="minorEastAsia" w:eastAsiaTheme="minorEastAsia" w:cstheme="minorEastAsia"/>
                <w:color w:val="auto"/>
                <w:kern w:val="2"/>
                <w:sz w:val="21"/>
                <w:szCs w:val="21"/>
                <w:highlight w:val="none"/>
              </w:rPr>
              <w:t>日。</w:t>
            </w:r>
          </w:p>
        </w:tc>
      </w:tr>
      <w:tr w14:paraId="2F728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jc w:val="center"/>
        </w:trPr>
        <w:tc>
          <w:tcPr>
            <w:tcW w:w="992" w:type="dxa"/>
            <w:noWrap w:val="0"/>
            <w:vAlign w:val="center"/>
          </w:tcPr>
          <w:p w14:paraId="50EBA069">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17.1</w:t>
            </w:r>
          </w:p>
        </w:tc>
        <w:tc>
          <w:tcPr>
            <w:tcW w:w="8510" w:type="dxa"/>
            <w:noWrap w:val="0"/>
            <w:vAlign w:val="center"/>
          </w:tcPr>
          <w:p w14:paraId="7AAEE9BF">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□本项目不收取竞标保证金。</w:t>
            </w:r>
          </w:p>
          <w:p w14:paraId="234A4B1C">
            <w:pPr>
              <w:snapToGrid w:val="0"/>
              <w:spacing w:line="360" w:lineRule="auto"/>
              <w:rPr>
                <w:rFonts w:ascii="宋体" w:hAnsi="宋体"/>
                <w:color w:val="auto"/>
                <w:szCs w:val="21"/>
                <w:highlight w:val="none"/>
              </w:rPr>
            </w:pPr>
            <w:r>
              <w:rPr>
                <w:rFonts w:hint="eastAsia" w:ascii="MS Mincho" w:hAnsi="MS Mincho" w:eastAsia="MS Mincho" w:cs="MS Mincho"/>
                <w:color w:val="auto"/>
                <w:szCs w:val="21"/>
                <w:highlight w:val="none"/>
              </w:rPr>
              <w:t>☑</w:t>
            </w:r>
            <w:r>
              <w:rPr>
                <w:rFonts w:hint="eastAsia" w:ascii="宋体" w:hAnsi="宋体"/>
                <w:color w:val="auto"/>
                <w:szCs w:val="21"/>
                <w:highlight w:val="none"/>
              </w:rPr>
              <w:t>本项目收取竞标保证金，具体规定如下：</w:t>
            </w:r>
          </w:p>
          <w:p w14:paraId="74303B6C">
            <w:pPr>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竞标</w:t>
            </w:r>
            <w:r>
              <w:rPr>
                <w:rFonts w:ascii="宋体" w:hAnsi="宋体" w:cs="宋体"/>
                <w:color w:val="auto"/>
                <w:kern w:val="0"/>
                <w:szCs w:val="21"/>
                <w:highlight w:val="none"/>
              </w:rPr>
              <w:t>保证金金额</w:t>
            </w:r>
            <w:r>
              <w:rPr>
                <w:rFonts w:hint="eastAsia" w:ascii="宋体" w:hAnsi="宋体" w:cs="宋体"/>
                <w:color w:val="auto"/>
                <w:kern w:val="0"/>
                <w:szCs w:val="21"/>
                <w:highlight w:val="none"/>
              </w:rPr>
              <w:t>:</w:t>
            </w:r>
            <w:r>
              <w:rPr>
                <w:rFonts w:hint="eastAsia" w:ascii="宋体" w:hAnsi="宋体" w:cs="宋体"/>
                <w:b/>
                <w:bCs/>
                <w:color w:val="auto"/>
                <w:kern w:val="0"/>
                <w:szCs w:val="21"/>
                <w:highlight w:val="none"/>
              </w:rPr>
              <w:t>人民币</w:t>
            </w:r>
            <w:r>
              <w:rPr>
                <w:rFonts w:hint="eastAsia" w:ascii="宋体" w:hAnsi="宋体" w:cs="宋体"/>
                <w:b/>
                <w:bCs/>
                <w:color w:val="auto"/>
                <w:kern w:val="0"/>
                <w:szCs w:val="21"/>
                <w:highlight w:val="none"/>
                <w:lang w:eastAsia="zh-CN"/>
              </w:rPr>
              <w:t>壹万贰仟元整</w:t>
            </w:r>
            <w:r>
              <w:rPr>
                <w:rFonts w:hint="eastAsia" w:ascii="宋体" w:hAnsi="宋体" w:cs="宋体"/>
                <w:b/>
                <w:bCs/>
                <w:color w:val="auto"/>
                <w:kern w:val="0"/>
                <w:szCs w:val="21"/>
                <w:highlight w:val="none"/>
              </w:rPr>
              <w:t>（¥1</w:t>
            </w:r>
            <w:r>
              <w:rPr>
                <w:rFonts w:hint="eastAsia" w:ascii="宋体" w:hAnsi="宋体" w:cs="宋体"/>
                <w:b/>
                <w:bCs/>
                <w:color w:val="auto"/>
                <w:kern w:val="0"/>
                <w:szCs w:val="21"/>
                <w:highlight w:val="none"/>
                <w:lang w:val="en-US" w:eastAsia="zh-CN"/>
              </w:rPr>
              <w:t>2</w:t>
            </w:r>
            <w:r>
              <w:rPr>
                <w:rFonts w:hint="eastAsia" w:ascii="宋体" w:hAnsi="宋体" w:cs="宋体"/>
                <w:b/>
                <w:bCs/>
                <w:color w:val="auto"/>
                <w:kern w:val="0"/>
                <w:szCs w:val="21"/>
                <w:highlight w:val="none"/>
              </w:rPr>
              <w:t>000.00）</w:t>
            </w:r>
            <w:r>
              <w:rPr>
                <w:rFonts w:hint="eastAsia" w:ascii="宋体" w:hAnsi="宋体"/>
                <w:b/>
                <w:bCs/>
                <w:color w:val="auto"/>
                <w:szCs w:val="21"/>
                <w:highlight w:val="none"/>
                <w:lang w:val="en-US" w:eastAsia="zh-CN"/>
              </w:rPr>
              <w:t>(必须足额缴纳)</w:t>
            </w:r>
            <w:r>
              <w:rPr>
                <w:rFonts w:hint="eastAsia" w:ascii="宋体" w:hAnsi="宋体" w:cs="宋体"/>
                <w:color w:val="auto"/>
                <w:kern w:val="0"/>
                <w:szCs w:val="21"/>
                <w:highlight w:val="none"/>
              </w:rPr>
              <w:t>。</w:t>
            </w:r>
          </w:p>
          <w:p w14:paraId="4C4B262F">
            <w:pPr>
              <w:snapToGrid w:val="0"/>
              <w:spacing w:line="400" w:lineRule="exact"/>
              <w:rPr>
                <w:rFonts w:hint="eastAsia" w:ascii="宋体" w:hAnsi="宋体" w:cs="宋体"/>
                <w:kern w:val="0"/>
                <w:szCs w:val="21"/>
                <w:highlight w:val="none"/>
              </w:rPr>
            </w:pPr>
            <w:r>
              <w:rPr>
                <w:rFonts w:hint="eastAsia" w:ascii="宋体" w:hAnsi="宋体" w:cs="宋体"/>
                <w:color w:val="auto"/>
                <w:kern w:val="0"/>
                <w:szCs w:val="21"/>
                <w:highlight w:val="none"/>
              </w:rPr>
              <w:t>竞标保证金的交纳方式：</w:t>
            </w:r>
            <w:r>
              <w:rPr>
                <w:rFonts w:hint="eastAsia" w:ascii="宋体" w:hAnsi="宋体" w:cs="宋体"/>
                <w:kern w:val="0"/>
                <w:szCs w:val="21"/>
                <w:highlight w:val="none"/>
              </w:rPr>
              <w:t>银行转账、支票、汇票、本票或者金融机构、担保机构出具的保函等非现金形式提交。采用银行转账方式的，在响应文件提交截止时间前交至采购代理机构指定账户并且到账</w:t>
            </w:r>
            <w:r>
              <w:rPr>
                <w:rFonts w:hint="eastAsia" w:ascii="宋体" w:hAnsi="宋体" w:cs="宋体"/>
                <w:kern w:val="0"/>
                <w:szCs w:val="21"/>
                <w:highlight w:val="none"/>
                <w:lang w:eastAsia="zh-CN"/>
              </w:rPr>
              <w:t>；</w:t>
            </w:r>
            <w:r>
              <w:rPr>
                <w:rFonts w:hint="eastAsia" w:ascii="宋体" w:hAnsi="宋体" w:cs="宋体"/>
                <w:kern w:val="0"/>
                <w:szCs w:val="21"/>
                <w:highlight w:val="none"/>
              </w:rPr>
              <w:t>采用支票、汇票、本票或者保函等方式的，在响应文件提交截止时间前，供应商必须递交单独密封的支票、汇票、本票或者保函等原件给采购代理机构。否则视为无效</w:t>
            </w:r>
            <w:r>
              <w:rPr>
                <w:rFonts w:hint="eastAsia" w:ascii="宋体" w:hAnsi="宋体" w:cs="宋体"/>
                <w:kern w:val="0"/>
                <w:szCs w:val="21"/>
                <w:highlight w:val="none"/>
                <w:lang w:eastAsia="zh-CN"/>
              </w:rPr>
              <w:t>竞标</w:t>
            </w:r>
            <w:r>
              <w:rPr>
                <w:rFonts w:hint="eastAsia" w:ascii="宋体" w:hAnsi="宋体" w:cs="宋体"/>
                <w:kern w:val="0"/>
                <w:szCs w:val="21"/>
                <w:highlight w:val="none"/>
              </w:rPr>
              <w:t>保证金。</w:t>
            </w:r>
            <w:r>
              <w:rPr>
                <w:rFonts w:hint="eastAsia" w:ascii="宋体" w:hAnsi="宋体" w:cs="宋体"/>
                <w:szCs w:val="21"/>
                <w:highlight w:val="none"/>
              </w:rPr>
              <w:t>（竞标人转账时，须在银行转账底单上备注项目标识如“【项目编号：</w:t>
            </w:r>
            <w:r>
              <w:rPr>
                <w:rFonts w:hint="eastAsia" w:ascii="宋体" w:hAnsi="宋体"/>
                <w:color w:val="auto"/>
                <w:szCs w:val="21"/>
                <w:highlight w:val="none"/>
                <w:lang w:eastAsia="zh-CN"/>
              </w:rPr>
              <w:t>GXZC2026-J2-001931-JGJD</w:t>
            </w:r>
            <w:r>
              <w:rPr>
                <w:rFonts w:hint="eastAsia" w:ascii="宋体" w:hAnsi="宋体" w:cs="宋体"/>
                <w:szCs w:val="21"/>
                <w:highlight w:val="none"/>
              </w:rPr>
              <w:t>】</w:t>
            </w:r>
            <w:r>
              <w:rPr>
                <w:rFonts w:hint="eastAsia" w:ascii="宋体" w:hAnsi="宋体" w:cs="宋体"/>
                <w:szCs w:val="21"/>
                <w:highlight w:val="none"/>
                <w:lang w:eastAsia="zh-CN"/>
              </w:rPr>
              <w:t>竞标</w:t>
            </w:r>
            <w:r>
              <w:rPr>
                <w:rFonts w:hint="eastAsia" w:ascii="宋体" w:hAnsi="宋体" w:cs="宋体"/>
                <w:szCs w:val="21"/>
                <w:highlight w:val="none"/>
              </w:rPr>
              <w:t>保证金”</w:t>
            </w:r>
            <w:r>
              <w:rPr>
                <w:rFonts w:hint="eastAsia" w:ascii="宋体" w:hAnsi="宋体" w:cs="宋体"/>
                <w:kern w:val="0"/>
                <w:szCs w:val="21"/>
                <w:highlight w:val="none"/>
              </w:rPr>
              <w:t>缴纳</w:t>
            </w:r>
            <w:r>
              <w:rPr>
                <w:rFonts w:hint="eastAsia" w:ascii="宋体" w:hAnsi="宋体" w:cs="宋体"/>
                <w:kern w:val="0"/>
                <w:szCs w:val="21"/>
                <w:highlight w:val="none"/>
                <w:lang w:val="en-US" w:eastAsia="zh-CN"/>
              </w:rPr>
              <w:t>竞标</w:t>
            </w:r>
            <w:r>
              <w:rPr>
                <w:rFonts w:hint="eastAsia" w:ascii="宋体" w:hAnsi="宋体" w:cs="宋体"/>
                <w:kern w:val="0"/>
                <w:szCs w:val="21"/>
                <w:highlight w:val="none"/>
              </w:rPr>
              <w:t>保证金指定账户的信息：</w:t>
            </w:r>
          </w:p>
          <w:p w14:paraId="419ADA8C">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开户名称： 广西建设工程机电设备招标中心有限公司 </w:t>
            </w:r>
          </w:p>
          <w:p w14:paraId="0C94C7A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 招商银行南宁分行营业部</w:t>
            </w:r>
          </w:p>
          <w:p w14:paraId="4C3AFE1A">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    号： 7719  0142  3310  201；</w:t>
            </w:r>
          </w:p>
          <w:p w14:paraId="2427A02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1F36A04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DB0780D">
            <w:pPr>
              <w:snapToGrid w:val="0"/>
              <w:spacing w:line="360" w:lineRule="auto"/>
              <w:rPr>
                <w:rFonts w:ascii="宋体" w:hAnsi="宋体"/>
                <w:color w:val="auto"/>
                <w:szCs w:val="21"/>
                <w:highlight w:val="none"/>
              </w:rPr>
            </w:pPr>
            <w:r>
              <w:rPr>
                <w:rFonts w:hint="eastAsia" w:ascii="宋体" w:hAnsi="宋体"/>
                <w:color w:val="auto"/>
                <w:szCs w:val="21"/>
                <w:highlight w:val="none"/>
              </w:rPr>
              <w:t>2.竞标保证金采用支票、汇票、本票或者金融机构、担保机构出具的保函</w:t>
            </w:r>
            <w:r>
              <w:rPr>
                <w:rFonts w:hint="eastAsia"/>
                <w:color w:val="auto"/>
                <w:highlight w:val="none"/>
              </w:rPr>
              <w:t>（包含电子保函）</w:t>
            </w:r>
            <w:r>
              <w:rPr>
                <w:rFonts w:hint="eastAsia" w:ascii="宋体" w:hAnsi="宋体"/>
                <w:color w:val="auto"/>
                <w:szCs w:val="21"/>
                <w:highlight w:val="none"/>
              </w:rPr>
              <w:t>交纳方式的，供应商应将支票、汇票、本票或者金融机构、担保机构出具的保函</w:t>
            </w:r>
            <w:r>
              <w:rPr>
                <w:rFonts w:hint="eastAsia"/>
                <w:color w:val="auto"/>
                <w:highlight w:val="none"/>
              </w:rPr>
              <w:t>（包含电子保函）</w:t>
            </w:r>
            <w:r>
              <w:rPr>
                <w:rFonts w:hint="eastAsia" w:ascii="宋体" w:hAnsi="宋体"/>
                <w:color w:val="auto"/>
                <w:szCs w:val="21"/>
                <w:highlight w:val="none"/>
              </w:rPr>
              <w:t>的复印件作为竞标保证金提交凭证，放置于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在响应文件提交截止时间前采用现场提交或邮寄方式</w:t>
            </w:r>
            <w:r>
              <w:rPr>
                <w:rFonts w:hint="eastAsia" w:ascii="宋体" w:hAnsi="宋体"/>
                <w:color w:val="auto"/>
                <w:szCs w:val="21"/>
                <w:highlight w:val="none"/>
              </w:rPr>
              <w:t>（</w:t>
            </w:r>
            <w:r>
              <w:rPr>
                <w:rFonts w:hint="eastAsia" w:ascii="宋体" w:hAnsi="宋体"/>
                <w:b/>
                <w:bCs/>
                <w:color w:val="auto"/>
                <w:szCs w:val="21"/>
                <w:highlight w:val="none"/>
                <w:u w:val="single"/>
              </w:rPr>
              <w:t>现场提交地址：</w:t>
            </w:r>
            <w:r>
              <w:rPr>
                <w:rFonts w:hint="eastAsia" w:ascii="宋体" w:hAnsi="宋体"/>
                <w:b/>
                <w:bCs/>
                <w:color w:val="auto"/>
                <w:szCs w:val="21"/>
                <w:highlight w:val="none"/>
                <w:u w:val="single"/>
                <w:lang w:eastAsia="zh-CN"/>
              </w:rPr>
              <w:t>广西南宁市青秀区枫林路18号广西国控集团（枫林路办公区）裙楼三层</w:t>
            </w:r>
            <w:r>
              <w:rPr>
                <w:rFonts w:hint="eastAsia" w:ascii="宋体" w:hAnsi="宋体"/>
                <w:b/>
                <w:bCs/>
                <w:color w:val="auto"/>
                <w:szCs w:val="21"/>
                <w:highlight w:val="none"/>
                <w:u w:val="single"/>
              </w:rPr>
              <w:t xml:space="preserve">，收件人： </w:t>
            </w:r>
            <w:r>
              <w:rPr>
                <w:rFonts w:hint="eastAsia" w:ascii="宋体" w:hAnsi="宋体"/>
                <w:b/>
                <w:bCs/>
                <w:color w:val="auto"/>
                <w:szCs w:val="21"/>
                <w:highlight w:val="none"/>
                <w:u w:val="single"/>
                <w:lang w:eastAsia="zh-CN"/>
              </w:rPr>
              <w:t>江艳妹</w:t>
            </w:r>
            <w:r>
              <w:rPr>
                <w:rFonts w:hint="eastAsia" w:ascii="宋体" w:hAnsi="宋体"/>
                <w:b/>
                <w:bCs/>
                <w:color w:val="auto"/>
                <w:szCs w:val="21"/>
                <w:highlight w:val="none"/>
                <w:u w:val="single"/>
              </w:rPr>
              <w:t>，联系方式：</w:t>
            </w:r>
            <w:r>
              <w:rPr>
                <w:rFonts w:hint="eastAsia" w:ascii="宋体" w:hAnsi="宋体"/>
                <w:b/>
                <w:bCs/>
                <w:color w:val="auto"/>
                <w:szCs w:val="21"/>
                <w:highlight w:val="none"/>
                <w:u w:val="single"/>
                <w:lang w:val="en-US" w:eastAsia="zh-CN"/>
              </w:rPr>
              <w:t>0771-2804614</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支票、汇票、本票或者金融机构、担保机构出具的保函原件（电子保函无需提供原件）提交给采购人或者采购代理机构，由采购人或者采购代理机构向供应商出具回执（邮寄方式的除外），并妥善保管。</w:t>
            </w:r>
          </w:p>
          <w:p w14:paraId="2DBDAA5B">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603D1ED4">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（1）竞标保证金在响应文件提交截止时间后提交的，或者不按规定交纳方式交纳的，或者未足额交纳的（包含保函额度不足的），视为无效竞标保证金。</w:t>
            </w:r>
          </w:p>
          <w:p w14:paraId="23D48694">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（2）供应商采用现钞方式或者从个人账户（自然人竞标除外）转出的竞标保证金，视为无效竞标保证金。</w:t>
            </w:r>
          </w:p>
          <w:p w14:paraId="2B3BB442">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（3）支票、汇票或者本票出现无效或者背书情形的，视为无效竞标保证金。</w:t>
            </w:r>
          </w:p>
          <w:p w14:paraId="58E83E32">
            <w:pPr>
              <w:shd w:val="clear" w:color="auto" w:fill="auto"/>
              <w:snapToGrid w:val="0"/>
              <w:spacing w:line="360" w:lineRule="auto"/>
              <w:rPr>
                <w:rFonts w:hint="eastAsia" w:asciiTheme="minorEastAsia" w:hAnsiTheme="minorEastAsia" w:eastAsiaTheme="minorEastAsia" w:cstheme="minorEastAsia"/>
                <w:color w:val="auto"/>
                <w:szCs w:val="21"/>
                <w:highlight w:val="none"/>
              </w:rPr>
            </w:pPr>
            <w:r>
              <w:rPr>
                <w:rFonts w:hint="eastAsia" w:ascii="宋体" w:hAnsi="宋体" w:cs="宋体"/>
                <w:b/>
                <w:color w:val="auto"/>
                <w:szCs w:val="21"/>
                <w:highlight w:val="none"/>
              </w:rPr>
              <w:t>（4）保函（包含电子保函）有效期低于竞标有效期的，视为无效竞标保证金。</w:t>
            </w:r>
          </w:p>
        </w:tc>
      </w:tr>
      <w:tr w14:paraId="0E94A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69AB78BC">
            <w:pPr>
              <w:shd w:val="clear" w:color="auto" w:fill="auto"/>
              <w:spacing w:line="360" w:lineRule="auto"/>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19</w:t>
            </w:r>
          </w:p>
        </w:tc>
        <w:tc>
          <w:tcPr>
            <w:tcW w:w="8510" w:type="dxa"/>
            <w:noWrap w:val="0"/>
            <w:vAlign w:val="center"/>
          </w:tcPr>
          <w:p w14:paraId="40EB8EC4">
            <w:pPr>
              <w:shd w:val="clear" w:color="auto" w:fill="auto"/>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本项目不接受电子备份响应文件</w:t>
            </w:r>
            <w:r>
              <w:rPr>
                <w:rFonts w:hint="eastAsia" w:asciiTheme="minorEastAsia" w:hAnsiTheme="minorEastAsia" w:eastAsiaTheme="minorEastAsia" w:cstheme="minorEastAsia"/>
                <w:b/>
                <w:bCs/>
                <w:color w:val="auto"/>
                <w:szCs w:val="21"/>
                <w:highlight w:val="none"/>
                <w:lang w:eastAsia="zh-CN"/>
              </w:rPr>
              <w:t>。</w:t>
            </w:r>
          </w:p>
        </w:tc>
      </w:tr>
      <w:tr w14:paraId="0AE4D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67D710C7">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20.1</w:t>
            </w:r>
          </w:p>
        </w:tc>
        <w:tc>
          <w:tcPr>
            <w:tcW w:w="8510" w:type="dxa"/>
            <w:noWrap w:val="0"/>
            <w:vAlign w:val="center"/>
          </w:tcPr>
          <w:p w14:paraId="4CBC7054">
            <w:pPr>
              <w:shd w:val="clear" w:color="auto" w:fill="auto"/>
              <w:snapToGrid w:val="0"/>
              <w:spacing w:line="360" w:lineRule="auto"/>
              <w:jc w:val="lef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首次响应文件提交截止时间：详见</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公告</w:t>
            </w:r>
          </w:p>
          <w:p w14:paraId="76A8E454">
            <w:pPr>
              <w:shd w:val="clear" w:color="auto" w:fill="auto"/>
              <w:snapToGrid w:val="0"/>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首次响应文件提交地点：详见</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公告</w:t>
            </w:r>
          </w:p>
        </w:tc>
      </w:tr>
      <w:tr w14:paraId="14BD7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256183BE">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24.1</w:t>
            </w:r>
          </w:p>
        </w:tc>
        <w:tc>
          <w:tcPr>
            <w:tcW w:w="8510" w:type="dxa"/>
            <w:noWrap w:val="0"/>
            <w:vAlign w:val="center"/>
          </w:tcPr>
          <w:p w14:paraId="2AA214E6">
            <w:pPr>
              <w:shd w:val="clear" w:color="auto" w:fill="auto"/>
              <w:snapToGrid w:val="0"/>
              <w:spacing w:line="360" w:lineRule="auto"/>
              <w:jc w:val="lef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小组的人数：3人。</w:t>
            </w:r>
          </w:p>
        </w:tc>
      </w:tr>
      <w:tr w14:paraId="12F0E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46DC3B13">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w:t>
            </w:r>
          </w:p>
        </w:tc>
        <w:tc>
          <w:tcPr>
            <w:tcW w:w="8510" w:type="dxa"/>
            <w:noWrap w:val="0"/>
            <w:vAlign w:val="center"/>
          </w:tcPr>
          <w:p w14:paraId="6EC9C1B2">
            <w:pPr>
              <w:shd w:val="clear" w:color="auto" w:fill="auto"/>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广西政府采购云平台按首次响应文件提交截止时间自动提取所有响应文件。采购代理机构将依托电子交易平台发起开始解密指令，</w:t>
            </w:r>
            <w:r>
              <w:rPr>
                <w:rFonts w:hint="eastAsia" w:asciiTheme="minorEastAsia" w:hAnsiTheme="minorEastAsia" w:eastAsiaTheme="minorEastAsia" w:cstheme="minorEastAsia"/>
                <w:b/>
                <w:color w:val="auto"/>
                <w:szCs w:val="21"/>
                <w:highlight w:val="none"/>
              </w:rPr>
              <w:t>供应商的法定代表人或其委托代理人须携带加密时所用的CA锁按平台提示和采购文件的规定登录到广西政府采购云平台电子开标大厅签到并在发起解密指令之时起</w:t>
            </w:r>
            <w:r>
              <w:rPr>
                <w:rFonts w:hint="eastAsia" w:asciiTheme="minorEastAsia" w:hAnsiTheme="minorEastAsia" w:eastAsiaTheme="minorEastAsia" w:cstheme="minorEastAsia"/>
                <w:b/>
                <w:color w:val="auto"/>
                <w:szCs w:val="21"/>
                <w:highlight w:val="none"/>
                <w:lang w:val="en-US" w:eastAsia="zh-CN"/>
              </w:rPr>
              <w:t>规定时间</w:t>
            </w:r>
            <w:r>
              <w:rPr>
                <w:rFonts w:hint="eastAsia" w:asciiTheme="minorEastAsia" w:hAnsiTheme="minorEastAsia" w:eastAsiaTheme="minorEastAsia" w:cstheme="minorEastAsia"/>
                <w:b/>
                <w:color w:val="auto"/>
                <w:szCs w:val="21"/>
                <w:highlight w:val="none"/>
              </w:rPr>
              <w:t>内完成对电子响应文件在线解密。</w:t>
            </w:r>
            <w:r>
              <w:rPr>
                <w:rFonts w:hint="eastAsia" w:asciiTheme="minorEastAsia" w:hAnsiTheme="minorEastAsia" w:eastAsiaTheme="minorEastAsia" w:cstheme="minorEastAsia"/>
                <w:b/>
                <w:bCs/>
                <w:color w:val="auto"/>
                <w:szCs w:val="21"/>
                <w:highlight w:val="none"/>
              </w:rPr>
              <w:t>响应文件未按时解密的，</w:t>
            </w:r>
            <w:r>
              <w:rPr>
                <w:rFonts w:hint="eastAsia" w:asciiTheme="minorEastAsia" w:hAnsiTheme="minorEastAsia" w:eastAsiaTheme="minorEastAsia" w:cstheme="minorEastAsia"/>
                <w:b/>
                <w:color w:val="auto"/>
                <w:szCs w:val="21"/>
                <w:highlight w:val="none"/>
              </w:rPr>
              <w:t>视为响应</w:t>
            </w:r>
            <w:r>
              <w:rPr>
                <w:rFonts w:hint="eastAsia" w:asciiTheme="minorEastAsia" w:hAnsiTheme="minorEastAsia" w:eastAsiaTheme="minorEastAsia" w:cstheme="minorEastAsia"/>
                <w:b/>
                <w:bCs/>
                <w:color w:val="auto"/>
                <w:szCs w:val="21"/>
                <w:highlight w:val="none"/>
              </w:rPr>
              <w:t>文件无效。</w:t>
            </w:r>
          </w:p>
        </w:tc>
      </w:tr>
      <w:tr w14:paraId="4E542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vMerge w:val="restart"/>
            <w:noWrap w:val="0"/>
            <w:vAlign w:val="center"/>
          </w:tcPr>
          <w:p w14:paraId="73F64834">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26.2</w:t>
            </w:r>
          </w:p>
        </w:tc>
        <w:tc>
          <w:tcPr>
            <w:tcW w:w="8510" w:type="dxa"/>
            <w:noWrap w:val="0"/>
            <w:vAlign w:val="center"/>
          </w:tcPr>
          <w:p w14:paraId="77C27759">
            <w:pPr>
              <w:shd w:val="clear" w:color="auto" w:fill="auto"/>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各标项技术条款评审中允许负偏离的非实质性条款数为</w:t>
            </w:r>
            <w:r>
              <w:rPr>
                <w:rFonts w:hint="eastAsia" w:asciiTheme="minorEastAsia" w:hAnsiTheme="minorEastAsia" w:eastAsiaTheme="minorEastAsia" w:cstheme="minorEastAsia"/>
                <w:color w:val="auto"/>
                <w:szCs w:val="21"/>
                <w:highlight w:val="none"/>
                <w:u w:val="single"/>
              </w:rPr>
              <w:t>0</w:t>
            </w:r>
            <w:r>
              <w:rPr>
                <w:rFonts w:hint="eastAsia" w:asciiTheme="minorEastAsia" w:hAnsiTheme="minorEastAsia" w:eastAsiaTheme="minorEastAsia" w:cstheme="minorEastAsia"/>
                <w:color w:val="auto"/>
                <w:szCs w:val="21"/>
                <w:highlight w:val="none"/>
              </w:rPr>
              <w:t>项。</w:t>
            </w:r>
          </w:p>
          <w:p w14:paraId="77D3228D">
            <w:pPr>
              <w:shd w:val="clear" w:color="auto" w:fill="auto"/>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各标项商务条款评审中允许负偏离的非实质性条款数为</w:t>
            </w:r>
            <w:r>
              <w:rPr>
                <w:rFonts w:hint="eastAsia" w:asciiTheme="minorEastAsia" w:hAnsiTheme="minorEastAsia" w:eastAsiaTheme="minorEastAsia" w:cstheme="minorEastAsia"/>
                <w:color w:val="auto"/>
                <w:szCs w:val="21"/>
                <w:highlight w:val="none"/>
                <w:u w:val="single"/>
              </w:rPr>
              <w:t>0</w:t>
            </w:r>
            <w:r>
              <w:rPr>
                <w:rFonts w:hint="eastAsia" w:asciiTheme="minorEastAsia" w:hAnsiTheme="minorEastAsia" w:eastAsiaTheme="minorEastAsia" w:cstheme="minorEastAsia"/>
                <w:color w:val="auto"/>
                <w:szCs w:val="21"/>
                <w:highlight w:val="none"/>
              </w:rPr>
              <w:t>项。</w:t>
            </w:r>
          </w:p>
        </w:tc>
      </w:tr>
      <w:tr w14:paraId="53698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vMerge w:val="continue"/>
            <w:noWrap w:val="0"/>
            <w:vAlign w:val="center"/>
          </w:tcPr>
          <w:p w14:paraId="3305EBA6">
            <w:pPr>
              <w:shd w:val="clear" w:color="auto" w:fill="auto"/>
              <w:spacing w:line="360" w:lineRule="auto"/>
              <w:jc w:val="center"/>
              <w:rPr>
                <w:rFonts w:hint="eastAsia" w:asciiTheme="minorEastAsia" w:hAnsiTheme="minorEastAsia" w:eastAsiaTheme="minorEastAsia" w:cstheme="minorEastAsia"/>
                <w:color w:val="auto"/>
                <w:szCs w:val="21"/>
                <w:highlight w:val="none"/>
              </w:rPr>
            </w:pPr>
          </w:p>
        </w:tc>
        <w:tc>
          <w:tcPr>
            <w:tcW w:w="8510" w:type="dxa"/>
            <w:noWrap w:val="0"/>
            <w:vAlign w:val="center"/>
          </w:tcPr>
          <w:p w14:paraId="72D9F0F0">
            <w:pPr>
              <w:shd w:val="clear" w:color="auto" w:fill="auto"/>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的顺序：</w:t>
            </w:r>
          </w:p>
          <w:p w14:paraId="4C972355">
            <w:pPr>
              <w:pStyle w:val="8"/>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□按照提交首次响应文件的顺序，通知</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时，若某供应商不在通知现场时（该供应商排序到最后</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），按照签到的顺序由其下一位供应商先参与</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w:t>
            </w:r>
          </w:p>
          <w:p w14:paraId="7ED7643A">
            <w:pPr>
              <w:shd w:val="clear" w:color="auto" w:fill="auto"/>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☑随机排序，通过广西政府采购云平台参与</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w:t>
            </w:r>
          </w:p>
          <w:p w14:paraId="47A67F4E">
            <w:pPr>
              <w:shd w:val="clear" w:color="auto" w:fill="auto"/>
              <w:snapToGrid w:val="0"/>
              <w:spacing w:line="360" w:lineRule="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符合</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资格的供应商必须在接到</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通知后规定时间内参加</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，未在规定时间内参加</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的视同放弃参加</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权利，其响应文件按无效响应处理。</w:t>
            </w:r>
          </w:p>
        </w:tc>
      </w:tr>
      <w:tr w14:paraId="310A2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1C9B6130">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28.1</w:t>
            </w:r>
          </w:p>
        </w:tc>
        <w:tc>
          <w:tcPr>
            <w:tcW w:w="8510" w:type="dxa"/>
            <w:noWrap w:val="0"/>
            <w:vAlign w:val="center"/>
          </w:tcPr>
          <w:p w14:paraId="126B81F6">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□本项目不收取履约保证金。</w:t>
            </w:r>
          </w:p>
          <w:p w14:paraId="41657A48">
            <w:pPr>
              <w:autoSpaceDE w:val="0"/>
              <w:autoSpaceDN w:val="0"/>
              <w:snapToGrid w:val="0"/>
              <w:spacing w:line="400" w:lineRule="exact"/>
              <w:textAlignment w:val="bottom"/>
              <w:rPr>
                <w:rFonts w:ascii="宋体" w:hAnsi="宋体"/>
                <w:color w:val="auto"/>
                <w:szCs w:val="21"/>
                <w:highlight w:val="none"/>
              </w:rPr>
            </w:pPr>
            <w:r>
              <w:rPr>
                <w:rFonts w:hint="eastAsia" w:ascii="MS Mincho" w:hAnsi="MS Mincho" w:eastAsia="MS Mincho" w:cs="MS Mincho"/>
                <w:color w:val="auto"/>
                <w:szCs w:val="21"/>
                <w:highlight w:val="none"/>
              </w:rPr>
              <w:t>☑</w:t>
            </w:r>
            <w:r>
              <w:rPr>
                <w:rFonts w:hint="eastAsia" w:ascii="宋体" w:hAnsi="宋体"/>
                <w:color w:val="auto"/>
                <w:szCs w:val="21"/>
                <w:highlight w:val="none"/>
              </w:rPr>
              <w:t>本项目收取履约保证金，具体规定如下：</w:t>
            </w:r>
          </w:p>
          <w:p w14:paraId="200EED97">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p>
          <w:p w14:paraId="04922E16">
            <w:pPr>
              <w:spacing w:line="400" w:lineRule="exact"/>
              <w:jc w:val="left"/>
              <w:rPr>
                <w:rFonts w:hint="eastAsia" w:ascii="宋体" w:hAnsi="宋体" w:cs="宋体"/>
                <w:szCs w:val="21"/>
                <w:highlight w:val="none"/>
              </w:rPr>
            </w:pPr>
            <w:r>
              <w:rPr>
                <w:rFonts w:hint="eastAsia" w:ascii="宋体" w:hAnsi="宋体" w:cs="宋体"/>
                <w:color w:val="auto"/>
                <w:szCs w:val="21"/>
                <w:highlight w:val="none"/>
              </w:rPr>
              <w:t>履约保证金提交方式：</w:t>
            </w:r>
            <w:r>
              <w:rPr>
                <w:rFonts w:hint="eastAsia" w:ascii="宋体" w:hAnsi="宋体" w:cs="宋体"/>
                <w:szCs w:val="21"/>
                <w:highlight w:val="none"/>
              </w:rPr>
              <w:t>以银行转账、电汇或网上支付、支票、汇票、本票或者金融机构、担保机构出具的保函等非现金形式交纳。</w:t>
            </w:r>
          </w:p>
          <w:p w14:paraId="2E94B087">
            <w:pPr>
              <w:spacing w:line="400" w:lineRule="exact"/>
              <w:jc w:val="left"/>
              <w:rPr>
                <w:rFonts w:hint="eastAsia" w:ascii="宋体" w:hAnsi="宋体" w:cs="宋体"/>
                <w:szCs w:val="21"/>
                <w:highlight w:val="none"/>
              </w:rPr>
            </w:pPr>
            <w:r>
              <w:rPr>
                <w:rFonts w:hint="eastAsia" w:ascii="宋体" w:hAnsi="宋体" w:cs="宋体"/>
                <w:szCs w:val="21"/>
                <w:highlight w:val="none"/>
              </w:rPr>
              <w:t>履约保证金账户：</w:t>
            </w:r>
          </w:p>
          <w:p w14:paraId="1DB0E752">
            <w:pPr>
              <w:spacing w:line="400" w:lineRule="exact"/>
              <w:jc w:val="left"/>
              <w:rPr>
                <w:rFonts w:hint="eastAsia" w:ascii="宋体" w:hAnsi="宋体" w:cs="宋体"/>
                <w:b/>
                <w:bCs/>
                <w:szCs w:val="21"/>
                <w:highlight w:val="none"/>
              </w:rPr>
            </w:pPr>
            <w:r>
              <w:rPr>
                <w:rFonts w:hint="eastAsia" w:ascii="宋体" w:hAnsi="宋体" w:cs="宋体"/>
                <w:b/>
                <w:bCs/>
                <w:szCs w:val="21"/>
                <w:highlight w:val="none"/>
              </w:rPr>
              <w:t>开户名称：广西壮族自治区人民医院</w:t>
            </w:r>
          </w:p>
          <w:p w14:paraId="72AC815F">
            <w:pPr>
              <w:spacing w:line="400" w:lineRule="exact"/>
              <w:jc w:val="left"/>
              <w:rPr>
                <w:rFonts w:hint="eastAsia" w:ascii="宋体" w:hAnsi="宋体" w:cs="宋体"/>
                <w:b/>
                <w:bCs/>
                <w:szCs w:val="21"/>
                <w:highlight w:val="none"/>
              </w:rPr>
            </w:pPr>
            <w:r>
              <w:rPr>
                <w:rFonts w:hint="eastAsia" w:ascii="宋体" w:hAnsi="宋体" w:cs="宋体"/>
                <w:b/>
                <w:bCs/>
                <w:szCs w:val="21"/>
                <w:highlight w:val="none"/>
              </w:rPr>
              <w:t>开户银行：中国民生银行股份有限公司南宁金湖支行</w:t>
            </w:r>
          </w:p>
          <w:p w14:paraId="579E8429">
            <w:pPr>
              <w:spacing w:line="400" w:lineRule="exact"/>
              <w:jc w:val="left"/>
              <w:rPr>
                <w:rFonts w:hint="eastAsia" w:ascii="宋体" w:hAnsi="宋体" w:cs="宋体"/>
                <w:b/>
                <w:bCs/>
                <w:szCs w:val="21"/>
                <w:highlight w:val="none"/>
              </w:rPr>
            </w:pPr>
            <w:r>
              <w:rPr>
                <w:rFonts w:hint="eastAsia" w:ascii="宋体" w:hAnsi="宋体" w:cs="宋体"/>
                <w:b/>
                <w:bCs/>
                <w:szCs w:val="21"/>
                <w:highlight w:val="none"/>
              </w:rPr>
              <w:t>履约保证金的银行账户为：6313 33260</w:t>
            </w:r>
          </w:p>
          <w:p w14:paraId="67E12FD0">
            <w:pPr>
              <w:spacing w:line="400" w:lineRule="exact"/>
              <w:jc w:val="left"/>
              <w:rPr>
                <w:rFonts w:hint="eastAsia" w:ascii="宋体" w:hAnsi="宋体" w:cs="宋体"/>
                <w:szCs w:val="21"/>
                <w:highlight w:val="none"/>
              </w:rPr>
            </w:pPr>
            <w:r>
              <w:rPr>
                <w:rFonts w:hint="eastAsia" w:ascii="宋体" w:hAnsi="宋体" w:cs="宋体"/>
                <w:szCs w:val="21"/>
                <w:highlight w:val="none"/>
              </w:rPr>
              <w:t>备注：1、在签订合同之前，成交供应商需把履约保证金足额交到采购人指定账户。未提交履约保证金的，不予签订本合同。履约保证金自项目验收合格后，待成交供应商履行完质保义务且无违约情况下，由成交供应商提出书面申请后，采购人</w:t>
            </w:r>
            <w:r>
              <w:rPr>
                <w:rFonts w:hint="eastAsia" w:ascii="宋体" w:hAnsi="宋体" w:eastAsia="宋体" w:cs="宋体"/>
                <w:color w:val="000000"/>
                <w:sz w:val="21"/>
                <w:szCs w:val="21"/>
                <w:highlight w:val="none"/>
              </w:rPr>
              <w:t>五个工作日内</w:t>
            </w:r>
            <w:r>
              <w:rPr>
                <w:rFonts w:hint="eastAsia" w:ascii="宋体" w:hAnsi="宋体" w:cs="宋体"/>
                <w:szCs w:val="21"/>
                <w:highlight w:val="none"/>
              </w:rPr>
              <w:t>无息退还。本合同履行过程中，成交供应商存在违约的，采购人有权从履约保证金中先行扣除按本合同约定成交供应商应付款项，不足部分由成交供应商另行支付，采购人直接从履约保证金中扣除按本合同约定成交供应商应付款项的，成交供应商应于接到采购人补足履约保证金通知之日起3个工作日内补足。</w:t>
            </w:r>
          </w:p>
          <w:p w14:paraId="0CF98D31">
            <w:pPr>
              <w:spacing w:line="360" w:lineRule="auto"/>
              <w:jc w:val="left"/>
              <w:rPr>
                <w:rFonts w:hint="eastAsia" w:ascii="宋体" w:hAnsi="宋体"/>
                <w:b/>
                <w:szCs w:val="21"/>
                <w:highlight w:val="none"/>
              </w:rPr>
            </w:pPr>
            <w:r>
              <w:rPr>
                <w:rFonts w:hint="eastAsia" w:ascii="宋体" w:hAnsi="宋体" w:cs="宋体"/>
                <w:b/>
                <w:bCs/>
                <w:szCs w:val="21"/>
                <w:highlight w:val="none"/>
              </w:rPr>
              <w:t>2、广西壮族自治区财政厅关于持续优化政府采购营商环境推动高质量发展的通知桂财采〔2024〕55号</w:t>
            </w:r>
            <w:r>
              <w:rPr>
                <w:rFonts w:hint="eastAsia" w:ascii="宋体" w:hAnsi="宋体" w:cs="宋体"/>
                <w:b/>
                <w:bCs/>
                <w:szCs w:val="21"/>
                <w:highlight w:val="none"/>
                <w:lang w:val="en-US" w:eastAsia="zh-CN"/>
              </w:rPr>
              <w:t xml:space="preserve"> </w:t>
            </w:r>
            <w:r>
              <w:rPr>
                <w:rFonts w:hint="eastAsia" w:ascii="宋体" w:hAnsi="宋体" w:cs="宋体"/>
                <w:b/>
                <w:bCs/>
                <w:szCs w:val="21"/>
                <w:highlight w:val="none"/>
              </w:rPr>
              <w:t>采购文件要求中标或者成交供应商提交履约保证金的，履约保证金数额不得超过政府采购合同金额的5%，对中小企业收取的履约保证金数额不得超过政府采购合同金额的2%。预算单位（采购人）可根据供应商的资信等情况减免履约保证金。政府采购工程以及与工程建设有关的货物、服务采用招标方式采购的，履约保证金减免从其规定</w:t>
            </w:r>
            <w:r>
              <w:rPr>
                <w:rFonts w:hint="eastAsia" w:ascii="宋体" w:hAnsi="宋体"/>
                <w:b/>
                <w:szCs w:val="21"/>
                <w:highlight w:val="none"/>
              </w:rPr>
              <w:t>。</w:t>
            </w:r>
          </w:p>
          <w:p w14:paraId="7423F2BB">
            <w:pPr>
              <w:spacing w:line="360" w:lineRule="auto"/>
              <w:jc w:val="left"/>
              <w:rPr>
                <w:rFonts w:hint="eastAsia" w:ascii="宋体" w:hAnsi="宋体"/>
                <w:b/>
                <w:szCs w:val="21"/>
                <w:highlight w:val="none"/>
              </w:rPr>
            </w:pPr>
            <w:r>
              <w:rPr>
                <w:rFonts w:hint="eastAsia" w:ascii="宋体" w:hAnsi="宋体"/>
                <w:b/>
                <w:szCs w:val="21"/>
                <w:highlight w:val="none"/>
              </w:rPr>
              <w:t>3、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7B36A2C5">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宋体" w:hAnsi="宋体"/>
                <w:b/>
                <w:szCs w:val="21"/>
                <w:highlight w:val="none"/>
              </w:rPr>
              <w:t>4、</w:t>
            </w:r>
            <w:r>
              <w:rPr>
                <w:rFonts w:ascii="宋体" w:hAnsi="宋体"/>
                <w:b/>
                <w:szCs w:val="21"/>
                <w:highlight w:val="none"/>
              </w:rPr>
              <w:t>采用金融、担保机构出具的保函的，必须为无条件保函，否则不予签订合同。</w:t>
            </w:r>
          </w:p>
        </w:tc>
      </w:tr>
      <w:tr w14:paraId="0228A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03948C4C">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29.1</w:t>
            </w:r>
          </w:p>
        </w:tc>
        <w:tc>
          <w:tcPr>
            <w:tcW w:w="8510" w:type="dxa"/>
            <w:noWrap w:val="0"/>
            <w:vAlign w:val="center"/>
          </w:tcPr>
          <w:p w14:paraId="7C32E14A">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签订合同携带的证明材料：</w:t>
            </w:r>
          </w:p>
          <w:p w14:paraId="50936B38">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委托代理人负责签订合同的，须携带授权委托书及委托代理人身份证原件等其他资格证件。</w:t>
            </w:r>
          </w:p>
          <w:p w14:paraId="708F3BC0">
            <w:pPr>
              <w:shd w:val="clear" w:color="auto" w:fill="auto"/>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法定代表人负责签订合同的，须携带法定代表人身份证明原件及身份证原件等其他证明材料。</w:t>
            </w:r>
          </w:p>
        </w:tc>
      </w:tr>
      <w:tr w14:paraId="2B196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06584C56">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31.2</w:t>
            </w:r>
          </w:p>
        </w:tc>
        <w:tc>
          <w:tcPr>
            <w:tcW w:w="8510" w:type="dxa"/>
            <w:noWrap w:val="0"/>
            <w:vAlign w:val="center"/>
          </w:tcPr>
          <w:p w14:paraId="27BFA5E2">
            <w:pPr>
              <w:shd w:val="clear" w:color="auto" w:fill="auto"/>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接收质疑函方式： 以纸质书面形式。</w:t>
            </w:r>
          </w:p>
          <w:p w14:paraId="6A4736DB">
            <w:pPr>
              <w:shd w:val="clear" w:color="auto" w:fill="auto"/>
              <w:autoSpaceDE w:val="0"/>
              <w:autoSpaceDN w:val="0"/>
              <w:snapToGrid w:val="0"/>
              <w:spacing w:line="360" w:lineRule="auto"/>
              <w:textAlignment w:val="bottom"/>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lang w:val="en-US" w:eastAsia="zh-CN"/>
              </w:rPr>
              <w:t>1</w:t>
            </w:r>
            <w:r>
              <w:rPr>
                <w:rFonts w:hint="eastAsia" w:ascii="宋体" w:hAnsi="宋体" w:eastAsia="宋体" w:cs="宋体"/>
                <w:color w:val="auto"/>
                <w:szCs w:val="21"/>
                <w:highlight w:val="none"/>
                <w:shd w:val="clear" w:color="auto" w:fill="auto"/>
                <w:lang w:eastAsia="zh-CN"/>
              </w:rPr>
              <w:t>）</w:t>
            </w:r>
            <w:r>
              <w:rPr>
                <w:rFonts w:hint="eastAsia" w:ascii="宋体" w:hAnsi="宋体" w:eastAsia="宋体" w:cs="宋体"/>
                <w:color w:val="auto"/>
                <w:szCs w:val="21"/>
                <w:highlight w:val="none"/>
                <w:shd w:val="clear" w:color="auto" w:fill="auto"/>
              </w:rPr>
              <w:t>质疑联系部门及联系方式：广西建设工程机电设备招标中心有限公司，</w:t>
            </w:r>
          </w:p>
          <w:p w14:paraId="3217ABF6">
            <w:pPr>
              <w:shd w:val="clear" w:color="auto" w:fill="auto"/>
              <w:autoSpaceDE w:val="0"/>
              <w:autoSpaceDN w:val="0"/>
              <w:snapToGrid w:val="0"/>
              <w:spacing w:line="360" w:lineRule="auto"/>
              <w:textAlignment w:val="bottom"/>
              <w:rPr>
                <w:rFonts w:hint="default" w:ascii="宋体" w:hAnsi="宋体" w:eastAsia="宋体" w:cs="宋体"/>
                <w:color w:val="auto"/>
                <w:szCs w:val="21"/>
                <w:highlight w:val="none"/>
                <w:shd w:val="clear" w:color="auto" w:fill="auto"/>
                <w:lang w:val="en-US"/>
              </w:rPr>
            </w:pPr>
            <w:r>
              <w:rPr>
                <w:rFonts w:hint="eastAsia" w:ascii="宋体" w:hAnsi="宋体" w:eastAsia="宋体" w:cs="宋体"/>
                <w:color w:val="auto"/>
                <w:szCs w:val="21"/>
                <w:highlight w:val="none"/>
                <w:shd w:val="clear" w:color="auto" w:fill="auto"/>
              </w:rPr>
              <w:t>质疑联系人：</w:t>
            </w:r>
            <w:r>
              <w:rPr>
                <w:rFonts w:hint="eastAsia" w:ascii="宋体" w:hAnsi="宋体" w:eastAsia="宋体" w:cs="宋体"/>
                <w:color w:val="auto"/>
                <w:szCs w:val="21"/>
                <w:highlight w:val="none"/>
                <w:shd w:val="clear" w:color="auto" w:fill="auto"/>
                <w:lang w:eastAsia="zh-CN"/>
              </w:rPr>
              <w:t>江艳妹</w:t>
            </w:r>
            <w:r>
              <w:rPr>
                <w:rFonts w:hint="eastAsia" w:ascii="宋体" w:hAnsi="宋体" w:eastAsia="宋体" w:cs="宋体"/>
                <w:color w:val="auto"/>
                <w:szCs w:val="21"/>
                <w:highlight w:val="none"/>
                <w:shd w:val="clear" w:color="auto" w:fill="auto"/>
              </w:rPr>
              <w:t xml:space="preserve">     联系电话：</w:t>
            </w:r>
            <w:r>
              <w:rPr>
                <w:rFonts w:hint="eastAsia" w:ascii="宋体" w:hAnsi="宋体" w:eastAsia="宋体" w:cs="宋体"/>
                <w:color w:val="auto"/>
                <w:szCs w:val="21"/>
                <w:highlight w:val="none"/>
                <w:shd w:val="clear" w:color="auto" w:fill="auto"/>
                <w:lang w:val="en-US" w:eastAsia="zh-CN"/>
              </w:rPr>
              <w:t>0771-2804614</w:t>
            </w:r>
          </w:p>
          <w:p w14:paraId="492B4C08">
            <w:pPr>
              <w:shd w:val="clear" w:color="auto" w:fill="auto"/>
              <w:autoSpaceDE w:val="0"/>
              <w:autoSpaceDN w:val="0"/>
              <w:snapToGrid w:val="0"/>
              <w:spacing w:line="360" w:lineRule="auto"/>
              <w:textAlignment w:val="bottom"/>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通讯地址：</w:t>
            </w:r>
            <w:r>
              <w:rPr>
                <w:rFonts w:hint="eastAsia" w:ascii="宋体" w:hAnsi="宋体" w:eastAsia="宋体" w:cs="宋体"/>
                <w:color w:val="auto"/>
                <w:szCs w:val="21"/>
                <w:highlight w:val="none"/>
                <w:shd w:val="clear" w:color="auto" w:fill="auto"/>
                <w:lang w:eastAsia="zh-CN"/>
              </w:rPr>
              <w:t>广西南宁市青秀区枫林路18号广西国控集团（枫林路办公区）裙楼三层</w:t>
            </w:r>
            <w:r>
              <w:rPr>
                <w:rFonts w:hint="eastAsia" w:ascii="宋体" w:hAnsi="宋体" w:eastAsia="宋体" w:cs="宋体"/>
                <w:color w:val="auto"/>
                <w:szCs w:val="21"/>
                <w:highlight w:val="none"/>
                <w:shd w:val="clear" w:color="auto" w:fill="auto"/>
              </w:rPr>
              <w:t xml:space="preserve"> </w:t>
            </w:r>
          </w:p>
          <w:p w14:paraId="7E7289A8">
            <w:pPr>
              <w:shd w:val="clear" w:color="auto" w:fill="auto"/>
              <w:autoSpaceDE w:val="0"/>
              <w:autoSpaceDN w:val="0"/>
              <w:snapToGrid w:val="0"/>
              <w:spacing w:line="360" w:lineRule="auto"/>
              <w:textAlignment w:val="bottom"/>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现场提交质疑办理业务时间：工作日，8:</w:t>
            </w:r>
            <w:r>
              <w:rPr>
                <w:rFonts w:hint="eastAsia" w:ascii="宋体" w:hAnsi="宋体" w:eastAsia="宋体" w:cs="宋体"/>
                <w:color w:val="auto"/>
                <w:szCs w:val="21"/>
                <w:highlight w:val="none"/>
                <w:shd w:val="clear" w:color="auto" w:fill="auto"/>
                <w:lang w:val="en-US" w:eastAsia="zh-CN"/>
              </w:rPr>
              <w:t>3</w:t>
            </w:r>
            <w:r>
              <w:rPr>
                <w:rFonts w:hint="eastAsia" w:ascii="宋体" w:hAnsi="宋体" w:eastAsia="宋体" w:cs="宋体"/>
                <w:color w:val="auto"/>
                <w:szCs w:val="21"/>
                <w:highlight w:val="none"/>
                <w:shd w:val="clear" w:color="auto" w:fill="auto"/>
              </w:rPr>
              <w:t>0-12:00；</w:t>
            </w:r>
            <w:r>
              <w:rPr>
                <w:rFonts w:hint="eastAsia" w:ascii="宋体" w:hAnsi="宋体" w:eastAsia="宋体" w:cs="宋体"/>
                <w:color w:val="auto"/>
                <w:szCs w:val="21"/>
                <w:highlight w:val="none"/>
                <w:shd w:val="clear" w:color="auto" w:fill="auto"/>
                <w:lang w:eastAsia="zh-CN"/>
              </w:rPr>
              <w:t>15:00</w:t>
            </w:r>
            <w:r>
              <w:rPr>
                <w:rFonts w:hint="eastAsia" w:ascii="宋体" w:hAnsi="宋体" w:eastAsia="宋体" w:cs="宋体"/>
                <w:color w:val="auto"/>
                <w:szCs w:val="21"/>
                <w:highlight w:val="none"/>
                <w:shd w:val="clear" w:color="auto" w:fill="auto"/>
              </w:rPr>
              <w:t>-18:00（北京时间）</w:t>
            </w:r>
          </w:p>
          <w:p w14:paraId="3DA1C97B">
            <w:pPr>
              <w:snapToGrid w:val="0"/>
              <w:spacing w:line="380" w:lineRule="exact"/>
              <w:rPr>
                <w:rFonts w:hint="eastAsia" w:hAnsi="宋体"/>
                <w:color w:val="auto"/>
                <w:highlight w:val="none"/>
              </w:rPr>
            </w:pPr>
            <w:r>
              <w:rPr>
                <w:rFonts w:hint="eastAsia" w:ascii="宋体" w:hAnsi="宋体" w:cs="宋体"/>
                <w:color w:val="auto"/>
                <w:szCs w:val="21"/>
                <w:highlight w:val="none"/>
                <w:shd w:val="clear" w:color="auto" w:fill="auto"/>
                <w:lang w:eastAsia="zh-CN"/>
              </w:rPr>
              <w:t>（</w:t>
            </w:r>
            <w:r>
              <w:rPr>
                <w:rFonts w:hint="eastAsia" w:ascii="宋体" w:hAnsi="宋体" w:cs="宋体"/>
                <w:color w:val="auto"/>
                <w:szCs w:val="21"/>
                <w:highlight w:val="none"/>
                <w:shd w:val="clear" w:color="auto" w:fill="auto"/>
                <w:lang w:val="en-US" w:eastAsia="zh-CN"/>
              </w:rPr>
              <w:t>2</w:t>
            </w:r>
            <w:r>
              <w:rPr>
                <w:rFonts w:hint="eastAsia" w:ascii="宋体" w:hAnsi="宋体" w:cs="宋体"/>
                <w:color w:val="auto"/>
                <w:szCs w:val="21"/>
                <w:highlight w:val="none"/>
                <w:shd w:val="clear" w:color="auto" w:fill="auto"/>
                <w:lang w:eastAsia="zh-CN"/>
              </w:rPr>
              <w:t>）</w:t>
            </w:r>
            <w:r>
              <w:rPr>
                <w:rFonts w:hint="eastAsia" w:hAnsi="宋体"/>
                <w:color w:val="auto"/>
                <w:highlight w:val="none"/>
              </w:rPr>
              <w:t>投诉受理方式</w:t>
            </w:r>
            <w:r>
              <w:rPr>
                <w:rFonts w:hint="eastAsia" w:hAnsi="宋体"/>
                <w:color w:val="auto"/>
                <w:highlight w:val="none"/>
                <w:lang w:eastAsia="zh-CN"/>
              </w:rPr>
              <w:t>：</w:t>
            </w:r>
            <w:r>
              <w:rPr>
                <w:rFonts w:hint="eastAsia" w:hAnsi="宋体"/>
                <w:color w:val="auto"/>
                <w:highlight w:val="none"/>
              </w:rPr>
              <w:t>纸质方式受理，投诉书正、副本（经过质疑的事项才可投诉）。</w:t>
            </w:r>
          </w:p>
          <w:p w14:paraId="51BF4BB7">
            <w:pPr>
              <w:snapToGrid w:val="0"/>
              <w:spacing w:line="380" w:lineRule="exact"/>
              <w:rPr>
                <w:rFonts w:hint="eastAsia" w:hAnsi="宋体"/>
                <w:color w:val="auto"/>
                <w:highlight w:val="none"/>
              </w:rPr>
            </w:pPr>
            <w:r>
              <w:rPr>
                <w:rFonts w:hint="eastAsia" w:hAnsi="宋体"/>
                <w:color w:val="auto"/>
                <w:highlight w:val="none"/>
              </w:rPr>
              <w:t>名称：广西壮族自治区财政厅政府采购监督管理处</w:t>
            </w:r>
          </w:p>
          <w:p w14:paraId="0E08E095">
            <w:pPr>
              <w:snapToGrid w:val="0"/>
              <w:spacing w:line="380" w:lineRule="exact"/>
              <w:rPr>
                <w:rFonts w:hint="eastAsia" w:hAnsi="宋体"/>
                <w:color w:val="auto"/>
                <w:highlight w:val="none"/>
              </w:rPr>
            </w:pPr>
            <w:r>
              <w:rPr>
                <w:rFonts w:hint="eastAsia" w:hAnsi="宋体"/>
                <w:color w:val="auto"/>
                <w:highlight w:val="none"/>
              </w:rPr>
              <w:t>地址：南宁市青秀区桃源路69号广西财政大厦</w:t>
            </w:r>
          </w:p>
          <w:p w14:paraId="3B2BDD30">
            <w:pPr>
              <w:pStyle w:val="9"/>
              <w:rPr>
                <w:rFonts w:hint="eastAsia" w:eastAsia="宋体"/>
                <w:highlight w:val="none"/>
                <w:lang w:eastAsia="zh-CN"/>
              </w:rPr>
            </w:pPr>
            <w:r>
              <w:rPr>
                <w:rFonts w:hint="eastAsia" w:hAnsi="宋体"/>
                <w:color w:val="auto"/>
                <w:highlight w:val="none"/>
              </w:rPr>
              <w:t>联系电话：</w:t>
            </w:r>
            <w:r>
              <w:rPr>
                <w:rFonts w:hAnsi="宋体"/>
                <w:color w:val="auto"/>
                <w:highlight w:val="none"/>
              </w:rPr>
              <w:t>0771-5331544</w:t>
            </w:r>
          </w:p>
        </w:tc>
      </w:tr>
      <w:tr w14:paraId="58CF5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06D95B3E">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32.1</w:t>
            </w:r>
          </w:p>
        </w:tc>
        <w:tc>
          <w:tcPr>
            <w:tcW w:w="8510" w:type="dxa"/>
            <w:noWrap w:val="0"/>
            <w:vAlign w:val="center"/>
          </w:tcPr>
          <w:p w14:paraId="495A21D3">
            <w:pPr>
              <w:pStyle w:val="12"/>
              <w:numPr>
                <w:ilvl w:val="0"/>
                <w:numId w:val="2"/>
              </w:numPr>
              <w:shd w:val="clear" w:color="auto" w:fill="auto"/>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采购代理服务费支付方式：</w:t>
            </w:r>
          </w:p>
          <w:p w14:paraId="5D448CC2">
            <w:pPr>
              <w:pStyle w:val="12"/>
              <w:snapToGrid w:val="0"/>
              <w:spacing w:line="360" w:lineRule="auto"/>
              <w:rPr>
                <w:rFonts w:hAnsi="宋体" w:cs="宋体"/>
                <w:color w:val="auto"/>
                <w:sz w:val="21"/>
                <w:highlight w:val="none"/>
              </w:rPr>
            </w:pPr>
            <w:r>
              <w:rPr>
                <w:rFonts w:hint="eastAsia" w:hAnsi="宋体" w:cs="宋体"/>
                <w:color w:val="auto"/>
                <w:sz w:val="21"/>
                <w:highlight w:val="none"/>
              </w:rPr>
              <w:t>☑</w:t>
            </w:r>
            <w:r>
              <w:rPr>
                <w:rFonts w:hint="eastAsia" w:hAnsi="宋体" w:cs="宋体"/>
                <w:color w:val="000000"/>
                <w:sz w:val="21"/>
                <w:highlight w:val="none"/>
                <w:lang w:val="en-US" w:eastAsia="zh-CN"/>
              </w:rPr>
              <w:t>本项目代理服务费按如下规定由</w:t>
            </w:r>
            <w:r>
              <w:rPr>
                <w:rFonts w:hint="eastAsia" w:hAnsi="宋体" w:cs="宋体"/>
                <w:color w:val="000000"/>
                <w:sz w:val="21"/>
                <w:highlight w:val="none"/>
                <w:u w:val="single"/>
                <w:lang w:val="en-US" w:eastAsia="zh-CN"/>
              </w:rPr>
              <w:t>成交供应商</w:t>
            </w:r>
            <w:r>
              <w:rPr>
                <w:rFonts w:hint="eastAsia" w:hAnsi="宋体" w:cs="宋体"/>
                <w:color w:val="000000"/>
                <w:sz w:val="21"/>
                <w:highlight w:val="none"/>
                <w:lang w:val="en-US" w:eastAsia="zh-CN"/>
              </w:rPr>
              <w:t>在领取成交通知书前，一次性向采购代理机构支付</w:t>
            </w:r>
            <w:r>
              <w:rPr>
                <w:rFonts w:hint="eastAsia" w:hAnsi="宋体" w:cs="宋体"/>
                <w:color w:val="auto"/>
                <w:sz w:val="21"/>
                <w:highlight w:val="none"/>
              </w:rPr>
              <w:t>。</w:t>
            </w:r>
          </w:p>
          <w:p w14:paraId="29D8C52C">
            <w:pPr>
              <w:pStyle w:val="12"/>
              <w:snapToGrid w:val="0"/>
              <w:spacing w:line="360" w:lineRule="auto"/>
              <w:rPr>
                <w:rFonts w:hAnsi="宋体" w:cs="宋体"/>
                <w:color w:val="auto"/>
                <w:sz w:val="21"/>
                <w:highlight w:val="none"/>
              </w:rPr>
            </w:pPr>
            <w:r>
              <w:rPr>
                <w:rFonts w:hint="eastAsia" w:hAnsi="宋体" w:cs="宋体"/>
                <w:color w:val="auto"/>
                <w:sz w:val="21"/>
                <w:highlight w:val="none"/>
              </w:rPr>
              <w:t>□采购人支付。</w:t>
            </w:r>
          </w:p>
          <w:p w14:paraId="7C10E287">
            <w:pPr>
              <w:pStyle w:val="12"/>
              <w:snapToGrid w:val="0"/>
              <w:spacing w:line="360" w:lineRule="auto"/>
              <w:rPr>
                <w:rFonts w:hAnsi="宋体" w:cs="宋体"/>
                <w:color w:val="auto"/>
                <w:sz w:val="21"/>
                <w:highlight w:val="none"/>
              </w:rPr>
            </w:pPr>
            <w:r>
              <w:rPr>
                <w:rFonts w:hint="eastAsia" w:hAnsi="宋体" w:cs="宋体"/>
                <w:color w:val="auto"/>
                <w:sz w:val="21"/>
                <w:highlight w:val="none"/>
              </w:rPr>
              <w:t>2.采购代理服务费收取标准：</w:t>
            </w:r>
          </w:p>
          <w:p w14:paraId="4E427A12">
            <w:pPr>
              <w:pStyle w:val="12"/>
              <w:snapToGrid w:val="0"/>
              <w:spacing w:line="360" w:lineRule="auto"/>
              <w:rPr>
                <w:rFonts w:hint="eastAsia" w:hAnsi="宋体" w:cs="宋体"/>
                <w:sz w:val="21"/>
                <w:highlight w:val="none"/>
              </w:rPr>
            </w:pPr>
            <w:r>
              <w:rPr>
                <w:rFonts w:hint="eastAsia" w:ascii="MS Mincho" w:hAnsi="MS Mincho" w:eastAsia="MS Mincho" w:cs="MS Mincho"/>
                <w:sz w:val="21"/>
                <w:highlight w:val="none"/>
              </w:rPr>
              <w:t>☑</w:t>
            </w:r>
            <w:r>
              <w:rPr>
                <w:rFonts w:hint="eastAsia" w:asciiTheme="minorEastAsia" w:hAnsiTheme="minorEastAsia" w:eastAsiaTheme="minorEastAsia" w:cstheme="minorEastAsia"/>
                <w:color w:val="auto"/>
                <w:sz w:val="21"/>
                <w:highlight w:val="none"/>
              </w:rPr>
              <w:t>以分标</w:t>
            </w:r>
            <w:r>
              <w:rPr>
                <w:rFonts w:hint="eastAsia" w:hAnsi="宋体" w:cs="宋体"/>
                <w:sz w:val="21"/>
                <w:highlight w:val="none"/>
              </w:rPr>
              <w:t>（</w:t>
            </w:r>
            <w:r>
              <w:rPr>
                <w:rFonts w:hint="eastAsia" w:ascii="MS Mincho" w:hAnsi="MS Mincho" w:eastAsia="MS Mincho" w:cs="MS Mincho"/>
                <w:sz w:val="21"/>
                <w:highlight w:val="none"/>
              </w:rPr>
              <w:t>☑</w:t>
            </w:r>
            <w:r>
              <w:rPr>
                <w:rFonts w:hint="eastAsia" w:hAnsi="宋体" w:cs="宋体"/>
                <w:sz w:val="21"/>
                <w:highlight w:val="none"/>
              </w:rPr>
              <w:t>成交金额/□采购预算/□暂定成交金额/□其他</w:t>
            </w:r>
            <w:r>
              <w:rPr>
                <w:rFonts w:hint="eastAsia" w:hAnsi="宋体" w:cs="宋体"/>
                <w:sz w:val="21"/>
                <w:highlight w:val="none"/>
                <w:u w:val="single"/>
              </w:rPr>
              <w:t xml:space="preserve"> </w:t>
            </w:r>
            <w:r>
              <w:rPr>
                <w:rFonts w:hAnsi="宋体" w:cs="宋体"/>
                <w:sz w:val="21"/>
                <w:highlight w:val="none"/>
                <w:u w:val="single"/>
              </w:rPr>
              <w:t xml:space="preserve">  </w:t>
            </w:r>
            <w:r>
              <w:rPr>
                <w:rFonts w:hint="eastAsia" w:hAnsi="宋体" w:cs="宋体"/>
                <w:sz w:val="21"/>
                <w:highlight w:val="none"/>
              </w:rPr>
              <w:t>）为计费额，按本须知正文第3</w:t>
            </w:r>
            <w:r>
              <w:rPr>
                <w:rFonts w:hAnsi="宋体" w:cs="宋体"/>
                <w:sz w:val="21"/>
                <w:highlight w:val="none"/>
              </w:rPr>
              <w:t>5</w:t>
            </w:r>
            <w:r>
              <w:rPr>
                <w:rFonts w:hint="eastAsia" w:hAnsi="宋体" w:cs="宋体"/>
                <w:sz w:val="21"/>
                <w:highlight w:val="none"/>
              </w:rPr>
              <w:t>.1条规定的（</w:t>
            </w:r>
            <w:r>
              <w:rPr>
                <w:rFonts w:hint="eastAsia" w:ascii="MS Mincho" w:hAnsi="MS Mincho" w:cs="MS Mincho"/>
                <w:sz w:val="21"/>
                <w:highlight w:val="none"/>
                <w:lang w:eastAsia="zh-CN"/>
              </w:rPr>
              <w:t>□</w:t>
            </w:r>
            <w:r>
              <w:rPr>
                <w:rFonts w:hint="eastAsia" w:hAnsi="宋体" w:cs="宋体"/>
                <w:sz w:val="21"/>
                <w:highlight w:val="none"/>
              </w:rPr>
              <w:t>货物类/</w:t>
            </w:r>
            <w:r>
              <w:rPr>
                <w:rFonts w:hint="eastAsia" w:hAnsi="宋体" w:cs="宋体"/>
                <w:sz w:val="21"/>
                <w:highlight w:val="none"/>
                <w:lang w:eastAsia="zh-CN"/>
              </w:rPr>
              <w:t>□</w:t>
            </w:r>
            <w:r>
              <w:rPr>
                <w:rFonts w:hint="eastAsia" w:hAnsi="宋体" w:cs="宋体"/>
                <w:sz w:val="21"/>
                <w:highlight w:val="none"/>
              </w:rPr>
              <w:t>服务类/</w:t>
            </w:r>
            <w:r>
              <w:rPr>
                <w:rFonts w:hint="eastAsia" w:hAnsi="宋体" w:cs="宋体"/>
                <w:sz w:val="21"/>
                <w:highlight w:val="none"/>
                <w:lang w:eastAsia="zh-CN"/>
              </w:rPr>
              <w:t>☑</w:t>
            </w:r>
            <w:r>
              <w:rPr>
                <w:rFonts w:hint="eastAsia" w:hAnsi="宋体" w:cs="宋体"/>
                <w:sz w:val="21"/>
                <w:highlight w:val="none"/>
              </w:rPr>
              <w:t>工程类）标准采用差额定率累进法计算出收费基准价格，采购代理收费以（</w:t>
            </w:r>
            <w:r>
              <w:rPr>
                <w:rFonts w:hint="eastAsia" w:ascii="Segoe UI Symbol" w:hAnsi="Segoe UI Symbol" w:cs="Segoe UI Symbol"/>
                <w:sz w:val="21"/>
                <w:highlight w:val="none"/>
              </w:rPr>
              <w:t>□</w:t>
            </w:r>
            <w:r>
              <w:rPr>
                <w:rFonts w:hint="eastAsia" w:hAnsi="宋体" w:cs="宋体"/>
                <w:sz w:val="21"/>
                <w:highlight w:val="none"/>
              </w:rPr>
              <w:t>收费基准价格/</w:t>
            </w:r>
            <w:r>
              <w:rPr>
                <w:rFonts w:hint="eastAsia" w:ascii="MS Mincho" w:hAnsi="MS Mincho" w:eastAsia="MS Mincho" w:cs="MS Mincho"/>
                <w:sz w:val="21"/>
                <w:highlight w:val="none"/>
              </w:rPr>
              <w:t>☑</w:t>
            </w:r>
            <w:r>
              <w:rPr>
                <w:rFonts w:hint="eastAsia" w:hAnsi="宋体" w:cs="宋体"/>
                <w:sz w:val="21"/>
                <w:highlight w:val="none"/>
              </w:rPr>
              <w:t>收费基准价格下浮</w:t>
            </w:r>
            <w:r>
              <w:rPr>
                <w:rFonts w:hint="eastAsia" w:hAnsi="宋体" w:cs="宋体"/>
                <w:sz w:val="21"/>
                <w:highlight w:val="none"/>
                <w:u w:val="single"/>
              </w:rPr>
              <w:t xml:space="preserve"> 20</w:t>
            </w:r>
            <w:r>
              <w:rPr>
                <w:rFonts w:hAnsi="宋体" w:cs="宋体"/>
                <w:sz w:val="21"/>
                <w:highlight w:val="none"/>
                <w:u w:val="single"/>
              </w:rPr>
              <w:t xml:space="preserve"> </w:t>
            </w:r>
            <w:r>
              <w:rPr>
                <w:rFonts w:hint="eastAsia" w:hAnsi="宋体" w:cs="宋体"/>
                <w:sz w:val="21"/>
                <w:highlight w:val="none"/>
                <w:u w:val="single"/>
              </w:rPr>
              <w:t>%</w:t>
            </w:r>
            <w:r>
              <w:rPr>
                <w:rFonts w:hAnsi="宋体" w:cs="宋体"/>
                <w:sz w:val="21"/>
                <w:highlight w:val="none"/>
              </w:rPr>
              <w:t>/</w:t>
            </w:r>
            <w:r>
              <w:rPr>
                <w:rFonts w:hint="eastAsia" w:hAnsi="宋体" w:cs="宋体"/>
                <w:sz w:val="21"/>
                <w:highlight w:val="none"/>
              </w:rPr>
              <w:t>□收费基准价格上浮</w:t>
            </w:r>
            <w:r>
              <w:rPr>
                <w:rFonts w:hint="eastAsia" w:hAnsi="宋体" w:cs="宋体"/>
                <w:sz w:val="21"/>
                <w:highlight w:val="none"/>
                <w:u w:val="single"/>
              </w:rPr>
              <w:t xml:space="preserve"> </w:t>
            </w:r>
            <w:r>
              <w:rPr>
                <w:rFonts w:hAnsi="宋体" w:cs="宋体"/>
                <w:sz w:val="21"/>
                <w:highlight w:val="none"/>
                <w:u w:val="single"/>
              </w:rPr>
              <w:t xml:space="preserve"> / </w:t>
            </w:r>
            <w:r>
              <w:rPr>
                <w:rFonts w:hint="eastAsia" w:hAnsi="宋体" w:cs="宋体"/>
                <w:sz w:val="21"/>
                <w:highlight w:val="none"/>
                <w:u w:val="single"/>
              </w:rPr>
              <w:t>%</w:t>
            </w:r>
            <w:r>
              <w:rPr>
                <w:rFonts w:hint="eastAsia" w:hAnsi="宋体" w:cs="宋体"/>
                <w:sz w:val="21"/>
                <w:highlight w:val="none"/>
              </w:rPr>
              <w:t>）收取，</w:t>
            </w:r>
            <w:r>
              <w:rPr>
                <w:rFonts w:hint="eastAsia" w:hAnsi="宋体" w:cs="宋体"/>
                <w:color w:val="auto"/>
                <w:sz w:val="21"/>
                <w:highlight w:val="none"/>
              </w:rPr>
              <w:t>采购</w:t>
            </w:r>
            <w:r>
              <w:rPr>
                <w:rFonts w:hint="eastAsia" w:hAnsi="宋体" w:cs="宋体"/>
                <w:sz w:val="21"/>
                <w:highlight w:val="none"/>
              </w:rPr>
              <w:t>代理服务费低于人民币伍仟元（¥5000.00）按伍仟元（¥5000.00）收取。</w:t>
            </w:r>
          </w:p>
          <w:p w14:paraId="3727FA33">
            <w:pPr>
              <w:pStyle w:val="12"/>
              <w:snapToGrid w:val="0"/>
              <w:spacing w:line="360" w:lineRule="auto"/>
              <w:rPr>
                <w:rFonts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p>
          <w:p w14:paraId="13B653D1">
            <w:pPr>
              <w:pStyle w:val="12"/>
              <w:snapToGrid w:val="0"/>
              <w:spacing w:line="360" w:lineRule="auto"/>
              <w:rPr>
                <w:rFonts w:hAnsi="宋体" w:cs="宋体"/>
                <w:color w:val="auto"/>
                <w:sz w:val="21"/>
                <w:highlight w:val="none"/>
              </w:rPr>
            </w:pPr>
            <w:r>
              <w:rPr>
                <w:rFonts w:hint="eastAsia" w:hAnsi="宋体" w:cs="宋体"/>
                <w:color w:val="auto"/>
                <w:sz w:val="21"/>
                <w:highlight w:val="none"/>
              </w:rPr>
              <w:t>3.采购代理服务费收取银行账户：</w:t>
            </w:r>
          </w:p>
          <w:p w14:paraId="7CB9DF7D">
            <w:pPr>
              <w:pStyle w:val="12"/>
              <w:snapToGrid w:val="0"/>
              <w:spacing w:line="360" w:lineRule="auto"/>
              <w:rPr>
                <w:rFonts w:hint="eastAsia" w:hAnsi="宋体" w:cs="宋体"/>
                <w:b/>
                <w:bCs/>
                <w:sz w:val="21"/>
                <w:highlight w:val="none"/>
                <w:u w:val="single"/>
              </w:rPr>
            </w:pPr>
            <w:r>
              <w:rPr>
                <w:rFonts w:hint="eastAsia" w:hAnsi="宋体" w:cs="宋体"/>
                <w:b/>
                <w:bCs/>
                <w:sz w:val="21"/>
                <w:highlight w:val="none"/>
                <w:u w:val="single"/>
              </w:rPr>
              <w:t>开户名称：广西建设工程机电设备招标中心有限公司</w:t>
            </w:r>
          </w:p>
          <w:p w14:paraId="6A7CB68D">
            <w:pPr>
              <w:pStyle w:val="12"/>
              <w:snapToGrid w:val="0"/>
              <w:spacing w:line="360" w:lineRule="auto"/>
              <w:rPr>
                <w:rFonts w:hint="eastAsia" w:hAnsi="宋体" w:cs="宋体"/>
                <w:b/>
                <w:bCs/>
                <w:sz w:val="21"/>
                <w:highlight w:val="none"/>
                <w:u w:val="single"/>
              </w:rPr>
            </w:pPr>
            <w:r>
              <w:rPr>
                <w:rFonts w:hint="eastAsia" w:hAnsi="宋体" w:cs="宋体"/>
                <w:b/>
                <w:bCs/>
                <w:sz w:val="21"/>
                <w:highlight w:val="none"/>
                <w:u w:val="single"/>
              </w:rPr>
              <w:t>开户银行：招商银行南宁分行营业部</w:t>
            </w:r>
          </w:p>
          <w:p w14:paraId="35D775CA">
            <w:pPr>
              <w:pStyle w:val="12"/>
              <w:snapToGrid w:val="0"/>
              <w:spacing w:line="360" w:lineRule="auto"/>
              <w:rPr>
                <w:rFonts w:hint="eastAsia" w:hAnsi="宋体" w:cs="宋体"/>
                <w:b/>
                <w:bCs/>
                <w:sz w:val="21"/>
                <w:highlight w:val="none"/>
                <w:u w:val="single"/>
              </w:rPr>
            </w:pPr>
            <w:r>
              <w:rPr>
                <w:rFonts w:hint="eastAsia" w:hAnsi="宋体" w:cs="宋体"/>
                <w:b/>
                <w:bCs/>
                <w:sz w:val="21"/>
                <w:highlight w:val="none"/>
                <w:u w:val="single"/>
              </w:rPr>
              <w:t>银行账号：771901423310201</w:t>
            </w:r>
          </w:p>
          <w:p w14:paraId="06E771AA">
            <w:pPr>
              <w:pStyle w:val="12"/>
              <w:shd w:val="clear" w:color="auto" w:fill="auto"/>
              <w:snapToGrid w:val="0"/>
              <w:spacing w:line="360" w:lineRule="auto"/>
              <w:rPr>
                <w:rFonts w:hint="eastAsia" w:eastAsia="宋体" w:asciiTheme="minorEastAsia" w:hAnsiTheme="minorEastAsia" w:cstheme="minorEastAsia"/>
                <w:color w:val="auto"/>
                <w:highlight w:val="none"/>
                <w:lang w:eastAsia="zh-CN"/>
              </w:rPr>
            </w:pPr>
            <w:r>
              <w:rPr>
                <w:rFonts w:hint="eastAsia" w:hAnsi="宋体" w:cs="宋体"/>
                <w:sz w:val="21"/>
                <w:highlight w:val="none"/>
                <w:u w:val="single"/>
              </w:rPr>
              <w:t>备注</w:t>
            </w:r>
            <w:r>
              <w:rPr>
                <w:rFonts w:hint="eastAsia" w:hAnsi="宋体" w:cs="宋体"/>
                <w:sz w:val="21"/>
                <w:highlight w:val="none"/>
                <w:u w:val="single"/>
                <w:lang w:eastAsia="zh-CN"/>
              </w:rPr>
              <w:t>：成交人</w:t>
            </w:r>
            <w:r>
              <w:rPr>
                <w:rFonts w:hint="eastAsia" w:hAnsi="宋体" w:cs="宋体"/>
                <w:sz w:val="21"/>
                <w:highlight w:val="none"/>
                <w:u w:val="single"/>
              </w:rPr>
              <w:t>转账时，须在银行转账底单上备注标识如</w:t>
            </w:r>
            <w:r>
              <w:rPr>
                <w:rFonts w:hint="eastAsia" w:hAnsi="宋体" w:cs="宋体"/>
                <w:b/>
                <w:bCs/>
                <w:sz w:val="21"/>
                <w:highlight w:val="none"/>
                <w:u w:val="single"/>
              </w:rPr>
              <w:t>（</w:t>
            </w:r>
            <w:r>
              <w:rPr>
                <w:rFonts w:hint="eastAsia" w:hAnsi="宋体" w:cs="宋体"/>
                <w:b/>
                <w:bCs/>
                <w:sz w:val="21"/>
                <w:highlight w:val="none"/>
                <w:u w:val="single"/>
                <w:lang w:eastAsia="zh-CN"/>
              </w:rPr>
              <w:t>GXZC2026-J2-001931-JGJD</w:t>
            </w:r>
            <w:r>
              <w:rPr>
                <w:rFonts w:hint="eastAsia" w:hAnsi="宋体" w:cs="宋体"/>
                <w:b/>
                <w:bCs/>
                <w:sz w:val="21"/>
                <w:highlight w:val="none"/>
                <w:u w:val="single"/>
              </w:rPr>
              <w:t>）</w:t>
            </w:r>
            <w:r>
              <w:rPr>
                <w:rFonts w:hint="eastAsia" w:hAnsi="宋体" w:cs="宋体"/>
                <w:sz w:val="21"/>
                <w:highlight w:val="none"/>
                <w:u w:val="single"/>
              </w:rPr>
              <w:t>代理服务费</w:t>
            </w:r>
            <w:r>
              <w:rPr>
                <w:rFonts w:hint="eastAsia" w:hAnsi="宋体" w:cs="宋体"/>
                <w:sz w:val="21"/>
                <w:highlight w:val="none"/>
                <w:u w:val="single"/>
                <w:lang w:eastAsia="zh-CN"/>
              </w:rPr>
              <w:t>。</w:t>
            </w:r>
          </w:p>
        </w:tc>
      </w:tr>
      <w:tr w14:paraId="2222F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1824E428">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33.1</w:t>
            </w:r>
          </w:p>
        </w:tc>
        <w:tc>
          <w:tcPr>
            <w:tcW w:w="8510" w:type="dxa"/>
            <w:noWrap w:val="0"/>
            <w:vAlign w:val="center"/>
          </w:tcPr>
          <w:p w14:paraId="1E45E729">
            <w:pPr>
              <w:pStyle w:val="12"/>
              <w:shd w:val="clear" w:color="auto" w:fill="auto"/>
              <w:snapToGrid w:val="0"/>
              <w:spacing w:line="360" w:lineRule="auto"/>
              <w:rPr>
                <w:rFonts w:hint="eastAsia"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sz w:val="21"/>
                <w:highlight w:val="none"/>
              </w:rPr>
              <w:t>解释：构成本</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文件的各个组成文件应互为解释，互为说明；除</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文件中有特别规定外，仅适用于竞标阶段的规定，按更正公告（澄清公告）、</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公告、供应商须知、采购需求、评审程序、评审方法和评审标准、响应文件格式、拟定的合同文本的先后顺序解释；同一组成文件中就同一事项的规定或者约定不一致的，以编排顺序在后者为准；同一组成文件不同版本之间有不一致的，以形成时间在后者为准；更正公告（澄清公告）与同步更新的</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文件不一致时以更正公告（澄清公告）为准。按本款前述规定仍不能形成结论的，由采购人或者采购代理机构负责解释。</w:t>
            </w:r>
          </w:p>
        </w:tc>
      </w:tr>
      <w:tr w14:paraId="02A0E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175C21A4">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33.2</w:t>
            </w:r>
          </w:p>
        </w:tc>
        <w:tc>
          <w:tcPr>
            <w:tcW w:w="8510" w:type="dxa"/>
            <w:noWrap w:val="0"/>
            <w:vAlign w:val="center"/>
          </w:tcPr>
          <w:p w14:paraId="3CBD1308">
            <w:pPr>
              <w:pStyle w:val="12"/>
              <w:shd w:val="clear" w:color="auto" w:fill="auto"/>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1.本</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文件中描述供应商的“公章”是指根据我国对公章的管理规定</w:t>
            </w:r>
            <w:r>
              <w:rPr>
                <w:rFonts w:hint="eastAsia" w:asciiTheme="minorEastAsia" w:hAnsiTheme="minorEastAsia" w:eastAsiaTheme="minorEastAsia" w:cstheme="minorEastAsia"/>
                <w:color w:val="auto"/>
                <w:sz w:val="21"/>
                <w:highlight w:val="none"/>
                <w:lang w:eastAsia="zh-CN"/>
              </w:rPr>
              <w:t>，使</w:t>
            </w:r>
            <w:r>
              <w:rPr>
                <w:rFonts w:hint="eastAsia" w:asciiTheme="minorEastAsia" w:hAnsiTheme="minorEastAsia" w:eastAsiaTheme="minorEastAsia" w:cstheme="minorEastAsia"/>
                <w:color w:val="auto"/>
                <w:sz w:val="21"/>
                <w:highlight w:val="none"/>
              </w:rPr>
              <w:t>用供应商法定主体行为名称制作的印章，除本</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文件有特殊规定外，供应商的财务章、部门章、工会章、合同章、竞标/投标专用章、业务专用章及银行的转账章、现金收讫章、现金付讫章等其他形式印章均不能代替公章。</w:t>
            </w:r>
          </w:p>
          <w:p w14:paraId="243E3B43">
            <w:pPr>
              <w:pStyle w:val="12"/>
              <w:shd w:val="clear" w:color="auto" w:fill="auto"/>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2.供应商为其他组织或者自然人时，本</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文件规定的法定代表人指负责人或者自然人。本</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文件所称负责人是指参加竞标的其他组织营业执照上的负责人，本</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文件所称自然人指参与竞标的自然人本人。</w:t>
            </w:r>
          </w:p>
          <w:p w14:paraId="2CBF4A52">
            <w:pPr>
              <w:pStyle w:val="12"/>
              <w:shd w:val="clear" w:color="auto" w:fill="auto"/>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3.本</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文件中描述供应商的“签字”是指供应商的法定代表人或者其委托代理人亲自在文件规定签署处亲笔写上个人的名字的行为，私章、签字章、印鉴、影印等其他形式均不能代替亲笔签字。</w:t>
            </w:r>
          </w:p>
          <w:p w14:paraId="7E3D1361">
            <w:pPr>
              <w:pStyle w:val="12"/>
              <w:shd w:val="clear" w:color="auto" w:fill="auto"/>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4.自然人竞标的，</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文件规定盖公章处由自然人摁手指指印。</w:t>
            </w:r>
          </w:p>
          <w:p w14:paraId="79B8CD4E">
            <w:pPr>
              <w:pStyle w:val="12"/>
              <w:shd w:val="clear" w:color="auto" w:fill="auto"/>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5.本</w:t>
            </w:r>
            <w:r>
              <w:rPr>
                <w:rFonts w:hint="eastAsia" w:asciiTheme="minorEastAsia" w:hAnsiTheme="minorEastAsia" w:eastAsiaTheme="minorEastAsia" w:cstheme="minorEastAsia"/>
                <w:color w:val="auto"/>
                <w:sz w:val="21"/>
                <w:highlight w:val="none"/>
                <w:lang w:eastAsia="zh-CN"/>
              </w:rPr>
              <w:t>竞争性谈判</w:t>
            </w:r>
            <w:r>
              <w:rPr>
                <w:rFonts w:hint="eastAsia" w:asciiTheme="minorEastAsia" w:hAnsiTheme="minorEastAsia" w:eastAsiaTheme="minorEastAsia" w:cstheme="minorEastAsia"/>
                <w:color w:val="auto"/>
                <w:sz w:val="21"/>
                <w:highlight w:val="none"/>
              </w:rPr>
              <w:t>文件所称的“以上”“以下”“以内”“届满”，包括本数；所称的“不满”“超过”“以外”，不包括本数。</w:t>
            </w:r>
          </w:p>
        </w:tc>
      </w:tr>
      <w:tr w14:paraId="36FA8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992" w:type="dxa"/>
            <w:noWrap w:val="0"/>
            <w:vAlign w:val="center"/>
          </w:tcPr>
          <w:p w14:paraId="5987A148">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33.3</w:t>
            </w:r>
          </w:p>
        </w:tc>
        <w:tc>
          <w:tcPr>
            <w:tcW w:w="8510" w:type="dxa"/>
            <w:noWrap w:val="0"/>
            <w:vAlign w:val="center"/>
          </w:tcPr>
          <w:p w14:paraId="7FDF5BBE">
            <w:pPr>
              <w:shd w:val="clear" w:color="auto" w:fill="auto"/>
              <w:snapToGrid w:val="0"/>
              <w:spacing w:line="360" w:lineRule="auto"/>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特别说明：</w:t>
            </w:r>
          </w:p>
          <w:p w14:paraId="5AEED1DB">
            <w:pPr>
              <w:shd w:val="clear" w:color="auto" w:fill="auto"/>
              <w:snapToGrid w:val="0"/>
              <w:spacing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（1）响应文件中所须加盖公章部分均采用CA签章。若</w:t>
            </w:r>
            <w:r>
              <w:rPr>
                <w:rFonts w:hint="eastAsia" w:asciiTheme="minorEastAsia" w:hAnsiTheme="minorEastAsia" w:eastAsiaTheme="minorEastAsia" w:cstheme="minorEastAsia"/>
                <w:b/>
                <w:color w:val="auto"/>
                <w:szCs w:val="21"/>
                <w:highlight w:val="none"/>
                <w:lang w:eastAsia="zh-CN"/>
              </w:rPr>
              <w:t>竞争性谈判</w:t>
            </w:r>
            <w:r>
              <w:rPr>
                <w:rFonts w:hint="eastAsia" w:asciiTheme="minorEastAsia" w:hAnsiTheme="minorEastAsia" w:eastAsiaTheme="minorEastAsia" w:cstheme="minorEastAsia"/>
                <w:b/>
                <w:color w:val="auto"/>
                <w:szCs w:val="21"/>
                <w:highlight w:val="none"/>
              </w:rPr>
              <w:t>文件中有专门标注的某关联点，并要求供应商在电子投标系统中作出响应的，如供应商未对关联点进行响应或者在响应文件</w:t>
            </w:r>
            <w:r>
              <w:rPr>
                <w:rFonts w:hint="eastAsia" w:asciiTheme="minorEastAsia" w:hAnsiTheme="minorEastAsia" w:eastAsiaTheme="minorEastAsia" w:cstheme="minorEastAsia"/>
                <w:b/>
                <w:color w:val="auto"/>
                <w:szCs w:val="21"/>
                <w:highlight w:val="none"/>
                <w:lang w:eastAsia="zh-CN"/>
              </w:rPr>
              <w:t>其他</w:t>
            </w:r>
            <w:r>
              <w:rPr>
                <w:rFonts w:hint="eastAsia" w:asciiTheme="minorEastAsia" w:hAnsiTheme="minorEastAsia" w:eastAsiaTheme="minorEastAsia" w:cstheme="minorEastAsia"/>
                <w:b/>
                <w:color w:val="auto"/>
                <w:szCs w:val="21"/>
                <w:highlight w:val="none"/>
              </w:rPr>
              <w:t>内容进行描述，造成电子评审不能查询的责任由供应商自行承担。</w:t>
            </w:r>
          </w:p>
          <w:p w14:paraId="668819DA">
            <w:pPr>
              <w:shd w:val="clear" w:color="auto" w:fill="auto"/>
              <w:snapToGrid w:val="0"/>
              <w:spacing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w:t>
            </w:r>
            <w:r>
              <w:rPr>
                <w:rFonts w:hint="eastAsia" w:asciiTheme="minorEastAsia" w:hAnsiTheme="minorEastAsia" w:eastAsiaTheme="minorEastAsia" w:cstheme="minorEastAsia"/>
                <w:b/>
                <w:color w:val="auto"/>
                <w:szCs w:val="21"/>
                <w:highlight w:val="none"/>
                <w:lang w:eastAsia="zh-CN"/>
              </w:rPr>
              <w:t>竞争性谈判</w:t>
            </w:r>
            <w:r>
              <w:rPr>
                <w:rFonts w:hint="eastAsia" w:asciiTheme="minorEastAsia" w:hAnsiTheme="minorEastAsia" w:eastAsiaTheme="minorEastAsia" w:cstheme="minorEastAsia"/>
                <w:b/>
                <w:color w:val="auto"/>
                <w:szCs w:val="21"/>
                <w:highlight w:val="none"/>
              </w:rPr>
              <w:t>文件要求提供</w:t>
            </w:r>
            <w:r>
              <w:rPr>
                <w:rFonts w:hint="eastAsia" w:asciiTheme="minorEastAsia" w:hAnsiTheme="minorEastAsia" w:eastAsiaTheme="minorEastAsia" w:cstheme="minorEastAsia"/>
                <w:b/>
                <w:color w:val="auto"/>
                <w:szCs w:val="21"/>
                <w:highlight w:val="none"/>
                <w:lang w:eastAsia="zh-CN"/>
              </w:rPr>
              <w:t>的</w:t>
            </w:r>
            <w:r>
              <w:rPr>
                <w:rFonts w:hint="eastAsia" w:asciiTheme="minorEastAsia" w:hAnsiTheme="minorEastAsia" w:eastAsiaTheme="minorEastAsia" w:cstheme="minorEastAsia"/>
                <w:b/>
                <w:color w:val="auto"/>
                <w:szCs w:val="21"/>
                <w:highlight w:val="none"/>
              </w:rPr>
              <w:t>各种复印件，必须加盖供应商CA签章，否则其竞标无效。</w:t>
            </w:r>
          </w:p>
          <w:p w14:paraId="22F45800">
            <w:pPr>
              <w:shd w:val="clear" w:color="auto" w:fill="auto"/>
              <w:snapToGrid w:val="0"/>
              <w:spacing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w:t>
            </w:r>
            <w:r>
              <w:rPr>
                <w:rFonts w:hint="eastAsia" w:asciiTheme="minorEastAsia" w:hAnsiTheme="minorEastAsia" w:eastAsiaTheme="minorEastAsia" w:cstheme="minorEastAsia"/>
                <w:b/>
                <w:color w:val="auto"/>
                <w:szCs w:val="21"/>
                <w:highlight w:val="none"/>
                <w:lang w:eastAsia="zh-CN"/>
              </w:rPr>
              <w:t>竞争性谈判</w:t>
            </w:r>
            <w:r>
              <w:rPr>
                <w:rFonts w:hint="eastAsia" w:asciiTheme="minorEastAsia" w:hAnsiTheme="minorEastAsia" w:eastAsiaTheme="minorEastAsia" w:cstheme="minorEastAsia"/>
                <w:b/>
                <w:color w:val="auto"/>
                <w:szCs w:val="21"/>
                <w:highlight w:val="none"/>
              </w:rPr>
              <w:t>文件标注“</w:t>
            </w:r>
            <w:r>
              <w:rPr>
                <w:rFonts w:hint="eastAsia" w:asciiTheme="minorEastAsia" w:hAnsiTheme="minorEastAsia" w:eastAsiaTheme="minorEastAsia" w:cstheme="minorEastAsia"/>
                <w:b/>
                <w:color w:val="auto"/>
                <w:szCs w:val="21"/>
                <w:highlight w:val="none"/>
                <w:lang w:eastAsia="zh-CN"/>
              </w:rPr>
              <w:t>▲</w:t>
            </w:r>
            <w:r>
              <w:rPr>
                <w:rFonts w:hint="eastAsia" w:asciiTheme="minorEastAsia" w:hAnsiTheme="minorEastAsia" w:eastAsiaTheme="minorEastAsia" w:cstheme="minorEastAsia"/>
                <w:b/>
                <w:color w:val="auto"/>
                <w:szCs w:val="21"/>
                <w:highlight w:val="none"/>
              </w:rPr>
              <w:t>”或要求“必须提供”的证明等材料，供应商必须全部提供，缺一不可，否则竞标无效。</w:t>
            </w:r>
          </w:p>
          <w:p w14:paraId="5F5C1C10">
            <w:pPr>
              <w:shd w:val="clear" w:color="auto" w:fill="auto"/>
              <w:snapToGrid w:val="0"/>
              <w:spacing w:line="360" w:lineRule="auto"/>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w:t>
            </w:r>
            <w:r>
              <w:rPr>
                <w:rFonts w:hint="eastAsia" w:asciiTheme="minorEastAsia" w:hAnsiTheme="minorEastAsia" w:eastAsiaTheme="minorEastAsia" w:cstheme="minorEastAsia"/>
                <w:b/>
                <w:color w:val="auto"/>
                <w:szCs w:val="21"/>
                <w:highlight w:val="none"/>
                <w:lang w:eastAsia="zh-CN"/>
              </w:rPr>
              <w:t>竞争性谈判</w:t>
            </w:r>
            <w:r>
              <w:rPr>
                <w:rFonts w:hint="eastAsia" w:asciiTheme="minorEastAsia" w:hAnsiTheme="minorEastAsia" w:eastAsiaTheme="minorEastAsia" w:cstheme="minorEastAsia"/>
                <w:b/>
                <w:color w:val="auto"/>
                <w:szCs w:val="21"/>
                <w:highlight w:val="none"/>
              </w:rPr>
              <w:t>文件要求法定代表人（负责人）或委托代理人签字的部分必须签字</w:t>
            </w:r>
            <w:r>
              <w:rPr>
                <w:rFonts w:hint="eastAsia" w:asciiTheme="minorEastAsia" w:hAnsiTheme="minorEastAsia" w:eastAsiaTheme="minorEastAsia" w:cstheme="minorEastAsia"/>
                <w:b/>
                <w:color w:val="auto"/>
                <w:szCs w:val="21"/>
                <w:highlight w:val="none"/>
                <w:lang w:eastAsia="zh-CN"/>
              </w:rPr>
              <w:t>（或电子签名）</w:t>
            </w:r>
            <w:r>
              <w:rPr>
                <w:rFonts w:hint="eastAsia" w:asciiTheme="minorEastAsia" w:hAnsiTheme="minorEastAsia" w:eastAsiaTheme="minorEastAsia" w:cstheme="minorEastAsia"/>
                <w:b/>
                <w:color w:val="auto"/>
                <w:szCs w:val="21"/>
                <w:highlight w:val="none"/>
              </w:rPr>
              <w:t>然后扫描或者拍照做成pdf格式上传，无签字的视为竞标无效。</w:t>
            </w:r>
          </w:p>
          <w:p w14:paraId="0922BFDD">
            <w:pPr>
              <w:spacing w:line="360" w:lineRule="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b/>
                <w:color w:val="auto"/>
                <w:szCs w:val="21"/>
                <w:highlight w:val="none"/>
                <w:lang w:eastAsia="zh-CN"/>
              </w:rPr>
              <w:t>（</w:t>
            </w:r>
            <w:r>
              <w:rPr>
                <w:rFonts w:hint="eastAsia" w:asciiTheme="minorEastAsia" w:hAnsiTheme="minorEastAsia" w:eastAsiaTheme="minorEastAsia" w:cstheme="minorEastAsia"/>
                <w:b/>
                <w:color w:val="auto"/>
                <w:szCs w:val="21"/>
                <w:highlight w:val="none"/>
                <w:lang w:val="en-US" w:eastAsia="zh-CN"/>
              </w:rPr>
              <w:t>5</w:t>
            </w:r>
            <w:r>
              <w:rPr>
                <w:rFonts w:hint="eastAsia" w:asciiTheme="minorEastAsia" w:hAnsiTheme="minorEastAsia" w:eastAsiaTheme="minorEastAsia" w:cstheme="minorEastAsia"/>
                <w:b/>
                <w:color w:val="auto"/>
                <w:szCs w:val="21"/>
                <w:highlight w:val="none"/>
                <w:lang w:eastAsia="zh-CN"/>
              </w:rPr>
              <w:t>）踏勘现场：</w:t>
            </w:r>
            <w:r>
              <w:rPr>
                <w:rFonts w:hint="eastAsia" w:asciiTheme="minorEastAsia" w:hAnsiTheme="minorEastAsia" w:eastAsiaTheme="minorEastAsia" w:cstheme="minorEastAsia"/>
                <w:b/>
                <w:color w:val="auto"/>
                <w:szCs w:val="21"/>
                <w:highlight w:val="none"/>
                <w:lang w:val="en-US" w:eastAsia="zh-CN"/>
              </w:rPr>
              <w:t>不统一组织。</w:t>
            </w:r>
          </w:p>
          <w:p w14:paraId="3A6663B8">
            <w:pPr>
              <w:spacing w:line="360" w:lineRule="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1.竞标人如有需要可自行联系采购人踏勘现场。</w:t>
            </w:r>
          </w:p>
          <w:p w14:paraId="204949C5">
            <w:pPr>
              <w:spacing w:line="360" w:lineRule="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2.竞标人前往现场踏勘人员需携带身份证明、竞标报名截图等文件以供备查。</w:t>
            </w:r>
          </w:p>
          <w:p w14:paraId="2C08C050">
            <w:pPr>
              <w:spacing w:line="360" w:lineRule="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3.竞标人踏勘现场发生的费用自理。</w:t>
            </w:r>
          </w:p>
          <w:p w14:paraId="2441CF12">
            <w:pPr>
              <w:shd w:val="clear" w:color="auto" w:fill="auto"/>
              <w:snapToGrid w:val="0"/>
              <w:spacing w:line="360" w:lineRule="auto"/>
              <w:jc w:val="lef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val="en-US" w:eastAsia="zh-CN"/>
              </w:rPr>
              <w:t>4.竞标人自行负责在踏勘现场中所发生的人员伤亡和财产损失。</w:t>
            </w:r>
          </w:p>
        </w:tc>
      </w:tr>
    </w:tbl>
    <w:p w14:paraId="3C436373">
      <w:pPr>
        <w:shd w:val="clear" w:color="auto" w:fill="auto"/>
        <w:spacing w:line="360" w:lineRule="auto"/>
        <w:jc w:val="center"/>
        <w:outlineLvl w:val="1"/>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bookmarkStart w:id="102" w:name="_Toc15969"/>
      <w:r>
        <w:rPr>
          <w:rFonts w:hint="eastAsia" w:asciiTheme="minorEastAsia" w:hAnsiTheme="minorEastAsia" w:eastAsiaTheme="minorEastAsia" w:cstheme="minorEastAsia"/>
          <w:b/>
          <w:color w:val="auto"/>
          <w:sz w:val="32"/>
          <w:szCs w:val="32"/>
          <w:highlight w:val="none"/>
        </w:rPr>
        <w:t>第二节 供应商须知正文</w:t>
      </w:r>
      <w:bookmarkEnd w:id="102"/>
    </w:p>
    <w:p w14:paraId="77380475">
      <w:pPr>
        <w:shd w:val="clear" w:color="auto" w:fill="auto"/>
        <w:spacing w:line="360" w:lineRule="auto"/>
        <w:jc w:val="center"/>
        <w:outlineLvl w:val="2"/>
        <w:rPr>
          <w:rFonts w:hint="eastAsia" w:asciiTheme="minorEastAsia" w:hAnsiTheme="minorEastAsia" w:eastAsiaTheme="minorEastAsia" w:cstheme="minorEastAsia"/>
          <w:color w:val="auto"/>
          <w:szCs w:val="21"/>
          <w:highlight w:val="none"/>
        </w:rPr>
      </w:pPr>
      <w:bookmarkStart w:id="103" w:name="_Toc9099"/>
      <w:r>
        <w:rPr>
          <w:rFonts w:hint="eastAsia" w:asciiTheme="minorEastAsia" w:hAnsiTheme="minorEastAsia" w:eastAsiaTheme="minorEastAsia" w:cstheme="minorEastAsia"/>
          <w:b/>
          <w:color w:val="auto"/>
          <w:sz w:val="32"/>
          <w:szCs w:val="32"/>
          <w:highlight w:val="none"/>
        </w:rPr>
        <w:t>一、总则</w:t>
      </w:r>
      <w:bookmarkEnd w:id="103"/>
    </w:p>
    <w:p w14:paraId="3970F691">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1.适用范围</w:t>
      </w:r>
    </w:p>
    <w:p w14:paraId="6932AEA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w:t>
      </w:r>
      <w:r>
        <w:rPr>
          <w:rFonts w:hint="eastAsia" w:asciiTheme="minorEastAsia" w:hAnsiTheme="minorEastAsia" w:eastAsiaTheme="minorEastAsia" w:cstheme="minorEastAsia"/>
          <w:spacing w:val="7"/>
          <w:sz w:val="21"/>
          <w:szCs w:val="21"/>
          <w:highlight w:val="none"/>
        </w:rPr>
        <w:t>适用法律：</w:t>
      </w:r>
      <w:r>
        <w:rPr>
          <w:rFonts w:hint="eastAsia" w:asciiTheme="minorEastAsia" w:hAnsiTheme="minorEastAsia" w:eastAsiaTheme="minorEastAsia" w:cstheme="minorEastAsia"/>
          <w:color w:val="auto"/>
          <w:szCs w:val="21"/>
          <w:highlight w:val="none"/>
        </w:rPr>
        <w:t>本项目采购人、采购代理机构、供应商、</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小组的相关行为均受《中华人民共和国政府采购法》《中华人民共和国政府采购法实施条例》《政府采购</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采购方式管理暂行办法》《财政部关于政府采购</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采购方式管理暂行办法有关问题的补充通知》及本项目本级和上级财政部门政府采购有关规定的约束和保护。</w:t>
      </w:r>
    </w:p>
    <w:p w14:paraId="35FD764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w:t>
      </w:r>
      <w:r>
        <w:rPr>
          <w:rFonts w:hint="eastAsia" w:asciiTheme="minorEastAsia" w:hAnsiTheme="minorEastAsia" w:eastAsiaTheme="minorEastAsia" w:cstheme="minorEastAsia"/>
          <w:color w:val="auto"/>
          <w:spacing w:val="-6"/>
          <w:szCs w:val="21"/>
          <w:highlight w:val="none"/>
        </w:rPr>
        <w:t>本</w:t>
      </w:r>
      <w:r>
        <w:rPr>
          <w:rFonts w:hint="eastAsia" w:asciiTheme="minorEastAsia" w:hAnsiTheme="minorEastAsia" w:eastAsiaTheme="minorEastAsia" w:cstheme="minorEastAsia"/>
          <w:color w:val="auto"/>
          <w:spacing w:val="-6"/>
          <w:szCs w:val="21"/>
          <w:highlight w:val="none"/>
          <w:lang w:eastAsia="zh-CN"/>
        </w:rPr>
        <w:t>竞争性谈判</w:t>
      </w:r>
      <w:r>
        <w:rPr>
          <w:rFonts w:hint="eastAsia" w:asciiTheme="minorEastAsia" w:hAnsiTheme="minorEastAsia" w:eastAsiaTheme="minorEastAsia" w:cstheme="minorEastAsia"/>
          <w:color w:val="auto"/>
          <w:spacing w:val="-6"/>
          <w:szCs w:val="21"/>
          <w:highlight w:val="none"/>
        </w:rPr>
        <w:t>文件（以下简称</w:t>
      </w:r>
      <w:r>
        <w:rPr>
          <w:rFonts w:hint="eastAsia" w:asciiTheme="minorEastAsia" w:hAnsiTheme="minorEastAsia" w:eastAsiaTheme="minorEastAsia" w:cstheme="minorEastAsia"/>
          <w:color w:val="auto"/>
          <w:spacing w:val="-6"/>
          <w:szCs w:val="21"/>
          <w:highlight w:val="none"/>
          <w:lang w:eastAsia="zh-CN"/>
        </w:rPr>
        <w:t>谈判</w:t>
      </w:r>
      <w:r>
        <w:rPr>
          <w:rFonts w:hint="eastAsia" w:asciiTheme="minorEastAsia" w:hAnsiTheme="minorEastAsia" w:eastAsiaTheme="minorEastAsia" w:cstheme="minorEastAsia"/>
          <w:color w:val="auto"/>
          <w:spacing w:val="-6"/>
          <w:szCs w:val="21"/>
          <w:highlight w:val="none"/>
        </w:rPr>
        <w:t>文件）适用于本项目的所有采购程序和环节（</w:t>
      </w:r>
      <w:r>
        <w:rPr>
          <w:rFonts w:hint="eastAsia" w:asciiTheme="minorEastAsia" w:hAnsiTheme="minorEastAsia" w:eastAsiaTheme="minorEastAsia" w:cstheme="minorEastAsia"/>
          <w:color w:val="auto"/>
          <w:spacing w:val="-6"/>
          <w:szCs w:val="21"/>
          <w:highlight w:val="none"/>
          <w:lang w:eastAsia="zh-CN"/>
        </w:rPr>
        <w:t>法律法规</w:t>
      </w:r>
      <w:r>
        <w:rPr>
          <w:rFonts w:hint="eastAsia" w:asciiTheme="minorEastAsia" w:hAnsiTheme="minorEastAsia" w:eastAsiaTheme="minorEastAsia" w:cstheme="minorEastAsia"/>
          <w:color w:val="auto"/>
          <w:spacing w:val="-6"/>
          <w:szCs w:val="21"/>
          <w:highlight w:val="none"/>
        </w:rPr>
        <w:t>另有规定的，从其规定）。</w:t>
      </w:r>
    </w:p>
    <w:p w14:paraId="0D2FB867">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2.定义</w:t>
      </w:r>
    </w:p>
    <w:p w14:paraId="6690F43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2.1“采购人”是指依法进行政府采购的国家机关、事业单位、团体组织。</w:t>
      </w:r>
    </w:p>
    <w:p w14:paraId="34249DF4">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2.2“采购代理机构”是指政府采购代理机构（以下简称采购代理机构）是指集中采购机构以外、受采购人委托从事政府采购代理业务的社会中介机构。</w:t>
      </w:r>
    </w:p>
    <w:p w14:paraId="3152960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2.3“供应商”是指向采购人提供货物、工程或者服务的法人、其他组织或者自然人。</w:t>
      </w:r>
    </w:p>
    <w:p w14:paraId="198599D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2.4“服务”是指除货物和工程以外的其他政府采购对象。</w:t>
      </w:r>
    </w:p>
    <w:p w14:paraId="69A142D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2.5“竞标”是指供应商按照本项目</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公告或者邀请函规定的方式获取</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文件、提交响应文件并希望获得标的的行为。</w:t>
      </w:r>
    </w:p>
    <w:p w14:paraId="58C6D9E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2.6“响应文件”</w:t>
      </w:r>
      <w:r>
        <w:rPr>
          <w:rFonts w:hint="eastAsia" w:asciiTheme="minorEastAsia" w:hAnsiTheme="minorEastAsia" w:eastAsiaTheme="minorEastAsia" w:cstheme="minorEastAsia"/>
          <w:color w:val="auto"/>
          <w:spacing w:val="-6"/>
          <w:szCs w:val="21"/>
          <w:highlight w:val="none"/>
        </w:rPr>
        <w:t>是指：供应商根据本</w:t>
      </w:r>
      <w:r>
        <w:rPr>
          <w:rFonts w:hint="eastAsia" w:asciiTheme="minorEastAsia" w:hAnsiTheme="minorEastAsia" w:eastAsiaTheme="minorEastAsia" w:cstheme="minorEastAsia"/>
          <w:color w:val="auto"/>
          <w:spacing w:val="-6"/>
          <w:szCs w:val="21"/>
          <w:highlight w:val="none"/>
          <w:lang w:eastAsia="zh-CN"/>
        </w:rPr>
        <w:t>谈判</w:t>
      </w:r>
      <w:r>
        <w:rPr>
          <w:rFonts w:hint="eastAsia" w:asciiTheme="minorEastAsia" w:hAnsiTheme="minorEastAsia" w:eastAsiaTheme="minorEastAsia" w:cstheme="minorEastAsia"/>
          <w:color w:val="auto"/>
          <w:spacing w:val="-6"/>
          <w:szCs w:val="21"/>
          <w:highlight w:val="none"/>
        </w:rPr>
        <w:t>文件要求，编制包含资格证明、报价商务技术等所有内容的文件。</w:t>
      </w:r>
    </w:p>
    <w:p w14:paraId="2A3FA83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2.7“实质性要求”是指</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文件中已经指明不满足则响应文件按无效响应处理的条款，或者不能负偏离的条款，或者采购需求中带“</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”的条款。</w:t>
      </w:r>
    </w:p>
    <w:p w14:paraId="7511B62A">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2.8“正偏离”，是指响应文件对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文件“采购需求”中有关条款作出的响应优于条款要求并有利于采购人的情形。</w:t>
      </w:r>
    </w:p>
    <w:p w14:paraId="4330E2AA">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2.9“负偏离”，是指响应文件对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文件“采购需求”中有关条款作出的响应不满足条款要求，导致采购人要求不能得到满足的情形。</w:t>
      </w:r>
    </w:p>
    <w:p w14:paraId="400A5A8A">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2.10“允许负偏离的条款”是指采购需求中的不属于“实质性要求”的条款。</w:t>
      </w:r>
    </w:p>
    <w:p w14:paraId="35770891">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2.11“书面形式”是指合同书、信件和数据电文（包括电报、电传、传真、电子数据交换和电子邮件）等可以有形地表现所载内容的形式。</w:t>
      </w:r>
    </w:p>
    <w:p w14:paraId="200CB42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2.12“首次报价”是指供应商提交的首次响应文件中的报价。</w:t>
      </w:r>
    </w:p>
    <w:p w14:paraId="6714948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2.13“评审价”是指供应商提交的最后报价并经修正（如有）和政策功能价格扣除（如有）后的价格。</w:t>
      </w:r>
    </w:p>
    <w:p w14:paraId="2E087854">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3.供应商的资格条件</w:t>
      </w:r>
    </w:p>
    <w:p w14:paraId="2097D22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供应商的资格条件详见“供应商须知前附表”。</w:t>
      </w:r>
    </w:p>
    <w:p w14:paraId="6A363A73">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4.竞标费用</w:t>
      </w:r>
    </w:p>
    <w:p w14:paraId="28A822F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供应商应承担参与本次采购活动有关的所有费用，包括但不限于获取</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文件、勘查现场、编制和提交响应文件、参加</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与应答、签订合同等，不论竞标结果如何，均应自行承担。</w:t>
      </w:r>
    </w:p>
    <w:p w14:paraId="730DB3C9">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5.联合体竞标</w:t>
      </w:r>
    </w:p>
    <w:p w14:paraId="6EDACAC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5.1本项目是否接受联合体竞标，详见“供应商须知前附表”。</w:t>
      </w:r>
    </w:p>
    <w:p w14:paraId="236D70B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w:t>
      </w:r>
      <w:r>
        <w:rPr>
          <w:rFonts w:hint="eastAsia" w:asciiTheme="minorEastAsia" w:hAnsiTheme="minorEastAsia" w:eastAsiaTheme="minorEastAsia" w:cstheme="minorEastAsia"/>
          <w:color w:val="auto"/>
          <w:highlight w:val="none"/>
        </w:rPr>
        <w:t>如接受联合体竞标，</w:t>
      </w:r>
      <w:r>
        <w:rPr>
          <w:rFonts w:hint="eastAsia" w:asciiTheme="minorEastAsia" w:hAnsiTheme="minorEastAsia" w:eastAsiaTheme="minorEastAsia" w:cstheme="minorEastAsia"/>
          <w:color w:val="auto"/>
          <w:szCs w:val="21"/>
          <w:highlight w:val="none"/>
        </w:rPr>
        <w:t>联合体竞标要求详见“供应商须知前附表”。</w:t>
      </w:r>
    </w:p>
    <w:p w14:paraId="2A497F11">
      <w:pPr>
        <w:shd w:val="clear" w:color="auto" w:fill="auto"/>
        <w:spacing w:line="360" w:lineRule="auto"/>
        <w:ind w:firstLine="420" w:firstLineChars="200"/>
        <w:rPr>
          <w:rFonts w:hint="eastAsia" w:ascii="宋体" w:hAnsi="宋体"/>
          <w:bCs/>
          <w:color w:val="auto"/>
          <w:szCs w:val="21"/>
          <w:highlight w:val="none"/>
        </w:rPr>
      </w:pPr>
      <w:r>
        <w:rPr>
          <w:rFonts w:hint="eastAsia" w:asciiTheme="minorEastAsia" w:hAnsiTheme="minorEastAsia" w:eastAsiaTheme="minorEastAsia" w:cstheme="minorEastAsia"/>
          <w:color w:val="auto"/>
          <w:szCs w:val="21"/>
          <w:highlight w:val="none"/>
        </w:rPr>
        <w:t>5.3</w:t>
      </w: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w:t>
      </w:r>
      <w:bookmarkStart w:id="104" w:name="OLE_LINK37"/>
      <w:r>
        <w:rPr>
          <w:rFonts w:hint="eastAsia" w:ascii="宋体" w:hAnsi="宋体"/>
          <w:bCs/>
          <w:color w:val="auto"/>
          <w:szCs w:val="21"/>
          <w:highlight w:val="none"/>
        </w:rPr>
        <w:t>桂财采〔2024〕55号</w:t>
      </w:r>
      <w:bookmarkEnd w:id="104"/>
      <w:r>
        <w:rPr>
          <w:rFonts w:hint="eastAsia" w:ascii="宋体" w:hAnsi="宋体"/>
          <w:bCs/>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Pr>
          <w:rFonts w:hint="eastAsia" w:asciiTheme="minorEastAsia" w:hAnsiTheme="minorEastAsia" w:eastAsiaTheme="minorEastAsia" w:cstheme="minorEastAsia"/>
          <w:spacing w:val="-20"/>
          <w:sz w:val="21"/>
          <w:szCs w:val="21"/>
          <w:highlight w:val="none"/>
        </w:rPr>
        <w:t xml:space="preserve"> </w:t>
      </w:r>
      <w:r>
        <w:rPr>
          <w:rFonts w:hint="eastAsia" w:asciiTheme="minorEastAsia" w:hAnsiTheme="minorEastAsia" w:eastAsiaTheme="minorEastAsia" w:cstheme="minorEastAsia"/>
          <w:spacing w:val="8"/>
          <w:sz w:val="21"/>
          <w:szCs w:val="21"/>
          <w:highlight w:val="none"/>
        </w:rPr>
        <w:t>4%-6%</w:t>
      </w:r>
      <w:r>
        <w:rPr>
          <w:rFonts w:hint="eastAsia" w:ascii="宋体" w:hAnsi="宋体"/>
          <w:bCs/>
          <w:color w:val="auto"/>
          <w:szCs w:val="21"/>
          <w:highlight w:val="none"/>
        </w:rPr>
        <w:t>的扣除，用扣除后的价格参加评审。</w:t>
      </w:r>
    </w:p>
    <w:p w14:paraId="663B21C4">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 xml:space="preserve">6.转包与分包 </w:t>
      </w:r>
    </w:p>
    <w:p w14:paraId="587E587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6.1本项目不允许转包。</w:t>
      </w:r>
    </w:p>
    <w:p w14:paraId="04AAA69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6.2本项目是否允许分包详见“供应商须知前附表”，本项目不允许违法分包。</w:t>
      </w:r>
    </w:p>
    <w:p w14:paraId="666E5F30">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6.3</w:t>
      </w:r>
      <w:r>
        <w:rPr>
          <w:rFonts w:hint="eastAsia" w:ascii="宋体" w:hAnsi="宋体" w:eastAsia="宋体" w:cs="宋体"/>
          <w:bCs/>
          <w:color w:val="auto"/>
          <w:szCs w:val="21"/>
          <w:highlight w:val="none"/>
        </w:rPr>
        <w:t>根据《政府采购促进中小企业发展管理办法》（财库[2020]46号）第九条及《</w:t>
      </w:r>
      <w:r>
        <w:rPr>
          <w:rFonts w:hint="eastAsia" w:ascii="宋体" w:hAnsi="宋体" w:eastAsia="宋体" w:cs="宋体"/>
          <w:bCs/>
          <w:color w:val="auto"/>
          <w:szCs w:val="21"/>
          <w:highlight w:val="none"/>
          <w:lang w:val="en-US" w:eastAsia="zh-CN"/>
        </w:rPr>
        <w:t>广西壮族自治区财政厅关于持续优化政府采购营商环境推动高质量发展的通知</w:t>
      </w:r>
      <w:r>
        <w:rPr>
          <w:rFonts w:hint="eastAsia" w:ascii="宋体" w:hAnsi="宋体" w:eastAsia="宋体" w:cs="宋体"/>
          <w:bCs/>
          <w:color w:val="auto"/>
          <w:szCs w:val="21"/>
          <w:highlight w:val="none"/>
        </w:rPr>
        <w:t>》（桂财采〔202</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55</w:t>
      </w:r>
      <w:r>
        <w:rPr>
          <w:rFonts w:hint="eastAsia" w:ascii="宋体" w:hAnsi="宋体" w:eastAsia="宋体" w:cs="宋体"/>
          <w:bCs/>
          <w:color w:val="auto"/>
          <w:szCs w:val="21"/>
          <w:highlight w:val="none"/>
        </w:rPr>
        <w:t>号）规定，允许大中型企业向一家或者多家小微企业分包的采购项目，对于分包意向协议约定小微企业的合同份额占到合同总金额 30%以上的，采购人、采购代理机构应当对大中型企业的报价给予</w:t>
      </w:r>
      <w:r>
        <w:rPr>
          <w:rFonts w:hint="eastAsia" w:ascii="宋体" w:hAnsi="宋体" w:cs="宋体"/>
          <w:bCs/>
          <w:color w:val="auto"/>
          <w:szCs w:val="21"/>
          <w:highlight w:val="none"/>
          <w:lang w:val="en-US" w:eastAsia="zh-CN"/>
        </w:rPr>
        <w:t>4</w:t>
      </w:r>
      <w:r>
        <w:rPr>
          <w:rFonts w:hint="eastAsia" w:ascii="宋体" w:hAnsi="宋体" w:eastAsia="宋体" w:cs="宋体"/>
          <w:bCs/>
          <w:color w:val="auto"/>
          <w:szCs w:val="21"/>
          <w:highlight w:val="none"/>
        </w:rPr>
        <w:t>%的扣除，用扣除后的价格参加评审。接受分包的小微企业与分包企业之间存在直接控股、管理关系的，不享受价格扣除优惠政策。</w:t>
      </w:r>
      <w:r>
        <w:rPr>
          <w:rFonts w:hint="eastAsia" w:asciiTheme="minorEastAsia" w:hAnsiTheme="minorEastAsia" w:eastAsiaTheme="minorEastAsia" w:cstheme="minorEastAsia"/>
          <w:color w:val="auto"/>
          <w:szCs w:val="21"/>
          <w:highlight w:val="none"/>
        </w:rPr>
        <w:t>。</w:t>
      </w:r>
    </w:p>
    <w:p w14:paraId="5DE9AA5D">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bookmarkStart w:id="105" w:name="_Toc254970532"/>
      <w:bookmarkStart w:id="106" w:name="_Toc254970673"/>
      <w:r>
        <w:rPr>
          <w:rFonts w:hint="eastAsia" w:asciiTheme="minorEastAsia" w:hAnsiTheme="minorEastAsia" w:eastAsiaTheme="minorEastAsia" w:cstheme="minorEastAsia"/>
          <w:b/>
          <w:bCs/>
          <w:color w:val="auto"/>
          <w:sz w:val="24"/>
          <w:highlight w:val="none"/>
        </w:rPr>
        <w:t>7.特别说明</w:t>
      </w:r>
      <w:bookmarkEnd w:id="105"/>
      <w:bookmarkEnd w:id="106"/>
    </w:p>
    <w:p w14:paraId="4D683AF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bookmarkStart w:id="107" w:name="_8.1提供相同品牌产品且通过资格审查、符合性审查的不同投标人参加同一合"/>
      <w:bookmarkEnd w:id="107"/>
      <w:r>
        <w:rPr>
          <w:rFonts w:hint="eastAsia" w:asciiTheme="minorEastAsia" w:hAnsiTheme="minorEastAsia" w:eastAsiaTheme="minorEastAsia" w:cstheme="minorEastAsia"/>
          <w:color w:val="auto"/>
          <w:szCs w:val="21"/>
          <w:highlight w:val="none"/>
        </w:rPr>
        <w:t>7.1如果本</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文件要求供应商提供资格、信誉、荣誉、业绩与企业认证等材料的，则供应商所提供的以上材料必须为本供应商所拥有。</w:t>
      </w:r>
    </w:p>
    <w:p w14:paraId="6BD574B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7.2供应商应仔细阅读</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文件的所有内容，按照</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文件的要求提交响应文件，并对所提供的全部资料的真实性承担法律责任。</w:t>
      </w:r>
    </w:p>
    <w:p w14:paraId="680AB81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57700BB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7.4在政府采购活动中，采购人员及相关人员与供应商有下列利害关系之一的，应当回避：</w:t>
      </w:r>
    </w:p>
    <w:p w14:paraId="1FF2F10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（1）参加采购活动前3年内与供应商存在劳动关系；</w:t>
      </w:r>
    </w:p>
    <w:p w14:paraId="07A5AB6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（2）参加采购活动前3年内担任供应商的董事、监事；</w:t>
      </w:r>
    </w:p>
    <w:p w14:paraId="4DDAD4D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（3）参加采购活动前3年内是供应商的控股股东或者实际控制人；</w:t>
      </w:r>
    </w:p>
    <w:p w14:paraId="5CA173A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（4）与供应商的法定代表人或者负责人有夫妻、直系血亲、三代以内旁系血亲或者近姻亲关系；</w:t>
      </w:r>
    </w:p>
    <w:p w14:paraId="7DA3612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（5）与供应商有其他可能影响政府采购活动公平、公正进行的关系。</w:t>
      </w:r>
    </w:p>
    <w:p w14:paraId="3F16DF2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C0E0572">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7.5有下列情形之一的视为供应商相互串通竞标，响应文件将被视为无效：</w:t>
      </w:r>
    </w:p>
    <w:p w14:paraId="30E30CB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不同供应商的响应文件由同一单位或者个人编制；或者不同供应商报名的IP地址一致的；或者编制响应文件硬件设备CPU编号、硬盘编号、网卡地址一致的情况</w:t>
      </w:r>
      <w:r>
        <w:rPr>
          <w:rFonts w:hint="eastAsia" w:asciiTheme="minorEastAsia" w:hAnsiTheme="minorEastAsia" w:eastAsiaTheme="minorEastAsia" w:cstheme="minorEastAsia"/>
          <w:color w:val="auto"/>
          <w:szCs w:val="21"/>
          <w:highlight w:val="none"/>
        </w:rPr>
        <w:t>；</w:t>
      </w:r>
    </w:p>
    <w:p w14:paraId="0A97670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（2）不同供应商委托同一单位或者个人办理竞标事宜；</w:t>
      </w:r>
    </w:p>
    <w:p w14:paraId="582418A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（3）不同的供应商的响应文件载明的项目管理员或者联系人员为同一个人；</w:t>
      </w:r>
    </w:p>
    <w:p w14:paraId="340FE44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（4）不同供应商的响应文件异常一致或者报价呈规律性差异；</w:t>
      </w:r>
    </w:p>
    <w:p w14:paraId="139EAAC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（5）不同供应商的响应文件相互混装；</w:t>
      </w:r>
    </w:p>
    <w:p w14:paraId="777A2465">
      <w:pPr>
        <w:shd w:val="clear" w:color="auto" w:fill="auto"/>
        <w:tabs>
          <w:tab w:val="left" w:pos="6931"/>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（6）不同供应商的</w:t>
      </w:r>
      <w:r>
        <w:rPr>
          <w:rFonts w:hint="eastAsia" w:asciiTheme="minorEastAsia" w:hAnsiTheme="minorEastAsia" w:eastAsiaTheme="minorEastAsia" w:cstheme="minorEastAsia"/>
          <w:color w:val="auto"/>
          <w:szCs w:val="21"/>
          <w:highlight w:val="none"/>
          <w:lang w:eastAsia="zh-CN"/>
        </w:rPr>
        <w:t>竞标保证金</w:t>
      </w:r>
      <w:r>
        <w:rPr>
          <w:rFonts w:hint="eastAsia" w:asciiTheme="minorEastAsia" w:hAnsiTheme="minorEastAsia" w:eastAsiaTheme="minorEastAsia" w:cstheme="minorEastAsia"/>
          <w:color w:val="auto"/>
          <w:szCs w:val="21"/>
          <w:highlight w:val="none"/>
        </w:rPr>
        <w:t>从同一单位或者个人账户转出。</w:t>
      </w:r>
      <w:r>
        <w:rPr>
          <w:rFonts w:hint="eastAsia" w:asciiTheme="minorEastAsia" w:hAnsiTheme="minorEastAsia" w:eastAsiaTheme="minorEastAsia" w:cstheme="minorEastAsia"/>
          <w:color w:val="auto"/>
          <w:szCs w:val="21"/>
          <w:highlight w:val="none"/>
        </w:rPr>
        <w:tab/>
      </w:r>
    </w:p>
    <w:p w14:paraId="421E331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7.6供应商有下列情形之一的，属于恶意串通行为，将报同级监督管理部门：</w:t>
      </w:r>
    </w:p>
    <w:p w14:paraId="356D377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（1）供应商直接或者间接从采购人或者采购代理机构处获得其他供应商的相关信息并修改其响应文件；</w:t>
      </w:r>
    </w:p>
    <w:p w14:paraId="539C6894">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（2）供应商按照采购人或者采购代理机构的授意撤换、修改响应文件；</w:t>
      </w:r>
    </w:p>
    <w:p w14:paraId="7B0762D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（3）供应商之间协商报价、技术方案等响应文件或者响应文件的实质性内容；</w:t>
      </w:r>
    </w:p>
    <w:p w14:paraId="1420621A">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（4）属于同一集团、协会、商会等组织成员的供应商按照该组织要求协同参加政府采购活动；</w:t>
      </w:r>
    </w:p>
    <w:p w14:paraId="35A7488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91A63A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（6）供应商之间商定部分供应商放弃参加政府采购活动或者放弃成交；</w:t>
      </w:r>
    </w:p>
    <w:p w14:paraId="7FE93C12">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（7）供应商与采购人或者采购代理机构之间、供应商相互之间，为谋求特定供应商成交或者排斥其他供应商的其他串通行为。</w:t>
      </w:r>
    </w:p>
    <w:p w14:paraId="7C1F090A">
      <w:pPr>
        <w:shd w:val="clear" w:color="auto" w:fill="auto"/>
        <w:spacing w:line="360" w:lineRule="auto"/>
        <w:jc w:val="center"/>
        <w:outlineLvl w:val="2"/>
        <w:rPr>
          <w:rFonts w:hint="eastAsia" w:asciiTheme="minorEastAsia" w:hAnsiTheme="minorEastAsia" w:eastAsiaTheme="minorEastAsia" w:cstheme="minorEastAsia"/>
          <w:b/>
          <w:bCs/>
          <w:color w:val="auto"/>
          <w:sz w:val="32"/>
          <w:szCs w:val="32"/>
          <w:highlight w:val="none"/>
        </w:rPr>
      </w:pPr>
      <w:bookmarkStart w:id="108" w:name="_Toc6456"/>
      <w:bookmarkStart w:id="109" w:name="_Toc254970675"/>
      <w:bookmarkStart w:id="110" w:name="_Toc254970534"/>
      <w:r>
        <w:rPr>
          <w:rFonts w:hint="eastAsia" w:asciiTheme="minorEastAsia" w:hAnsiTheme="minorEastAsia" w:eastAsiaTheme="minorEastAsia" w:cstheme="minorEastAsia"/>
          <w:b/>
          <w:bCs/>
          <w:color w:val="auto"/>
          <w:sz w:val="32"/>
          <w:szCs w:val="32"/>
          <w:highlight w:val="none"/>
        </w:rPr>
        <w:t>二、</w:t>
      </w:r>
      <w:r>
        <w:rPr>
          <w:rFonts w:hint="eastAsia" w:asciiTheme="minorEastAsia" w:hAnsiTheme="minorEastAsia" w:eastAsiaTheme="minorEastAsia" w:cstheme="minorEastAsia"/>
          <w:b/>
          <w:bCs/>
          <w:color w:val="auto"/>
          <w:sz w:val="32"/>
          <w:szCs w:val="32"/>
          <w:highlight w:val="none"/>
          <w:lang w:eastAsia="zh-CN"/>
        </w:rPr>
        <w:t>谈判</w:t>
      </w:r>
      <w:r>
        <w:rPr>
          <w:rFonts w:hint="eastAsia" w:asciiTheme="minorEastAsia" w:hAnsiTheme="minorEastAsia" w:eastAsiaTheme="minorEastAsia" w:cstheme="minorEastAsia"/>
          <w:b/>
          <w:bCs/>
          <w:color w:val="auto"/>
          <w:sz w:val="32"/>
          <w:szCs w:val="32"/>
          <w:highlight w:val="none"/>
        </w:rPr>
        <w:t>文件</w:t>
      </w:r>
      <w:bookmarkEnd w:id="108"/>
      <w:bookmarkEnd w:id="109"/>
      <w:bookmarkEnd w:id="110"/>
    </w:p>
    <w:p w14:paraId="4D9B4755">
      <w:pPr>
        <w:shd w:val="clear" w:color="auto" w:fill="auto"/>
        <w:spacing w:line="360" w:lineRule="auto"/>
        <w:jc w:val="center"/>
        <w:rPr>
          <w:rFonts w:hint="eastAsia" w:asciiTheme="minorEastAsia" w:hAnsiTheme="minorEastAsia" w:eastAsiaTheme="minorEastAsia" w:cstheme="minorEastAsia"/>
          <w:color w:val="auto"/>
          <w:szCs w:val="21"/>
          <w:highlight w:val="none"/>
        </w:rPr>
      </w:pPr>
    </w:p>
    <w:p w14:paraId="57257485">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8.</w:t>
      </w:r>
      <w:r>
        <w:rPr>
          <w:rFonts w:hint="eastAsia" w:asciiTheme="minorEastAsia" w:hAnsiTheme="minorEastAsia" w:eastAsiaTheme="minorEastAsia" w:cstheme="minorEastAsia"/>
          <w:b/>
          <w:bCs/>
          <w:color w:val="auto"/>
          <w:sz w:val="24"/>
          <w:highlight w:val="none"/>
          <w:lang w:eastAsia="zh-CN"/>
        </w:rPr>
        <w:t>谈判</w:t>
      </w:r>
      <w:r>
        <w:rPr>
          <w:rFonts w:hint="eastAsia" w:asciiTheme="minorEastAsia" w:hAnsiTheme="minorEastAsia" w:eastAsiaTheme="minorEastAsia" w:cstheme="minorEastAsia"/>
          <w:b/>
          <w:bCs/>
          <w:color w:val="auto"/>
          <w:sz w:val="24"/>
          <w:highlight w:val="none"/>
        </w:rPr>
        <w:t>文件的构成</w:t>
      </w:r>
    </w:p>
    <w:p w14:paraId="5A153D1A">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公告；</w:t>
      </w:r>
    </w:p>
    <w:p w14:paraId="3323CDF7">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（2）供应商须知； </w:t>
      </w:r>
    </w:p>
    <w:p w14:paraId="598E5EFB">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（3）采购需求；</w:t>
      </w:r>
    </w:p>
    <w:p w14:paraId="230F500F">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（4）评审程序、评审方法和评审标准；</w:t>
      </w:r>
    </w:p>
    <w:p w14:paraId="0ED0C6DB">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（5）工程量清单及图纸；</w:t>
      </w:r>
    </w:p>
    <w:p w14:paraId="05BAFD41">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（6）响应文件格式；</w:t>
      </w:r>
    </w:p>
    <w:p w14:paraId="238AE432">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）合同文本。</w:t>
      </w:r>
    </w:p>
    <w:p w14:paraId="366FA4C4">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9.供应商的询问</w:t>
      </w:r>
    </w:p>
    <w:p w14:paraId="117688E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供应商应认真阅读</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文件的采购需求，如供应商对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文件有疑问的，如要求采购人作出澄清或者修改的，供应商尽可能在提交首次响应文件截止之日前，以书面形式向采购人、采购代理机构提出</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spacing w:val="8"/>
          <w:sz w:val="21"/>
          <w:szCs w:val="21"/>
          <w:highlight w:val="none"/>
        </w:rPr>
        <w:t>否则，由此产生的后果由供应商自行负责。</w:t>
      </w:r>
    </w:p>
    <w:p w14:paraId="0B834BBD">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10.</w:t>
      </w:r>
      <w:r>
        <w:rPr>
          <w:rFonts w:hint="eastAsia" w:asciiTheme="minorEastAsia" w:hAnsiTheme="minorEastAsia" w:eastAsiaTheme="minorEastAsia" w:cstheme="minorEastAsia"/>
          <w:b/>
          <w:bCs/>
          <w:color w:val="auto"/>
          <w:sz w:val="24"/>
          <w:highlight w:val="none"/>
          <w:lang w:eastAsia="zh-CN"/>
        </w:rPr>
        <w:t>谈判</w:t>
      </w:r>
      <w:r>
        <w:rPr>
          <w:rFonts w:hint="eastAsia" w:asciiTheme="minorEastAsia" w:hAnsiTheme="minorEastAsia" w:eastAsiaTheme="minorEastAsia" w:cstheme="minorEastAsia"/>
          <w:b/>
          <w:bCs/>
          <w:color w:val="auto"/>
          <w:sz w:val="24"/>
          <w:highlight w:val="none"/>
        </w:rPr>
        <w:t>文件的澄清和修改</w:t>
      </w:r>
    </w:p>
    <w:p w14:paraId="19E12054">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10.1提交首次响应文件截止之日前，采购人、采购代理机构或者谈判小组可以对已发出的采购文件进行必要的澄清或者修改，澄清或者修改的内容作为采购文件的组成部分。澄清或者修改将在原公告发布媒体上发布更正公告。澄清或者修改的内容可能影响响应文件编制的，采购人、采购代理机构应当在提交首次响应文件截止时间至少5日前，在原公告发布媒体上发布更正公告；不足5日的，采购人、采购代理机构应当顺延提交首次响应文件截止时间。</w:t>
      </w:r>
    </w:p>
    <w:p w14:paraId="7A13A642">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10.2采购人和采购代理机构可以视采购具体情况，变更</w:t>
      </w:r>
      <w:r>
        <w:rPr>
          <w:rFonts w:hint="eastAsia" w:asciiTheme="minorEastAsia" w:hAnsiTheme="minorEastAsia" w:eastAsiaTheme="minorEastAsia" w:cstheme="minorEastAsia"/>
          <w:color w:val="auto"/>
          <w:szCs w:val="21"/>
          <w:highlight w:val="none"/>
        </w:rPr>
        <w:t>首次响应文件提交截止时间和开启时间</w:t>
      </w:r>
      <w:r>
        <w:rPr>
          <w:rFonts w:hint="eastAsia" w:asciiTheme="minorEastAsia" w:hAnsiTheme="minorEastAsia" w:eastAsiaTheme="minorEastAsia" w:cstheme="minorEastAsia"/>
          <w:color w:val="auto"/>
          <w:highlight w:val="none"/>
        </w:rPr>
        <w:t>，并</w:t>
      </w:r>
      <w:r>
        <w:rPr>
          <w:rFonts w:hint="eastAsia" w:asciiTheme="minorEastAsia" w:hAnsiTheme="minorEastAsia" w:eastAsiaTheme="minorEastAsia" w:cstheme="minorEastAsia"/>
          <w:color w:val="auto"/>
          <w:szCs w:val="21"/>
          <w:highlight w:val="none"/>
        </w:rPr>
        <w:t>在原公告发布媒体上发布更正公告。</w:t>
      </w:r>
    </w:p>
    <w:p w14:paraId="48DB1710">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w:t>
      </w:r>
      <w:r>
        <w:rPr>
          <w:rFonts w:hint="eastAsia" w:asciiTheme="minorEastAsia" w:hAnsiTheme="minorEastAsia" w:eastAsiaTheme="minorEastAsia" w:cstheme="minorEastAsia"/>
          <w:color w:val="auto"/>
          <w:szCs w:val="21"/>
          <w:highlight w:val="none"/>
        </w:rPr>
        <w:t>采购文件澄清、答复、修改、补充的内容为采购文件的组成部分。</w:t>
      </w:r>
      <w:r>
        <w:rPr>
          <w:rFonts w:hint="eastAsia" w:asciiTheme="minorEastAsia" w:hAnsiTheme="minorEastAsia" w:eastAsiaTheme="minorEastAsia" w:cstheme="minorEastAsia"/>
          <w:b/>
          <w:color w:val="auto"/>
          <w:szCs w:val="21"/>
          <w:highlight w:val="none"/>
        </w:rPr>
        <w:t>当采购文件与采购文件的澄清、答复、修改、补充通知就同一内容的表述不一致时，以最后发出的文件为准。</w:t>
      </w:r>
    </w:p>
    <w:p w14:paraId="206E665C">
      <w:pPr>
        <w:shd w:val="clear" w:color="auto" w:fill="auto"/>
        <w:spacing w:line="360" w:lineRule="auto"/>
        <w:ind w:firstLine="42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highlight w:val="none"/>
        </w:rPr>
        <w:t>10.4</w:t>
      </w:r>
      <w:r>
        <w:rPr>
          <w:rFonts w:hint="eastAsia" w:asciiTheme="minorEastAsia" w:hAnsiTheme="minorEastAsia" w:eastAsiaTheme="minorEastAsia" w:cstheme="minorEastAsia"/>
          <w:b/>
          <w:color w:val="auto"/>
          <w:szCs w:val="21"/>
          <w:highlight w:val="none"/>
        </w:rPr>
        <w:t>响应文件未按采购文件的澄清、修改后的内容编制的，其响应文件作无效响应处理</w:t>
      </w:r>
      <w:r>
        <w:rPr>
          <w:rFonts w:hint="eastAsia" w:asciiTheme="minorEastAsia" w:hAnsiTheme="minorEastAsia" w:eastAsiaTheme="minorEastAsia" w:cstheme="minorEastAsia"/>
          <w:color w:val="auto"/>
          <w:highlight w:val="none"/>
        </w:rPr>
        <w:t>。</w:t>
      </w:r>
    </w:p>
    <w:p w14:paraId="1BA67ACF">
      <w:pPr>
        <w:shd w:val="clear" w:color="auto" w:fill="auto"/>
        <w:spacing w:line="360" w:lineRule="auto"/>
        <w:jc w:val="center"/>
        <w:outlineLvl w:val="2"/>
        <w:rPr>
          <w:rFonts w:hint="eastAsia" w:asciiTheme="minorEastAsia" w:hAnsiTheme="minorEastAsia" w:eastAsiaTheme="minorEastAsia" w:cstheme="minorEastAsia"/>
          <w:b/>
          <w:bCs/>
          <w:color w:val="auto"/>
          <w:szCs w:val="21"/>
          <w:highlight w:val="none"/>
        </w:rPr>
      </w:pPr>
      <w:bookmarkStart w:id="111" w:name="_Toc12131"/>
      <w:r>
        <w:rPr>
          <w:rFonts w:hint="eastAsia" w:asciiTheme="minorEastAsia" w:hAnsiTheme="minorEastAsia" w:eastAsiaTheme="minorEastAsia" w:cstheme="minorEastAsia"/>
          <w:b/>
          <w:bCs/>
          <w:color w:val="auto"/>
          <w:sz w:val="32"/>
          <w:szCs w:val="32"/>
          <w:highlight w:val="none"/>
        </w:rPr>
        <w:t>三、响应文件的编制</w:t>
      </w:r>
      <w:bookmarkEnd w:id="111"/>
    </w:p>
    <w:p w14:paraId="12F11CF5">
      <w:pPr>
        <w:shd w:val="clear" w:color="auto" w:fill="auto"/>
        <w:spacing w:line="360" w:lineRule="auto"/>
        <w:rPr>
          <w:rFonts w:hint="eastAsia" w:asciiTheme="minorEastAsia" w:hAnsiTheme="minorEastAsia" w:eastAsiaTheme="minorEastAsia" w:cstheme="minorEastAsia"/>
          <w:color w:val="auto"/>
          <w:szCs w:val="21"/>
          <w:highlight w:val="none"/>
        </w:rPr>
      </w:pPr>
    </w:p>
    <w:p w14:paraId="01F08A23">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11.响应文件的编制原则</w:t>
      </w:r>
    </w:p>
    <w:p w14:paraId="5BD2B4E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供应商必须按照</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文件的要求编制响应文件，并对其提交的响应文件的真实性、合法性承担法律责任。响应文件必须对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文件作出实质性响应。</w:t>
      </w:r>
    </w:p>
    <w:p w14:paraId="59D0AFF4">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12.响应文件的组成</w:t>
      </w:r>
    </w:p>
    <w:p w14:paraId="3644F667">
      <w:pPr>
        <w:shd w:val="clear" w:color="auto" w:fill="auto"/>
        <w:spacing w:line="360" w:lineRule="auto"/>
        <w:ind w:left="840" w:leftChars="200" w:hanging="420" w:hanging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12.1响应文件由资格证明文件、报价文件、商务技术文件三部分组成。</w:t>
      </w:r>
    </w:p>
    <w:p w14:paraId="236A7367">
      <w:pPr>
        <w:shd w:val="clear" w:color="auto" w:fill="auto"/>
        <w:spacing w:line="360" w:lineRule="auto"/>
        <w:ind w:left="840" w:leftChars="200" w:hanging="420" w:hanging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12.1.1资格证明文件：详见“供应商须知前附表”</w:t>
      </w:r>
    </w:p>
    <w:p w14:paraId="21D50AA4">
      <w:pPr>
        <w:shd w:val="clear" w:color="auto" w:fill="auto"/>
        <w:spacing w:line="360" w:lineRule="auto"/>
        <w:ind w:left="840" w:leftChars="200" w:hanging="420" w:hanging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12.1.2报价文件：详见“供应商须知前附表”</w:t>
      </w:r>
    </w:p>
    <w:p w14:paraId="5F7D0EFD">
      <w:pPr>
        <w:shd w:val="clear" w:color="auto" w:fill="auto"/>
        <w:spacing w:line="360" w:lineRule="auto"/>
        <w:ind w:left="840" w:leftChars="200" w:hanging="420" w:hanging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12.1.3商务技术文件：详见“供应商须知前附表”</w:t>
      </w:r>
    </w:p>
    <w:p w14:paraId="104AD40D">
      <w:pPr>
        <w:shd w:val="clear" w:color="auto" w:fill="auto"/>
        <w:spacing w:line="360" w:lineRule="auto"/>
        <w:ind w:left="840" w:leftChars="200" w:hanging="420" w:hanging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12.2响应文件电子版：详见须知前附表</w:t>
      </w:r>
    </w:p>
    <w:p w14:paraId="2ECAF4A0">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13.计量单位</w:t>
      </w:r>
    </w:p>
    <w:p w14:paraId="4A7663C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文件已有明确规定的，使用</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文件规定的计量单位；</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文件没有规定的，应采用中华人民共和国法定计量单位，货币种类为人民币，否则视同未响应。</w:t>
      </w:r>
    </w:p>
    <w:p w14:paraId="5FBDD434">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14.竞标的风险</w:t>
      </w:r>
    </w:p>
    <w:p w14:paraId="34609A1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供应商没有按照</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文件要求提供全部资料，或者供应商没有对</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文件在各方面作出实质性响应可能导致其响应无效，是供应商应当考虑的风险。</w:t>
      </w:r>
    </w:p>
    <w:p w14:paraId="7F428302">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15.竞标报价要求和构成</w:t>
      </w:r>
    </w:p>
    <w:p w14:paraId="39A2AFD5">
      <w:pPr>
        <w:shd w:val="clear" w:color="auto" w:fill="auto"/>
        <w:tabs>
          <w:tab w:val="left" w:pos="2492"/>
        </w:tabs>
        <w:spacing w:line="360" w:lineRule="auto"/>
        <w:ind w:firstLine="420" w:firstLineChars="200"/>
        <w:rPr>
          <w:rFonts w:hint="eastAsia" w:asciiTheme="minorEastAsia" w:hAnsiTheme="minorEastAsia" w:eastAsiaTheme="minorEastAsia" w:cstheme="minorEastAsia"/>
          <w:color w:val="auto"/>
          <w:szCs w:val="21"/>
          <w:highlight w:val="none"/>
        </w:rPr>
      </w:pPr>
      <w:bookmarkStart w:id="112" w:name="_Hlk42592874"/>
      <w:r>
        <w:rPr>
          <w:rFonts w:hint="eastAsia" w:asciiTheme="minorEastAsia" w:hAnsiTheme="minorEastAsia" w:eastAsiaTheme="minorEastAsia" w:cstheme="minorEastAsia"/>
          <w:color w:val="auto"/>
          <w:szCs w:val="21"/>
          <w:highlight w:val="none"/>
        </w:rPr>
        <w:t>15.1竞标报价应按</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文件中“竞标报价表”及“已标价工程量清单”格式填写。</w:t>
      </w:r>
    </w:p>
    <w:p w14:paraId="74D0C1A3">
      <w:pPr>
        <w:shd w:val="clear" w:color="auto" w:fill="auto"/>
        <w:tabs>
          <w:tab w:val="left" w:pos="2492"/>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15.2竞标报价的内容见“供应商须知前附表”。</w:t>
      </w:r>
    </w:p>
    <w:p w14:paraId="14A2912E">
      <w:pPr>
        <w:shd w:val="clear" w:color="auto" w:fill="auto"/>
        <w:tabs>
          <w:tab w:val="left" w:pos="2492"/>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15.3本项目的增值税计税方法见“供应商须知前附表”。</w:t>
      </w:r>
    </w:p>
    <w:p w14:paraId="62A717D2">
      <w:pPr>
        <w:shd w:val="clear" w:color="auto" w:fill="auto"/>
        <w:spacing w:line="360" w:lineRule="auto"/>
        <w:ind w:left="426" w:leftChars="203"/>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15.4竞标报价要求</w:t>
      </w:r>
    </w:p>
    <w:p w14:paraId="47F9837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15.4.1供应商的竞标报价应符合以下要求，否则响应文件按无效处理：</w:t>
      </w:r>
    </w:p>
    <w:p w14:paraId="22765A58">
      <w:pPr>
        <w:shd w:val="clear" w:color="auto" w:fill="auto"/>
        <w:spacing w:line="360" w:lineRule="auto"/>
        <w:ind w:left="420" w:left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（1）供应商必须就“采购需求”中所竞标的的全部内容分别作完整唯一总价报价，不得存在漏项报价；</w:t>
      </w:r>
    </w:p>
    <w:p w14:paraId="7F00D7AC">
      <w:pPr>
        <w:numPr>
          <w:ilvl w:val="0"/>
          <w:numId w:val="3"/>
        </w:num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供应商必须就所竞标的分标的单项内容作唯一报价。</w:t>
      </w:r>
    </w:p>
    <w:p w14:paraId="39B671DF">
      <w:pPr>
        <w:numPr>
          <w:ilvl w:val="0"/>
          <w:numId w:val="3"/>
        </w:numPr>
        <w:shd w:val="clear" w:color="auto" w:fill="auto"/>
        <w:spacing w:line="360" w:lineRule="auto"/>
        <w:ind w:firstLine="42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供应商竞标报价（含总报价和单项报价）如明显低于其他通过符合性审查供应商的报价，有可能不能诚信履约的，</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小组可</w:t>
      </w:r>
      <w:r>
        <w:rPr>
          <w:rFonts w:hint="eastAsia" w:asciiTheme="minorEastAsia" w:hAnsiTheme="minorEastAsia" w:eastAsiaTheme="minorEastAsia" w:cstheme="minorEastAsia"/>
          <w:color w:val="auto"/>
          <w:sz w:val="22"/>
          <w:szCs w:val="22"/>
          <w:highlight w:val="none"/>
        </w:rPr>
        <w:t>要求其在评标现场合理的时间内提供书面说明</w:t>
      </w:r>
      <w:r>
        <w:rPr>
          <w:rFonts w:hint="eastAsia" w:asciiTheme="minorEastAsia" w:hAnsiTheme="minorEastAsia" w:eastAsiaTheme="minorEastAsia" w:cstheme="minorEastAsia"/>
          <w:color w:val="auto"/>
          <w:szCs w:val="21"/>
          <w:highlight w:val="none"/>
        </w:rPr>
        <w:t>。如无法提供说明，或者说明不足以证明合理性的，经</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小组评定，响应文件按无效处理。</w:t>
      </w:r>
    </w:p>
    <w:p w14:paraId="640488E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15.4.2竞标报价（包含首次报价、最后报价）超过所竞标分标规定的采购预算金额或者最高限价的，其响应文件将按无效处理。</w:t>
      </w:r>
    </w:p>
    <w:p w14:paraId="3EAD5C4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15.4.3竞标</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综合单价</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报价（包含首次报价、最后报价）超过分项采购预算</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综合单价</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金额或者最高限价的（如有要求），其响应文件将按无效处理。</w:t>
      </w:r>
    </w:p>
    <w:p w14:paraId="311B8340">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p>
    <w:bookmarkEnd w:id="112"/>
    <w:p w14:paraId="39D53A1B">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16.竞标有效期</w:t>
      </w:r>
    </w:p>
    <w:p w14:paraId="0C3A9BB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3F72A51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16.2 竞标有效期应由供应商按“供应商须知前附表”规定的期限作出响应。</w:t>
      </w:r>
    </w:p>
    <w:p w14:paraId="6C1FE6A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16.3供应商的响应文件在竞标有效期内均保持有效。</w:t>
      </w:r>
    </w:p>
    <w:p w14:paraId="521A9D13">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17.</w:t>
      </w:r>
      <w:r>
        <w:rPr>
          <w:rFonts w:hint="eastAsia" w:asciiTheme="minorEastAsia" w:hAnsiTheme="minorEastAsia" w:eastAsiaTheme="minorEastAsia" w:cstheme="minorEastAsia"/>
          <w:b/>
          <w:bCs/>
          <w:color w:val="auto"/>
          <w:sz w:val="24"/>
          <w:highlight w:val="none"/>
          <w:lang w:eastAsia="zh-CN"/>
        </w:rPr>
        <w:t>竞标保证金</w:t>
      </w:r>
    </w:p>
    <w:p w14:paraId="403C37C8">
      <w:pPr>
        <w:shd w:val="clear" w:color="auto" w:fill="auto"/>
        <w:spacing w:line="360" w:lineRule="auto"/>
        <w:ind w:left="420" w:left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17.1供应商须按“供应商须知前附表”的规定提交</w:t>
      </w:r>
      <w:r>
        <w:rPr>
          <w:rFonts w:hint="eastAsia" w:asciiTheme="minorEastAsia" w:hAnsiTheme="minorEastAsia" w:eastAsiaTheme="minorEastAsia" w:cstheme="minorEastAsia"/>
          <w:color w:val="auto"/>
          <w:szCs w:val="21"/>
          <w:highlight w:val="none"/>
          <w:lang w:eastAsia="zh-CN"/>
        </w:rPr>
        <w:t>竞标保证金</w:t>
      </w:r>
      <w:r>
        <w:rPr>
          <w:rFonts w:hint="eastAsia" w:asciiTheme="minorEastAsia" w:hAnsiTheme="minorEastAsia" w:eastAsiaTheme="minorEastAsia" w:cstheme="minorEastAsia"/>
          <w:color w:val="auto"/>
          <w:szCs w:val="21"/>
          <w:highlight w:val="none"/>
        </w:rPr>
        <w:t>。</w:t>
      </w:r>
    </w:p>
    <w:p w14:paraId="26CCD490">
      <w:pPr>
        <w:shd w:val="clear" w:color="auto" w:fill="auto"/>
        <w:spacing w:line="360" w:lineRule="auto"/>
        <w:ind w:left="420" w:left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17.2</w:t>
      </w:r>
      <w:r>
        <w:rPr>
          <w:rFonts w:hint="eastAsia" w:asciiTheme="minorEastAsia" w:hAnsiTheme="minorEastAsia" w:eastAsiaTheme="minorEastAsia" w:cstheme="minorEastAsia"/>
          <w:color w:val="auto"/>
          <w:szCs w:val="21"/>
          <w:highlight w:val="none"/>
          <w:lang w:eastAsia="zh-CN"/>
        </w:rPr>
        <w:t>竞标保证金</w:t>
      </w:r>
      <w:r>
        <w:rPr>
          <w:rFonts w:hint="eastAsia" w:asciiTheme="minorEastAsia" w:hAnsiTheme="minorEastAsia" w:eastAsiaTheme="minorEastAsia" w:cstheme="minorEastAsia"/>
          <w:color w:val="auto"/>
          <w:szCs w:val="21"/>
          <w:highlight w:val="none"/>
        </w:rPr>
        <w:t>的退还</w:t>
      </w:r>
    </w:p>
    <w:p w14:paraId="23BD420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bookmarkStart w:id="113" w:name="_Hlk66782243"/>
      <w:r>
        <w:rPr>
          <w:rFonts w:hint="eastAsia" w:asciiTheme="minorEastAsia" w:hAnsiTheme="minorEastAsia" w:eastAsiaTheme="minorEastAsia" w:cstheme="minorEastAsia"/>
          <w:color w:val="auto"/>
          <w:szCs w:val="21"/>
          <w:highlight w:val="none"/>
        </w:rPr>
        <w:t>未</w:t>
      </w:r>
      <w:r>
        <w:rPr>
          <w:rFonts w:hint="eastAsia" w:asciiTheme="minorEastAsia" w:hAnsiTheme="minorEastAsia" w:eastAsiaTheme="minorEastAsia" w:cstheme="minorEastAsia"/>
          <w:color w:val="auto"/>
          <w:spacing w:val="-6"/>
          <w:szCs w:val="21"/>
          <w:highlight w:val="none"/>
        </w:rPr>
        <w:t>成交供应商的</w:t>
      </w:r>
      <w:r>
        <w:rPr>
          <w:rFonts w:hint="eastAsia" w:asciiTheme="minorEastAsia" w:hAnsiTheme="minorEastAsia" w:eastAsiaTheme="minorEastAsia" w:cstheme="minorEastAsia"/>
          <w:color w:val="auto"/>
          <w:spacing w:val="-6"/>
          <w:szCs w:val="21"/>
          <w:highlight w:val="none"/>
          <w:lang w:eastAsia="zh-CN"/>
        </w:rPr>
        <w:t>竞标保证金</w:t>
      </w:r>
      <w:r>
        <w:rPr>
          <w:rFonts w:hint="eastAsia" w:asciiTheme="minorEastAsia" w:hAnsiTheme="minorEastAsia" w:eastAsiaTheme="minorEastAsia" w:cstheme="minorEastAsia"/>
          <w:color w:val="auto"/>
          <w:spacing w:val="-6"/>
          <w:szCs w:val="21"/>
          <w:highlight w:val="none"/>
        </w:rPr>
        <w:t>自成交通知书发出之日起</w:t>
      </w:r>
      <w:r>
        <w:rPr>
          <w:rFonts w:hint="eastAsia" w:asciiTheme="minorEastAsia" w:hAnsiTheme="minorEastAsia" w:eastAsiaTheme="minorEastAsia" w:cstheme="minorEastAsia"/>
          <w:color w:val="auto"/>
          <w:spacing w:val="-6"/>
          <w:szCs w:val="21"/>
          <w:highlight w:val="none"/>
          <w:lang w:val="en-US" w:eastAsia="zh-CN"/>
        </w:rPr>
        <w:t>5</w:t>
      </w:r>
      <w:r>
        <w:rPr>
          <w:rFonts w:hint="eastAsia" w:asciiTheme="minorEastAsia" w:hAnsiTheme="minorEastAsia" w:eastAsiaTheme="minorEastAsia" w:cstheme="minorEastAsia"/>
          <w:color w:val="auto"/>
          <w:spacing w:val="-6"/>
          <w:szCs w:val="21"/>
          <w:highlight w:val="none"/>
          <w:lang w:eastAsia="zh-CN"/>
        </w:rPr>
        <w:t>个工作日</w:t>
      </w:r>
      <w:r>
        <w:rPr>
          <w:rFonts w:hint="eastAsia" w:asciiTheme="minorEastAsia" w:hAnsiTheme="minorEastAsia" w:eastAsiaTheme="minorEastAsia" w:cstheme="minorEastAsia"/>
          <w:color w:val="auto"/>
          <w:spacing w:val="-6"/>
          <w:szCs w:val="21"/>
          <w:highlight w:val="none"/>
        </w:rPr>
        <w:t>内退还；</w:t>
      </w:r>
      <w:r>
        <w:rPr>
          <w:rFonts w:hint="eastAsia" w:asciiTheme="minorEastAsia" w:hAnsiTheme="minorEastAsia" w:eastAsiaTheme="minorEastAsia" w:cstheme="minorEastAsia"/>
          <w:color w:val="auto"/>
          <w:szCs w:val="21"/>
          <w:highlight w:val="none"/>
        </w:rPr>
        <w:t>成交供应商的</w:t>
      </w:r>
      <w:r>
        <w:rPr>
          <w:rFonts w:hint="eastAsia" w:asciiTheme="minorEastAsia" w:hAnsiTheme="minorEastAsia" w:eastAsiaTheme="minorEastAsia" w:cstheme="minorEastAsia"/>
          <w:color w:val="auto"/>
          <w:szCs w:val="21"/>
          <w:highlight w:val="none"/>
          <w:lang w:eastAsia="zh-CN"/>
        </w:rPr>
        <w:t>竞标保证金</w:t>
      </w:r>
      <w:r>
        <w:rPr>
          <w:rFonts w:hint="eastAsia" w:asciiTheme="minorEastAsia" w:hAnsiTheme="minorEastAsia" w:eastAsiaTheme="minorEastAsia" w:cstheme="minorEastAsia"/>
          <w:color w:val="auto"/>
          <w:szCs w:val="21"/>
          <w:highlight w:val="none"/>
        </w:rPr>
        <w:t>自签订合同之日起</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lang w:eastAsia="zh-CN"/>
        </w:rPr>
        <w:t>个工作日</w:t>
      </w:r>
      <w:r>
        <w:rPr>
          <w:rFonts w:hint="eastAsia" w:asciiTheme="minorEastAsia" w:hAnsiTheme="minorEastAsia" w:eastAsiaTheme="minorEastAsia" w:cstheme="minorEastAsia"/>
          <w:color w:val="auto"/>
          <w:szCs w:val="21"/>
          <w:highlight w:val="none"/>
        </w:rPr>
        <w:t>内退还。</w:t>
      </w:r>
      <w:bookmarkEnd w:id="113"/>
      <w:r>
        <w:rPr>
          <w:rFonts w:hint="eastAsia" w:asciiTheme="minorEastAsia" w:hAnsiTheme="minorEastAsia" w:eastAsiaTheme="minorEastAsia" w:cstheme="minorEastAsia"/>
          <w:color w:val="auto"/>
          <w:szCs w:val="21"/>
          <w:highlight w:val="none"/>
        </w:rPr>
        <w:t xml:space="preserve"> </w:t>
      </w:r>
    </w:p>
    <w:p w14:paraId="3B4AC112">
      <w:pPr>
        <w:shd w:val="clear" w:color="auto" w:fill="auto"/>
        <w:spacing w:line="360" w:lineRule="auto"/>
        <w:ind w:left="420" w:left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17.3</w:t>
      </w:r>
      <w:r>
        <w:rPr>
          <w:rFonts w:hint="eastAsia" w:asciiTheme="minorEastAsia" w:hAnsiTheme="minorEastAsia" w:eastAsiaTheme="minorEastAsia" w:cstheme="minorEastAsia"/>
          <w:color w:val="auto"/>
          <w:szCs w:val="21"/>
          <w:highlight w:val="none"/>
          <w:lang w:eastAsia="zh-CN"/>
        </w:rPr>
        <w:t>竞标保证金</w:t>
      </w:r>
      <w:r>
        <w:rPr>
          <w:rFonts w:hint="eastAsia" w:asciiTheme="minorEastAsia" w:hAnsiTheme="minorEastAsia" w:eastAsiaTheme="minorEastAsia" w:cstheme="minorEastAsia"/>
          <w:color w:val="auto"/>
          <w:szCs w:val="21"/>
          <w:highlight w:val="none"/>
        </w:rPr>
        <w:t>不计息。</w:t>
      </w:r>
    </w:p>
    <w:p w14:paraId="65BC7775">
      <w:pPr>
        <w:shd w:val="clear" w:color="auto" w:fill="auto"/>
        <w:spacing w:line="360" w:lineRule="auto"/>
        <w:ind w:left="420" w:left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17.4供应商有下列情形之一的，</w:t>
      </w:r>
      <w:r>
        <w:rPr>
          <w:rFonts w:hint="eastAsia" w:asciiTheme="minorEastAsia" w:hAnsiTheme="minorEastAsia" w:eastAsiaTheme="minorEastAsia" w:cstheme="minorEastAsia"/>
          <w:color w:val="auto"/>
          <w:szCs w:val="21"/>
          <w:highlight w:val="none"/>
          <w:lang w:eastAsia="zh-CN"/>
        </w:rPr>
        <w:t>竞标保证金</w:t>
      </w:r>
      <w:r>
        <w:rPr>
          <w:rFonts w:hint="eastAsia" w:asciiTheme="minorEastAsia" w:hAnsiTheme="minorEastAsia" w:eastAsiaTheme="minorEastAsia" w:cstheme="minorEastAsia"/>
          <w:color w:val="auto"/>
          <w:szCs w:val="21"/>
          <w:highlight w:val="none"/>
        </w:rPr>
        <w:t xml:space="preserve">将不予退还： </w:t>
      </w:r>
    </w:p>
    <w:p w14:paraId="3FAC5ADF">
      <w:pPr>
        <w:shd w:val="clear" w:color="auto" w:fill="auto"/>
        <w:spacing w:line="360" w:lineRule="auto"/>
        <w:ind w:left="420" w:left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（1）供应商在提交首次响应文件截止时间后撤回响应文件的；</w:t>
      </w:r>
    </w:p>
    <w:p w14:paraId="106E30F5">
      <w:pPr>
        <w:shd w:val="clear" w:color="auto" w:fill="auto"/>
        <w:spacing w:line="360" w:lineRule="auto"/>
        <w:ind w:left="420" w:left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（2）未按规定提交履约保证金的；</w:t>
      </w:r>
    </w:p>
    <w:p w14:paraId="16D63F44">
      <w:pPr>
        <w:shd w:val="clear" w:color="auto" w:fill="auto"/>
        <w:spacing w:line="360" w:lineRule="auto"/>
        <w:ind w:left="420" w:left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（3）供应商在响应文件中提供虚假材料的；</w:t>
      </w:r>
    </w:p>
    <w:p w14:paraId="18B6E22A">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（4）除因不可抗力或者</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文件认可的情形以外，成交供应商不与采购人签订合同的；</w:t>
      </w:r>
    </w:p>
    <w:p w14:paraId="72FC27B0">
      <w:pPr>
        <w:shd w:val="clear" w:color="auto" w:fill="auto"/>
        <w:spacing w:line="360" w:lineRule="auto"/>
        <w:ind w:left="420" w:left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（5）供应商与采购人、其他供应商或者采购代理机构恶意串通的；</w:t>
      </w:r>
    </w:p>
    <w:p w14:paraId="479DC51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（6）法律法规规定的其他情形。</w:t>
      </w:r>
    </w:p>
    <w:p w14:paraId="145036D7">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18.响应文件编制的要求</w:t>
      </w:r>
    </w:p>
    <w:p w14:paraId="7D4E6131">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18.1供应商应先安装广西政府采购云平台新版客户端，并按照本项目</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文件规定的格式和顺序和广西政府采购云平台的要求编制并加密。响应文件内容不完整、编排混乱导致响应文件被误读、漏读或者查找不到相关内容的，由此引发的后果由供应商承担。</w:t>
      </w:r>
    </w:p>
    <w:p w14:paraId="0DF078C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18.2为确保网上操作合法、有效和安全，供应商应当在提交响应文件截止时间前完成在</w:t>
      </w:r>
      <w:r>
        <w:rPr>
          <w:rFonts w:hint="eastAsia" w:asciiTheme="minorEastAsia" w:hAnsiTheme="minorEastAsia" w:eastAsiaTheme="minorEastAsia" w:cstheme="minorEastAsia"/>
          <w:color w:val="auto"/>
          <w:szCs w:val="21"/>
          <w:highlight w:val="none"/>
          <w:lang w:eastAsia="zh-CN"/>
        </w:rPr>
        <w:t>广西政府采购云平台</w:t>
      </w:r>
      <w:r>
        <w:rPr>
          <w:rFonts w:hint="eastAsia" w:asciiTheme="minorEastAsia" w:hAnsiTheme="minorEastAsia" w:eastAsiaTheme="minorEastAsia" w:cstheme="minorEastAsia"/>
          <w:color w:val="auto"/>
          <w:szCs w:val="21"/>
          <w:highlight w:val="none"/>
        </w:rPr>
        <w:t>的身份认证，确保在电子竞标过程中能够对相关数据电文进行加密和使用电子签章。</w:t>
      </w:r>
    </w:p>
    <w:p w14:paraId="0843EF3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18.3响应文件须由供应商在规定位置签字、盖章（具体以供应商须知前附表或响应文件格式规定为准），否则按无效响应处理。</w:t>
      </w:r>
    </w:p>
    <w:p w14:paraId="12FD069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18.4响应文件中标注的供应商名称应与主体资格证明（如营业执照或者事业单位法人证书或者执业许可证或者登记证书等）及公章一致，否则其响应文件按无效处理。</w:t>
      </w:r>
    </w:p>
    <w:p w14:paraId="2843C42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2536933">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19. 电子备份响应文件</w:t>
      </w:r>
    </w:p>
    <w:p w14:paraId="63C167A8">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19.1</w:t>
      </w:r>
      <w:r>
        <w:rPr>
          <w:rFonts w:hint="eastAsia"/>
          <w:color w:val="auto"/>
          <w:highlight w:val="none"/>
        </w:rPr>
        <w:t>电子备份响应文件是指通过“广西政府采购云平台新版客户端”在线编制生成且后缀名为“</w:t>
      </w:r>
      <w:r>
        <w:rPr>
          <w:color w:val="auto"/>
          <w:highlight w:val="none"/>
        </w:rPr>
        <w:t>bfbs</w:t>
      </w:r>
      <w:r>
        <w:rPr>
          <w:rFonts w:hint="eastAsia"/>
          <w:color w:val="auto"/>
          <w:highlight w:val="none"/>
        </w:rPr>
        <w:t>”的文件，是否接受电子备份响应文件详见</w:t>
      </w:r>
      <w:r>
        <w:rPr>
          <w:rFonts w:hint="eastAsia" w:hAnsi="宋体"/>
          <w:bCs/>
          <w:color w:val="auto"/>
          <w:szCs w:val="21"/>
          <w:highlight w:val="none"/>
        </w:rPr>
        <w:t>“供应商须知前附表”</w:t>
      </w:r>
      <w:r>
        <w:rPr>
          <w:rFonts w:hint="eastAsia" w:asciiTheme="minorEastAsia" w:hAnsiTheme="minorEastAsia" w:eastAsiaTheme="minorEastAsia" w:cstheme="minorEastAsia"/>
          <w:color w:val="auto"/>
          <w:szCs w:val="21"/>
          <w:highlight w:val="none"/>
        </w:rPr>
        <w:t>。</w:t>
      </w:r>
    </w:p>
    <w:p w14:paraId="1D7B735F">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20.响应文件的提交</w:t>
      </w:r>
    </w:p>
    <w:p w14:paraId="28E7483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20.1本项目实行全流程电子化；若供应商参与</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，自行承担</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的一切费用。</w:t>
      </w:r>
    </w:p>
    <w:p w14:paraId="62992E2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20.2供应商在响应文件递交截止应确保成为广西政府采购云平台正式注册入库供应商，并完成 CA 数字证书申领。因未注册入库、未办理 CA 数字证书等原因造成无法响应或响应失败等后果由供应商自行承担。</w:t>
      </w:r>
    </w:p>
    <w:p w14:paraId="08ABFD30">
      <w:pPr>
        <w:pStyle w:val="7"/>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20.3供应商将广西政府采购云平台电子交易客户端下载、安装完成后，可通过账号密码或 CA 登录客户端进行响应文件制作。客户端请至网站下载专区查看，如有问题可拨打广西政府采购云平台服务热线95763进行咨询。</w:t>
      </w:r>
    </w:p>
    <w:p w14:paraId="427FA739">
      <w:pPr>
        <w:pStyle w:val="7"/>
        <w:shd w:val="clear" w:color="auto" w:fill="auto"/>
        <w:spacing w:line="360" w:lineRule="auto"/>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color w:val="auto"/>
          <w:szCs w:val="21"/>
          <w:highlight w:val="none"/>
        </w:rPr>
        <w:t>20.4电子响应文件提交方</w:t>
      </w:r>
      <w:r>
        <w:rPr>
          <w:rFonts w:hint="eastAsia" w:asciiTheme="minorEastAsia" w:hAnsiTheme="minorEastAsia" w:eastAsiaTheme="minorEastAsia" w:cstheme="minorEastAsia"/>
          <w:bCs/>
          <w:color w:val="auto"/>
          <w:szCs w:val="21"/>
          <w:highlight w:val="none"/>
        </w:rPr>
        <w:t>式见“</w:t>
      </w:r>
      <w:r>
        <w:rPr>
          <w:rFonts w:hint="eastAsia" w:asciiTheme="minorEastAsia" w:hAnsiTheme="minorEastAsia" w:eastAsiaTheme="minorEastAsia" w:cstheme="minorEastAsia"/>
          <w:bCs/>
          <w:color w:val="auto"/>
          <w:szCs w:val="21"/>
          <w:highlight w:val="none"/>
          <w:lang w:eastAsia="zh-CN"/>
        </w:rPr>
        <w:t>竞争性谈判</w:t>
      </w:r>
      <w:r>
        <w:rPr>
          <w:rFonts w:hint="eastAsia" w:asciiTheme="minorEastAsia" w:hAnsiTheme="minorEastAsia" w:eastAsiaTheme="minorEastAsia" w:cstheme="minorEastAsia"/>
          <w:bCs/>
          <w:color w:val="auto"/>
          <w:szCs w:val="21"/>
          <w:highlight w:val="none"/>
        </w:rPr>
        <w:t>公告”</w:t>
      </w:r>
      <w:r>
        <w:rPr>
          <w:rFonts w:hint="eastAsia" w:asciiTheme="minorEastAsia" w:hAnsiTheme="minorEastAsia" w:eastAsiaTheme="minorEastAsia" w:cstheme="minorEastAsia"/>
          <w:color w:val="auto"/>
          <w:szCs w:val="21"/>
          <w:highlight w:val="none"/>
        </w:rPr>
        <w:t>中“四、响应文件提交”。</w:t>
      </w:r>
    </w:p>
    <w:p w14:paraId="5C5C00A3">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21.首次响应文件的补充、修改与撤回</w:t>
      </w:r>
    </w:p>
    <w:p w14:paraId="57519364">
      <w:pPr>
        <w:shd w:val="clear" w:color="auto" w:fill="auto"/>
        <w:spacing w:line="360" w:lineRule="auto"/>
        <w:ind w:firstLine="420" w:firstLineChars="200"/>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供应商进行电子竞标前应安装客户端软件，并按照</w:t>
      </w:r>
      <w:r>
        <w:rPr>
          <w:rFonts w:hint="eastAsia" w:asciiTheme="minorEastAsia" w:hAnsiTheme="minorEastAsia" w:eastAsiaTheme="minorEastAsia" w:cstheme="minorEastAsia"/>
          <w:b w:val="0"/>
          <w:bCs w:val="0"/>
          <w:color w:val="auto"/>
          <w:szCs w:val="21"/>
          <w:highlight w:val="none"/>
          <w:lang w:eastAsia="zh-CN"/>
        </w:rPr>
        <w:t>竞争性谈判</w:t>
      </w:r>
      <w:r>
        <w:rPr>
          <w:rFonts w:hint="eastAsia" w:asciiTheme="minorEastAsia" w:hAnsiTheme="minorEastAsia" w:eastAsiaTheme="minorEastAsia" w:cstheme="minorEastAsia"/>
          <w:b w:val="0"/>
          <w:bCs w:val="0"/>
          <w:color w:val="auto"/>
          <w:szCs w:val="21"/>
          <w:highlight w:val="none"/>
        </w:rPr>
        <w:t>文件和电子交易平台的要求编制并加密响应文件。供应商未按规定加密的响应文件，电子交易平台将拒收。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0DA9A4EF">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bookmarkStart w:id="114" w:name="_Hlk45702405"/>
      <w:r>
        <w:rPr>
          <w:rFonts w:hint="eastAsia" w:asciiTheme="minorEastAsia" w:hAnsiTheme="minorEastAsia" w:eastAsiaTheme="minorEastAsia" w:cstheme="minorEastAsia"/>
          <w:b/>
          <w:bCs/>
          <w:color w:val="auto"/>
          <w:sz w:val="24"/>
          <w:highlight w:val="none"/>
        </w:rPr>
        <w:t>22. 首次响应文件的退回</w:t>
      </w:r>
    </w:p>
    <w:p w14:paraId="0CCCC81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22.1 在首次响应文件提交截止时间止提交响应文件的供应商不足 3 家时，采购代理机构将根据“广西政府采购云 ”平台的操作将电子版响应文件退回，除此之外采购人和采购代理机构对已提交的电子响应文件概不退回。</w:t>
      </w:r>
    </w:p>
    <w:p w14:paraId="7A009410">
      <w:pPr>
        <w:shd w:val="clear" w:color="auto" w:fill="auto"/>
        <w:spacing w:line="360" w:lineRule="auto"/>
        <w:ind w:firstLine="482" w:firstLineChars="200"/>
        <w:rPr>
          <w:rFonts w:hint="eastAsia" w:asciiTheme="minorEastAsia" w:hAnsiTheme="minorEastAsia" w:eastAsiaTheme="minorEastAsia" w:cstheme="minorEastAsia"/>
          <w:b w:val="0"/>
          <w:bCs w:val="0"/>
          <w:color w:val="auto"/>
          <w:kern w:val="0"/>
          <w:szCs w:val="21"/>
          <w:highlight w:val="none"/>
        </w:rPr>
      </w:pPr>
      <w:r>
        <w:rPr>
          <w:rFonts w:hint="eastAsia" w:asciiTheme="minorEastAsia" w:hAnsiTheme="minorEastAsia" w:eastAsiaTheme="minorEastAsia" w:cstheme="minorEastAsia"/>
          <w:b/>
          <w:bCs/>
          <w:color w:val="auto"/>
          <w:sz w:val="24"/>
          <w:highlight w:val="none"/>
        </w:rPr>
        <w:t>23. 截止时间后的撤回</w:t>
      </w:r>
    </w:p>
    <w:p w14:paraId="0562831E">
      <w:pPr>
        <w:shd w:val="clear" w:color="auto" w:fill="auto"/>
        <w:spacing w:line="360" w:lineRule="auto"/>
        <w:ind w:right="105" w:rightChars="50" w:firstLine="420" w:firstLineChars="200"/>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highlight w:val="none"/>
        </w:rPr>
        <w:t>23.1 供应商在首次响应文件提交截止时间后书面通知采购人、采购代理机构书面撤回响应文件的，将根据本须知正文 17.4 的规定不予退还其竞标保证金。</w:t>
      </w:r>
      <w:bookmarkEnd w:id="114"/>
    </w:p>
    <w:p w14:paraId="3DE8DD02">
      <w:pPr>
        <w:shd w:val="clear" w:color="auto" w:fill="auto"/>
        <w:spacing w:line="360" w:lineRule="auto"/>
        <w:ind w:left="420" w:firstLine="420"/>
        <w:jc w:val="center"/>
        <w:outlineLvl w:val="2"/>
        <w:rPr>
          <w:rFonts w:hint="eastAsia" w:asciiTheme="minorEastAsia" w:hAnsiTheme="minorEastAsia" w:eastAsiaTheme="minorEastAsia" w:cstheme="minorEastAsia"/>
          <w:color w:val="auto"/>
          <w:szCs w:val="21"/>
          <w:highlight w:val="none"/>
        </w:rPr>
      </w:pPr>
      <w:bookmarkStart w:id="115" w:name="_Toc4925"/>
      <w:r>
        <w:rPr>
          <w:rFonts w:hint="eastAsia" w:asciiTheme="minorEastAsia" w:hAnsiTheme="minorEastAsia" w:eastAsiaTheme="minorEastAsia" w:cstheme="minorEastAsia"/>
          <w:b/>
          <w:bCs/>
          <w:color w:val="auto"/>
          <w:sz w:val="32"/>
          <w:szCs w:val="32"/>
          <w:highlight w:val="none"/>
        </w:rPr>
        <w:t>四、评审及</w:t>
      </w:r>
      <w:r>
        <w:rPr>
          <w:rFonts w:hint="eastAsia" w:asciiTheme="minorEastAsia" w:hAnsiTheme="minorEastAsia" w:eastAsiaTheme="minorEastAsia" w:cstheme="minorEastAsia"/>
          <w:b/>
          <w:bCs/>
          <w:color w:val="auto"/>
          <w:sz w:val="32"/>
          <w:szCs w:val="32"/>
          <w:highlight w:val="none"/>
          <w:lang w:eastAsia="zh-CN"/>
        </w:rPr>
        <w:t>谈判</w:t>
      </w:r>
      <w:bookmarkEnd w:id="115"/>
    </w:p>
    <w:p w14:paraId="2D664BC3">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24.</w:t>
      </w:r>
      <w:r>
        <w:rPr>
          <w:rFonts w:hint="eastAsia" w:asciiTheme="minorEastAsia" w:hAnsiTheme="minorEastAsia" w:eastAsiaTheme="minorEastAsia" w:cstheme="minorEastAsia"/>
          <w:b/>
          <w:bCs/>
          <w:color w:val="auto"/>
          <w:sz w:val="24"/>
          <w:highlight w:val="none"/>
          <w:lang w:eastAsia="zh-CN"/>
        </w:rPr>
        <w:t>谈判</w:t>
      </w:r>
      <w:r>
        <w:rPr>
          <w:rFonts w:hint="eastAsia" w:asciiTheme="minorEastAsia" w:hAnsiTheme="minorEastAsia" w:eastAsiaTheme="minorEastAsia" w:cstheme="minorEastAsia"/>
          <w:b/>
          <w:bCs/>
          <w:color w:val="auto"/>
          <w:sz w:val="24"/>
          <w:highlight w:val="none"/>
        </w:rPr>
        <w:t>小组成立</w:t>
      </w:r>
    </w:p>
    <w:p w14:paraId="3A753B9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24.1谈判小组由采购人代表和评审专家共3人以上单数组成，具体人数见“供应商须知前附表”，其中评审专家人数不得少于谈判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谈判方式采购的，谈判小组由5人以上单数组成。</w:t>
      </w:r>
    </w:p>
    <w:p w14:paraId="612F35B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03E831C">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25.首次响应文件的开启</w:t>
      </w:r>
    </w:p>
    <w:p w14:paraId="6F5EF79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25.1 首次响应文件由谈判小组或者采购代理机构在“供应商须知前附表 ”规定的时间开启。</w:t>
      </w:r>
    </w:p>
    <w:p w14:paraId="04254D4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25.2 响应文件解密：采购代理机构将在“供应商须知前附表 ”规定的时间通过电子交易平台组织响应文件开启，采购代理机构将依托电子交易平台发起开始解密指令，</w:t>
      </w:r>
      <w:r>
        <w:rPr>
          <w:rFonts w:hint="eastAsia" w:asciiTheme="minorEastAsia" w:hAnsiTheme="minorEastAsia" w:eastAsiaTheme="minorEastAsia" w:cstheme="minorEastAsia"/>
          <w:b/>
          <w:bCs/>
          <w:color w:val="auto"/>
          <w:szCs w:val="21"/>
          <w:highlight w:val="none"/>
        </w:rPr>
        <w:t>供应商的法定代表人或其委托代理人须携带加密时所用的CA 锁按平台提示和采购文件的规定登录到“广西政府采购云 ”平台电子开标大厅签到并在发起解密指令之时起 30 分钟内完成对电子响应文件在线解密。响应文件未按时解密的，视为响应文件无效。</w:t>
      </w:r>
      <w:r>
        <w:rPr>
          <w:rFonts w:hint="eastAsia" w:asciiTheme="minorEastAsia" w:hAnsiTheme="minorEastAsia" w:eastAsiaTheme="minorEastAsia" w:cstheme="minorEastAsia"/>
          <w:color w:val="auto"/>
          <w:szCs w:val="21"/>
          <w:highlight w:val="none"/>
        </w:rPr>
        <w:t>（解密异常情况处理：详见本章 26.2 电子交易活动的中止。）</w:t>
      </w:r>
    </w:p>
    <w:p w14:paraId="01BF01AA">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25.3 成功解密响应文件的供应商不足 3 家的，不得谈判。</w:t>
      </w:r>
    </w:p>
    <w:p w14:paraId="7FC0ED50">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26.评审程序、评审方法和评审标准</w:t>
      </w:r>
    </w:p>
    <w:p w14:paraId="4BE0B57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26.1谈判小组按照“第四章 评审程序、评审方法和评审标准”规定的方法、评审因素、标准和程序对响应文件进行评审。</w:t>
      </w:r>
    </w:p>
    <w:p w14:paraId="0FBAB4F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26.2电子交易活动的中止。采购过程中出现以下情形，导致电子交易平台无法正常运行，或者无法保证电子交易的公平、公正和安全时，采购机构可中止电子交易活动：</w:t>
      </w:r>
    </w:p>
    <w:p w14:paraId="4984529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（1）电子交易平台发生故障而无法登录访问的； </w:t>
      </w:r>
    </w:p>
    <w:p w14:paraId="251156D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（2）电子交易平台应用或数据库出现错误，不能进行正常操作的；</w:t>
      </w:r>
    </w:p>
    <w:p w14:paraId="6B9C900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（3）电子交易平台发现严重安全漏洞，有潜在泄密危险的；</w:t>
      </w:r>
    </w:p>
    <w:p w14:paraId="450F42C2">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（4）病毒发作导致不能进行正常操作的； </w:t>
      </w:r>
    </w:p>
    <w:p w14:paraId="429390F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（4）其他无法保证电子交易的公平、公正和安全的情况。</w:t>
      </w:r>
    </w:p>
    <w:p w14:paraId="503A4EA2">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26.3出现以上情形，不影响采购公平、公正性的，采购代理机构可以待上述情形消除后继续组织电子交易活动；影响或可能影响采购公平、公正性的，经采购代理机构确认后，应当重新采购</w:t>
      </w:r>
      <w:r>
        <w:rPr>
          <w:rFonts w:hint="eastAsia" w:asciiTheme="minorEastAsia" w:hAnsiTheme="minorEastAsia" w:eastAsiaTheme="minorEastAsia" w:cstheme="minorEastAsia"/>
          <w:color w:val="auto"/>
          <w:highlight w:val="none"/>
        </w:rPr>
        <w:t>。</w:t>
      </w:r>
    </w:p>
    <w:p w14:paraId="3B9DDAF8">
      <w:pPr>
        <w:shd w:val="clear" w:color="auto" w:fill="auto"/>
        <w:spacing w:line="360" w:lineRule="auto"/>
        <w:ind w:left="420" w:firstLine="420"/>
        <w:jc w:val="center"/>
        <w:outlineLvl w:val="2"/>
        <w:rPr>
          <w:rFonts w:hint="eastAsia" w:asciiTheme="minorEastAsia" w:hAnsiTheme="minorEastAsia" w:eastAsiaTheme="minorEastAsia" w:cstheme="minorEastAsia"/>
          <w:b/>
          <w:bCs/>
          <w:color w:val="auto"/>
          <w:sz w:val="32"/>
          <w:szCs w:val="32"/>
          <w:highlight w:val="none"/>
        </w:rPr>
      </w:pPr>
      <w:bookmarkStart w:id="116" w:name="_Toc369"/>
      <w:bookmarkStart w:id="117" w:name="_Toc4306"/>
      <w:bookmarkStart w:id="118" w:name="_Toc29875"/>
      <w:bookmarkStart w:id="119" w:name="_Toc32548"/>
      <w:bookmarkStart w:id="120" w:name="_Toc162971321"/>
      <w:r>
        <w:rPr>
          <w:rFonts w:hint="eastAsia" w:asciiTheme="minorEastAsia" w:hAnsiTheme="minorEastAsia" w:eastAsiaTheme="minorEastAsia" w:cstheme="minorEastAsia"/>
          <w:b/>
          <w:bCs/>
          <w:color w:val="auto"/>
          <w:sz w:val="32"/>
          <w:szCs w:val="32"/>
          <w:highlight w:val="none"/>
        </w:rPr>
        <w:t>五、成交及合同</w:t>
      </w:r>
      <w:bookmarkEnd w:id="116"/>
      <w:bookmarkEnd w:id="117"/>
      <w:bookmarkEnd w:id="118"/>
      <w:bookmarkEnd w:id="119"/>
      <w:bookmarkEnd w:id="120"/>
    </w:p>
    <w:p w14:paraId="6EC0EC7B">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27.确定成交供应商及结果公告</w:t>
      </w:r>
    </w:p>
    <w:p w14:paraId="10A9651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27.1 采购代理机构应当在评审结束后2个工作日内将评审报告送采购人确认。采购人应当在收到评审报告后5个工作日内，从评审报告提出的成交候选供应商中，按照排序由高到低的原则确定成交供应商，也可以书面授权谈判小组直接确定成交供应商。采购人逾期未确定成交供应商且不提出异议的，视为确定评审报告提出的排序第一的供应商为成交供应商。</w:t>
      </w:r>
    </w:p>
    <w:p w14:paraId="7B7DFEE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27.2采购代理机构应当在成交供应商确定后2个工作日内，在省级以上财政部门指定的媒体上公告成交结果，同时向成交供应商发出成交通知书。</w:t>
      </w:r>
      <w:r>
        <w:rPr>
          <w:rFonts w:hint="eastAsia" w:asciiTheme="minorEastAsia" w:hAnsiTheme="minorEastAsia" w:eastAsiaTheme="minorEastAsia" w:cstheme="minorEastAsia"/>
          <w:b/>
          <w:bCs/>
          <w:color w:val="auto"/>
          <w:szCs w:val="21"/>
          <w:highlight w:val="none"/>
        </w:rPr>
        <w:t>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w:t>
      </w:r>
      <w:r>
        <w:rPr>
          <w:rFonts w:hint="eastAsia" w:asciiTheme="minorEastAsia" w:hAnsiTheme="minorEastAsia" w:eastAsiaTheme="minorEastAsia" w:cstheme="minorEastAsia"/>
          <w:color w:val="auto"/>
          <w:szCs w:val="21"/>
          <w:highlight w:val="none"/>
        </w:rPr>
        <w:t>排名第二的成交候选人因上述规定的同样原因被取消成交资格的，采购人可以确定排名第三的成交候选人为成交供应商，以此类推。以上信息查询记录及相关证据与采购文件一并保存。</w:t>
      </w:r>
      <w:bookmarkStart w:id="121" w:name="_Hlk66782294"/>
      <w:r>
        <w:rPr>
          <w:rFonts w:hint="eastAsia" w:asciiTheme="minorEastAsia" w:hAnsiTheme="minorEastAsia" w:eastAsiaTheme="minorEastAsia" w:cstheme="minorEastAsia"/>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121"/>
    </w:p>
    <w:p w14:paraId="0B9B967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27.3 出现下列情形之一的，采购人或者采购代理机构应当终止竞争性谈判采购活动，发布项目终止公告并说明原因，重新开展采购活动：</w:t>
      </w:r>
    </w:p>
    <w:p w14:paraId="132E93E0">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（一）因情况变化，不再符合规定的竞争性谈判采购方式适用情形的；</w:t>
      </w:r>
    </w:p>
    <w:p w14:paraId="3CA1CAF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（二）出现影响采购公正的违法、违规行为的；</w:t>
      </w:r>
    </w:p>
    <w:p w14:paraId="2EF6989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（三）在采购过程中符合竞争要求的供应商或者报价未超过采购预算的供应商不足 3 家的，但“第四章 评审程序和评定成交的标准 ”第 3.7 条规定的情形除外。</w:t>
      </w:r>
    </w:p>
    <w:p w14:paraId="0856676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27.4 在采购活动中因重大变故，采购任务取消的，采购人或者采购代理机构应当终止采购活动，通知所有参加采购活动的供应商。</w:t>
      </w:r>
    </w:p>
    <w:p w14:paraId="166E80D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r>
        <w:rPr>
          <w:rFonts w:hint="eastAsia" w:asciiTheme="minorEastAsia" w:hAnsiTheme="minorEastAsia" w:eastAsiaTheme="minorEastAsia" w:cstheme="minorEastAsia"/>
          <w:bCs/>
          <w:color w:val="auto"/>
          <w:szCs w:val="21"/>
          <w:highlight w:val="none"/>
        </w:rPr>
        <w:t>。</w:t>
      </w:r>
    </w:p>
    <w:p w14:paraId="7D78F350">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28.履约保证金</w:t>
      </w:r>
    </w:p>
    <w:p w14:paraId="1DD1B768">
      <w:pPr>
        <w:shd w:val="clear" w:color="auto" w:fill="auto"/>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28.1履约保证金的金额、提交方式、退付的时间和条件详见 “供应商须知前附表”。成交供应商未按规定提交履约保证金的，视为拒绝</w:t>
      </w:r>
      <w:r>
        <w:rPr>
          <w:rFonts w:hint="eastAsia" w:asciiTheme="minorEastAsia" w:hAnsiTheme="minorEastAsia" w:eastAsiaTheme="minorEastAsia" w:cstheme="minorEastAsia"/>
          <w:color w:val="auto"/>
          <w:highlight w:val="none"/>
        </w:rPr>
        <w:t>与采购人</w:t>
      </w:r>
      <w:r>
        <w:rPr>
          <w:rFonts w:hint="eastAsia" w:asciiTheme="minorEastAsia" w:hAnsiTheme="minorEastAsia" w:eastAsiaTheme="minorEastAsia" w:cstheme="minorEastAsia"/>
          <w:color w:val="auto"/>
          <w:szCs w:val="21"/>
          <w:highlight w:val="none"/>
        </w:rPr>
        <w:t>签订合同，采购人可以按照评审报告推荐的成交候选人名单排序，依法确定下一候选人为成交供应商，也可以重新开展政府采购活动。</w:t>
      </w:r>
    </w:p>
    <w:p w14:paraId="3A29C3CB">
      <w:pPr>
        <w:shd w:val="clear" w:color="auto" w:fill="auto"/>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28.2签订合同后，如成交供应商不按双方签订的合同规定履约，则没收其全部履约保证金，履约保证金不足以赔偿损失的，按实际损失赔偿。</w:t>
      </w:r>
    </w:p>
    <w:p w14:paraId="60FBA325">
      <w:pPr>
        <w:shd w:val="clear" w:color="auto" w:fill="auto"/>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28.3在履约保证金退还日期前，若成交供应商的开户名称、开户银行、账号有变动的，请以书面形式通知履约保证金收取单位，否则由此产生的后果由成交供应商自行承担。</w:t>
      </w:r>
    </w:p>
    <w:p w14:paraId="7585CF46">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29.签订合同</w:t>
      </w:r>
    </w:p>
    <w:p w14:paraId="21B25BFF">
      <w:pPr>
        <w:shd w:val="clear" w:color="auto" w:fill="auto"/>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29.1成交供应商在收到成交通知书后，应当在签订合同时向采购人出示相关证明材料，具体内容详见 “供应商须知前附表”，经采购人核验合格后方可签订合同。</w:t>
      </w:r>
    </w:p>
    <w:p w14:paraId="7BCA2EC8">
      <w:pPr>
        <w:shd w:val="clear" w:color="auto" w:fill="auto"/>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29.2 签订合同时间：按成交通知书规定的时间与采购人签订政府采购合同。</w:t>
      </w:r>
    </w:p>
    <w:p w14:paraId="1ECAE2A5">
      <w:pPr>
        <w:shd w:val="clear" w:color="auto" w:fill="auto"/>
        <w:spacing w:line="360" w:lineRule="auto"/>
        <w:ind w:firstLine="424" w:firstLineChars="202"/>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29.3成交供应商拒绝与采购人签订合同的，采购人可以按照评审报告推荐的成交候选人名单排序，依法确定下一候选人为成交供应商，也可以重新开展政府采购活动。拒绝签订政府采购合同的成交供应商不得参加对该合同项重新开展的采购活动。</w:t>
      </w:r>
    </w:p>
    <w:p w14:paraId="2AF67DFD">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30.政府采购合同公告</w:t>
      </w:r>
    </w:p>
    <w:p w14:paraId="6C1AC7D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6665328">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31. 询问、质疑和投诉</w:t>
      </w:r>
    </w:p>
    <w:p w14:paraId="4FCA89B7">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31.1供应商对政府采购活动事项有疑问的，可以向采购人、采购代理机构提出询问，采购人或者采购代理机构应当在3个工作日内对供应商依法提出的询问作出答复。</w:t>
      </w:r>
    </w:p>
    <w:p w14:paraId="4E6C84B2">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31.2供应商认为</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文件、采购过程或者成交结果使自己的合法权益受到损害的，应当在知道或者应知其权益受到损害之日起7个工作日内，以书面形式向采购人、采购代理机构提出质疑，</w:t>
      </w:r>
      <w:r>
        <w:rPr>
          <w:rFonts w:hint="eastAsia" w:asciiTheme="minorEastAsia" w:hAnsiTheme="minorEastAsia" w:eastAsiaTheme="minorEastAsia" w:cstheme="minorEastAsia"/>
          <w:color w:val="auto"/>
          <w:highlight w:val="none"/>
          <w:shd w:val="clear" w:color="auto" w:fill="FFFFFF"/>
        </w:rPr>
        <w:t>接收质疑函的方式、联系部门、联系电话和通讯地址等信息详见</w:t>
      </w:r>
      <w:r>
        <w:rPr>
          <w:rFonts w:hint="eastAsia" w:asciiTheme="minorEastAsia" w:hAnsiTheme="minorEastAsia" w:eastAsiaTheme="minorEastAsia" w:cstheme="minorEastAsia"/>
          <w:color w:val="auto"/>
          <w:szCs w:val="21"/>
          <w:highlight w:val="none"/>
        </w:rPr>
        <w:t>“供应商须知前附表”</w:t>
      </w:r>
      <w:r>
        <w:rPr>
          <w:rFonts w:hint="eastAsia" w:asciiTheme="minorEastAsia" w:hAnsiTheme="minorEastAsia" w:eastAsiaTheme="minorEastAsia" w:cstheme="minorEastAsia"/>
          <w:color w:val="auto"/>
          <w:highlight w:val="none"/>
        </w:rPr>
        <w:t>。具体质疑起算时间如下：</w:t>
      </w:r>
    </w:p>
    <w:p w14:paraId="3468311E">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（1）对可以质疑的</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文件提出质疑的，为收到</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文件之日或者</w:t>
      </w:r>
      <w:r>
        <w:rPr>
          <w:rFonts w:hint="eastAsia" w:asciiTheme="minorEastAsia" w:hAnsiTheme="minorEastAsia" w:eastAsiaTheme="minorEastAsia" w:cstheme="minorEastAsia"/>
          <w:color w:val="auto"/>
          <w:highlight w:val="none"/>
          <w:lang w:eastAsia="zh-CN"/>
        </w:rPr>
        <w:t>竞争性谈判</w:t>
      </w:r>
      <w:r>
        <w:rPr>
          <w:rFonts w:hint="eastAsia" w:asciiTheme="minorEastAsia" w:hAnsiTheme="minorEastAsia" w:eastAsiaTheme="minorEastAsia" w:cstheme="minorEastAsia"/>
          <w:color w:val="auto"/>
          <w:highlight w:val="none"/>
        </w:rPr>
        <w:t>公告期限届满之日；</w:t>
      </w:r>
    </w:p>
    <w:p w14:paraId="545EF532">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（2）对采购过程提出质疑的，为各采购程序环节结束之日；</w:t>
      </w:r>
    </w:p>
    <w:p w14:paraId="14917138">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（3）对成交结果提出质疑的，为成交结果公告期限届满之日。</w:t>
      </w:r>
    </w:p>
    <w:p w14:paraId="459A8CB9">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897D4DC">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31.4 供应商提出质疑应当提交质疑函和必要的证明材料，针对同一采购程序环节的质疑必须在法定质疑期内一次性提出。质疑函应当包括下列内容</w:t>
      </w:r>
      <w:r>
        <w:rPr>
          <w:rFonts w:hint="eastAsia" w:asciiTheme="minorEastAsia" w:hAnsiTheme="minorEastAsia" w:eastAsiaTheme="minorEastAsia" w:cstheme="minorEastAsia"/>
          <w:bCs/>
          <w:color w:val="auto"/>
          <w:highlight w:val="none"/>
        </w:rPr>
        <w:t>（质疑函格式后附）</w:t>
      </w:r>
      <w:r>
        <w:rPr>
          <w:rFonts w:hint="eastAsia" w:asciiTheme="minorEastAsia" w:hAnsiTheme="minorEastAsia" w:eastAsiaTheme="minorEastAsia" w:cstheme="minorEastAsia"/>
          <w:color w:val="auto"/>
          <w:highlight w:val="none"/>
        </w:rPr>
        <w:t>：</w:t>
      </w:r>
    </w:p>
    <w:p w14:paraId="34F32F75">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（1）供应商的姓名或者名称、地址、邮编、联系人及联系电话；</w:t>
      </w:r>
    </w:p>
    <w:p w14:paraId="62A39DC4">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（2）质疑项目的名称、编号；</w:t>
      </w:r>
    </w:p>
    <w:p w14:paraId="4AB8DB36">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（3）具体、明确的质疑事项和与质疑事项相关的请求；</w:t>
      </w:r>
    </w:p>
    <w:p w14:paraId="6DA6A51E">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（4）事实依据；</w:t>
      </w:r>
    </w:p>
    <w:p w14:paraId="28A06170">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（5）必要的法律依据；</w:t>
      </w:r>
    </w:p>
    <w:p w14:paraId="65B65041">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（6）提出质疑的日期。</w:t>
      </w:r>
    </w:p>
    <w:p w14:paraId="62E065AD">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供应商为自然人的，应当由本人签字；供应商为法人或者其他组织的，应当由法定代表人、主要负责人，或者其委托代理人签字或者盖章，并加盖公章。</w:t>
      </w:r>
    </w:p>
    <w:p w14:paraId="6D3BD1BA">
      <w:pPr>
        <w:shd w:val="clear" w:color="auto" w:fill="auto"/>
        <w:spacing w:line="360" w:lineRule="auto"/>
        <w:ind w:firstLine="422" w:firstLineChars="200"/>
        <w:rPr>
          <w:rFonts w:hint="eastAsia" w:asciiTheme="minorEastAsia" w:hAnsiTheme="minorEastAsia" w:eastAsiaTheme="minorEastAsia" w:cstheme="minorEastAsia"/>
          <w:color w:val="auto"/>
          <w:highlight w:val="none"/>
        </w:rPr>
      </w:pPr>
      <w:r>
        <w:rPr>
          <w:rFonts w:hint="eastAsia" w:ascii="宋体" w:hAnsi="宋体"/>
          <w:b/>
          <w:color w:val="auto"/>
          <w:szCs w:val="20"/>
          <w:highlight w:val="none"/>
          <w:lang w:val="en-US" w:eastAsia="zh-CN"/>
        </w:rPr>
        <w:t>31.5</w:t>
      </w:r>
      <w:r>
        <w:rPr>
          <w:rFonts w:hint="eastAsia" w:ascii="宋体" w:hAnsi="宋体"/>
          <w:b/>
          <w:color w:val="auto"/>
          <w:szCs w:val="20"/>
          <w:highlight w:val="none"/>
        </w:rPr>
        <w:t>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b/>
          <w:color w:val="auto"/>
          <w:szCs w:val="20"/>
          <w:highlight w:val="none"/>
          <w:lang w:eastAsia="zh-CN"/>
        </w:rPr>
        <w:t>。</w:t>
      </w:r>
    </w:p>
    <w:p w14:paraId="793E0830">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w:t>
      </w: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2CEAE2AE">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（一）对采购文件提出的质疑，依法通过澄清或者修改可以继续开展采购活动的，澄清或者修改采购文件后继续开展采购活动；否则应当修改采购文件后重新开展采购活动。</w:t>
      </w:r>
    </w:p>
    <w:p w14:paraId="053669F5">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72DC601">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质疑答复导致成交结果改变的，采购人或者采购代理机构应当将有关情况书面报告本级财政部门。</w:t>
      </w:r>
    </w:p>
    <w:p w14:paraId="13E96471">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4BFD8C9">
      <w:pPr>
        <w:shd w:val="clear" w:color="auto" w:fill="auto"/>
        <w:spacing w:line="360" w:lineRule="auto"/>
        <w:ind w:left="420" w:firstLine="420"/>
        <w:jc w:val="center"/>
        <w:outlineLvl w:val="2"/>
        <w:rPr>
          <w:rFonts w:hint="eastAsia" w:asciiTheme="minorEastAsia" w:hAnsiTheme="minorEastAsia" w:eastAsiaTheme="minorEastAsia" w:cstheme="minorEastAsia"/>
          <w:b/>
          <w:bCs/>
          <w:color w:val="auto"/>
          <w:sz w:val="32"/>
          <w:szCs w:val="32"/>
          <w:highlight w:val="none"/>
        </w:rPr>
      </w:pPr>
      <w:bookmarkStart w:id="122" w:name="_Toc8975"/>
      <w:bookmarkStart w:id="123" w:name="_Toc24987"/>
      <w:bookmarkStart w:id="124" w:name="_Toc30577"/>
      <w:bookmarkStart w:id="125" w:name="_Toc2071"/>
      <w:bookmarkStart w:id="126" w:name="_Toc162971322"/>
      <w:r>
        <w:rPr>
          <w:rFonts w:hint="eastAsia" w:asciiTheme="minorEastAsia" w:hAnsiTheme="minorEastAsia" w:eastAsiaTheme="minorEastAsia" w:cstheme="minorEastAsia"/>
          <w:b/>
          <w:bCs/>
          <w:color w:val="auto"/>
          <w:sz w:val="32"/>
          <w:szCs w:val="32"/>
          <w:highlight w:val="none"/>
        </w:rPr>
        <w:t>六、验收</w:t>
      </w:r>
      <w:bookmarkEnd w:id="122"/>
      <w:bookmarkEnd w:id="123"/>
      <w:bookmarkEnd w:id="124"/>
      <w:bookmarkEnd w:id="125"/>
      <w:bookmarkEnd w:id="126"/>
    </w:p>
    <w:p w14:paraId="2125D560">
      <w:pPr>
        <w:tabs>
          <w:tab w:val="left" w:pos="0"/>
        </w:tabs>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32.验收</w:t>
      </w:r>
    </w:p>
    <w:p w14:paraId="32E788D4">
      <w:pPr>
        <w:tabs>
          <w:tab w:val="left" w:pos="0"/>
        </w:tabs>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39082D6">
      <w:pPr>
        <w:tabs>
          <w:tab w:val="left" w:pos="0"/>
        </w:tabs>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32.2采购人可以邀请参加本项目的其他供应商或者第三方机构参与验收。参与验收的供应商或者第三方机构的意见作为验收书的参考资料一并存档。</w:t>
      </w:r>
    </w:p>
    <w:p w14:paraId="6680C184">
      <w:pPr>
        <w:tabs>
          <w:tab w:val="left" w:pos="0"/>
        </w:tabs>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条件挂钩。履约验收的各项资料应当存档备查。</w:t>
      </w:r>
    </w:p>
    <w:p w14:paraId="2B20FB84">
      <w:pPr>
        <w:tabs>
          <w:tab w:val="left" w:pos="0"/>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44132AD">
      <w:pPr>
        <w:shd w:val="clear" w:color="auto" w:fill="auto"/>
        <w:spacing w:line="360" w:lineRule="auto"/>
        <w:ind w:left="420" w:firstLine="420"/>
        <w:jc w:val="center"/>
        <w:outlineLvl w:val="2"/>
        <w:rPr>
          <w:rFonts w:hint="eastAsia" w:asciiTheme="minorEastAsia" w:hAnsiTheme="minorEastAsia" w:eastAsiaTheme="minorEastAsia" w:cstheme="minorEastAsia"/>
          <w:b/>
          <w:bCs/>
          <w:color w:val="auto"/>
          <w:sz w:val="32"/>
          <w:szCs w:val="32"/>
          <w:highlight w:val="none"/>
        </w:rPr>
      </w:pPr>
      <w:bookmarkStart w:id="127" w:name="_Toc10256"/>
      <w:bookmarkStart w:id="128" w:name="_Toc20461"/>
      <w:bookmarkStart w:id="129" w:name="_Toc9549"/>
      <w:bookmarkStart w:id="130" w:name="_Toc8776"/>
      <w:bookmarkStart w:id="131" w:name="_Toc162971323"/>
      <w:r>
        <w:rPr>
          <w:rFonts w:hint="eastAsia" w:asciiTheme="minorEastAsia" w:hAnsiTheme="minorEastAsia" w:eastAsiaTheme="minorEastAsia" w:cstheme="minorEastAsia"/>
          <w:b/>
          <w:bCs/>
          <w:color w:val="auto"/>
          <w:sz w:val="32"/>
          <w:szCs w:val="32"/>
          <w:highlight w:val="none"/>
        </w:rPr>
        <w:t>七、其他事项</w:t>
      </w:r>
      <w:bookmarkEnd w:id="127"/>
      <w:bookmarkEnd w:id="128"/>
      <w:bookmarkEnd w:id="129"/>
      <w:bookmarkEnd w:id="130"/>
      <w:bookmarkEnd w:id="131"/>
    </w:p>
    <w:p w14:paraId="42E7F6BD">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32.其他内容</w:t>
      </w:r>
    </w:p>
    <w:p w14:paraId="054E33A4">
      <w:pPr>
        <w:shd w:val="clear" w:color="auto" w:fill="auto"/>
        <w:tabs>
          <w:tab w:val="left" w:pos="2835"/>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32.1代理服务收取标准及缴费账户详见“供应商须知前附表”。</w:t>
      </w:r>
    </w:p>
    <w:p w14:paraId="1D28570B">
      <w:pPr>
        <w:shd w:val="clear" w:color="auto" w:fill="auto"/>
        <w:tabs>
          <w:tab w:val="left" w:pos="2835"/>
        </w:tabs>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32.2代理服务费收费计算标准：</w:t>
      </w:r>
    </w:p>
    <w:tbl>
      <w:tblPr>
        <w:tblStyle w:val="18"/>
        <w:tblW w:w="8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CB4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06C1C865">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szCs w:val="21"/>
                <w:highlight w:val="none"/>
                <w:lang w:val="en-US" w:eastAsia="zh-CN"/>
              </w:rPr>
              <w:t xml:space="preserve">         </w:t>
            </w:r>
            <w:r>
              <w:rPr>
                <w:rFonts w:hint="eastAsia" w:asciiTheme="minorEastAsia" w:hAnsiTheme="minorEastAsia" w:eastAsiaTheme="minorEastAsia" w:cstheme="minorEastAsia"/>
                <w:color w:val="auto"/>
                <w:szCs w:val="21"/>
                <w:highlight w:val="none"/>
              </w:rPr>
              <w:t>费率</w:t>
            </w:r>
          </w:p>
          <w:p w14:paraId="69AD198B">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金额</w:t>
            </w:r>
          </w:p>
        </w:tc>
        <w:tc>
          <w:tcPr>
            <w:tcW w:w="1659" w:type="dxa"/>
            <w:noWrap w:val="0"/>
            <w:vAlign w:val="center"/>
          </w:tcPr>
          <w:p w14:paraId="5285FBFC">
            <w:pPr>
              <w:shd w:val="clear" w:color="auto" w:fill="auto"/>
              <w:spacing w:line="360" w:lineRule="auto"/>
              <w:ind w:firstLine="105" w:firstLineChars="5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货物类</w:t>
            </w:r>
          </w:p>
        </w:tc>
        <w:tc>
          <w:tcPr>
            <w:tcW w:w="1532" w:type="dxa"/>
            <w:noWrap w:val="0"/>
            <w:vAlign w:val="center"/>
          </w:tcPr>
          <w:p w14:paraId="782AC7C3">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服务类</w:t>
            </w:r>
          </w:p>
        </w:tc>
        <w:tc>
          <w:tcPr>
            <w:tcW w:w="1546" w:type="dxa"/>
            <w:noWrap w:val="0"/>
            <w:vAlign w:val="center"/>
          </w:tcPr>
          <w:p w14:paraId="0FE81376">
            <w:pPr>
              <w:shd w:val="clear" w:color="auto" w:fill="auto"/>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工程类</w:t>
            </w:r>
          </w:p>
        </w:tc>
      </w:tr>
      <w:tr w14:paraId="5F86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4406159">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100万元以下</w:t>
            </w:r>
          </w:p>
        </w:tc>
        <w:tc>
          <w:tcPr>
            <w:tcW w:w="1659" w:type="dxa"/>
            <w:noWrap w:val="0"/>
            <w:vAlign w:val="top"/>
          </w:tcPr>
          <w:p w14:paraId="2A0EA1A4">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1.5%                </w:t>
            </w:r>
          </w:p>
        </w:tc>
        <w:tc>
          <w:tcPr>
            <w:tcW w:w="1532" w:type="dxa"/>
            <w:noWrap w:val="0"/>
            <w:vAlign w:val="top"/>
          </w:tcPr>
          <w:p w14:paraId="27B820A0">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1.5%</w:t>
            </w:r>
          </w:p>
        </w:tc>
        <w:tc>
          <w:tcPr>
            <w:tcW w:w="1546" w:type="dxa"/>
            <w:noWrap w:val="0"/>
            <w:vAlign w:val="top"/>
          </w:tcPr>
          <w:p w14:paraId="7A661EEB">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1.0% </w:t>
            </w:r>
          </w:p>
        </w:tc>
      </w:tr>
      <w:tr w14:paraId="4AB9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F4CCADC">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100～500万元</w:t>
            </w:r>
          </w:p>
        </w:tc>
        <w:tc>
          <w:tcPr>
            <w:tcW w:w="1659" w:type="dxa"/>
            <w:noWrap w:val="0"/>
            <w:vAlign w:val="top"/>
          </w:tcPr>
          <w:p w14:paraId="3E0B5A5A">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1.1%                 </w:t>
            </w:r>
          </w:p>
        </w:tc>
        <w:tc>
          <w:tcPr>
            <w:tcW w:w="1532" w:type="dxa"/>
            <w:noWrap w:val="0"/>
            <w:vAlign w:val="top"/>
          </w:tcPr>
          <w:p w14:paraId="3C4A8F24">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0.8%</w:t>
            </w:r>
          </w:p>
        </w:tc>
        <w:tc>
          <w:tcPr>
            <w:tcW w:w="1546" w:type="dxa"/>
            <w:noWrap w:val="0"/>
            <w:vAlign w:val="top"/>
          </w:tcPr>
          <w:p w14:paraId="12877D18">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0.7% </w:t>
            </w:r>
          </w:p>
        </w:tc>
      </w:tr>
      <w:tr w14:paraId="45DC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8FB027E">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500～1000万元</w:t>
            </w:r>
          </w:p>
        </w:tc>
        <w:tc>
          <w:tcPr>
            <w:tcW w:w="1659" w:type="dxa"/>
            <w:noWrap w:val="0"/>
            <w:vAlign w:val="top"/>
          </w:tcPr>
          <w:p w14:paraId="2B183DC9">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  0.8%                </w:t>
            </w:r>
          </w:p>
        </w:tc>
        <w:tc>
          <w:tcPr>
            <w:tcW w:w="1532" w:type="dxa"/>
            <w:noWrap w:val="0"/>
            <w:vAlign w:val="top"/>
          </w:tcPr>
          <w:p w14:paraId="0F309AC8">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0.45%</w:t>
            </w:r>
          </w:p>
        </w:tc>
        <w:tc>
          <w:tcPr>
            <w:tcW w:w="1546" w:type="dxa"/>
            <w:noWrap w:val="0"/>
            <w:vAlign w:val="top"/>
          </w:tcPr>
          <w:p w14:paraId="678E1887">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0.55%</w:t>
            </w:r>
          </w:p>
        </w:tc>
      </w:tr>
      <w:tr w14:paraId="416A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59A949D">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1000～5000万元</w:t>
            </w:r>
          </w:p>
        </w:tc>
        <w:tc>
          <w:tcPr>
            <w:tcW w:w="1659" w:type="dxa"/>
            <w:noWrap w:val="0"/>
            <w:vAlign w:val="top"/>
          </w:tcPr>
          <w:p w14:paraId="35338E56">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0.5%                </w:t>
            </w:r>
          </w:p>
        </w:tc>
        <w:tc>
          <w:tcPr>
            <w:tcW w:w="1532" w:type="dxa"/>
            <w:noWrap w:val="0"/>
            <w:vAlign w:val="top"/>
          </w:tcPr>
          <w:p w14:paraId="2005082F">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0.25%</w:t>
            </w:r>
          </w:p>
        </w:tc>
        <w:tc>
          <w:tcPr>
            <w:tcW w:w="1546" w:type="dxa"/>
            <w:noWrap w:val="0"/>
            <w:vAlign w:val="top"/>
          </w:tcPr>
          <w:p w14:paraId="4ECDA072">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0.35% </w:t>
            </w:r>
          </w:p>
        </w:tc>
      </w:tr>
      <w:tr w14:paraId="67E1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FC846B9">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5000万元～1亿元</w:t>
            </w:r>
          </w:p>
        </w:tc>
        <w:tc>
          <w:tcPr>
            <w:tcW w:w="1659" w:type="dxa"/>
            <w:noWrap w:val="0"/>
            <w:vAlign w:val="top"/>
          </w:tcPr>
          <w:p w14:paraId="10CCE9F4">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0.25%                 </w:t>
            </w:r>
          </w:p>
        </w:tc>
        <w:tc>
          <w:tcPr>
            <w:tcW w:w="1532" w:type="dxa"/>
            <w:noWrap w:val="0"/>
            <w:vAlign w:val="top"/>
          </w:tcPr>
          <w:p w14:paraId="6D03F23B">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0.1%</w:t>
            </w:r>
          </w:p>
        </w:tc>
        <w:tc>
          <w:tcPr>
            <w:tcW w:w="1546" w:type="dxa"/>
            <w:noWrap w:val="0"/>
            <w:vAlign w:val="top"/>
          </w:tcPr>
          <w:p w14:paraId="00298184">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w:t>
            </w:r>
          </w:p>
        </w:tc>
      </w:tr>
      <w:tr w14:paraId="68FB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20F7B3C">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1～5亿元</w:t>
            </w:r>
          </w:p>
        </w:tc>
        <w:tc>
          <w:tcPr>
            <w:tcW w:w="1659" w:type="dxa"/>
            <w:noWrap w:val="0"/>
            <w:vAlign w:val="top"/>
          </w:tcPr>
          <w:p w14:paraId="46B9BEAA">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0.05%</w:t>
            </w:r>
          </w:p>
        </w:tc>
        <w:tc>
          <w:tcPr>
            <w:tcW w:w="1532" w:type="dxa"/>
            <w:noWrap w:val="0"/>
            <w:vAlign w:val="top"/>
          </w:tcPr>
          <w:p w14:paraId="0825C0A5">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c>
          <w:tcPr>
            <w:tcW w:w="1546" w:type="dxa"/>
            <w:noWrap w:val="0"/>
            <w:vAlign w:val="top"/>
          </w:tcPr>
          <w:p w14:paraId="41EDF2EA">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r>
      <w:tr w14:paraId="1B12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AB59371">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5～10亿元</w:t>
            </w:r>
          </w:p>
        </w:tc>
        <w:tc>
          <w:tcPr>
            <w:tcW w:w="1659" w:type="dxa"/>
            <w:noWrap w:val="0"/>
            <w:vAlign w:val="top"/>
          </w:tcPr>
          <w:p w14:paraId="17A66F9B">
            <w:pPr>
              <w:shd w:val="clear" w:color="auto" w:fill="auto"/>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c>
          <w:tcPr>
            <w:tcW w:w="1532" w:type="dxa"/>
            <w:noWrap w:val="0"/>
            <w:vAlign w:val="top"/>
          </w:tcPr>
          <w:p w14:paraId="21D2D443">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0.035%</w:t>
            </w:r>
          </w:p>
        </w:tc>
        <w:tc>
          <w:tcPr>
            <w:tcW w:w="1546" w:type="dxa"/>
            <w:noWrap w:val="0"/>
            <w:vAlign w:val="top"/>
          </w:tcPr>
          <w:p w14:paraId="2CE1F453">
            <w:pPr>
              <w:shd w:val="clear" w:color="auto" w:fill="auto"/>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r>
      <w:tr w14:paraId="4A9A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624FDB0">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10～50亿元</w:t>
            </w:r>
          </w:p>
        </w:tc>
        <w:tc>
          <w:tcPr>
            <w:tcW w:w="1659" w:type="dxa"/>
            <w:noWrap w:val="0"/>
            <w:vAlign w:val="top"/>
          </w:tcPr>
          <w:p w14:paraId="2C951B0B">
            <w:pPr>
              <w:shd w:val="clear" w:color="auto" w:fill="auto"/>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532" w:type="dxa"/>
            <w:noWrap w:val="0"/>
            <w:vAlign w:val="top"/>
          </w:tcPr>
          <w:p w14:paraId="4044674C">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546" w:type="dxa"/>
            <w:noWrap w:val="0"/>
            <w:vAlign w:val="top"/>
          </w:tcPr>
          <w:p w14:paraId="02AB9292">
            <w:pPr>
              <w:shd w:val="clear" w:color="auto" w:fill="auto"/>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r>
      <w:tr w14:paraId="549B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B783C7F">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50～100亿元</w:t>
            </w:r>
          </w:p>
        </w:tc>
        <w:tc>
          <w:tcPr>
            <w:tcW w:w="1659" w:type="dxa"/>
            <w:noWrap w:val="0"/>
            <w:vAlign w:val="top"/>
          </w:tcPr>
          <w:p w14:paraId="433334B7">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0.006%</w:t>
            </w:r>
          </w:p>
        </w:tc>
        <w:tc>
          <w:tcPr>
            <w:tcW w:w="1532" w:type="dxa"/>
            <w:noWrap w:val="0"/>
            <w:vAlign w:val="top"/>
          </w:tcPr>
          <w:p w14:paraId="312D9947">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c>
          <w:tcPr>
            <w:tcW w:w="1546" w:type="dxa"/>
            <w:noWrap w:val="0"/>
            <w:vAlign w:val="top"/>
          </w:tcPr>
          <w:p w14:paraId="64688BB8">
            <w:pPr>
              <w:shd w:val="clear" w:color="auto" w:fill="auto"/>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r>
      <w:tr w14:paraId="478A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E59CE0B">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w:t>
            </w:r>
            <w:r>
              <w:rPr>
                <w:rFonts w:hint="eastAsia" w:asciiTheme="minorEastAsia" w:hAnsiTheme="minorEastAsia" w:eastAsiaTheme="minorEastAsia" w:cstheme="minorEastAsia"/>
                <w:color w:val="auto"/>
                <w:szCs w:val="21"/>
                <w:highlight w:val="none"/>
                <w:lang w:eastAsia="zh-CN"/>
              </w:rPr>
              <w:t>亿元</w:t>
            </w:r>
            <w:r>
              <w:rPr>
                <w:rFonts w:hint="eastAsia" w:asciiTheme="minorEastAsia" w:hAnsiTheme="minorEastAsia" w:eastAsiaTheme="minorEastAsia" w:cstheme="minorEastAsia"/>
                <w:color w:val="auto"/>
                <w:szCs w:val="21"/>
                <w:highlight w:val="none"/>
              </w:rPr>
              <w:t>以上</w:t>
            </w:r>
          </w:p>
        </w:tc>
        <w:tc>
          <w:tcPr>
            <w:tcW w:w="1659" w:type="dxa"/>
            <w:noWrap w:val="0"/>
            <w:vAlign w:val="top"/>
          </w:tcPr>
          <w:p w14:paraId="61CC997E">
            <w:pPr>
              <w:shd w:val="clear" w:color="auto" w:fill="auto"/>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0.004%</w:t>
            </w:r>
          </w:p>
        </w:tc>
        <w:tc>
          <w:tcPr>
            <w:tcW w:w="1532" w:type="dxa"/>
            <w:noWrap w:val="0"/>
            <w:vAlign w:val="top"/>
          </w:tcPr>
          <w:p w14:paraId="6EC4885B">
            <w:pPr>
              <w:shd w:val="clear" w:color="auto" w:fill="auto"/>
              <w:spacing w:line="360" w:lineRule="auto"/>
              <w:ind w:firstLine="210" w:firstLineChars="1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c>
          <w:tcPr>
            <w:tcW w:w="1546" w:type="dxa"/>
            <w:noWrap w:val="0"/>
            <w:vAlign w:val="top"/>
          </w:tcPr>
          <w:p w14:paraId="41099BDA">
            <w:pPr>
              <w:shd w:val="clear" w:color="auto" w:fill="auto"/>
              <w:spacing w:line="360" w:lineRule="auto"/>
              <w:ind w:firstLine="105" w:firstLineChars="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r>
    </w:tbl>
    <w:p w14:paraId="01E16847">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14:paraId="4CA6F507">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（1）按本表费率计算的收费为采购代理的收费基准价格；</w:t>
      </w:r>
    </w:p>
    <w:p w14:paraId="266C586A">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（2）采购代理收费按差额定率累进法计算。</w:t>
      </w:r>
    </w:p>
    <w:p w14:paraId="38BB3293">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例如：某工程项目采购代理业务成交金额为150万元，计算采购代理收费额如下：</w:t>
      </w:r>
    </w:p>
    <w:p w14:paraId="0802122F">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100 万元 ×l.0 %＝ 1.0万元</w:t>
      </w:r>
    </w:p>
    <w:p w14:paraId="1BF3A38C">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150-100 ）万元 ×0.7%＝ 0.35万元</w:t>
      </w:r>
    </w:p>
    <w:p w14:paraId="41BD4221">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合计收费＝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 xml:space="preserve">1.0 + 0.35 </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×（1-20%）</w:t>
      </w:r>
      <w:r>
        <w:rPr>
          <w:rFonts w:hint="eastAsia" w:asciiTheme="minorEastAsia" w:hAnsiTheme="minorEastAsia" w:eastAsiaTheme="minorEastAsia" w:cstheme="minorEastAsia"/>
          <w:color w:val="auto"/>
          <w:highlight w:val="none"/>
        </w:rPr>
        <w:t>＝ 1.</w:t>
      </w:r>
      <w:r>
        <w:rPr>
          <w:rFonts w:hint="eastAsia" w:asciiTheme="minorEastAsia" w:hAnsiTheme="minorEastAsia" w:eastAsiaTheme="minorEastAsia" w:cstheme="minorEastAsia"/>
          <w:color w:val="auto"/>
          <w:highlight w:val="none"/>
          <w:lang w:val="en-US" w:eastAsia="zh-CN"/>
        </w:rPr>
        <w:t>08</w:t>
      </w:r>
      <w:r>
        <w:rPr>
          <w:rFonts w:hint="eastAsia" w:asciiTheme="minorEastAsia" w:hAnsiTheme="minorEastAsia" w:eastAsiaTheme="minorEastAsia" w:cstheme="minorEastAsia"/>
          <w:color w:val="auto"/>
          <w:highlight w:val="none"/>
        </w:rPr>
        <w:t xml:space="preserve"> 万元</w:t>
      </w:r>
    </w:p>
    <w:p w14:paraId="099B348F">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33.需要补充的其他内容</w:t>
      </w:r>
    </w:p>
    <w:p w14:paraId="283E697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33.1本</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文件解释规则详见“供应商须知前附表”。</w:t>
      </w:r>
    </w:p>
    <w:p w14:paraId="2E375387">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33.2 其他事项详见“供应商须知前附表”。</w:t>
      </w:r>
    </w:p>
    <w:p w14:paraId="612CEA80">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33.3 本采购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采购文件规定的中小企业扶持政策：</w:t>
      </w:r>
    </w:p>
    <w:p w14:paraId="231186B9">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（1）在货物采购项目中，货物由中小企业制造，即货物由中小企业生产且使用该中小企业商号或者注册商标，不对其中涉及的工程承建商和服务的承接商作出要求；</w:t>
      </w:r>
    </w:p>
    <w:p w14:paraId="152AB168">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（2）在工程采购项目中，工程由中小企业承建，即工程施工单位为中小企业，不对其中涉及的货物的制造商和服务的承接商作出要求</w:t>
      </w:r>
      <w:r>
        <w:rPr>
          <w:rFonts w:hint="eastAsia" w:asciiTheme="minorEastAsia" w:hAnsiTheme="minorEastAsia" w:eastAsiaTheme="minorEastAsia" w:cstheme="minorEastAsia"/>
          <w:color w:val="auto"/>
          <w:highlight w:val="none"/>
          <w:lang w:val="en-US" w:eastAsia="zh-CN"/>
        </w:rPr>
        <w:t>；</w:t>
      </w:r>
    </w:p>
    <w:p w14:paraId="5173768A">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（3）在服务采购项目中，服务由中小企业承接，即提供服务的人员为中小企业依照《中华人民共和国劳动民法典》订立劳动合同的从业人员，不对其中涉及的货物的制造商和工程承建商作出要求。</w:t>
      </w:r>
    </w:p>
    <w:p w14:paraId="717A927D">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在货物采购项目中，供应商提供的货物既有中小企业制造货物，也有大型企业制造货物的，不享受本采购文件规定的中小企业扶持政策。 以联合体形式参加政府采购活动，联合体各方均为中小企业的，联合体视同中小企业。其中，联合体各方均为小微企业的，联合体视同小微企业。</w:t>
      </w:r>
    </w:p>
    <w:p w14:paraId="4ADDE37E">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依据本采购文件规定享受扶持政策获得政府采购合同的，小微企业不得将合同分包给大中型企业，中</w:t>
      </w:r>
      <w:bookmarkStart w:id="132" w:name="bookmark3"/>
      <w:bookmarkEnd w:id="132"/>
      <w:r>
        <w:rPr>
          <w:rFonts w:hint="eastAsia" w:asciiTheme="minorEastAsia" w:hAnsiTheme="minorEastAsia" w:eastAsiaTheme="minorEastAsia" w:cstheme="minorEastAsia"/>
          <w:color w:val="auto"/>
          <w:highlight w:val="none"/>
          <w:lang w:val="en-US" w:eastAsia="zh-CN"/>
        </w:rPr>
        <w:t>型企业不得将合同分包给大型企业。</w:t>
      </w:r>
    </w:p>
    <w:p w14:paraId="4E3FFC34">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highlight w:val="none"/>
          <w:lang w:val="en-US" w:eastAsia="zh-CN"/>
        </w:rPr>
      </w:pPr>
    </w:p>
    <w:p w14:paraId="57C4572C">
      <w:pPr>
        <w:pStyle w:val="2"/>
        <w:numPr>
          <w:ilvl w:val="0"/>
          <w:numId w:val="0"/>
        </w:numPr>
        <w:shd w:val="clear" w:color="auto" w:fill="auto"/>
        <w:spacing w:line="360" w:lineRule="auto"/>
        <w:jc w:val="center"/>
        <w:rPr>
          <w:rFonts w:hint="eastAsia" w:asciiTheme="minorEastAsia" w:hAnsiTheme="minorEastAsia" w:eastAsiaTheme="minorEastAsia" w:cstheme="minorEastAsia"/>
          <w:b/>
          <w:color w:val="auto"/>
          <w:kern w:val="44"/>
          <w:sz w:val="44"/>
          <w:szCs w:val="24"/>
          <w:highlight w:val="none"/>
          <w:lang w:val="en-US" w:eastAsia="zh-CN" w:bidi="ar-SA"/>
        </w:rPr>
      </w:pPr>
      <w:r>
        <w:rPr>
          <w:rFonts w:hint="eastAsia" w:asciiTheme="minorEastAsia" w:hAnsiTheme="minorEastAsia" w:eastAsiaTheme="minorEastAsia" w:cstheme="minorEastAsia"/>
          <w:b w:val="0"/>
          <w:color w:val="auto"/>
          <w:highlight w:val="none"/>
        </w:rPr>
        <w:br w:type="page"/>
      </w:r>
      <w:bookmarkStart w:id="133" w:name="_Toc44229895"/>
      <w:bookmarkStart w:id="134" w:name="_Toc13931"/>
      <w:r>
        <w:rPr>
          <w:rFonts w:hint="eastAsia" w:asciiTheme="minorEastAsia" w:hAnsiTheme="minorEastAsia" w:eastAsiaTheme="minorEastAsia" w:cstheme="minorEastAsia"/>
          <w:b/>
          <w:color w:val="auto"/>
          <w:kern w:val="44"/>
          <w:sz w:val="44"/>
          <w:szCs w:val="24"/>
          <w:highlight w:val="none"/>
          <w:lang w:val="en-US" w:eastAsia="zh-CN" w:bidi="ar-SA"/>
        </w:rPr>
        <w:t>第三章  采购需求</w:t>
      </w:r>
      <w:bookmarkEnd w:id="133"/>
      <w:bookmarkEnd w:id="134"/>
    </w:p>
    <w:p w14:paraId="46DD2CA7">
      <w:pPr>
        <w:shd w:val="clear" w:color="auto" w:fill="auto"/>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说明：</w:t>
      </w:r>
    </w:p>
    <w:p w14:paraId="4B4F5BD4">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采购需求中如出现品牌、型号或者生产厂家等均仅起参考作用，不属于指定品牌、型号或者生产厂家的情形，供应商可参照或者选用其他相当的品牌、型号或者生产供应商替代。但供应商的产品实质上应相当于或优于本需求中的技术要求。</w:t>
      </w:r>
    </w:p>
    <w:p w14:paraId="6ED9CA5B">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、根据《财政部 发展改革委 生态环境部 市场监管总局关于调整优化节能产品、环境标志产品政府采购执行机制的通知》（财库〔2019〕9  号）和《关于印发节能产品政府采购品目清单的通知》（财库〔2019〕 19  号）的规定，采购需求中如有货物产品，且货物产品属于节能产品政府采购品目清单内标注“★ ”的（详见本章后附的节能产品政府采购品目清单） ，供应商的竞标货物必须使用政府强制采购的节能产品，否则响应文件作无效响应处理。</w:t>
      </w:r>
    </w:p>
    <w:p w14:paraId="165B6DD9">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3、如供应商竞标产品存在侵犯他人的知识产权或者专利成果行为的，由供应商自行承担相应法律责任。</w:t>
      </w:r>
    </w:p>
    <w:p w14:paraId="569BF9A6">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 、“实质性要求 ”是指竞争性谈判文件中已经指明不满足则响应无效的条款，或者不能负偏离的条款，或者采购需求中带“▲ ”的条款。</w:t>
      </w:r>
    </w:p>
    <w:p w14:paraId="0C0F5631">
      <w:pPr>
        <w:numPr>
          <w:ilvl w:val="0"/>
          <w:numId w:val="4"/>
        </w:numPr>
        <w:shd w:val="clear" w:color="auto" w:fill="auto"/>
        <w:spacing w:line="360" w:lineRule="auto"/>
        <w:ind w:firstLine="422" w:firstLineChars="200"/>
        <w:jc w:val="left"/>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所属行业：建筑行业。</w:t>
      </w:r>
    </w:p>
    <w:p w14:paraId="53C0480C">
      <w:pPr>
        <w:numPr>
          <w:ilvl w:val="0"/>
          <w:numId w:val="0"/>
        </w:num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lang w:val="en-US" w:eastAsia="zh-CN"/>
        </w:rPr>
      </w:pPr>
      <w:r>
        <w:rPr>
          <w:rFonts w:hint="eastAsia" w:asciiTheme="minorEastAsia" w:hAnsiTheme="minorEastAsia" w:eastAsiaTheme="minorEastAsia" w:cstheme="minorEastAsia"/>
          <w:b/>
          <w:bCs/>
          <w:color w:val="auto"/>
          <w:sz w:val="32"/>
          <w:szCs w:val="32"/>
          <w:highlight w:val="none"/>
          <w:lang w:val="en-US" w:eastAsia="zh-CN"/>
        </w:rPr>
        <w:t>项目需求一览表</w:t>
      </w: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9"/>
        <w:gridCol w:w="1114"/>
        <w:gridCol w:w="955"/>
        <w:gridCol w:w="7180"/>
      </w:tblGrid>
      <w:tr w14:paraId="371AF8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28" w:type="dxa"/>
            <w:gridSpan w:val="4"/>
            <w:tcBorders>
              <w:top w:val="single" w:color="auto" w:sz="4" w:space="0"/>
              <w:left w:val="single" w:color="auto" w:sz="4" w:space="0"/>
              <w:bottom w:val="single" w:color="auto" w:sz="4" w:space="0"/>
              <w:right w:val="single" w:color="auto" w:sz="4" w:space="0"/>
            </w:tcBorders>
            <w:noWrap w:val="0"/>
            <w:vAlign w:val="top"/>
          </w:tcPr>
          <w:p w14:paraId="077E8577">
            <w:pPr>
              <w:bidi w:val="0"/>
              <w:spacing w:line="360" w:lineRule="auto"/>
              <w:rPr>
                <w:rFonts w:hint="eastAsia" w:asciiTheme="minorEastAsia" w:hAnsiTheme="minorEastAsia" w:eastAsiaTheme="minorEastAsia" w:cstheme="minorEastAsia"/>
                <w:color w:val="auto"/>
                <w:sz w:val="21"/>
                <w:szCs w:val="21"/>
                <w:highlight w:val="none"/>
                <w:lang w:eastAsia="zh-CN"/>
              </w:rPr>
            </w:pPr>
            <w:bookmarkStart w:id="135" w:name="_Toc11197"/>
            <w:bookmarkStart w:id="136" w:name="_Toc13904"/>
            <w:bookmarkStart w:id="137" w:name="_Toc23351"/>
            <w:bookmarkStart w:id="138" w:name="_Toc15832"/>
            <w:bookmarkStart w:id="139" w:name="_Toc24212"/>
            <w:r>
              <w:rPr>
                <w:rFonts w:hint="eastAsia" w:asciiTheme="minorEastAsia" w:hAnsiTheme="minorEastAsia" w:eastAsiaTheme="minorEastAsia" w:cstheme="minorEastAsia"/>
                <w:b/>
                <w:bCs/>
                <w:color w:val="auto"/>
                <w:sz w:val="24"/>
                <w:szCs w:val="24"/>
                <w:highlight w:val="none"/>
              </w:rPr>
              <w:t>一、项目</w:t>
            </w:r>
            <w:bookmarkEnd w:id="135"/>
            <w:r>
              <w:rPr>
                <w:rFonts w:hint="eastAsia" w:asciiTheme="minorEastAsia" w:hAnsiTheme="minorEastAsia" w:eastAsiaTheme="minorEastAsia" w:cstheme="minorEastAsia"/>
                <w:b/>
                <w:bCs/>
                <w:color w:val="auto"/>
                <w:sz w:val="24"/>
                <w:szCs w:val="24"/>
                <w:highlight w:val="none"/>
                <w:lang w:val="en-US" w:eastAsia="zh-CN"/>
              </w:rPr>
              <w:t>需求</w:t>
            </w:r>
            <w:bookmarkEnd w:id="136"/>
            <w:bookmarkEnd w:id="137"/>
            <w:bookmarkEnd w:id="138"/>
            <w:bookmarkEnd w:id="139"/>
          </w:p>
        </w:tc>
      </w:tr>
      <w:tr w14:paraId="1D3C6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79" w:type="dxa"/>
            <w:tcBorders>
              <w:top w:val="single" w:color="auto" w:sz="4" w:space="0"/>
              <w:left w:val="single" w:color="auto" w:sz="4" w:space="0"/>
              <w:bottom w:val="single" w:color="auto" w:sz="4" w:space="0"/>
              <w:right w:val="single" w:color="auto" w:sz="4" w:space="0"/>
            </w:tcBorders>
            <w:noWrap w:val="0"/>
            <w:vAlign w:val="center"/>
          </w:tcPr>
          <w:p w14:paraId="3496EDD5">
            <w:pPr>
              <w:bidi w:val="0"/>
              <w:spacing w:line="360" w:lineRule="auto"/>
              <w:rPr>
                <w:rFonts w:hint="eastAsia" w:asciiTheme="minorEastAsia" w:hAnsiTheme="minorEastAsia" w:eastAsiaTheme="minorEastAsia" w:cstheme="minorEastAsia"/>
                <w:color w:val="auto"/>
                <w:sz w:val="21"/>
                <w:szCs w:val="21"/>
                <w:highlight w:val="none"/>
              </w:rPr>
            </w:pPr>
            <w:bookmarkStart w:id="140" w:name="_Toc625"/>
            <w:bookmarkStart w:id="141" w:name="_Toc3063"/>
            <w:bookmarkStart w:id="142" w:name="_Toc13034"/>
            <w:bookmarkStart w:id="143" w:name="_Toc15347"/>
            <w:bookmarkStart w:id="144" w:name="_Toc24419"/>
            <w:r>
              <w:rPr>
                <w:rFonts w:hint="eastAsia" w:asciiTheme="minorEastAsia" w:hAnsiTheme="minorEastAsia" w:eastAsiaTheme="minorEastAsia" w:cstheme="minorEastAsia"/>
                <w:color w:val="auto"/>
                <w:sz w:val="21"/>
                <w:szCs w:val="21"/>
                <w:highlight w:val="none"/>
              </w:rPr>
              <w:t>序号</w:t>
            </w:r>
            <w:bookmarkEnd w:id="140"/>
            <w:bookmarkEnd w:id="141"/>
            <w:bookmarkEnd w:id="142"/>
            <w:bookmarkEnd w:id="143"/>
            <w:bookmarkEnd w:id="144"/>
          </w:p>
        </w:tc>
        <w:tc>
          <w:tcPr>
            <w:tcW w:w="1114" w:type="dxa"/>
            <w:tcBorders>
              <w:top w:val="single" w:color="auto" w:sz="4" w:space="0"/>
              <w:left w:val="single" w:color="auto" w:sz="4" w:space="0"/>
              <w:bottom w:val="single" w:color="auto" w:sz="4" w:space="0"/>
              <w:right w:val="single" w:color="auto" w:sz="4" w:space="0"/>
            </w:tcBorders>
            <w:noWrap w:val="0"/>
            <w:vAlign w:val="center"/>
          </w:tcPr>
          <w:p w14:paraId="1F6A5D52">
            <w:pPr>
              <w:bidi w:val="0"/>
              <w:spacing w:line="360" w:lineRule="auto"/>
              <w:rPr>
                <w:rFonts w:hint="eastAsia" w:asciiTheme="minorEastAsia" w:hAnsiTheme="minorEastAsia" w:eastAsiaTheme="minorEastAsia" w:cstheme="minorEastAsia"/>
                <w:color w:val="auto"/>
                <w:sz w:val="21"/>
                <w:szCs w:val="21"/>
                <w:highlight w:val="none"/>
              </w:rPr>
            </w:pPr>
            <w:bookmarkStart w:id="145" w:name="_Toc17206"/>
            <w:bookmarkStart w:id="146" w:name="_Toc22549"/>
            <w:bookmarkStart w:id="147" w:name="_Toc27198"/>
            <w:bookmarkStart w:id="148" w:name="_Toc16054"/>
            <w:bookmarkStart w:id="149" w:name="_Toc19980"/>
            <w:r>
              <w:rPr>
                <w:rFonts w:hint="eastAsia" w:asciiTheme="minorEastAsia" w:hAnsiTheme="minorEastAsia" w:eastAsiaTheme="minorEastAsia" w:cstheme="minorEastAsia"/>
                <w:color w:val="auto"/>
                <w:sz w:val="21"/>
                <w:szCs w:val="21"/>
                <w:highlight w:val="none"/>
                <w:lang w:val="en-US" w:eastAsia="zh-CN"/>
              </w:rPr>
              <w:t>标的</w:t>
            </w:r>
            <w:r>
              <w:rPr>
                <w:rFonts w:hint="eastAsia" w:asciiTheme="minorEastAsia" w:hAnsiTheme="minorEastAsia" w:eastAsiaTheme="minorEastAsia" w:cstheme="minorEastAsia"/>
                <w:color w:val="auto"/>
                <w:sz w:val="21"/>
                <w:szCs w:val="21"/>
                <w:highlight w:val="none"/>
              </w:rPr>
              <w:t>名称</w:t>
            </w:r>
            <w:bookmarkEnd w:id="145"/>
            <w:bookmarkEnd w:id="146"/>
            <w:bookmarkEnd w:id="147"/>
            <w:bookmarkEnd w:id="148"/>
            <w:bookmarkEnd w:id="149"/>
          </w:p>
        </w:tc>
        <w:tc>
          <w:tcPr>
            <w:tcW w:w="955" w:type="dxa"/>
            <w:tcBorders>
              <w:top w:val="single" w:color="auto" w:sz="4" w:space="0"/>
              <w:left w:val="single" w:color="auto" w:sz="4" w:space="0"/>
              <w:bottom w:val="single" w:color="auto" w:sz="4" w:space="0"/>
              <w:right w:val="single" w:color="auto" w:sz="4" w:space="0"/>
            </w:tcBorders>
            <w:noWrap w:val="0"/>
            <w:vAlign w:val="center"/>
          </w:tcPr>
          <w:p w14:paraId="14C016E0">
            <w:pPr>
              <w:bidi w:val="0"/>
              <w:spacing w:line="360" w:lineRule="auto"/>
              <w:rPr>
                <w:rFonts w:hint="eastAsia" w:asciiTheme="minorEastAsia" w:hAnsiTheme="minorEastAsia" w:eastAsiaTheme="minorEastAsia" w:cstheme="minorEastAsia"/>
                <w:color w:val="auto"/>
                <w:sz w:val="21"/>
                <w:szCs w:val="21"/>
                <w:highlight w:val="none"/>
              </w:rPr>
            </w:pPr>
            <w:bookmarkStart w:id="150" w:name="_Toc16492"/>
            <w:bookmarkStart w:id="151" w:name="_Toc17919"/>
            <w:bookmarkStart w:id="152" w:name="_Toc12692"/>
            <w:bookmarkStart w:id="153" w:name="_Toc13727"/>
            <w:bookmarkStart w:id="154" w:name="_Toc31365"/>
            <w:r>
              <w:rPr>
                <w:rFonts w:hint="eastAsia" w:asciiTheme="minorEastAsia" w:hAnsiTheme="minorEastAsia" w:eastAsiaTheme="minorEastAsia" w:cstheme="minorEastAsia"/>
                <w:color w:val="auto"/>
                <w:sz w:val="21"/>
                <w:szCs w:val="21"/>
                <w:highlight w:val="none"/>
              </w:rPr>
              <w:t>数量</w:t>
            </w:r>
            <w:bookmarkEnd w:id="150"/>
            <w:bookmarkEnd w:id="151"/>
            <w:bookmarkEnd w:id="152"/>
            <w:bookmarkEnd w:id="153"/>
            <w:bookmarkEnd w:id="154"/>
            <w:r>
              <w:rPr>
                <w:rFonts w:hint="eastAsia" w:asciiTheme="minorEastAsia" w:hAnsiTheme="minorEastAsia" w:eastAsiaTheme="minorEastAsia" w:cstheme="minorEastAsia"/>
                <w:spacing w:val="6"/>
                <w:sz w:val="21"/>
                <w:szCs w:val="21"/>
                <w:highlight w:val="none"/>
              </w:rPr>
              <w:t>及</w:t>
            </w:r>
            <w:r>
              <w:rPr>
                <w:rFonts w:hint="eastAsia" w:asciiTheme="minorEastAsia" w:hAnsiTheme="minorEastAsia" w:eastAsiaTheme="minorEastAsia" w:cstheme="minorEastAsia"/>
                <w:spacing w:val="3"/>
                <w:sz w:val="21"/>
                <w:szCs w:val="21"/>
                <w:highlight w:val="none"/>
              </w:rPr>
              <w:t>单位</w:t>
            </w:r>
          </w:p>
        </w:tc>
        <w:tc>
          <w:tcPr>
            <w:tcW w:w="7180" w:type="dxa"/>
            <w:tcBorders>
              <w:top w:val="single" w:color="auto" w:sz="4" w:space="0"/>
              <w:left w:val="single" w:color="auto" w:sz="4" w:space="0"/>
              <w:bottom w:val="single" w:color="auto" w:sz="4" w:space="0"/>
              <w:right w:val="single" w:color="auto" w:sz="4" w:space="0"/>
            </w:tcBorders>
            <w:noWrap w:val="0"/>
            <w:vAlign w:val="center"/>
          </w:tcPr>
          <w:p w14:paraId="17885CFC">
            <w:pPr>
              <w:bidi w:val="0"/>
              <w:spacing w:line="360" w:lineRule="auto"/>
              <w:jc w:val="center"/>
              <w:rPr>
                <w:rFonts w:hint="eastAsia" w:asciiTheme="minorEastAsia" w:hAnsiTheme="minorEastAsia" w:eastAsiaTheme="minorEastAsia" w:cstheme="minorEastAsia"/>
                <w:color w:val="auto"/>
                <w:sz w:val="21"/>
                <w:szCs w:val="21"/>
                <w:highlight w:val="none"/>
              </w:rPr>
            </w:pPr>
            <w:bookmarkStart w:id="155" w:name="_Toc4200"/>
            <w:bookmarkStart w:id="156" w:name="_Toc12804"/>
            <w:bookmarkStart w:id="157" w:name="_Toc31851"/>
            <w:bookmarkStart w:id="158" w:name="_Toc25768"/>
            <w:bookmarkStart w:id="159" w:name="_Toc24722"/>
            <w:r>
              <w:rPr>
                <w:rFonts w:hint="eastAsia" w:asciiTheme="minorEastAsia" w:hAnsiTheme="minorEastAsia" w:eastAsiaTheme="minorEastAsia" w:cstheme="minorEastAsia"/>
                <w:color w:val="auto"/>
                <w:sz w:val="21"/>
                <w:szCs w:val="21"/>
                <w:highlight w:val="none"/>
                <w:lang w:val="en-US" w:eastAsia="zh-CN"/>
              </w:rPr>
              <w:t>采购</w:t>
            </w:r>
            <w:r>
              <w:rPr>
                <w:rFonts w:hint="eastAsia" w:asciiTheme="minorEastAsia" w:hAnsiTheme="minorEastAsia" w:eastAsiaTheme="minorEastAsia" w:cstheme="minorEastAsia"/>
                <w:color w:val="auto"/>
                <w:sz w:val="21"/>
                <w:szCs w:val="21"/>
                <w:highlight w:val="none"/>
              </w:rPr>
              <w:t>内容和要求</w:t>
            </w:r>
            <w:bookmarkEnd w:id="155"/>
            <w:r>
              <w:rPr>
                <w:rFonts w:hint="eastAsia" w:asciiTheme="minorEastAsia" w:hAnsiTheme="minorEastAsia" w:eastAsiaTheme="minorEastAsia" w:cstheme="minorEastAsia"/>
                <w:color w:val="auto"/>
                <w:sz w:val="21"/>
                <w:szCs w:val="21"/>
                <w:highlight w:val="none"/>
              </w:rPr>
              <w:t>（技术要求）</w:t>
            </w:r>
            <w:bookmarkEnd w:id="156"/>
            <w:bookmarkEnd w:id="157"/>
            <w:bookmarkEnd w:id="158"/>
            <w:bookmarkEnd w:id="159"/>
          </w:p>
        </w:tc>
      </w:tr>
      <w:tr w14:paraId="60E88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379" w:type="dxa"/>
            <w:tcBorders>
              <w:left w:val="single" w:color="auto" w:sz="4" w:space="0"/>
              <w:bottom w:val="single" w:color="auto" w:sz="4" w:space="0"/>
              <w:right w:val="single" w:color="auto" w:sz="4" w:space="0"/>
            </w:tcBorders>
            <w:noWrap w:val="0"/>
            <w:vAlign w:val="center"/>
          </w:tcPr>
          <w:p w14:paraId="3DAEB221">
            <w:pPr>
              <w:bidi w:val="0"/>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114" w:type="dxa"/>
            <w:tcBorders>
              <w:left w:val="single" w:color="auto" w:sz="4" w:space="0"/>
              <w:bottom w:val="single" w:color="auto" w:sz="4" w:space="0"/>
              <w:right w:val="single" w:color="auto" w:sz="4" w:space="0"/>
            </w:tcBorders>
            <w:noWrap w:val="0"/>
            <w:vAlign w:val="center"/>
          </w:tcPr>
          <w:p w14:paraId="02B56FBC">
            <w:pPr>
              <w:bidi w:val="0"/>
              <w:spacing w:line="36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 xml:space="preserve">广西壮族自治区人民医院视光中心楼负一、一层高压氧科氧舱设备更新土建设计工程 </w:t>
            </w:r>
          </w:p>
        </w:tc>
        <w:tc>
          <w:tcPr>
            <w:tcW w:w="955" w:type="dxa"/>
            <w:tcBorders>
              <w:left w:val="single" w:color="auto" w:sz="4" w:space="0"/>
              <w:bottom w:val="single" w:color="auto" w:sz="4" w:space="0"/>
              <w:right w:val="single" w:color="auto" w:sz="4" w:space="0"/>
            </w:tcBorders>
            <w:noWrap w:val="0"/>
            <w:vAlign w:val="center"/>
          </w:tcPr>
          <w:p w14:paraId="4C6DE279">
            <w:pPr>
              <w:bidi w:val="0"/>
              <w:spacing w:line="360" w:lineRule="auto"/>
              <w:jc w:val="center"/>
              <w:rPr>
                <w:rFonts w:hint="eastAsia" w:asciiTheme="minorEastAsia" w:hAnsiTheme="minorEastAsia" w:eastAsiaTheme="minorEastAsia" w:cstheme="minorEastAsia"/>
                <w:color w:val="auto"/>
                <w:sz w:val="21"/>
                <w:szCs w:val="21"/>
                <w:highlight w:val="none"/>
                <w:lang w:val="en-US" w:eastAsia="zh-CN"/>
              </w:rPr>
            </w:pPr>
            <w:bookmarkStart w:id="160" w:name="_Toc1803"/>
            <w:bookmarkStart w:id="161" w:name="_Toc31826"/>
            <w:bookmarkStart w:id="162" w:name="_Toc5997"/>
            <w:bookmarkStart w:id="163" w:name="_Toc25724"/>
            <w:r>
              <w:rPr>
                <w:rFonts w:hint="eastAsia" w:asciiTheme="minorEastAsia" w:hAnsiTheme="minorEastAsia" w:eastAsiaTheme="minorEastAsia" w:cstheme="minorEastAsia"/>
                <w:color w:val="auto"/>
                <w:sz w:val="21"/>
                <w:szCs w:val="21"/>
                <w:highlight w:val="none"/>
                <w:lang w:val="en-US" w:eastAsia="zh-CN"/>
              </w:rPr>
              <w:t>1项</w:t>
            </w:r>
            <w:bookmarkEnd w:id="160"/>
            <w:bookmarkEnd w:id="161"/>
            <w:bookmarkEnd w:id="162"/>
            <w:bookmarkEnd w:id="163"/>
          </w:p>
        </w:tc>
        <w:tc>
          <w:tcPr>
            <w:tcW w:w="7180" w:type="dxa"/>
            <w:tcBorders>
              <w:top w:val="single" w:color="auto" w:sz="4" w:space="0"/>
              <w:left w:val="single" w:color="auto" w:sz="4" w:space="0"/>
              <w:right w:val="single" w:color="auto" w:sz="4" w:space="0"/>
            </w:tcBorders>
            <w:noWrap w:val="0"/>
            <w:vAlign w:val="center"/>
          </w:tcPr>
          <w:p w14:paraId="239E20CA">
            <w:pPr>
              <w:numPr>
                <w:ilvl w:val="0"/>
                <w:numId w:val="0"/>
              </w:numPr>
              <w:bidi w:val="0"/>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 、项目建设内容及规模： 本工程为广西壮族自治区人民医院视光中心楼负一、一层高压氧科氧舱设备更新土建设计工程，建设地点为广西壮族自治区南宁市。建筑面积及层高：设计范围面积约583㎡，高度3.6m；编制范围主要包含：室内装饰装修、净化空调及其自动控制系统、舒适性空调系统、给排水系统、供电照明系统等图纸范围所有工程，具体以施工图纸及工程量清单、技术任务书包含的全部工作内容为准。</w:t>
            </w:r>
          </w:p>
          <w:p w14:paraId="0BD6A215">
            <w:pPr>
              <w:numPr>
                <w:ilvl w:val="0"/>
                <w:numId w:val="0"/>
              </w:numPr>
              <w:bidi w:val="0"/>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▲2 、质量要求：符合国家现行的工程建设标准、技术规范及强制性标准条文、以及施工图纸载明的其他有关规范标准。</w:t>
            </w:r>
          </w:p>
          <w:p w14:paraId="32F73E8F">
            <w:pPr>
              <w:numPr>
                <w:ilvl w:val="0"/>
                <w:numId w:val="0"/>
              </w:numPr>
              <w:bidi w:val="0"/>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3 、施工组织设计：竞标人应根据设计施工图纸、工程量清单进行编制施工组织设计，包含主要施工方法、拟投入的主要物资计划、劳动力安排计划、确保工程质量的技术组织措施、确保安全生产的技术组织措施、确保工期的技术组织措施、确保文明施工的技术组织措施等内容。</w:t>
            </w:r>
          </w:p>
          <w:p w14:paraId="1F62171F">
            <w:pPr>
              <w:numPr>
                <w:ilvl w:val="0"/>
                <w:numId w:val="0"/>
              </w:numPr>
              <w:bidi w:val="0"/>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▲4 、人员要求：</w:t>
            </w:r>
          </w:p>
          <w:p w14:paraId="2AB5A6A9">
            <w:pPr>
              <w:numPr>
                <w:ilvl w:val="0"/>
                <w:numId w:val="0"/>
              </w:numPr>
              <w:bidi w:val="0"/>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（1）项目经理：具备建筑工程专业贰级以上（含贰级）注册建造师证书，并持有效的安全生产考核合格证书（B证），需在响应文件中提供竞标人与上述人员签订有效的劳动合同或其他在职证明材料。</w:t>
            </w:r>
          </w:p>
          <w:p w14:paraId="6413EE5B">
            <w:pPr>
              <w:numPr>
                <w:ilvl w:val="0"/>
                <w:numId w:val="0"/>
              </w:numPr>
              <w:bidi w:val="0"/>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（2）安全员：具备有效的安全生产考核合格证书（C 类） ，需在响应文件中提供竞标人与上述人员签订有效的劳动合同或其他在职证明材料。</w:t>
            </w:r>
          </w:p>
          <w:p w14:paraId="3F7837AB">
            <w:pPr>
              <w:numPr>
                <w:ilvl w:val="0"/>
                <w:numId w:val="0"/>
              </w:numPr>
              <w:bidi w:val="0"/>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（3）施工员、质量员、材料员：具有相应施工现场专业人员职业培训合格证书并在有效期内，需在响应文件中提供竞标人与上述人员签订有效的劳动合同或其他在职证明材料。</w:t>
            </w:r>
          </w:p>
          <w:p w14:paraId="3B96E522">
            <w:pPr>
              <w:numPr>
                <w:ilvl w:val="0"/>
                <w:numId w:val="0"/>
              </w:numPr>
              <w:bidi w:val="0"/>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5 、技术标准：符合现行国家相关标准、行业标准、地方标准或者其他标准、规范。</w:t>
            </w:r>
          </w:p>
          <w:p w14:paraId="097B707A">
            <w:pPr>
              <w:numPr>
                <w:ilvl w:val="0"/>
                <w:numId w:val="0"/>
              </w:numPr>
              <w:bidi w:val="0"/>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6 、合同签订后，供应商必须在施工现场入口处公示工程名称、施工时间和消防责任人，并在明显位置将安全管理制度、施工机械操作规程、安全警示标志、消防报警电话、医院消控室报警电话、消防应急疏散路线图、施工进度计划、施工日志、特种作业人员证件、安全教育记录，张贴上墙，并经采购人代表验收合格。</w:t>
            </w:r>
          </w:p>
        </w:tc>
      </w:tr>
      <w:tr w14:paraId="13999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9628" w:type="dxa"/>
            <w:gridSpan w:val="4"/>
            <w:tcBorders>
              <w:top w:val="single" w:color="auto" w:sz="4" w:space="0"/>
              <w:left w:val="single" w:color="auto" w:sz="4" w:space="0"/>
              <w:bottom w:val="single" w:color="auto" w:sz="4" w:space="0"/>
              <w:right w:val="single" w:color="auto" w:sz="4" w:space="0"/>
            </w:tcBorders>
            <w:noWrap w:val="0"/>
            <w:vAlign w:val="center"/>
          </w:tcPr>
          <w:p w14:paraId="06EC1E75">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kern w:val="2"/>
                <w:sz w:val="24"/>
                <w:szCs w:val="24"/>
                <w:highlight w:val="none"/>
                <w:lang w:val="en-US" w:eastAsia="zh-CN" w:bidi="ar-SA"/>
              </w:rPr>
              <w:t>二、</w:t>
            </w:r>
            <w:r>
              <w:rPr>
                <w:rFonts w:hint="eastAsia" w:asciiTheme="minorEastAsia" w:hAnsiTheme="minorEastAsia" w:eastAsiaTheme="minorEastAsia" w:cstheme="minorEastAsia"/>
                <w:b/>
                <w:bCs/>
                <w:color w:val="auto"/>
                <w:sz w:val="24"/>
                <w:szCs w:val="24"/>
                <w:highlight w:val="none"/>
                <w:lang w:val="en-US" w:eastAsia="zh-CN"/>
              </w:rPr>
              <w:t>商务要求</w:t>
            </w:r>
          </w:p>
        </w:tc>
      </w:tr>
      <w:tr w14:paraId="65A862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9628" w:type="dxa"/>
            <w:gridSpan w:val="4"/>
            <w:tcBorders>
              <w:top w:val="single" w:color="auto" w:sz="4" w:space="0"/>
              <w:left w:val="single" w:color="auto" w:sz="4" w:space="0"/>
              <w:bottom w:val="single" w:color="auto" w:sz="4" w:space="0"/>
              <w:right w:val="single" w:color="auto" w:sz="4" w:space="0"/>
            </w:tcBorders>
            <w:noWrap w:val="0"/>
            <w:vAlign w:val="center"/>
          </w:tcPr>
          <w:p w14:paraId="6C084ADB">
            <w:pPr>
              <w:bidi w:val="0"/>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一、</w:t>
            </w:r>
            <w:r>
              <w:rPr>
                <w:rFonts w:hint="eastAsia" w:asciiTheme="minorEastAsia" w:hAnsiTheme="minorEastAsia" w:eastAsiaTheme="minorEastAsia" w:cstheme="minorEastAsia"/>
                <w:b/>
                <w:bCs/>
                <w:color w:val="auto"/>
                <w:sz w:val="21"/>
                <w:szCs w:val="21"/>
                <w:highlight w:val="none"/>
              </w:rPr>
              <w:t>合同签订时间</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自成交通知书发出之日起25日内</w:t>
            </w:r>
          </w:p>
          <w:p w14:paraId="52DDC290">
            <w:pPr>
              <w:pStyle w:val="13"/>
              <w:spacing w:line="360"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val="en-US" w:eastAsia="zh-CN"/>
              </w:rPr>
              <w:t>二、</w:t>
            </w:r>
            <w:r>
              <w:rPr>
                <w:rFonts w:hint="eastAsia" w:asciiTheme="minorEastAsia" w:hAnsiTheme="minorEastAsia" w:eastAsiaTheme="minorEastAsia" w:cstheme="minorEastAsia"/>
                <w:b/>
                <w:bCs/>
                <w:color w:val="auto"/>
                <w:sz w:val="21"/>
                <w:szCs w:val="21"/>
                <w:highlight w:val="none"/>
              </w:rPr>
              <w:t>工期</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spacing w:val="4"/>
                <w:sz w:val="21"/>
                <w:szCs w:val="21"/>
                <w:highlight w:val="none"/>
              </w:rPr>
              <w:t>1</w:t>
            </w:r>
            <w:r>
              <w:rPr>
                <w:rFonts w:hint="eastAsia" w:asciiTheme="minorEastAsia" w:hAnsiTheme="minorEastAsia" w:eastAsiaTheme="minorEastAsia" w:cstheme="minorEastAsia"/>
                <w:spacing w:val="4"/>
                <w:sz w:val="21"/>
                <w:szCs w:val="21"/>
                <w:highlight w:val="none"/>
                <w:lang w:val="en-US" w:eastAsia="zh-CN"/>
              </w:rPr>
              <w:t>2</w:t>
            </w:r>
            <w:r>
              <w:rPr>
                <w:rFonts w:hint="eastAsia" w:asciiTheme="minorEastAsia" w:hAnsiTheme="minorEastAsia" w:eastAsiaTheme="minorEastAsia" w:cstheme="minorEastAsia"/>
                <w:spacing w:val="4"/>
                <w:sz w:val="21"/>
                <w:szCs w:val="21"/>
                <w:highlight w:val="none"/>
              </w:rPr>
              <w:t>0 日历天（取得开工令后</w:t>
            </w:r>
            <w:r>
              <w:rPr>
                <w:rFonts w:hint="eastAsia" w:asciiTheme="minorEastAsia" w:hAnsiTheme="minorEastAsia" w:eastAsiaTheme="minorEastAsia" w:cstheme="minorEastAsia"/>
                <w:spacing w:val="-13"/>
                <w:sz w:val="21"/>
                <w:szCs w:val="21"/>
                <w:highlight w:val="none"/>
              </w:rPr>
              <w:t xml:space="preserve"> </w:t>
            </w:r>
            <w:r>
              <w:rPr>
                <w:rFonts w:hint="eastAsia" w:asciiTheme="minorEastAsia" w:hAnsiTheme="minorEastAsia" w:eastAsiaTheme="minorEastAsia" w:cstheme="minorEastAsia"/>
                <w:spacing w:val="4"/>
                <w:sz w:val="21"/>
                <w:szCs w:val="21"/>
                <w:highlight w:val="none"/>
              </w:rPr>
              <w:t>1</w:t>
            </w:r>
            <w:r>
              <w:rPr>
                <w:rFonts w:hint="eastAsia" w:asciiTheme="minorEastAsia" w:hAnsiTheme="minorEastAsia" w:eastAsiaTheme="minorEastAsia" w:cstheme="minorEastAsia"/>
                <w:spacing w:val="4"/>
                <w:sz w:val="21"/>
                <w:szCs w:val="21"/>
                <w:highlight w:val="none"/>
                <w:lang w:val="en-US" w:eastAsia="zh-CN"/>
              </w:rPr>
              <w:t>2</w:t>
            </w:r>
            <w:r>
              <w:rPr>
                <w:rFonts w:hint="eastAsia" w:asciiTheme="minorEastAsia" w:hAnsiTheme="minorEastAsia" w:eastAsiaTheme="minorEastAsia" w:cstheme="minorEastAsia"/>
                <w:spacing w:val="4"/>
                <w:sz w:val="21"/>
                <w:szCs w:val="21"/>
                <w:highlight w:val="none"/>
              </w:rPr>
              <w:t>0 日历天完成施工并通过竣工验收）</w:t>
            </w:r>
            <w:r>
              <w:rPr>
                <w:rFonts w:hint="eastAsia" w:asciiTheme="minorEastAsia" w:hAnsiTheme="minorEastAsia" w:eastAsiaTheme="minorEastAsia" w:cstheme="minorEastAsia"/>
                <w:spacing w:val="4"/>
                <w:sz w:val="21"/>
                <w:szCs w:val="21"/>
                <w:highlight w:val="none"/>
                <w:lang w:eastAsia="zh-CN"/>
              </w:rPr>
              <w:t>。</w:t>
            </w:r>
          </w:p>
          <w:p w14:paraId="5C711B14">
            <w:pPr>
              <w:pStyle w:val="13"/>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三、缺陷责任期：</w:t>
            </w:r>
            <w:r>
              <w:rPr>
                <w:rFonts w:hint="eastAsia" w:asciiTheme="minorEastAsia" w:hAnsiTheme="minorEastAsia" w:eastAsiaTheme="minorEastAsia" w:cstheme="minorEastAsia"/>
                <w:color w:val="auto"/>
                <w:sz w:val="21"/>
                <w:szCs w:val="21"/>
                <w:highlight w:val="none"/>
                <w:lang w:val="en-US" w:eastAsia="zh-CN"/>
              </w:rPr>
              <w:t>自工程竣工验收合格之日起2年。</w:t>
            </w:r>
          </w:p>
          <w:p w14:paraId="17F34030">
            <w:pPr>
              <w:pStyle w:val="13"/>
              <w:spacing w:line="360" w:lineRule="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四、</w:t>
            </w:r>
            <w:r>
              <w:rPr>
                <w:rFonts w:hint="eastAsia" w:asciiTheme="minorEastAsia" w:hAnsiTheme="minorEastAsia" w:eastAsiaTheme="minorEastAsia" w:cstheme="minorEastAsia"/>
                <w:b/>
                <w:bCs/>
                <w:color w:val="auto"/>
                <w:sz w:val="21"/>
                <w:szCs w:val="21"/>
                <w:highlight w:val="none"/>
              </w:rPr>
              <w:t>付款条件（进度和方式）</w:t>
            </w:r>
          </w:p>
          <w:p w14:paraId="29E2024A">
            <w:pPr>
              <w:pStyle w:val="33"/>
              <w:spacing w:before="132" w:line="227" w:lineRule="auto"/>
              <w:ind w:left="115"/>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8"/>
                <w:sz w:val="21"/>
                <w:szCs w:val="21"/>
                <w:highlight w:val="none"/>
              </w:rPr>
              <w:t>预付款：本项目无预付款。</w:t>
            </w:r>
          </w:p>
          <w:p w14:paraId="6B775666">
            <w:pPr>
              <w:pStyle w:val="33"/>
              <w:spacing w:before="222" w:line="432" w:lineRule="auto"/>
              <w:ind w:left="113" w:right="107" w:hanging="1"/>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1"/>
                <w:sz w:val="21"/>
                <w:szCs w:val="21"/>
                <w:highlight w:val="none"/>
              </w:rPr>
              <w:t>进度款：①工程款原则上按月支付，合同内按工程计量周期内完成、并经采购人</w:t>
            </w:r>
            <w:r>
              <w:rPr>
                <w:rFonts w:hint="eastAsia" w:asciiTheme="minorEastAsia" w:hAnsiTheme="minorEastAsia" w:eastAsiaTheme="minorEastAsia" w:cstheme="minorEastAsia"/>
                <w:spacing w:val="12"/>
                <w:sz w:val="21"/>
                <w:szCs w:val="21"/>
                <w:highlight w:val="none"/>
              </w:rPr>
              <w:t>核定的工程量的</w:t>
            </w:r>
            <w:r>
              <w:rPr>
                <w:rFonts w:hint="eastAsia" w:asciiTheme="minorEastAsia" w:hAnsiTheme="minorEastAsia" w:eastAsiaTheme="minorEastAsia" w:cstheme="minorEastAsia"/>
                <w:spacing w:val="-36"/>
                <w:sz w:val="21"/>
                <w:szCs w:val="21"/>
                <w:highlight w:val="none"/>
              </w:rPr>
              <w:t xml:space="preserve"> </w:t>
            </w:r>
            <w:r>
              <w:rPr>
                <w:rFonts w:hint="eastAsia" w:asciiTheme="minorEastAsia" w:hAnsiTheme="minorEastAsia" w:eastAsiaTheme="minorEastAsia" w:cstheme="minorEastAsia"/>
                <w:spacing w:val="12"/>
                <w:sz w:val="21"/>
                <w:szCs w:val="21"/>
                <w:highlight w:val="none"/>
              </w:rPr>
              <w:t>80%支付，合同外按工程计量周期完成</w:t>
            </w:r>
            <w:r>
              <w:rPr>
                <w:rFonts w:hint="eastAsia" w:asciiTheme="minorEastAsia" w:hAnsiTheme="minorEastAsia" w:eastAsiaTheme="minorEastAsia" w:cstheme="minorEastAsia"/>
                <w:spacing w:val="11"/>
                <w:sz w:val="21"/>
                <w:szCs w:val="21"/>
                <w:highlight w:val="none"/>
              </w:rPr>
              <w:t>、并经采购人核定的工程</w:t>
            </w:r>
            <w:r>
              <w:rPr>
                <w:rFonts w:hint="eastAsia" w:asciiTheme="minorEastAsia" w:hAnsiTheme="minorEastAsia" w:eastAsiaTheme="minorEastAsia" w:cstheme="minorEastAsia"/>
                <w:spacing w:val="4"/>
                <w:sz w:val="21"/>
                <w:szCs w:val="21"/>
                <w:highlight w:val="none"/>
              </w:rPr>
              <w:t>量的</w:t>
            </w:r>
            <w:r>
              <w:rPr>
                <w:rFonts w:hint="eastAsia" w:asciiTheme="minorEastAsia" w:hAnsiTheme="minorEastAsia" w:eastAsiaTheme="minorEastAsia" w:cstheme="minorEastAsia"/>
                <w:spacing w:val="-37"/>
                <w:sz w:val="21"/>
                <w:szCs w:val="21"/>
                <w:highlight w:val="none"/>
              </w:rPr>
              <w:t xml:space="preserve"> </w:t>
            </w:r>
            <w:r>
              <w:rPr>
                <w:rFonts w:hint="eastAsia" w:asciiTheme="minorEastAsia" w:hAnsiTheme="minorEastAsia" w:eastAsiaTheme="minorEastAsia" w:cstheme="minorEastAsia"/>
                <w:spacing w:val="4"/>
                <w:sz w:val="21"/>
                <w:szCs w:val="21"/>
                <w:highlight w:val="none"/>
              </w:rPr>
              <w:t>60%支付。</w:t>
            </w:r>
          </w:p>
          <w:p w14:paraId="1DDD7F2C">
            <w:pPr>
              <w:pStyle w:val="33"/>
              <w:spacing w:before="4" w:line="431" w:lineRule="auto"/>
              <w:ind w:left="112" w:right="103" w:firstLine="102"/>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9"/>
                <w:sz w:val="21"/>
                <w:szCs w:val="21"/>
                <w:highlight w:val="none"/>
              </w:rPr>
              <w:t>②工程完工验收达到质量要求，按项目已完成工程量后支付至合同价</w:t>
            </w:r>
            <w:r>
              <w:rPr>
                <w:rFonts w:hint="eastAsia" w:asciiTheme="minorEastAsia" w:hAnsiTheme="minorEastAsia" w:eastAsiaTheme="minorEastAsia" w:cstheme="minorEastAsia"/>
                <w:spacing w:val="-36"/>
                <w:sz w:val="21"/>
                <w:szCs w:val="21"/>
                <w:highlight w:val="none"/>
              </w:rPr>
              <w:t xml:space="preserve"> </w:t>
            </w:r>
            <w:r>
              <w:rPr>
                <w:rFonts w:hint="eastAsia" w:asciiTheme="minorEastAsia" w:hAnsiTheme="minorEastAsia" w:eastAsiaTheme="minorEastAsia" w:cstheme="minorEastAsia"/>
                <w:spacing w:val="9"/>
                <w:sz w:val="21"/>
                <w:szCs w:val="21"/>
                <w:highlight w:val="none"/>
              </w:rPr>
              <w:t>8</w:t>
            </w:r>
            <w:r>
              <w:rPr>
                <w:rFonts w:hint="eastAsia" w:asciiTheme="minorEastAsia" w:hAnsiTheme="minorEastAsia" w:eastAsiaTheme="minorEastAsia" w:cstheme="minorEastAsia"/>
                <w:spacing w:val="8"/>
                <w:sz w:val="21"/>
                <w:szCs w:val="21"/>
                <w:highlight w:val="none"/>
              </w:rPr>
              <w:t>5%，竣工</w:t>
            </w:r>
            <w:r>
              <w:rPr>
                <w:rFonts w:hint="eastAsia" w:asciiTheme="minorEastAsia" w:hAnsiTheme="minorEastAsia" w:eastAsiaTheme="minorEastAsia" w:cstheme="minorEastAsia"/>
                <w:spacing w:val="12"/>
                <w:sz w:val="21"/>
                <w:szCs w:val="21"/>
                <w:highlight w:val="none"/>
              </w:rPr>
              <w:t>验收通过后支付至合同价</w:t>
            </w:r>
            <w:r>
              <w:rPr>
                <w:rFonts w:hint="eastAsia" w:asciiTheme="minorEastAsia" w:hAnsiTheme="minorEastAsia" w:eastAsiaTheme="minorEastAsia" w:cstheme="minorEastAsia"/>
                <w:spacing w:val="-36"/>
                <w:sz w:val="21"/>
                <w:szCs w:val="21"/>
                <w:highlight w:val="none"/>
              </w:rPr>
              <w:t xml:space="preserve"> </w:t>
            </w:r>
            <w:r>
              <w:rPr>
                <w:rFonts w:hint="eastAsia" w:asciiTheme="minorEastAsia" w:hAnsiTheme="minorEastAsia" w:eastAsiaTheme="minorEastAsia" w:cstheme="minorEastAsia"/>
                <w:spacing w:val="12"/>
                <w:sz w:val="21"/>
                <w:szCs w:val="21"/>
                <w:highlight w:val="none"/>
              </w:rPr>
              <w:t>97%，合同外的变更签证工程量按工程计量当</w:t>
            </w:r>
            <w:r>
              <w:rPr>
                <w:rFonts w:hint="eastAsia" w:asciiTheme="minorEastAsia" w:hAnsiTheme="minorEastAsia" w:eastAsiaTheme="minorEastAsia" w:cstheme="minorEastAsia"/>
                <w:spacing w:val="11"/>
                <w:sz w:val="21"/>
                <w:szCs w:val="21"/>
                <w:highlight w:val="none"/>
              </w:rPr>
              <w:t>期完成、</w:t>
            </w:r>
            <w:r>
              <w:rPr>
                <w:rFonts w:hint="eastAsia" w:asciiTheme="minorEastAsia" w:hAnsiTheme="minorEastAsia" w:eastAsiaTheme="minorEastAsia" w:cstheme="minorEastAsia"/>
                <w:spacing w:val="10"/>
                <w:sz w:val="21"/>
                <w:szCs w:val="21"/>
                <w:highlight w:val="none"/>
              </w:rPr>
              <w:t>并经采购人核定的工程量的60%支付，审计结算后支付至项目审定结算价的97%，</w:t>
            </w:r>
            <w:r>
              <w:rPr>
                <w:rFonts w:hint="eastAsia" w:asciiTheme="minorEastAsia" w:hAnsiTheme="minorEastAsia" w:eastAsiaTheme="minorEastAsia" w:cstheme="minorEastAsia"/>
                <w:spacing w:val="7"/>
                <w:sz w:val="21"/>
                <w:szCs w:val="21"/>
                <w:highlight w:val="none"/>
              </w:rPr>
              <w:t>审定结算价的</w:t>
            </w:r>
            <w:r>
              <w:rPr>
                <w:rFonts w:hint="eastAsia" w:asciiTheme="minorEastAsia" w:hAnsiTheme="minorEastAsia" w:eastAsiaTheme="minorEastAsia" w:cstheme="minorEastAsia"/>
                <w:spacing w:val="-24"/>
                <w:sz w:val="21"/>
                <w:szCs w:val="21"/>
                <w:highlight w:val="none"/>
              </w:rPr>
              <w:t xml:space="preserve"> </w:t>
            </w:r>
            <w:r>
              <w:rPr>
                <w:rFonts w:hint="eastAsia" w:asciiTheme="minorEastAsia" w:hAnsiTheme="minorEastAsia" w:eastAsiaTheme="minorEastAsia" w:cstheme="minorEastAsia"/>
                <w:spacing w:val="7"/>
                <w:sz w:val="21"/>
                <w:szCs w:val="21"/>
                <w:highlight w:val="none"/>
              </w:rPr>
              <w:t>3%作为项目质量保证金。</w:t>
            </w:r>
          </w:p>
          <w:p w14:paraId="5C381A70">
            <w:pPr>
              <w:pStyle w:val="13"/>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pacing w:val="11"/>
                <w:sz w:val="21"/>
                <w:szCs w:val="21"/>
                <w:highlight w:val="none"/>
              </w:rPr>
              <w:t>③采购人向成交人支付每一笔工程款前，成交人需提前向采购人开具与当期待支</w:t>
            </w:r>
            <w:r>
              <w:rPr>
                <w:rFonts w:hint="eastAsia" w:asciiTheme="minorEastAsia" w:hAnsiTheme="minorEastAsia" w:eastAsiaTheme="minorEastAsia" w:cstheme="minorEastAsia"/>
                <w:spacing w:val="9"/>
                <w:sz w:val="21"/>
                <w:szCs w:val="21"/>
                <w:highlight w:val="none"/>
              </w:rPr>
              <w:t>付工程款等额的合法有效的增值税普通发票（发票载明的销售方应为成交人）。</w:t>
            </w:r>
          </w:p>
          <w:p w14:paraId="691D6535">
            <w:pPr>
              <w:pStyle w:val="13"/>
              <w:spacing w:line="360" w:lineRule="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五、</w:t>
            </w:r>
            <w:r>
              <w:rPr>
                <w:rFonts w:hint="eastAsia" w:asciiTheme="minorEastAsia" w:hAnsiTheme="minorEastAsia" w:eastAsiaTheme="minorEastAsia" w:cstheme="minorEastAsia"/>
                <w:b/>
                <w:bCs/>
                <w:color w:val="auto"/>
                <w:sz w:val="21"/>
                <w:szCs w:val="21"/>
                <w:highlight w:val="none"/>
              </w:rPr>
              <w:t>验收标准</w:t>
            </w:r>
          </w:p>
          <w:p w14:paraId="4B5C1183">
            <w:pPr>
              <w:pStyle w:val="13"/>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（1）符合合同要求及建筑装饰装修工程验收标准；</w:t>
            </w:r>
          </w:p>
          <w:p w14:paraId="275365B7">
            <w:pPr>
              <w:pStyle w:val="13"/>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（2）成交人提供所招标采购的服务、配套设备、所属装置等有关技术资料；作为验收的参考依据；</w:t>
            </w:r>
          </w:p>
          <w:p w14:paraId="6D682934">
            <w:pPr>
              <w:pStyle w:val="13"/>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（3）验收过程中所产生的一切费用均由成交人承担，成交人报价时应考虑相关费用；</w:t>
            </w:r>
          </w:p>
          <w:p w14:paraId="1256D220">
            <w:pPr>
              <w:pStyle w:val="13"/>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成交人在服务成果验收时由采购单位对照采购文件的服务参数全面核对检验，如不符合采购文件的技术参数要求以及提供虚假承诺的，按相关规定作违约处理，成交人承担所有责任和费用，采购人保留进一步追究责任的权利；</w:t>
            </w:r>
          </w:p>
          <w:p w14:paraId="4C215A7E">
            <w:pPr>
              <w:pStyle w:val="13"/>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（5）采购标的需执行国家标准、行业标准、地方标准或者其他标准、规范，如有最新的按最新的执行；</w:t>
            </w:r>
          </w:p>
          <w:p w14:paraId="213783DC">
            <w:pPr>
              <w:pStyle w:val="13"/>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（6）验收不通过的，根据采购人意见进行整改，直到验收通过为止，期间产生相关费用由成交人承担；</w:t>
            </w:r>
          </w:p>
          <w:p w14:paraId="4AA6F118">
            <w:pPr>
              <w:pStyle w:val="13"/>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其他未尽事宜按照《关于印发广西壮族自治区政府采购项目约验收管理办法的通知》[桂财采〔2015〕22号]以及《财政部关于进一步加强政府采购的通知》。</w:t>
            </w:r>
          </w:p>
          <w:p w14:paraId="765D6A8C">
            <w:pPr>
              <w:pStyle w:val="13"/>
              <w:spacing w:line="360" w:lineRule="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六、竞标报价</w:t>
            </w:r>
          </w:p>
          <w:p w14:paraId="6903B621">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本工程的报价方式为工程量清单报价，合同承包方式为：固定综合单价包干。</w:t>
            </w:r>
          </w:p>
          <w:p w14:paraId="3A3E3B2B">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采用综合单价竞标报价的说明：</w:t>
            </w:r>
          </w:p>
          <w:p w14:paraId="6988E8ED">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 、工程量清单应与竞标须知、合同条件、合同协议条款、技术规范一起使用。</w:t>
            </w:r>
          </w:p>
          <w:p w14:paraId="3EEE79B0">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2 、工程量清单所列的工程量为暂定量，作为竞标报价的共同基础。成交人必须完成图纸规定的工程量，付款时以设计图纸规定的工程量和因设计变更引起增减的并经审定的工程量为依据。</w:t>
            </w:r>
          </w:p>
          <w:p w14:paraId="01F73B4A">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3 、工程量清单所填入的综合单价和合价，应包括人工费、材料费、机械费、其他直接费、间接费、有关文件规定的调价、利润、税金以及现行取费中的有关费用、材料的差价以及采用固定价格的工程所测算的风险金等全部费用。</w:t>
            </w:r>
          </w:p>
          <w:p w14:paraId="0A655A57">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4 、工程量清单中的每一单项均应做出综合单价分析，并填写综合单价和合价，对没有填写综合单价或合价的项目的费用，应视为已包括在工程量清单的其他综合单价或合价之中。</w:t>
            </w:r>
          </w:p>
          <w:p w14:paraId="23EB6D51">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5 、工程量清单不再重复或概括工程及材料的一般说明，在编制和填写工程量清单的每一项的综合单价和合价时应参考竞标须知和合同文件的有关条款。</w:t>
            </w:r>
          </w:p>
          <w:p w14:paraId="0F287004">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6 、所有报价均以人民币表示。</w:t>
            </w:r>
          </w:p>
          <w:p w14:paraId="4A779095">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7 、工程量清单中的各分项工程的综合单价为本工程包干单价，不管供应商今后施工方案如何，均按包干单价执行。</w:t>
            </w:r>
          </w:p>
          <w:p w14:paraId="0A71C188">
            <w:pPr>
              <w:numPr>
                <w:ilvl w:val="0"/>
                <w:numId w:val="0"/>
              </w:numPr>
              <w:spacing w:line="360" w:lineRule="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eastAsia="zh-CN"/>
              </w:rPr>
              <w:t>七、</w:t>
            </w:r>
            <w:r>
              <w:rPr>
                <w:rFonts w:hint="eastAsia" w:asciiTheme="minorEastAsia" w:hAnsiTheme="minorEastAsia" w:eastAsiaTheme="minorEastAsia" w:cstheme="minorEastAsia"/>
                <w:b/>
                <w:bCs/>
                <w:color w:val="auto"/>
                <w:sz w:val="21"/>
                <w:szCs w:val="21"/>
                <w:highlight w:val="none"/>
              </w:rPr>
              <w:t>其他</w:t>
            </w:r>
            <w:r>
              <w:rPr>
                <w:rFonts w:hint="eastAsia" w:asciiTheme="minorEastAsia" w:hAnsiTheme="minorEastAsia" w:eastAsiaTheme="minorEastAsia" w:cstheme="minorEastAsia"/>
                <w:b/>
                <w:bCs/>
                <w:color w:val="auto"/>
                <w:sz w:val="21"/>
                <w:szCs w:val="21"/>
                <w:highlight w:val="none"/>
                <w:lang w:val="en-US" w:eastAsia="zh-CN"/>
              </w:rPr>
              <w:t>说明：</w:t>
            </w:r>
          </w:p>
          <w:p w14:paraId="0C2BF5AC">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1.与本项目有关的附件资料及其获取方式：</w:t>
            </w:r>
          </w:p>
          <w:p w14:paraId="533C5354">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文件或者资料名称：招标工程量清单及图纸、招标控制价。 </w:t>
            </w:r>
          </w:p>
          <w:p w14:paraId="7262CB63">
            <w:pPr>
              <w:pStyle w:val="13"/>
              <w:spacing w:line="36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公布渠道或者获取方式：广西政府采购云平台（https://www.gcy.zfcg.gxzf.gov.cn/）获取（下载）。</w:t>
            </w:r>
          </w:p>
        </w:tc>
      </w:tr>
    </w:tbl>
    <w:p w14:paraId="6D66EE1C">
      <w:pPr>
        <w:bidi w:val="0"/>
        <w:rPr>
          <w:rFonts w:hint="eastAsia" w:asciiTheme="minorEastAsia" w:hAnsiTheme="minorEastAsia" w:eastAsiaTheme="minorEastAsia" w:cstheme="minorEastAsia"/>
          <w:color w:val="auto"/>
          <w:highlight w:val="none"/>
        </w:rPr>
      </w:pPr>
      <w:bookmarkStart w:id="164" w:name="_Toc44229896"/>
    </w:p>
    <w:p w14:paraId="291D82F8">
      <w:pPr>
        <w:spacing w:line="428" w:lineRule="exact"/>
        <w:rPr>
          <w:rFonts w:hint="eastAsia" w:asciiTheme="minorEastAsia" w:hAnsiTheme="minorEastAsia" w:eastAsiaTheme="minorEastAsia" w:cstheme="minorEastAsia"/>
          <w:color w:val="auto"/>
          <w:sz w:val="17"/>
          <w:szCs w:val="17"/>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32"/>
          <w:szCs w:val="32"/>
          <w:highlight w:val="none"/>
        </w:rPr>
        <w:t>附件1：</w:t>
      </w:r>
    </w:p>
    <w:p w14:paraId="0EEE55CC">
      <w:pPr>
        <w:spacing w:line="528" w:lineRule="exact"/>
        <w:jc w:val="center"/>
        <w:rPr>
          <w:rFonts w:hint="eastAsia" w:asciiTheme="minorEastAsia" w:hAnsiTheme="minorEastAsia" w:eastAsiaTheme="minorEastAsia" w:cstheme="minorEastAsia"/>
          <w:color w:val="auto"/>
          <w:sz w:val="40"/>
          <w:szCs w:val="40"/>
          <w:highlight w:val="none"/>
        </w:rPr>
      </w:pPr>
      <w:r>
        <w:rPr>
          <w:rFonts w:hint="eastAsia" w:asciiTheme="minorEastAsia" w:hAnsiTheme="minorEastAsia" w:eastAsiaTheme="minorEastAsia" w:cstheme="minorEastAsia"/>
          <w:color w:val="auto"/>
          <w:sz w:val="40"/>
          <w:szCs w:val="40"/>
          <w:highlight w:val="none"/>
        </w:rPr>
        <w:t>节能产品政府采购品目清单</w:t>
      </w:r>
    </w:p>
    <w:tbl>
      <w:tblPr>
        <w:tblStyle w:val="18"/>
        <w:tblW w:w="9469" w:type="dxa"/>
        <w:tblInd w:w="93" w:type="dxa"/>
        <w:tblLayout w:type="fixed"/>
        <w:tblCellMar>
          <w:top w:w="0" w:type="dxa"/>
          <w:left w:w="108" w:type="dxa"/>
          <w:bottom w:w="0" w:type="dxa"/>
          <w:right w:w="108" w:type="dxa"/>
        </w:tblCellMar>
      </w:tblPr>
      <w:tblGrid>
        <w:gridCol w:w="641"/>
        <w:gridCol w:w="1116"/>
        <w:gridCol w:w="1516"/>
        <w:gridCol w:w="1612"/>
        <w:gridCol w:w="4584"/>
      </w:tblGrid>
      <w:tr w14:paraId="2F96C08D">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noWrap w:val="0"/>
            <w:vAlign w:val="top"/>
          </w:tcPr>
          <w:p w14:paraId="4D92C962">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3EC207AF">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名称</w:t>
            </w:r>
          </w:p>
        </w:tc>
        <w:tc>
          <w:tcPr>
            <w:tcW w:w="4584" w:type="dxa"/>
            <w:tcBorders>
              <w:top w:val="single" w:color="000000" w:sz="8" w:space="0"/>
              <w:left w:val="nil"/>
              <w:bottom w:val="single" w:color="000000" w:sz="8" w:space="0"/>
              <w:right w:val="single" w:color="000000" w:sz="8" w:space="0"/>
            </w:tcBorders>
            <w:noWrap w:val="0"/>
            <w:vAlign w:val="center"/>
          </w:tcPr>
          <w:p w14:paraId="3D64F851">
            <w:pPr>
              <w:widowControl/>
              <w:jc w:val="center"/>
              <w:rPr>
                <w:rFonts w:hint="eastAsia" w:asciiTheme="minorEastAsia" w:hAnsiTheme="minorEastAsia" w:eastAsiaTheme="minorEastAsia" w:cstheme="minorEastAsia"/>
                <w:b/>
                <w:bCs/>
                <w:color w:val="auto"/>
                <w:kern w:val="0"/>
                <w:sz w:val="22"/>
                <w:szCs w:val="22"/>
                <w:highlight w:val="none"/>
              </w:rPr>
            </w:pPr>
            <w:r>
              <w:rPr>
                <w:rFonts w:hint="eastAsia" w:asciiTheme="minorEastAsia" w:hAnsiTheme="minorEastAsia" w:eastAsiaTheme="minorEastAsia" w:cstheme="minorEastAsia"/>
                <w:b/>
                <w:bCs/>
                <w:color w:val="auto"/>
                <w:kern w:val="0"/>
                <w:sz w:val="22"/>
                <w:szCs w:val="22"/>
                <w:highlight w:val="none"/>
              </w:rPr>
              <w:t>依据的标准</w:t>
            </w:r>
          </w:p>
        </w:tc>
      </w:tr>
      <w:tr w14:paraId="37D3B72F">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06BF411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22515F5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noWrap w:val="0"/>
            <w:vAlign w:val="center"/>
          </w:tcPr>
          <w:p w14:paraId="1DF95AD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noWrap w:val="0"/>
            <w:vAlign w:val="center"/>
          </w:tcPr>
          <w:p w14:paraId="73A607D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95091B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74DFFF57">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B4867D9">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F5346B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D012DE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noWrap w:val="0"/>
            <w:vAlign w:val="center"/>
          </w:tcPr>
          <w:p w14:paraId="7A43386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4E706D6">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3B1AE971">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F3CE7D9">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E433234">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21C78A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noWrap w:val="0"/>
            <w:vAlign w:val="center"/>
          </w:tcPr>
          <w:p w14:paraId="4BB677A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74FC75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《微型计算机能效限定值及能效等级》（GB28380）</w:t>
            </w:r>
          </w:p>
        </w:tc>
      </w:tr>
      <w:tr w14:paraId="56C34DC8">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341C532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11972F7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00A724D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noWrap w:val="0"/>
            <w:vAlign w:val="center"/>
          </w:tcPr>
          <w:p w14:paraId="229A283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A0201060101喷墨打印机</w:t>
            </w:r>
          </w:p>
        </w:tc>
        <w:tc>
          <w:tcPr>
            <w:tcW w:w="4584" w:type="dxa"/>
            <w:tcBorders>
              <w:top w:val="nil"/>
              <w:left w:val="nil"/>
              <w:bottom w:val="single" w:color="000000" w:sz="8" w:space="0"/>
              <w:right w:val="single" w:color="000000" w:sz="8" w:space="0"/>
            </w:tcBorders>
            <w:noWrap w:val="0"/>
            <w:vAlign w:val="center"/>
          </w:tcPr>
          <w:p w14:paraId="464894CB">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455D73B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2ED8814">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47215F7">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E2A6896">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C87BA6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★A0201060102激光打印机</w:t>
            </w:r>
          </w:p>
        </w:tc>
        <w:tc>
          <w:tcPr>
            <w:tcW w:w="4584" w:type="dxa"/>
            <w:tcBorders>
              <w:top w:val="nil"/>
              <w:left w:val="nil"/>
              <w:bottom w:val="single" w:color="000000" w:sz="8" w:space="0"/>
              <w:right w:val="single" w:color="000000" w:sz="8" w:space="0"/>
            </w:tcBorders>
            <w:noWrap w:val="0"/>
            <w:vAlign w:val="center"/>
          </w:tcPr>
          <w:p w14:paraId="6E293866">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248BD4B2">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518F68C">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A6EE54B">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34D98CE">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12D80BA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★A0201060104针式打印机</w:t>
            </w:r>
          </w:p>
        </w:tc>
        <w:tc>
          <w:tcPr>
            <w:tcW w:w="4584" w:type="dxa"/>
            <w:tcBorders>
              <w:top w:val="nil"/>
              <w:left w:val="nil"/>
              <w:bottom w:val="single" w:color="000000" w:sz="8" w:space="0"/>
              <w:right w:val="single" w:color="000000" w:sz="8" w:space="0"/>
            </w:tcBorders>
            <w:noWrap w:val="0"/>
            <w:vAlign w:val="center"/>
          </w:tcPr>
          <w:p w14:paraId="7F5E7DA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585EBE1B">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168F093">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C8FE9DF">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8FA562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noWrap w:val="0"/>
            <w:vAlign w:val="center"/>
          </w:tcPr>
          <w:p w14:paraId="6FE56DD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★A0201060401液晶显示器</w:t>
            </w:r>
          </w:p>
        </w:tc>
        <w:tc>
          <w:tcPr>
            <w:tcW w:w="4584" w:type="dxa"/>
            <w:tcBorders>
              <w:top w:val="nil"/>
              <w:left w:val="nil"/>
              <w:bottom w:val="single" w:color="000000" w:sz="8" w:space="0"/>
              <w:right w:val="single" w:color="000000" w:sz="8" w:space="0"/>
            </w:tcBorders>
            <w:noWrap w:val="0"/>
            <w:vAlign w:val="center"/>
          </w:tcPr>
          <w:p w14:paraId="35917A06">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《计算机显示器能效限定值及能效等级》（GB21520）</w:t>
            </w:r>
          </w:p>
        </w:tc>
      </w:tr>
      <w:tr w14:paraId="4FB6B7B1">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F83E6B3">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35D7AC3">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A9B183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noWrap w:val="0"/>
            <w:vAlign w:val="center"/>
          </w:tcPr>
          <w:p w14:paraId="5BF1953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A0201060901扫描仪</w:t>
            </w:r>
          </w:p>
        </w:tc>
        <w:tc>
          <w:tcPr>
            <w:tcW w:w="4584" w:type="dxa"/>
            <w:tcBorders>
              <w:top w:val="nil"/>
              <w:left w:val="nil"/>
              <w:bottom w:val="single" w:color="000000" w:sz="8" w:space="0"/>
              <w:right w:val="single" w:color="000000" w:sz="8" w:space="0"/>
            </w:tcBorders>
            <w:noWrap w:val="0"/>
            <w:vAlign w:val="center"/>
          </w:tcPr>
          <w:p w14:paraId="2D0A1BA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0F5A4341">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B28533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3</w:t>
            </w:r>
          </w:p>
        </w:tc>
        <w:tc>
          <w:tcPr>
            <w:tcW w:w="1116" w:type="dxa"/>
            <w:tcBorders>
              <w:top w:val="nil"/>
              <w:left w:val="nil"/>
              <w:bottom w:val="single" w:color="000000" w:sz="8" w:space="0"/>
              <w:right w:val="single" w:color="000000" w:sz="8" w:space="0"/>
            </w:tcBorders>
            <w:noWrap w:val="0"/>
            <w:vAlign w:val="center"/>
          </w:tcPr>
          <w:p w14:paraId="74B1588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A020202投影仪</w:t>
            </w:r>
          </w:p>
        </w:tc>
        <w:tc>
          <w:tcPr>
            <w:tcW w:w="1516" w:type="dxa"/>
            <w:tcBorders>
              <w:top w:val="nil"/>
              <w:left w:val="nil"/>
              <w:bottom w:val="single" w:color="000000" w:sz="8" w:space="0"/>
              <w:right w:val="single" w:color="000000" w:sz="8" w:space="0"/>
            </w:tcBorders>
            <w:noWrap w:val="0"/>
            <w:vAlign w:val="center"/>
          </w:tcPr>
          <w:p w14:paraId="6D0A944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9E1901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C193BD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《投影机能效限定值及能效等级》（GB32028）</w:t>
            </w:r>
          </w:p>
        </w:tc>
      </w:tr>
      <w:tr w14:paraId="7B429226">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07A0363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4</w:t>
            </w:r>
          </w:p>
        </w:tc>
        <w:tc>
          <w:tcPr>
            <w:tcW w:w="1116" w:type="dxa"/>
            <w:tcBorders>
              <w:top w:val="nil"/>
              <w:left w:val="nil"/>
              <w:bottom w:val="single" w:color="000000" w:sz="8" w:space="0"/>
              <w:right w:val="single" w:color="000000" w:sz="8" w:space="0"/>
            </w:tcBorders>
            <w:noWrap w:val="0"/>
            <w:vAlign w:val="center"/>
          </w:tcPr>
          <w:p w14:paraId="148845F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noWrap w:val="0"/>
            <w:vAlign w:val="center"/>
          </w:tcPr>
          <w:p w14:paraId="5EC6D77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2A5D8BC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260F4A3">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《复印机、打印机和传真机能效限定值及能效等级》（GB21521）</w:t>
            </w:r>
          </w:p>
        </w:tc>
      </w:tr>
      <w:tr w14:paraId="7AA6D71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10B949F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5</w:t>
            </w:r>
          </w:p>
        </w:tc>
        <w:tc>
          <w:tcPr>
            <w:tcW w:w="1116" w:type="dxa"/>
            <w:tcBorders>
              <w:top w:val="nil"/>
              <w:left w:val="nil"/>
              <w:bottom w:val="single" w:color="000000" w:sz="8" w:space="0"/>
              <w:right w:val="single" w:color="000000" w:sz="8" w:space="0"/>
            </w:tcBorders>
            <w:noWrap w:val="0"/>
            <w:vAlign w:val="center"/>
          </w:tcPr>
          <w:p w14:paraId="2D6D10B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A020519泵</w:t>
            </w:r>
          </w:p>
        </w:tc>
        <w:tc>
          <w:tcPr>
            <w:tcW w:w="1516" w:type="dxa"/>
            <w:tcBorders>
              <w:top w:val="nil"/>
              <w:left w:val="nil"/>
              <w:bottom w:val="single" w:color="000000" w:sz="8" w:space="0"/>
              <w:right w:val="single" w:color="000000" w:sz="8" w:space="0"/>
            </w:tcBorders>
            <w:noWrap w:val="0"/>
            <w:vAlign w:val="center"/>
          </w:tcPr>
          <w:p w14:paraId="4838159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A02051901离心泵</w:t>
            </w:r>
          </w:p>
        </w:tc>
        <w:tc>
          <w:tcPr>
            <w:tcW w:w="1612" w:type="dxa"/>
            <w:tcBorders>
              <w:top w:val="nil"/>
              <w:left w:val="nil"/>
              <w:bottom w:val="single" w:color="000000" w:sz="8" w:space="0"/>
              <w:right w:val="single" w:color="000000" w:sz="8" w:space="0"/>
            </w:tcBorders>
            <w:noWrap w:val="0"/>
            <w:vAlign w:val="center"/>
          </w:tcPr>
          <w:p w14:paraId="7147A55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FBD3596">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《清水离心泵能效限定值及节能评价值》（GB19762）</w:t>
            </w:r>
          </w:p>
        </w:tc>
      </w:tr>
      <w:tr w14:paraId="13BE0E0A">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5D7CDC6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4A2557B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2BBFFF2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★A02052301制冷压缩机</w:t>
            </w:r>
          </w:p>
        </w:tc>
        <w:tc>
          <w:tcPr>
            <w:tcW w:w="1612" w:type="dxa"/>
            <w:tcBorders>
              <w:top w:val="nil"/>
              <w:left w:val="nil"/>
              <w:bottom w:val="single" w:color="000000" w:sz="8" w:space="0"/>
              <w:right w:val="single" w:color="000000" w:sz="8" w:space="0"/>
            </w:tcBorders>
            <w:noWrap w:val="0"/>
            <w:vAlign w:val="center"/>
          </w:tcPr>
          <w:p w14:paraId="1B93109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冷水机组</w:t>
            </w:r>
          </w:p>
        </w:tc>
        <w:tc>
          <w:tcPr>
            <w:tcW w:w="4584" w:type="dxa"/>
            <w:tcBorders>
              <w:top w:val="nil"/>
              <w:left w:val="nil"/>
              <w:bottom w:val="single" w:color="000000" w:sz="8" w:space="0"/>
              <w:right w:val="single" w:color="000000" w:sz="8" w:space="0"/>
            </w:tcBorders>
            <w:noWrap w:val="0"/>
            <w:vAlign w:val="center"/>
          </w:tcPr>
          <w:p w14:paraId="44E4ED2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《冷水机组能效限定值及能效等级》（GB19577），《低环境温度空气源热泵（冷水）机组能效限定值及能效等级》（GB37480）</w:t>
            </w:r>
          </w:p>
        </w:tc>
      </w:tr>
      <w:tr w14:paraId="5FC6E6A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BCE6813">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A1F348B">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7F53CCDA">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663AE46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水源热泵机组</w:t>
            </w:r>
          </w:p>
        </w:tc>
        <w:tc>
          <w:tcPr>
            <w:tcW w:w="4584" w:type="dxa"/>
            <w:tcBorders>
              <w:top w:val="nil"/>
              <w:left w:val="nil"/>
              <w:bottom w:val="single" w:color="000000" w:sz="8" w:space="0"/>
              <w:right w:val="single" w:color="000000" w:sz="8" w:space="0"/>
            </w:tcBorders>
            <w:noWrap w:val="0"/>
            <w:vAlign w:val="center"/>
          </w:tcPr>
          <w:p w14:paraId="2D3A4ED4">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《水（地）源热泵机组能效限定值及能效等级》（GB30721）</w:t>
            </w:r>
          </w:p>
        </w:tc>
      </w:tr>
      <w:tr w14:paraId="0F862303">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C31CE4B">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67DAA82">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0A947F3">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76B2719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溴化锂吸收式冷水机组</w:t>
            </w:r>
          </w:p>
        </w:tc>
        <w:tc>
          <w:tcPr>
            <w:tcW w:w="4584" w:type="dxa"/>
            <w:tcBorders>
              <w:top w:val="nil"/>
              <w:left w:val="nil"/>
              <w:bottom w:val="single" w:color="000000" w:sz="8" w:space="0"/>
              <w:right w:val="single" w:color="000000" w:sz="8" w:space="0"/>
            </w:tcBorders>
            <w:noWrap w:val="0"/>
            <w:vAlign w:val="center"/>
          </w:tcPr>
          <w:p w14:paraId="75F1EEE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《溴化锂吸收式冷水机组能效限定值及能效等级》（GB29540）</w:t>
            </w:r>
          </w:p>
        </w:tc>
      </w:tr>
      <w:tr w14:paraId="4A137A7C">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4583C913">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FFF7612">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233D411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★A02052305空调机组</w:t>
            </w:r>
          </w:p>
        </w:tc>
        <w:tc>
          <w:tcPr>
            <w:tcW w:w="1612" w:type="dxa"/>
            <w:tcBorders>
              <w:top w:val="nil"/>
              <w:left w:val="nil"/>
              <w:bottom w:val="single" w:color="000000" w:sz="8" w:space="0"/>
              <w:right w:val="single" w:color="000000" w:sz="8" w:space="0"/>
            </w:tcBorders>
            <w:noWrap w:val="0"/>
            <w:vAlign w:val="center"/>
          </w:tcPr>
          <w:p w14:paraId="0C116CE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多联式空调（热泵）机组(制冷量&gt;14000W)</w:t>
            </w:r>
          </w:p>
        </w:tc>
        <w:tc>
          <w:tcPr>
            <w:tcW w:w="4584" w:type="dxa"/>
            <w:tcBorders>
              <w:top w:val="nil"/>
              <w:left w:val="nil"/>
              <w:bottom w:val="single" w:color="000000" w:sz="8" w:space="0"/>
              <w:right w:val="single" w:color="000000" w:sz="8" w:space="0"/>
            </w:tcBorders>
            <w:noWrap w:val="0"/>
            <w:vAlign w:val="center"/>
          </w:tcPr>
          <w:p w14:paraId="2E704D3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《多联式空调（热泵）机组能效限定值及能源效率等级》（GB21454）</w:t>
            </w:r>
          </w:p>
        </w:tc>
      </w:tr>
      <w:tr w14:paraId="69AA65C8">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4BC57D64">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880297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6CCF4CDE">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99422E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单元式空气调节机(制冷量&gt;14000W</w:t>
            </w:r>
          </w:p>
        </w:tc>
        <w:tc>
          <w:tcPr>
            <w:tcW w:w="4584" w:type="dxa"/>
            <w:tcBorders>
              <w:top w:val="nil"/>
              <w:left w:val="nil"/>
              <w:bottom w:val="single" w:color="000000" w:sz="8" w:space="0"/>
              <w:right w:val="single" w:color="000000" w:sz="8" w:space="0"/>
            </w:tcBorders>
            <w:noWrap w:val="0"/>
            <w:vAlign w:val="center"/>
          </w:tcPr>
          <w:p w14:paraId="014C9D4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《单元式空气调节机能效限定值及能效等级》（GB19576）《风管送风式空调机组能效限定值及能效等级》（GB37479）</w:t>
            </w:r>
          </w:p>
        </w:tc>
      </w:tr>
      <w:tr w14:paraId="19B83347">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31F3FAE">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DB790D8">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A25F92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noWrap w:val="0"/>
            <w:vAlign w:val="center"/>
          </w:tcPr>
          <w:p w14:paraId="19AF3A0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机房空调</w:t>
            </w:r>
          </w:p>
        </w:tc>
        <w:tc>
          <w:tcPr>
            <w:tcW w:w="4584" w:type="dxa"/>
            <w:tcBorders>
              <w:top w:val="nil"/>
              <w:left w:val="nil"/>
              <w:bottom w:val="single" w:color="000000" w:sz="8" w:space="0"/>
              <w:right w:val="single" w:color="000000" w:sz="8" w:space="0"/>
            </w:tcBorders>
            <w:noWrap w:val="0"/>
            <w:vAlign w:val="center"/>
          </w:tcPr>
          <w:p w14:paraId="59AD3361">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《单元式空气调节机能效限定值及能效等级》（GB19576）</w:t>
            </w:r>
          </w:p>
        </w:tc>
      </w:tr>
      <w:tr w14:paraId="2E210A55">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DA2F76D">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8C89BB5">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72F004B">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noWrap w:val="0"/>
            <w:vAlign w:val="center"/>
          </w:tcPr>
          <w:p w14:paraId="589D0AD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冷却塔</w:t>
            </w:r>
          </w:p>
        </w:tc>
        <w:tc>
          <w:tcPr>
            <w:tcW w:w="4584" w:type="dxa"/>
            <w:tcBorders>
              <w:top w:val="nil"/>
              <w:left w:val="nil"/>
              <w:bottom w:val="single" w:color="000000" w:sz="8" w:space="0"/>
              <w:right w:val="single" w:color="000000" w:sz="8" w:space="0"/>
            </w:tcBorders>
            <w:noWrap w:val="0"/>
            <w:vAlign w:val="center"/>
          </w:tcPr>
          <w:p w14:paraId="79592A0B">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《机械通风冷却塔第1部分：中小型开式冷却塔》（GB/T7190.1）；《机械通风冷却塔第2部分：大型开式冷却塔》（GB/T7190.2）</w:t>
            </w:r>
          </w:p>
        </w:tc>
      </w:tr>
      <w:tr w14:paraId="5439AF71">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69B701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7</w:t>
            </w:r>
          </w:p>
        </w:tc>
        <w:tc>
          <w:tcPr>
            <w:tcW w:w="1116" w:type="dxa"/>
            <w:tcBorders>
              <w:top w:val="nil"/>
              <w:left w:val="nil"/>
              <w:bottom w:val="single" w:color="000000" w:sz="8" w:space="0"/>
              <w:right w:val="single" w:color="000000" w:sz="8" w:space="0"/>
            </w:tcBorders>
            <w:noWrap w:val="0"/>
            <w:vAlign w:val="center"/>
          </w:tcPr>
          <w:p w14:paraId="2B0B013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A020601电机</w:t>
            </w:r>
          </w:p>
        </w:tc>
        <w:tc>
          <w:tcPr>
            <w:tcW w:w="1516" w:type="dxa"/>
            <w:tcBorders>
              <w:top w:val="nil"/>
              <w:left w:val="nil"/>
              <w:bottom w:val="single" w:color="000000" w:sz="8" w:space="0"/>
              <w:right w:val="single" w:color="000000" w:sz="8" w:space="0"/>
            </w:tcBorders>
            <w:noWrap w:val="0"/>
            <w:vAlign w:val="center"/>
          </w:tcPr>
          <w:p w14:paraId="207D369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04E6B98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E5C1F6A">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《中小型三相异步电动机能效限定值及能效等级》（GB18613）</w:t>
            </w:r>
          </w:p>
        </w:tc>
      </w:tr>
      <w:tr w14:paraId="746C3EE5">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F066D9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8</w:t>
            </w:r>
          </w:p>
        </w:tc>
        <w:tc>
          <w:tcPr>
            <w:tcW w:w="1116" w:type="dxa"/>
            <w:tcBorders>
              <w:top w:val="nil"/>
              <w:left w:val="nil"/>
              <w:bottom w:val="single" w:color="000000" w:sz="8" w:space="0"/>
              <w:right w:val="single" w:color="000000" w:sz="8" w:space="0"/>
            </w:tcBorders>
            <w:noWrap w:val="0"/>
            <w:vAlign w:val="center"/>
          </w:tcPr>
          <w:p w14:paraId="70CD675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A020602变压器</w:t>
            </w:r>
          </w:p>
        </w:tc>
        <w:tc>
          <w:tcPr>
            <w:tcW w:w="1516" w:type="dxa"/>
            <w:tcBorders>
              <w:top w:val="nil"/>
              <w:left w:val="nil"/>
              <w:bottom w:val="single" w:color="000000" w:sz="8" w:space="0"/>
              <w:right w:val="single" w:color="000000" w:sz="8" w:space="0"/>
            </w:tcBorders>
            <w:noWrap w:val="0"/>
            <w:vAlign w:val="center"/>
          </w:tcPr>
          <w:p w14:paraId="39BA682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配电变压器</w:t>
            </w:r>
          </w:p>
        </w:tc>
        <w:tc>
          <w:tcPr>
            <w:tcW w:w="1612" w:type="dxa"/>
            <w:tcBorders>
              <w:top w:val="nil"/>
              <w:left w:val="nil"/>
              <w:bottom w:val="single" w:color="000000" w:sz="8" w:space="0"/>
              <w:right w:val="single" w:color="000000" w:sz="8" w:space="0"/>
            </w:tcBorders>
            <w:noWrap w:val="0"/>
            <w:vAlign w:val="center"/>
          </w:tcPr>
          <w:p w14:paraId="335576A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4BCE0EE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《三相配电变压器能效限定值及能效等级》（GB20052）</w:t>
            </w:r>
          </w:p>
        </w:tc>
      </w:tr>
      <w:tr w14:paraId="309C3AF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79ABED3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9</w:t>
            </w:r>
          </w:p>
        </w:tc>
        <w:tc>
          <w:tcPr>
            <w:tcW w:w="1116" w:type="dxa"/>
            <w:tcBorders>
              <w:top w:val="nil"/>
              <w:left w:val="nil"/>
              <w:bottom w:val="single" w:color="000000" w:sz="8" w:space="0"/>
              <w:right w:val="single" w:color="000000" w:sz="8" w:space="0"/>
            </w:tcBorders>
            <w:noWrap w:val="0"/>
            <w:vAlign w:val="center"/>
          </w:tcPr>
          <w:p w14:paraId="677FBE5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★A020609镇流器</w:t>
            </w:r>
          </w:p>
        </w:tc>
        <w:tc>
          <w:tcPr>
            <w:tcW w:w="1516" w:type="dxa"/>
            <w:tcBorders>
              <w:top w:val="nil"/>
              <w:left w:val="nil"/>
              <w:bottom w:val="single" w:color="000000" w:sz="8" w:space="0"/>
              <w:right w:val="single" w:color="000000" w:sz="8" w:space="0"/>
            </w:tcBorders>
            <w:noWrap w:val="0"/>
            <w:vAlign w:val="center"/>
          </w:tcPr>
          <w:p w14:paraId="2A402D9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noWrap w:val="0"/>
            <w:vAlign w:val="center"/>
          </w:tcPr>
          <w:p w14:paraId="1C0BA96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2FCBD176">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《管形荧光灯镇流器能效限定值及能效等级》（GB17896）</w:t>
            </w:r>
          </w:p>
        </w:tc>
      </w:tr>
      <w:tr w14:paraId="42A1AC4E">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7733413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428CF73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noWrap w:val="0"/>
            <w:vAlign w:val="center"/>
          </w:tcPr>
          <w:p w14:paraId="1D6635F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noWrap w:val="0"/>
            <w:vAlign w:val="center"/>
          </w:tcPr>
          <w:p w14:paraId="3DBD3F2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2E7BEB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《家用电冰箱耗电量限定值及能效等级》（GB 12021.2）</w:t>
            </w:r>
          </w:p>
        </w:tc>
      </w:tr>
      <w:tr w14:paraId="7C3271B9">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CEB2387">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329A858">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158AAEA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noWrap w:val="0"/>
            <w:vAlign w:val="center"/>
          </w:tcPr>
          <w:p w14:paraId="2CD94B2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房间空气调节器</w:t>
            </w:r>
          </w:p>
        </w:tc>
        <w:tc>
          <w:tcPr>
            <w:tcW w:w="4584" w:type="dxa"/>
            <w:tcBorders>
              <w:top w:val="nil"/>
              <w:left w:val="nil"/>
              <w:bottom w:val="single" w:color="000000" w:sz="8" w:space="0"/>
              <w:right w:val="single" w:color="000000" w:sz="8" w:space="0"/>
            </w:tcBorders>
            <w:noWrap w:val="0"/>
            <w:vAlign w:val="center"/>
          </w:tcPr>
          <w:p w14:paraId="7D443F63">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0FB65A40">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69EDF5C">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53EB7D6">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74F675A6">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762F7C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多联式空调（热泵）机组（制冷量≤ 14000W）</w:t>
            </w:r>
          </w:p>
        </w:tc>
        <w:tc>
          <w:tcPr>
            <w:tcW w:w="4584" w:type="dxa"/>
            <w:tcBorders>
              <w:top w:val="nil"/>
              <w:left w:val="nil"/>
              <w:bottom w:val="single" w:color="000000" w:sz="8" w:space="0"/>
              <w:right w:val="single" w:color="000000" w:sz="8" w:space="0"/>
            </w:tcBorders>
            <w:noWrap w:val="0"/>
            <w:vAlign w:val="center"/>
          </w:tcPr>
          <w:p w14:paraId="2AE2E1A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《多联式空调（热泵）机组能效限定值及能源效率等级》（GB21454）</w:t>
            </w:r>
          </w:p>
        </w:tc>
      </w:tr>
      <w:tr w14:paraId="6E07DF10">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49AB139">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A93F7BB">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3ABFBE22">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4549E1C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单元式空气调节机(制冷量≤14000W)</w:t>
            </w:r>
          </w:p>
        </w:tc>
        <w:tc>
          <w:tcPr>
            <w:tcW w:w="4584" w:type="dxa"/>
            <w:tcBorders>
              <w:top w:val="nil"/>
              <w:left w:val="nil"/>
              <w:bottom w:val="single" w:color="000000" w:sz="8" w:space="0"/>
              <w:right w:val="single" w:color="000000" w:sz="8" w:space="0"/>
            </w:tcBorders>
            <w:noWrap w:val="0"/>
            <w:vAlign w:val="center"/>
          </w:tcPr>
          <w:p w14:paraId="5E33C5A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《单元式空气调节机能效限定值及能源效率等级》（GB19576）《风管送风式空调机组能效限定值及能效等级》（GB37479）</w:t>
            </w:r>
          </w:p>
        </w:tc>
      </w:tr>
      <w:tr w14:paraId="5D9BB62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222DBD70">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A7A3FDD">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40C065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noWrap w:val="0"/>
            <w:vAlign w:val="center"/>
          </w:tcPr>
          <w:p w14:paraId="1D79F78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344BCD2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《电动洗衣机能效水效限定值及等级》（GB12021.4）</w:t>
            </w:r>
          </w:p>
        </w:tc>
      </w:tr>
      <w:tr w14:paraId="7ACA660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4BAA05C">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C409E7A">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2F6A110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noWrap w:val="0"/>
            <w:vAlign w:val="center"/>
          </w:tcPr>
          <w:p w14:paraId="70144A3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★电热水器</w:t>
            </w:r>
          </w:p>
        </w:tc>
        <w:tc>
          <w:tcPr>
            <w:tcW w:w="4584" w:type="dxa"/>
            <w:tcBorders>
              <w:top w:val="nil"/>
              <w:left w:val="nil"/>
              <w:bottom w:val="single" w:color="000000" w:sz="8" w:space="0"/>
              <w:right w:val="single" w:color="000000" w:sz="8" w:space="0"/>
            </w:tcBorders>
            <w:noWrap w:val="0"/>
            <w:vAlign w:val="center"/>
          </w:tcPr>
          <w:p w14:paraId="5D71533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《储水式电热水器能效限定值及能效等级》（GB21519）</w:t>
            </w:r>
          </w:p>
        </w:tc>
      </w:tr>
      <w:tr w14:paraId="568589A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7523D6DC">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709E45C">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51B7ECA">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66C8C43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燃气热水器</w:t>
            </w:r>
          </w:p>
        </w:tc>
        <w:tc>
          <w:tcPr>
            <w:tcW w:w="4584" w:type="dxa"/>
            <w:tcBorders>
              <w:top w:val="nil"/>
              <w:left w:val="nil"/>
              <w:bottom w:val="single" w:color="000000" w:sz="8" w:space="0"/>
              <w:right w:val="single" w:color="000000" w:sz="8" w:space="0"/>
            </w:tcBorders>
            <w:noWrap w:val="0"/>
            <w:vAlign w:val="center"/>
          </w:tcPr>
          <w:p w14:paraId="251BB1BE">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《家用燃气快速热水器和燃气采暖热水炉能效限定值及能效等级》（GB20665）</w:t>
            </w:r>
          </w:p>
        </w:tc>
      </w:tr>
      <w:tr w14:paraId="7E11E650">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2E723D5">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B20C944">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3848F9F">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43B635C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热泵热水器</w:t>
            </w:r>
          </w:p>
        </w:tc>
        <w:tc>
          <w:tcPr>
            <w:tcW w:w="4584" w:type="dxa"/>
            <w:tcBorders>
              <w:top w:val="nil"/>
              <w:left w:val="nil"/>
              <w:bottom w:val="single" w:color="000000" w:sz="8" w:space="0"/>
              <w:right w:val="single" w:color="000000" w:sz="8" w:space="0"/>
            </w:tcBorders>
            <w:noWrap w:val="0"/>
            <w:vAlign w:val="center"/>
          </w:tcPr>
          <w:p w14:paraId="76081D1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《热泵热水机（器）能效限定值及能效等级》（GB29541）</w:t>
            </w:r>
          </w:p>
        </w:tc>
      </w:tr>
      <w:tr w14:paraId="748AE305">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388C7C67">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AB4063A">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0303B8AB">
            <w:pPr>
              <w:widowControl/>
              <w:jc w:val="left"/>
              <w:rPr>
                <w:rFonts w:hint="eastAsia" w:asciiTheme="minorEastAsia" w:hAnsiTheme="minorEastAsia" w:eastAsiaTheme="minorEastAsia" w:cstheme="minorEastAsia"/>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261AC92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太阳能热水系统</w:t>
            </w:r>
          </w:p>
        </w:tc>
        <w:tc>
          <w:tcPr>
            <w:tcW w:w="4584" w:type="dxa"/>
            <w:tcBorders>
              <w:top w:val="nil"/>
              <w:left w:val="nil"/>
              <w:bottom w:val="single" w:color="000000" w:sz="8" w:space="0"/>
              <w:right w:val="single" w:color="000000" w:sz="8" w:space="0"/>
            </w:tcBorders>
            <w:noWrap w:val="0"/>
            <w:vAlign w:val="center"/>
          </w:tcPr>
          <w:p w14:paraId="73D40AC4">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《家用太阳能热水系统能效限定值及能效等级》（GB26969）</w:t>
            </w:r>
          </w:p>
        </w:tc>
      </w:tr>
      <w:tr w14:paraId="68992A1C">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4CCA3D3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3413AAC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A020619照明设备</w:t>
            </w:r>
          </w:p>
        </w:tc>
        <w:tc>
          <w:tcPr>
            <w:tcW w:w="1516" w:type="dxa"/>
            <w:tcBorders>
              <w:top w:val="nil"/>
              <w:left w:val="nil"/>
              <w:bottom w:val="single" w:color="000000" w:sz="8" w:space="0"/>
              <w:right w:val="single" w:color="000000" w:sz="8" w:space="0"/>
            </w:tcBorders>
            <w:noWrap w:val="0"/>
            <w:vAlign w:val="center"/>
          </w:tcPr>
          <w:p w14:paraId="418241B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★普通照明用双端荧光灯</w:t>
            </w:r>
          </w:p>
        </w:tc>
        <w:tc>
          <w:tcPr>
            <w:tcW w:w="1612" w:type="dxa"/>
            <w:tcBorders>
              <w:top w:val="nil"/>
              <w:left w:val="nil"/>
              <w:bottom w:val="single" w:color="000000" w:sz="8" w:space="0"/>
              <w:right w:val="single" w:color="000000" w:sz="8" w:space="0"/>
            </w:tcBorders>
            <w:noWrap w:val="0"/>
            <w:vAlign w:val="center"/>
          </w:tcPr>
          <w:p w14:paraId="7FC5246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17EC75F">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《普通照明用双端荧光灯能效限定值及能效等级》（GB19043）</w:t>
            </w:r>
          </w:p>
        </w:tc>
      </w:tr>
      <w:tr w14:paraId="720630C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68CF1551">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4876FAB">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BF244F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LED道路/隧道照明产品</w:t>
            </w:r>
          </w:p>
        </w:tc>
        <w:tc>
          <w:tcPr>
            <w:tcW w:w="1612" w:type="dxa"/>
            <w:tcBorders>
              <w:top w:val="nil"/>
              <w:left w:val="nil"/>
              <w:bottom w:val="single" w:color="000000" w:sz="8" w:space="0"/>
              <w:right w:val="single" w:color="000000" w:sz="8" w:space="0"/>
            </w:tcBorders>
            <w:noWrap w:val="0"/>
            <w:vAlign w:val="center"/>
          </w:tcPr>
          <w:p w14:paraId="513C758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D5F926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《道路和隧道照明用LED灯具能效限定值及能效等级》（GB37478）</w:t>
            </w:r>
          </w:p>
        </w:tc>
      </w:tr>
      <w:tr w14:paraId="60D903A6">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2B7F635">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DD96923">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EFAB5A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LED筒灯</w:t>
            </w:r>
          </w:p>
        </w:tc>
        <w:tc>
          <w:tcPr>
            <w:tcW w:w="1612" w:type="dxa"/>
            <w:tcBorders>
              <w:top w:val="nil"/>
              <w:left w:val="nil"/>
              <w:bottom w:val="single" w:color="000000" w:sz="8" w:space="0"/>
              <w:right w:val="single" w:color="000000" w:sz="8" w:space="0"/>
            </w:tcBorders>
            <w:noWrap w:val="0"/>
            <w:vAlign w:val="center"/>
          </w:tcPr>
          <w:p w14:paraId="73F7541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1E746A8C">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《室内照明用LED产品能效限定值及能效等级》（GB30255）</w:t>
            </w:r>
          </w:p>
        </w:tc>
      </w:tr>
      <w:tr w14:paraId="44B7C149">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74E55CC">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61C8675">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DCA7DA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普通照明用非定向自镇流LED灯</w:t>
            </w:r>
          </w:p>
        </w:tc>
        <w:tc>
          <w:tcPr>
            <w:tcW w:w="1612" w:type="dxa"/>
            <w:tcBorders>
              <w:top w:val="nil"/>
              <w:left w:val="nil"/>
              <w:bottom w:val="single" w:color="000000" w:sz="8" w:space="0"/>
              <w:right w:val="single" w:color="000000" w:sz="8" w:space="0"/>
            </w:tcBorders>
            <w:noWrap w:val="0"/>
            <w:vAlign w:val="center"/>
          </w:tcPr>
          <w:p w14:paraId="65429FE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4DEDAE0D">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《室内照明用LED产品能效限定值及能效等级》（GB30255）</w:t>
            </w:r>
          </w:p>
        </w:tc>
      </w:tr>
      <w:tr w14:paraId="0DF3D174">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noWrap w:val="0"/>
            <w:vAlign w:val="center"/>
          </w:tcPr>
          <w:p w14:paraId="09B3CE21">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12</w:t>
            </w:r>
          </w:p>
        </w:tc>
        <w:tc>
          <w:tcPr>
            <w:tcW w:w="1116" w:type="dxa"/>
            <w:tcBorders>
              <w:top w:val="nil"/>
              <w:left w:val="nil"/>
              <w:bottom w:val="single" w:color="000000" w:sz="8" w:space="0"/>
              <w:right w:val="single" w:color="000000" w:sz="8" w:space="0"/>
            </w:tcBorders>
            <w:noWrap w:val="0"/>
            <w:vAlign w:val="center"/>
          </w:tcPr>
          <w:p w14:paraId="66FA368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★A020910电视设备</w:t>
            </w:r>
          </w:p>
        </w:tc>
        <w:tc>
          <w:tcPr>
            <w:tcW w:w="1516" w:type="dxa"/>
            <w:tcBorders>
              <w:top w:val="nil"/>
              <w:left w:val="nil"/>
              <w:bottom w:val="single" w:color="000000" w:sz="8" w:space="0"/>
              <w:right w:val="single" w:color="000000" w:sz="8" w:space="0"/>
            </w:tcBorders>
            <w:noWrap w:val="0"/>
            <w:vAlign w:val="center"/>
          </w:tcPr>
          <w:p w14:paraId="4DB3B4ED">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noWrap w:val="0"/>
            <w:vAlign w:val="center"/>
          </w:tcPr>
          <w:p w14:paraId="160FE9A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76E87179">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《平板电视能效限定值及能效等级》（GB24850）</w:t>
            </w:r>
          </w:p>
        </w:tc>
      </w:tr>
      <w:tr w14:paraId="4D648D67">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noWrap w:val="0"/>
            <w:vAlign w:val="center"/>
          </w:tcPr>
          <w:p w14:paraId="7DA039C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13</w:t>
            </w:r>
          </w:p>
        </w:tc>
        <w:tc>
          <w:tcPr>
            <w:tcW w:w="1116" w:type="dxa"/>
            <w:tcBorders>
              <w:top w:val="nil"/>
              <w:left w:val="nil"/>
              <w:bottom w:val="single" w:color="000000" w:sz="8" w:space="0"/>
              <w:right w:val="single" w:color="000000" w:sz="8" w:space="0"/>
            </w:tcBorders>
            <w:noWrap w:val="0"/>
            <w:vAlign w:val="center"/>
          </w:tcPr>
          <w:p w14:paraId="7B44CE4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noWrap w:val="0"/>
            <w:vAlign w:val="center"/>
          </w:tcPr>
          <w:p w14:paraId="73B0D240">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noWrap w:val="0"/>
            <w:vAlign w:val="center"/>
          </w:tcPr>
          <w:p w14:paraId="793D203F">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监视器</w:t>
            </w:r>
          </w:p>
        </w:tc>
        <w:tc>
          <w:tcPr>
            <w:tcW w:w="4584" w:type="dxa"/>
            <w:tcBorders>
              <w:top w:val="nil"/>
              <w:left w:val="nil"/>
              <w:bottom w:val="single" w:color="000000" w:sz="8" w:space="0"/>
              <w:right w:val="single" w:color="000000" w:sz="8" w:space="0"/>
            </w:tcBorders>
            <w:noWrap w:val="0"/>
            <w:vAlign w:val="center"/>
          </w:tcPr>
          <w:p w14:paraId="2AD0DD5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6E962C5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37E07D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14</w:t>
            </w:r>
          </w:p>
        </w:tc>
        <w:tc>
          <w:tcPr>
            <w:tcW w:w="1116" w:type="dxa"/>
            <w:tcBorders>
              <w:top w:val="nil"/>
              <w:left w:val="nil"/>
              <w:bottom w:val="single" w:color="000000" w:sz="8" w:space="0"/>
              <w:right w:val="single" w:color="000000" w:sz="8" w:space="0"/>
            </w:tcBorders>
            <w:noWrap w:val="0"/>
            <w:vAlign w:val="center"/>
          </w:tcPr>
          <w:p w14:paraId="3A49FC5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noWrap w:val="0"/>
            <w:vAlign w:val="center"/>
          </w:tcPr>
          <w:p w14:paraId="47F00D7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noWrap w:val="0"/>
            <w:vAlign w:val="center"/>
          </w:tcPr>
          <w:p w14:paraId="260A863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69F9186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《商用燃气灶具能效限定值及能效等级》（GB30531）</w:t>
            </w:r>
          </w:p>
        </w:tc>
      </w:tr>
      <w:tr w14:paraId="4CCF3E60">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noWrap w:val="0"/>
            <w:vAlign w:val="center"/>
          </w:tcPr>
          <w:p w14:paraId="1FC5672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01D99605">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★A060805便器</w:t>
            </w:r>
          </w:p>
        </w:tc>
        <w:tc>
          <w:tcPr>
            <w:tcW w:w="1516" w:type="dxa"/>
            <w:tcBorders>
              <w:top w:val="nil"/>
              <w:left w:val="nil"/>
              <w:bottom w:val="single" w:color="000000" w:sz="8" w:space="0"/>
              <w:right w:val="single" w:color="000000" w:sz="8" w:space="0"/>
            </w:tcBorders>
            <w:noWrap w:val="0"/>
            <w:vAlign w:val="center"/>
          </w:tcPr>
          <w:p w14:paraId="331B31F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坐便器</w:t>
            </w:r>
          </w:p>
        </w:tc>
        <w:tc>
          <w:tcPr>
            <w:tcW w:w="1612" w:type="dxa"/>
            <w:tcBorders>
              <w:top w:val="nil"/>
              <w:left w:val="nil"/>
              <w:bottom w:val="single" w:color="000000" w:sz="8" w:space="0"/>
              <w:right w:val="single" w:color="000000" w:sz="8" w:space="0"/>
            </w:tcBorders>
            <w:noWrap w:val="0"/>
            <w:vAlign w:val="center"/>
          </w:tcPr>
          <w:p w14:paraId="15470976">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5253BF48">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《坐便器水效限定值及水效等级》（GB25502）</w:t>
            </w:r>
          </w:p>
        </w:tc>
      </w:tr>
      <w:tr w14:paraId="680A24B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5B53F005">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2FFA47C">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A6E440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蹲便器</w:t>
            </w:r>
          </w:p>
        </w:tc>
        <w:tc>
          <w:tcPr>
            <w:tcW w:w="1612" w:type="dxa"/>
            <w:tcBorders>
              <w:top w:val="nil"/>
              <w:left w:val="nil"/>
              <w:bottom w:val="single" w:color="000000" w:sz="8" w:space="0"/>
              <w:right w:val="single" w:color="000000" w:sz="8" w:space="0"/>
            </w:tcBorders>
            <w:noWrap w:val="0"/>
            <w:vAlign w:val="center"/>
          </w:tcPr>
          <w:p w14:paraId="5791139E">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50F32900">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《蹲便器用水效率限定值及用水效率等级》（GB30717）</w:t>
            </w:r>
          </w:p>
        </w:tc>
      </w:tr>
      <w:tr w14:paraId="5C5B7EB7">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noWrap w:val="0"/>
            <w:vAlign w:val="center"/>
          </w:tcPr>
          <w:p w14:paraId="11262EAF">
            <w:pPr>
              <w:widowControl/>
              <w:jc w:val="left"/>
              <w:rPr>
                <w:rFonts w:hint="eastAsia" w:asciiTheme="minorEastAsia" w:hAnsiTheme="minorEastAsia" w:eastAsiaTheme="minorEastAsia" w:cstheme="minorEastAsia"/>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A4FFB45">
            <w:pPr>
              <w:widowControl/>
              <w:jc w:val="left"/>
              <w:rPr>
                <w:rFonts w:hint="eastAsia" w:asciiTheme="minorEastAsia" w:hAnsiTheme="minorEastAsia" w:eastAsiaTheme="minorEastAsia" w:cstheme="minorEastAsia"/>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5B6EC719">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小便器</w:t>
            </w:r>
          </w:p>
        </w:tc>
        <w:tc>
          <w:tcPr>
            <w:tcW w:w="1612" w:type="dxa"/>
            <w:tcBorders>
              <w:top w:val="nil"/>
              <w:left w:val="nil"/>
              <w:bottom w:val="single" w:color="000000" w:sz="8" w:space="0"/>
              <w:right w:val="single" w:color="000000" w:sz="8" w:space="0"/>
            </w:tcBorders>
            <w:noWrap w:val="0"/>
            <w:vAlign w:val="center"/>
          </w:tcPr>
          <w:p w14:paraId="4CACD73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43E51A05">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《小便器用水效率限定值及用水效率等级》（GB28377）</w:t>
            </w:r>
          </w:p>
        </w:tc>
      </w:tr>
      <w:tr w14:paraId="10266D9A">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370970E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16</w:t>
            </w:r>
          </w:p>
        </w:tc>
        <w:tc>
          <w:tcPr>
            <w:tcW w:w="1116" w:type="dxa"/>
            <w:tcBorders>
              <w:top w:val="nil"/>
              <w:left w:val="nil"/>
              <w:bottom w:val="single" w:color="000000" w:sz="8" w:space="0"/>
              <w:right w:val="single" w:color="000000" w:sz="8" w:space="0"/>
            </w:tcBorders>
            <w:noWrap w:val="0"/>
            <w:vAlign w:val="center"/>
          </w:tcPr>
          <w:p w14:paraId="2D837058">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★A060806水嘴</w:t>
            </w:r>
          </w:p>
        </w:tc>
        <w:tc>
          <w:tcPr>
            <w:tcW w:w="1516" w:type="dxa"/>
            <w:tcBorders>
              <w:top w:val="nil"/>
              <w:left w:val="nil"/>
              <w:bottom w:val="single" w:color="000000" w:sz="8" w:space="0"/>
              <w:right w:val="single" w:color="000000" w:sz="8" w:space="0"/>
            </w:tcBorders>
            <w:noWrap w:val="0"/>
            <w:vAlign w:val="center"/>
          </w:tcPr>
          <w:p w14:paraId="50F9ED6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0EBA79F2">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56641DD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《水嘴用水效率限定值及用水效率等级》（GB 25501）</w:t>
            </w:r>
          </w:p>
        </w:tc>
      </w:tr>
      <w:tr w14:paraId="11CC5576">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4AD85684">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17</w:t>
            </w:r>
          </w:p>
        </w:tc>
        <w:tc>
          <w:tcPr>
            <w:tcW w:w="1116" w:type="dxa"/>
            <w:tcBorders>
              <w:top w:val="nil"/>
              <w:left w:val="nil"/>
              <w:bottom w:val="single" w:color="000000" w:sz="8" w:space="0"/>
              <w:right w:val="single" w:color="000000" w:sz="8" w:space="0"/>
            </w:tcBorders>
            <w:noWrap w:val="0"/>
            <w:vAlign w:val="center"/>
          </w:tcPr>
          <w:p w14:paraId="21F4E50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noWrap w:val="0"/>
            <w:vAlign w:val="center"/>
          </w:tcPr>
          <w:p w14:paraId="5BDB7453">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32C8BB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02BE7971">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《便器冲洗阀用水效率限定值及用水效率等级》（GB28379）</w:t>
            </w:r>
          </w:p>
        </w:tc>
      </w:tr>
      <w:tr w14:paraId="102697F4">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noWrap w:val="0"/>
            <w:vAlign w:val="center"/>
          </w:tcPr>
          <w:p w14:paraId="61CEF26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18</w:t>
            </w:r>
          </w:p>
        </w:tc>
        <w:tc>
          <w:tcPr>
            <w:tcW w:w="1116" w:type="dxa"/>
            <w:tcBorders>
              <w:top w:val="nil"/>
              <w:left w:val="nil"/>
              <w:bottom w:val="single" w:color="000000" w:sz="8" w:space="0"/>
              <w:right w:val="single" w:color="000000" w:sz="8" w:space="0"/>
            </w:tcBorders>
            <w:noWrap w:val="0"/>
            <w:vAlign w:val="center"/>
          </w:tcPr>
          <w:p w14:paraId="13CCCA8A">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A060810淋浴器</w:t>
            </w:r>
          </w:p>
        </w:tc>
        <w:tc>
          <w:tcPr>
            <w:tcW w:w="1516" w:type="dxa"/>
            <w:tcBorders>
              <w:top w:val="nil"/>
              <w:left w:val="nil"/>
              <w:bottom w:val="single" w:color="000000" w:sz="8" w:space="0"/>
              <w:right w:val="single" w:color="000000" w:sz="8" w:space="0"/>
            </w:tcBorders>
            <w:noWrap w:val="0"/>
            <w:vAlign w:val="center"/>
          </w:tcPr>
          <w:p w14:paraId="47DF35DC">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6AABBB27">
            <w:pPr>
              <w:widowControl/>
              <w:jc w:val="center"/>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　</w:t>
            </w:r>
          </w:p>
        </w:tc>
        <w:tc>
          <w:tcPr>
            <w:tcW w:w="4584" w:type="dxa"/>
            <w:tcBorders>
              <w:top w:val="nil"/>
              <w:left w:val="nil"/>
              <w:bottom w:val="single" w:color="000000" w:sz="8" w:space="0"/>
              <w:right w:val="single" w:color="000000" w:sz="8" w:space="0"/>
            </w:tcBorders>
            <w:noWrap w:val="0"/>
            <w:vAlign w:val="center"/>
          </w:tcPr>
          <w:p w14:paraId="40E96CC7">
            <w:pPr>
              <w:widowControl/>
              <w:jc w:val="left"/>
              <w:rPr>
                <w:rFonts w:hint="eastAsia" w:asciiTheme="minorEastAsia" w:hAnsiTheme="minorEastAsia" w:eastAsiaTheme="minorEastAsia" w:cstheme="minorEastAsia"/>
                <w:color w:val="auto"/>
                <w:kern w:val="0"/>
                <w:sz w:val="20"/>
                <w:szCs w:val="20"/>
                <w:highlight w:val="none"/>
              </w:rPr>
            </w:pPr>
            <w:r>
              <w:rPr>
                <w:rFonts w:hint="eastAsia" w:asciiTheme="minorEastAsia" w:hAnsiTheme="minorEastAsia" w:eastAsiaTheme="minorEastAsia" w:cstheme="minorEastAsia"/>
                <w:color w:val="auto"/>
                <w:kern w:val="0"/>
                <w:sz w:val="20"/>
                <w:szCs w:val="20"/>
                <w:highlight w:val="none"/>
              </w:rPr>
              <w:t>《淋浴器用水效率限定值及用水效率等级》（GB28378）</w:t>
            </w:r>
          </w:p>
        </w:tc>
      </w:tr>
    </w:tbl>
    <w:p w14:paraId="25EAF8B1">
      <w:pPr>
        <w:pStyle w:val="9"/>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3"/>
          <w:szCs w:val="21"/>
          <w:highlight w:val="none"/>
        </w:rPr>
        <w:t>注：1.节能产品认证应依据相关国家标准的最新版本，依据国家标准中二级能效（水效）</w:t>
      </w:r>
      <w:r>
        <w:rPr>
          <w:rFonts w:hint="eastAsia" w:asciiTheme="minorEastAsia" w:hAnsiTheme="minorEastAsia" w:eastAsiaTheme="minorEastAsia" w:cstheme="minorEastAsia"/>
          <w:color w:val="auto"/>
          <w:szCs w:val="21"/>
          <w:highlight w:val="none"/>
        </w:rPr>
        <w:t>指标。</w:t>
      </w:r>
    </w:p>
    <w:p w14:paraId="2B76EADE">
      <w:pPr>
        <w:pStyle w:val="12"/>
        <w:jc w:val="lef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highlight w:val="none"/>
        </w:rPr>
        <w:t xml:space="preserve">    2.以“★”标注的为政府强制采购产品。</w:t>
      </w: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32"/>
          <w:szCs w:val="32"/>
          <w:highlight w:val="none"/>
        </w:rPr>
        <w:t>附件2：</w:t>
      </w:r>
    </w:p>
    <w:p w14:paraId="4B2287F8">
      <w:pPr>
        <w:spacing w:line="528" w:lineRule="exact"/>
        <w:jc w:val="center"/>
        <w:rPr>
          <w:rFonts w:hint="eastAsia" w:asciiTheme="minorEastAsia" w:hAnsiTheme="minorEastAsia" w:eastAsiaTheme="minorEastAsia" w:cstheme="minorEastAsia"/>
          <w:color w:val="auto"/>
          <w:sz w:val="40"/>
          <w:szCs w:val="40"/>
          <w:highlight w:val="none"/>
        </w:rPr>
      </w:pPr>
      <w:r>
        <w:rPr>
          <w:rFonts w:hint="eastAsia" w:asciiTheme="minorEastAsia" w:hAnsiTheme="minorEastAsia" w:eastAsiaTheme="minorEastAsia" w:cstheme="minorEastAsia"/>
          <w:color w:val="auto"/>
          <w:sz w:val="40"/>
          <w:szCs w:val="40"/>
          <w:highlight w:val="none"/>
        </w:rPr>
        <w:t>中小微企业划型标准</w:t>
      </w:r>
    </w:p>
    <w:tbl>
      <w:tblPr>
        <w:tblStyle w:val="18"/>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46C7FC4B">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33604E42">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177BDEF7">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3D243FB1">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05116592">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13204E2A">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599F212E">
            <w:pPr>
              <w:widowControl/>
              <w:jc w:val="left"/>
              <w:rPr>
                <w:rFonts w:hint="eastAsia" w:asciiTheme="minorEastAsia" w:hAnsiTheme="minorEastAsia" w:eastAsiaTheme="minorEastAsia" w:cstheme="minorEastAsia"/>
                <w:b/>
                <w:color w:val="auto"/>
                <w:kern w:val="0"/>
                <w:sz w:val="24"/>
                <w:highlight w:val="none"/>
              </w:rPr>
            </w:pPr>
            <w:r>
              <w:rPr>
                <w:rFonts w:hint="eastAsia" w:asciiTheme="minorEastAsia" w:hAnsiTheme="minorEastAsia" w:eastAsiaTheme="minorEastAsia" w:cstheme="minorEastAsia"/>
                <w:b/>
                <w:color w:val="auto"/>
                <w:kern w:val="0"/>
                <w:sz w:val="24"/>
                <w:highlight w:val="none"/>
              </w:rPr>
              <w:t>微型</w:t>
            </w:r>
          </w:p>
        </w:tc>
      </w:tr>
      <w:tr w14:paraId="1FB68DF3">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5C5A9496">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054B1EB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A13586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BA7F26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09D59B0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6B717D8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672D02B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F90DE1F">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2875572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507311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9BF0C5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6D3F9D0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F69DB0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4D63385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1219CE1">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ADB27C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E71DA4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4E941E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2000≤Y＜40000</w:t>
            </w:r>
          </w:p>
        </w:tc>
        <w:tc>
          <w:tcPr>
            <w:tcW w:w="1709" w:type="dxa"/>
            <w:tcBorders>
              <w:top w:val="nil"/>
              <w:left w:val="nil"/>
              <w:bottom w:val="single" w:color="auto" w:sz="4" w:space="0"/>
              <w:right w:val="single" w:color="auto" w:sz="4" w:space="0"/>
            </w:tcBorders>
            <w:noWrap w:val="0"/>
            <w:vAlign w:val="center"/>
          </w:tcPr>
          <w:p w14:paraId="32CFC5E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3CFE2D6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2848A81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B966226">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4EAD8D5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6A32C8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023B09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6000≤Y＜80000</w:t>
            </w:r>
          </w:p>
        </w:tc>
        <w:tc>
          <w:tcPr>
            <w:tcW w:w="1709" w:type="dxa"/>
            <w:tcBorders>
              <w:top w:val="nil"/>
              <w:left w:val="nil"/>
              <w:bottom w:val="single" w:color="auto" w:sz="4" w:space="0"/>
              <w:right w:val="single" w:color="auto" w:sz="4" w:space="0"/>
            </w:tcBorders>
            <w:noWrap w:val="0"/>
            <w:vAlign w:val="center"/>
          </w:tcPr>
          <w:p w14:paraId="345289A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4F00CD1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Y＜300</w:t>
            </w:r>
          </w:p>
        </w:tc>
      </w:tr>
      <w:tr w14:paraId="06A2E59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6AD86C0">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0D1B0A8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476A7F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882E5F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5000≤Z＜80000</w:t>
            </w:r>
          </w:p>
        </w:tc>
        <w:tc>
          <w:tcPr>
            <w:tcW w:w="1709" w:type="dxa"/>
            <w:tcBorders>
              <w:top w:val="nil"/>
              <w:left w:val="nil"/>
              <w:bottom w:val="single" w:color="auto" w:sz="4" w:space="0"/>
              <w:right w:val="single" w:color="auto" w:sz="4" w:space="0"/>
            </w:tcBorders>
            <w:noWrap w:val="0"/>
            <w:vAlign w:val="center"/>
          </w:tcPr>
          <w:p w14:paraId="77D2D8F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488A765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Z＜300</w:t>
            </w:r>
          </w:p>
        </w:tc>
      </w:tr>
      <w:tr w14:paraId="63AA6BA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8C20C81">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6E7832D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033FF6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B82C3E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20≤X＜200</w:t>
            </w:r>
          </w:p>
        </w:tc>
        <w:tc>
          <w:tcPr>
            <w:tcW w:w="1709" w:type="dxa"/>
            <w:tcBorders>
              <w:top w:val="nil"/>
              <w:left w:val="nil"/>
              <w:bottom w:val="single" w:color="auto" w:sz="4" w:space="0"/>
              <w:right w:val="single" w:color="auto" w:sz="4" w:space="0"/>
            </w:tcBorders>
            <w:noWrap w:val="0"/>
            <w:vAlign w:val="center"/>
          </w:tcPr>
          <w:p w14:paraId="72346D9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7EAEE4A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X＜5</w:t>
            </w:r>
          </w:p>
        </w:tc>
      </w:tr>
      <w:tr w14:paraId="035354F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4328B66">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EA1142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964C47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A9FCCB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5000≤Y＜40000</w:t>
            </w:r>
          </w:p>
        </w:tc>
        <w:tc>
          <w:tcPr>
            <w:tcW w:w="1709" w:type="dxa"/>
            <w:tcBorders>
              <w:top w:val="nil"/>
              <w:left w:val="nil"/>
              <w:bottom w:val="single" w:color="auto" w:sz="4" w:space="0"/>
              <w:right w:val="single" w:color="auto" w:sz="4" w:space="0"/>
            </w:tcBorders>
            <w:noWrap w:val="0"/>
            <w:vAlign w:val="center"/>
          </w:tcPr>
          <w:p w14:paraId="518779D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608BC6D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Y＜1000</w:t>
            </w:r>
          </w:p>
        </w:tc>
      </w:tr>
      <w:tr w14:paraId="48EC63C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7BE0E88">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61F3A5B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455A79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AAA421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50≤X＜300</w:t>
            </w:r>
          </w:p>
        </w:tc>
        <w:tc>
          <w:tcPr>
            <w:tcW w:w="1709" w:type="dxa"/>
            <w:tcBorders>
              <w:top w:val="nil"/>
              <w:left w:val="nil"/>
              <w:bottom w:val="single" w:color="auto" w:sz="4" w:space="0"/>
              <w:right w:val="single" w:color="auto" w:sz="4" w:space="0"/>
            </w:tcBorders>
            <w:noWrap w:val="0"/>
            <w:vAlign w:val="center"/>
          </w:tcPr>
          <w:p w14:paraId="51594D5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0E8BAD9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1D9285E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D70CA46">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21DCCB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98D215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9B9D40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500≤Y＜20000</w:t>
            </w:r>
          </w:p>
        </w:tc>
        <w:tc>
          <w:tcPr>
            <w:tcW w:w="1709" w:type="dxa"/>
            <w:tcBorders>
              <w:top w:val="nil"/>
              <w:left w:val="nil"/>
              <w:bottom w:val="single" w:color="auto" w:sz="4" w:space="0"/>
              <w:right w:val="single" w:color="auto" w:sz="4" w:space="0"/>
            </w:tcBorders>
            <w:noWrap w:val="0"/>
            <w:vAlign w:val="center"/>
          </w:tcPr>
          <w:p w14:paraId="753936A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2973EC4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929686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DE6CC87">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6E821BB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C26FC3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B39D87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50DB896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0C4D2B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17C0168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99067D7">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C93A1D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1F8223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23B794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3000≤Y＜30000</w:t>
            </w:r>
          </w:p>
        </w:tc>
        <w:tc>
          <w:tcPr>
            <w:tcW w:w="1709" w:type="dxa"/>
            <w:tcBorders>
              <w:top w:val="nil"/>
              <w:left w:val="nil"/>
              <w:bottom w:val="single" w:color="auto" w:sz="4" w:space="0"/>
              <w:right w:val="single" w:color="auto" w:sz="4" w:space="0"/>
            </w:tcBorders>
            <w:noWrap w:val="0"/>
            <w:vAlign w:val="center"/>
          </w:tcPr>
          <w:p w14:paraId="69786B4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76955CC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w:t>
            </w:r>
          </w:p>
        </w:tc>
      </w:tr>
      <w:tr w14:paraId="0B592F0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29BC487">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1F94B98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BEA7C8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2B6632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w:t>
            </w:r>
          </w:p>
        </w:tc>
        <w:tc>
          <w:tcPr>
            <w:tcW w:w="1709" w:type="dxa"/>
            <w:tcBorders>
              <w:top w:val="nil"/>
              <w:left w:val="nil"/>
              <w:bottom w:val="single" w:color="auto" w:sz="4" w:space="0"/>
              <w:right w:val="single" w:color="auto" w:sz="4" w:space="0"/>
            </w:tcBorders>
            <w:noWrap w:val="0"/>
            <w:vAlign w:val="center"/>
          </w:tcPr>
          <w:p w14:paraId="66E5A8A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454C035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42BAAC6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D9EC5D2">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A6CFC6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29B8CF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EA3672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1000≤Y＜30000</w:t>
            </w:r>
          </w:p>
        </w:tc>
        <w:tc>
          <w:tcPr>
            <w:tcW w:w="1709" w:type="dxa"/>
            <w:tcBorders>
              <w:top w:val="nil"/>
              <w:left w:val="nil"/>
              <w:bottom w:val="single" w:color="auto" w:sz="4" w:space="0"/>
              <w:right w:val="single" w:color="auto" w:sz="4" w:space="0"/>
            </w:tcBorders>
            <w:noWrap w:val="0"/>
            <w:vAlign w:val="center"/>
          </w:tcPr>
          <w:p w14:paraId="37D01C6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EEFFAF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06560F2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01F41B1">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346C8B7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632072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C73010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585330C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47CB319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X＜20</w:t>
            </w:r>
          </w:p>
        </w:tc>
      </w:tr>
      <w:tr w14:paraId="577187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C404D1C">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4D5D0A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B64164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67D5C2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2000≤Y＜30000</w:t>
            </w:r>
          </w:p>
        </w:tc>
        <w:tc>
          <w:tcPr>
            <w:tcW w:w="1709" w:type="dxa"/>
            <w:tcBorders>
              <w:top w:val="nil"/>
              <w:left w:val="nil"/>
              <w:bottom w:val="single" w:color="auto" w:sz="4" w:space="0"/>
              <w:right w:val="single" w:color="auto" w:sz="4" w:space="0"/>
            </w:tcBorders>
            <w:noWrap w:val="0"/>
            <w:vAlign w:val="center"/>
          </w:tcPr>
          <w:p w14:paraId="1BE074F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7128550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010AC9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BB12DD8">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018AED5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84F3BC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D75A5F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5EC006E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B821B5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37BE6C4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1ED32E0">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9E3821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66C07C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D367F8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785B4F3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55C6F08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2191144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E570B5D">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1015EF3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DF7C5F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26BF476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5943D4C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D7C0DA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75D0964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CE6907F">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514F74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C43968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CAEC8D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2000≤Y＜10000</w:t>
            </w:r>
          </w:p>
        </w:tc>
        <w:tc>
          <w:tcPr>
            <w:tcW w:w="1709" w:type="dxa"/>
            <w:tcBorders>
              <w:top w:val="nil"/>
              <w:left w:val="nil"/>
              <w:bottom w:val="single" w:color="auto" w:sz="4" w:space="0"/>
              <w:right w:val="single" w:color="auto" w:sz="4" w:space="0"/>
            </w:tcBorders>
            <w:noWrap w:val="0"/>
            <w:vAlign w:val="center"/>
          </w:tcPr>
          <w:p w14:paraId="4603DFE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71195F1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368149F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5C279E2">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7611077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C2085F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1DAE02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100≤X＜2000</w:t>
            </w:r>
          </w:p>
        </w:tc>
        <w:tc>
          <w:tcPr>
            <w:tcW w:w="1709" w:type="dxa"/>
            <w:tcBorders>
              <w:top w:val="nil"/>
              <w:left w:val="nil"/>
              <w:bottom w:val="single" w:color="auto" w:sz="4" w:space="0"/>
              <w:right w:val="single" w:color="auto" w:sz="4" w:space="0"/>
            </w:tcBorders>
            <w:noWrap w:val="0"/>
            <w:vAlign w:val="center"/>
          </w:tcPr>
          <w:p w14:paraId="002F1F3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CDFD4F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00F9C04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CA87FC4">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F51B63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2BA8BB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359492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1000≤Y＜100000</w:t>
            </w:r>
          </w:p>
        </w:tc>
        <w:tc>
          <w:tcPr>
            <w:tcW w:w="1709" w:type="dxa"/>
            <w:tcBorders>
              <w:top w:val="nil"/>
              <w:left w:val="nil"/>
              <w:bottom w:val="single" w:color="auto" w:sz="4" w:space="0"/>
              <w:right w:val="single" w:color="auto" w:sz="4" w:space="0"/>
            </w:tcBorders>
            <w:noWrap w:val="0"/>
            <w:vAlign w:val="center"/>
          </w:tcPr>
          <w:p w14:paraId="2780C5B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1297CFF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12650E8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E04E8CD">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2904D45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9FB927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960EC0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275DC7D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382D4A9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09DDF00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0F19CD2">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63DF78B">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7D9E7D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9A766D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1000≤Y＜10000</w:t>
            </w:r>
          </w:p>
        </w:tc>
        <w:tc>
          <w:tcPr>
            <w:tcW w:w="1709" w:type="dxa"/>
            <w:tcBorders>
              <w:top w:val="nil"/>
              <w:left w:val="nil"/>
              <w:bottom w:val="single" w:color="auto" w:sz="4" w:space="0"/>
              <w:right w:val="single" w:color="auto" w:sz="4" w:space="0"/>
            </w:tcBorders>
            <w:noWrap w:val="0"/>
            <w:vAlign w:val="center"/>
          </w:tcPr>
          <w:p w14:paraId="2E03BE0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16176BCE">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w:t>
            </w:r>
          </w:p>
        </w:tc>
      </w:tr>
      <w:tr w14:paraId="5749D92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3B642FB">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1FD68D01">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BAC5A7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5B16D3D">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1000≤Y＜200000</w:t>
            </w:r>
          </w:p>
        </w:tc>
        <w:tc>
          <w:tcPr>
            <w:tcW w:w="1709" w:type="dxa"/>
            <w:tcBorders>
              <w:top w:val="nil"/>
              <w:left w:val="nil"/>
              <w:bottom w:val="single" w:color="auto" w:sz="4" w:space="0"/>
              <w:right w:val="single" w:color="auto" w:sz="4" w:space="0"/>
            </w:tcBorders>
            <w:noWrap w:val="0"/>
            <w:vAlign w:val="center"/>
          </w:tcPr>
          <w:p w14:paraId="68B74A4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66BB4F2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0EB81C8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2EDC81">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1E7560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077C7F0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DD4623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5000≤Z＜10000</w:t>
            </w:r>
          </w:p>
        </w:tc>
        <w:tc>
          <w:tcPr>
            <w:tcW w:w="1709" w:type="dxa"/>
            <w:tcBorders>
              <w:top w:val="nil"/>
              <w:left w:val="nil"/>
              <w:bottom w:val="single" w:color="auto" w:sz="4" w:space="0"/>
              <w:right w:val="single" w:color="auto" w:sz="4" w:space="0"/>
            </w:tcBorders>
            <w:noWrap w:val="0"/>
            <w:vAlign w:val="center"/>
          </w:tcPr>
          <w:p w14:paraId="1DFC5B1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65FB3C00">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Y＜2000</w:t>
            </w:r>
          </w:p>
        </w:tc>
      </w:tr>
      <w:tr w14:paraId="5DC96A4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0E05386">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7AD6A67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B11997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A7CF4A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300≤X＜1000</w:t>
            </w:r>
          </w:p>
        </w:tc>
        <w:tc>
          <w:tcPr>
            <w:tcW w:w="1709" w:type="dxa"/>
            <w:tcBorders>
              <w:top w:val="nil"/>
              <w:left w:val="nil"/>
              <w:bottom w:val="single" w:color="auto" w:sz="4" w:space="0"/>
              <w:right w:val="single" w:color="auto" w:sz="4" w:space="0"/>
            </w:tcBorders>
            <w:noWrap w:val="0"/>
            <w:vAlign w:val="center"/>
          </w:tcPr>
          <w:p w14:paraId="2A4F1EB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3795FD5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X＜100</w:t>
            </w:r>
          </w:p>
        </w:tc>
      </w:tr>
      <w:tr w14:paraId="1312678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30492A5">
            <w:pPr>
              <w:widowControl/>
              <w:jc w:val="left"/>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C837026">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73F39AC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A2F8887">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1000≤Y＜5000</w:t>
            </w:r>
          </w:p>
        </w:tc>
        <w:tc>
          <w:tcPr>
            <w:tcW w:w="1709" w:type="dxa"/>
            <w:tcBorders>
              <w:top w:val="nil"/>
              <w:left w:val="nil"/>
              <w:bottom w:val="single" w:color="auto" w:sz="4" w:space="0"/>
              <w:right w:val="single" w:color="auto" w:sz="4" w:space="0"/>
            </w:tcBorders>
            <w:noWrap w:val="0"/>
            <w:vAlign w:val="center"/>
          </w:tcPr>
          <w:p w14:paraId="69854FA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28EF872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Y＜500</w:t>
            </w:r>
          </w:p>
        </w:tc>
      </w:tr>
      <w:tr w14:paraId="70C2BF1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3306F927">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07075AD4">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39C90B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F9E605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3C99348C">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529E1D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r w14:paraId="004033F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D253E36">
            <w:pPr>
              <w:widowControl/>
              <w:jc w:val="center"/>
              <w:rPr>
                <w:rFonts w:hint="eastAsia" w:asciiTheme="minorEastAsia" w:hAnsiTheme="minorEastAsia" w:eastAsiaTheme="minorEastAsia" w:cstheme="minorEastAsia"/>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B02C08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4C992FD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1405D9E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8000≤Z＜120000</w:t>
            </w:r>
          </w:p>
        </w:tc>
        <w:tc>
          <w:tcPr>
            <w:tcW w:w="1709" w:type="dxa"/>
            <w:tcBorders>
              <w:top w:val="nil"/>
              <w:left w:val="nil"/>
              <w:bottom w:val="single" w:color="auto" w:sz="4" w:space="0"/>
              <w:right w:val="single" w:color="auto" w:sz="4" w:space="0"/>
            </w:tcBorders>
            <w:noWrap w:val="0"/>
            <w:vAlign w:val="center"/>
          </w:tcPr>
          <w:p w14:paraId="2D7648BA">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4F7FCB25">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Y＜100</w:t>
            </w:r>
          </w:p>
        </w:tc>
      </w:tr>
      <w:tr w14:paraId="7D59A398">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2B38C853">
            <w:pPr>
              <w:widowControl/>
              <w:jc w:val="center"/>
              <w:rPr>
                <w:rFonts w:hint="eastAsia" w:asciiTheme="minorEastAsia" w:hAnsiTheme="minorEastAsia" w:eastAsiaTheme="minorEastAsia" w:cstheme="minorEastAsia"/>
                <w:b/>
                <w:bCs/>
                <w:color w:val="auto"/>
                <w:kern w:val="0"/>
                <w:sz w:val="18"/>
                <w:szCs w:val="18"/>
                <w:highlight w:val="none"/>
              </w:rPr>
            </w:pPr>
            <w:r>
              <w:rPr>
                <w:rFonts w:hint="eastAsia" w:asciiTheme="minorEastAsia" w:hAnsiTheme="minorEastAsia" w:eastAsiaTheme="minorEastAsia" w:cstheme="minorEastAsia"/>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15490E02">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269529D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5674F88">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100≤X＜300</w:t>
            </w:r>
          </w:p>
        </w:tc>
        <w:tc>
          <w:tcPr>
            <w:tcW w:w="1709" w:type="dxa"/>
            <w:tcBorders>
              <w:top w:val="nil"/>
              <w:left w:val="nil"/>
              <w:bottom w:val="single" w:color="auto" w:sz="4" w:space="0"/>
              <w:right w:val="single" w:color="auto" w:sz="4" w:space="0"/>
            </w:tcBorders>
            <w:noWrap w:val="0"/>
            <w:vAlign w:val="center"/>
          </w:tcPr>
          <w:p w14:paraId="679217C3">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0971FF19">
            <w:pPr>
              <w:widowControl/>
              <w:jc w:val="left"/>
              <w:rPr>
                <w:rFonts w:hint="eastAsia" w:asciiTheme="minorEastAsia" w:hAnsiTheme="minorEastAsia" w:eastAsiaTheme="minorEastAsia" w:cstheme="minorEastAsia"/>
                <w:color w:val="auto"/>
                <w:kern w:val="0"/>
                <w:sz w:val="18"/>
                <w:szCs w:val="18"/>
                <w:highlight w:val="none"/>
              </w:rPr>
            </w:pPr>
            <w:r>
              <w:rPr>
                <w:rFonts w:hint="eastAsia" w:asciiTheme="minorEastAsia" w:hAnsiTheme="minorEastAsia" w:eastAsiaTheme="minorEastAsia" w:cstheme="minorEastAsia"/>
                <w:color w:val="auto"/>
                <w:kern w:val="0"/>
                <w:sz w:val="18"/>
                <w:szCs w:val="18"/>
                <w:highlight w:val="none"/>
              </w:rPr>
              <w:t>X＜10</w:t>
            </w:r>
          </w:p>
        </w:tc>
      </w:tr>
    </w:tbl>
    <w:p w14:paraId="6B3B4C64">
      <w:pPr>
        <w:spacing w:line="240" w:lineRule="auto"/>
        <w:ind w:firstLine="525" w:firstLineChars="2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说明：上述标准参照《关于印发中小企业划型标准规定的通知》（工信部联企业</w:t>
      </w:r>
      <w:r>
        <w:rPr>
          <w:rFonts w:hint="eastAsia" w:asciiTheme="minorEastAsia" w:hAnsiTheme="minorEastAsia" w:eastAsiaTheme="minorEastAsia" w:cstheme="minorEastAsia"/>
          <w:color w:val="auto"/>
          <w:szCs w:val="21"/>
          <w:highlight w:val="none"/>
          <w:lang w:eastAsia="zh-CN"/>
        </w:rPr>
        <w:t>〔2011〕300号</w:t>
      </w:r>
      <w:r>
        <w:rPr>
          <w:rFonts w:hint="eastAsia" w:asciiTheme="minorEastAsia" w:hAnsiTheme="minorEastAsia" w:eastAsiaTheme="minorEastAsia" w:cstheme="minorEastAsia"/>
          <w:color w:val="auto"/>
          <w:szCs w:val="21"/>
          <w:highlight w:val="none"/>
        </w:rPr>
        <w:t>），大型、中型和小型企业须同时满足所列指标的下限，否则下划一档；微型企业只须满足所列指标中的一项即可。</w:t>
      </w:r>
    </w:p>
    <w:p w14:paraId="743A78C6">
      <w:pPr>
        <w:bidi w:val="0"/>
        <w:rPr>
          <w:rFonts w:hint="eastAsia" w:asciiTheme="minorEastAsia" w:hAnsiTheme="minorEastAsia" w:eastAsiaTheme="minorEastAsia" w:cstheme="minorEastAsia"/>
          <w:color w:val="auto"/>
          <w:highlight w:val="none"/>
        </w:rPr>
      </w:pPr>
    </w:p>
    <w:p w14:paraId="799645D1">
      <w:pPr>
        <w:pStyle w:val="2"/>
        <w:numPr>
          <w:ilvl w:val="0"/>
          <w:numId w:val="0"/>
        </w:numPr>
        <w:shd w:val="clear" w:color="auto" w:fill="auto"/>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br w:type="page"/>
      </w:r>
      <w:bookmarkStart w:id="165" w:name="_Toc13344"/>
      <w:r>
        <w:rPr>
          <w:rFonts w:hint="eastAsia" w:asciiTheme="minorEastAsia" w:hAnsiTheme="minorEastAsia" w:eastAsiaTheme="minorEastAsia" w:cstheme="minorEastAsia"/>
          <w:b/>
          <w:color w:val="auto"/>
          <w:kern w:val="44"/>
          <w:sz w:val="44"/>
          <w:szCs w:val="24"/>
          <w:highlight w:val="none"/>
          <w:lang w:val="en-US" w:eastAsia="zh-CN" w:bidi="ar-SA"/>
        </w:rPr>
        <w:t>第四章  评审程序、评审方法和评审标准</w:t>
      </w:r>
      <w:bookmarkEnd w:id="164"/>
      <w:bookmarkEnd w:id="165"/>
    </w:p>
    <w:p w14:paraId="69EF9877">
      <w:pPr>
        <w:shd w:val="clear" w:color="auto" w:fill="auto"/>
        <w:spacing w:line="360" w:lineRule="auto"/>
        <w:ind w:firstLine="643" w:firstLineChars="200"/>
        <w:jc w:val="center"/>
        <w:rPr>
          <w:rFonts w:hint="eastAsia" w:asciiTheme="minorEastAsia" w:hAnsiTheme="minorEastAsia" w:eastAsiaTheme="minorEastAsia" w:cstheme="minorEastAsia"/>
          <w:b/>
          <w:bCs/>
          <w:color w:val="auto"/>
          <w:sz w:val="32"/>
          <w:szCs w:val="32"/>
          <w:highlight w:val="none"/>
          <w:lang w:val="en-US" w:eastAsia="zh-CN"/>
        </w:rPr>
      </w:pPr>
      <w:bookmarkStart w:id="166" w:name="_Toc73550042"/>
      <w:r>
        <w:rPr>
          <w:rFonts w:hint="eastAsia" w:asciiTheme="minorEastAsia" w:hAnsiTheme="minorEastAsia" w:eastAsiaTheme="minorEastAsia" w:cstheme="minorEastAsia"/>
          <w:b/>
          <w:bCs/>
          <w:color w:val="auto"/>
          <w:sz w:val="32"/>
          <w:szCs w:val="32"/>
          <w:highlight w:val="none"/>
          <w:lang w:val="en-US" w:eastAsia="zh-CN"/>
        </w:rPr>
        <w:t>第一节 评审程序和评审方法</w:t>
      </w:r>
    </w:p>
    <w:p w14:paraId="3136862C">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1.资格审查</w:t>
      </w:r>
    </w:p>
    <w:p w14:paraId="352553AC">
      <w:pPr>
        <w:shd w:val="clear" w:color="auto" w:fill="auto"/>
        <w:snapToGrid w:val="0"/>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1.1响应文件开启后，谈判小组依法对供应商的资格证明文件进行审查。</w:t>
      </w:r>
    </w:p>
    <w:p w14:paraId="3230DB83">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（1）查询渠道：“信用中国”网站（www.creditchina.gov.cn）、中国政府采购网（</w:t>
      </w: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"http://www.ccgp.gov.cn"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highlight w:val="none"/>
        </w:rPr>
        <w:t>www.ccgp.gov.cn</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rPr>
        <w:t>）</w:t>
      </w:r>
    </w:p>
    <w:p w14:paraId="358BC22B">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（2）信用查询截止时点：资格审查结束前</w:t>
      </w:r>
    </w:p>
    <w:p w14:paraId="034B6E78">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（3）查询记录和证据留存方式：将查询网站中的查询记录截图并作为评审资料保存。</w:t>
      </w:r>
    </w:p>
    <w:p w14:paraId="1D38CECB">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（4）信用信息使用规则：根据财政部《关于在政府采购活动中查询及使用信用记录有关问题的通知》（财库〔2016〕125号）的规定，对在“信用中国”网站(www.creditchina.gov.cn)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BAF6C49">
      <w:pPr>
        <w:shd w:val="clear" w:color="auto" w:fill="auto"/>
        <w:snapToGri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1.2资格审查标准为本采购文件中载明对供应商资格要求的条件。资格审查采用合格制，凡符合采购文件规定的供应商资格要求的响应文件均通过资格审查。</w:t>
      </w:r>
    </w:p>
    <w:p w14:paraId="2BA1B79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1.3供应商有下列情形之一的，资格审查不通过，其响应文件按无效响应处理：</w:t>
      </w:r>
    </w:p>
    <w:p w14:paraId="15A474E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（1）不具备采购文件中规定的资格要求的；</w:t>
      </w:r>
    </w:p>
    <w:p w14:paraId="428B359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（2）响应文件的资格证明文件缺少任一项“供应商须知前附表”资格证明文件规定的“必须提供”的文件资料的；</w:t>
      </w:r>
    </w:p>
    <w:p w14:paraId="23CAE14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（3）响应文件中的资格证明文件出现任一项不符合“供应商须知前附表”资格证明文件规定的“必须提供”的文件资料要求或者无效的；</w:t>
      </w:r>
    </w:p>
    <w:p w14:paraId="4CB1340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2F23A19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1.4通过资格审查的合格供应商不足3家的，不得进入符合性审查环节，采购人或者采购代理机构应当重新开展采购活动。</w:t>
      </w:r>
    </w:p>
    <w:p w14:paraId="31A30E63">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2.符合性审查</w:t>
      </w:r>
    </w:p>
    <w:p w14:paraId="703C54D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bookmarkStart w:id="167" w:name="_Hlk42528882"/>
      <w:r>
        <w:rPr>
          <w:rFonts w:hint="eastAsia" w:asciiTheme="minorEastAsia" w:hAnsiTheme="minorEastAsia" w:eastAsiaTheme="minorEastAsia" w:cstheme="minorEastAsia"/>
          <w:color w:val="auto"/>
          <w:szCs w:val="21"/>
          <w:highlight w:val="none"/>
        </w:rPr>
        <w:t>2.1由谈判小组对资格审查的合格供应商的响应文件的竞标报价、商务、技术等实质性要求进行符合性审查，以确定其是否满足采购文件的实质性要求。</w:t>
      </w:r>
    </w:p>
    <w:bookmarkEnd w:id="167"/>
    <w:p w14:paraId="73EB817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8036A4">
      <w:pPr>
        <w:shd w:val="clear" w:color="auto" w:fill="auto"/>
        <w:spacing w:line="360" w:lineRule="auto"/>
        <w:ind w:firstLine="420" w:firstLineChars="200"/>
        <w:rPr>
          <w:rFonts w:hint="eastAsia" w:asciiTheme="minorEastAsia" w:hAnsiTheme="minorEastAsia" w:eastAsiaTheme="minorEastAsia" w:cstheme="minorEastAsia"/>
          <w:color w:val="auto"/>
          <w:spacing w:val="-6"/>
          <w:szCs w:val="21"/>
          <w:highlight w:val="none"/>
        </w:rPr>
      </w:pPr>
      <w:r>
        <w:rPr>
          <w:rFonts w:hint="eastAsia" w:asciiTheme="minorEastAsia" w:hAnsiTheme="minorEastAsia" w:eastAsiaTheme="minorEastAsia" w:cstheme="minorEastAsia"/>
          <w:color w:val="auto"/>
          <w:szCs w:val="21"/>
          <w:highlight w:val="none"/>
        </w:rPr>
        <w:t>2.3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授权代表签字或加盖供应商公章</w:t>
      </w:r>
      <w:r>
        <w:rPr>
          <w:rFonts w:hint="eastAsia" w:asciiTheme="minorEastAsia" w:hAnsiTheme="minorEastAsia" w:eastAsiaTheme="minorEastAsia" w:cstheme="minorEastAsia"/>
          <w:color w:val="auto"/>
          <w:spacing w:val="-6"/>
          <w:szCs w:val="21"/>
          <w:highlight w:val="none"/>
        </w:rPr>
        <w:t>。供应商为自然人的，必须由本人签字并附身份证明。</w:t>
      </w:r>
    </w:p>
    <w:p w14:paraId="129B3642">
      <w:pPr>
        <w:shd w:val="clear" w:color="auto" w:fill="auto"/>
        <w:spacing w:line="360" w:lineRule="auto"/>
        <w:ind w:firstLine="396"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6"/>
          <w:szCs w:val="21"/>
          <w:highlight w:val="none"/>
        </w:rPr>
        <w:t>2.4</w:t>
      </w:r>
      <w:r>
        <w:rPr>
          <w:rFonts w:hint="eastAsia" w:asciiTheme="minorEastAsia" w:hAnsiTheme="minorEastAsia" w:eastAsiaTheme="minorEastAsia" w:cstheme="minorEastAsia"/>
          <w:color w:val="auto"/>
          <w:szCs w:val="21"/>
          <w:highlight w:val="none"/>
        </w:rPr>
        <w:t xml:space="preserve">首次响应文件报价出现前后不一致的，按照下列规定修正： </w:t>
      </w:r>
    </w:p>
    <w:p w14:paraId="4B166B64">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（1）响应文件中报价表内容与响应文件中相应内容不一致的，以报价表为准；</w:t>
      </w:r>
    </w:p>
    <w:p w14:paraId="0E2F86A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（2）大写金额和小写金额不一致的，以大写金额为准；</w:t>
      </w:r>
    </w:p>
    <w:p w14:paraId="43FDA21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（3）单价金额小数点或者百分比有明显错位的，以报价表的总价为准，并修改单价；</w:t>
      </w:r>
    </w:p>
    <w:p w14:paraId="0AF69CE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（4）总价金额与按单价汇总金额不一致的，以单价金额计算结果为准。</w:t>
      </w:r>
    </w:p>
    <w:p w14:paraId="27B73A2A">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同时出现两种以上不一致的，按照以上（1）-（4）规定的顺序逐条进行修正。修正后的报价经供应商确认后产生约束力，供应商不确认的，其响应文件按无效响应处理。</w:t>
      </w:r>
    </w:p>
    <w:p w14:paraId="6B654A1A">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2.5商务技术报价评审</w:t>
      </w:r>
    </w:p>
    <w:p w14:paraId="7AD893A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在评审时，如发现下列情形之一的，将被视为响应文件无效响应处理：</w:t>
      </w:r>
    </w:p>
    <w:p w14:paraId="1C84E7F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（1）商务技术评审</w:t>
      </w:r>
    </w:p>
    <w:p w14:paraId="30D02BA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1）响应文件未按采购文件要求签署、盖章；</w:t>
      </w:r>
    </w:p>
    <w:p w14:paraId="3962C1D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2）委托代理人未能出具有效身份证或者出具的身份证与授权委托书中的信息不符的； </w:t>
      </w:r>
    </w:p>
    <w:p w14:paraId="030399A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3）提交的竞标保证金无效的或者未按照采购文件的规定提交竞标保证金；</w:t>
      </w:r>
    </w:p>
    <w:p w14:paraId="10CFB22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4）响应文件中的报价商务技术文件出现任一项不符合“供应商须知前附表”中“必须提供”或者“委托时必须提供”文件资料要求的规定或者提供的报价商务技术文件无效。</w:t>
      </w:r>
    </w:p>
    <w:p w14:paraId="5D93581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5）商务条款中标“▲”的条款发生负偏离或者允许负偏离的条款数超过“供应商须知前附表”规定项数的；</w:t>
      </w:r>
    </w:p>
    <w:p w14:paraId="09F236C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6）未对竞标有效期作出响应或者响应文件承诺的竞标有效期不满足采购文件要求；</w:t>
      </w:r>
    </w:p>
    <w:p w14:paraId="320E8EC0">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7）响应文件的实质性内容未使用中文表述、使用计量单位不符合采购文件要求；</w:t>
      </w:r>
    </w:p>
    <w:p w14:paraId="5EC7BCE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8）响应文件中的文件资料因填写不齐全或者内容虚假或者出现其他情形而导致被谈判小组认定无效；</w:t>
      </w:r>
    </w:p>
    <w:p w14:paraId="594A3EF4">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9）响应文件含有采购人不能接受的附加条件；</w:t>
      </w:r>
    </w:p>
    <w:p w14:paraId="0E838C8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10）属于“供应商须知正文”第7.5条情形；</w:t>
      </w:r>
    </w:p>
    <w:p w14:paraId="4E583CC4">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11）技术要求中标“▲”的条款发生负偏离或允许负偏离的条款数超过“供应商须知前附表”规定项数的；</w:t>
      </w:r>
    </w:p>
    <w:p w14:paraId="7AB204B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12）虚假竞标，或者出现其他情形而导致被谈判小组认定无效；</w:t>
      </w:r>
    </w:p>
    <w:p w14:paraId="022F0652">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w:t>
      </w:r>
      <w:bookmarkStart w:id="168" w:name="_Hlk71704147"/>
      <w:r>
        <w:rPr>
          <w:rFonts w:hint="eastAsia" w:asciiTheme="minorEastAsia" w:hAnsiTheme="minorEastAsia" w:eastAsiaTheme="minorEastAsia" w:cstheme="minorEastAsia"/>
          <w:color w:val="auto"/>
          <w:szCs w:val="21"/>
          <w:highlight w:val="none"/>
        </w:rPr>
        <w:t>采购文件未载明允许提供备选（替代）竞标方案或明确不允许提供备选（替代）竞标方案时，供应商提供了备选（替代）竞标方案的；</w:t>
      </w:r>
      <w:bookmarkEnd w:id="168"/>
    </w:p>
    <w:p w14:paraId="4D57BAF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14）响应文件标注的项目名称或者项目编号与采购文件标注的项目名称或者项目编号不一致的；</w:t>
      </w:r>
    </w:p>
    <w:p w14:paraId="5C91CB5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15）竞争性谈判文件明确不允许分包，响应文件拟分包的；</w:t>
      </w:r>
    </w:p>
    <w:p w14:paraId="539734D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16）未响应采购文件实质性要求；</w:t>
      </w:r>
    </w:p>
    <w:p w14:paraId="213AA204">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17）法律、法规和采购文件规定的其他无效情形。</w:t>
      </w:r>
    </w:p>
    <w:p w14:paraId="5492C99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（2）报价评审</w:t>
      </w:r>
    </w:p>
    <w:p w14:paraId="4C9D0920">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响应文件未提供“供应商须知前附表” 报价商务技术文件中规定的“竞标报价表”；</w:t>
      </w:r>
    </w:p>
    <w:p w14:paraId="4F7BFE51">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2）未采用人民币报价或者未按照采购文件标明的币种报价；</w:t>
      </w:r>
    </w:p>
    <w:p w14:paraId="6A8ADA9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采购文件允许有备选方案或者其他约定的除外）；</w:t>
      </w:r>
    </w:p>
    <w:p w14:paraId="5F2B1991">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4）竞标报价（包含首次报价、最后报价</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综合单价报价</w:t>
      </w:r>
      <w:r>
        <w:rPr>
          <w:rFonts w:hint="eastAsia" w:asciiTheme="minorEastAsia" w:hAnsiTheme="minorEastAsia" w:eastAsiaTheme="minorEastAsia" w:cstheme="minorEastAsia"/>
          <w:color w:val="auto"/>
          <w:szCs w:val="21"/>
          <w:highlight w:val="none"/>
        </w:rPr>
        <w:t>）超过所竞标分标规定的采购预算金额或者最高限价的（如本项目公布了最高限价）；竞标报价（包含首次报价、最后报价</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综合单价报价</w:t>
      </w:r>
      <w:r>
        <w:rPr>
          <w:rFonts w:hint="eastAsia" w:asciiTheme="minorEastAsia" w:hAnsiTheme="minorEastAsia" w:eastAsiaTheme="minorEastAsia" w:cstheme="minorEastAsia"/>
          <w:color w:val="auto"/>
          <w:szCs w:val="21"/>
          <w:highlight w:val="none"/>
        </w:rPr>
        <w:t>）</w:t>
      </w:r>
      <w:bookmarkStart w:id="169" w:name="_Hlk42596276"/>
      <w:r>
        <w:rPr>
          <w:rFonts w:hint="eastAsia" w:asciiTheme="minorEastAsia" w:hAnsiTheme="minorEastAsia" w:eastAsiaTheme="minorEastAsia" w:cstheme="minorEastAsia"/>
          <w:color w:val="auto"/>
          <w:szCs w:val="21"/>
          <w:highlight w:val="none"/>
        </w:rPr>
        <w:t>超过</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文件分项采购预算金额或者最高限价的</w:t>
      </w:r>
      <w:bookmarkEnd w:id="169"/>
      <w:r>
        <w:rPr>
          <w:rFonts w:hint="eastAsia" w:asciiTheme="minorEastAsia" w:hAnsiTheme="minorEastAsia" w:eastAsiaTheme="minorEastAsia" w:cstheme="minorEastAsia"/>
          <w:color w:val="auto"/>
          <w:szCs w:val="21"/>
          <w:highlight w:val="none"/>
        </w:rPr>
        <w:t>（如本项目公布了最高限价）；</w:t>
      </w:r>
      <w:bookmarkStart w:id="170" w:name="_Hlk42596405"/>
      <w:r>
        <w:rPr>
          <w:rFonts w:hint="eastAsia" w:asciiTheme="minorEastAsia" w:hAnsiTheme="minorEastAsia" w:eastAsiaTheme="minorEastAsia" w:cstheme="minorEastAsia"/>
          <w:color w:val="auto"/>
          <w:szCs w:val="21"/>
          <w:highlight w:val="none"/>
        </w:rPr>
        <w:t xml:space="preserve"> </w:t>
      </w:r>
      <w:bookmarkEnd w:id="170"/>
    </w:p>
    <w:p w14:paraId="6DDC9313">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5）修正后的报价，供应商不确认的；或者经供应商确认修正后的竞标报价（包含首次报价、最后报价</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综合单价报价</w:t>
      </w:r>
      <w:r>
        <w:rPr>
          <w:rFonts w:hint="eastAsia" w:asciiTheme="minorEastAsia" w:hAnsiTheme="minorEastAsia" w:eastAsiaTheme="minorEastAsia" w:cstheme="minorEastAsia"/>
          <w:color w:val="auto"/>
          <w:szCs w:val="21"/>
          <w:highlight w:val="none"/>
        </w:rPr>
        <w:t>）超过所竞标分标规定的采购预算金额或者最高限价（如本项目公布了最高限价）；或者经供应商确认修正后竞标报价（包含首次报价、最后报价</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综合单价报价</w:t>
      </w:r>
      <w:r>
        <w:rPr>
          <w:rFonts w:hint="eastAsia" w:asciiTheme="minorEastAsia" w:hAnsiTheme="minorEastAsia" w:eastAsiaTheme="minorEastAsia" w:cstheme="minorEastAsia"/>
          <w:color w:val="auto"/>
          <w:szCs w:val="21"/>
          <w:highlight w:val="none"/>
        </w:rPr>
        <w:t>）超过</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文件分项采购预算金额或者最高限价的（如本项目公布了最高限价）；</w:t>
      </w:r>
    </w:p>
    <w:p w14:paraId="3C9E3F1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6）在单价合同工程中供应商采用总价优惠或以总价百分比优惠的方式进行竞标报价的；</w:t>
      </w:r>
    </w:p>
    <w:p w14:paraId="31CBDD15">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7）竞标总报价与已标价工程量清单汇总表不一致的；</w:t>
      </w:r>
    </w:p>
    <w:p w14:paraId="3A89716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8）安全文明施工费和规费、增值税不按广西区费用定额及造价管理相关文件规定报价的（园林绿化及仿古建筑工程除外）；</w:t>
      </w:r>
    </w:p>
    <w:p w14:paraId="2B5C51CE">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9）供应商已标价工程量清单的项目编码（12位）、计量单位、工程量任何一处与工程量清单不一致的； </w:t>
      </w:r>
    </w:p>
    <w:p w14:paraId="1681381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10）供应商已标价工程量清单的项目名称或项目特征与工程量清单不一致；</w:t>
      </w:r>
    </w:p>
    <w:p w14:paraId="2D57B080">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11）设有暂估价、暂列金额的，竞标时未按工程量清单给出的暂估价总价、暂列金额总价计入竞标总报价中的；</w:t>
      </w:r>
    </w:p>
    <w:p w14:paraId="70ECE32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12）供应商对工程量清单内容进行增减或对竞标范围进行调整的；</w:t>
      </w:r>
    </w:p>
    <w:p w14:paraId="436BDC8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13）响应文件响应的标的数量及单位与</w:t>
      </w:r>
      <w:r>
        <w:rPr>
          <w:rFonts w:hint="eastAsia" w:asciiTheme="minorEastAsia" w:hAnsiTheme="minorEastAsia" w:eastAsiaTheme="minorEastAsia" w:cstheme="minorEastAsia"/>
          <w:color w:val="auto"/>
          <w:szCs w:val="21"/>
          <w:highlight w:val="none"/>
          <w:lang w:eastAsia="zh-CN"/>
        </w:rPr>
        <w:t>竞争性谈判</w:t>
      </w:r>
      <w:r>
        <w:rPr>
          <w:rFonts w:hint="eastAsia" w:asciiTheme="minorEastAsia" w:hAnsiTheme="minorEastAsia" w:eastAsiaTheme="minorEastAsia" w:cstheme="minorEastAsia"/>
          <w:color w:val="auto"/>
          <w:szCs w:val="21"/>
          <w:highlight w:val="none"/>
        </w:rPr>
        <w:t>采购文件要求实质性不一致的；</w:t>
      </w:r>
    </w:p>
    <w:p w14:paraId="784E9901">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14）</w:t>
      </w:r>
      <w:r>
        <w:rPr>
          <w:rFonts w:hint="eastAsia" w:asciiTheme="minorEastAsia" w:hAnsiTheme="minorEastAsia" w:eastAsiaTheme="minorEastAsia" w:cstheme="minorEastAsia"/>
          <w:color w:val="auto"/>
          <w:szCs w:val="21"/>
          <w:highlight w:val="none"/>
          <w:lang w:val="en-US" w:eastAsia="zh-CN"/>
        </w:rPr>
        <w:t>谈判小组认为竞标人的报价明显低于其他通过符合性审查竞标人的报价，有可能低于其个别成本影响工程质量或者不能诚信履约的，谈判小组应当要求其在评标现场合理的时间内提供书面说明并提供相关证明材料。如无法提供说明或者不能提供相关证明材料，或者说明或证明材料不足以证明其报价合理性的，经谈判小组评定，响应文件按无效处理；</w:t>
      </w:r>
    </w:p>
    <w:p w14:paraId="39B6BA2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15）未按采购文件第五章《已标价工程量清单编制说明》编制《已标价工程量清单》的；</w:t>
      </w:r>
    </w:p>
    <w:p w14:paraId="5B1252E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16）</w:t>
      </w:r>
      <w:r>
        <w:rPr>
          <w:rFonts w:hint="eastAsia" w:asciiTheme="minorEastAsia" w:hAnsiTheme="minorEastAsia" w:eastAsiaTheme="minorEastAsia" w:cstheme="minorEastAsia"/>
          <w:color w:val="auto"/>
          <w:szCs w:val="21"/>
          <w:highlight w:val="none"/>
        </w:rPr>
        <w:t>未响应</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文件实质性要求的</w:t>
      </w:r>
      <w:r>
        <w:rPr>
          <w:rFonts w:hint="eastAsia" w:asciiTheme="minorEastAsia" w:hAnsiTheme="minorEastAsia" w:eastAsiaTheme="minorEastAsia" w:cstheme="minorEastAsia"/>
          <w:color w:val="auto"/>
          <w:szCs w:val="21"/>
          <w:highlight w:val="none"/>
          <w:lang w:eastAsia="zh-CN"/>
        </w:rPr>
        <w:t>。</w:t>
      </w:r>
    </w:p>
    <w:p w14:paraId="289BDED4">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谈判小组对响应文件进行评审，未实质性响应采购文件的响应文件按无效响应处理，谈判小组应当将资格和符合性不通过的情况告知有关供应商。谈判小组从符合采购文件规定的相应资格条件的供应商名单中确定不少于3家的供应商参加谈判。</w:t>
      </w:r>
    </w:p>
    <w:p w14:paraId="2C85875C">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3.谈判程序</w:t>
      </w:r>
    </w:p>
    <w:p w14:paraId="59BDF61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3.1谈判小组按照“供应商须知前附表”</w:t>
      </w: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kern w:val="0"/>
          <w:szCs w:val="21"/>
          <w:highlight w:val="none"/>
        </w:rPr>
        <w:t>确定的</w:t>
      </w:r>
      <w:r>
        <w:rPr>
          <w:rFonts w:hint="eastAsia" w:asciiTheme="minorEastAsia" w:hAnsiTheme="minorEastAsia" w:eastAsiaTheme="minorEastAsia" w:cstheme="minorEastAsia"/>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46DA2844">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在谈判过程中，谈判小组可以根据采购文件和谈判情况实质性变动采购需求中的技术、服务要求以及合同草案条款，但不得变动采购文件中的其他内容。实质性变动的内容，须经采购人代表确认。可能实质性变动的内容为采购需求中的技术、服务要求以及合同草案条款。</w:t>
      </w:r>
    </w:p>
    <w:p w14:paraId="6CE890C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3.3对采购文件作出的实质性变动是采购文件的有效组成部分，由谈判小组及时以电子谈判记录形式同时通知所有参加谈判的供应商。</w:t>
      </w:r>
    </w:p>
    <w:p w14:paraId="1D66A5CB">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供应商必须按照采购文件的变动情况和谈判小组的要求以电子回函的形式重新提交响应文件，并由其法定代表人或者授权代表签字或者加盖供应商公章。供应商为自然人的，必须由本人签字并附身份证明。参加谈判的供应商未在规定时间内以电子回函的形式重新提交响应文件的，视同退出谈判。</w:t>
      </w:r>
    </w:p>
    <w:p w14:paraId="124B323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3.5谈判中，</w:t>
      </w:r>
      <w:r>
        <w:rPr>
          <w:rFonts w:hint="eastAsia" w:asciiTheme="minorEastAsia" w:hAnsiTheme="minorEastAsia" w:eastAsiaTheme="minorEastAsia" w:cstheme="minorEastAsia"/>
          <w:color w:val="auto"/>
          <w:spacing w:val="-6"/>
          <w:szCs w:val="21"/>
          <w:highlight w:val="none"/>
        </w:rPr>
        <w:t>谈判的任何一方不得透露与谈判有关的其他供应商的技术资料、价格和其他信息。</w:t>
      </w:r>
    </w:p>
    <w:p w14:paraId="0C1AB859">
      <w:pPr>
        <w:shd w:val="clear" w:color="auto" w:fill="auto"/>
        <w:tabs>
          <w:tab w:val="left" w:pos="2835"/>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3.6对谈判过程提交的响应文件进行有效性、完整性和响应程度审查，通过审查的合格供应商不足3家的，采购人或者采购代理机构应当重新开展采购活动。</w:t>
      </w:r>
    </w:p>
    <w:p w14:paraId="0F710DA5">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3330AF37">
      <w:pPr>
        <w:shd w:val="clear" w:color="auto" w:fill="auto"/>
        <w:tabs>
          <w:tab w:val="left" w:pos="2835"/>
        </w:tabs>
        <w:spacing w:line="360" w:lineRule="auto"/>
        <w:ind w:firstLine="420" w:firstLineChars="200"/>
        <w:rPr>
          <w:rFonts w:hint="eastAsia" w:asciiTheme="minorEastAsia" w:hAnsiTheme="minorEastAsia" w:eastAsiaTheme="minorEastAsia" w:cstheme="minorEastAsia"/>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.8除本章3.7条规定的情形外，通过符合性审查的合格供应商不足3家的，不得进入谈判环节，应当重新开展采购活动。</w:t>
      </w:r>
    </w:p>
    <w:p w14:paraId="31A7CE2A">
      <w:pPr>
        <w:shd w:val="clear" w:color="auto" w:fill="auto"/>
        <w:spacing w:line="360" w:lineRule="auto"/>
        <w:ind w:firstLine="482"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 w:val="24"/>
          <w:highlight w:val="none"/>
        </w:rPr>
        <w:t>4. 最后报价</w:t>
      </w:r>
    </w:p>
    <w:p w14:paraId="4BF21D11">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采购文件能够详细列明采购标的的技术、服务要求的，谈判结束后，由谈判小组要求所有继续参加谈判的供应商在规定时间内以电子文件形式提交最后报价，提交最后报价的供应商不得少于3家，否则必须重新采购。</w:t>
      </w:r>
    </w:p>
    <w:p w14:paraId="45F4FA62">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4.2采购文件不能详细列明采购标的的技术、服务要求，需经谈判由供应商提供最后设计方案或者解决方案的，谈判结束后，由谈判小组按照少数服从多数的原则投票推荐3家以上供应商的设计方案或者解决方案，并要求其在规定时间内以电子文件形式提交最后报价。</w:t>
      </w:r>
    </w:p>
    <w:p w14:paraId="4B49A21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4.3 最后报价是供应商响应文件的有效组成部分。</w:t>
      </w:r>
      <w:r>
        <w:rPr>
          <w:rFonts w:hint="eastAsia" w:asciiTheme="minorEastAsia" w:hAnsiTheme="minorEastAsia" w:eastAsiaTheme="minorEastAsia" w:cstheme="minorEastAsia"/>
          <w:b/>
          <w:bCs/>
          <w:color w:val="auto"/>
          <w:szCs w:val="21"/>
          <w:highlight w:val="none"/>
        </w:rPr>
        <w:t>如果供应商的最后报价与首次报价不一致的，不能只报竞标总报价，必须同时提供“已标价工程量清单”，否则做无效响应处理。</w:t>
      </w:r>
    </w:p>
    <w:p w14:paraId="658F31C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4.4已经提交响应文件的供应商，在提交最后报价之前，可以根据谈判情况退出谈判，退出谈判的供应商的响应文件按无效响应处理。采购人、采购代理机构将退还退出谈判的供应商的保证金。</w:t>
      </w:r>
    </w:p>
    <w:p w14:paraId="63029BFF">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4.5供应商未在规定时间内提交最后报价的，视同退出谈判。</w:t>
      </w:r>
    </w:p>
    <w:p w14:paraId="0D7956E8">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4.6谈判小组收齐某一分标最后报价后或达到规定时间后统一开启，谈判小组对最后报价进行有效性、完整性和响应程度的审查。</w:t>
      </w:r>
    </w:p>
    <w:p w14:paraId="566D945D">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4.7响应文件最后报价出现前后不一致的，按照本章第2.4条的规定修正。 </w:t>
      </w:r>
    </w:p>
    <w:p w14:paraId="4FE18429">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4.8经供应商确认修正后的最后报价作为评审及签订合同的依据。</w:t>
      </w:r>
    </w:p>
    <w:p w14:paraId="6471284C">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4.9供应商出现最后报价按无效响应处理或者响应文件按无效响应处理时，谈判小组应当告知有关供应商。</w:t>
      </w:r>
    </w:p>
    <w:p w14:paraId="24ECCCA6">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4.10最后报价结束后，谈判小组不得再与供应商进行任何形式的商谈。</w:t>
      </w:r>
    </w:p>
    <w:p w14:paraId="23836372">
      <w:pPr>
        <w:shd w:val="clear" w:color="auto" w:fill="auto"/>
        <w:spacing w:line="360" w:lineRule="auto"/>
        <w:ind w:firstLine="482" w:firstLineChars="200"/>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t>5. 最后报价政府采购政策性扣除</w:t>
      </w:r>
    </w:p>
    <w:p w14:paraId="5D51237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.1评审价为供应商的最后报价进行政策性扣除后的价格，评审价只是作为评审时使用。最终成交供应商的成交金额等于最后报价（如有修正，以确认修正后的最后报价为准）。</w:t>
      </w:r>
    </w:p>
    <w:p w14:paraId="5F9FD43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.2政策性扣除计算方法</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本项目如为</w:t>
      </w:r>
      <w:r>
        <w:rPr>
          <w:rFonts w:hint="eastAsia" w:ascii="宋体" w:hAnsi="宋体" w:eastAsia="宋体" w:cs="宋体"/>
          <w:color w:val="auto"/>
          <w:szCs w:val="21"/>
          <w:highlight w:val="none"/>
        </w:rPr>
        <w:t>专门面向中小企业采购的项目（供应商应为中小微企业、监狱企业、残疾人福利性单位)</w:t>
      </w:r>
      <w:r>
        <w:rPr>
          <w:rFonts w:hint="eastAsia" w:ascii="宋体" w:hAnsi="宋体" w:eastAsia="宋体" w:cs="宋体"/>
          <w:color w:val="auto"/>
          <w:szCs w:val="21"/>
          <w:highlight w:val="none"/>
          <w:lang w:val="en-US" w:eastAsia="zh-CN"/>
        </w:rPr>
        <w:t>项目，所有投标人必须为中小企业，最终报价不再享受价格折扣，即：最终报价=评审价。）</w:t>
      </w:r>
    </w:p>
    <w:p w14:paraId="7637ECF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（1）根据《政府采购促进中小企业发展管理办法》（财库〔2020〕46号）、《广西壮族自治区财政厅关于持续优化政府采购营商环境推动高质量发展的通知》（桂财采〔2024〕55 号）的规定，供应商在其响应文件中提供《中小企业声明函》，且其竞标全部工程均由小微企业提供的，对供应商的竞标报价给予5%的扣除，扣除后的价格为评审价，即评审价=竞标报价×（1-</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（范围为3%—5%）</w:t>
      </w:r>
      <w:r>
        <w:rPr>
          <w:rFonts w:hint="eastAsia" w:asciiTheme="minorEastAsia" w:hAnsiTheme="minorEastAsia" w:eastAsiaTheme="minorEastAsia" w:cstheme="minorEastAsia"/>
          <w:color w:val="auto"/>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2% （范围为1%-2%） 的扣除，用扣除后的价格参加评审，扣除后的价格为评审价，即评审价=竞标报价×（1-2%）。</w:t>
      </w:r>
    </w:p>
    <w:p w14:paraId="1CF6797B">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5E3CA04">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EC4F315">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除上述情况外，评审价＝最后报价。</w:t>
      </w:r>
    </w:p>
    <w:p w14:paraId="6A94D317">
      <w:pPr>
        <w:shd w:val="clear" w:color="auto" w:fill="auto"/>
        <w:spacing w:line="360" w:lineRule="auto"/>
        <w:ind w:firstLine="420" w:firstLineChars="200"/>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kern w:val="0"/>
          <w:highlight w:val="none"/>
          <w:lang w:val="en-US" w:eastAsia="zh-CN"/>
        </w:rPr>
        <w:t>5</w:t>
      </w:r>
      <w:r>
        <w:rPr>
          <w:rFonts w:hint="eastAsia" w:asciiTheme="minorEastAsia" w:hAnsiTheme="minorEastAsia" w:eastAsiaTheme="minorEastAsia" w:cstheme="minorEastAsia"/>
          <w:color w:val="auto"/>
          <w:kern w:val="0"/>
          <w:highlight w:val="none"/>
        </w:rPr>
        <w:t>.</w:t>
      </w:r>
      <w:r>
        <w:rPr>
          <w:rFonts w:hint="eastAsia" w:asciiTheme="minorEastAsia" w:hAnsiTheme="minorEastAsia" w:eastAsiaTheme="minorEastAsia" w:cstheme="minorEastAsia"/>
          <w:color w:val="auto"/>
          <w:kern w:val="0"/>
          <w:highlight w:val="none"/>
          <w:lang w:val="en-US" w:eastAsia="zh-CN"/>
        </w:rPr>
        <w:t>4</w:t>
      </w:r>
      <w:r>
        <w:rPr>
          <w:rFonts w:hint="eastAsia" w:asciiTheme="minorEastAsia" w:hAnsiTheme="minorEastAsia" w:eastAsiaTheme="minorEastAsia" w:cstheme="minorEastAsia"/>
          <w:color w:val="auto"/>
          <w:kern w:val="0"/>
          <w:highlight w:val="none"/>
        </w:rPr>
        <w:t>除资格性审查认定错误和价格计算错误外，采购人或者采购代理机构不得以任何理由组织重新评审</w:t>
      </w:r>
      <w:r>
        <w:rPr>
          <w:rFonts w:hint="eastAsia" w:asciiTheme="minorEastAsia" w:hAnsiTheme="minorEastAsia" w:eastAsiaTheme="minorEastAsia" w:cstheme="minorEastAsia"/>
          <w:color w:val="auto"/>
          <w:szCs w:val="21"/>
          <w:highlight w:val="none"/>
          <w:lang w:val="en-US" w:eastAsia="zh-CN"/>
        </w:rPr>
        <w:t>。</w:t>
      </w:r>
    </w:p>
    <w:p w14:paraId="098939F3">
      <w:pPr>
        <w:pStyle w:val="9"/>
        <w:numPr>
          <w:ilvl w:val="0"/>
          <w:numId w:val="0"/>
        </w:numPr>
        <w:spacing w:before="78" w:line="218" w:lineRule="auto"/>
        <w:ind w:left="483" w:leftChars="0"/>
        <w:rPr>
          <w:rFonts w:hint="eastAsia" w:asciiTheme="minorEastAsia" w:hAnsiTheme="minorEastAsia" w:eastAsiaTheme="minorEastAsia" w:cstheme="minorEastAsia"/>
          <w:b/>
          <w:color w:val="auto"/>
          <w:kern w:val="2"/>
          <w:sz w:val="24"/>
          <w:szCs w:val="24"/>
          <w:highlight w:val="none"/>
          <w:lang w:val="en-US" w:eastAsia="zh-CN" w:bidi="ar-SA"/>
        </w:rPr>
      </w:pPr>
      <w:r>
        <w:rPr>
          <w:rFonts w:hint="eastAsia" w:asciiTheme="minorEastAsia" w:hAnsiTheme="minorEastAsia" w:eastAsiaTheme="minorEastAsia" w:cstheme="minorEastAsia"/>
          <w:b/>
          <w:color w:val="auto"/>
          <w:kern w:val="2"/>
          <w:sz w:val="24"/>
          <w:szCs w:val="24"/>
          <w:lang w:val="en-US" w:eastAsia="zh-CN" w:bidi="ar-SA"/>
        </w:rPr>
        <w:t>7.</w:t>
      </w:r>
      <w:r>
        <w:rPr>
          <w:rFonts w:hint="eastAsia" w:asciiTheme="minorEastAsia" w:hAnsiTheme="minorEastAsia" w:eastAsiaTheme="minorEastAsia" w:cstheme="minorEastAsia"/>
          <w:b/>
          <w:color w:val="auto"/>
          <w:kern w:val="2"/>
          <w:sz w:val="24"/>
          <w:szCs w:val="24"/>
          <w:highlight w:val="none"/>
          <w:lang w:val="en-US" w:eastAsia="zh-CN" w:bidi="ar-SA"/>
        </w:rPr>
        <w:t>政府采购异常低价审查</w:t>
      </w:r>
    </w:p>
    <w:p w14:paraId="786F0744">
      <w:pPr>
        <w:pStyle w:val="9"/>
        <w:widowControl w:val="0"/>
        <w:numPr>
          <w:ilvl w:val="0"/>
          <w:numId w:val="0"/>
        </w:numPr>
        <w:spacing w:before="78" w:after="120" w:line="218" w:lineRule="auto"/>
        <w:ind w:firstLine="422" w:firstLineChars="200"/>
        <w:jc w:val="both"/>
        <w:rPr>
          <w:rFonts w:hint="eastAsia" w:asciiTheme="minorEastAsia" w:hAnsiTheme="minorEastAsia" w:eastAsiaTheme="minorEastAsia" w:cstheme="minorEastAsia"/>
          <w:b/>
          <w:bCs/>
          <w:color w:val="auto"/>
          <w:kern w:val="2"/>
          <w:sz w:val="21"/>
          <w:szCs w:val="24"/>
          <w:highlight w:val="none"/>
          <w:lang w:val="en-US" w:eastAsia="zh-CN" w:bidi="ar-SA"/>
        </w:rPr>
      </w:pPr>
      <w:r>
        <w:rPr>
          <w:rFonts w:hint="eastAsia" w:asciiTheme="minorEastAsia" w:hAnsiTheme="minorEastAsia" w:eastAsiaTheme="minorEastAsia" w:cstheme="minorEastAsia"/>
          <w:b/>
          <w:bCs/>
          <w:color w:val="auto"/>
          <w:kern w:val="2"/>
          <w:sz w:val="21"/>
          <w:szCs w:val="24"/>
          <w:highlight w:val="none"/>
          <w:lang w:val="en-US" w:eastAsia="zh-CN" w:bidi="ar-SA"/>
        </w:rPr>
        <w:t>（一）谈判小组在评审中发现下列情形之一的，应当启动异常低价响应审查程序：</w:t>
      </w:r>
    </w:p>
    <w:p w14:paraId="67769B80">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（1）响应报价低于全部通过符合性审查供应商响应报价平均值 65%的，即响应报价&lt;全部通过符合性审查供应商响应报价平均值×65%；</w:t>
      </w:r>
    </w:p>
    <w:p w14:paraId="3185206D">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（2）响应报价低于通过符合性审查的次低报价供应商响应报价 65%的，即响应报价&lt;通过符合性审查的次低报价供应商响应报价×65%；</w:t>
      </w:r>
    </w:p>
    <w:p w14:paraId="2A470B50">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（3）响应报价低于采购项目最高限价 65%的，即响应报价&lt;采购项目最高限价×65%；</w:t>
      </w:r>
    </w:p>
    <w:p w14:paraId="370F1FDA">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（4）谈判小组基于专业判断，认为供应商报价过低，有可能影响工程质量或者不能诚信履约的其他情形。</w:t>
      </w:r>
    </w:p>
    <w:p w14:paraId="3AA163A1">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相关法律法规对供应商报价有规定的，从其规定。</w:t>
      </w:r>
    </w:p>
    <w:p w14:paraId="5999CF87">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二）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分钟。其中，属于第（3）项情形，供应商已随响应文件一并提交相关书面说明及必要的证明材料的，在评审现场可不再重复提交。</w:t>
      </w:r>
    </w:p>
    <w:p w14:paraId="3461F27A">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谈判小组依据专业经验，参考同类项目成交价格、类似项目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无效响应处理。</w:t>
      </w:r>
    </w:p>
    <w:p w14:paraId="7AF7DB84">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采购人、采购代理机构应当为谈判小组在评审现场及时获取同类项目成交价格、类似项目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51AD9776">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异常低价响应审查的启动原因、审查意见和审查结果应当在评审报告中记录，并随供应商提供的相关书面说明及证明材料， 以及谈判小组有关互联网浏览、查询历史一并归档。</w:t>
      </w:r>
    </w:p>
    <w:p w14:paraId="7FA5469A">
      <w:pPr>
        <w:pStyle w:val="9"/>
        <w:rPr>
          <w:rFonts w:hint="eastAsia"/>
          <w:highlight w:val="none"/>
          <w:lang w:val="en-US" w:eastAsia="zh-CN"/>
        </w:rPr>
      </w:pPr>
    </w:p>
    <w:p w14:paraId="2671D67E">
      <w:pPr>
        <w:shd w:val="clear" w:color="auto" w:fill="auto"/>
        <w:spacing w:line="360" w:lineRule="auto"/>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第二节 评审原则</w:t>
      </w:r>
    </w:p>
    <w:p w14:paraId="2ED11C7B">
      <w:pPr>
        <w:shd w:val="clear" w:color="auto" w:fill="auto"/>
        <w:spacing w:line="360" w:lineRule="auto"/>
        <w:jc w:val="center"/>
        <w:rPr>
          <w:rFonts w:hint="eastAsia" w:asciiTheme="minorEastAsia" w:hAnsiTheme="minorEastAsia" w:eastAsiaTheme="minorEastAsia" w:cstheme="minorEastAsia"/>
          <w:b/>
          <w:color w:val="auto"/>
          <w:sz w:val="24"/>
          <w:highlight w:val="none"/>
        </w:rPr>
      </w:pPr>
    </w:p>
    <w:p w14:paraId="2FE3F37C">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lang w:val="en-US" w:eastAsia="zh-CN"/>
        </w:rPr>
      </w:pPr>
      <w:r>
        <w:rPr>
          <w:rFonts w:hint="eastAsia" w:asciiTheme="minorEastAsia" w:hAnsiTheme="minorEastAsia" w:eastAsiaTheme="minorEastAsia" w:cstheme="minorEastAsia"/>
          <w:b/>
          <w:bCs/>
          <w:color w:val="auto"/>
          <w:sz w:val="24"/>
          <w:highlight w:val="none"/>
          <w:lang w:val="en-US" w:eastAsia="zh-CN"/>
        </w:rPr>
        <w:t>1.评审原则</w:t>
      </w:r>
    </w:p>
    <w:p w14:paraId="32568FA7">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1.1 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70DDAA13">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1.2 根据《政府采购非招标采购方式管理办法》（财政部令第 74 号）第二十一条规定，评审结果汇总完成后，采购人、采购代理机构和谈判小组均不得修改评审结果或者要求重新评审，但资格性检查认定错误、分值汇总计算错误、分项评分超出评分标准范围、客观分评分不一致、经谈判小组一致认定评分畸高、畸低的情形除外。出现上述除外情形的，谈判小组应当现场修改评审结果，并在评审报告中明确记载。</w:t>
      </w:r>
    </w:p>
    <w:p w14:paraId="54982E02">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1.3 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30030E2E">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lang w:val="en-US" w:eastAsia="zh-CN"/>
        </w:rPr>
      </w:pPr>
      <w:r>
        <w:rPr>
          <w:rFonts w:hint="eastAsia" w:asciiTheme="minorEastAsia" w:hAnsiTheme="minorEastAsia" w:eastAsiaTheme="minorEastAsia" w:cstheme="minorEastAsia"/>
          <w:b/>
          <w:bCs/>
          <w:color w:val="auto"/>
          <w:sz w:val="24"/>
          <w:highlight w:val="none"/>
          <w:lang w:val="en-US" w:eastAsia="zh-CN"/>
        </w:rPr>
        <w:t>2.终止竞争性谈判采购活动</w:t>
      </w:r>
    </w:p>
    <w:p w14:paraId="4DB159F4">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出现下列情形之一的，采购人或者采购代理机构应当终止竞争性谈判采购活动，发布项目终止公告并说明原因，重新开展采购活动：</w:t>
      </w:r>
    </w:p>
    <w:p w14:paraId="5F8948B4">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（1）因情况变化，不再符合规定的竞争性谈判采购方式适用情形的；</w:t>
      </w:r>
    </w:p>
    <w:p w14:paraId="30323E40">
      <w:pPr>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（2）出现影响采购公正的违法、违规行为的；</w:t>
      </w:r>
    </w:p>
    <w:p w14:paraId="1973B9A8">
      <w:pPr>
        <w:spacing w:line="360" w:lineRule="auto"/>
        <w:ind w:firstLine="420" w:firstLineChars="200"/>
        <w:rPr>
          <w:rFonts w:hint="eastAsia" w:asciiTheme="minorEastAsia" w:hAnsiTheme="minorEastAsia" w:eastAsiaTheme="minorEastAsia" w:cstheme="minorEastAsia"/>
          <w:color w:val="auto"/>
          <w:kern w:val="2"/>
          <w:sz w:val="21"/>
          <w:szCs w:val="24"/>
          <w:highlight w:val="none"/>
        </w:rPr>
      </w:pPr>
      <w:r>
        <w:rPr>
          <w:rFonts w:hint="eastAsia" w:asciiTheme="minorEastAsia" w:hAnsiTheme="minorEastAsia" w:eastAsiaTheme="minorEastAsia" w:cstheme="minorEastAsia"/>
          <w:color w:val="auto"/>
          <w:highlight w:val="none"/>
          <w:lang w:val="en-US" w:eastAsia="zh-CN"/>
        </w:rPr>
        <w:t>（3）在采购过程中符合竞争要求的供应商或者报价未超过采购预算的供应商不足 3 家的，但《政府采购非招标采购方式管理办法》第二十七条第二款规定的情形除外。</w:t>
      </w:r>
    </w:p>
    <w:p w14:paraId="256D3031">
      <w:pPr>
        <w:shd w:val="clear" w:color="auto" w:fill="auto"/>
        <w:spacing w:line="360" w:lineRule="auto"/>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第三节 评标报告</w:t>
      </w:r>
    </w:p>
    <w:p w14:paraId="182F6440">
      <w:pPr>
        <w:pStyle w:val="9"/>
        <w:spacing w:before="209" w:line="220" w:lineRule="auto"/>
        <w:ind w:left="500"/>
        <w:rPr>
          <w:rFonts w:hint="eastAsia" w:asciiTheme="minorEastAsia" w:hAnsiTheme="minorEastAsia" w:eastAsiaTheme="minorEastAsia" w:cstheme="minorEastAsia"/>
          <w:b/>
          <w:bCs/>
          <w:color w:val="auto"/>
          <w:kern w:val="2"/>
          <w:sz w:val="21"/>
          <w:szCs w:val="24"/>
          <w:highlight w:val="none"/>
          <w:lang w:val="en-US" w:eastAsia="zh-CN" w:bidi="ar-SA"/>
        </w:rPr>
      </w:pPr>
      <w:r>
        <w:rPr>
          <w:rFonts w:hint="eastAsia" w:asciiTheme="minorEastAsia" w:hAnsiTheme="minorEastAsia" w:eastAsiaTheme="minorEastAsia" w:cstheme="minorEastAsia"/>
          <w:b/>
          <w:bCs/>
          <w:color w:val="auto"/>
          <w:kern w:val="2"/>
          <w:sz w:val="21"/>
          <w:szCs w:val="24"/>
          <w:highlight w:val="none"/>
          <w:lang w:val="en-US" w:eastAsia="zh-CN" w:bidi="ar-SA"/>
        </w:rPr>
        <w:t>1.成交标准</w:t>
      </w:r>
    </w:p>
    <w:p w14:paraId="45283547">
      <w:pPr>
        <w:pStyle w:val="9"/>
        <w:spacing w:before="198" w:line="427" w:lineRule="auto"/>
        <w:ind w:firstLine="420"/>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sz w:val="21"/>
          <w:szCs w:val="24"/>
          <w:highlight w:val="none"/>
          <w:lang w:val="en-US" w:eastAsia="zh-CN" w:bidi="ar-SA"/>
        </w:rPr>
        <w:t>谈判小组应当从质量和货物均能满足谈判文件实质性响应要求的供应商中，按照评审价由低到高的顺序提出 3 名以上成交候选人（评审价相同时，按照最后报价由低到高顺序依次推荐；最后报价相同时， 由谈判小组按“供应商须知前附表 ”第 26.2 条规定的顺序推荐），并在线编写电子评审报告。</w:t>
      </w:r>
    </w:p>
    <w:p w14:paraId="6E233FD6">
      <w:pPr>
        <w:pStyle w:val="9"/>
        <w:spacing w:line="219" w:lineRule="auto"/>
        <w:ind w:left="485"/>
        <w:rPr>
          <w:rFonts w:hint="eastAsia" w:asciiTheme="minorEastAsia" w:hAnsiTheme="minorEastAsia" w:eastAsiaTheme="minorEastAsia" w:cstheme="minorEastAsia"/>
          <w:b/>
          <w:bCs/>
          <w:color w:val="auto"/>
          <w:kern w:val="2"/>
          <w:sz w:val="21"/>
          <w:szCs w:val="24"/>
          <w:highlight w:val="none"/>
          <w:lang w:val="en-US" w:eastAsia="zh-CN" w:bidi="ar-SA"/>
        </w:rPr>
      </w:pPr>
      <w:r>
        <w:rPr>
          <w:rFonts w:hint="eastAsia" w:asciiTheme="minorEastAsia" w:hAnsiTheme="minorEastAsia" w:eastAsiaTheme="minorEastAsia" w:cstheme="minorEastAsia"/>
          <w:b/>
          <w:bCs/>
          <w:color w:val="auto"/>
          <w:kern w:val="2"/>
          <w:sz w:val="21"/>
          <w:szCs w:val="24"/>
          <w:highlight w:val="none"/>
          <w:lang w:val="en-US" w:eastAsia="zh-CN" w:bidi="ar-SA"/>
        </w:rPr>
        <w:t>2.评标争议事项处理</w:t>
      </w:r>
    </w:p>
    <w:p w14:paraId="6AAF9077">
      <w:pPr>
        <w:shd w:val="clear" w:color="auto" w:fill="auto"/>
        <w:spacing w:line="360" w:lineRule="auto"/>
        <w:ind w:firstLine="420" w:firstLineChars="200"/>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sz w:val="21"/>
          <w:szCs w:val="24"/>
          <w:highlight w:val="none"/>
          <w:lang w:val="en-US" w:eastAsia="zh-CN" w:bidi="ar-SA"/>
        </w:rPr>
        <w:t>谈判小组成员对需要共同认定的事项存在争议的，应当按照少数服从多数的原则作出结论。持不同意见的谈判小组成员应当在评标报告上签署不同意见及理由，否则视为同意评标报告。</w:t>
      </w:r>
    </w:p>
    <w:p w14:paraId="6E94D41E">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p>
    <w:p w14:paraId="175E54D6">
      <w:pPr>
        <w:shd w:val="clear" w:color="auto" w:fill="auto"/>
        <w:spacing w:line="360" w:lineRule="auto"/>
        <w:jc w:val="cente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第四节 评审过程的保密与录像</w:t>
      </w:r>
    </w:p>
    <w:p w14:paraId="6E09CF32">
      <w:pPr>
        <w:shd w:val="clear" w:color="auto" w:fill="auto"/>
        <w:spacing w:line="360" w:lineRule="auto"/>
        <w:ind w:firstLine="482" w:firstLineChars="200"/>
        <w:rPr>
          <w:rFonts w:hint="eastAsia" w:asciiTheme="minorEastAsia" w:hAnsiTheme="minorEastAsia" w:eastAsiaTheme="minorEastAsia" w:cstheme="minorEastAsia"/>
          <w:b/>
          <w:bCs/>
          <w:color w:val="auto"/>
          <w:sz w:val="24"/>
          <w:highlight w:val="none"/>
        </w:rPr>
      </w:pPr>
    </w:p>
    <w:p w14:paraId="57009455">
      <w:pPr>
        <w:widowControl/>
        <w:spacing w:line="360" w:lineRule="auto"/>
        <w:ind w:firstLine="422" w:firstLineChars="200"/>
        <w:rPr>
          <w:rFonts w:hint="eastAsia" w:asciiTheme="minorEastAsia" w:hAnsiTheme="minorEastAsia" w:eastAsiaTheme="minorEastAsia" w:cstheme="minorEastAsia"/>
          <w:b/>
          <w:bCs/>
          <w:color w:val="auto"/>
          <w:kern w:val="2"/>
          <w:sz w:val="21"/>
          <w:szCs w:val="24"/>
          <w:highlight w:val="none"/>
          <w:lang w:val="en-US" w:eastAsia="zh-CN" w:bidi="ar-SA"/>
        </w:rPr>
      </w:pPr>
      <w:r>
        <w:rPr>
          <w:rFonts w:hint="eastAsia" w:asciiTheme="minorEastAsia" w:hAnsiTheme="minorEastAsia" w:eastAsiaTheme="minorEastAsia" w:cstheme="minorEastAsia"/>
          <w:b/>
          <w:bCs/>
          <w:color w:val="auto"/>
          <w:kern w:val="2"/>
          <w:sz w:val="21"/>
          <w:szCs w:val="24"/>
          <w:highlight w:val="none"/>
          <w:lang w:val="en-US" w:eastAsia="zh-CN" w:bidi="ar-SA"/>
        </w:rPr>
        <w:t>1.保密。</w:t>
      </w:r>
    </w:p>
    <w:p w14:paraId="27947072">
      <w:pPr>
        <w:widowControl/>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评审活动在严格保密的情况下进行。评审过程中凡是与采购响应文件评审和比较、成交供应商推荐等评审有关的情况， 以及涉及国家秘密和商业秘密等信息，</w:t>
      </w:r>
      <w:r>
        <w:rPr>
          <w:rFonts w:hint="eastAsia" w:asciiTheme="minorEastAsia" w:hAnsiTheme="minorEastAsia" w:eastAsiaTheme="minorEastAsia" w:cstheme="minorEastAsia"/>
          <w:color w:val="auto"/>
          <w:highlight w:val="none"/>
          <w:lang w:eastAsia="zh-CN"/>
        </w:rPr>
        <w:t>谈判小组</w:t>
      </w:r>
      <w:r>
        <w:rPr>
          <w:rFonts w:hint="eastAsia" w:asciiTheme="minorEastAsia" w:hAnsiTheme="minorEastAsia" w:eastAsiaTheme="minorEastAsia" w:cstheme="minorEastAsia"/>
          <w:color w:val="auto"/>
          <w:highlight w:val="none"/>
        </w:rPr>
        <w:t>成员、采购人和采购机构工作人员、相关监督人员等与评审有关的人员应当予以保密。</w:t>
      </w:r>
    </w:p>
    <w:p w14:paraId="20E99597">
      <w:pPr>
        <w:widowControl/>
        <w:spacing w:line="360" w:lineRule="auto"/>
        <w:ind w:firstLine="422" w:firstLineChars="200"/>
        <w:rPr>
          <w:rFonts w:hint="eastAsia" w:asciiTheme="minorEastAsia" w:hAnsiTheme="minorEastAsia" w:eastAsiaTheme="minorEastAsia" w:cstheme="minorEastAsia"/>
          <w:b/>
          <w:bCs/>
          <w:color w:val="auto"/>
          <w:kern w:val="2"/>
          <w:sz w:val="21"/>
          <w:szCs w:val="24"/>
          <w:highlight w:val="none"/>
          <w:lang w:val="en-US" w:eastAsia="zh-CN" w:bidi="ar-SA"/>
        </w:rPr>
      </w:pPr>
      <w:r>
        <w:rPr>
          <w:rFonts w:hint="eastAsia" w:asciiTheme="minorEastAsia" w:hAnsiTheme="minorEastAsia" w:eastAsiaTheme="minorEastAsia" w:cstheme="minorEastAsia"/>
          <w:b/>
          <w:bCs/>
          <w:color w:val="auto"/>
          <w:kern w:val="2"/>
          <w:sz w:val="21"/>
          <w:szCs w:val="24"/>
          <w:highlight w:val="none"/>
          <w:lang w:val="en-US" w:eastAsia="zh-CN" w:bidi="ar-SA"/>
        </w:rPr>
        <w:t>2.录音录像。</w:t>
      </w:r>
    </w:p>
    <w:p w14:paraId="146140CE">
      <w:pPr>
        <w:widowControl/>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采购代理机构对评审工作现场及操作屏幕进行全过程录音录像，录音录像资料作为采购项目文件随其他文件一并存档。</w:t>
      </w:r>
    </w:p>
    <w:p w14:paraId="1CC6225F">
      <w:pPr>
        <w:shd w:val="clear" w:color="auto" w:fill="auto"/>
        <w:spacing w:line="360" w:lineRule="auto"/>
        <w:ind w:firstLine="420" w:firstLineChars="200"/>
        <w:rPr>
          <w:rFonts w:hint="eastAsia" w:asciiTheme="minorEastAsia" w:hAnsiTheme="minorEastAsia" w:eastAsiaTheme="minorEastAsia" w:cstheme="minorEastAsia"/>
          <w:color w:val="auto"/>
          <w:kern w:val="2"/>
          <w:sz w:val="21"/>
          <w:szCs w:val="24"/>
          <w:highlight w:val="none"/>
        </w:rPr>
      </w:pPr>
    </w:p>
    <w:p w14:paraId="6851479C">
      <w:pPr>
        <w:pStyle w:val="2"/>
        <w:numPr>
          <w:ilvl w:val="0"/>
          <w:numId w:val="0"/>
        </w:numPr>
        <w:shd w:val="clear" w:color="auto" w:fill="auto"/>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br w:type="page"/>
      </w:r>
      <w:bookmarkStart w:id="171" w:name="_Toc9706"/>
      <w:bookmarkStart w:id="172" w:name="_Toc44229897"/>
      <w:r>
        <w:rPr>
          <w:rFonts w:hint="eastAsia" w:asciiTheme="minorEastAsia" w:hAnsiTheme="minorEastAsia" w:eastAsiaTheme="minorEastAsia" w:cstheme="minorEastAsia"/>
          <w:b/>
          <w:color w:val="auto"/>
          <w:kern w:val="44"/>
          <w:sz w:val="44"/>
          <w:szCs w:val="24"/>
          <w:highlight w:val="none"/>
          <w:lang w:val="en-US" w:eastAsia="zh-CN" w:bidi="ar-SA"/>
        </w:rPr>
        <w:t>第五章  工程量清单及图纸</w:t>
      </w:r>
      <w:bookmarkEnd w:id="171"/>
    </w:p>
    <w:p w14:paraId="71271E63">
      <w:pPr>
        <w:keepNext/>
        <w:keepLines/>
        <w:widowControl w:val="0"/>
        <w:shd w:val="clear" w:color="auto" w:fill="auto"/>
        <w:spacing w:before="0" w:after="0" w:line="360" w:lineRule="auto"/>
        <w:jc w:val="both"/>
        <w:outlineLvl w:val="9"/>
        <w:rPr>
          <w:rFonts w:hint="eastAsia" w:asciiTheme="minorEastAsia" w:hAnsiTheme="minorEastAsia" w:eastAsiaTheme="minorEastAsia" w:cstheme="minorEastAsia"/>
          <w:b/>
          <w:bCs/>
          <w:color w:val="auto"/>
          <w:kern w:val="2"/>
          <w:sz w:val="32"/>
          <w:szCs w:val="32"/>
          <w:highlight w:val="none"/>
          <w:lang w:val="en-US" w:eastAsia="zh-CN" w:bidi="ar-SA"/>
        </w:rPr>
      </w:pPr>
      <w:bookmarkStart w:id="173" w:name="_Toc9608"/>
      <w:r>
        <w:rPr>
          <w:rFonts w:hint="eastAsia" w:asciiTheme="minorEastAsia" w:hAnsiTheme="minorEastAsia" w:eastAsiaTheme="minorEastAsia" w:cstheme="minorEastAsia"/>
          <w:b/>
          <w:bCs/>
          <w:color w:val="auto"/>
          <w:kern w:val="2"/>
          <w:sz w:val="32"/>
          <w:szCs w:val="32"/>
          <w:highlight w:val="none"/>
          <w:lang w:val="en-US" w:eastAsia="zh-CN" w:bidi="ar-SA"/>
        </w:rPr>
        <w:t>1.工程量清单和图纸（另册）</w:t>
      </w:r>
      <w:bookmarkEnd w:id="173"/>
    </w:p>
    <w:p w14:paraId="1129C5B5">
      <w:pPr>
        <w:keepNext/>
        <w:keepLines/>
        <w:widowControl w:val="0"/>
        <w:shd w:val="clear" w:color="auto" w:fill="auto"/>
        <w:spacing w:before="0" w:after="0" w:line="360" w:lineRule="auto"/>
        <w:jc w:val="both"/>
        <w:outlineLvl w:val="9"/>
        <w:rPr>
          <w:rFonts w:hint="eastAsia" w:asciiTheme="minorEastAsia" w:hAnsiTheme="minorEastAsia" w:eastAsiaTheme="minorEastAsia" w:cstheme="minorEastAsia"/>
          <w:b/>
          <w:bCs/>
          <w:color w:val="auto"/>
          <w:kern w:val="2"/>
          <w:sz w:val="32"/>
          <w:szCs w:val="32"/>
          <w:highlight w:val="none"/>
          <w:lang w:val="en-US" w:eastAsia="zh-CN" w:bidi="ar-SA"/>
        </w:rPr>
      </w:pPr>
      <w:bookmarkStart w:id="174" w:name="_Toc879821176"/>
      <w:bookmarkStart w:id="175" w:name="_Toc407135286"/>
      <w:bookmarkStart w:id="176" w:name="_Toc28380"/>
      <w:bookmarkStart w:id="177" w:name="_Toc78449871"/>
      <w:bookmarkStart w:id="178" w:name="_Toc378483916"/>
      <w:r>
        <w:rPr>
          <w:rFonts w:hint="eastAsia" w:asciiTheme="minorEastAsia" w:hAnsiTheme="minorEastAsia" w:eastAsiaTheme="minorEastAsia" w:cstheme="minorEastAsia"/>
          <w:b/>
          <w:bCs/>
          <w:color w:val="auto"/>
          <w:kern w:val="2"/>
          <w:sz w:val="32"/>
          <w:szCs w:val="32"/>
          <w:highlight w:val="none"/>
          <w:lang w:val="en-US" w:eastAsia="zh-CN" w:bidi="ar-SA"/>
        </w:rPr>
        <w:t>2.已标价工程量清单编制说明</w:t>
      </w:r>
      <w:bookmarkEnd w:id="174"/>
      <w:bookmarkEnd w:id="175"/>
      <w:bookmarkEnd w:id="176"/>
      <w:bookmarkEnd w:id="177"/>
      <w:bookmarkEnd w:id="178"/>
    </w:p>
    <w:p w14:paraId="4EF02FC0">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 供应商应依据</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41936CA5">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 供应商应按工程量清单填报价格。项目编码、项目名称、项目特征、计量单位、工程量必须与工程量清单一致，供应商不得对工程量清单项目进行增减调整。</w:t>
      </w:r>
    </w:p>
    <w:p w14:paraId="4F4C48DD">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 综合单价中应包含</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文件中划分的应由供应商承担的风险范围及其费用。</w:t>
      </w:r>
    </w:p>
    <w:p w14:paraId="4A8E7447">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2.4 分部分项工程项目和单价措施项目，应根据</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文件和工程量清单项目中的特征描述确定综合单价计算。如出现工程量清单特征描述与设计图纸不符时，供应商应以工程量清单的项目特征描述为准，确定竞标报价的综合单价。</w:t>
      </w:r>
    </w:p>
    <w:p w14:paraId="5F952106">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2.5 总价措施项目的金额应根据</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文件及竞标时拟定的施工组织设计或施工方案，按计价规范的规定自主确定。但安全文明施工费按国家、省级或行业建设主管部门的有关规定执行，作为不竞争费用单列。</w:t>
      </w:r>
    </w:p>
    <w:p w14:paraId="773D6B55">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2.6 其他项目费应按下列规定报价：</w:t>
      </w:r>
    </w:p>
    <w:p w14:paraId="4A167C08">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（1）暂列金额应按</w:t>
      </w:r>
      <w:r>
        <w:rPr>
          <w:rFonts w:hint="eastAsia" w:asciiTheme="minorEastAsia" w:hAnsiTheme="minorEastAsia" w:eastAsiaTheme="minorEastAsia" w:cstheme="minorEastAsia"/>
          <w:color w:val="auto"/>
          <w:szCs w:val="21"/>
          <w:highlight w:val="none"/>
        </w:rPr>
        <w:t>采购人提供的工程量清单中列出的金额</w:t>
      </w:r>
      <w:r>
        <w:rPr>
          <w:rFonts w:hint="eastAsia" w:asciiTheme="minorEastAsia" w:hAnsiTheme="minorEastAsia" w:eastAsiaTheme="minorEastAsia" w:cstheme="minorEastAsia"/>
          <w:color w:val="auto"/>
          <w:highlight w:val="none"/>
        </w:rPr>
        <w:t>填写；</w:t>
      </w:r>
    </w:p>
    <w:p w14:paraId="6058459F">
      <w:pPr>
        <w:widowControl w:val="0"/>
        <w:shd w:val="clear" w:color="auto" w:fill="auto"/>
        <w:spacing w:line="360" w:lineRule="auto"/>
        <w:ind w:firstLine="420" w:firstLineChars="200"/>
        <w:jc w:val="both"/>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（2）材料、工程设备暂估价应按采购人提供的工程量清单中列出的单价计入综合单价；</w:t>
      </w:r>
    </w:p>
    <w:p w14:paraId="6F96F6CD">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（3）专业工程暂估价应按</w:t>
      </w:r>
      <w:r>
        <w:rPr>
          <w:rFonts w:hint="eastAsia" w:asciiTheme="minorEastAsia" w:hAnsiTheme="minorEastAsia" w:eastAsiaTheme="minorEastAsia" w:cstheme="minorEastAsia"/>
          <w:color w:val="auto"/>
          <w:szCs w:val="21"/>
          <w:highlight w:val="none"/>
        </w:rPr>
        <w:t>采购人提供的</w:t>
      </w:r>
      <w:r>
        <w:rPr>
          <w:rFonts w:hint="eastAsia" w:asciiTheme="minorEastAsia" w:hAnsiTheme="minorEastAsia" w:eastAsiaTheme="minorEastAsia" w:cstheme="minorEastAsia"/>
          <w:color w:val="auto"/>
          <w:highlight w:val="none"/>
        </w:rPr>
        <w:t>工程量清单中列出的金额填写；</w:t>
      </w:r>
    </w:p>
    <w:p w14:paraId="790E3D21">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（4）计日工应按</w:t>
      </w:r>
      <w:r>
        <w:rPr>
          <w:rFonts w:hint="eastAsia" w:asciiTheme="minorEastAsia" w:hAnsiTheme="minorEastAsia" w:eastAsiaTheme="minorEastAsia" w:cstheme="minorEastAsia"/>
          <w:color w:val="auto"/>
          <w:szCs w:val="21"/>
          <w:highlight w:val="none"/>
        </w:rPr>
        <w:t>采购人提供的</w:t>
      </w:r>
      <w:r>
        <w:rPr>
          <w:rFonts w:hint="eastAsia" w:asciiTheme="minorEastAsia" w:hAnsiTheme="minorEastAsia" w:eastAsiaTheme="minorEastAsia" w:cstheme="minorEastAsia"/>
          <w:color w:val="auto"/>
          <w:highlight w:val="none"/>
        </w:rPr>
        <w:t>工程量清单中列出的项目和估算数量，自主确定综合单价并计算计日工总额；计日工单价均不含规费和税金；</w:t>
      </w:r>
    </w:p>
    <w:p w14:paraId="6EFDA15A">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（5）总承包服务费应根据工程量清单中列出的内容和供应材料、设备情况，按照采购人提出的协调、配合与服务要求和施工现场管理需要自主确定。</w:t>
      </w:r>
    </w:p>
    <w:p w14:paraId="32123BED">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2.7 规费和增值税应按规定确定，作为不可竞争费用。</w:t>
      </w:r>
    </w:p>
    <w:p w14:paraId="200A6BAE">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2.8 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4D59AF60">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 竞标总价应当与分部分项工程费、措施项目费、其他项目费和规费、增值税的合计金额一致。</w:t>
      </w:r>
    </w:p>
    <w:p w14:paraId="16A2A6E6">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2.10供应商应按《允许调整主要材料和工程设备一览表》</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如有</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的内容填报，不得擅自调整材料和设备名称型号规格、单位、风险系数、基准单价。</w:t>
      </w:r>
    </w:p>
    <w:p w14:paraId="1625671D">
      <w:pPr>
        <w:shd w:val="clear" w:color="auto" w:fill="auto"/>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2.11竞标报价表格按本工程工程量清单表格要求填写，并应按</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文件的要求，附上《工程量清单综合单价分析表》（表-09）</w:t>
      </w:r>
    </w:p>
    <w:p w14:paraId="48C9815E">
      <w:pPr>
        <w:shd w:val="clear" w:color="auto" w:fill="auto"/>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2.12 本工程量清单编码处标注“*”号的清单项目作为主要清单项目，谈判文件如有标注，则需要供应商提供《主要清单项目工料机分析表》（表-10）。</w:t>
      </w:r>
    </w:p>
    <w:p w14:paraId="60536C1C">
      <w:pPr>
        <w:shd w:val="clear" w:color="auto" w:fill="auto"/>
        <w:spacing w:line="360" w:lineRule="auto"/>
        <w:ind w:firstLine="420" w:firstLineChars="200"/>
        <w:rPr>
          <w:rFonts w:hint="eastAsia" w:asciiTheme="minorEastAsia" w:hAnsiTheme="minorEastAsia" w:eastAsiaTheme="minorEastAsia" w:cstheme="minorEastAsia"/>
          <w:color w:val="auto"/>
          <w:highlight w:val="none"/>
          <w:lang w:val="en-US" w:eastAsia="zh-CN"/>
        </w:rPr>
      </w:pPr>
      <w:bookmarkStart w:id="179" w:name="_Toc20330"/>
      <w:r>
        <w:rPr>
          <w:rFonts w:hint="eastAsia" w:asciiTheme="minorEastAsia" w:hAnsiTheme="minorEastAsia" w:eastAsiaTheme="minorEastAsia" w:cstheme="minorEastAsia"/>
          <w:color w:val="auto"/>
          <w:highlight w:val="none"/>
          <w:lang w:val="en-US" w:eastAsia="zh-CN"/>
        </w:rPr>
        <w:t>2.13安全生产责任保险费暂估价应按工程量清单中列出的金额填写。</w:t>
      </w:r>
    </w:p>
    <w:p w14:paraId="4EB93F82">
      <w:pPr>
        <w:shd w:val="clear" w:color="auto" w:fill="auto"/>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未尽事宜详见本工程工程量清单以及现行《计价规范》等有关规定执行。</w:t>
      </w:r>
    </w:p>
    <w:p w14:paraId="298F3786">
      <w:pPr>
        <w:pStyle w:val="2"/>
        <w:numPr>
          <w:ilvl w:val="0"/>
          <w:numId w:val="0"/>
        </w:numPr>
        <w:shd w:val="clear" w:color="auto" w:fill="auto"/>
        <w:spacing w:line="360" w:lineRule="auto"/>
        <w:jc w:val="center"/>
        <w:rPr>
          <w:rFonts w:hint="eastAsia" w:asciiTheme="minorEastAsia" w:hAnsiTheme="minorEastAsia" w:eastAsiaTheme="minorEastAsia" w:cstheme="minorEastAsia"/>
          <w:b/>
          <w:color w:val="auto"/>
          <w:kern w:val="44"/>
          <w:sz w:val="44"/>
          <w:szCs w:val="24"/>
          <w:highlight w:val="none"/>
          <w:lang w:val="en-US" w:eastAsia="zh-CN" w:bidi="ar-SA"/>
        </w:rPr>
      </w:pPr>
      <w:r>
        <w:rPr>
          <w:rFonts w:hint="eastAsia" w:asciiTheme="minorEastAsia" w:hAnsiTheme="minorEastAsia" w:eastAsiaTheme="minorEastAsia" w:cstheme="minorEastAsia"/>
          <w:b w:val="0"/>
          <w:bCs/>
          <w:color w:val="auto"/>
          <w:highlight w:val="none"/>
        </w:rPr>
        <w:br w:type="page"/>
      </w:r>
      <w:bookmarkEnd w:id="179"/>
      <w:bookmarkStart w:id="180" w:name="_Toc21630"/>
      <w:r>
        <w:rPr>
          <w:rFonts w:hint="eastAsia" w:asciiTheme="minorEastAsia" w:hAnsiTheme="minorEastAsia" w:eastAsiaTheme="minorEastAsia" w:cstheme="minorEastAsia"/>
          <w:b/>
          <w:color w:val="auto"/>
          <w:kern w:val="44"/>
          <w:sz w:val="44"/>
          <w:szCs w:val="24"/>
          <w:highlight w:val="none"/>
          <w:lang w:val="en-US" w:eastAsia="zh-CN" w:bidi="ar-SA"/>
        </w:rPr>
        <w:t>第六章  响应文件格式</w:t>
      </w:r>
      <w:bookmarkEnd w:id="166"/>
      <w:bookmarkEnd w:id="172"/>
      <w:bookmarkEnd w:id="180"/>
    </w:p>
    <w:p w14:paraId="45967C9D">
      <w:pPr>
        <w:shd w:val="clear" w:color="auto" w:fill="auto"/>
        <w:snapToGrid w:val="0"/>
        <w:spacing w:before="156" w:beforeLines="50" w:after="50" w:line="360" w:lineRule="auto"/>
        <w:rPr>
          <w:rFonts w:hint="eastAsia" w:asciiTheme="minorEastAsia" w:hAnsiTheme="minorEastAsia" w:eastAsiaTheme="minorEastAsia" w:cstheme="minorEastAsia"/>
          <w:color w:val="auto"/>
          <w:sz w:val="24"/>
          <w:szCs w:val="20"/>
          <w:highlight w:val="none"/>
        </w:rPr>
      </w:pPr>
      <w:bookmarkStart w:id="181" w:name="_Toc44229900"/>
    </w:p>
    <w:p w14:paraId="001FBFBD">
      <w:pPr>
        <w:shd w:val="clear" w:color="auto" w:fill="auto"/>
        <w:snapToGrid w:val="0"/>
        <w:spacing w:before="156" w:beforeLines="50" w:after="50" w:line="360" w:lineRule="auto"/>
        <w:jc w:val="center"/>
        <w:rPr>
          <w:rFonts w:hint="eastAsia" w:asciiTheme="minorEastAsia" w:hAnsiTheme="minorEastAsia" w:eastAsiaTheme="minorEastAsia" w:cstheme="minorEastAsia"/>
          <w:bCs/>
          <w:color w:val="auto"/>
          <w:sz w:val="24"/>
          <w:szCs w:val="20"/>
          <w:highlight w:val="none"/>
        </w:rPr>
      </w:pPr>
    </w:p>
    <w:p w14:paraId="19429C12">
      <w:pPr>
        <w:shd w:val="clear" w:color="auto" w:fill="auto"/>
        <w:snapToGrid w:val="0"/>
        <w:spacing w:before="156" w:beforeLines="50" w:after="50" w:line="360" w:lineRule="auto"/>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响  应  文  件</w:t>
      </w:r>
    </w:p>
    <w:p w14:paraId="6973C137">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277D4E44">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32"/>
          <w:szCs w:val="32"/>
          <w:highlight w:val="none"/>
        </w:rPr>
      </w:pPr>
    </w:p>
    <w:p w14:paraId="79AB8C4B">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项目名称：</w:t>
      </w:r>
    </w:p>
    <w:p w14:paraId="7E6B378B">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项目编号：</w:t>
      </w:r>
    </w:p>
    <w:p w14:paraId="727D2CF3">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所竞分标（如有则填写，无分标时填写“无”或者留空）：</w:t>
      </w:r>
    </w:p>
    <w:p w14:paraId="0F91D42D">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供应商名称：</w:t>
      </w:r>
    </w:p>
    <w:p w14:paraId="7AE47735">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32"/>
          <w:szCs w:val="32"/>
          <w:highlight w:val="none"/>
        </w:rPr>
      </w:pPr>
    </w:p>
    <w:p w14:paraId="63D1DE9E">
      <w:pPr>
        <w:shd w:val="clear" w:color="auto" w:fill="auto"/>
        <w:snapToGrid w:val="0"/>
        <w:spacing w:before="156" w:beforeLines="50" w:after="50" w:line="360" w:lineRule="auto"/>
        <w:ind w:firstLine="480" w:firstLineChars="150"/>
        <w:jc w:val="center"/>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首次响应文件提交截止时间前不得启封</w:t>
      </w:r>
    </w:p>
    <w:p w14:paraId="3499A6B0">
      <w:pPr>
        <w:shd w:val="clear" w:color="auto" w:fill="auto"/>
        <w:snapToGrid w:val="0"/>
        <w:spacing w:before="156" w:beforeLines="50" w:after="50" w:line="360" w:lineRule="auto"/>
        <w:ind w:firstLine="5440" w:firstLineChars="1700"/>
        <w:jc w:val="center"/>
        <w:rPr>
          <w:rFonts w:hint="eastAsia" w:asciiTheme="minorEastAsia" w:hAnsiTheme="minorEastAsia" w:eastAsiaTheme="minorEastAsia" w:cstheme="minorEastAsia"/>
          <w:bCs/>
          <w:color w:val="auto"/>
          <w:sz w:val="32"/>
          <w:szCs w:val="32"/>
          <w:highlight w:val="none"/>
        </w:rPr>
      </w:pPr>
    </w:p>
    <w:p w14:paraId="3C7A930F">
      <w:pPr>
        <w:shd w:val="clear" w:color="auto" w:fill="auto"/>
        <w:snapToGrid w:val="0"/>
        <w:spacing w:before="156" w:beforeLines="50" w:after="50" w:line="360" w:lineRule="auto"/>
        <w:ind w:firstLine="645"/>
        <w:jc w:val="center"/>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年    月    日</w:t>
      </w:r>
    </w:p>
    <w:p w14:paraId="74BA71A9">
      <w:pPr>
        <w:shd w:val="clear" w:color="auto" w:fill="auto"/>
        <w:spacing w:line="360" w:lineRule="auto"/>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24"/>
          <w:highlight w:val="none"/>
        </w:rPr>
        <w:br w:type="page"/>
      </w:r>
      <w:r>
        <w:rPr>
          <w:rFonts w:hint="eastAsia" w:asciiTheme="minorEastAsia" w:hAnsiTheme="minorEastAsia" w:eastAsiaTheme="minorEastAsia" w:cstheme="minorEastAsia"/>
          <w:b/>
          <w:bCs/>
          <w:color w:val="auto"/>
          <w:sz w:val="32"/>
          <w:szCs w:val="32"/>
          <w:highlight w:val="none"/>
        </w:rPr>
        <w:t>（响应文件封面格式）</w:t>
      </w:r>
    </w:p>
    <w:p w14:paraId="49D1A5F3">
      <w:pPr>
        <w:shd w:val="clear" w:color="auto" w:fill="auto"/>
        <w:spacing w:line="360" w:lineRule="auto"/>
        <w:jc w:val="center"/>
        <w:rPr>
          <w:rFonts w:hint="eastAsia" w:asciiTheme="minorEastAsia" w:hAnsiTheme="minorEastAsia" w:eastAsiaTheme="minorEastAsia" w:cstheme="minorEastAsia"/>
          <w:bCs/>
          <w:color w:val="auto"/>
          <w:sz w:val="24"/>
          <w:highlight w:val="none"/>
        </w:rPr>
      </w:pPr>
    </w:p>
    <w:p w14:paraId="7607B371">
      <w:pPr>
        <w:shd w:val="clear" w:color="auto" w:fill="auto"/>
        <w:spacing w:line="360" w:lineRule="auto"/>
        <w:jc w:val="center"/>
        <w:rPr>
          <w:rFonts w:hint="eastAsia" w:asciiTheme="minorEastAsia" w:hAnsiTheme="minorEastAsia" w:eastAsiaTheme="minorEastAsia" w:cstheme="minorEastAsia"/>
          <w:bCs/>
          <w:color w:val="auto"/>
          <w:sz w:val="44"/>
          <w:szCs w:val="44"/>
          <w:highlight w:val="none"/>
        </w:rPr>
      </w:pPr>
    </w:p>
    <w:p w14:paraId="55C97455">
      <w:pPr>
        <w:shd w:val="clear" w:color="auto" w:fill="auto"/>
        <w:spacing w:line="360" w:lineRule="auto"/>
        <w:jc w:val="center"/>
        <w:rPr>
          <w:rFonts w:hint="eastAsia" w:asciiTheme="minorEastAsia" w:hAnsiTheme="minorEastAsia" w:eastAsiaTheme="minorEastAsia" w:cstheme="minorEastAsia"/>
          <w:bCs/>
          <w:color w:val="auto"/>
          <w:sz w:val="44"/>
          <w:szCs w:val="44"/>
          <w:highlight w:val="none"/>
        </w:rPr>
      </w:pPr>
    </w:p>
    <w:p w14:paraId="5AF3F90E">
      <w:pPr>
        <w:shd w:val="clear" w:color="auto" w:fill="auto"/>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Cs/>
          <w:color w:val="auto"/>
          <w:sz w:val="44"/>
          <w:szCs w:val="44"/>
          <w:highlight w:val="none"/>
        </w:rPr>
        <w:t>响  应  文  件</w:t>
      </w:r>
      <w:r>
        <w:rPr>
          <w:rFonts w:hint="eastAsia" w:asciiTheme="minorEastAsia" w:hAnsiTheme="minorEastAsia" w:eastAsiaTheme="minorEastAsia" w:cstheme="minorEastAsia"/>
          <w:color w:val="auto"/>
          <w:szCs w:val="21"/>
          <w:highlight w:val="none"/>
        </w:rPr>
        <w:t>(封面)</w:t>
      </w:r>
    </w:p>
    <w:p w14:paraId="624504C5">
      <w:pPr>
        <w:shd w:val="clear" w:color="auto" w:fill="auto"/>
        <w:spacing w:line="360" w:lineRule="auto"/>
        <w:jc w:val="center"/>
        <w:rPr>
          <w:rFonts w:hint="eastAsia" w:asciiTheme="minorEastAsia" w:hAnsiTheme="minorEastAsia" w:eastAsiaTheme="minorEastAsia" w:cstheme="minorEastAsia"/>
          <w:color w:val="auto"/>
          <w:szCs w:val="21"/>
          <w:highlight w:val="none"/>
        </w:rPr>
      </w:pPr>
    </w:p>
    <w:p w14:paraId="092B52D3">
      <w:pPr>
        <w:shd w:val="clear" w:color="auto" w:fill="auto"/>
        <w:spacing w:line="360" w:lineRule="auto"/>
        <w:jc w:val="center"/>
        <w:rPr>
          <w:rFonts w:hint="eastAsia" w:asciiTheme="minorEastAsia" w:hAnsiTheme="minorEastAsia" w:eastAsiaTheme="minorEastAsia" w:cstheme="minorEastAsia"/>
          <w:color w:val="auto"/>
          <w:szCs w:val="21"/>
          <w:highlight w:val="none"/>
        </w:rPr>
      </w:pPr>
    </w:p>
    <w:p w14:paraId="5EBE82A0">
      <w:pPr>
        <w:shd w:val="clear" w:color="auto" w:fill="auto"/>
        <w:spacing w:line="360" w:lineRule="auto"/>
        <w:jc w:val="left"/>
        <w:rPr>
          <w:rFonts w:hint="eastAsia" w:asciiTheme="minorEastAsia" w:hAnsiTheme="minorEastAsia" w:eastAsiaTheme="minorEastAsia" w:cstheme="minorEastAsia"/>
          <w:color w:val="auto"/>
          <w:sz w:val="32"/>
          <w:szCs w:val="32"/>
          <w:highlight w:val="none"/>
        </w:rPr>
      </w:pPr>
    </w:p>
    <w:p w14:paraId="0E60781F">
      <w:pPr>
        <w:shd w:val="clear" w:color="auto" w:fill="auto"/>
        <w:spacing w:line="360" w:lineRule="auto"/>
        <w:ind w:firstLine="640" w:firstLineChars="200"/>
        <w:jc w:val="lef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项目编号：</w:t>
      </w:r>
    </w:p>
    <w:p w14:paraId="646F0605">
      <w:pPr>
        <w:shd w:val="clear" w:color="auto" w:fill="auto"/>
        <w:tabs>
          <w:tab w:val="left" w:pos="3240"/>
        </w:tabs>
        <w:spacing w:line="360" w:lineRule="auto"/>
        <w:ind w:firstLine="640" w:firstLineChars="200"/>
        <w:jc w:val="lef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项目名称：</w:t>
      </w:r>
    </w:p>
    <w:p w14:paraId="1D56A84D">
      <w:pPr>
        <w:shd w:val="clear" w:color="auto" w:fill="auto"/>
        <w:spacing w:line="360" w:lineRule="auto"/>
        <w:ind w:firstLine="640" w:firstLineChars="200"/>
        <w:jc w:val="lef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所竞分标</w:t>
      </w:r>
      <w:r>
        <w:rPr>
          <w:rFonts w:hint="eastAsia" w:asciiTheme="minorEastAsia" w:hAnsiTheme="minorEastAsia" w:eastAsiaTheme="minorEastAsia" w:cstheme="minorEastAsia"/>
          <w:bCs/>
          <w:color w:val="auto"/>
          <w:sz w:val="32"/>
          <w:szCs w:val="32"/>
          <w:highlight w:val="none"/>
        </w:rPr>
        <w:t>（如有则填写，无分标时填写“无”或者留空）</w:t>
      </w:r>
      <w:r>
        <w:rPr>
          <w:rFonts w:hint="eastAsia" w:asciiTheme="minorEastAsia" w:hAnsiTheme="minorEastAsia" w:eastAsiaTheme="minorEastAsia" w:cstheme="minorEastAsia"/>
          <w:color w:val="auto"/>
          <w:sz w:val="32"/>
          <w:szCs w:val="32"/>
          <w:highlight w:val="none"/>
        </w:rPr>
        <w:t>：</w:t>
      </w:r>
    </w:p>
    <w:p w14:paraId="2A5F0048">
      <w:pPr>
        <w:shd w:val="clear" w:color="auto" w:fill="auto"/>
        <w:spacing w:line="360" w:lineRule="auto"/>
        <w:ind w:firstLine="640" w:firstLineChars="200"/>
        <w:jc w:val="left"/>
        <w:rPr>
          <w:rFonts w:hint="eastAsia" w:asciiTheme="minorEastAsia" w:hAnsiTheme="minorEastAsia" w:eastAsiaTheme="minorEastAsia" w:cstheme="minorEastAsia"/>
          <w:color w:val="auto"/>
          <w:sz w:val="32"/>
          <w:szCs w:val="32"/>
          <w:highlight w:val="none"/>
          <w:u w:val="single"/>
        </w:rPr>
      </w:pPr>
      <w:r>
        <w:rPr>
          <w:rFonts w:hint="eastAsia" w:asciiTheme="minorEastAsia" w:hAnsiTheme="minorEastAsia" w:eastAsiaTheme="minorEastAsia" w:cstheme="minorEastAsia"/>
          <w:color w:val="auto"/>
          <w:sz w:val="32"/>
          <w:szCs w:val="32"/>
          <w:highlight w:val="none"/>
        </w:rPr>
        <w:t>供应商名称：</w:t>
      </w:r>
    </w:p>
    <w:p w14:paraId="5B0E04FC">
      <w:pPr>
        <w:shd w:val="clear" w:color="auto" w:fill="auto"/>
        <w:snapToGrid w:val="0"/>
        <w:spacing w:before="156" w:beforeLines="50" w:after="50" w:line="360" w:lineRule="auto"/>
        <w:rPr>
          <w:rFonts w:hint="eastAsia" w:asciiTheme="minorEastAsia" w:hAnsiTheme="minorEastAsia" w:eastAsiaTheme="minorEastAsia" w:cstheme="minorEastAsia"/>
          <w:color w:val="auto"/>
          <w:sz w:val="32"/>
          <w:szCs w:val="32"/>
          <w:highlight w:val="none"/>
        </w:rPr>
      </w:pPr>
    </w:p>
    <w:p w14:paraId="336AB4DA">
      <w:pPr>
        <w:shd w:val="clear" w:color="auto" w:fill="auto"/>
        <w:snapToGrid w:val="0"/>
        <w:spacing w:before="156" w:beforeLines="50" w:after="50" w:line="360" w:lineRule="auto"/>
        <w:rPr>
          <w:rFonts w:hint="eastAsia" w:asciiTheme="minorEastAsia" w:hAnsiTheme="minorEastAsia" w:eastAsiaTheme="minorEastAsia" w:cstheme="minorEastAsia"/>
          <w:color w:val="auto"/>
          <w:sz w:val="32"/>
          <w:szCs w:val="32"/>
          <w:highlight w:val="none"/>
        </w:rPr>
      </w:pPr>
    </w:p>
    <w:p w14:paraId="20642D8A">
      <w:pPr>
        <w:shd w:val="clear" w:color="auto" w:fill="auto"/>
        <w:snapToGrid w:val="0"/>
        <w:spacing w:before="156" w:beforeLines="50" w:after="50" w:line="360" w:lineRule="auto"/>
        <w:rPr>
          <w:rFonts w:hint="eastAsia" w:asciiTheme="minorEastAsia" w:hAnsiTheme="minorEastAsia" w:eastAsiaTheme="minorEastAsia" w:cstheme="minorEastAsia"/>
          <w:color w:val="auto"/>
          <w:sz w:val="32"/>
          <w:szCs w:val="32"/>
          <w:highlight w:val="none"/>
        </w:rPr>
      </w:pPr>
    </w:p>
    <w:p w14:paraId="0B7234D9">
      <w:pPr>
        <w:shd w:val="clear" w:color="auto" w:fill="auto"/>
        <w:snapToGrid w:val="0"/>
        <w:spacing w:before="156" w:beforeLines="50" w:after="50" w:line="360" w:lineRule="auto"/>
        <w:jc w:val="center"/>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color w:val="auto"/>
          <w:sz w:val="32"/>
          <w:szCs w:val="32"/>
          <w:highlight w:val="none"/>
        </w:rPr>
        <w:t>年    月    日</w:t>
      </w:r>
      <w:r>
        <w:rPr>
          <w:rFonts w:hint="eastAsia" w:asciiTheme="minorEastAsia" w:hAnsiTheme="minorEastAsia" w:eastAsiaTheme="minorEastAsia" w:cstheme="minorEastAsia"/>
          <w:color w:val="auto"/>
          <w:sz w:val="32"/>
          <w:szCs w:val="32"/>
          <w:highlight w:val="none"/>
        </w:rPr>
        <w:br w:type="page"/>
      </w:r>
    </w:p>
    <w:p w14:paraId="46C75EF1">
      <w:pPr>
        <w:shd w:val="clear" w:color="auto" w:fill="auto"/>
        <w:spacing w:line="360" w:lineRule="auto"/>
        <w:jc w:val="center"/>
        <w:rPr>
          <w:rFonts w:hint="eastAsia" w:asciiTheme="minorEastAsia" w:hAnsiTheme="minorEastAsia" w:eastAsiaTheme="minorEastAsia" w:cstheme="minorEastAsia"/>
          <w:color w:val="auto"/>
          <w:sz w:val="32"/>
          <w:szCs w:val="32"/>
          <w:highlight w:val="none"/>
        </w:rPr>
      </w:pPr>
      <w:bookmarkStart w:id="182" w:name="_Toc31723070"/>
      <w:bookmarkStart w:id="183" w:name="_Toc31728084"/>
      <w:bookmarkStart w:id="184" w:name="_Toc35611516"/>
      <w:bookmarkStart w:id="185" w:name="_Toc73550045"/>
      <w:bookmarkStart w:id="186" w:name="_Toc35611438"/>
      <w:bookmarkStart w:id="187" w:name="_Toc44229899"/>
      <w:r>
        <w:rPr>
          <w:rFonts w:hint="eastAsia" w:asciiTheme="minorEastAsia" w:hAnsiTheme="minorEastAsia" w:eastAsiaTheme="minorEastAsia" w:cstheme="minorEastAsia"/>
          <w:color w:val="auto"/>
          <w:sz w:val="32"/>
          <w:szCs w:val="32"/>
          <w:highlight w:val="none"/>
        </w:rPr>
        <w:t>一、资格证明文件格式</w:t>
      </w:r>
      <w:bookmarkEnd w:id="182"/>
      <w:bookmarkEnd w:id="183"/>
      <w:bookmarkEnd w:id="184"/>
      <w:bookmarkEnd w:id="185"/>
      <w:bookmarkEnd w:id="186"/>
      <w:bookmarkEnd w:id="187"/>
    </w:p>
    <w:p w14:paraId="39E5A2FA">
      <w:pPr>
        <w:shd w:val="clear" w:color="auto" w:fill="auto"/>
        <w:snapToGrid w:val="0"/>
        <w:spacing w:before="156" w:beforeLines="50" w:after="50" w:line="360" w:lineRule="auto"/>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32"/>
          <w:szCs w:val="32"/>
          <w:highlight w:val="none"/>
        </w:rPr>
        <w:t>1.资格证明文件封面格式：</w:t>
      </w:r>
    </w:p>
    <w:p w14:paraId="3A66FDF1">
      <w:pPr>
        <w:shd w:val="clear" w:color="auto" w:fill="auto"/>
        <w:snapToGrid w:val="0"/>
        <w:spacing w:before="156" w:beforeLines="50" w:after="50" w:line="360" w:lineRule="auto"/>
        <w:rPr>
          <w:rFonts w:hint="eastAsia" w:asciiTheme="minorEastAsia" w:hAnsiTheme="minorEastAsia" w:eastAsiaTheme="minorEastAsia" w:cstheme="minorEastAsia"/>
          <w:color w:val="auto"/>
          <w:sz w:val="24"/>
          <w:szCs w:val="20"/>
          <w:highlight w:val="none"/>
        </w:rPr>
      </w:pPr>
    </w:p>
    <w:p w14:paraId="7C74D981">
      <w:pPr>
        <w:shd w:val="clear" w:color="auto" w:fill="auto"/>
        <w:snapToGrid w:val="0"/>
        <w:spacing w:before="156" w:beforeLines="50" w:after="50" w:line="360" w:lineRule="auto"/>
        <w:rPr>
          <w:rFonts w:hint="eastAsia" w:asciiTheme="minorEastAsia" w:hAnsiTheme="minorEastAsia" w:eastAsiaTheme="minorEastAsia" w:cstheme="minorEastAsia"/>
          <w:color w:val="auto"/>
          <w:sz w:val="24"/>
          <w:szCs w:val="20"/>
          <w:highlight w:val="none"/>
        </w:rPr>
      </w:pPr>
    </w:p>
    <w:p w14:paraId="0B02A20D">
      <w:pPr>
        <w:shd w:val="clear" w:color="auto" w:fill="auto"/>
        <w:snapToGrid w:val="0"/>
        <w:spacing w:before="156" w:beforeLines="50" w:after="50" w:line="360" w:lineRule="auto"/>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资  格  证  明  文  件</w:t>
      </w:r>
    </w:p>
    <w:p w14:paraId="29399F3C">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4A3509F7">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76EC7D52">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438D5889">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项目名称：</w:t>
      </w:r>
    </w:p>
    <w:p w14:paraId="426EC21E">
      <w:pPr>
        <w:shd w:val="clear" w:color="auto" w:fill="auto"/>
        <w:snapToGrid w:val="0"/>
        <w:spacing w:before="156" w:beforeLines="50" w:after="50" w:line="360" w:lineRule="auto"/>
        <w:ind w:firstLine="720" w:firstLineChars="225"/>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项目编号：</w:t>
      </w:r>
    </w:p>
    <w:p w14:paraId="16C18903">
      <w:pPr>
        <w:shd w:val="clear" w:color="auto" w:fill="auto"/>
        <w:snapToGrid w:val="0"/>
        <w:spacing w:before="156" w:beforeLines="50" w:after="50" w:line="360" w:lineRule="auto"/>
        <w:ind w:firstLine="720" w:firstLineChars="225"/>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所竞分标（如有则填写，无分标时填写“无”或者留空）：</w:t>
      </w:r>
    </w:p>
    <w:p w14:paraId="7A6C6C10">
      <w:pPr>
        <w:pStyle w:val="7"/>
        <w:shd w:val="clear" w:color="auto" w:fill="auto"/>
        <w:snapToGrid w:val="0"/>
        <w:spacing w:before="50" w:after="50" w:line="360" w:lineRule="auto"/>
        <w:ind w:firstLine="720" w:firstLineChars="225"/>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供应商名称：</w:t>
      </w:r>
    </w:p>
    <w:p w14:paraId="3DCFEABE">
      <w:pPr>
        <w:pStyle w:val="7"/>
        <w:shd w:val="clear" w:color="auto" w:fill="auto"/>
        <w:snapToGrid w:val="0"/>
        <w:spacing w:before="50" w:after="50" w:line="360" w:lineRule="auto"/>
        <w:ind w:firstLine="720" w:firstLineChars="225"/>
        <w:rPr>
          <w:rFonts w:hint="eastAsia" w:asciiTheme="minorEastAsia" w:hAnsiTheme="minorEastAsia" w:eastAsiaTheme="minorEastAsia" w:cstheme="minorEastAsia"/>
          <w:bCs/>
          <w:color w:val="auto"/>
          <w:sz w:val="32"/>
          <w:szCs w:val="32"/>
          <w:highlight w:val="none"/>
        </w:rPr>
      </w:pPr>
    </w:p>
    <w:p w14:paraId="69D1F896">
      <w:pPr>
        <w:pStyle w:val="7"/>
        <w:shd w:val="clear" w:color="auto" w:fill="auto"/>
        <w:snapToGrid w:val="0"/>
        <w:spacing w:before="50" w:after="50" w:line="360" w:lineRule="auto"/>
        <w:ind w:firstLine="1280" w:firstLineChars="400"/>
        <w:rPr>
          <w:rFonts w:hint="eastAsia" w:asciiTheme="minorEastAsia" w:hAnsiTheme="minorEastAsia" w:eastAsiaTheme="minorEastAsia" w:cstheme="minorEastAsia"/>
          <w:bCs/>
          <w:color w:val="auto"/>
          <w:sz w:val="32"/>
          <w:szCs w:val="32"/>
          <w:highlight w:val="none"/>
        </w:rPr>
      </w:pPr>
    </w:p>
    <w:p w14:paraId="6EB1F46D">
      <w:pPr>
        <w:shd w:val="clear" w:color="auto" w:fill="auto"/>
        <w:snapToGrid w:val="0"/>
        <w:spacing w:before="156" w:beforeLines="50" w:after="50" w:line="360"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年    月    日</w:t>
      </w:r>
    </w:p>
    <w:p w14:paraId="40A8CD97">
      <w:pPr>
        <w:shd w:val="clear" w:color="auto" w:fill="auto"/>
        <w:snapToGrid w:val="0"/>
        <w:spacing w:before="156" w:beforeLines="50" w:after="50" w:line="360" w:lineRule="auto"/>
        <w:ind w:left="142"/>
        <w:jc w:val="left"/>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32"/>
          <w:szCs w:val="32"/>
          <w:highlight w:val="none"/>
        </w:rPr>
        <w:t>2.资格证明文件目录</w:t>
      </w:r>
    </w:p>
    <w:p w14:paraId="6054EA61">
      <w:pPr>
        <w:shd w:val="clear" w:color="auto" w:fill="auto"/>
        <w:snapToGrid w:val="0"/>
        <w:spacing w:before="156" w:beforeLines="50" w:after="50" w:line="360" w:lineRule="auto"/>
        <w:ind w:firstLine="645"/>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根据</w:t>
      </w:r>
      <w:r>
        <w:rPr>
          <w:rFonts w:hint="eastAsia" w:asciiTheme="minorEastAsia" w:hAnsiTheme="minorEastAsia" w:eastAsiaTheme="minorEastAsia" w:cstheme="minorEastAsia"/>
          <w:color w:val="auto"/>
          <w:sz w:val="32"/>
          <w:szCs w:val="32"/>
          <w:highlight w:val="none"/>
          <w:lang w:eastAsia="zh-CN"/>
        </w:rPr>
        <w:t>谈判</w:t>
      </w:r>
      <w:r>
        <w:rPr>
          <w:rFonts w:hint="eastAsia" w:asciiTheme="minorEastAsia" w:hAnsiTheme="minorEastAsia" w:eastAsiaTheme="minorEastAsia" w:cstheme="minorEastAsia"/>
          <w:color w:val="auto"/>
          <w:sz w:val="32"/>
          <w:szCs w:val="32"/>
          <w:highlight w:val="none"/>
        </w:rPr>
        <w:t>文件规定及供应商提供的材料自行编写目录（部分格式后附）。</w:t>
      </w:r>
    </w:p>
    <w:p w14:paraId="198E51B1">
      <w:pPr>
        <w:shd w:val="clear" w:color="auto" w:fill="auto"/>
        <w:snapToGrid w:val="0"/>
        <w:spacing w:before="156" w:beforeLines="50" w:after="50" w:line="360" w:lineRule="auto"/>
        <w:rPr>
          <w:rFonts w:hint="eastAsia" w:asciiTheme="minorEastAsia" w:hAnsiTheme="minorEastAsia" w:eastAsiaTheme="minorEastAsia" w:cstheme="minorEastAsia"/>
          <w:color w:val="auto"/>
          <w:sz w:val="24"/>
          <w:szCs w:val="20"/>
          <w:highlight w:val="none"/>
        </w:rPr>
      </w:pPr>
    </w:p>
    <w:p w14:paraId="275595DD">
      <w:pPr>
        <w:shd w:val="clear" w:color="auto" w:fill="auto"/>
        <w:spacing w:line="360" w:lineRule="auto"/>
        <w:rPr>
          <w:rFonts w:hint="eastAsia" w:asciiTheme="minorEastAsia" w:hAnsiTheme="minorEastAsia" w:eastAsiaTheme="minorEastAsia" w:cstheme="minorEastAsia"/>
          <w:color w:val="auto"/>
          <w:szCs w:val="21"/>
          <w:highlight w:val="none"/>
        </w:rPr>
      </w:pPr>
    </w:p>
    <w:p w14:paraId="37F51160">
      <w:pPr>
        <w:shd w:val="clear" w:color="auto" w:fill="auto"/>
        <w:spacing w:line="360" w:lineRule="auto"/>
        <w:rPr>
          <w:rFonts w:hint="eastAsia" w:asciiTheme="minorEastAsia" w:hAnsiTheme="minorEastAsia" w:eastAsiaTheme="minorEastAsia" w:cstheme="minorEastAsia"/>
          <w:color w:val="auto"/>
          <w:szCs w:val="21"/>
          <w:highlight w:val="none"/>
        </w:rPr>
      </w:pPr>
    </w:p>
    <w:p w14:paraId="48ECEEC0">
      <w:pPr>
        <w:shd w:val="clear" w:color="auto" w:fill="auto"/>
        <w:spacing w:line="360" w:lineRule="auto"/>
        <w:rPr>
          <w:rFonts w:hint="eastAsia" w:asciiTheme="minorEastAsia" w:hAnsiTheme="minorEastAsia" w:eastAsiaTheme="minorEastAsia" w:cstheme="minorEastAsia"/>
          <w:color w:val="auto"/>
          <w:szCs w:val="21"/>
          <w:highlight w:val="none"/>
        </w:rPr>
      </w:pPr>
    </w:p>
    <w:p w14:paraId="40806CE0">
      <w:pPr>
        <w:shd w:val="clear" w:color="auto" w:fill="auto"/>
        <w:spacing w:line="360" w:lineRule="auto"/>
        <w:rPr>
          <w:rFonts w:hint="eastAsia" w:asciiTheme="minorEastAsia" w:hAnsiTheme="minorEastAsia" w:eastAsiaTheme="minorEastAsia" w:cstheme="minorEastAsia"/>
          <w:color w:val="auto"/>
          <w:szCs w:val="21"/>
          <w:highlight w:val="none"/>
        </w:rPr>
      </w:pPr>
    </w:p>
    <w:p w14:paraId="5C38C966">
      <w:pPr>
        <w:shd w:val="clear" w:color="auto" w:fill="auto"/>
        <w:spacing w:line="360" w:lineRule="auto"/>
        <w:rPr>
          <w:rFonts w:hint="eastAsia" w:asciiTheme="minorEastAsia" w:hAnsiTheme="minorEastAsia" w:eastAsiaTheme="minorEastAsia" w:cstheme="minorEastAsia"/>
          <w:color w:val="auto"/>
          <w:szCs w:val="21"/>
          <w:highlight w:val="none"/>
        </w:rPr>
      </w:pPr>
    </w:p>
    <w:p w14:paraId="5E6BE079">
      <w:pPr>
        <w:shd w:val="clear" w:color="auto" w:fill="auto"/>
        <w:spacing w:line="360" w:lineRule="auto"/>
        <w:rPr>
          <w:rFonts w:hint="eastAsia" w:asciiTheme="minorEastAsia" w:hAnsiTheme="minorEastAsia" w:eastAsiaTheme="minorEastAsia" w:cstheme="minorEastAsia"/>
          <w:color w:val="auto"/>
          <w:szCs w:val="21"/>
          <w:highlight w:val="none"/>
        </w:rPr>
      </w:pPr>
    </w:p>
    <w:p w14:paraId="31B2DBC8">
      <w:pPr>
        <w:shd w:val="clear" w:color="auto" w:fill="auto"/>
        <w:spacing w:line="360" w:lineRule="auto"/>
        <w:rPr>
          <w:rFonts w:hint="eastAsia" w:asciiTheme="minorEastAsia" w:hAnsiTheme="minorEastAsia" w:eastAsiaTheme="minorEastAsia" w:cstheme="minorEastAsia"/>
          <w:color w:val="auto"/>
          <w:szCs w:val="21"/>
          <w:highlight w:val="none"/>
        </w:rPr>
      </w:pPr>
    </w:p>
    <w:p w14:paraId="31C416E4">
      <w:pPr>
        <w:shd w:val="clear" w:color="auto" w:fill="auto"/>
        <w:spacing w:line="360" w:lineRule="auto"/>
        <w:rPr>
          <w:rFonts w:hint="eastAsia" w:asciiTheme="minorEastAsia" w:hAnsiTheme="minorEastAsia" w:eastAsiaTheme="minorEastAsia" w:cstheme="minorEastAsia"/>
          <w:color w:val="auto"/>
          <w:szCs w:val="21"/>
          <w:highlight w:val="none"/>
        </w:rPr>
      </w:pPr>
    </w:p>
    <w:p w14:paraId="58226E82">
      <w:pPr>
        <w:shd w:val="clear" w:color="auto" w:fill="auto"/>
        <w:spacing w:line="360" w:lineRule="auto"/>
        <w:rPr>
          <w:rFonts w:hint="eastAsia" w:asciiTheme="minorEastAsia" w:hAnsiTheme="minorEastAsia" w:eastAsiaTheme="minorEastAsia" w:cstheme="minorEastAsia"/>
          <w:color w:val="auto"/>
          <w:szCs w:val="21"/>
          <w:highlight w:val="none"/>
        </w:rPr>
      </w:pPr>
    </w:p>
    <w:p w14:paraId="045F58DF">
      <w:pPr>
        <w:shd w:val="clear" w:color="auto" w:fill="auto"/>
        <w:spacing w:line="360" w:lineRule="auto"/>
        <w:rPr>
          <w:rFonts w:hint="eastAsia" w:asciiTheme="minorEastAsia" w:hAnsiTheme="minorEastAsia" w:eastAsiaTheme="minorEastAsia" w:cstheme="minorEastAsia"/>
          <w:color w:val="auto"/>
          <w:szCs w:val="21"/>
          <w:highlight w:val="none"/>
        </w:rPr>
      </w:pPr>
    </w:p>
    <w:p w14:paraId="05D3945D">
      <w:pPr>
        <w:shd w:val="clear" w:color="auto" w:fill="auto"/>
        <w:spacing w:line="360" w:lineRule="auto"/>
        <w:rPr>
          <w:rFonts w:hint="eastAsia" w:asciiTheme="minorEastAsia" w:hAnsiTheme="minorEastAsia" w:eastAsiaTheme="minorEastAsia" w:cstheme="minorEastAsia"/>
          <w:color w:val="auto"/>
          <w:szCs w:val="21"/>
          <w:highlight w:val="none"/>
        </w:rPr>
      </w:pPr>
    </w:p>
    <w:p w14:paraId="4CD4E9BA">
      <w:pPr>
        <w:shd w:val="clear" w:color="auto" w:fill="auto"/>
        <w:spacing w:line="360" w:lineRule="auto"/>
        <w:rPr>
          <w:rFonts w:hint="eastAsia" w:asciiTheme="minorEastAsia" w:hAnsiTheme="minorEastAsia" w:eastAsiaTheme="minorEastAsia" w:cstheme="minorEastAsia"/>
          <w:color w:val="auto"/>
          <w:szCs w:val="21"/>
          <w:highlight w:val="none"/>
        </w:rPr>
      </w:pPr>
    </w:p>
    <w:p w14:paraId="3F671D95">
      <w:pPr>
        <w:shd w:val="clear" w:color="auto" w:fill="auto"/>
        <w:spacing w:line="360" w:lineRule="auto"/>
        <w:rPr>
          <w:rFonts w:hint="eastAsia" w:asciiTheme="minorEastAsia" w:hAnsiTheme="minorEastAsia" w:eastAsiaTheme="minorEastAsia" w:cstheme="minorEastAsia"/>
          <w:color w:val="auto"/>
          <w:szCs w:val="21"/>
          <w:highlight w:val="none"/>
        </w:rPr>
      </w:pPr>
    </w:p>
    <w:p w14:paraId="18926844">
      <w:pPr>
        <w:shd w:val="clear" w:color="auto" w:fill="auto"/>
        <w:spacing w:line="360" w:lineRule="auto"/>
        <w:rPr>
          <w:rFonts w:hint="eastAsia" w:asciiTheme="minorEastAsia" w:hAnsiTheme="minorEastAsia" w:eastAsiaTheme="minorEastAsia" w:cstheme="minorEastAsia"/>
          <w:color w:val="auto"/>
          <w:szCs w:val="21"/>
          <w:highlight w:val="none"/>
        </w:rPr>
      </w:pPr>
    </w:p>
    <w:p w14:paraId="78E30650">
      <w:pPr>
        <w:shd w:val="clear" w:color="auto" w:fill="auto"/>
        <w:spacing w:line="360" w:lineRule="auto"/>
        <w:rPr>
          <w:rFonts w:hint="eastAsia" w:asciiTheme="minorEastAsia" w:hAnsiTheme="minorEastAsia" w:eastAsiaTheme="minorEastAsia" w:cstheme="minorEastAsia"/>
          <w:color w:val="auto"/>
          <w:szCs w:val="21"/>
          <w:highlight w:val="none"/>
        </w:rPr>
      </w:pPr>
    </w:p>
    <w:p w14:paraId="32B86441">
      <w:pPr>
        <w:shd w:val="clear" w:color="auto" w:fill="auto"/>
        <w:spacing w:line="360" w:lineRule="auto"/>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8"/>
          <w:szCs w:val="28"/>
          <w:highlight w:val="none"/>
        </w:rPr>
        <w:br w:type="page"/>
      </w:r>
    </w:p>
    <w:p w14:paraId="6778B02D">
      <w:pPr>
        <w:shd w:val="clear" w:color="auto" w:fill="auto"/>
        <w:wordWrap w:val="0"/>
        <w:spacing w:before="156" w:beforeLines="50" w:after="50" w:line="360" w:lineRule="auto"/>
        <w:ind w:right="482" w:firstLine="210" w:firstLineChars="100"/>
        <w:contextualSpacing/>
        <w:jc w:val="center"/>
        <w:rPr>
          <w:rFonts w:hint="eastAsia" w:asciiTheme="minorEastAsia" w:hAnsiTheme="minorEastAsia" w:eastAsiaTheme="minorEastAsia" w:cstheme="minorEastAsia"/>
          <w:color w:val="auto"/>
          <w:szCs w:val="21"/>
          <w:highlight w:val="none"/>
        </w:rPr>
      </w:pPr>
    </w:p>
    <w:p w14:paraId="568E93F8">
      <w:pPr>
        <w:shd w:val="clear" w:color="auto" w:fill="auto"/>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供应商直接控股、管理关系信息表</w:t>
      </w:r>
    </w:p>
    <w:p w14:paraId="7D020BC7">
      <w:pPr>
        <w:shd w:val="clear" w:color="auto" w:fill="auto"/>
        <w:snapToGrid w:val="0"/>
        <w:spacing w:before="156" w:beforeLines="50" w:after="50" w:line="360" w:lineRule="auto"/>
        <w:jc w:val="center"/>
        <w:rPr>
          <w:rFonts w:hint="eastAsia" w:asciiTheme="minorEastAsia" w:hAnsiTheme="minorEastAsia" w:eastAsiaTheme="minorEastAsia" w:cstheme="minorEastAsia"/>
          <w:b/>
          <w:color w:val="auto"/>
          <w:sz w:val="24"/>
          <w:highlight w:val="none"/>
        </w:rPr>
      </w:pPr>
    </w:p>
    <w:p w14:paraId="3E82096A">
      <w:pPr>
        <w:shd w:val="clear" w:color="auto" w:fill="auto"/>
        <w:spacing w:line="360" w:lineRule="auto"/>
        <w:contextualSpacing/>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eastAsia="zh-CN"/>
        </w:rPr>
        <w:t>一、</w:t>
      </w:r>
      <w:r>
        <w:rPr>
          <w:rFonts w:hint="eastAsia" w:asciiTheme="minorEastAsia" w:hAnsiTheme="minorEastAsia" w:eastAsiaTheme="minorEastAsia" w:cstheme="minorEastAsia"/>
          <w:b/>
          <w:color w:val="auto"/>
          <w:sz w:val="32"/>
          <w:szCs w:val="32"/>
          <w:highlight w:val="none"/>
        </w:rPr>
        <w:t>供应商直接控股股东信息表</w:t>
      </w:r>
    </w:p>
    <w:p w14:paraId="29195BB8">
      <w:pPr>
        <w:shd w:val="clear" w:color="auto" w:fill="auto"/>
        <w:spacing w:line="360" w:lineRule="auto"/>
        <w:contextualSpacing/>
        <w:jc w:val="center"/>
        <w:rPr>
          <w:rFonts w:hint="eastAsia" w:asciiTheme="minorEastAsia" w:hAnsiTheme="minorEastAsia" w:eastAsiaTheme="minorEastAsia" w:cstheme="minorEastAsia"/>
          <w:b/>
          <w:color w:val="auto"/>
          <w:sz w:val="24"/>
          <w:highlight w:val="none"/>
        </w:rPr>
      </w:pPr>
    </w:p>
    <w:tbl>
      <w:tblPr>
        <w:tblStyle w:val="18"/>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EFDE713">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56F095E">
            <w:pPr>
              <w:widowControl/>
              <w:shd w:val="clear" w:color="auto" w:fill="auto"/>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8A62E16">
            <w:pPr>
              <w:widowControl/>
              <w:shd w:val="clear" w:color="auto" w:fill="auto"/>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87AD3A4">
            <w:pPr>
              <w:widowControl/>
              <w:shd w:val="clear" w:color="auto" w:fill="auto"/>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962B9D5">
            <w:pPr>
              <w:widowControl/>
              <w:shd w:val="clear" w:color="auto" w:fill="auto"/>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B46EA2E">
            <w:pPr>
              <w:widowControl/>
              <w:shd w:val="clear" w:color="auto" w:fill="auto"/>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14:paraId="149816A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A1FE81D">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7B39F67">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F14E9BE">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109BCC">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DC04F46">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7A0F588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D0924E9">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46C353F">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9A72C89">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3972431">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AA87D8E">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3071EA6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04D7BA8">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CA1313">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5FB7E2C">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9919369">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E7F16FE">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5103A92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86FEFDF">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B33D941">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EF7C5E3">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F9D412B">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6D724FD">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r>
    </w:tbl>
    <w:p w14:paraId="7C9D43BB">
      <w:pPr>
        <w:shd w:val="clear" w:color="auto" w:fill="auto"/>
        <w:spacing w:line="36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723295F9">
      <w:pPr>
        <w:shd w:val="clear" w:color="auto" w:fill="auto"/>
        <w:spacing w:line="360" w:lineRule="auto"/>
        <w:ind w:firstLine="480" w:firstLineChars="200"/>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B6C1B7E">
      <w:pPr>
        <w:shd w:val="clear" w:color="auto" w:fill="auto"/>
        <w:spacing w:line="360" w:lineRule="auto"/>
        <w:ind w:firstLine="480" w:firstLineChars="200"/>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2.本表所指的控股关系仅限于直接控股关系，不包括间接的控股关系。公司实际控制人与公司之间的关系不属于本表所指的直接控股关系。</w:t>
      </w:r>
    </w:p>
    <w:p w14:paraId="21939030">
      <w:pPr>
        <w:shd w:val="clear" w:color="auto" w:fill="auto"/>
        <w:spacing w:line="360" w:lineRule="auto"/>
        <w:ind w:firstLine="480" w:firstLineChars="200"/>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3.供应商不存在直接控股股东的，则在“直接控股股东名称”填“无”。</w:t>
      </w:r>
    </w:p>
    <w:p w14:paraId="3B095D0C">
      <w:pPr>
        <w:shd w:val="clear" w:color="auto" w:fill="auto"/>
        <w:spacing w:line="360" w:lineRule="auto"/>
        <w:ind w:firstLine="420" w:firstLineChars="200"/>
        <w:contextualSpacing/>
        <w:jc w:val="left"/>
        <w:rPr>
          <w:rFonts w:hint="eastAsia" w:asciiTheme="minorEastAsia" w:hAnsiTheme="minorEastAsia" w:eastAsiaTheme="minorEastAsia" w:cstheme="minorEastAsia"/>
          <w:color w:val="auto"/>
          <w:szCs w:val="21"/>
          <w:highlight w:val="none"/>
        </w:rPr>
      </w:pPr>
    </w:p>
    <w:p w14:paraId="2255E7A7">
      <w:pPr>
        <w:shd w:val="clear" w:color="auto" w:fill="auto"/>
        <w:spacing w:line="360" w:lineRule="auto"/>
        <w:ind w:firstLine="560" w:firstLineChars="200"/>
        <w:contextualSpacing/>
        <w:jc w:val="left"/>
        <w:rPr>
          <w:rFonts w:hint="eastAsia" w:asciiTheme="minorEastAsia" w:hAnsiTheme="minorEastAsia" w:eastAsiaTheme="minorEastAsia" w:cstheme="minorEastAsia"/>
          <w:color w:val="auto"/>
          <w:sz w:val="28"/>
          <w:szCs w:val="28"/>
          <w:highlight w:val="none"/>
        </w:rPr>
      </w:pPr>
    </w:p>
    <w:p w14:paraId="161D7935">
      <w:pPr>
        <w:shd w:val="clear" w:color="auto" w:fill="auto"/>
        <w:spacing w:line="360" w:lineRule="auto"/>
        <w:ind w:right="480"/>
        <w:contextualSpacing/>
        <w:jc w:val="center"/>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法定代表人或者委托代理人（签字或者电子签名）：</w:t>
      </w:r>
    </w:p>
    <w:p w14:paraId="08623CE4">
      <w:pPr>
        <w:shd w:val="clear" w:color="auto" w:fill="auto"/>
        <w:spacing w:line="360" w:lineRule="auto"/>
        <w:ind w:right="480" w:firstLine="3000" w:firstLineChars="125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 xml:space="preserve">供应商（电子签章）： </w:t>
      </w:r>
    </w:p>
    <w:p w14:paraId="327A5E48">
      <w:pPr>
        <w:shd w:val="clear" w:color="auto" w:fill="auto"/>
        <w:spacing w:line="360" w:lineRule="auto"/>
        <w:ind w:firstLine="480" w:firstLineChars="200"/>
        <w:contextualSpacing/>
        <w:jc w:val="righ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4"/>
          <w:highlight w:val="none"/>
        </w:rPr>
        <w:t>年    月    日</w:t>
      </w:r>
    </w:p>
    <w:p w14:paraId="33E6D088">
      <w:pPr>
        <w:shd w:val="clear" w:color="auto" w:fill="auto"/>
        <w:snapToGrid w:val="0"/>
        <w:spacing w:line="360" w:lineRule="auto"/>
        <w:jc w:val="center"/>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p>
    <w:p w14:paraId="3B556A09">
      <w:pPr>
        <w:shd w:val="clear" w:color="auto" w:fill="auto"/>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eastAsia="zh-CN"/>
        </w:rPr>
        <w:t>二、</w:t>
      </w:r>
      <w:r>
        <w:rPr>
          <w:rFonts w:hint="eastAsia" w:asciiTheme="minorEastAsia" w:hAnsiTheme="minorEastAsia" w:eastAsiaTheme="minorEastAsia" w:cstheme="minorEastAsia"/>
          <w:b/>
          <w:color w:val="auto"/>
          <w:sz w:val="32"/>
          <w:szCs w:val="32"/>
          <w:highlight w:val="none"/>
        </w:rPr>
        <w:t>供应商直接管理关系信息表</w:t>
      </w:r>
    </w:p>
    <w:p w14:paraId="149750DC">
      <w:pPr>
        <w:shd w:val="clear" w:color="auto" w:fill="auto"/>
        <w:snapToGrid w:val="0"/>
        <w:spacing w:line="360" w:lineRule="auto"/>
        <w:jc w:val="center"/>
        <w:rPr>
          <w:rFonts w:hint="eastAsia" w:asciiTheme="minorEastAsia" w:hAnsiTheme="minorEastAsia" w:eastAsiaTheme="minorEastAsia" w:cstheme="minorEastAsia"/>
          <w:b/>
          <w:color w:val="auto"/>
          <w:sz w:val="24"/>
          <w:highlight w:val="none"/>
        </w:rPr>
      </w:pPr>
    </w:p>
    <w:tbl>
      <w:tblPr>
        <w:tblStyle w:val="18"/>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82C7CEC">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82A593">
            <w:pPr>
              <w:widowControl/>
              <w:shd w:val="clear" w:color="auto" w:fill="auto"/>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F4242EE">
            <w:pPr>
              <w:widowControl/>
              <w:shd w:val="clear" w:color="auto" w:fill="auto"/>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9428893">
            <w:pPr>
              <w:widowControl/>
              <w:shd w:val="clear" w:color="auto" w:fill="auto"/>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4FD52D8">
            <w:pPr>
              <w:widowControl/>
              <w:shd w:val="clear" w:color="auto" w:fill="auto"/>
              <w:spacing w:line="360" w:lineRule="auto"/>
              <w:contextualSpacing/>
              <w:jc w:val="center"/>
              <w:rPr>
                <w:rFonts w:hint="eastAsia"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相互关系</w:t>
            </w:r>
          </w:p>
        </w:tc>
      </w:tr>
      <w:tr w14:paraId="36C6423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F91DEE3">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7C412D9">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B8CD994">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95BC334">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3E26332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4741FE">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AD9A3F7">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2AD5F0F">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0A1F473">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7CF16CC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836A70">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7B8CF5">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3A9F6E1">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416514F">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r>
      <w:tr w14:paraId="6805880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65E89B8">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A28F920">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8F5EDC1">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22A1530">
            <w:pPr>
              <w:widowControl/>
              <w:shd w:val="clear" w:color="auto" w:fill="auto"/>
              <w:spacing w:line="360" w:lineRule="auto"/>
              <w:contextualSpacing/>
              <w:jc w:val="center"/>
              <w:rPr>
                <w:rFonts w:hint="eastAsia" w:asciiTheme="minorEastAsia" w:hAnsiTheme="minorEastAsia" w:eastAsiaTheme="minorEastAsia" w:cstheme="minorEastAsia"/>
                <w:color w:val="auto"/>
                <w:kern w:val="0"/>
                <w:sz w:val="24"/>
                <w:highlight w:val="none"/>
              </w:rPr>
            </w:pPr>
          </w:p>
        </w:tc>
      </w:tr>
    </w:tbl>
    <w:p w14:paraId="1AD02619">
      <w:pPr>
        <w:shd w:val="clear" w:color="auto" w:fill="auto"/>
        <w:spacing w:line="36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554DA5F8">
      <w:pPr>
        <w:shd w:val="clear" w:color="auto" w:fill="auto"/>
        <w:spacing w:line="360" w:lineRule="auto"/>
        <w:ind w:firstLine="480" w:firstLineChars="200"/>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1.管理关系：是指不具有出资持股关系的其他单位之间存在的管理与被管理关系，如一些上下级关系的事业单位和团体组织。</w:t>
      </w:r>
    </w:p>
    <w:p w14:paraId="70BCE105">
      <w:pPr>
        <w:shd w:val="clear" w:color="auto" w:fill="auto"/>
        <w:spacing w:line="360" w:lineRule="auto"/>
        <w:ind w:firstLine="480" w:firstLineChars="200"/>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pacing w:val="-6"/>
          <w:sz w:val="24"/>
          <w:highlight w:val="none"/>
        </w:rPr>
        <w:t>本表所指的管理关系仅限于直接管理关系，不包括间接的管理关系。</w:t>
      </w:r>
    </w:p>
    <w:p w14:paraId="3B72BEA4">
      <w:pPr>
        <w:shd w:val="clear" w:color="auto" w:fill="auto"/>
        <w:spacing w:line="360" w:lineRule="auto"/>
        <w:ind w:firstLine="480" w:firstLineChars="200"/>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3.供应商不存在直接管理关系的，则在“直接管理关系单位名称”填“无”。</w:t>
      </w:r>
    </w:p>
    <w:p w14:paraId="5724F0FD">
      <w:pPr>
        <w:shd w:val="clear" w:color="auto" w:fill="auto"/>
        <w:spacing w:line="360" w:lineRule="auto"/>
        <w:contextualSpacing/>
        <w:jc w:val="left"/>
        <w:rPr>
          <w:rFonts w:hint="eastAsia" w:asciiTheme="minorEastAsia" w:hAnsiTheme="minorEastAsia" w:eastAsiaTheme="minorEastAsia" w:cstheme="minorEastAsia"/>
          <w:color w:val="auto"/>
          <w:sz w:val="28"/>
          <w:szCs w:val="28"/>
          <w:highlight w:val="none"/>
        </w:rPr>
      </w:pPr>
    </w:p>
    <w:p w14:paraId="70C34F2A">
      <w:pPr>
        <w:shd w:val="clear" w:color="auto" w:fill="auto"/>
        <w:spacing w:line="360" w:lineRule="auto"/>
        <w:contextualSpacing/>
        <w:jc w:val="left"/>
        <w:rPr>
          <w:rFonts w:hint="eastAsia" w:asciiTheme="minorEastAsia" w:hAnsiTheme="minorEastAsia" w:eastAsiaTheme="minorEastAsia" w:cstheme="minorEastAsia"/>
          <w:color w:val="auto"/>
          <w:sz w:val="28"/>
          <w:szCs w:val="28"/>
          <w:highlight w:val="none"/>
        </w:rPr>
      </w:pPr>
    </w:p>
    <w:p w14:paraId="793D4EFB">
      <w:pPr>
        <w:shd w:val="clear" w:color="auto" w:fill="auto"/>
        <w:spacing w:line="360" w:lineRule="auto"/>
        <w:contextualSpacing/>
        <w:jc w:val="left"/>
        <w:rPr>
          <w:rFonts w:hint="eastAsia" w:asciiTheme="minorEastAsia" w:hAnsiTheme="minorEastAsia" w:eastAsiaTheme="minorEastAsia" w:cstheme="minorEastAsia"/>
          <w:color w:val="auto"/>
          <w:sz w:val="28"/>
          <w:szCs w:val="28"/>
          <w:highlight w:val="none"/>
        </w:rPr>
      </w:pPr>
    </w:p>
    <w:p w14:paraId="46659C80">
      <w:pPr>
        <w:shd w:val="clear" w:color="auto" w:fill="auto"/>
        <w:spacing w:line="360" w:lineRule="auto"/>
        <w:ind w:right="480"/>
        <w:contextualSpacing/>
        <w:jc w:val="center"/>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法定代表人或者委托代理人（签字或者电子签名）：</w:t>
      </w:r>
    </w:p>
    <w:p w14:paraId="42D900C8">
      <w:pPr>
        <w:shd w:val="clear" w:color="auto" w:fill="auto"/>
        <w:spacing w:line="360" w:lineRule="auto"/>
        <w:ind w:right="480" w:firstLine="3360" w:firstLineChars="14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供应商（电子签章）：</w:t>
      </w:r>
    </w:p>
    <w:p w14:paraId="1181FA88">
      <w:pPr>
        <w:shd w:val="clear" w:color="auto" w:fill="auto"/>
        <w:spacing w:line="360" w:lineRule="auto"/>
        <w:ind w:firstLine="480" w:firstLineChars="200"/>
        <w:contextualSpacing/>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4"/>
          <w:highlight w:val="none"/>
        </w:rPr>
        <w:t xml:space="preserve">                                        年    月    日</w:t>
      </w:r>
    </w:p>
    <w:p w14:paraId="1D588B2D">
      <w:pPr>
        <w:shd w:val="clear" w:color="auto" w:fill="auto"/>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color w:val="auto"/>
          <w:sz w:val="28"/>
          <w:szCs w:val="28"/>
          <w:highlight w:val="none"/>
        </w:rPr>
        <w:br w:type="page"/>
      </w:r>
      <w:r>
        <w:rPr>
          <w:rFonts w:hint="eastAsia" w:asciiTheme="minorEastAsia" w:hAnsiTheme="minorEastAsia" w:eastAsiaTheme="minorEastAsia" w:cstheme="minorEastAsia"/>
          <w:b/>
          <w:color w:val="auto"/>
          <w:sz w:val="32"/>
          <w:szCs w:val="32"/>
          <w:highlight w:val="none"/>
        </w:rPr>
        <w:t>竞标声明</w:t>
      </w:r>
    </w:p>
    <w:p w14:paraId="5B1401A4">
      <w:pPr>
        <w:shd w:val="clear" w:color="auto" w:fill="auto"/>
        <w:spacing w:line="360" w:lineRule="auto"/>
        <w:jc w:val="center"/>
        <w:rPr>
          <w:rFonts w:hint="eastAsia" w:asciiTheme="minorEastAsia" w:hAnsiTheme="minorEastAsia" w:eastAsiaTheme="minorEastAsia" w:cstheme="minorEastAsia"/>
          <w:color w:val="auto"/>
          <w:sz w:val="24"/>
          <w:szCs w:val="20"/>
          <w:highlight w:val="none"/>
        </w:rPr>
      </w:pPr>
    </w:p>
    <w:p w14:paraId="6297CBB0">
      <w:pPr>
        <w:shd w:val="clear" w:color="auto" w:fill="auto"/>
        <w:spacing w:before="156" w:beforeLines="50" w:after="50"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（采购人名称或采购代理机构名称）</w:t>
      </w:r>
      <w:r>
        <w:rPr>
          <w:rFonts w:hint="eastAsia" w:asciiTheme="minorEastAsia" w:hAnsiTheme="minorEastAsia" w:eastAsiaTheme="minorEastAsia" w:cstheme="minorEastAsia"/>
          <w:color w:val="auto"/>
          <w:sz w:val="24"/>
          <w:highlight w:val="none"/>
        </w:rPr>
        <w:t>：</w:t>
      </w:r>
    </w:p>
    <w:p w14:paraId="77AA3F72">
      <w:pPr>
        <w:shd w:val="clear" w:color="auto" w:fill="auto"/>
        <w:spacing w:before="156" w:beforeLines="50" w:after="50" w:line="360" w:lineRule="auto"/>
        <w:ind w:firstLine="480" w:firstLineChars="200"/>
        <w:contextualSpacing/>
        <w:rPr>
          <w:rFonts w:hint="eastAsia" w:asciiTheme="minorEastAsia" w:hAnsiTheme="minorEastAsia" w:eastAsiaTheme="minorEastAsia" w:cstheme="minorEastAsia"/>
          <w:color w:val="auto"/>
          <w:sz w:val="24"/>
          <w:highlight w:val="none"/>
          <w:u w:val="single"/>
        </w:rPr>
      </w:pPr>
    </w:p>
    <w:p w14:paraId="7100FDC6">
      <w:pPr>
        <w:shd w:val="clear" w:color="auto" w:fill="auto"/>
        <w:spacing w:before="156" w:beforeLines="50" w:after="50" w:line="360" w:lineRule="auto"/>
        <w:ind w:firstLine="480" w:firstLineChars="200"/>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（供应商名称）</w:t>
      </w:r>
      <w:r>
        <w:rPr>
          <w:rFonts w:hint="eastAsia" w:asciiTheme="minorEastAsia" w:hAnsiTheme="minorEastAsia" w:eastAsiaTheme="minorEastAsia" w:cstheme="minorEastAsia"/>
          <w:color w:val="auto"/>
          <w:sz w:val="24"/>
          <w:highlight w:val="none"/>
        </w:rPr>
        <w:t>系中华人民共和国合法供应商，经营地址</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w:t>
      </w:r>
    </w:p>
    <w:p w14:paraId="781DA5A1">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我方愿意参加贵方组织的</w:t>
      </w:r>
      <w:r>
        <w:rPr>
          <w:rFonts w:hint="eastAsia" w:asciiTheme="minorEastAsia" w:hAnsiTheme="minorEastAsia" w:eastAsiaTheme="minorEastAsia" w:cstheme="minorEastAsia"/>
          <w:color w:val="auto"/>
          <w:sz w:val="24"/>
          <w:highlight w:val="none"/>
          <w:u w:val="single"/>
        </w:rPr>
        <w:t>（项目名称）</w:t>
      </w:r>
      <w:r>
        <w:rPr>
          <w:rFonts w:hint="eastAsia" w:asciiTheme="minorEastAsia" w:hAnsiTheme="minorEastAsia" w:eastAsiaTheme="minorEastAsia" w:cstheme="minorEastAsia"/>
          <w:color w:val="auto"/>
          <w:sz w:val="24"/>
          <w:highlight w:val="none"/>
        </w:rPr>
        <w:t>项目的竞标，为便于贵方公正、择优地确定成交供应商及其竞标产品和服务，我方就本次竞标有关事项郑重声明如下：</w:t>
      </w:r>
    </w:p>
    <w:p w14:paraId="2EC857EF">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1.我方向贵方提交的所有响应文件、资料都是准确的和真实的。</w:t>
      </w:r>
    </w:p>
    <w:p w14:paraId="0F096867">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8608641">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3.在此，我方宣布同意如下：</w:t>
      </w:r>
    </w:p>
    <w:p w14:paraId="26191786">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（1）将按</w:t>
      </w:r>
      <w:r>
        <w:rPr>
          <w:rFonts w:hint="eastAsia" w:asciiTheme="minorEastAsia" w:hAnsiTheme="minorEastAsia" w:eastAsiaTheme="minorEastAsia" w:cstheme="minorEastAsia"/>
          <w:color w:val="auto"/>
          <w:sz w:val="24"/>
          <w:highlight w:val="none"/>
          <w:lang w:eastAsia="zh-CN"/>
        </w:rPr>
        <w:t>谈判</w:t>
      </w:r>
      <w:r>
        <w:rPr>
          <w:rFonts w:hint="eastAsia" w:asciiTheme="minorEastAsia" w:hAnsiTheme="minorEastAsia" w:eastAsiaTheme="minorEastAsia" w:cstheme="minorEastAsia"/>
          <w:color w:val="auto"/>
          <w:sz w:val="24"/>
          <w:highlight w:val="none"/>
        </w:rPr>
        <w:t>文件的约定履行合同责任和义务；</w:t>
      </w:r>
    </w:p>
    <w:p w14:paraId="7E2784BD">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（2）已详细审查全部</w:t>
      </w:r>
      <w:r>
        <w:rPr>
          <w:rFonts w:hint="eastAsia" w:asciiTheme="minorEastAsia" w:hAnsiTheme="minorEastAsia" w:eastAsiaTheme="minorEastAsia" w:cstheme="minorEastAsia"/>
          <w:color w:val="auto"/>
          <w:sz w:val="24"/>
          <w:highlight w:val="none"/>
          <w:lang w:eastAsia="zh-CN"/>
        </w:rPr>
        <w:t>谈判</w:t>
      </w:r>
      <w:r>
        <w:rPr>
          <w:rFonts w:hint="eastAsia" w:asciiTheme="minorEastAsia" w:hAnsiTheme="minorEastAsia" w:eastAsiaTheme="minorEastAsia" w:cstheme="minorEastAsia"/>
          <w:color w:val="auto"/>
          <w:sz w:val="24"/>
          <w:highlight w:val="none"/>
        </w:rPr>
        <w:t>文件，包括澄清或者更正公告（如有）；</w:t>
      </w:r>
    </w:p>
    <w:p w14:paraId="60D840AD">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（3）同意提供按照贵方可能要求的与</w:t>
      </w:r>
      <w:r>
        <w:rPr>
          <w:rFonts w:hint="eastAsia" w:asciiTheme="minorEastAsia" w:hAnsiTheme="minorEastAsia" w:eastAsiaTheme="minorEastAsia" w:cstheme="minorEastAsia"/>
          <w:color w:val="auto"/>
          <w:sz w:val="24"/>
          <w:highlight w:val="none"/>
          <w:lang w:eastAsia="zh-CN"/>
        </w:rPr>
        <w:t>谈判</w:t>
      </w:r>
      <w:r>
        <w:rPr>
          <w:rFonts w:hint="eastAsia" w:asciiTheme="minorEastAsia" w:hAnsiTheme="minorEastAsia" w:eastAsiaTheme="minorEastAsia" w:cstheme="minorEastAsia"/>
          <w:color w:val="auto"/>
          <w:sz w:val="24"/>
          <w:highlight w:val="none"/>
        </w:rPr>
        <w:t>有关的一切数据或者资料；</w:t>
      </w:r>
    </w:p>
    <w:p w14:paraId="5C417927">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（4）响应</w:t>
      </w:r>
      <w:r>
        <w:rPr>
          <w:rFonts w:hint="eastAsia" w:asciiTheme="minorEastAsia" w:hAnsiTheme="minorEastAsia" w:eastAsiaTheme="minorEastAsia" w:cstheme="minorEastAsia"/>
          <w:color w:val="auto"/>
          <w:sz w:val="24"/>
          <w:highlight w:val="none"/>
          <w:lang w:eastAsia="zh-CN"/>
        </w:rPr>
        <w:t>谈判</w:t>
      </w:r>
      <w:r>
        <w:rPr>
          <w:rFonts w:hint="eastAsia" w:asciiTheme="minorEastAsia" w:hAnsiTheme="minorEastAsia" w:eastAsiaTheme="minorEastAsia" w:cstheme="minorEastAsia"/>
          <w:color w:val="auto"/>
          <w:sz w:val="24"/>
          <w:highlight w:val="none"/>
        </w:rPr>
        <w:t>文件规定的竞标有效期。</w:t>
      </w:r>
    </w:p>
    <w:p w14:paraId="3F3D8439">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4.我方承诺符合《中华人民共和国政府采购法》第二十二条规定：</w:t>
      </w:r>
    </w:p>
    <w:p w14:paraId="15E60921">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（1）具有独立承担民事责任的能力；</w:t>
      </w:r>
    </w:p>
    <w:p w14:paraId="4FA388DD">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（2）具有良好的商业信誉和健全的财务会计制度；</w:t>
      </w:r>
    </w:p>
    <w:p w14:paraId="5D596456">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（3）具有履行合同所必需的设备和专业技术能力；</w:t>
      </w:r>
    </w:p>
    <w:p w14:paraId="4E503A64">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（4）有依法缴纳税收和社会保障资金的良好记录；</w:t>
      </w:r>
    </w:p>
    <w:p w14:paraId="3FAF676E">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（5）参加政府采购活动前三年内，在经营活动中没有重大违法记录；</w:t>
      </w:r>
    </w:p>
    <w:p w14:paraId="48D8F97C">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（6）法律、行政法规规定的其他条件。</w:t>
      </w:r>
    </w:p>
    <w:p w14:paraId="4272FA7E">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B48EB5D">
      <w:pPr>
        <w:shd w:val="clear" w:color="auto" w:fill="auto"/>
        <w:spacing w:before="156" w:beforeLines="50"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0198154">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内容中</w:t>
      </w:r>
      <w:r>
        <w:rPr>
          <w:rFonts w:hint="eastAsia" w:asciiTheme="minorEastAsia" w:hAnsiTheme="minorEastAsia" w:eastAsiaTheme="minorEastAsia" w:cstheme="minorEastAsia"/>
          <w:color w:val="auto"/>
          <w:sz w:val="24"/>
          <w:highlight w:val="none"/>
        </w:rPr>
        <w:t>未</w:t>
      </w:r>
      <w:r>
        <w:rPr>
          <w:rFonts w:hint="eastAsia" w:asciiTheme="minorEastAsia" w:hAnsiTheme="minorEastAsia" w:eastAsiaTheme="minorEastAsia" w:cstheme="minorEastAsia"/>
          <w:color w:val="auto"/>
          <w:kern w:val="0"/>
          <w:sz w:val="24"/>
          <w:highlight w:val="none"/>
        </w:rPr>
        <w:t>涉及商业秘密；</w:t>
      </w:r>
    </w:p>
    <w:p w14:paraId="140568AB">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涉及商业秘密的内容有；</w:t>
      </w:r>
      <w:r>
        <w:rPr>
          <w:rFonts w:hint="eastAsia" w:asciiTheme="minorEastAsia" w:hAnsiTheme="minorEastAsia" w:eastAsiaTheme="minorEastAsia" w:cstheme="minorEastAsia"/>
          <w:color w:val="auto"/>
          <w:sz w:val="24"/>
          <w:highlight w:val="none"/>
        </w:rPr>
        <w:t xml:space="preserve"> </w:t>
      </w:r>
    </w:p>
    <w:p w14:paraId="089B2A50">
      <w:pPr>
        <w:pStyle w:val="10"/>
        <w:shd w:val="clear" w:color="auto" w:fill="auto"/>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7.与本谈判有关的一切正式往来信函请寄：                  </w:t>
      </w:r>
    </w:p>
    <w:p w14:paraId="3B67A64D">
      <w:pPr>
        <w:pStyle w:val="10"/>
        <w:shd w:val="clear" w:color="auto" w:fill="auto"/>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邮政编码：                  </w:t>
      </w:r>
    </w:p>
    <w:p w14:paraId="63B18EF3">
      <w:pPr>
        <w:pStyle w:val="10"/>
        <w:shd w:val="clear" w:color="auto" w:fill="auto"/>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纳税人识别号或统一社会信用代码：                                  </w:t>
      </w:r>
    </w:p>
    <w:p w14:paraId="06AE6874">
      <w:pPr>
        <w:pStyle w:val="10"/>
        <w:shd w:val="clear" w:color="auto" w:fill="auto"/>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电话/传真：                         电子邮箱：                 </w:t>
      </w:r>
    </w:p>
    <w:p w14:paraId="3C8A6809">
      <w:pPr>
        <w:pStyle w:val="10"/>
        <w:shd w:val="clear" w:color="auto" w:fill="auto"/>
        <w:tabs>
          <w:tab w:val="left" w:pos="939"/>
        </w:tabs>
        <w:spacing w:line="360" w:lineRule="auto"/>
        <w:ind w:left="0" w:lef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开户银行：                           账号/行号：           </w:t>
      </w:r>
    </w:p>
    <w:p w14:paraId="04A16BFE">
      <w:pPr>
        <w:pStyle w:val="10"/>
        <w:shd w:val="clear" w:color="auto" w:fill="auto"/>
        <w:tabs>
          <w:tab w:val="left" w:pos="939"/>
        </w:tabs>
        <w:spacing w:line="360" w:lineRule="auto"/>
        <w:ind w:left="141" w:leftChars="67"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8.以上事项如有虚假或者隐瞒，我方愿意承担一切后果，并不再寻求任何旨在减轻或者免除法律责任的辩解。</w:t>
      </w:r>
    </w:p>
    <w:p w14:paraId="6EA365F5">
      <w:pPr>
        <w:pStyle w:val="10"/>
        <w:shd w:val="clear" w:color="auto" w:fill="auto"/>
        <w:tabs>
          <w:tab w:val="left" w:pos="939"/>
        </w:tabs>
        <w:spacing w:line="360" w:lineRule="auto"/>
        <w:ind w:left="141" w:leftChars="67" w:firstLine="360" w:firstLineChars="1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特此承诺。</w:t>
      </w:r>
    </w:p>
    <w:p w14:paraId="36D30A94">
      <w:pPr>
        <w:shd w:val="clear" w:color="auto" w:fill="auto"/>
        <w:spacing w:line="360" w:lineRule="auto"/>
        <w:ind w:firstLine="4320" w:firstLineChars="1800"/>
        <w:rPr>
          <w:rFonts w:hint="eastAsia" w:asciiTheme="minorEastAsia" w:hAnsiTheme="minorEastAsia" w:eastAsiaTheme="minorEastAsia" w:cstheme="minorEastAsia"/>
          <w:color w:val="auto"/>
          <w:sz w:val="24"/>
          <w:highlight w:val="none"/>
        </w:rPr>
      </w:pPr>
    </w:p>
    <w:p w14:paraId="70EB18A7">
      <w:pPr>
        <w:spacing w:line="360" w:lineRule="auto"/>
        <w:ind w:firstLine="1800" w:firstLineChars="750"/>
        <w:contextualSpacing/>
        <w:rPr>
          <w:color w:val="auto"/>
          <w:highlight w:val="none"/>
        </w:rPr>
      </w:pPr>
      <w:r>
        <w:rPr>
          <w:rFonts w:hint="eastAsia" w:ascii="宋体" w:hAnsi="宋体"/>
          <w:color w:val="auto"/>
          <w:sz w:val="24"/>
          <w:highlight w:val="none"/>
        </w:rPr>
        <w:t>法定代表人</w:t>
      </w:r>
      <w:r>
        <w:rPr>
          <w:rFonts w:hint="eastAsia" w:ascii="宋体" w:hAnsi="宋体" w:cs="宋体"/>
          <w:color w:val="auto"/>
          <w:sz w:val="24"/>
          <w:highlight w:val="none"/>
          <w:lang w:bidi="ar"/>
        </w:rPr>
        <w:t>签字（或签章或电子签名）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7FEA9CA5">
      <w:pPr>
        <w:spacing w:line="360" w:lineRule="auto"/>
        <w:ind w:firstLine="4320" w:firstLineChars="1800"/>
        <w:contextualSpacing/>
        <w:rPr>
          <w:rFonts w:ascii="宋体" w:hAnsi="宋体" w:cs="宋体"/>
          <w:color w:val="auto"/>
          <w:szCs w:val="21"/>
          <w:highlight w:val="none"/>
          <w:u w:val="single"/>
        </w:rPr>
      </w:pPr>
      <w:r>
        <w:rPr>
          <w:rFonts w:hint="eastAsia" w:ascii="宋体" w:hAnsi="宋体" w:cs="宋体"/>
          <w:color w:val="auto"/>
          <w:sz w:val="24"/>
          <w:highlight w:val="none"/>
          <w:lang w:bidi="ar"/>
        </w:rPr>
        <w:t>供应商名称（电子签章）</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51388009">
      <w:pPr>
        <w:shd w:val="clear" w:color="auto" w:fill="auto"/>
        <w:snapToGrid w:val="0"/>
        <w:spacing w:before="156" w:beforeLines="50" w:after="50" w:line="360" w:lineRule="auto"/>
        <w:ind w:right="480" w:firstLine="210" w:firstLineChars="100"/>
        <w:jc w:val="center"/>
        <w:rPr>
          <w:rFonts w:hint="eastAsia" w:asciiTheme="minorEastAsia" w:hAnsiTheme="minorEastAsia" w:eastAsiaTheme="minorEastAsia" w:cstheme="minorEastAsia"/>
          <w:color w:val="auto"/>
          <w:sz w:val="28"/>
          <w:szCs w:val="28"/>
          <w:highlight w:val="none"/>
        </w:rPr>
      </w:pPr>
      <w:r>
        <w:rPr>
          <w:rFonts w:hint="eastAsia" w:ascii="宋体" w:hAnsi="宋体" w:cs="宋体"/>
          <w:color w:val="auto"/>
          <w:szCs w:val="21"/>
          <w:highlight w:val="none"/>
        </w:rPr>
        <w:t xml:space="preserve">                                                        </w:t>
      </w:r>
      <w:r>
        <w:rPr>
          <w:rFonts w:hint="eastAsia"/>
          <w:color w:val="auto"/>
          <w:highlight w:val="none"/>
        </w:rPr>
        <w:t xml:space="preserve"> 年    月    日</w:t>
      </w:r>
    </w:p>
    <w:p w14:paraId="3234B3DE">
      <w:pPr>
        <w:shd w:val="clear" w:color="auto" w:fill="auto"/>
        <w:spacing w:line="360" w:lineRule="auto"/>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color w:val="auto"/>
          <w:sz w:val="28"/>
          <w:szCs w:val="28"/>
          <w:highlight w:val="none"/>
        </w:rPr>
        <w:br w:type="page"/>
      </w:r>
      <w:r>
        <w:rPr>
          <w:rFonts w:hint="eastAsia" w:asciiTheme="minorEastAsia" w:hAnsiTheme="minorEastAsia" w:eastAsiaTheme="minorEastAsia" w:cstheme="minorEastAsia"/>
          <w:b/>
          <w:bCs/>
          <w:color w:val="auto"/>
          <w:sz w:val="32"/>
          <w:szCs w:val="32"/>
          <w:highlight w:val="none"/>
        </w:rPr>
        <w:t>二、</w:t>
      </w:r>
      <w:r>
        <w:rPr>
          <w:rFonts w:hint="eastAsia" w:asciiTheme="minorEastAsia" w:hAnsiTheme="minorEastAsia" w:eastAsiaTheme="minorEastAsia" w:cstheme="minorEastAsia"/>
          <w:b/>
          <w:color w:val="auto"/>
          <w:sz w:val="32"/>
          <w:szCs w:val="32"/>
          <w:highlight w:val="none"/>
        </w:rPr>
        <w:t xml:space="preserve">报价文件格式 </w:t>
      </w:r>
    </w:p>
    <w:p w14:paraId="7C9F3AED">
      <w:pPr>
        <w:shd w:val="clear" w:color="auto" w:fill="auto"/>
        <w:snapToGrid w:val="0"/>
        <w:spacing w:before="156" w:beforeLines="50" w:after="50" w:line="360" w:lineRule="auto"/>
        <w:jc w:val="left"/>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1.报价文件封面格式</w:t>
      </w:r>
    </w:p>
    <w:p w14:paraId="080BDE40">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32"/>
          <w:szCs w:val="20"/>
          <w:highlight w:val="none"/>
        </w:rPr>
      </w:pPr>
    </w:p>
    <w:p w14:paraId="6D9E1DC1">
      <w:pPr>
        <w:shd w:val="clear" w:color="auto" w:fill="auto"/>
        <w:snapToGrid w:val="0"/>
        <w:spacing w:before="156" w:beforeLines="50" w:after="50" w:line="360" w:lineRule="auto"/>
        <w:jc w:val="center"/>
        <w:rPr>
          <w:rFonts w:hint="eastAsia" w:asciiTheme="minorEastAsia" w:hAnsiTheme="minorEastAsia" w:eastAsiaTheme="minorEastAsia" w:cstheme="minorEastAsia"/>
          <w:b/>
          <w:bCs/>
          <w:color w:val="auto"/>
          <w:sz w:val="24"/>
          <w:szCs w:val="20"/>
          <w:highlight w:val="none"/>
        </w:rPr>
      </w:pPr>
      <w:r>
        <w:rPr>
          <w:rFonts w:hint="eastAsia" w:asciiTheme="minorEastAsia" w:hAnsiTheme="minorEastAsia" w:eastAsiaTheme="minorEastAsia" w:cstheme="minorEastAsia"/>
          <w:b/>
          <w:bCs/>
          <w:color w:val="auto"/>
          <w:sz w:val="44"/>
          <w:szCs w:val="44"/>
          <w:highlight w:val="none"/>
        </w:rPr>
        <w:t>电 子 响 应 文 件</w:t>
      </w:r>
    </w:p>
    <w:p w14:paraId="5B8D96A2">
      <w:pPr>
        <w:shd w:val="clear" w:color="auto" w:fill="auto"/>
        <w:snapToGrid w:val="0"/>
        <w:spacing w:before="156" w:beforeLines="50" w:after="50" w:line="360" w:lineRule="auto"/>
        <w:rPr>
          <w:rFonts w:hint="eastAsia" w:asciiTheme="minorEastAsia" w:hAnsiTheme="minorEastAsia" w:eastAsiaTheme="minorEastAsia" w:cstheme="minorEastAsia"/>
          <w:b/>
          <w:bCs/>
          <w:color w:val="auto"/>
          <w:sz w:val="24"/>
          <w:szCs w:val="20"/>
          <w:highlight w:val="none"/>
        </w:rPr>
      </w:pPr>
    </w:p>
    <w:p w14:paraId="5B692C8D">
      <w:pPr>
        <w:shd w:val="clear" w:color="auto" w:fill="auto"/>
        <w:snapToGrid w:val="0"/>
        <w:spacing w:before="156" w:beforeLines="50" w:after="50" w:line="360" w:lineRule="auto"/>
        <w:rPr>
          <w:rFonts w:hint="eastAsia" w:asciiTheme="minorEastAsia" w:hAnsiTheme="minorEastAsia" w:eastAsiaTheme="minorEastAsia" w:cstheme="minorEastAsia"/>
          <w:b/>
          <w:bCs/>
          <w:color w:val="auto"/>
          <w:sz w:val="24"/>
          <w:szCs w:val="20"/>
          <w:highlight w:val="none"/>
        </w:rPr>
      </w:pPr>
    </w:p>
    <w:p w14:paraId="6AA53769">
      <w:pPr>
        <w:shd w:val="clear" w:color="auto" w:fill="auto"/>
        <w:snapToGrid w:val="0"/>
        <w:spacing w:before="156" w:beforeLines="50" w:after="50" w:line="360" w:lineRule="auto"/>
        <w:jc w:val="center"/>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44"/>
          <w:szCs w:val="44"/>
          <w:highlight w:val="none"/>
        </w:rPr>
        <w:t>报  价  文  件</w:t>
      </w:r>
    </w:p>
    <w:p w14:paraId="2B8E3227">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057EE404">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4E553063">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230F70DB">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项目名称：</w:t>
      </w:r>
    </w:p>
    <w:p w14:paraId="1D3E04C3">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项目编号：</w:t>
      </w:r>
    </w:p>
    <w:p w14:paraId="7C624E0F">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所竞分标（如有则填写，无分标时填写“无”或者留空）：</w:t>
      </w:r>
    </w:p>
    <w:p w14:paraId="723922D8">
      <w:pPr>
        <w:widowControl w:val="0"/>
        <w:shd w:val="clear" w:color="auto" w:fill="auto"/>
        <w:snapToGrid w:val="0"/>
        <w:spacing w:before="50" w:after="50" w:line="360" w:lineRule="auto"/>
        <w:ind w:firstLine="640" w:firstLineChars="200"/>
        <w:jc w:val="both"/>
        <w:rPr>
          <w:rFonts w:hint="eastAsia" w:asciiTheme="minorEastAsia" w:hAnsiTheme="minorEastAsia" w:eastAsiaTheme="minorEastAsia" w:cstheme="minorEastAsia"/>
          <w:bCs/>
          <w:color w:val="auto"/>
          <w:kern w:val="2"/>
          <w:sz w:val="32"/>
          <w:szCs w:val="32"/>
          <w:highlight w:val="none"/>
          <w:lang w:val="en-US" w:eastAsia="zh-CN" w:bidi="ar-SA"/>
        </w:rPr>
      </w:pPr>
      <w:r>
        <w:rPr>
          <w:rFonts w:hint="eastAsia" w:asciiTheme="minorEastAsia" w:hAnsiTheme="minorEastAsia" w:eastAsiaTheme="minorEastAsia" w:cstheme="minorEastAsia"/>
          <w:bCs/>
          <w:color w:val="auto"/>
          <w:kern w:val="2"/>
          <w:sz w:val="32"/>
          <w:szCs w:val="32"/>
          <w:highlight w:val="none"/>
          <w:lang w:val="en-US" w:eastAsia="zh-CN" w:bidi="ar-SA"/>
        </w:rPr>
        <w:t>供应商名称：</w:t>
      </w:r>
    </w:p>
    <w:p w14:paraId="465D82F1">
      <w:pPr>
        <w:widowControl w:val="0"/>
        <w:shd w:val="clear" w:color="auto" w:fill="auto"/>
        <w:snapToGrid w:val="0"/>
        <w:spacing w:before="50" w:after="50" w:line="360" w:lineRule="auto"/>
        <w:ind w:firstLine="1280" w:firstLineChars="400"/>
        <w:jc w:val="both"/>
        <w:rPr>
          <w:rFonts w:hint="eastAsia" w:asciiTheme="minorEastAsia" w:hAnsiTheme="minorEastAsia" w:eastAsiaTheme="minorEastAsia" w:cstheme="minorEastAsia"/>
          <w:bCs/>
          <w:color w:val="auto"/>
          <w:kern w:val="2"/>
          <w:sz w:val="32"/>
          <w:szCs w:val="32"/>
          <w:highlight w:val="none"/>
          <w:lang w:val="en-US" w:eastAsia="zh-CN" w:bidi="ar-SA"/>
        </w:rPr>
      </w:pPr>
    </w:p>
    <w:p w14:paraId="12D78E2F">
      <w:pPr>
        <w:shd w:val="clear" w:color="auto" w:fill="auto"/>
        <w:snapToGrid w:val="0"/>
        <w:spacing w:before="156" w:beforeLines="50" w:after="50" w:line="360"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年    月    日</w:t>
      </w:r>
    </w:p>
    <w:p w14:paraId="1B8AF46F">
      <w:pPr>
        <w:shd w:val="clear" w:color="auto" w:fill="auto"/>
        <w:snapToGrid w:val="0"/>
        <w:spacing w:before="156" w:beforeLines="50" w:after="50" w:line="360" w:lineRule="auto"/>
        <w:ind w:left="142"/>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Cs w:val="21"/>
          <w:highlight w:val="none"/>
        </w:rPr>
        <w:br w:type="page"/>
      </w:r>
      <w:r>
        <w:rPr>
          <w:rFonts w:hint="eastAsia" w:asciiTheme="minorEastAsia" w:hAnsiTheme="minorEastAsia" w:eastAsiaTheme="minorEastAsia" w:cstheme="minorEastAsia"/>
          <w:b/>
          <w:bCs/>
          <w:color w:val="auto"/>
          <w:sz w:val="32"/>
          <w:szCs w:val="32"/>
          <w:highlight w:val="none"/>
        </w:rPr>
        <w:t>2.报价文件目录</w:t>
      </w:r>
    </w:p>
    <w:p w14:paraId="7E4998A5">
      <w:p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32"/>
          <w:szCs w:val="32"/>
          <w:highlight w:val="none"/>
        </w:rPr>
        <w:t>根据</w:t>
      </w:r>
      <w:r>
        <w:rPr>
          <w:rFonts w:hint="eastAsia" w:asciiTheme="minorEastAsia" w:hAnsiTheme="minorEastAsia" w:eastAsiaTheme="minorEastAsia" w:cstheme="minorEastAsia"/>
          <w:color w:val="auto"/>
          <w:sz w:val="32"/>
          <w:szCs w:val="32"/>
          <w:highlight w:val="none"/>
          <w:lang w:eastAsia="zh-CN"/>
        </w:rPr>
        <w:t>谈判</w:t>
      </w:r>
      <w:r>
        <w:rPr>
          <w:rFonts w:hint="eastAsia" w:asciiTheme="minorEastAsia" w:hAnsiTheme="minorEastAsia" w:eastAsiaTheme="minorEastAsia" w:cstheme="minorEastAsia"/>
          <w:color w:val="auto"/>
          <w:sz w:val="32"/>
          <w:szCs w:val="32"/>
          <w:highlight w:val="none"/>
        </w:rPr>
        <w:t>文件规定及供应商提供的材料自行编写目录（部分格式后附）。</w:t>
      </w:r>
      <w:r>
        <w:rPr>
          <w:rFonts w:hint="eastAsia" w:asciiTheme="minorEastAsia" w:hAnsiTheme="minorEastAsia" w:eastAsiaTheme="minorEastAsia" w:cstheme="minorEastAsia"/>
          <w:b/>
          <w:bCs/>
          <w:color w:val="auto"/>
          <w:sz w:val="32"/>
          <w:szCs w:val="32"/>
          <w:highlight w:val="none"/>
        </w:rPr>
        <w:br w:type="page"/>
      </w:r>
      <w:r>
        <w:rPr>
          <w:rFonts w:hint="eastAsia" w:asciiTheme="minorEastAsia" w:hAnsiTheme="minorEastAsia" w:eastAsiaTheme="minorEastAsia" w:cstheme="minorEastAsia"/>
          <w:b/>
          <w:bCs/>
          <w:color w:val="auto"/>
          <w:sz w:val="32"/>
          <w:szCs w:val="32"/>
          <w:highlight w:val="none"/>
        </w:rPr>
        <w:t>竞标函及竞标函附录</w:t>
      </w:r>
    </w:p>
    <w:p w14:paraId="422633E2">
      <w:p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rPr>
      </w:pPr>
    </w:p>
    <w:p w14:paraId="36A04D89">
      <w:p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（一）竞标函</w:t>
      </w:r>
    </w:p>
    <w:p w14:paraId="3EEADDCF">
      <w:p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rPr>
      </w:pPr>
    </w:p>
    <w:p w14:paraId="77E86790">
      <w:pPr>
        <w:shd w:val="clear" w:color="auto" w:fill="auto"/>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zh-CN" w:bidi="zh-CN"/>
        </w:rPr>
        <w:t>采购人名称</w:t>
      </w:r>
      <w:r>
        <w:rPr>
          <w:rFonts w:hint="eastAsia" w:asciiTheme="minorEastAsia" w:hAnsiTheme="minorEastAsia" w:eastAsiaTheme="minorEastAsia" w:cstheme="minorEastAsia"/>
          <w:color w:val="auto"/>
          <w:sz w:val="24"/>
          <w:szCs w:val="24"/>
          <w:highlight w:val="none"/>
        </w:rPr>
        <w:t>）：</w:t>
      </w:r>
    </w:p>
    <w:p w14:paraId="45B37613">
      <w:pPr>
        <w:widowControl w:val="0"/>
        <w:numPr>
          <w:ilvl w:val="0"/>
          <w:numId w:val="5"/>
        </w:numPr>
        <w:shd w:val="clear" w:color="auto" w:fill="auto"/>
        <w:tabs>
          <w:tab w:val="left" w:pos="762"/>
          <w:tab w:val="left" w:pos="2074"/>
          <w:tab w:val="left" w:pos="3430"/>
          <w:tab w:val="left" w:pos="4687"/>
          <w:tab w:val="left" w:pos="7898"/>
        </w:tabs>
        <w:spacing w:line="360" w:lineRule="auto"/>
        <w:ind w:firstLine="440"/>
        <w:jc w:val="both"/>
        <w:rPr>
          <w:rFonts w:hint="eastAsia" w:asciiTheme="minorEastAsia" w:hAnsiTheme="minorEastAsia" w:eastAsiaTheme="minorEastAsia" w:cstheme="minorEastAsia"/>
          <w:color w:val="auto"/>
          <w:kern w:val="2"/>
          <w:sz w:val="24"/>
          <w:szCs w:val="24"/>
          <w:highlight w:val="none"/>
          <w:lang w:val="zh-CN" w:eastAsia="zh-CN" w:bidi="zh-CN"/>
        </w:rPr>
      </w:pPr>
      <w:bookmarkStart w:id="188" w:name="bookmark2065"/>
      <w:bookmarkEnd w:id="188"/>
      <w:r>
        <w:rPr>
          <w:rFonts w:hint="eastAsia" w:asciiTheme="minorEastAsia" w:hAnsiTheme="minorEastAsia" w:eastAsiaTheme="minorEastAsia" w:cstheme="minorEastAsia"/>
          <w:color w:val="auto"/>
          <w:kern w:val="2"/>
          <w:sz w:val="24"/>
          <w:szCs w:val="24"/>
          <w:highlight w:val="none"/>
          <w:lang w:val="zh-CN" w:eastAsia="zh-CN" w:bidi="zh-CN"/>
        </w:rPr>
        <w:t>我方已仔细研究了</w:t>
      </w:r>
      <w:r>
        <w:rPr>
          <w:rFonts w:hint="eastAsia" w:asciiTheme="minorEastAsia" w:hAnsiTheme="minorEastAsia" w:eastAsiaTheme="minorEastAsia" w:cstheme="minorEastAsia"/>
          <w:color w:val="auto"/>
          <w:kern w:val="2"/>
          <w:sz w:val="24"/>
          <w:szCs w:val="24"/>
          <w:highlight w:val="none"/>
          <w:u w:val="single"/>
          <w:lang w:val="zh-CN" w:eastAsia="zh-CN" w:bidi="zh-CN"/>
        </w:rPr>
        <w:t>（项目名称、项目编号）</w:t>
      </w:r>
      <w:r>
        <w:rPr>
          <w:rFonts w:hint="eastAsia" w:asciiTheme="minorEastAsia" w:hAnsiTheme="minorEastAsia" w:eastAsiaTheme="minorEastAsia" w:cstheme="minorEastAsia"/>
          <w:color w:val="auto"/>
          <w:kern w:val="2"/>
          <w:sz w:val="24"/>
          <w:szCs w:val="24"/>
          <w:highlight w:val="none"/>
          <w:lang w:val="zh-CN" w:eastAsia="zh-CN" w:bidi="zh-CN"/>
        </w:rPr>
        <w:t>谈判文件的全部内容，愿意以人民币（大写）</w:t>
      </w:r>
      <w:r>
        <w:rPr>
          <w:rFonts w:hint="eastAsia" w:asciiTheme="minorEastAsia" w:hAnsiTheme="minorEastAsia" w:eastAsiaTheme="minorEastAsia" w:cstheme="minorEastAsia"/>
          <w:color w:val="auto"/>
          <w:kern w:val="2"/>
          <w:sz w:val="24"/>
          <w:szCs w:val="24"/>
          <w:highlight w:val="none"/>
          <w:u w:val="single"/>
          <w:lang w:val="en-US" w:eastAsia="zh-CN" w:bidi="zh-CN"/>
        </w:rPr>
        <w:t xml:space="preserve">      </w:t>
      </w:r>
      <w:r>
        <w:rPr>
          <w:rFonts w:hint="eastAsia" w:asciiTheme="minorEastAsia" w:hAnsiTheme="minorEastAsia" w:eastAsiaTheme="minorEastAsia" w:cstheme="minorEastAsia"/>
          <w:color w:val="auto"/>
          <w:kern w:val="2"/>
          <w:sz w:val="24"/>
          <w:szCs w:val="24"/>
          <w:highlight w:val="none"/>
          <w:lang w:val="zh-CN" w:eastAsia="zh-CN" w:bidi="zh-CN"/>
        </w:rPr>
        <w:t>元（¥</w:t>
      </w:r>
      <w:r>
        <w:rPr>
          <w:rFonts w:hint="eastAsia" w:asciiTheme="minorEastAsia" w:hAnsiTheme="minorEastAsia" w:eastAsiaTheme="minorEastAsia" w:cstheme="minorEastAsia"/>
          <w:color w:val="auto"/>
          <w:kern w:val="2"/>
          <w:sz w:val="24"/>
          <w:szCs w:val="24"/>
          <w:highlight w:val="none"/>
          <w:u w:val="single"/>
          <w:lang w:val="en-US" w:eastAsia="zh-CN" w:bidi="zh-CN"/>
        </w:rPr>
        <w:t xml:space="preserve">          </w:t>
      </w:r>
      <w:r>
        <w:rPr>
          <w:rFonts w:hint="eastAsia" w:asciiTheme="minorEastAsia" w:hAnsiTheme="minorEastAsia" w:eastAsiaTheme="minorEastAsia" w:cstheme="minorEastAsia"/>
          <w:color w:val="auto"/>
          <w:kern w:val="2"/>
          <w:sz w:val="24"/>
          <w:szCs w:val="24"/>
          <w:highlight w:val="none"/>
          <w:lang w:val="zh-CN" w:eastAsia="zh-CN" w:bidi="zh-CN"/>
        </w:rPr>
        <w:t>）的竞标总报价，工期</w:t>
      </w:r>
      <w:r>
        <w:rPr>
          <w:rFonts w:hint="eastAsia" w:asciiTheme="minorEastAsia" w:hAnsiTheme="minorEastAsia" w:eastAsiaTheme="minorEastAsia" w:cstheme="minorEastAsia"/>
          <w:color w:val="auto"/>
          <w:kern w:val="2"/>
          <w:sz w:val="24"/>
          <w:szCs w:val="24"/>
          <w:highlight w:val="none"/>
          <w:u w:val="single"/>
          <w:lang w:val="en-US" w:eastAsia="zh-CN" w:bidi="zh-CN"/>
        </w:rPr>
        <w:t xml:space="preserve">     </w:t>
      </w:r>
      <w:r>
        <w:rPr>
          <w:rFonts w:hint="eastAsia" w:asciiTheme="minorEastAsia" w:hAnsiTheme="minorEastAsia" w:eastAsiaTheme="minorEastAsia" w:cstheme="minorEastAsia"/>
          <w:color w:val="auto"/>
          <w:kern w:val="2"/>
          <w:sz w:val="24"/>
          <w:szCs w:val="24"/>
          <w:highlight w:val="none"/>
          <w:lang w:val="zh-CN" w:eastAsia="zh-CN" w:bidi="zh-CN"/>
        </w:rPr>
        <w:t>日历天，按合同约定实施和完成承包工程，修补工程中的任何缺陷，工程质量达到</w:t>
      </w:r>
      <w:r>
        <w:rPr>
          <w:rFonts w:hint="eastAsia" w:asciiTheme="minorEastAsia" w:hAnsiTheme="minorEastAsia" w:eastAsiaTheme="minorEastAsia" w:cstheme="minorEastAsia"/>
          <w:color w:val="auto"/>
          <w:kern w:val="2"/>
          <w:sz w:val="24"/>
          <w:szCs w:val="24"/>
          <w:highlight w:val="none"/>
          <w:u w:val="single"/>
          <w:lang w:val="en-US" w:eastAsia="zh-CN" w:bidi="zh-CN"/>
        </w:rPr>
        <w:t xml:space="preserve">     </w:t>
      </w:r>
      <w:r>
        <w:rPr>
          <w:rFonts w:hint="eastAsia" w:asciiTheme="minorEastAsia" w:hAnsiTheme="minorEastAsia" w:eastAsiaTheme="minorEastAsia" w:cstheme="minorEastAsia"/>
          <w:color w:val="auto"/>
          <w:kern w:val="2"/>
          <w:sz w:val="24"/>
          <w:szCs w:val="24"/>
          <w:highlight w:val="none"/>
          <w:lang w:val="en-US" w:eastAsia="zh-CN" w:bidi="en-US"/>
        </w:rPr>
        <w:t>。</w:t>
      </w:r>
    </w:p>
    <w:p w14:paraId="2A2E2798">
      <w:pPr>
        <w:widowControl w:val="0"/>
        <w:numPr>
          <w:ilvl w:val="0"/>
          <w:numId w:val="5"/>
        </w:numPr>
        <w:shd w:val="clear" w:color="auto" w:fill="auto"/>
        <w:tabs>
          <w:tab w:val="left" w:pos="762"/>
        </w:tabs>
        <w:spacing w:line="360" w:lineRule="auto"/>
        <w:ind w:firstLine="420"/>
        <w:jc w:val="both"/>
        <w:rPr>
          <w:rFonts w:hint="eastAsia" w:asciiTheme="minorEastAsia" w:hAnsiTheme="minorEastAsia" w:eastAsiaTheme="minorEastAsia" w:cstheme="minorEastAsia"/>
          <w:color w:val="auto"/>
          <w:kern w:val="2"/>
          <w:sz w:val="24"/>
          <w:szCs w:val="24"/>
          <w:highlight w:val="none"/>
          <w:lang w:val="zh-CN" w:eastAsia="zh-CN" w:bidi="zh-CN"/>
        </w:rPr>
      </w:pPr>
      <w:bookmarkStart w:id="189" w:name="bookmark2066"/>
      <w:bookmarkEnd w:id="189"/>
      <w:bookmarkStart w:id="190" w:name="bookmark2068"/>
      <w:bookmarkEnd w:id="190"/>
      <w:bookmarkStart w:id="191" w:name="bookmark2067"/>
      <w:bookmarkEnd w:id="191"/>
      <w:r>
        <w:rPr>
          <w:rFonts w:hint="eastAsia" w:asciiTheme="minorEastAsia" w:hAnsiTheme="minorEastAsia" w:eastAsiaTheme="minorEastAsia" w:cstheme="minorEastAsia"/>
          <w:color w:val="auto"/>
          <w:kern w:val="2"/>
          <w:sz w:val="24"/>
          <w:szCs w:val="22"/>
          <w:highlight w:val="none"/>
          <w:lang w:val="zh-CN" w:eastAsia="zh-CN" w:bidi="zh-CN"/>
        </w:rPr>
        <w:t>我方承认竞标函附录是我方竞标函的组成部分。</w:t>
      </w:r>
    </w:p>
    <w:p w14:paraId="7B098D50">
      <w:pPr>
        <w:widowControl w:val="0"/>
        <w:numPr>
          <w:ilvl w:val="0"/>
          <w:numId w:val="5"/>
        </w:numPr>
        <w:shd w:val="clear" w:color="auto" w:fill="auto"/>
        <w:tabs>
          <w:tab w:val="left" w:pos="762"/>
        </w:tabs>
        <w:spacing w:line="360" w:lineRule="auto"/>
        <w:ind w:firstLine="420"/>
        <w:jc w:val="both"/>
        <w:rPr>
          <w:rFonts w:hint="eastAsia" w:asciiTheme="minorEastAsia" w:hAnsiTheme="minorEastAsia" w:eastAsiaTheme="minorEastAsia" w:cstheme="minorEastAsia"/>
          <w:color w:val="auto"/>
          <w:kern w:val="2"/>
          <w:sz w:val="24"/>
          <w:szCs w:val="24"/>
          <w:highlight w:val="none"/>
          <w:lang w:val="zh-CN" w:eastAsia="zh-CN" w:bidi="zh-CN"/>
        </w:rPr>
      </w:pPr>
      <w:r>
        <w:rPr>
          <w:rFonts w:hint="eastAsia" w:asciiTheme="minorEastAsia" w:hAnsiTheme="minorEastAsia" w:eastAsiaTheme="minorEastAsia" w:cstheme="minorEastAsia"/>
          <w:color w:val="auto"/>
          <w:kern w:val="2"/>
          <w:sz w:val="24"/>
          <w:szCs w:val="24"/>
          <w:highlight w:val="none"/>
          <w:lang w:val="zh-CN" w:eastAsia="zh-CN" w:bidi="zh-CN"/>
        </w:rPr>
        <w:t>如我方成交：</w:t>
      </w:r>
    </w:p>
    <w:p w14:paraId="7A9C72DB">
      <w:pPr>
        <w:widowControl w:val="0"/>
        <w:shd w:val="clear" w:color="auto" w:fill="auto"/>
        <w:tabs>
          <w:tab w:val="left" w:pos="903"/>
        </w:tabs>
        <w:spacing w:line="360" w:lineRule="auto"/>
        <w:ind w:firstLine="420"/>
        <w:jc w:val="both"/>
        <w:rPr>
          <w:rFonts w:hint="eastAsia" w:asciiTheme="minorEastAsia" w:hAnsiTheme="minorEastAsia" w:eastAsiaTheme="minorEastAsia" w:cstheme="minorEastAsia"/>
          <w:color w:val="auto"/>
          <w:kern w:val="2"/>
          <w:sz w:val="24"/>
          <w:szCs w:val="24"/>
          <w:highlight w:val="none"/>
          <w:lang w:val="zh-CN" w:eastAsia="zh-CN" w:bidi="zh-CN"/>
        </w:rPr>
      </w:pPr>
      <w:bookmarkStart w:id="192" w:name="bookmark2069"/>
      <w:r>
        <w:rPr>
          <w:rFonts w:hint="eastAsia" w:asciiTheme="minorEastAsia" w:hAnsiTheme="minorEastAsia" w:eastAsiaTheme="minorEastAsia" w:cstheme="minorEastAsia"/>
          <w:color w:val="auto"/>
          <w:kern w:val="2"/>
          <w:sz w:val="24"/>
          <w:szCs w:val="24"/>
          <w:highlight w:val="none"/>
          <w:lang w:val="zh-CN" w:eastAsia="zh-CN" w:bidi="zh-CN"/>
        </w:rPr>
        <w:t>（</w:t>
      </w:r>
      <w:bookmarkEnd w:id="192"/>
      <w:r>
        <w:rPr>
          <w:rFonts w:hint="eastAsia" w:asciiTheme="minorEastAsia" w:hAnsiTheme="minorEastAsia" w:eastAsiaTheme="minorEastAsia" w:cstheme="minorEastAsia"/>
          <w:color w:val="auto"/>
          <w:kern w:val="2"/>
          <w:sz w:val="24"/>
          <w:szCs w:val="24"/>
          <w:highlight w:val="none"/>
          <w:lang w:val="zh-CN" w:eastAsia="zh-CN" w:bidi="zh-CN"/>
        </w:rPr>
        <w:t>1）我方承诺在收到成交通知书后，在成交通知书规定的期限内与你方签订合同。</w:t>
      </w:r>
    </w:p>
    <w:p w14:paraId="1005CF25">
      <w:pPr>
        <w:widowControl w:val="0"/>
        <w:shd w:val="clear" w:color="auto" w:fill="auto"/>
        <w:tabs>
          <w:tab w:val="left" w:pos="903"/>
        </w:tabs>
        <w:spacing w:line="360" w:lineRule="auto"/>
        <w:ind w:firstLine="420"/>
        <w:jc w:val="both"/>
        <w:rPr>
          <w:rFonts w:hint="eastAsia" w:asciiTheme="minorEastAsia" w:hAnsiTheme="minorEastAsia" w:eastAsiaTheme="minorEastAsia" w:cstheme="minorEastAsia"/>
          <w:color w:val="auto"/>
          <w:kern w:val="2"/>
          <w:sz w:val="24"/>
          <w:szCs w:val="24"/>
          <w:highlight w:val="none"/>
          <w:lang w:val="zh-CN" w:eastAsia="zh-CN" w:bidi="zh-CN"/>
        </w:rPr>
      </w:pPr>
      <w:bookmarkStart w:id="193" w:name="bookmark2070"/>
      <w:r>
        <w:rPr>
          <w:rFonts w:hint="eastAsia" w:asciiTheme="minorEastAsia" w:hAnsiTheme="minorEastAsia" w:eastAsiaTheme="minorEastAsia" w:cstheme="minorEastAsia"/>
          <w:color w:val="auto"/>
          <w:kern w:val="2"/>
          <w:sz w:val="24"/>
          <w:szCs w:val="24"/>
          <w:highlight w:val="none"/>
          <w:lang w:val="zh-CN" w:eastAsia="zh-CN" w:bidi="zh-CN"/>
        </w:rPr>
        <w:t>（</w:t>
      </w:r>
      <w:bookmarkEnd w:id="193"/>
      <w:r>
        <w:rPr>
          <w:rFonts w:hint="eastAsia" w:asciiTheme="minorEastAsia" w:hAnsiTheme="minorEastAsia" w:eastAsiaTheme="minorEastAsia" w:cstheme="minorEastAsia"/>
          <w:color w:val="auto"/>
          <w:kern w:val="2"/>
          <w:sz w:val="24"/>
          <w:szCs w:val="24"/>
          <w:highlight w:val="none"/>
          <w:lang w:val="zh-CN" w:eastAsia="zh-CN" w:bidi="zh-CN"/>
        </w:rPr>
        <w:t>2）</w:t>
      </w:r>
      <w:r>
        <w:rPr>
          <w:rFonts w:hint="eastAsia" w:asciiTheme="minorEastAsia" w:hAnsiTheme="minorEastAsia" w:eastAsiaTheme="minorEastAsia" w:cstheme="minorEastAsia"/>
          <w:color w:val="auto"/>
          <w:kern w:val="2"/>
          <w:sz w:val="24"/>
          <w:szCs w:val="22"/>
          <w:highlight w:val="none"/>
          <w:lang w:val="zh-CN" w:eastAsia="zh-CN" w:bidi="zh-CN"/>
        </w:rPr>
        <w:t>在签订合同时不向你方提出附加条件</w:t>
      </w:r>
      <w:r>
        <w:rPr>
          <w:rFonts w:hint="eastAsia" w:asciiTheme="minorEastAsia" w:hAnsiTheme="minorEastAsia" w:eastAsiaTheme="minorEastAsia" w:cstheme="minorEastAsia"/>
          <w:color w:val="auto"/>
          <w:kern w:val="2"/>
          <w:sz w:val="24"/>
          <w:szCs w:val="24"/>
          <w:highlight w:val="none"/>
          <w:lang w:val="zh-CN" w:eastAsia="zh-CN" w:bidi="zh-CN"/>
        </w:rPr>
        <w:t>。</w:t>
      </w:r>
    </w:p>
    <w:p w14:paraId="4D9C69E2">
      <w:pPr>
        <w:widowControl w:val="0"/>
        <w:shd w:val="clear" w:color="auto" w:fill="auto"/>
        <w:tabs>
          <w:tab w:val="left" w:pos="903"/>
        </w:tabs>
        <w:spacing w:line="360" w:lineRule="auto"/>
        <w:ind w:firstLine="420"/>
        <w:jc w:val="both"/>
        <w:rPr>
          <w:rFonts w:hint="eastAsia" w:asciiTheme="minorEastAsia" w:hAnsiTheme="minorEastAsia" w:eastAsiaTheme="minorEastAsia" w:cstheme="minorEastAsia"/>
          <w:color w:val="auto"/>
          <w:kern w:val="2"/>
          <w:sz w:val="24"/>
          <w:szCs w:val="24"/>
          <w:highlight w:val="none"/>
          <w:lang w:val="zh-CN" w:eastAsia="zh-CN" w:bidi="zh-CN"/>
        </w:rPr>
      </w:pPr>
      <w:bookmarkStart w:id="194" w:name="bookmark2071"/>
      <w:r>
        <w:rPr>
          <w:rFonts w:hint="eastAsia" w:asciiTheme="minorEastAsia" w:hAnsiTheme="minorEastAsia" w:eastAsiaTheme="minorEastAsia" w:cstheme="minorEastAsia"/>
          <w:color w:val="auto"/>
          <w:kern w:val="2"/>
          <w:sz w:val="24"/>
          <w:szCs w:val="24"/>
          <w:highlight w:val="none"/>
          <w:lang w:val="zh-CN" w:eastAsia="zh-CN" w:bidi="zh-CN"/>
        </w:rPr>
        <w:t>（</w:t>
      </w:r>
      <w:bookmarkEnd w:id="194"/>
      <w:r>
        <w:rPr>
          <w:rFonts w:hint="eastAsia" w:asciiTheme="minorEastAsia" w:hAnsiTheme="minorEastAsia" w:eastAsiaTheme="minorEastAsia" w:cstheme="minorEastAsia"/>
          <w:color w:val="auto"/>
          <w:kern w:val="2"/>
          <w:sz w:val="24"/>
          <w:szCs w:val="24"/>
          <w:highlight w:val="none"/>
          <w:lang w:val="zh-CN" w:eastAsia="zh-CN" w:bidi="zh-CN"/>
        </w:rPr>
        <w:t>3）我方承诺按照谈判文件规定向你方递交履约担保。</w:t>
      </w:r>
    </w:p>
    <w:p w14:paraId="118004EA">
      <w:pPr>
        <w:widowControl w:val="0"/>
        <w:shd w:val="clear" w:color="auto" w:fill="auto"/>
        <w:tabs>
          <w:tab w:val="left" w:pos="903"/>
        </w:tabs>
        <w:spacing w:line="360" w:lineRule="auto"/>
        <w:ind w:firstLine="420"/>
        <w:jc w:val="both"/>
        <w:rPr>
          <w:rFonts w:hint="eastAsia" w:asciiTheme="minorEastAsia" w:hAnsiTheme="minorEastAsia" w:eastAsiaTheme="minorEastAsia" w:cstheme="minorEastAsia"/>
          <w:color w:val="auto"/>
          <w:kern w:val="2"/>
          <w:sz w:val="24"/>
          <w:szCs w:val="24"/>
          <w:highlight w:val="none"/>
          <w:lang w:val="zh-CN" w:eastAsia="zh-CN" w:bidi="zh-CN"/>
        </w:rPr>
      </w:pPr>
      <w:bookmarkStart w:id="195" w:name="bookmark2072"/>
      <w:r>
        <w:rPr>
          <w:rFonts w:hint="eastAsia" w:asciiTheme="minorEastAsia" w:hAnsiTheme="minorEastAsia" w:eastAsiaTheme="minorEastAsia" w:cstheme="minorEastAsia"/>
          <w:color w:val="auto"/>
          <w:kern w:val="2"/>
          <w:sz w:val="24"/>
          <w:szCs w:val="24"/>
          <w:highlight w:val="none"/>
          <w:lang w:val="zh-CN" w:eastAsia="zh-CN" w:bidi="zh-CN"/>
        </w:rPr>
        <w:t>（</w:t>
      </w:r>
      <w:bookmarkEnd w:id="195"/>
      <w:r>
        <w:rPr>
          <w:rFonts w:hint="eastAsia" w:asciiTheme="minorEastAsia" w:hAnsiTheme="minorEastAsia" w:eastAsiaTheme="minorEastAsia" w:cstheme="minorEastAsia"/>
          <w:color w:val="auto"/>
          <w:kern w:val="2"/>
          <w:sz w:val="24"/>
          <w:szCs w:val="24"/>
          <w:highlight w:val="none"/>
          <w:lang w:val="zh-CN" w:eastAsia="zh-CN" w:bidi="zh-CN"/>
        </w:rPr>
        <w:t>4）我方承诺在合同约定的期限内完成并移交全部合同工程。</w:t>
      </w:r>
    </w:p>
    <w:p w14:paraId="47B0DCCE">
      <w:pPr>
        <w:widowControl w:val="0"/>
        <w:numPr>
          <w:ilvl w:val="0"/>
          <w:numId w:val="5"/>
        </w:numPr>
        <w:shd w:val="clear" w:color="auto" w:fill="auto"/>
        <w:tabs>
          <w:tab w:val="left" w:pos="762"/>
        </w:tabs>
        <w:spacing w:line="360" w:lineRule="auto"/>
        <w:ind w:firstLine="440"/>
        <w:jc w:val="both"/>
        <w:rPr>
          <w:rFonts w:hint="eastAsia" w:asciiTheme="minorEastAsia" w:hAnsiTheme="minorEastAsia" w:eastAsiaTheme="minorEastAsia" w:cstheme="minorEastAsia"/>
          <w:color w:val="auto"/>
          <w:kern w:val="2"/>
          <w:sz w:val="24"/>
          <w:szCs w:val="24"/>
          <w:highlight w:val="none"/>
          <w:lang w:val="zh-CN" w:eastAsia="zh-CN" w:bidi="zh-CN"/>
        </w:rPr>
      </w:pPr>
      <w:bookmarkStart w:id="196" w:name="bookmark2073"/>
      <w:bookmarkEnd w:id="196"/>
      <w:r>
        <w:rPr>
          <w:rFonts w:hint="eastAsia" w:asciiTheme="minorEastAsia" w:hAnsiTheme="minorEastAsia" w:eastAsiaTheme="minorEastAsia" w:cstheme="minorEastAsia"/>
          <w:color w:val="auto"/>
          <w:kern w:val="2"/>
          <w:sz w:val="24"/>
          <w:szCs w:val="22"/>
          <w:highlight w:val="none"/>
          <w:lang w:val="zh-CN" w:eastAsia="zh-CN" w:bidi="zh-CN"/>
        </w:rPr>
        <w:t>在合同协议书正式签署生效之前，本</w:t>
      </w:r>
      <w:r>
        <w:rPr>
          <w:rFonts w:hint="eastAsia" w:asciiTheme="minorEastAsia" w:hAnsiTheme="minorEastAsia" w:eastAsiaTheme="minorEastAsia" w:cstheme="minorEastAsia"/>
          <w:color w:val="auto"/>
          <w:kern w:val="2"/>
          <w:sz w:val="24"/>
          <w:szCs w:val="24"/>
          <w:highlight w:val="none"/>
          <w:lang w:val="zh-CN" w:eastAsia="zh-CN" w:bidi="zh-CN"/>
        </w:rPr>
        <w:t>竞标</w:t>
      </w:r>
      <w:r>
        <w:rPr>
          <w:rFonts w:hint="eastAsia" w:asciiTheme="minorEastAsia" w:hAnsiTheme="minorEastAsia" w:eastAsiaTheme="minorEastAsia" w:cstheme="minorEastAsia"/>
          <w:color w:val="auto"/>
          <w:kern w:val="2"/>
          <w:sz w:val="24"/>
          <w:szCs w:val="22"/>
          <w:highlight w:val="none"/>
          <w:lang w:val="zh-CN" w:eastAsia="zh-CN" w:bidi="zh-CN"/>
        </w:rPr>
        <w:t>函连同你方的成交通知书将构成我们双方之间共同遵守的文件，对双方具有约束力</w:t>
      </w:r>
      <w:r>
        <w:rPr>
          <w:rFonts w:hint="eastAsia" w:asciiTheme="minorEastAsia" w:hAnsiTheme="minorEastAsia" w:eastAsiaTheme="minorEastAsia" w:cstheme="minorEastAsia"/>
          <w:color w:val="auto"/>
          <w:kern w:val="2"/>
          <w:sz w:val="24"/>
          <w:szCs w:val="24"/>
          <w:highlight w:val="none"/>
          <w:lang w:val="zh-CN" w:eastAsia="zh-CN" w:bidi="zh-CN"/>
        </w:rPr>
        <w:t>。</w:t>
      </w:r>
    </w:p>
    <w:p w14:paraId="5D393A8B">
      <w:pPr>
        <w:shd w:val="clear" w:color="auto" w:fill="auto"/>
        <w:spacing w:line="360" w:lineRule="auto"/>
        <w:ind w:firstLine="480" w:firstLineChars="200"/>
        <w:rPr>
          <w:rFonts w:hint="eastAsia" w:asciiTheme="minorEastAsia" w:hAnsiTheme="minorEastAsia" w:eastAsiaTheme="minorEastAsia" w:cstheme="minorEastAsia"/>
          <w:color w:val="auto"/>
          <w:sz w:val="24"/>
          <w:szCs w:val="24"/>
          <w:highlight w:val="none"/>
        </w:rPr>
      </w:pPr>
      <w:bookmarkStart w:id="197" w:name="bookmark2074"/>
      <w:bookmarkEnd w:id="197"/>
      <w:r>
        <w:rPr>
          <w:rFonts w:hint="eastAsia" w:asciiTheme="minorEastAsia" w:hAnsiTheme="minorEastAsia" w:eastAsiaTheme="minorEastAsia" w:cstheme="minorEastAsia"/>
          <w:color w:val="auto"/>
          <w:sz w:val="24"/>
          <w:szCs w:val="24"/>
          <w:highlight w:val="none"/>
        </w:rPr>
        <w:t>5.（其他补充说明）。</w:t>
      </w:r>
    </w:p>
    <w:p w14:paraId="7BBEE550">
      <w:p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rPr>
      </w:pPr>
    </w:p>
    <w:p w14:paraId="5FE91091">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法定代表人或者委托代理人（签字或者电子签名）：                    </w:t>
      </w:r>
    </w:p>
    <w:p w14:paraId="72D5BC7F">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供应商（电子签章）：      </w:t>
      </w:r>
    </w:p>
    <w:p w14:paraId="4D8C051A">
      <w:p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24"/>
          <w:highlight w:val="none"/>
        </w:rPr>
        <w:t>日期：   年   月   日</w:t>
      </w:r>
      <w:r>
        <w:rPr>
          <w:rFonts w:hint="eastAsia" w:asciiTheme="minorEastAsia" w:hAnsiTheme="minorEastAsia" w:eastAsiaTheme="minorEastAsia" w:cstheme="minorEastAsia"/>
          <w:b/>
          <w:bCs/>
          <w:color w:val="auto"/>
          <w:sz w:val="32"/>
          <w:szCs w:val="32"/>
          <w:highlight w:val="none"/>
        </w:rPr>
        <w:br w:type="page"/>
      </w:r>
      <w:r>
        <w:rPr>
          <w:rFonts w:hint="eastAsia" w:asciiTheme="minorEastAsia" w:hAnsiTheme="minorEastAsia" w:eastAsiaTheme="minorEastAsia" w:cstheme="minorEastAsia"/>
          <w:b/>
          <w:bCs/>
          <w:color w:val="auto"/>
          <w:sz w:val="32"/>
          <w:szCs w:val="32"/>
          <w:highlight w:val="none"/>
        </w:rPr>
        <w:t>（二）竞标函附录</w:t>
      </w:r>
    </w:p>
    <w:p w14:paraId="453AE84A">
      <w:p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rPr>
      </w:pPr>
    </w:p>
    <w:tbl>
      <w:tblPr>
        <w:tblStyle w:val="18"/>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2188"/>
        <w:gridCol w:w="1269"/>
        <w:gridCol w:w="2841"/>
        <w:gridCol w:w="1843"/>
      </w:tblGrid>
      <w:tr w14:paraId="1441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noWrap w:val="0"/>
            <w:vAlign w:val="center"/>
          </w:tcPr>
          <w:p w14:paraId="5B8DF4C2">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2188" w:type="dxa"/>
            <w:noWrap w:val="0"/>
            <w:vAlign w:val="center"/>
          </w:tcPr>
          <w:p w14:paraId="4172F641">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条款内容</w:t>
            </w:r>
          </w:p>
        </w:tc>
        <w:tc>
          <w:tcPr>
            <w:tcW w:w="1269" w:type="dxa"/>
            <w:noWrap w:val="0"/>
            <w:vAlign w:val="center"/>
          </w:tcPr>
          <w:p w14:paraId="53E06FE8">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合同条款号</w:t>
            </w:r>
          </w:p>
        </w:tc>
        <w:tc>
          <w:tcPr>
            <w:tcW w:w="2841" w:type="dxa"/>
            <w:noWrap w:val="0"/>
            <w:vAlign w:val="center"/>
          </w:tcPr>
          <w:p w14:paraId="60E2AD0D">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约定内容</w:t>
            </w:r>
          </w:p>
        </w:tc>
        <w:tc>
          <w:tcPr>
            <w:tcW w:w="1843" w:type="dxa"/>
            <w:noWrap w:val="0"/>
            <w:vAlign w:val="center"/>
          </w:tcPr>
          <w:p w14:paraId="47591351">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供应商响应情况</w:t>
            </w:r>
          </w:p>
        </w:tc>
      </w:tr>
      <w:tr w14:paraId="3107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noWrap w:val="0"/>
            <w:vAlign w:val="center"/>
          </w:tcPr>
          <w:p w14:paraId="7B6157DA">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188" w:type="dxa"/>
            <w:noWrap w:val="0"/>
            <w:vAlign w:val="center"/>
          </w:tcPr>
          <w:p w14:paraId="5D653E56">
            <w:pPr>
              <w:shd w:val="clear" w:color="auto" w:fill="auto"/>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项目经理</w:t>
            </w:r>
          </w:p>
        </w:tc>
        <w:tc>
          <w:tcPr>
            <w:tcW w:w="1269" w:type="dxa"/>
            <w:noWrap w:val="0"/>
            <w:tcMar>
              <w:left w:w="170" w:type="dxa"/>
            </w:tcMar>
            <w:vAlign w:val="center"/>
          </w:tcPr>
          <w:p w14:paraId="3C1286BD">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专用条款</w:t>
            </w:r>
          </w:p>
        </w:tc>
        <w:tc>
          <w:tcPr>
            <w:tcW w:w="2841" w:type="dxa"/>
            <w:noWrap w:val="0"/>
            <w:vAlign w:val="center"/>
          </w:tcPr>
          <w:p w14:paraId="3C738588">
            <w:pPr>
              <w:shd w:val="clear" w:color="auto" w:fill="auto"/>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姓名：</w:t>
            </w:r>
          </w:p>
        </w:tc>
        <w:tc>
          <w:tcPr>
            <w:tcW w:w="1843" w:type="dxa"/>
            <w:noWrap w:val="0"/>
            <w:vAlign w:val="center"/>
          </w:tcPr>
          <w:p w14:paraId="6E704F76">
            <w:pPr>
              <w:shd w:val="clear" w:color="auto" w:fill="auto"/>
              <w:spacing w:line="360" w:lineRule="auto"/>
              <w:jc w:val="center"/>
              <w:rPr>
                <w:rFonts w:hint="eastAsia" w:asciiTheme="minorEastAsia" w:hAnsiTheme="minorEastAsia" w:eastAsiaTheme="minorEastAsia" w:cstheme="minorEastAsia"/>
                <w:color w:val="auto"/>
                <w:highlight w:val="none"/>
              </w:rPr>
            </w:pPr>
          </w:p>
        </w:tc>
      </w:tr>
      <w:tr w14:paraId="5929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noWrap w:val="0"/>
            <w:vAlign w:val="center"/>
          </w:tcPr>
          <w:p w14:paraId="76BE70B8">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188" w:type="dxa"/>
            <w:noWrap w:val="0"/>
            <w:vAlign w:val="center"/>
          </w:tcPr>
          <w:p w14:paraId="34E38D5C">
            <w:pPr>
              <w:shd w:val="clear" w:color="auto" w:fill="auto"/>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竞标有效期</w:t>
            </w:r>
          </w:p>
        </w:tc>
        <w:tc>
          <w:tcPr>
            <w:tcW w:w="1269" w:type="dxa"/>
            <w:noWrap w:val="0"/>
            <w:tcMar>
              <w:left w:w="170" w:type="dxa"/>
            </w:tcMar>
            <w:vAlign w:val="center"/>
          </w:tcPr>
          <w:p w14:paraId="19C0EA79">
            <w:pPr>
              <w:shd w:val="clear" w:color="auto" w:fill="auto"/>
              <w:spacing w:line="360" w:lineRule="auto"/>
              <w:rPr>
                <w:rFonts w:hint="eastAsia" w:asciiTheme="minorEastAsia" w:hAnsiTheme="minorEastAsia" w:eastAsiaTheme="minorEastAsia" w:cstheme="minorEastAsia"/>
                <w:color w:val="auto"/>
                <w:highlight w:val="none"/>
              </w:rPr>
            </w:pPr>
          </w:p>
        </w:tc>
        <w:tc>
          <w:tcPr>
            <w:tcW w:w="2841" w:type="dxa"/>
            <w:noWrap w:val="0"/>
            <w:vAlign w:val="center"/>
          </w:tcPr>
          <w:p w14:paraId="27589132">
            <w:pPr>
              <w:shd w:val="clear" w:color="auto" w:fill="auto"/>
              <w:spacing w:line="360" w:lineRule="auto"/>
              <w:jc w:val="center"/>
              <w:rPr>
                <w:rFonts w:hint="eastAsia" w:asciiTheme="minorEastAsia" w:hAnsiTheme="minorEastAsia" w:eastAsiaTheme="minorEastAsia" w:cstheme="minorEastAsia"/>
                <w:color w:val="auto"/>
                <w:highlight w:val="none"/>
                <w:u w:val="single"/>
              </w:rPr>
            </w:pPr>
          </w:p>
        </w:tc>
        <w:tc>
          <w:tcPr>
            <w:tcW w:w="1843" w:type="dxa"/>
            <w:noWrap w:val="0"/>
            <w:vAlign w:val="center"/>
          </w:tcPr>
          <w:p w14:paraId="79A451BC">
            <w:pPr>
              <w:shd w:val="clear" w:color="auto" w:fill="auto"/>
              <w:spacing w:line="360" w:lineRule="auto"/>
              <w:jc w:val="center"/>
              <w:rPr>
                <w:rFonts w:hint="eastAsia" w:asciiTheme="minorEastAsia" w:hAnsiTheme="minorEastAsia" w:eastAsiaTheme="minorEastAsia" w:cstheme="minorEastAsia"/>
                <w:color w:val="auto"/>
                <w:highlight w:val="none"/>
              </w:rPr>
            </w:pPr>
          </w:p>
        </w:tc>
      </w:tr>
      <w:tr w14:paraId="52D3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noWrap w:val="0"/>
            <w:vAlign w:val="center"/>
          </w:tcPr>
          <w:p w14:paraId="77108F72">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2188" w:type="dxa"/>
            <w:noWrap w:val="0"/>
            <w:vAlign w:val="center"/>
          </w:tcPr>
          <w:p w14:paraId="467887C1">
            <w:pPr>
              <w:shd w:val="clear" w:color="auto" w:fill="auto"/>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工期</w:t>
            </w:r>
          </w:p>
        </w:tc>
        <w:tc>
          <w:tcPr>
            <w:tcW w:w="1269" w:type="dxa"/>
            <w:noWrap w:val="0"/>
            <w:tcMar>
              <w:left w:w="170" w:type="dxa"/>
            </w:tcMar>
            <w:vAlign w:val="center"/>
          </w:tcPr>
          <w:p w14:paraId="3BB35565">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专用条款</w:t>
            </w:r>
          </w:p>
        </w:tc>
        <w:tc>
          <w:tcPr>
            <w:tcW w:w="2841" w:type="dxa"/>
            <w:noWrap w:val="0"/>
            <w:vAlign w:val="center"/>
          </w:tcPr>
          <w:p w14:paraId="52AFD318">
            <w:pPr>
              <w:shd w:val="clear" w:color="auto" w:fill="auto"/>
              <w:spacing w:line="360" w:lineRule="auto"/>
              <w:jc w:val="center"/>
              <w:rPr>
                <w:rFonts w:hint="eastAsia" w:asciiTheme="minorEastAsia" w:hAnsiTheme="minorEastAsia" w:eastAsiaTheme="minorEastAsia" w:cstheme="minorEastAsia"/>
                <w:color w:val="auto"/>
                <w:highlight w:val="none"/>
              </w:rPr>
            </w:pPr>
          </w:p>
        </w:tc>
        <w:tc>
          <w:tcPr>
            <w:tcW w:w="1843" w:type="dxa"/>
            <w:noWrap w:val="0"/>
            <w:vAlign w:val="center"/>
          </w:tcPr>
          <w:p w14:paraId="131CF396">
            <w:pPr>
              <w:shd w:val="clear" w:color="auto" w:fill="auto"/>
              <w:spacing w:line="360" w:lineRule="auto"/>
              <w:jc w:val="center"/>
              <w:rPr>
                <w:rFonts w:hint="eastAsia" w:asciiTheme="minorEastAsia" w:hAnsiTheme="minorEastAsia" w:eastAsiaTheme="minorEastAsia" w:cstheme="minorEastAsia"/>
                <w:color w:val="auto"/>
                <w:highlight w:val="none"/>
              </w:rPr>
            </w:pPr>
          </w:p>
        </w:tc>
      </w:tr>
      <w:tr w14:paraId="7FEA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noWrap w:val="0"/>
            <w:vAlign w:val="center"/>
          </w:tcPr>
          <w:p w14:paraId="6DA0E5FD">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2188" w:type="dxa"/>
            <w:noWrap w:val="0"/>
            <w:vAlign w:val="center"/>
          </w:tcPr>
          <w:p w14:paraId="47E08A2E">
            <w:pPr>
              <w:shd w:val="clear" w:color="auto" w:fill="auto"/>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缺陷责任期</w:t>
            </w:r>
          </w:p>
        </w:tc>
        <w:tc>
          <w:tcPr>
            <w:tcW w:w="1269" w:type="dxa"/>
            <w:noWrap w:val="0"/>
            <w:tcMar>
              <w:left w:w="170" w:type="dxa"/>
            </w:tcMar>
            <w:vAlign w:val="center"/>
          </w:tcPr>
          <w:p w14:paraId="002016A3">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专用条款</w:t>
            </w:r>
          </w:p>
        </w:tc>
        <w:tc>
          <w:tcPr>
            <w:tcW w:w="2841" w:type="dxa"/>
            <w:noWrap w:val="0"/>
            <w:vAlign w:val="center"/>
          </w:tcPr>
          <w:p w14:paraId="6C675062">
            <w:pPr>
              <w:shd w:val="clear" w:color="auto" w:fill="auto"/>
              <w:spacing w:line="360" w:lineRule="auto"/>
              <w:jc w:val="center"/>
              <w:rPr>
                <w:rFonts w:hint="eastAsia" w:asciiTheme="minorEastAsia" w:hAnsiTheme="minorEastAsia" w:eastAsiaTheme="minorEastAsia" w:cstheme="minorEastAsia"/>
                <w:color w:val="auto"/>
                <w:highlight w:val="none"/>
              </w:rPr>
            </w:pPr>
          </w:p>
        </w:tc>
        <w:tc>
          <w:tcPr>
            <w:tcW w:w="1843" w:type="dxa"/>
            <w:noWrap w:val="0"/>
            <w:vAlign w:val="center"/>
          </w:tcPr>
          <w:p w14:paraId="0FE0B1C1">
            <w:pPr>
              <w:shd w:val="clear" w:color="auto" w:fill="auto"/>
              <w:spacing w:line="360" w:lineRule="auto"/>
              <w:jc w:val="center"/>
              <w:rPr>
                <w:rFonts w:hint="eastAsia" w:asciiTheme="minorEastAsia" w:hAnsiTheme="minorEastAsia" w:eastAsiaTheme="minorEastAsia" w:cstheme="minorEastAsia"/>
                <w:color w:val="auto"/>
                <w:highlight w:val="none"/>
              </w:rPr>
            </w:pPr>
          </w:p>
        </w:tc>
      </w:tr>
      <w:tr w14:paraId="08E5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noWrap w:val="0"/>
            <w:vAlign w:val="center"/>
          </w:tcPr>
          <w:p w14:paraId="1A57CFCD">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w:t>
            </w:r>
          </w:p>
        </w:tc>
        <w:tc>
          <w:tcPr>
            <w:tcW w:w="2188" w:type="dxa"/>
            <w:noWrap w:val="0"/>
            <w:vAlign w:val="center"/>
          </w:tcPr>
          <w:p w14:paraId="0E9CDE68">
            <w:pPr>
              <w:shd w:val="clear" w:color="auto" w:fill="auto"/>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承包人履约担保金额</w:t>
            </w:r>
          </w:p>
        </w:tc>
        <w:tc>
          <w:tcPr>
            <w:tcW w:w="1269" w:type="dxa"/>
            <w:noWrap w:val="0"/>
            <w:tcMar>
              <w:left w:w="170" w:type="dxa"/>
            </w:tcMar>
            <w:vAlign w:val="center"/>
          </w:tcPr>
          <w:p w14:paraId="51E5A994">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专用条款</w:t>
            </w:r>
          </w:p>
        </w:tc>
        <w:tc>
          <w:tcPr>
            <w:tcW w:w="2841" w:type="dxa"/>
            <w:noWrap w:val="0"/>
            <w:vAlign w:val="center"/>
          </w:tcPr>
          <w:p w14:paraId="70A3EF14">
            <w:pPr>
              <w:shd w:val="clear" w:color="auto" w:fill="auto"/>
              <w:spacing w:line="360" w:lineRule="auto"/>
              <w:jc w:val="center"/>
              <w:rPr>
                <w:rFonts w:hint="eastAsia" w:asciiTheme="minorEastAsia" w:hAnsiTheme="minorEastAsia" w:eastAsiaTheme="minorEastAsia" w:cstheme="minorEastAsia"/>
                <w:color w:val="auto"/>
                <w:highlight w:val="none"/>
              </w:rPr>
            </w:pPr>
          </w:p>
        </w:tc>
        <w:tc>
          <w:tcPr>
            <w:tcW w:w="1843" w:type="dxa"/>
            <w:noWrap w:val="0"/>
            <w:vAlign w:val="center"/>
          </w:tcPr>
          <w:p w14:paraId="148F59A5">
            <w:pPr>
              <w:shd w:val="clear" w:color="auto" w:fill="auto"/>
              <w:spacing w:line="360" w:lineRule="auto"/>
              <w:jc w:val="center"/>
              <w:rPr>
                <w:rFonts w:hint="eastAsia" w:asciiTheme="minorEastAsia" w:hAnsiTheme="minorEastAsia" w:eastAsiaTheme="minorEastAsia" w:cstheme="minorEastAsia"/>
                <w:color w:val="auto"/>
                <w:highlight w:val="none"/>
              </w:rPr>
            </w:pPr>
          </w:p>
        </w:tc>
      </w:tr>
      <w:tr w14:paraId="792F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noWrap w:val="0"/>
            <w:vAlign w:val="center"/>
          </w:tcPr>
          <w:p w14:paraId="447186AD">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w:t>
            </w:r>
          </w:p>
        </w:tc>
        <w:tc>
          <w:tcPr>
            <w:tcW w:w="2188" w:type="dxa"/>
            <w:noWrap w:val="0"/>
            <w:vAlign w:val="center"/>
          </w:tcPr>
          <w:p w14:paraId="2C98DC72">
            <w:pPr>
              <w:shd w:val="clear" w:color="auto" w:fill="auto"/>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质量标准</w:t>
            </w:r>
          </w:p>
        </w:tc>
        <w:tc>
          <w:tcPr>
            <w:tcW w:w="1269" w:type="dxa"/>
            <w:noWrap w:val="0"/>
            <w:tcMar>
              <w:left w:w="170" w:type="dxa"/>
            </w:tcMar>
            <w:vAlign w:val="center"/>
          </w:tcPr>
          <w:p w14:paraId="5AE3FDDE">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专用条款</w:t>
            </w:r>
          </w:p>
        </w:tc>
        <w:tc>
          <w:tcPr>
            <w:tcW w:w="2841" w:type="dxa"/>
            <w:noWrap w:val="0"/>
            <w:vAlign w:val="center"/>
          </w:tcPr>
          <w:p w14:paraId="74F424DB">
            <w:pPr>
              <w:shd w:val="clear" w:color="auto" w:fill="auto"/>
              <w:spacing w:line="360" w:lineRule="auto"/>
              <w:jc w:val="center"/>
              <w:rPr>
                <w:rFonts w:hint="eastAsia" w:asciiTheme="minorEastAsia" w:hAnsiTheme="minorEastAsia" w:eastAsiaTheme="minorEastAsia" w:cstheme="minorEastAsia"/>
                <w:color w:val="auto"/>
                <w:highlight w:val="none"/>
              </w:rPr>
            </w:pPr>
          </w:p>
        </w:tc>
        <w:tc>
          <w:tcPr>
            <w:tcW w:w="1843" w:type="dxa"/>
            <w:noWrap w:val="0"/>
            <w:vAlign w:val="center"/>
          </w:tcPr>
          <w:p w14:paraId="1A5DB593">
            <w:pPr>
              <w:shd w:val="clear" w:color="auto" w:fill="auto"/>
              <w:spacing w:line="360" w:lineRule="auto"/>
              <w:jc w:val="center"/>
              <w:rPr>
                <w:rFonts w:hint="eastAsia" w:asciiTheme="minorEastAsia" w:hAnsiTheme="minorEastAsia" w:eastAsiaTheme="minorEastAsia" w:cstheme="minorEastAsia"/>
                <w:color w:val="auto"/>
                <w:highlight w:val="none"/>
              </w:rPr>
            </w:pPr>
          </w:p>
        </w:tc>
      </w:tr>
      <w:tr w14:paraId="2F59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noWrap w:val="0"/>
            <w:vAlign w:val="center"/>
          </w:tcPr>
          <w:p w14:paraId="472B879E">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w:t>
            </w:r>
          </w:p>
        </w:tc>
        <w:tc>
          <w:tcPr>
            <w:tcW w:w="2188" w:type="dxa"/>
            <w:noWrap w:val="0"/>
            <w:vAlign w:val="center"/>
          </w:tcPr>
          <w:p w14:paraId="2CA271E2">
            <w:pPr>
              <w:shd w:val="clear" w:color="auto" w:fill="auto"/>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预付款额度</w:t>
            </w:r>
          </w:p>
        </w:tc>
        <w:tc>
          <w:tcPr>
            <w:tcW w:w="1269" w:type="dxa"/>
            <w:noWrap w:val="0"/>
            <w:tcMar>
              <w:left w:w="170" w:type="dxa"/>
            </w:tcMar>
            <w:vAlign w:val="center"/>
          </w:tcPr>
          <w:p w14:paraId="77B49448">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专用条款</w:t>
            </w:r>
          </w:p>
        </w:tc>
        <w:tc>
          <w:tcPr>
            <w:tcW w:w="2841" w:type="dxa"/>
            <w:noWrap w:val="0"/>
            <w:vAlign w:val="center"/>
          </w:tcPr>
          <w:p w14:paraId="2EA1C256">
            <w:pPr>
              <w:shd w:val="clear" w:color="auto" w:fill="auto"/>
              <w:spacing w:line="360" w:lineRule="auto"/>
              <w:jc w:val="center"/>
              <w:rPr>
                <w:rFonts w:hint="eastAsia" w:asciiTheme="minorEastAsia" w:hAnsiTheme="minorEastAsia" w:eastAsiaTheme="minorEastAsia" w:cstheme="minorEastAsia"/>
                <w:color w:val="auto"/>
                <w:highlight w:val="none"/>
              </w:rPr>
            </w:pPr>
          </w:p>
        </w:tc>
        <w:tc>
          <w:tcPr>
            <w:tcW w:w="1843" w:type="dxa"/>
            <w:noWrap w:val="0"/>
            <w:vAlign w:val="center"/>
          </w:tcPr>
          <w:p w14:paraId="2DF283F0">
            <w:pPr>
              <w:shd w:val="clear" w:color="auto" w:fill="auto"/>
              <w:spacing w:line="360" w:lineRule="auto"/>
              <w:jc w:val="center"/>
              <w:rPr>
                <w:rFonts w:hint="eastAsia" w:asciiTheme="minorEastAsia" w:hAnsiTheme="minorEastAsia" w:eastAsiaTheme="minorEastAsia" w:cstheme="minorEastAsia"/>
                <w:color w:val="auto"/>
                <w:highlight w:val="none"/>
              </w:rPr>
            </w:pPr>
          </w:p>
        </w:tc>
      </w:tr>
      <w:tr w14:paraId="1344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noWrap w:val="0"/>
            <w:vAlign w:val="center"/>
          </w:tcPr>
          <w:p w14:paraId="378A482D">
            <w:pPr>
              <w:shd w:val="clear" w:color="auto" w:fill="auto"/>
              <w:spacing w:line="360" w:lineRule="auto"/>
              <w:jc w:val="center"/>
              <w:rPr>
                <w:rFonts w:hint="eastAsia" w:asciiTheme="minorEastAsia" w:hAnsiTheme="minorEastAsia" w:eastAsiaTheme="minorEastAsia" w:cstheme="minorEastAsia"/>
                <w:color w:val="auto"/>
                <w:highlight w:val="none"/>
              </w:rPr>
            </w:pPr>
          </w:p>
        </w:tc>
        <w:tc>
          <w:tcPr>
            <w:tcW w:w="2188" w:type="dxa"/>
            <w:noWrap w:val="0"/>
            <w:vAlign w:val="center"/>
          </w:tcPr>
          <w:p w14:paraId="2080A930">
            <w:pPr>
              <w:shd w:val="clear" w:color="auto" w:fill="auto"/>
              <w:spacing w:line="360" w:lineRule="auto"/>
              <w:rPr>
                <w:rFonts w:hint="eastAsia" w:asciiTheme="minorEastAsia" w:hAnsiTheme="minorEastAsia" w:eastAsiaTheme="minorEastAsia" w:cstheme="minorEastAsia"/>
                <w:color w:val="auto"/>
                <w:highlight w:val="none"/>
              </w:rPr>
            </w:pPr>
          </w:p>
        </w:tc>
        <w:tc>
          <w:tcPr>
            <w:tcW w:w="1269" w:type="dxa"/>
            <w:noWrap w:val="0"/>
            <w:tcMar>
              <w:left w:w="170" w:type="dxa"/>
            </w:tcMar>
            <w:vAlign w:val="center"/>
          </w:tcPr>
          <w:p w14:paraId="67590462">
            <w:pPr>
              <w:shd w:val="clear" w:color="auto" w:fill="auto"/>
              <w:spacing w:line="360" w:lineRule="auto"/>
              <w:jc w:val="center"/>
              <w:rPr>
                <w:rFonts w:hint="eastAsia" w:asciiTheme="minorEastAsia" w:hAnsiTheme="minorEastAsia" w:eastAsiaTheme="minorEastAsia" w:cstheme="minorEastAsia"/>
                <w:color w:val="auto"/>
                <w:highlight w:val="none"/>
              </w:rPr>
            </w:pPr>
          </w:p>
        </w:tc>
        <w:tc>
          <w:tcPr>
            <w:tcW w:w="2841" w:type="dxa"/>
            <w:noWrap w:val="0"/>
            <w:vAlign w:val="center"/>
          </w:tcPr>
          <w:p w14:paraId="3985C004">
            <w:pPr>
              <w:shd w:val="clear" w:color="auto" w:fill="auto"/>
              <w:spacing w:line="360" w:lineRule="auto"/>
              <w:jc w:val="center"/>
              <w:rPr>
                <w:rFonts w:hint="eastAsia" w:asciiTheme="minorEastAsia" w:hAnsiTheme="minorEastAsia" w:eastAsiaTheme="minorEastAsia" w:cstheme="minorEastAsia"/>
                <w:color w:val="auto"/>
                <w:highlight w:val="none"/>
              </w:rPr>
            </w:pPr>
          </w:p>
        </w:tc>
        <w:tc>
          <w:tcPr>
            <w:tcW w:w="1843" w:type="dxa"/>
            <w:noWrap w:val="0"/>
            <w:vAlign w:val="center"/>
          </w:tcPr>
          <w:p w14:paraId="406BDDCF">
            <w:pPr>
              <w:shd w:val="clear" w:color="auto" w:fill="auto"/>
              <w:spacing w:line="360" w:lineRule="auto"/>
              <w:jc w:val="center"/>
              <w:rPr>
                <w:rFonts w:hint="eastAsia" w:asciiTheme="minorEastAsia" w:hAnsiTheme="minorEastAsia" w:eastAsiaTheme="minorEastAsia" w:cstheme="minorEastAsia"/>
                <w:color w:val="auto"/>
                <w:highlight w:val="none"/>
              </w:rPr>
            </w:pPr>
          </w:p>
        </w:tc>
      </w:tr>
      <w:tr w14:paraId="3CC5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dxa"/>
            <w:noWrap w:val="0"/>
            <w:vAlign w:val="center"/>
          </w:tcPr>
          <w:p w14:paraId="1B71AA1F">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2188" w:type="dxa"/>
            <w:noWrap w:val="0"/>
            <w:vAlign w:val="center"/>
          </w:tcPr>
          <w:p w14:paraId="0D995399">
            <w:pPr>
              <w:shd w:val="clear" w:color="auto" w:fill="auto"/>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1269" w:type="dxa"/>
            <w:noWrap w:val="0"/>
            <w:tcMar>
              <w:left w:w="170" w:type="dxa"/>
            </w:tcMar>
            <w:vAlign w:val="center"/>
          </w:tcPr>
          <w:p w14:paraId="1FAFAFE9">
            <w:pPr>
              <w:shd w:val="clear" w:color="auto" w:fill="auto"/>
              <w:spacing w:line="360" w:lineRule="auto"/>
              <w:rPr>
                <w:rFonts w:hint="eastAsia" w:asciiTheme="minorEastAsia" w:hAnsiTheme="minorEastAsia" w:eastAsiaTheme="minorEastAsia" w:cstheme="minorEastAsia"/>
                <w:color w:val="auto"/>
                <w:highlight w:val="none"/>
              </w:rPr>
            </w:pPr>
          </w:p>
        </w:tc>
        <w:tc>
          <w:tcPr>
            <w:tcW w:w="2841" w:type="dxa"/>
            <w:noWrap w:val="0"/>
            <w:vAlign w:val="center"/>
          </w:tcPr>
          <w:p w14:paraId="32857809">
            <w:pPr>
              <w:shd w:val="clear" w:color="auto" w:fill="auto"/>
              <w:spacing w:line="360" w:lineRule="auto"/>
              <w:jc w:val="center"/>
              <w:rPr>
                <w:rFonts w:hint="eastAsia" w:asciiTheme="minorEastAsia" w:hAnsiTheme="minorEastAsia" w:eastAsiaTheme="minorEastAsia" w:cstheme="minorEastAsia"/>
                <w:color w:val="auto"/>
                <w:highlight w:val="none"/>
              </w:rPr>
            </w:pPr>
          </w:p>
        </w:tc>
        <w:tc>
          <w:tcPr>
            <w:tcW w:w="1843" w:type="dxa"/>
            <w:noWrap w:val="0"/>
            <w:vAlign w:val="center"/>
          </w:tcPr>
          <w:p w14:paraId="1B8AC9DE">
            <w:pPr>
              <w:shd w:val="clear" w:color="auto" w:fill="auto"/>
              <w:spacing w:line="360" w:lineRule="auto"/>
              <w:jc w:val="center"/>
              <w:rPr>
                <w:rFonts w:hint="eastAsia" w:asciiTheme="minorEastAsia" w:hAnsiTheme="minorEastAsia" w:eastAsiaTheme="minorEastAsia" w:cstheme="minorEastAsia"/>
                <w:color w:val="auto"/>
                <w:highlight w:val="none"/>
              </w:rPr>
            </w:pPr>
          </w:p>
        </w:tc>
      </w:tr>
      <w:tr w14:paraId="5D7B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30DEC6B1">
            <w:pPr>
              <w:shd w:val="clear" w:color="auto" w:fill="auto"/>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说明：</w:t>
            </w:r>
            <w:r>
              <w:rPr>
                <w:rFonts w:hint="eastAsia" w:asciiTheme="minorEastAsia" w:hAnsiTheme="minorEastAsia" w:eastAsiaTheme="minorEastAsia" w:cstheme="minorEastAsia"/>
                <w:b w:val="0"/>
                <w:bCs w:val="0"/>
                <w:color w:val="auto"/>
                <w:highlight w:val="none"/>
                <w:lang w:val="en-US" w:eastAsia="zh-CN"/>
              </w:rPr>
              <w:t>1、供应商须在上述条款基础上，按第三章“商务要求表”的条款进行补充并填写响应情况，否则竞标无效。</w:t>
            </w:r>
          </w:p>
          <w:p w14:paraId="30BA0112">
            <w:pPr>
              <w:shd w:val="clear" w:color="auto" w:fill="auto"/>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供应商在响应</w:t>
            </w:r>
            <w:r>
              <w:rPr>
                <w:rFonts w:hint="eastAsia" w:asciiTheme="minorEastAsia" w:hAnsiTheme="minorEastAsia" w:eastAsiaTheme="minorEastAsia" w:cstheme="minorEastAsia"/>
                <w:color w:val="auto"/>
                <w:highlight w:val="none"/>
                <w:lang w:eastAsia="zh-CN"/>
              </w:rPr>
              <w:t>谈判</w:t>
            </w:r>
            <w:r>
              <w:rPr>
                <w:rFonts w:hint="eastAsia" w:asciiTheme="minorEastAsia" w:hAnsiTheme="minorEastAsia" w:eastAsiaTheme="minorEastAsia" w:cstheme="minorEastAsia"/>
                <w:color w:val="auto"/>
                <w:highlight w:val="none"/>
              </w:rPr>
              <w:t>文件中规定的实质性要求和条件的基础上，可做出其他有利于采购人的承诺。此类承诺可在本表中予以补充填写。</w:t>
            </w:r>
          </w:p>
        </w:tc>
      </w:tr>
    </w:tbl>
    <w:p w14:paraId="7606EE28">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p>
    <w:p w14:paraId="5E5BF814">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法定代表人或者委托代理人（签字或者电子签名）：                    </w:t>
      </w:r>
    </w:p>
    <w:p w14:paraId="2D1746E8">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供应商（电子签章）：      </w:t>
      </w:r>
    </w:p>
    <w:p w14:paraId="69893DF6">
      <w:pPr>
        <w:shd w:val="clear" w:color="auto" w:fill="auto"/>
        <w:spacing w:line="360" w:lineRule="auto"/>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   年   月   日</w:t>
      </w:r>
    </w:p>
    <w:p w14:paraId="75272A71">
      <w:pPr>
        <w:shd w:val="clear" w:color="auto" w:fill="auto"/>
        <w:spacing w:line="360" w:lineRule="auto"/>
        <w:jc w:val="center"/>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32"/>
          <w:szCs w:val="32"/>
          <w:highlight w:val="none"/>
        </w:rPr>
        <w:t>竞标报价表</w:t>
      </w:r>
    </w:p>
    <w:p w14:paraId="6FD181BD">
      <w:pPr>
        <w:shd w:val="clear" w:color="auto" w:fill="auto"/>
        <w:spacing w:line="360" w:lineRule="auto"/>
        <w:contextualSpacing/>
        <w:rPr>
          <w:rFonts w:hint="eastAsia" w:asciiTheme="minorEastAsia" w:hAnsiTheme="minorEastAsia" w:eastAsiaTheme="minorEastAsia" w:cstheme="minorEastAsia"/>
          <w:color w:val="auto"/>
          <w:sz w:val="24"/>
          <w:highlight w:val="none"/>
          <w:u w:val="none"/>
        </w:rPr>
      </w:pPr>
      <w:r>
        <w:rPr>
          <w:rFonts w:hint="eastAsia" w:asciiTheme="minorEastAsia" w:hAnsiTheme="minorEastAsia" w:eastAsiaTheme="minorEastAsia" w:cstheme="minorEastAsia"/>
          <w:color w:val="auto"/>
          <w:sz w:val="24"/>
          <w:highlight w:val="none"/>
        </w:rPr>
        <w:t>项目名称：</w:t>
      </w:r>
    </w:p>
    <w:p w14:paraId="6F898074">
      <w:pPr>
        <w:shd w:val="clear" w:color="auto" w:fill="auto"/>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项目编号：</w:t>
      </w:r>
    </w:p>
    <w:p w14:paraId="50196EA1">
      <w:pPr>
        <w:shd w:val="clear" w:color="auto" w:fill="auto"/>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供应商名称：                 </w:t>
      </w:r>
    </w:p>
    <w:p w14:paraId="1C4C11AA">
      <w:pPr>
        <w:shd w:val="clear" w:color="auto" w:fill="auto"/>
        <w:spacing w:line="360" w:lineRule="auto"/>
        <w:contextualSpacing/>
        <w:jc w:val="righ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币种：人民币</w:t>
      </w:r>
    </w:p>
    <w:tbl>
      <w:tblPr>
        <w:tblStyle w:val="34"/>
        <w:tblW w:w="92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21"/>
        <w:gridCol w:w="6362"/>
      </w:tblGrid>
      <w:tr w14:paraId="07B61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2921" w:type="dxa"/>
            <w:vAlign w:val="top"/>
          </w:tcPr>
          <w:p w14:paraId="6033DD9D">
            <w:pPr>
              <w:pStyle w:val="33"/>
              <w:spacing w:before="281" w:line="220" w:lineRule="auto"/>
              <w:ind w:left="99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4"/>
                <w:sz w:val="21"/>
                <w:szCs w:val="21"/>
                <w:highlight w:val="none"/>
              </w:rPr>
              <w:t>工程名称</w:t>
            </w:r>
          </w:p>
        </w:tc>
        <w:tc>
          <w:tcPr>
            <w:tcW w:w="6362" w:type="dxa"/>
            <w:vAlign w:val="top"/>
          </w:tcPr>
          <w:p w14:paraId="1C99DA96">
            <w:pPr>
              <w:rPr>
                <w:rFonts w:hint="eastAsia" w:asciiTheme="minorEastAsia" w:hAnsiTheme="minorEastAsia" w:eastAsiaTheme="minorEastAsia" w:cstheme="minorEastAsia"/>
                <w:sz w:val="21"/>
                <w:szCs w:val="21"/>
                <w:highlight w:val="none"/>
              </w:rPr>
            </w:pPr>
          </w:p>
        </w:tc>
      </w:tr>
      <w:tr w14:paraId="4EE41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2921" w:type="dxa"/>
            <w:vAlign w:val="top"/>
          </w:tcPr>
          <w:p w14:paraId="290A1C33">
            <w:pPr>
              <w:pStyle w:val="33"/>
              <w:spacing w:before="258" w:line="219" w:lineRule="auto"/>
              <w:ind w:left="12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2"/>
                <w:sz w:val="21"/>
                <w:szCs w:val="21"/>
                <w:highlight w:val="none"/>
              </w:rPr>
              <w:t>项目经理姓名及证书编号</w:t>
            </w:r>
          </w:p>
        </w:tc>
        <w:tc>
          <w:tcPr>
            <w:tcW w:w="6362" w:type="dxa"/>
            <w:vAlign w:val="top"/>
          </w:tcPr>
          <w:p w14:paraId="63705EAE">
            <w:pPr>
              <w:rPr>
                <w:rFonts w:hint="eastAsia" w:asciiTheme="minorEastAsia" w:hAnsiTheme="minorEastAsia" w:eastAsiaTheme="minorEastAsia" w:cstheme="minorEastAsia"/>
                <w:sz w:val="21"/>
                <w:szCs w:val="21"/>
                <w:highlight w:val="none"/>
              </w:rPr>
            </w:pPr>
          </w:p>
        </w:tc>
      </w:tr>
      <w:tr w14:paraId="5F3BD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2921" w:type="dxa"/>
            <w:vAlign w:val="center"/>
          </w:tcPr>
          <w:p w14:paraId="4F23ADD3">
            <w:pPr>
              <w:pStyle w:val="33"/>
              <w:spacing w:before="78" w:line="218"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竞标总价</w:t>
            </w:r>
          </w:p>
        </w:tc>
        <w:tc>
          <w:tcPr>
            <w:tcW w:w="6362" w:type="dxa"/>
            <w:vAlign w:val="top"/>
          </w:tcPr>
          <w:p w14:paraId="273AE846">
            <w:pPr>
              <w:pStyle w:val="33"/>
              <w:spacing w:before="231" w:line="219" w:lineRule="auto"/>
              <w:ind w:left="117"/>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大写：人民币                       </w:t>
            </w:r>
            <w:r>
              <w:rPr>
                <w:rFonts w:hint="eastAsia" w:asciiTheme="minorEastAsia" w:hAnsiTheme="minorEastAsia" w:eastAsiaTheme="minorEastAsia" w:cstheme="minorEastAsia"/>
                <w:spacing w:val="-1"/>
                <w:sz w:val="21"/>
                <w:szCs w:val="21"/>
                <w:highlight w:val="none"/>
              </w:rPr>
              <w:t xml:space="preserve"> 元</w:t>
            </w:r>
          </w:p>
          <w:p w14:paraId="30BDCFDB">
            <w:pPr>
              <w:pStyle w:val="33"/>
              <w:spacing w:before="28" w:line="221" w:lineRule="auto"/>
              <w:ind w:left="12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6"/>
                <w:sz w:val="21"/>
                <w:szCs w:val="21"/>
                <w:highlight w:val="none"/>
              </w:rPr>
              <w:t>小写：</w:t>
            </w:r>
          </w:p>
        </w:tc>
      </w:tr>
      <w:tr w14:paraId="09406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2921" w:type="dxa"/>
            <w:vAlign w:val="center"/>
          </w:tcPr>
          <w:p w14:paraId="18D10E33">
            <w:pPr>
              <w:pStyle w:val="33"/>
              <w:spacing w:before="280" w:line="220" w:lineRule="auto"/>
              <w:ind w:left="118"/>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3"/>
                <w:sz w:val="21"/>
                <w:szCs w:val="21"/>
                <w:highlight w:val="none"/>
              </w:rPr>
              <w:t>质量要求</w:t>
            </w:r>
          </w:p>
        </w:tc>
        <w:tc>
          <w:tcPr>
            <w:tcW w:w="6362" w:type="dxa"/>
            <w:vAlign w:val="top"/>
          </w:tcPr>
          <w:p w14:paraId="4B5C6B68">
            <w:pPr>
              <w:rPr>
                <w:rFonts w:hint="eastAsia" w:asciiTheme="minorEastAsia" w:hAnsiTheme="minorEastAsia" w:eastAsiaTheme="minorEastAsia" w:cstheme="minorEastAsia"/>
                <w:sz w:val="21"/>
                <w:szCs w:val="21"/>
                <w:highlight w:val="none"/>
              </w:rPr>
            </w:pPr>
          </w:p>
        </w:tc>
      </w:tr>
      <w:tr w14:paraId="06D3D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921" w:type="dxa"/>
            <w:vAlign w:val="center"/>
          </w:tcPr>
          <w:p w14:paraId="4185A3FD">
            <w:pPr>
              <w:pStyle w:val="33"/>
              <w:spacing w:before="281" w:line="220" w:lineRule="auto"/>
              <w:ind w:left="12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7"/>
                <w:sz w:val="21"/>
                <w:szCs w:val="21"/>
                <w:highlight w:val="none"/>
              </w:rPr>
              <w:t>工期</w:t>
            </w:r>
          </w:p>
        </w:tc>
        <w:tc>
          <w:tcPr>
            <w:tcW w:w="6362" w:type="dxa"/>
            <w:vAlign w:val="top"/>
          </w:tcPr>
          <w:p w14:paraId="295C11C4">
            <w:pPr>
              <w:rPr>
                <w:rFonts w:hint="eastAsia" w:asciiTheme="minorEastAsia" w:hAnsiTheme="minorEastAsia" w:eastAsiaTheme="minorEastAsia" w:cstheme="minorEastAsia"/>
                <w:sz w:val="21"/>
                <w:szCs w:val="21"/>
                <w:highlight w:val="none"/>
              </w:rPr>
            </w:pPr>
          </w:p>
        </w:tc>
      </w:tr>
      <w:tr w14:paraId="0AEAD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2921" w:type="dxa"/>
            <w:vAlign w:val="center"/>
          </w:tcPr>
          <w:p w14:paraId="2106F4AC">
            <w:pPr>
              <w:pStyle w:val="33"/>
              <w:spacing w:before="281" w:line="220" w:lineRule="auto"/>
              <w:ind w:left="120"/>
              <w:jc w:val="center"/>
              <w:rPr>
                <w:rFonts w:hint="eastAsia" w:asciiTheme="minorEastAsia" w:hAnsiTheme="minorEastAsia" w:eastAsiaTheme="minorEastAsia" w:cstheme="minorEastAsia"/>
                <w:spacing w:val="-7"/>
                <w:sz w:val="21"/>
                <w:szCs w:val="21"/>
                <w:highlight w:val="none"/>
              </w:rPr>
            </w:pPr>
            <w:r>
              <w:rPr>
                <w:rFonts w:hint="eastAsia" w:asciiTheme="minorEastAsia" w:hAnsiTheme="minorEastAsia" w:eastAsiaTheme="minorEastAsia" w:cstheme="minorEastAsia"/>
                <w:spacing w:val="-7"/>
                <w:sz w:val="21"/>
                <w:szCs w:val="21"/>
                <w:highlight w:val="none"/>
              </w:rPr>
              <w:t>其中，安全文明施工费</w:t>
            </w:r>
          </w:p>
        </w:tc>
        <w:tc>
          <w:tcPr>
            <w:tcW w:w="6362" w:type="dxa"/>
            <w:vAlign w:val="center"/>
          </w:tcPr>
          <w:p w14:paraId="3FF165EB">
            <w:pPr>
              <w:ind w:firstLine="2940" w:firstLineChars="1400"/>
              <w:jc w:val="center"/>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auto"/>
                <w:szCs w:val="21"/>
                <w:highlight w:val="none"/>
              </w:rPr>
              <w:t>元</w:t>
            </w:r>
          </w:p>
        </w:tc>
      </w:tr>
      <w:tr w14:paraId="48C97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2921" w:type="dxa"/>
            <w:vAlign w:val="top"/>
          </w:tcPr>
          <w:p w14:paraId="1840C84B">
            <w:pPr>
              <w:pStyle w:val="33"/>
              <w:spacing w:before="286" w:line="221" w:lineRule="auto"/>
              <w:ind w:left="1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7"/>
                <w:sz w:val="21"/>
                <w:szCs w:val="21"/>
                <w:highlight w:val="none"/>
              </w:rPr>
              <w:t>备注</w:t>
            </w:r>
          </w:p>
        </w:tc>
        <w:tc>
          <w:tcPr>
            <w:tcW w:w="6362" w:type="dxa"/>
            <w:vAlign w:val="top"/>
          </w:tcPr>
          <w:p w14:paraId="282682DC">
            <w:pPr>
              <w:rPr>
                <w:rFonts w:hint="eastAsia" w:asciiTheme="minorEastAsia" w:hAnsiTheme="minorEastAsia" w:eastAsiaTheme="minorEastAsia" w:cstheme="minorEastAsia"/>
                <w:sz w:val="21"/>
                <w:szCs w:val="21"/>
                <w:highlight w:val="none"/>
              </w:rPr>
            </w:pPr>
          </w:p>
        </w:tc>
      </w:tr>
    </w:tbl>
    <w:p w14:paraId="6F9BD0A8">
      <w:pPr>
        <w:shd w:val="clear" w:color="auto" w:fill="auto"/>
        <w:spacing w:line="360" w:lineRule="auto"/>
        <w:contextualSpacing/>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w:t>
      </w:r>
    </w:p>
    <w:p w14:paraId="38F15088">
      <w:pPr>
        <w:shd w:val="clear" w:color="auto" w:fill="auto"/>
        <w:spacing w:line="360" w:lineRule="auto"/>
        <w:ind w:firstLine="440" w:firstLineChars="200"/>
        <w:contextualSpacing/>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1.供应商的报价表必须加盖供应商公章并由法定代表人（或负责人）或者委托代理人签字或者电子签名，否则其响应文件按无效响应处理。</w:t>
      </w:r>
    </w:p>
    <w:p w14:paraId="1ACD78F7">
      <w:pPr>
        <w:shd w:val="clear" w:color="auto" w:fill="auto"/>
        <w:spacing w:line="360" w:lineRule="auto"/>
        <w:ind w:firstLine="440" w:firstLineChars="200"/>
        <w:contextualSpacing/>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2.报价一经涂改，应在涂改处加盖供应商公章或者由法定代表人（或负责人）或者委托代理人签字（电子签名）或者盖章，否则其响应文件按无效响应处理。</w:t>
      </w:r>
    </w:p>
    <w:p w14:paraId="7EF1F455">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p>
    <w:p w14:paraId="7384627C">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p>
    <w:p w14:paraId="45A8D81C">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法定代表人或者委托代理人（签字或者电子签名）：                    </w:t>
      </w:r>
    </w:p>
    <w:p w14:paraId="7E3DDE78">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供应商（电子签章）：      </w:t>
      </w:r>
    </w:p>
    <w:p w14:paraId="2343696C">
      <w:pPr>
        <w:shd w:val="clear" w:color="auto" w:fill="auto"/>
        <w:spacing w:line="360" w:lineRule="auto"/>
        <w:ind w:right="-817" w:rightChars="-389" w:firstLine="4080" w:firstLineChars="17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   年   月   日</w:t>
      </w:r>
    </w:p>
    <w:p w14:paraId="6707F285">
      <w:pPr>
        <w:shd w:val="clear" w:color="auto" w:fill="auto"/>
        <w:spacing w:line="360" w:lineRule="auto"/>
        <w:contextualSpacing/>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color w:val="auto"/>
          <w:sz w:val="32"/>
          <w:szCs w:val="32"/>
          <w:highlight w:val="none"/>
        </w:rPr>
        <w:t>已标价工程量清单</w:t>
      </w:r>
    </w:p>
    <w:p w14:paraId="725E9DBC">
      <w:pPr>
        <w:shd w:val="clear" w:color="auto" w:fill="auto"/>
        <w:spacing w:line="360" w:lineRule="auto"/>
        <w:ind w:firstLine="640" w:firstLineChars="200"/>
        <w:contextualSpacing/>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z w:val="32"/>
          <w:szCs w:val="32"/>
          <w:highlight w:val="none"/>
        </w:rPr>
        <w:t>根据</w:t>
      </w:r>
      <w:r>
        <w:rPr>
          <w:rFonts w:hint="eastAsia" w:asciiTheme="minorEastAsia" w:hAnsiTheme="minorEastAsia" w:eastAsiaTheme="minorEastAsia" w:cstheme="minorEastAsia"/>
          <w:color w:val="auto"/>
          <w:sz w:val="32"/>
          <w:szCs w:val="32"/>
          <w:highlight w:val="none"/>
          <w:lang w:eastAsia="zh-CN"/>
        </w:rPr>
        <w:t>谈判</w:t>
      </w:r>
      <w:r>
        <w:rPr>
          <w:rFonts w:hint="eastAsia" w:asciiTheme="minorEastAsia" w:hAnsiTheme="minorEastAsia" w:eastAsiaTheme="minorEastAsia" w:cstheme="minorEastAsia"/>
          <w:color w:val="auto"/>
          <w:sz w:val="32"/>
          <w:szCs w:val="32"/>
          <w:highlight w:val="none"/>
        </w:rPr>
        <w:t>文件规定编制及上传。</w:t>
      </w:r>
    </w:p>
    <w:p w14:paraId="24847D00">
      <w:pPr>
        <w:shd w:val="clear" w:color="auto" w:fill="auto"/>
        <w:spacing w:line="360" w:lineRule="auto"/>
        <w:ind w:firstLine="420" w:firstLineChars="200"/>
        <w:contextualSpacing/>
        <w:jc w:val="left"/>
        <w:rPr>
          <w:rFonts w:hint="eastAsia" w:asciiTheme="minorEastAsia" w:hAnsiTheme="minorEastAsia" w:eastAsiaTheme="minorEastAsia" w:cstheme="minorEastAsia"/>
          <w:color w:val="auto"/>
          <w:kern w:val="0"/>
          <w:highlight w:val="none"/>
        </w:rPr>
      </w:pPr>
    </w:p>
    <w:p w14:paraId="1E4DF82D">
      <w:pPr>
        <w:pStyle w:val="12"/>
        <w:spacing w:line="500" w:lineRule="exact"/>
        <w:jc w:val="both"/>
        <w:rPr>
          <w:rFonts w:hint="eastAsia" w:ascii="宋体" w:hAnsi="宋体" w:cs="仿宋_GB2312"/>
          <w:b/>
          <w:bCs w:val="0"/>
          <w:color w:val="auto"/>
          <w:sz w:val="24"/>
          <w:szCs w:val="24"/>
          <w:highlight w:val="none"/>
          <w:lang w:val="en-US" w:eastAsia="zh-CN"/>
        </w:rPr>
      </w:pPr>
      <w:r>
        <w:rPr>
          <w:rFonts w:hint="eastAsia" w:ascii="宋体" w:hAnsi="宋体" w:cs="仿宋_GB2312"/>
          <w:b/>
          <w:bCs w:val="0"/>
          <w:color w:val="auto"/>
          <w:sz w:val="24"/>
          <w:szCs w:val="24"/>
          <w:highlight w:val="none"/>
          <w:lang w:val="en-US" w:eastAsia="zh-CN"/>
        </w:rPr>
        <w:t>说明：</w:t>
      </w:r>
      <w:r>
        <w:rPr>
          <w:rFonts w:hint="eastAsia" w:hAnsi="宋体" w:cs="仿宋_GB2312"/>
          <w:b/>
          <w:bCs w:val="0"/>
          <w:color w:val="auto"/>
          <w:sz w:val="24"/>
          <w:szCs w:val="24"/>
          <w:highlight w:val="none"/>
          <w:lang w:val="en-US" w:eastAsia="zh-CN"/>
        </w:rPr>
        <w:t>1、</w:t>
      </w:r>
      <w:r>
        <w:rPr>
          <w:rFonts w:hint="eastAsia" w:ascii="宋体" w:hAnsi="宋体" w:cs="仿宋_GB2312"/>
          <w:b/>
          <w:bCs w:val="0"/>
          <w:color w:val="auto"/>
          <w:sz w:val="24"/>
          <w:szCs w:val="24"/>
          <w:highlight w:val="none"/>
          <w:lang w:val="en-US" w:eastAsia="zh-CN"/>
        </w:rPr>
        <w:t>本项目有二次报价（即最终报价），如供应商在二次报价时，竞标总价不做改变，则只需报竞标总价；二次报价与首次报价相比有调整的，请供应商提前准备好调整后盖章的已标价工程量清单扫描件（已标价工程量清单合计金额须与相对应的竞标总价金额保持一致），并根据广西政府采购云平台发出的二次报价指令在规定的时间内上传盖章的已标价工程量清单，如未在规定时间内提供调整后加盖公章的已标价工程量清单，由此造成的后果供应商自行承担。</w:t>
      </w:r>
    </w:p>
    <w:p w14:paraId="209674EE">
      <w:pPr>
        <w:pStyle w:val="4"/>
        <w:rPr>
          <w:rFonts w:hint="default"/>
          <w:highlight w:val="none"/>
          <w:lang w:val="en-US" w:eastAsia="zh-CN"/>
        </w:rPr>
      </w:pPr>
      <w:r>
        <w:rPr>
          <w:rFonts w:hint="eastAsia" w:ascii="宋体" w:hAnsi="宋体" w:cs="仿宋_GB2312"/>
          <w:b/>
          <w:bCs w:val="0"/>
          <w:color w:val="auto"/>
          <w:sz w:val="24"/>
          <w:szCs w:val="24"/>
          <w:highlight w:val="none"/>
          <w:lang w:val="en-US" w:eastAsia="zh-CN"/>
        </w:rPr>
        <w:t>2、供应商在编制响应报价文件时，安责险应按招标工程量清单中给出的安责险暂估价的具体金额填写，不得调整。</w:t>
      </w:r>
    </w:p>
    <w:p w14:paraId="3988B366">
      <w:pPr>
        <w:shd w:val="clear" w:color="auto" w:fill="auto"/>
        <w:spacing w:line="360" w:lineRule="auto"/>
        <w:ind w:right="420"/>
        <w:contextualSpacing/>
        <w:jc w:val="center"/>
        <w:rPr>
          <w:rFonts w:hint="eastAsia" w:asciiTheme="minorEastAsia" w:hAnsiTheme="minorEastAsia" w:eastAsiaTheme="minorEastAsia" w:cstheme="minorEastAsia"/>
          <w:b/>
          <w:bCs/>
          <w:color w:val="auto"/>
          <w:sz w:val="32"/>
          <w:szCs w:val="32"/>
          <w:highlight w:val="none"/>
        </w:rPr>
      </w:pPr>
    </w:p>
    <w:p w14:paraId="00CD40B4">
      <w:pPr>
        <w:shd w:val="clear" w:color="auto" w:fill="auto"/>
        <w:spacing w:line="360" w:lineRule="auto"/>
        <w:ind w:right="420"/>
        <w:contextualSpacing/>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br w:type="page"/>
      </w:r>
    </w:p>
    <w:p w14:paraId="62C83BD9">
      <w:pPr>
        <w:shd w:val="clear" w:color="auto" w:fill="auto"/>
        <w:spacing w:line="360" w:lineRule="auto"/>
        <w:ind w:firstLine="643" w:firstLineChars="200"/>
        <w:contextualSpacing/>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bCs/>
          <w:color w:val="auto"/>
          <w:sz w:val="32"/>
          <w:szCs w:val="32"/>
          <w:highlight w:val="none"/>
        </w:rPr>
        <w:t>三、</w:t>
      </w:r>
      <w:r>
        <w:rPr>
          <w:rFonts w:hint="eastAsia" w:asciiTheme="minorEastAsia" w:hAnsiTheme="minorEastAsia" w:eastAsiaTheme="minorEastAsia" w:cstheme="minorEastAsia"/>
          <w:b/>
          <w:color w:val="auto"/>
          <w:sz w:val="32"/>
          <w:szCs w:val="32"/>
          <w:highlight w:val="none"/>
        </w:rPr>
        <w:t>商务技术文件格式</w:t>
      </w:r>
    </w:p>
    <w:p w14:paraId="6E46D271">
      <w:pPr>
        <w:shd w:val="clear" w:color="auto" w:fill="auto"/>
        <w:snapToGrid w:val="0"/>
        <w:spacing w:before="156" w:beforeLines="50" w:after="50" w:line="360" w:lineRule="auto"/>
        <w:jc w:val="left"/>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1.商务技术文件封面格式</w:t>
      </w:r>
    </w:p>
    <w:p w14:paraId="3609E589">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32"/>
          <w:szCs w:val="20"/>
          <w:highlight w:val="none"/>
        </w:rPr>
      </w:pPr>
    </w:p>
    <w:p w14:paraId="52616225">
      <w:pPr>
        <w:shd w:val="clear" w:color="auto" w:fill="auto"/>
        <w:snapToGrid w:val="0"/>
        <w:spacing w:before="156" w:beforeLines="50" w:after="50" w:line="360" w:lineRule="auto"/>
        <w:jc w:val="center"/>
        <w:rPr>
          <w:rFonts w:hint="eastAsia" w:asciiTheme="minorEastAsia" w:hAnsiTheme="minorEastAsia" w:eastAsiaTheme="minorEastAsia" w:cstheme="minorEastAsia"/>
          <w:b/>
          <w:bCs/>
          <w:color w:val="auto"/>
          <w:sz w:val="24"/>
          <w:szCs w:val="20"/>
          <w:highlight w:val="none"/>
        </w:rPr>
      </w:pPr>
      <w:r>
        <w:rPr>
          <w:rFonts w:hint="eastAsia" w:asciiTheme="minorEastAsia" w:hAnsiTheme="minorEastAsia" w:eastAsiaTheme="minorEastAsia" w:cstheme="minorEastAsia"/>
          <w:b/>
          <w:bCs/>
          <w:color w:val="auto"/>
          <w:sz w:val="44"/>
          <w:szCs w:val="44"/>
          <w:highlight w:val="none"/>
        </w:rPr>
        <w:t>电 子 响 应 文 件</w:t>
      </w:r>
    </w:p>
    <w:p w14:paraId="6EF25D35">
      <w:pPr>
        <w:shd w:val="clear" w:color="auto" w:fill="auto"/>
        <w:snapToGrid w:val="0"/>
        <w:spacing w:before="156" w:beforeLines="50" w:after="50" w:line="360" w:lineRule="auto"/>
        <w:rPr>
          <w:rFonts w:hint="eastAsia" w:asciiTheme="minorEastAsia" w:hAnsiTheme="minorEastAsia" w:eastAsiaTheme="minorEastAsia" w:cstheme="minorEastAsia"/>
          <w:b/>
          <w:bCs/>
          <w:color w:val="auto"/>
          <w:sz w:val="24"/>
          <w:szCs w:val="20"/>
          <w:highlight w:val="none"/>
        </w:rPr>
      </w:pPr>
    </w:p>
    <w:p w14:paraId="05695C6D">
      <w:pPr>
        <w:shd w:val="clear" w:color="auto" w:fill="auto"/>
        <w:snapToGrid w:val="0"/>
        <w:spacing w:before="156" w:beforeLines="50" w:after="50" w:line="360" w:lineRule="auto"/>
        <w:rPr>
          <w:rFonts w:hint="eastAsia" w:asciiTheme="minorEastAsia" w:hAnsiTheme="minorEastAsia" w:eastAsiaTheme="minorEastAsia" w:cstheme="minorEastAsia"/>
          <w:b/>
          <w:bCs/>
          <w:color w:val="auto"/>
          <w:sz w:val="24"/>
          <w:szCs w:val="20"/>
          <w:highlight w:val="none"/>
        </w:rPr>
      </w:pPr>
    </w:p>
    <w:p w14:paraId="075799D8">
      <w:pPr>
        <w:shd w:val="clear" w:color="auto" w:fill="auto"/>
        <w:snapToGrid w:val="0"/>
        <w:spacing w:before="156" w:beforeLines="50" w:after="50" w:line="360" w:lineRule="auto"/>
        <w:jc w:val="center"/>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44"/>
          <w:szCs w:val="44"/>
          <w:highlight w:val="none"/>
        </w:rPr>
        <w:t>商  务  技  术  文  件</w:t>
      </w:r>
    </w:p>
    <w:p w14:paraId="02012491">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4D624AA1">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037651B1">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5BBA19B9">
      <w:pPr>
        <w:shd w:val="clear" w:color="auto" w:fill="auto"/>
        <w:snapToGrid w:val="0"/>
        <w:spacing w:before="156" w:beforeLines="50" w:after="50" w:line="360" w:lineRule="auto"/>
        <w:rPr>
          <w:rFonts w:hint="eastAsia" w:asciiTheme="minorEastAsia" w:hAnsiTheme="minorEastAsia" w:eastAsiaTheme="minorEastAsia" w:cstheme="minorEastAsia"/>
          <w:bCs/>
          <w:color w:val="auto"/>
          <w:sz w:val="24"/>
          <w:szCs w:val="20"/>
          <w:highlight w:val="none"/>
        </w:rPr>
      </w:pPr>
    </w:p>
    <w:p w14:paraId="32AA798E">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项目名称：</w:t>
      </w:r>
    </w:p>
    <w:p w14:paraId="28251D0F">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项目编号：</w:t>
      </w:r>
    </w:p>
    <w:p w14:paraId="3C9DC3F0">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所竞分标（如有则填写，无分标时填写“无”或者留空）：</w:t>
      </w:r>
    </w:p>
    <w:p w14:paraId="76B2775D">
      <w:pPr>
        <w:widowControl w:val="0"/>
        <w:shd w:val="clear" w:color="auto" w:fill="auto"/>
        <w:snapToGrid w:val="0"/>
        <w:spacing w:before="50" w:after="50" w:line="360" w:lineRule="auto"/>
        <w:ind w:firstLine="640" w:firstLineChars="200"/>
        <w:jc w:val="both"/>
        <w:rPr>
          <w:rFonts w:hint="eastAsia" w:asciiTheme="minorEastAsia" w:hAnsiTheme="minorEastAsia" w:eastAsiaTheme="minorEastAsia" w:cstheme="minorEastAsia"/>
          <w:bCs/>
          <w:color w:val="auto"/>
          <w:kern w:val="2"/>
          <w:sz w:val="32"/>
          <w:szCs w:val="32"/>
          <w:highlight w:val="none"/>
          <w:lang w:val="en-US" w:eastAsia="zh-CN" w:bidi="ar-SA"/>
        </w:rPr>
      </w:pPr>
      <w:r>
        <w:rPr>
          <w:rFonts w:hint="eastAsia" w:asciiTheme="minorEastAsia" w:hAnsiTheme="minorEastAsia" w:eastAsiaTheme="minorEastAsia" w:cstheme="minorEastAsia"/>
          <w:bCs/>
          <w:color w:val="auto"/>
          <w:kern w:val="2"/>
          <w:sz w:val="32"/>
          <w:szCs w:val="32"/>
          <w:highlight w:val="none"/>
          <w:lang w:val="en-US" w:eastAsia="zh-CN" w:bidi="ar-SA"/>
        </w:rPr>
        <w:t>供应商名称：</w:t>
      </w:r>
    </w:p>
    <w:p w14:paraId="31112E76">
      <w:pPr>
        <w:widowControl w:val="0"/>
        <w:shd w:val="clear" w:color="auto" w:fill="auto"/>
        <w:snapToGrid w:val="0"/>
        <w:spacing w:before="50" w:after="50" w:line="360" w:lineRule="auto"/>
        <w:ind w:firstLine="1280" w:firstLineChars="400"/>
        <w:jc w:val="both"/>
        <w:rPr>
          <w:rFonts w:hint="eastAsia" w:asciiTheme="minorEastAsia" w:hAnsiTheme="minorEastAsia" w:eastAsiaTheme="minorEastAsia" w:cstheme="minorEastAsia"/>
          <w:bCs/>
          <w:color w:val="auto"/>
          <w:kern w:val="2"/>
          <w:sz w:val="32"/>
          <w:szCs w:val="32"/>
          <w:highlight w:val="none"/>
          <w:lang w:val="en-US" w:eastAsia="zh-CN" w:bidi="ar-SA"/>
        </w:rPr>
      </w:pPr>
    </w:p>
    <w:p w14:paraId="73F4D49B">
      <w:pPr>
        <w:shd w:val="clear" w:color="auto" w:fill="auto"/>
        <w:snapToGrid w:val="0"/>
        <w:spacing w:before="156" w:beforeLines="50" w:after="50" w:line="360" w:lineRule="auto"/>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年    月    日</w:t>
      </w:r>
    </w:p>
    <w:p w14:paraId="18081178">
      <w:pPr>
        <w:shd w:val="clear" w:color="auto" w:fill="auto"/>
        <w:snapToGrid w:val="0"/>
        <w:spacing w:before="156" w:beforeLines="50" w:after="50" w:line="360" w:lineRule="auto"/>
        <w:ind w:right="480" w:firstLine="240" w:firstLineChars="100"/>
        <w:jc w:val="left"/>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32"/>
          <w:szCs w:val="32"/>
          <w:highlight w:val="none"/>
        </w:rPr>
        <w:t>2.商务技术文件目录</w:t>
      </w:r>
    </w:p>
    <w:p w14:paraId="63C53583">
      <w:pPr>
        <w:shd w:val="clear" w:color="auto" w:fill="auto"/>
        <w:snapToGrid w:val="0"/>
        <w:spacing w:before="156" w:beforeLines="50" w:after="50" w:line="360" w:lineRule="auto"/>
        <w:ind w:firstLine="640" w:firstLineChars="200"/>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根据</w:t>
      </w:r>
      <w:r>
        <w:rPr>
          <w:rFonts w:hint="eastAsia" w:asciiTheme="minorEastAsia" w:hAnsiTheme="minorEastAsia" w:eastAsiaTheme="minorEastAsia" w:cstheme="minorEastAsia"/>
          <w:color w:val="auto"/>
          <w:sz w:val="32"/>
          <w:szCs w:val="32"/>
          <w:highlight w:val="none"/>
          <w:lang w:eastAsia="zh-CN"/>
        </w:rPr>
        <w:t>谈判</w:t>
      </w:r>
      <w:r>
        <w:rPr>
          <w:rFonts w:hint="eastAsia" w:asciiTheme="minorEastAsia" w:hAnsiTheme="minorEastAsia" w:eastAsiaTheme="minorEastAsia" w:cstheme="minorEastAsia"/>
          <w:color w:val="auto"/>
          <w:sz w:val="32"/>
          <w:szCs w:val="32"/>
          <w:highlight w:val="none"/>
        </w:rPr>
        <w:t>文件规定及供应商提供的材料自行编写目录（部分格式后附）。</w:t>
      </w:r>
    </w:p>
    <w:p w14:paraId="17861FE6">
      <w:pPr>
        <w:shd w:val="clear" w:color="auto" w:fill="auto"/>
        <w:spacing w:line="360" w:lineRule="auto"/>
        <w:rPr>
          <w:rFonts w:hint="eastAsia" w:asciiTheme="minorEastAsia" w:hAnsiTheme="minorEastAsia" w:eastAsiaTheme="minorEastAsia" w:cstheme="minorEastAsia"/>
          <w:color w:val="auto"/>
          <w:sz w:val="32"/>
          <w:szCs w:val="32"/>
          <w:highlight w:val="none"/>
        </w:rPr>
      </w:pPr>
    </w:p>
    <w:p w14:paraId="6A5B572F">
      <w:p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44"/>
          <w:szCs w:val="44"/>
          <w:highlight w:val="none"/>
        </w:rPr>
        <w:br w:type="page"/>
      </w:r>
      <w:r>
        <w:rPr>
          <w:rFonts w:hint="eastAsia" w:asciiTheme="minorEastAsia" w:hAnsiTheme="minorEastAsia" w:eastAsiaTheme="minorEastAsia" w:cstheme="minorEastAsia"/>
          <w:b/>
          <w:bCs/>
          <w:color w:val="auto"/>
          <w:sz w:val="44"/>
          <w:szCs w:val="44"/>
          <w:highlight w:val="none"/>
        </w:rPr>
        <w:t>无串通竞标行为的承诺函</w:t>
      </w:r>
    </w:p>
    <w:p w14:paraId="5CB32AE9">
      <w:pPr>
        <w:shd w:val="clear" w:color="auto" w:fill="auto"/>
        <w:spacing w:line="360" w:lineRule="auto"/>
        <w:ind w:firstLine="640" w:firstLineChars="200"/>
        <w:contextualSpacing/>
        <w:rPr>
          <w:rFonts w:hint="eastAsia" w:asciiTheme="minorEastAsia" w:hAnsiTheme="minorEastAsia" w:eastAsiaTheme="minorEastAsia" w:cstheme="minorEastAsia"/>
          <w:color w:val="auto"/>
          <w:sz w:val="32"/>
          <w:szCs w:val="32"/>
          <w:highlight w:val="none"/>
        </w:rPr>
      </w:pPr>
    </w:p>
    <w:p w14:paraId="4B8BDFFF">
      <w:pPr>
        <w:shd w:val="clear" w:color="auto" w:fill="auto"/>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一、我方承诺无下列相互串通竞标的情形：</w:t>
      </w:r>
    </w:p>
    <w:p w14:paraId="2FEDD563">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宋体" w:hAnsi="宋体" w:cs="仿宋_GB2312"/>
          <w:color w:val="auto"/>
          <w:sz w:val="24"/>
          <w:highlight w:val="none"/>
        </w:rPr>
        <w:t>不同</w:t>
      </w:r>
      <w:r>
        <w:rPr>
          <w:rFonts w:hint="eastAsia" w:ascii="宋体" w:hAnsi="宋体" w:cs="仿宋_GB2312"/>
          <w:color w:val="auto"/>
          <w:sz w:val="24"/>
          <w:highlight w:val="none"/>
          <w:lang w:eastAsia="zh-CN"/>
        </w:rPr>
        <w:t>竞标人</w:t>
      </w:r>
      <w:r>
        <w:rPr>
          <w:rFonts w:hint="eastAsia" w:ascii="宋体" w:hAnsi="宋体" w:cs="仿宋_GB2312"/>
          <w:color w:val="auto"/>
          <w:sz w:val="24"/>
          <w:highlight w:val="none"/>
        </w:rPr>
        <w:t>的</w:t>
      </w:r>
      <w:r>
        <w:rPr>
          <w:rFonts w:hint="eastAsia" w:ascii="宋体" w:hAnsi="宋体" w:cs="仿宋_GB2312"/>
          <w:color w:val="auto"/>
          <w:sz w:val="24"/>
          <w:highlight w:val="none"/>
          <w:lang w:eastAsia="zh-CN"/>
        </w:rPr>
        <w:t>响应</w:t>
      </w:r>
      <w:r>
        <w:rPr>
          <w:rFonts w:hint="eastAsia" w:ascii="宋体" w:hAnsi="宋体" w:cs="仿宋_GB2312"/>
          <w:color w:val="auto"/>
          <w:sz w:val="24"/>
          <w:highlight w:val="none"/>
        </w:rPr>
        <w:t>文件由同一单位或者个人编制；或者不同</w:t>
      </w:r>
      <w:r>
        <w:rPr>
          <w:rFonts w:hint="eastAsia" w:ascii="宋体" w:hAnsi="宋体" w:cs="仿宋_GB2312"/>
          <w:color w:val="auto"/>
          <w:sz w:val="24"/>
          <w:highlight w:val="none"/>
          <w:lang w:eastAsia="zh-CN"/>
        </w:rPr>
        <w:t>竞标人</w:t>
      </w:r>
      <w:r>
        <w:rPr>
          <w:rFonts w:hint="eastAsia" w:ascii="宋体" w:hAnsi="宋体" w:cs="仿宋_GB2312"/>
          <w:color w:val="auto"/>
          <w:sz w:val="24"/>
          <w:highlight w:val="none"/>
        </w:rPr>
        <w:t>报名的IP地址一致的；或者编制标书硬件设备CPU编号、硬盘编号、网卡地址一致的情况</w:t>
      </w:r>
      <w:r>
        <w:rPr>
          <w:rFonts w:hint="eastAsia" w:asciiTheme="minorEastAsia" w:hAnsiTheme="minorEastAsia" w:eastAsiaTheme="minorEastAsia" w:cstheme="minorEastAsia"/>
          <w:color w:val="auto"/>
          <w:sz w:val="24"/>
          <w:highlight w:val="none"/>
        </w:rPr>
        <w:t xml:space="preserve">； </w:t>
      </w:r>
    </w:p>
    <w:p w14:paraId="3A108E37">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2.不同供应商委托同一单位或者个人办理竞标事宜；</w:t>
      </w:r>
    </w:p>
    <w:p w14:paraId="0FBA3FA0">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3.不同供应商的响应文件载明的项目管理员为同一个人；</w:t>
      </w:r>
    </w:p>
    <w:p w14:paraId="60824EB5">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4.不</w:t>
      </w:r>
      <w:r>
        <w:rPr>
          <w:rFonts w:hint="eastAsia" w:asciiTheme="minorEastAsia" w:hAnsiTheme="minorEastAsia" w:eastAsiaTheme="minorEastAsia" w:cstheme="minorEastAsia"/>
          <w:color w:val="auto"/>
          <w:spacing w:val="-6"/>
          <w:sz w:val="24"/>
          <w:highlight w:val="none"/>
        </w:rPr>
        <w:t>同供应商的响应文件异常一致或者竞标报价呈规律性差异；</w:t>
      </w:r>
    </w:p>
    <w:p w14:paraId="4184DFD7">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5.不同供应商的响应文件相互混装；</w:t>
      </w:r>
    </w:p>
    <w:p w14:paraId="1E1B37DD">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6.不同供应商的</w:t>
      </w:r>
      <w:r>
        <w:rPr>
          <w:rFonts w:hint="eastAsia" w:asciiTheme="minorEastAsia" w:hAnsiTheme="minorEastAsia" w:eastAsiaTheme="minorEastAsia" w:cstheme="minorEastAsia"/>
          <w:color w:val="auto"/>
          <w:sz w:val="24"/>
          <w:highlight w:val="none"/>
          <w:lang w:eastAsia="zh-CN"/>
        </w:rPr>
        <w:t>竞标保证金</w:t>
      </w:r>
      <w:r>
        <w:rPr>
          <w:rFonts w:hint="eastAsia" w:asciiTheme="minorEastAsia" w:hAnsiTheme="minorEastAsia" w:eastAsiaTheme="minorEastAsia" w:cstheme="minorEastAsia"/>
          <w:color w:val="auto"/>
          <w:sz w:val="24"/>
          <w:highlight w:val="none"/>
        </w:rPr>
        <w:t>从同一单位或者个人账户转出。</w:t>
      </w:r>
    </w:p>
    <w:p w14:paraId="4F164640">
      <w:pPr>
        <w:shd w:val="clear" w:color="auto" w:fill="auto"/>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二、我方承诺无下列恶意串通的情形：</w:t>
      </w:r>
    </w:p>
    <w:p w14:paraId="0B682601">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1.供应商直接或者间接从采购人或者采购代理机构处获得其他供应商的相关信息并修改其响应文件；</w:t>
      </w:r>
    </w:p>
    <w:p w14:paraId="3854DF3E">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2.供应商按照采购人或者采购代理机构的授意撤换、修改响应文件；</w:t>
      </w:r>
    </w:p>
    <w:p w14:paraId="21F99249">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w:t>
      </w:r>
      <w:r>
        <w:rPr>
          <w:rFonts w:hint="eastAsia" w:asciiTheme="minorEastAsia" w:hAnsiTheme="minorEastAsia" w:eastAsiaTheme="minorEastAsia" w:cstheme="minorEastAsia"/>
          <w:color w:val="auto"/>
          <w:spacing w:val="-6"/>
          <w:sz w:val="24"/>
          <w:highlight w:val="none"/>
        </w:rPr>
        <w:t>应商之间协商报价、技术方案等响应文件的实质性内容；</w:t>
      </w:r>
    </w:p>
    <w:p w14:paraId="385B41E7">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4.属于同一集团、协会、商会等组织成员的供应商按照该组织要求协同参加政府采购活动；</w:t>
      </w:r>
    </w:p>
    <w:p w14:paraId="32D78EC8">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5.供应商之间事先约定一致抬高或者压低竞标报价，或者在</w:t>
      </w:r>
      <w:r>
        <w:rPr>
          <w:rFonts w:hint="eastAsia" w:asciiTheme="minorEastAsia" w:hAnsiTheme="minorEastAsia" w:eastAsiaTheme="minorEastAsia" w:cstheme="minorEastAsia"/>
          <w:color w:val="auto"/>
          <w:sz w:val="24"/>
          <w:highlight w:val="none"/>
          <w:lang w:eastAsia="zh-CN"/>
        </w:rPr>
        <w:t>竞争性谈判</w:t>
      </w:r>
      <w:r>
        <w:rPr>
          <w:rFonts w:hint="eastAsia" w:asciiTheme="minorEastAsia" w:hAnsiTheme="minorEastAsia" w:eastAsiaTheme="minorEastAsia" w:cstheme="minorEastAsia"/>
          <w:color w:val="auto"/>
          <w:sz w:val="24"/>
          <w:highlight w:val="none"/>
        </w:rPr>
        <w:t>项目中事先约定轮流以高价位或者低价位成交，或者事先约定由某一特定供应商成交，然后再参加竞标；</w:t>
      </w:r>
    </w:p>
    <w:p w14:paraId="7577AD11">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6.供应商之间商定部分供应商放弃参加政府采购活动或者放弃成交；</w:t>
      </w:r>
    </w:p>
    <w:p w14:paraId="2714CF00">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7.供应商与采购人或者采购代理机构之间、供应商相互之间，为</w:t>
      </w:r>
      <w:r>
        <w:rPr>
          <w:rFonts w:hint="eastAsia" w:asciiTheme="minorEastAsia" w:hAnsiTheme="minorEastAsia" w:eastAsiaTheme="minorEastAsia" w:cstheme="minorEastAsia"/>
          <w:color w:val="auto"/>
          <w:spacing w:val="-6"/>
          <w:sz w:val="24"/>
          <w:highlight w:val="none"/>
        </w:rPr>
        <w:t>谋求特定供应商成交或者排斥其他供应商的其他串通行为。</w:t>
      </w:r>
    </w:p>
    <w:p w14:paraId="06D9F66C">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p>
    <w:p w14:paraId="3640AFBE">
      <w:pPr>
        <w:shd w:val="clear" w:color="auto" w:fill="auto"/>
        <w:spacing w:line="360" w:lineRule="auto"/>
        <w:ind w:firstLine="482" w:firstLineChars="200"/>
        <w:contextualSpacing/>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以上情形一经核查属实，我方愿意承担一切后果，并不再寻求任何旨在减轻或者免除法律责任的辩解。</w:t>
      </w:r>
    </w:p>
    <w:p w14:paraId="64B5095E">
      <w:pPr>
        <w:shd w:val="clear" w:color="auto" w:fill="auto"/>
        <w:spacing w:line="360" w:lineRule="auto"/>
        <w:contextualSpacing/>
        <w:rPr>
          <w:rFonts w:hint="eastAsia" w:asciiTheme="minorEastAsia" w:hAnsiTheme="minorEastAsia" w:eastAsiaTheme="minorEastAsia" w:cstheme="minorEastAsia"/>
          <w:color w:val="auto"/>
          <w:sz w:val="24"/>
          <w:highlight w:val="none"/>
        </w:rPr>
      </w:pPr>
    </w:p>
    <w:p w14:paraId="37D27B20">
      <w:pPr>
        <w:shd w:val="clear" w:color="auto" w:fill="auto"/>
        <w:spacing w:line="360" w:lineRule="auto"/>
        <w:ind w:firstLine="3600" w:firstLineChars="15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供应商（电子签章）：</w:t>
      </w:r>
    </w:p>
    <w:p w14:paraId="5D22BB60">
      <w:pPr>
        <w:shd w:val="clear" w:color="auto" w:fill="auto"/>
        <w:spacing w:line="360" w:lineRule="auto"/>
        <w:ind w:firstLine="480" w:firstLineChars="200"/>
        <w:contextualSpacing/>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24"/>
          <w:highlight w:val="none"/>
        </w:rPr>
        <w:t xml:space="preserve">                               年   月   日</w:t>
      </w:r>
    </w:p>
    <w:p w14:paraId="0FE2155A">
      <w:pPr>
        <w:shd w:val="clear" w:color="auto" w:fill="auto"/>
        <w:spacing w:line="360" w:lineRule="auto"/>
        <w:jc w:val="center"/>
        <w:rPr>
          <w:rFonts w:hint="eastAsia" w:asciiTheme="minorEastAsia" w:hAnsiTheme="minorEastAsia" w:eastAsiaTheme="minorEastAsia" w:cstheme="minorEastAsia"/>
          <w:b/>
          <w:bCs w:val="0"/>
          <w:color w:val="auto"/>
          <w:sz w:val="32"/>
          <w:szCs w:val="32"/>
          <w:highlight w:val="none"/>
        </w:rPr>
      </w:pPr>
      <w:r>
        <w:rPr>
          <w:rFonts w:hint="eastAsia" w:asciiTheme="minorEastAsia" w:hAnsiTheme="minorEastAsia" w:eastAsiaTheme="minorEastAsia" w:cstheme="minorEastAsia"/>
          <w:bCs/>
          <w:color w:val="auto"/>
          <w:sz w:val="44"/>
          <w:szCs w:val="44"/>
          <w:highlight w:val="none"/>
        </w:rPr>
        <w:br w:type="page"/>
      </w:r>
      <w:r>
        <w:rPr>
          <w:rFonts w:hint="eastAsia" w:asciiTheme="minorEastAsia" w:hAnsiTheme="minorEastAsia" w:eastAsiaTheme="minorEastAsia" w:cstheme="minorEastAsia"/>
          <w:b/>
          <w:bCs w:val="0"/>
          <w:color w:val="auto"/>
          <w:sz w:val="44"/>
          <w:szCs w:val="44"/>
          <w:highlight w:val="none"/>
        </w:rPr>
        <w:t>法定代表人证明书</w:t>
      </w:r>
    </w:p>
    <w:p w14:paraId="05DAFC30">
      <w:pPr>
        <w:shd w:val="clear" w:color="auto" w:fill="auto"/>
        <w:spacing w:line="360" w:lineRule="auto"/>
        <w:ind w:left="540"/>
        <w:contextualSpacing/>
        <w:rPr>
          <w:rFonts w:hint="eastAsia" w:asciiTheme="minorEastAsia" w:hAnsiTheme="minorEastAsia" w:eastAsiaTheme="minorEastAsia" w:cstheme="minorEastAsia"/>
          <w:color w:val="auto"/>
          <w:sz w:val="32"/>
          <w:szCs w:val="32"/>
          <w:highlight w:val="none"/>
        </w:rPr>
      </w:pPr>
    </w:p>
    <w:p w14:paraId="10F0D684">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p>
    <w:p w14:paraId="311191B2">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p>
    <w:p w14:paraId="47CC2304">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    名：</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性     别：</w:t>
      </w:r>
    </w:p>
    <w:p w14:paraId="49382F3B">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年    龄：</w:t>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职     务：</w:t>
      </w:r>
    </w:p>
    <w:p w14:paraId="3131AFDF">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身份证号码：</w:t>
      </w:r>
    </w:p>
    <w:p w14:paraId="351D1B56">
      <w:pPr>
        <w:shd w:val="clear" w:color="auto" w:fill="auto"/>
        <w:spacing w:line="36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（供应商名称）</w:t>
      </w:r>
      <w:r>
        <w:rPr>
          <w:rFonts w:hint="eastAsia" w:asciiTheme="minorEastAsia" w:hAnsiTheme="minorEastAsia" w:eastAsiaTheme="minorEastAsia" w:cstheme="minorEastAsia"/>
          <w:color w:val="auto"/>
          <w:sz w:val="24"/>
          <w:highlight w:val="none"/>
        </w:rPr>
        <w:t>的法定代表人。</w:t>
      </w:r>
    </w:p>
    <w:p w14:paraId="73AC85E3">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14:paraId="1816F897">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rPr>
      </w:pPr>
    </w:p>
    <w:p w14:paraId="38609FF1">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rPr>
      </w:pPr>
    </w:p>
    <w:p w14:paraId="4B1A292E">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rPr>
      </w:pPr>
    </w:p>
    <w:p w14:paraId="51A4ED37">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附件：法定代表人有效身份证正反面复印件</w:t>
      </w:r>
    </w:p>
    <w:p w14:paraId="35FCB61B">
      <w:pPr>
        <w:shd w:val="clear" w:color="auto" w:fill="auto"/>
        <w:spacing w:line="360" w:lineRule="auto"/>
        <w:ind w:left="540"/>
        <w:contextualSpacing/>
        <w:rPr>
          <w:rFonts w:hint="eastAsia" w:asciiTheme="minorEastAsia" w:hAnsiTheme="minorEastAsia" w:eastAsiaTheme="minorEastAsia" w:cstheme="minorEastAsia"/>
          <w:color w:val="auto"/>
          <w:sz w:val="24"/>
          <w:highlight w:val="none"/>
        </w:rPr>
      </w:pPr>
    </w:p>
    <w:p w14:paraId="3B80300E">
      <w:pPr>
        <w:shd w:val="clear" w:color="auto" w:fill="auto"/>
        <w:spacing w:line="360" w:lineRule="auto"/>
        <w:ind w:left="540" w:firstLine="3000" w:firstLineChars="1250"/>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供应商（电子签章）：</w:t>
      </w:r>
    </w:p>
    <w:p w14:paraId="4FE995C9">
      <w:pPr>
        <w:shd w:val="clear" w:color="auto" w:fill="auto"/>
        <w:spacing w:line="360" w:lineRule="auto"/>
        <w:ind w:firstLine="4080" w:firstLineChars="17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年月日</w:t>
      </w:r>
    </w:p>
    <w:p w14:paraId="7AA83AD9">
      <w:pPr>
        <w:shd w:val="clear" w:color="auto" w:fill="auto"/>
        <w:spacing w:line="360" w:lineRule="auto"/>
        <w:contextualSpacing/>
        <w:jc w:val="center"/>
        <w:rPr>
          <w:rFonts w:hint="eastAsia" w:asciiTheme="minorEastAsia" w:hAnsiTheme="minorEastAsia" w:eastAsiaTheme="minorEastAsia" w:cstheme="minorEastAsia"/>
          <w:b/>
          <w:color w:val="auto"/>
          <w:sz w:val="24"/>
          <w:highlight w:val="none"/>
        </w:rPr>
      </w:pPr>
    </w:p>
    <w:p w14:paraId="4B83AF06">
      <w:pPr>
        <w:shd w:val="clear" w:color="auto" w:fill="auto"/>
        <w:spacing w:line="360" w:lineRule="auto"/>
        <w:contextualSpacing/>
        <w:jc w:val="left"/>
        <w:rPr>
          <w:rFonts w:hint="eastAsia" w:asciiTheme="minorEastAsia" w:hAnsiTheme="minorEastAsia" w:eastAsiaTheme="minorEastAsia" w:cstheme="minorEastAsia"/>
          <w:color w:val="auto"/>
          <w:sz w:val="24"/>
          <w:highlight w:val="none"/>
        </w:rPr>
      </w:pPr>
    </w:p>
    <w:p w14:paraId="5E71B132">
      <w:pPr>
        <w:shd w:val="clear" w:color="auto" w:fill="auto"/>
        <w:spacing w:line="36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注：联合体竞标的只需牵头人出具。</w:t>
      </w:r>
    </w:p>
    <w:p w14:paraId="319D2C39">
      <w:pPr>
        <w:shd w:val="clear" w:color="auto" w:fill="auto"/>
        <w:adjustRightInd w:val="0"/>
        <w:snapToGrid w:val="0"/>
        <w:spacing w:line="360" w:lineRule="auto"/>
        <w:jc w:val="left"/>
        <w:rPr>
          <w:rFonts w:hint="eastAsia" w:asciiTheme="minorEastAsia" w:hAnsiTheme="minorEastAsia" w:eastAsiaTheme="minorEastAsia" w:cstheme="minorEastAsia"/>
          <w:b/>
          <w:color w:val="auto"/>
          <w:szCs w:val="21"/>
          <w:highlight w:val="none"/>
        </w:rPr>
      </w:pPr>
    </w:p>
    <w:p w14:paraId="219879B9">
      <w:pPr>
        <w:shd w:val="clear" w:color="auto" w:fill="auto"/>
        <w:spacing w:line="360" w:lineRule="auto"/>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br w:type="page"/>
      </w:r>
    </w:p>
    <w:p w14:paraId="7C77B041">
      <w:pPr>
        <w:shd w:val="clear" w:color="auto" w:fill="auto"/>
        <w:spacing w:line="360" w:lineRule="auto"/>
        <w:jc w:val="center"/>
        <w:rPr>
          <w:rFonts w:hint="eastAsia" w:asciiTheme="minorEastAsia" w:hAnsiTheme="minorEastAsia" w:eastAsiaTheme="minorEastAsia" w:cstheme="minorEastAsia"/>
          <w:b/>
          <w:bCs/>
          <w:color w:val="auto"/>
          <w:sz w:val="44"/>
          <w:szCs w:val="44"/>
          <w:highlight w:val="none"/>
        </w:rPr>
      </w:pPr>
      <w:bookmarkStart w:id="198" w:name="_Hlk65853643"/>
      <w:r>
        <w:rPr>
          <w:rFonts w:hint="eastAsia" w:asciiTheme="minorEastAsia" w:hAnsiTheme="minorEastAsia" w:eastAsiaTheme="minorEastAsia" w:cstheme="minorEastAsia"/>
          <w:b/>
          <w:bCs/>
          <w:color w:val="auto"/>
          <w:sz w:val="44"/>
          <w:szCs w:val="44"/>
          <w:highlight w:val="none"/>
        </w:rPr>
        <w:t>授权委托书</w:t>
      </w:r>
    </w:p>
    <w:p w14:paraId="1C89BD5A">
      <w:pPr>
        <w:shd w:val="clear" w:color="auto" w:fill="auto"/>
        <w:spacing w:line="360" w:lineRule="auto"/>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32"/>
          <w:szCs w:val="32"/>
          <w:highlight w:val="none"/>
        </w:rPr>
        <w:t>（如有委托时）</w:t>
      </w:r>
    </w:p>
    <w:p w14:paraId="77F59046">
      <w:pPr>
        <w:shd w:val="clear" w:color="auto" w:fill="auto"/>
        <w:spacing w:line="360" w:lineRule="auto"/>
        <w:rPr>
          <w:rFonts w:hint="eastAsia" w:asciiTheme="minorEastAsia" w:hAnsiTheme="minorEastAsia" w:eastAsiaTheme="minorEastAsia" w:cstheme="minorEastAsia"/>
          <w:color w:val="auto"/>
          <w:sz w:val="32"/>
          <w:szCs w:val="32"/>
          <w:highlight w:val="none"/>
        </w:rPr>
      </w:pPr>
    </w:p>
    <w:p w14:paraId="2B3FB3FA">
      <w:pPr>
        <w:shd w:val="clear" w:color="auto" w:fill="auto"/>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（采购人名称）</w:t>
      </w:r>
      <w:r>
        <w:rPr>
          <w:rFonts w:hint="eastAsia" w:asciiTheme="minorEastAsia" w:hAnsiTheme="minorEastAsia" w:eastAsiaTheme="minorEastAsia" w:cstheme="minorEastAsia"/>
          <w:color w:val="auto"/>
          <w:sz w:val="24"/>
          <w:highlight w:val="none"/>
        </w:rPr>
        <w:t>：</w:t>
      </w:r>
    </w:p>
    <w:p w14:paraId="5570935F">
      <w:pPr>
        <w:shd w:val="clear" w:color="auto" w:fill="auto"/>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w:t>
      </w:r>
      <w:r>
        <w:rPr>
          <w:rFonts w:hint="eastAsia" w:asciiTheme="minorEastAsia" w:hAnsiTheme="minorEastAsia" w:eastAsiaTheme="minorEastAsia" w:cstheme="minorEastAsia"/>
          <w:color w:val="auto"/>
          <w:sz w:val="24"/>
          <w:highlight w:val="none"/>
          <w:u w:val="single"/>
        </w:rPr>
        <w:t xml:space="preserve">  （姓名）  </w:t>
      </w: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 xml:space="preserve">  （供应商名称）  </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u w:val="single"/>
        </w:rPr>
        <w:t>□法定代表人/□负责人</w:t>
      </w:r>
      <w:r>
        <w:rPr>
          <w:rFonts w:hint="eastAsia" w:asciiTheme="minorEastAsia" w:hAnsiTheme="minorEastAsia" w:eastAsiaTheme="minorEastAsia" w:cstheme="minorEastAsia"/>
          <w:color w:val="auto"/>
          <w:sz w:val="24"/>
          <w:highlight w:val="none"/>
        </w:rPr>
        <w:t>），现授权</w:t>
      </w:r>
      <w:r>
        <w:rPr>
          <w:rFonts w:hint="eastAsia" w:asciiTheme="minorEastAsia" w:hAnsiTheme="minorEastAsia" w:eastAsiaTheme="minorEastAsia" w:cstheme="minorEastAsia"/>
          <w:color w:val="auto"/>
          <w:sz w:val="24"/>
          <w:highlight w:val="none"/>
          <w:u w:val="single"/>
        </w:rPr>
        <w:t xml:space="preserve"> （姓名） </w:t>
      </w:r>
      <w:r>
        <w:rPr>
          <w:rFonts w:hint="eastAsia" w:asciiTheme="minorEastAsia" w:hAnsiTheme="minorEastAsia" w:eastAsiaTheme="minorEastAsia" w:cstheme="minorEastAsia"/>
          <w:color w:val="auto"/>
          <w:sz w:val="24"/>
          <w:highlight w:val="none"/>
        </w:rPr>
        <w:t>以我方的名义参加项目的竞标活动，并代表我方全权办理针对上述项目的所有采购程序和环节的具体事务和签署相关文件。</w:t>
      </w:r>
    </w:p>
    <w:p w14:paraId="5E51DB76">
      <w:pPr>
        <w:shd w:val="clear" w:color="auto" w:fill="auto"/>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我方对委托代理人的签字或者电子签名事项负全部责任。</w:t>
      </w:r>
    </w:p>
    <w:p w14:paraId="014E8DBA">
      <w:pPr>
        <w:shd w:val="clear" w:color="auto" w:fill="auto"/>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本授权书自签署之日起生效，在撤销授权的书面通知以前，本授权书一直有效。委托代理人在授权书有效期内签署的所有文件不因授权的撤销而失效。</w:t>
      </w:r>
    </w:p>
    <w:p w14:paraId="503A7979">
      <w:pPr>
        <w:shd w:val="clear" w:color="auto" w:fill="auto"/>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委托代理人无转委托权，特此委托。</w:t>
      </w:r>
    </w:p>
    <w:p w14:paraId="66CD132C">
      <w:pPr>
        <w:shd w:val="clear" w:color="auto" w:fill="auto"/>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附：法定代表人身份证明书及委托代理人有效身份证正反面复印件</w:t>
      </w:r>
    </w:p>
    <w:p w14:paraId="0D04540B">
      <w:pPr>
        <w:shd w:val="clear" w:color="auto" w:fill="auto"/>
        <w:spacing w:line="360" w:lineRule="auto"/>
        <w:rPr>
          <w:rFonts w:hint="eastAsia" w:asciiTheme="minorEastAsia" w:hAnsiTheme="minorEastAsia" w:eastAsiaTheme="minorEastAsia" w:cstheme="minorEastAsia"/>
          <w:color w:val="auto"/>
          <w:sz w:val="24"/>
          <w:highlight w:val="none"/>
        </w:rPr>
      </w:pPr>
    </w:p>
    <w:p w14:paraId="2BE2E2E6">
      <w:pPr>
        <w:shd w:val="clear" w:color="auto" w:fill="auto"/>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委托代理人（签字或者电子签名）：     法定代表人（签字或者盖章或者电子签名）：                    </w:t>
      </w:r>
    </w:p>
    <w:p w14:paraId="7C7A14FA">
      <w:pPr>
        <w:shd w:val="clear" w:color="auto" w:fill="auto"/>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委托代理人身份证号码：                              </w:t>
      </w:r>
    </w:p>
    <w:p w14:paraId="1B872CF7">
      <w:pPr>
        <w:shd w:val="clear" w:color="auto" w:fill="auto"/>
        <w:spacing w:line="360" w:lineRule="auto"/>
        <w:contextualSpacing/>
        <w:rPr>
          <w:rFonts w:hint="eastAsia" w:asciiTheme="minorEastAsia" w:hAnsiTheme="minorEastAsia" w:eastAsiaTheme="minorEastAsia" w:cstheme="minorEastAsia"/>
          <w:color w:val="auto"/>
          <w:sz w:val="24"/>
          <w:highlight w:val="none"/>
        </w:rPr>
      </w:pPr>
    </w:p>
    <w:p w14:paraId="5E097BBA">
      <w:pPr>
        <w:shd w:val="clear" w:color="auto" w:fill="auto"/>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供应商（电子签章）：                      </w:t>
      </w:r>
    </w:p>
    <w:p w14:paraId="1EAEFA04">
      <w:pPr>
        <w:shd w:val="clear" w:color="auto" w:fill="auto"/>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p w14:paraId="5C85303A">
      <w:pPr>
        <w:shd w:val="clear" w:color="auto" w:fill="auto"/>
        <w:spacing w:line="360" w:lineRule="auto"/>
        <w:rPr>
          <w:rFonts w:hint="eastAsia" w:asciiTheme="minorEastAsia" w:hAnsiTheme="minorEastAsia" w:eastAsiaTheme="minorEastAsia" w:cstheme="minorEastAsia"/>
          <w:color w:val="auto"/>
          <w:sz w:val="24"/>
          <w:highlight w:val="none"/>
        </w:rPr>
      </w:pPr>
    </w:p>
    <w:p w14:paraId="41B1D7C1">
      <w:pPr>
        <w:shd w:val="clear" w:color="auto" w:fill="auto"/>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注：法定代表人必须在授权委托书上签字或者盖章或者电子签名，委托代理人必须在授权委托书上签字或者电子签名，</w:t>
      </w:r>
      <w:r>
        <w:rPr>
          <w:rFonts w:hint="eastAsia" w:asciiTheme="minorEastAsia" w:hAnsiTheme="minorEastAsia" w:eastAsiaTheme="minorEastAsia" w:cstheme="minorEastAsia"/>
          <w:b/>
          <w:color w:val="auto"/>
          <w:sz w:val="24"/>
          <w:highlight w:val="none"/>
        </w:rPr>
        <w:t>否则其响应文件按无效处理。</w:t>
      </w:r>
    </w:p>
    <w:p w14:paraId="658A8AE8">
      <w:pPr>
        <w:shd w:val="clear" w:color="auto" w:fill="auto"/>
        <w:spacing w:line="360" w:lineRule="auto"/>
        <w:ind w:firstLine="420" w:firstLineChars="200"/>
        <w:jc w:val="left"/>
        <w:rPr>
          <w:rFonts w:hint="eastAsia" w:asciiTheme="minorEastAsia" w:hAnsiTheme="minorEastAsia" w:eastAsiaTheme="minorEastAsia" w:cstheme="minorEastAsia"/>
          <w:color w:val="auto"/>
          <w:szCs w:val="21"/>
          <w:highlight w:val="none"/>
        </w:rPr>
      </w:pPr>
    </w:p>
    <w:p w14:paraId="74AB5DAE">
      <w:pPr>
        <w:keepNext w:val="0"/>
        <w:keepLines w:val="0"/>
        <w:widowControl/>
        <w:suppressLineNumbers w:val="0"/>
        <w:shd w:val="clear" w:color="auto" w:fill="auto"/>
        <w:spacing w:line="360" w:lineRule="auto"/>
        <w:jc w:val="center"/>
        <w:rPr>
          <w:rFonts w:hint="eastAsia" w:asciiTheme="minorEastAsia" w:hAnsiTheme="minorEastAsia" w:eastAsiaTheme="minorEastAsia" w:cstheme="minorEastAsia"/>
          <w:color w:val="auto"/>
          <w:szCs w:val="21"/>
          <w:highlight w:val="none"/>
        </w:rPr>
      </w:pPr>
    </w:p>
    <w:p w14:paraId="71B50DD8">
      <w:pPr>
        <w:keepNext w:val="0"/>
        <w:keepLines w:val="0"/>
        <w:widowControl/>
        <w:suppressLineNumbers w:val="0"/>
        <w:shd w:val="clear" w:color="auto" w:fill="auto"/>
        <w:spacing w:line="360" w:lineRule="auto"/>
        <w:jc w:val="center"/>
        <w:rPr>
          <w:rFonts w:hint="eastAsia" w:asciiTheme="minorEastAsia" w:hAnsiTheme="minorEastAsia" w:eastAsiaTheme="minorEastAsia" w:cstheme="minorEastAsia"/>
          <w:color w:val="auto"/>
          <w:szCs w:val="21"/>
          <w:highlight w:val="none"/>
        </w:rPr>
      </w:pPr>
    </w:p>
    <w:p w14:paraId="1674AB92">
      <w:pPr>
        <w:keepNext w:val="0"/>
        <w:keepLines w:val="0"/>
        <w:widowControl/>
        <w:suppressLineNumbers w:val="0"/>
        <w:shd w:val="clear" w:color="auto" w:fill="auto"/>
        <w:spacing w:line="360" w:lineRule="auto"/>
        <w:jc w:val="center"/>
        <w:rPr>
          <w:rFonts w:hint="eastAsia" w:asciiTheme="minorEastAsia" w:hAnsiTheme="minorEastAsia" w:eastAsiaTheme="minorEastAsia" w:cstheme="minorEastAsia"/>
          <w:color w:val="auto"/>
          <w:szCs w:val="21"/>
          <w:highlight w:val="none"/>
        </w:rPr>
      </w:pPr>
    </w:p>
    <w:p w14:paraId="661AE7B5">
      <w:pPr>
        <w:keepNext w:val="0"/>
        <w:keepLines w:val="0"/>
        <w:widowControl/>
        <w:suppressLineNumbers w:val="0"/>
        <w:shd w:val="clear" w:color="auto" w:fill="auto"/>
        <w:spacing w:line="360" w:lineRule="auto"/>
        <w:jc w:val="center"/>
        <w:rPr>
          <w:rFonts w:hint="eastAsia" w:asciiTheme="minorEastAsia" w:hAnsiTheme="minorEastAsia" w:eastAsiaTheme="minorEastAsia" w:cstheme="minorEastAsia"/>
          <w:color w:val="auto"/>
          <w:szCs w:val="21"/>
          <w:highlight w:val="none"/>
        </w:rPr>
      </w:pPr>
    </w:p>
    <w:p w14:paraId="4ABDB13A">
      <w:pPr>
        <w:pStyle w:val="9"/>
        <w:rPr>
          <w:rFonts w:hint="eastAsia"/>
          <w:highlight w:val="none"/>
        </w:rPr>
      </w:pPr>
    </w:p>
    <w:p w14:paraId="0323C6A5">
      <w:pPr>
        <w:keepNext w:val="0"/>
        <w:keepLines w:val="0"/>
        <w:widowControl/>
        <w:suppressLineNumbers w:val="0"/>
        <w:shd w:val="clear" w:color="auto" w:fill="auto"/>
        <w:spacing w:line="360" w:lineRule="auto"/>
        <w:jc w:val="center"/>
        <w:rPr>
          <w:rFonts w:hint="eastAsia" w:asciiTheme="minorEastAsia" w:hAnsiTheme="minorEastAsia" w:eastAsiaTheme="minorEastAsia" w:cstheme="minorEastAsia"/>
          <w:color w:val="auto"/>
          <w:szCs w:val="21"/>
          <w:highlight w:val="none"/>
        </w:rPr>
      </w:pPr>
    </w:p>
    <w:p w14:paraId="3E05C982">
      <w:pPr>
        <w:keepNext w:val="0"/>
        <w:keepLines w:val="0"/>
        <w:widowControl/>
        <w:suppressLineNumbers w:val="0"/>
        <w:shd w:val="clear" w:color="auto" w:fill="auto"/>
        <w:spacing w:line="360" w:lineRule="auto"/>
        <w:jc w:val="center"/>
        <w:rPr>
          <w:rFonts w:hint="eastAsia" w:asciiTheme="minorEastAsia" w:hAnsiTheme="minorEastAsia" w:eastAsiaTheme="minorEastAsia" w:cstheme="minorEastAsia"/>
          <w:color w:val="auto"/>
          <w:szCs w:val="21"/>
          <w:highlight w:val="none"/>
        </w:rPr>
      </w:pPr>
    </w:p>
    <w:p w14:paraId="18C0DE54">
      <w:pPr>
        <w:shd w:val="clear" w:color="auto" w:fill="auto"/>
        <w:spacing w:line="360" w:lineRule="auto"/>
        <w:ind w:firstLine="643" w:firstLineChars="200"/>
        <w:jc w:val="center"/>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b/>
          <w:color w:val="auto"/>
          <w:sz w:val="32"/>
          <w:szCs w:val="32"/>
          <w:highlight w:val="none"/>
        </w:rPr>
        <w:t>拟投入的项目经理简历表</w:t>
      </w:r>
    </w:p>
    <w:tbl>
      <w:tblPr>
        <w:tblStyle w:val="18"/>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65F1342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03FFB1">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C81139">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F2E9CD">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E7A8A1">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20A49D">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DC7C53">
            <w:pPr>
              <w:pageBreakBefore w:val="0"/>
              <w:kinsoku/>
              <w:overflowPunct/>
              <w:topLinePunct w:val="0"/>
              <w:bidi w:val="0"/>
              <w:spacing w:line="360" w:lineRule="auto"/>
              <w:jc w:val="center"/>
              <w:rPr>
                <w:rFonts w:hint="eastAsia" w:ascii="宋体" w:hAnsi="宋体" w:eastAsia="宋体" w:cs="宋体"/>
                <w:color w:val="auto"/>
                <w:highlight w:val="none"/>
              </w:rPr>
            </w:pPr>
          </w:p>
        </w:tc>
      </w:tr>
      <w:tr w14:paraId="52FF217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58BF31">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B02856">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9D8591">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E12B9F">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666AC7">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013A68">
            <w:pPr>
              <w:pageBreakBefore w:val="0"/>
              <w:kinsoku/>
              <w:overflowPunct/>
              <w:topLinePunct w:val="0"/>
              <w:bidi w:val="0"/>
              <w:spacing w:line="360" w:lineRule="auto"/>
              <w:jc w:val="center"/>
              <w:rPr>
                <w:rFonts w:hint="eastAsia" w:ascii="宋体" w:hAnsi="宋体" w:eastAsia="宋体" w:cs="宋体"/>
                <w:color w:val="auto"/>
                <w:highlight w:val="none"/>
              </w:rPr>
            </w:pPr>
          </w:p>
        </w:tc>
      </w:tr>
      <w:tr w14:paraId="734064F4">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9055E1">
            <w:pPr>
              <w:pageBreakBefore w:val="0"/>
              <w:kinsoku/>
              <w:overflowPunct/>
              <w:topLinePunct w:val="0"/>
              <w:bidi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注册建造师专业</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8B0C454">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E087FC">
            <w:pPr>
              <w:pageBreakBefore w:val="0"/>
              <w:kinsoku/>
              <w:overflowPunct/>
              <w:topLinePunct w:val="0"/>
              <w:bidi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证书编号</w:t>
            </w:r>
          </w:p>
        </w:tc>
        <w:tc>
          <w:tcPr>
            <w:tcW w:w="15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4214FC">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FFA9BE">
            <w:pPr>
              <w:pageBreakBefore w:val="0"/>
              <w:kinsoku/>
              <w:overflowPunct/>
              <w:topLinePunct w:val="0"/>
              <w:bidi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安全生产考核合格证书</w:t>
            </w:r>
            <w:r>
              <w:rPr>
                <w:rFonts w:hint="eastAsia" w:ascii="宋体" w:hAnsi="宋体" w:eastAsia="宋体" w:cs="宋体"/>
                <w:color w:val="auto"/>
                <w:highlight w:val="none"/>
                <w:lang w:val="en-US" w:eastAsia="zh-CN"/>
              </w:rPr>
              <w:t>编号(B证)</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9649E6">
            <w:pPr>
              <w:pageBreakBefore w:val="0"/>
              <w:kinsoku/>
              <w:overflowPunct/>
              <w:topLinePunct w:val="0"/>
              <w:bidi w:val="0"/>
              <w:spacing w:line="360" w:lineRule="auto"/>
              <w:jc w:val="center"/>
              <w:rPr>
                <w:rFonts w:hint="eastAsia" w:ascii="宋体" w:hAnsi="宋体" w:eastAsia="宋体" w:cs="宋体"/>
                <w:color w:val="auto"/>
                <w:highlight w:val="none"/>
              </w:rPr>
            </w:pPr>
          </w:p>
        </w:tc>
      </w:tr>
      <w:tr w14:paraId="572614AB">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86039D">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1B37FB">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917F4D2">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AA941C">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553C30E">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身份证号码</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595D09">
            <w:pPr>
              <w:pageBreakBefore w:val="0"/>
              <w:kinsoku/>
              <w:overflowPunct/>
              <w:topLinePunct w:val="0"/>
              <w:bidi w:val="0"/>
              <w:spacing w:line="360" w:lineRule="auto"/>
              <w:jc w:val="center"/>
              <w:rPr>
                <w:rFonts w:hint="eastAsia" w:ascii="宋体" w:hAnsi="宋体" w:eastAsia="宋体" w:cs="宋体"/>
                <w:color w:val="auto"/>
                <w:highlight w:val="none"/>
              </w:rPr>
            </w:pPr>
          </w:p>
        </w:tc>
      </w:tr>
      <w:tr w14:paraId="3C679458">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5FD799">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18292B">
            <w:pPr>
              <w:pageBreakBefore w:val="0"/>
              <w:kinsoku/>
              <w:overflowPunct/>
              <w:topLinePunct w:val="0"/>
              <w:bidi w:val="0"/>
              <w:spacing w:line="360" w:lineRule="auto"/>
              <w:jc w:val="center"/>
              <w:rPr>
                <w:rFonts w:hint="eastAsia" w:ascii="宋体" w:hAnsi="宋体" w:eastAsia="宋体" w:cs="宋体"/>
                <w:color w:val="auto"/>
                <w:highlight w:val="none"/>
              </w:rPr>
            </w:pPr>
          </w:p>
        </w:tc>
      </w:tr>
      <w:tr w14:paraId="1F5A0A5E">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8064D0">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已 完 工 程 项 目 情 况</w:t>
            </w:r>
          </w:p>
        </w:tc>
      </w:tr>
      <w:tr w14:paraId="41844D6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F2E99A">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C8EC90">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09A3EC">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45261D">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E2D78B">
            <w:pPr>
              <w:pageBreakBefore w:val="0"/>
              <w:kinsoku/>
              <w:overflowPunct/>
              <w:topLinePunct w:val="0"/>
              <w:bidi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质量等级</w:t>
            </w:r>
          </w:p>
        </w:tc>
      </w:tr>
      <w:tr w14:paraId="0C6452F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4FA6B18">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C5721A">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BDDCA9">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95044B">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EA3B69">
            <w:pPr>
              <w:pageBreakBefore w:val="0"/>
              <w:kinsoku/>
              <w:overflowPunct/>
              <w:topLinePunct w:val="0"/>
              <w:bidi w:val="0"/>
              <w:spacing w:line="360" w:lineRule="auto"/>
              <w:jc w:val="center"/>
              <w:rPr>
                <w:rFonts w:hint="eastAsia" w:ascii="宋体" w:hAnsi="宋体" w:eastAsia="宋体" w:cs="宋体"/>
                <w:color w:val="auto"/>
                <w:highlight w:val="none"/>
              </w:rPr>
            </w:pPr>
          </w:p>
        </w:tc>
      </w:tr>
      <w:tr w14:paraId="6C18D35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B78AFD">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3AB9F8">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7E0E96">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A8B4FD">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5DF655A">
            <w:pPr>
              <w:pageBreakBefore w:val="0"/>
              <w:kinsoku/>
              <w:overflowPunct/>
              <w:topLinePunct w:val="0"/>
              <w:bidi w:val="0"/>
              <w:spacing w:line="360" w:lineRule="auto"/>
              <w:jc w:val="center"/>
              <w:rPr>
                <w:rFonts w:hint="eastAsia" w:ascii="宋体" w:hAnsi="宋体" w:eastAsia="宋体" w:cs="宋体"/>
                <w:color w:val="auto"/>
                <w:highlight w:val="none"/>
              </w:rPr>
            </w:pPr>
          </w:p>
        </w:tc>
      </w:tr>
      <w:tr w14:paraId="3432A8B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0EA5A6">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EC045B">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CE80B68">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A803FC">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C21D32B">
            <w:pPr>
              <w:pageBreakBefore w:val="0"/>
              <w:kinsoku/>
              <w:overflowPunct/>
              <w:topLinePunct w:val="0"/>
              <w:bidi w:val="0"/>
              <w:spacing w:line="360" w:lineRule="auto"/>
              <w:jc w:val="center"/>
              <w:rPr>
                <w:rFonts w:hint="eastAsia" w:ascii="宋体" w:hAnsi="宋体" w:eastAsia="宋体" w:cs="宋体"/>
                <w:color w:val="auto"/>
                <w:highlight w:val="none"/>
              </w:rPr>
            </w:pPr>
          </w:p>
        </w:tc>
      </w:tr>
      <w:tr w14:paraId="1983CD4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88C16B">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004B95">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019964">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873D8F">
            <w:pPr>
              <w:pageBreakBefore w:val="0"/>
              <w:kinsoku/>
              <w:overflowPunct/>
              <w:topLinePunct w:val="0"/>
              <w:bidi w:val="0"/>
              <w:spacing w:line="360" w:lineRule="auto"/>
              <w:jc w:val="center"/>
              <w:rPr>
                <w:rFonts w:hint="eastAsia" w:ascii="宋体" w:hAnsi="宋体" w:eastAsia="宋体" w:cs="宋体"/>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7082A1">
            <w:pPr>
              <w:pageBreakBefore w:val="0"/>
              <w:kinsoku/>
              <w:overflowPunct/>
              <w:topLinePunct w:val="0"/>
              <w:bidi w:val="0"/>
              <w:spacing w:line="360" w:lineRule="auto"/>
              <w:jc w:val="center"/>
              <w:rPr>
                <w:rFonts w:hint="eastAsia" w:ascii="宋体" w:hAnsi="宋体" w:eastAsia="宋体" w:cs="宋体"/>
                <w:color w:val="auto"/>
                <w:highlight w:val="none"/>
              </w:rPr>
            </w:pPr>
          </w:p>
        </w:tc>
      </w:tr>
    </w:tbl>
    <w:p w14:paraId="7BDD8E10">
      <w:pPr>
        <w:shd w:val="clear" w:color="auto" w:fill="auto"/>
        <w:spacing w:line="360" w:lineRule="auto"/>
        <w:ind w:left="735" w:hanging="735" w:hangingChars="350"/>
        <w:rPr>
          <w:rFonts w:hint="eastAsia" w:asciiTheme="minorEastAsia" w:hAnsiTheme="minorEastAsia" w:eastAsiaTheme="minorEastAsia" w:cstheme="minorEastAsia"/>
          <w:color w:val="auto"/>
          <w:szCs w:val="21"/>
          <w:highlight w:val="none"/>
        </w:rPr>
      </w:pPr>
    </w:p>
    <w:p w14:paraId="187C08DA">
      <w:pPr>
        <w:shd w:val="clear" w:color="auto" w:fill="auto"/>
        <w:spacing w:line="360" w:lineRule="auto"/>
        <w:ind w:left="735" w:hanging="735" w:hangingChars="3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注：1.本表后附项目经理的身份证及采购文件所要求的相关证书（如职称资格证书、建造师注册证书、安全生产考核合格证书等）的扫描件，并加盖供应商电子签章。</w:t>
      </w:r>
    </w:p>
    <w:p w14:paraId="59C01E23">
      <w:pPr>
        <w:shd w:val="clear" w:color="auto" w:fill="auto"/>
        <w:spacing w:line="360" w:lineRule="auto"/>
        <w:ind w:left="735" w:hanging="735" w:hangingChars="35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2.本表后应附供应商所属社保机构出具的拟委任的项目经理</w:t>
      </w:r>
      <w:r>
        <w:rPr>
          <w:rFonts w:hint="eastAsia" w:asciiTheme="minorEastAsia" w:hAnsiTheme="minorEastAsia" w:eastAsiaTheme="minorEastAsia" w:cstheme="minorEastAsia"/>
          <w:color w:val="auto"/>
          <w:highlight w:val="none"/>
          <w:lang w:eastAsia="zh-CN"/>
        </w:rPr>
        <w:t>202</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lang w:eastAsia="zh-CN"/>
        </w:rPr>
        <w:t>年</w:t>
      </w:r>
      <w:r>
        <w:rPr>
          <w:rFonts w:hint="eastAsia" w:asciiTheme="minorEastAsia" w:hAnsiTheme="minorEastAsia" w:eastAsiaTheme="minorEastAsia" w:cstheme="minorEastAsia"/>
          <w:color w:val="auto"/>
          <w:highlight w:val="none"/>
          <w:lang w:val="en-US" w:eastAsia="zh-CN"/>
        </w:rPr>
        <w:t>11</w:t>
      </w:r>
      <w:r>
        <w:rPr>
          <w:rFonts w:hint="eastAsia" w:asciiTheme="minorEastAsia" w:hAnsiTheme="minorEastAsia" w:eastAsiaTheme="minorEastAsia" w:cstheme="minorEastAsia"/>
          <w:color w:val="auto"/>
          <w:highlight w:val="none"/>
          <w:lang w:eastAsia="zh-CN"/>
        </w:rPr>
        <w:t>月</w:t>
      </w:r>
      <w:r>
        <w:rPr>
          <w:rFonts w:hint="eastAsia" w:asciiTheme="minorEastAsia" w:hAnsiTheme="minorEastAsia" w:eastAsiaTheme="minorEastAsia" w:cstheme="minorEastAsia"/>
          <w:color w:val="auto"/>
          <w:highlight w:val="none"/>
          <w:lang w:val="en-US" w:eastAsia="zh-CN"/>
        </w:rPr>
        <w:t>以来</w:t>
      </w:r>
      <w:r>
        <w:rPr>
          <w:rFonts w:hint="eastAsia" w:asciiTheme="minorEastAsia" w:hAnsiTheme="minorEastAsia" w:eastAsiaTheme="minorEastAsia" w:cstheme="minorEastAsia"/>
          <w:color w:val="auto"/>
          <w:highlight w:val="none"/>
          <w:lang w:eastAsia="zh-CN"/>
        </w:rPr>
        <w:t>连续</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个月</w:t>
      </w:r>
      <w:r>
        <w:rPr>
          <w:rFonts w:hint="eastAsia" w:asciiTheme="minorEastAsia" w:hAnsiTheme="minorEastAsia" w:eastAsiaTheme="minorEastAsia" w:cstheme="minorEastAsia"/>
          <w:color w:val="auto"/>
          <w:szCs w:val="21"/>
          <w:highlight w:val="none"/>
        </w:rPr>
        <w:t>的社保缴费证明或其他能够证明拟委任的项目经理参加社保的有效证明材料，并加盖供应商电子签章。</w:t>
      </w:r>
    </w:p>
    <w:p w14:paraId="2933ADA0">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p>
    <w:p w14:paraId="394751AE">
      <w:pPr>
        <w:pageBreakBefore w:val="0"/>
        <w:kinsoku/>
        <w:overflowPunct/>
        <w:topLinePunct w:val="0"/>
        <w:autoSpaceDE w:val="0"/>
        <w:autoSpaceDN w:val="0"/>
        <w:bidi w:val="0"/>
        <w:spacing w:line="360" w:lineRule="auto"/>
        <w:ind w:left="4335" w:leftChars="1950" w:hanging="240" w:hangingChars="100"/>
        <w:jc w:val="center"/>
        <w:rPr>
          <w:rFonts w:hint="default" w:ascii="宋体" w:hAnsi="宋体" w:eastAsia="宋体" w:cs="宋体"/>
          <w:color w:val="auto"/>
          <w:kern w:val="0"/>
          <w:sz w:val="24"/>
          <w:highlight w:val="none"/>
          <w:u w:val="single"/>
          <w:lang w:val="en-US" w:eastAsia="zh-CN"/>
        </w:rPr>
      </w:pPr>
      <w:r>
        <w:rPr>
          <w:rFonts w:hint="eastAsia" w:ascii="宋体" w:hAnsi="宋体" w:eastAsia="宋体" w:cs="宋体"/>
          <w:color w:val="auto"/>
          <w:kern w:val="0"/>
          <w:sz w:val="24"/>
          <w:highlight w:val="none"/>
        </w:rPr>
        <w:t>供应商名称（电子签章）：</w:t>
      </w:r>
      <w:r>
        <w:rPr>
          <w:rFonts w:hint="eastAsia" w:ascii="宋体" w:hAnsi="宋体" w:eastAsia="宋体" w:cs="宋体"/>
          <w:color w:val="auto"/>
          <w:kern w:val="0"/>
          <w:sz w:val="24"/>
          <w:highlight w:val="none"/>
          <w:u w:val="single"/>
          <w:lang w:val="en-US" w:eastAsia="zh-CN"/>
        </w:rPr>
        <w:t xml:space="preserve">         </w:t>
      </w:r>
    </w:p>
    <w:p w14:paraId="31DB230E">
      <w:pPr>
        <w:keepNext w:val="0"/>
        <w:keepLines w:val="0"/>
        <w:widowControl/>
        <w:suppressLineNumbers w:val="0"/>
        <w:shd w:val="clear" w:color="auto" w:fill="auto"/>
        <w:spacing w:line="360" w:lineRule="auto"/>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18BA6244">
      <w:pPr>
        <w:keepNext w:val="0"/>
        <w:keepLines w:val="0"/>
        <w:widowControl/>
        <w:suppressLineNumbers w:val="0"/>
        <w:shd w:val="clear" w:color="auto" w:fill="auto"/>
        <w:spacing w:line="360" w:lineRule="auto"/>
        <w:jc w:val="center"/>
        <w:rPr>
          <w:rFonts w:hint="eastAsia" w:ascii="宋体" w:hAnsi="宋体" w:eastAsia="宋体" w:cs="宋体"/>
          <w:color w:val="auto"/>
          <w:kern w:val="0"/>
          <w:sz w:val="24"/>
          <w:highlight w:val="none"/>
          <w:lang w:val="zh-CN"/>
        </w:rPr>
      </w:pPr>
    </w:p>
    <w:p w14:paraId="161225C5">
      <w:pPr>
        <w:keepNext w:val="0"/>
        <w:keepLines w:val="0"/>
        <w:widowControl/>
        <w:suppressLineNumbers w:val="0"/>
        <w:shd w:val="clear" w:color="auto" w:fill="auto"/>
        <w:spacing w:line="360" w:lineRule="auto"/>
        <w:jc w:val="center"/>
        <w:rPr>
          <w:rFonts w:hint="eastAsia" w:ascii="宋体" w:hAnsi="宋体" w:eastAsia="宋体" w:cs="宋体"/>
          <w:color w:val="auto"/>
          <w:kern w:val="0"/>
          <w:sz w:val="24"/>
          <w:highlight w:val="none"/>
          <w:lang w:val="zh-CN"/>
        </w:rPr>
      </w:pPr>
    </w:p>
    <w:p w14:paraId="72A5BD0F">
      <w:pPr>
        <w:keepNext w:val="0"/>
        <w:keepLines w:val="0"/>
        <w:widowControl/>
        <w:suppressLineNumbers w:val="0"/>
        <w:shd w:val="clear" w:color="auto" w:fill="auto"/>
        <w:spacing w:line="360" w:lineRule="auto"/>
        <w:jc w:val="center"/>
        <w:rPr>
          <w:rFonts w:hint="eastAsia" w:ascii="宋体" w:hAnsi="宋体" w:eastAsia="宋体" w:cs="宋体"/>
          <w:color w:val="auto"/>
          <w:kern w:val="0"/>
          <w:sz w:val="24"/>
          <w:highlight w:val="none"/>
          <w:lang w:val="zh-CN"/>
        </w:rPr>
      </w:pPr>
    </w:p>
    <w:p w14:paraId="1C03D098">
      <w:pPr>
        <w:pStyle w:val="9"/>
        <w:spacing w:before="83" w:line="219" w:lineRule="auto"/>
        <w:jc w:val="both"/>
        <w:rPr>
          <w:rFonts w:hint="eastAsia" w:asciiTheme="minorEastAsia" w:hAnsiTheme="minorEastAsia" w:eastAsiaTheme="minorEastAsia" w:cstheme="minorEastAsia"/>
          <w:b/>
          <w:color w:val="auto"/>
          <w:kern w:val="2"/>
          <w:sz w:val="32"/>
          <w:szCs w:val="32"/>
          <w:highlight w:val="none"/>
          <w:lang w:val="en-US" w:eastAsia="zh-CN" w:bidi="ar-SA"/>
        </w:rPr>
      </w:pPr>
    </w:p>
    <w:p w14:paraId="2B15E958">
      <w:pPr>
        <w:pStyle w:val="9"/>
        <w:spacing w:before="83" w:line="219" w:lineRule="auto"/>
        <w:jc w:val="center"/>
        <w:rPr>
          <w:rFonts w:hint="eastAsia" w:asciiTheme="minorEastAsia" w:hAnsiTheme="minorEastAsia" w:eastAsiaTheme="minorEastAsia" w:cstheme="minorEastAsia"/>
          <w:b/>
          <w:color w:val="auto"/>
          <w:kern w:val="2"/>
          <w:sz w:val="32"/>
          <w:szCs w:val="32"/>
          <w:highlight w:val="none"/>
          <w:lang w:val="en-US" w:eastAsia="zh-CN" w:bidi="ar-SA"/>
        </w:rPr>
      </w:pPr>
      <w:r>
        <w:rPr>
          <w:rFonts w:hint="eastAsia" w:asciiTheme="minorEastAsia" w:hAnsiTheme="minorEastAsia" w:eastAsiaTheme="minorEastAsia" w:cstheme="minorEastAsia"/>
          <w:b/>
          <w:color w:val="auto"/>
          <w:kern w:val="2"/>
          <w:sz w:val="32"/>
          <w:szCs w:val="32"/>
          <w:highlight w:val="none"/>
          <w:lang w:val="en-US" w:eastAsia="zh-CN" w:bidi="ar-SA"/>
        </w:rPr>
        <w:t>拟投入的主要管理人员和技术人员资历表</w:t>
      </w:r>
    </w:p>
    <w:p w14:paraId="3F6CAE8E">
      <w:pPr>
        <w:spacing w:line="30" w:lineRule="exact"/>
        <w:rPr>
          <w:rFonts w:hint="eastAsia" w:asciiTheme="minorEastAsia" w:hAnsiTheme="minorEastAsia" w:eastAsiaTheme="minorEastAsia" w:cstheme="minorEastAsia"/>
          <w:sz w:val="21"/>
          <w:szCs w:val="21"/>
          <w:highlight w:val="none"/>
        </w:rPr>
      </w:pPr>
    </w:p>
    <w:tbl>
      <w:tblPr>
        <w:tblStyle w:val="34"/>
        <w:tblW w:w="9667" w:type="dxa"/>
        <w:tblInd w:w="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9"/>
        <w:gridCol w:w="1154"/>
        <w:gridCol w:w="1154"/>
        <w:gridCol w:w="1154"/>
        <w:gridCol w:w="4456"/>
      </w:tblGrid>
      <w:tr w14:paraId="56C2D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749" w:type="dxa"/>
            <w:vAlign w:val="top"/>
          </w:tcPr>
          <w:p w14:paraId="1EEE4E44">
            <w:pPr>
              <w:pStyle w:val="33"/>
              <w:spacing w:before="132" w:line="219" w:lineRule="auto"/>
              <w:ind w:left="64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6"/>
                <w:sz w:val="21"/>
                <w:szCs w:val="21"/>
                <w:highlight w:val="none"/>
              </w:rPr>
              <w:t>职务</w:t>
            </w:r>
          </w:p>
        </w:tc>
        <w:tc>
          <w:tcPr>
            <w:tcW w:w="1154" w:type="dxa"/>
            <w:vAlign w:val="top"/>
          </w:tcPr>
          <w:p w14:paraId="5DE0ED1D">
            <w:pPr>
              <w:pStyle w:val="33"/>
              <w:spacing w:before="132" w:line="219" w:lineRule="auto"/>
              <w:ind w:left="343"/>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5"/>
                <w:sz w:val="21"/>
                <w:szCs w:val="21"/>
                <w:highlight w:val="none"/>
              </w:rPr>
              <w:t>姓名</w:t>
            </w:r>
          </w:p>
        </w:tc>
        <w:tc>
          <w:tcPr>
            <w:tcW w:w="1154" w:type="dxa"/>
            <w:vAlign w:val="top"/>
          </w:tcPr>
          <w:p w14:paraId="09571B45">
            <w:pPr>
              <w:pStyle w:val="33"/>
              <w:spacing w:before="132" w:line="219" w:lineRule="auto"/>
              <w:ind w:left="344"/>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6"/>
                <w:sz w:val="21"/>
                <w:szCs w:val="21"/>
                <w:highlight w:val="none"/>
              </w:rPr>
              <w:t>职务</w:t>
            </w:r>
          </w:p>
        </w:tc>
        <w:tc>
          <w:tcPr>
            <w:tcW w:w="1154" w:type="dxa"/>
            <w:vAlign w:val="top"/>
          </w:tcPr>
          <w:p w14:paraId="75411F84">
            <w:pPr>
              <w:pStyle w:val="33"/>
              <w:spacing w:before="132" w:line="221" w:lineRule="auto"/>
              <w:ind w:left="344"/>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6"/>
                <w:sz w:val="21"/>
                <w:szCs w:val="21"/>
                <w:highlight w:val="none"/>
              </w:rPr>
              <w:t>职称</w:t>
            </w:r>
          </w:p>
        </w:tc>
        <w:tc>
          <w:tcPr>
            <w:tcW w:w="4456" w:type="dxa"/>
            <w:vAlign w:val="top"/>
          </w:tcPr>
          <w:p w14:paraId="0976CDA2">
            <w:pPr>
              <w:pStyle w:val="33"/>
              <w:spacing w:before="132" w:line="219" w:lineRule="auto"/>
              <w:ind w:left="1155"/>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2"/>
                <w:sz w:val="21"/>
                <w:szCs w:val="21"/>
                <w:highlight w:val="none"/>
              </w:rPr>
              <w:t>现任职务及资格经历</w:t>
            </w:r>
          </w:p>
        </w:tc>
      </w:tr>
      <w:tr w14:paraId="0D089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176E762A">
            <w:pPr>
              <w:pStyle w:val="33"/>
              <w:spacing w:before="127" w:line="219" w:lineRule="auto"/>
              <w:ind w:left="1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0"/>
                <w:sz w:val="21"/>
                <w:szCs w:val="21"/>
                <w:highlight w:val="none"/>
              </w:rPr>
              <w:t>一</w:t>
            </w:r>
            <w:r>
              <w:rPr>
                <w:rFonts w:hint="eastAsia" w:asciiTheme="minorEastAsia" w:hAnsiTheme="minorEastAsia" w:eastAsiaTheme="minorEastAsia" w:cstheme="minorEastAsia"/>
                <w:spacing w:val="-94"/>
                <w:sz w:val="21"/>
                <w:szCs w:val="21"/>
                <w:highlight w:val="none"/>
              </w:rPr>
              <w:t xml:space="preserve"> </w:t>
            </w:r>
            <w:r>
              <w:rPr>
                <w:rFonts w:hint="eastAsia" w:asciiTheme="minorEastAsia" w:hAnsiTheme="minorEastAsia" w:eastAsiaTheme="minorEastAsia" w:cstheme="minorEastAsia"/>
                <w:spacing w:val="-10"/>
                <w:sz w:val="21"/>
                <w:szCs w:val="21"/>
                <w:highlight w:val="none"/>
              </w:rPr>
              <w:t>、总</w:t>
            </w:r>
            <w:r>
              <w:rPr>
                <w:rFonts w:hint="eastAsia" w:asciiTheme="minorEastAsia" w:hAnsiTheme="minorEastAsia" w:eastAsiaTheme="minorEastAsia" w:cstheme="minorEastAsia"/>
                <w:spacing w:val="4"/>
                <w:sz w:val="21"/>
                <w:szCs w:val="21"/>
                <w:highlight w:val="none"/>
              </w:rPr>
              <w:t xml:space="preserve">   </w:t>
            </w:r>
            <w:r>
              <w:rPr>
                <w:rFonts w:hint="eastAsia" w:asciiTheme="minorEastAsia" w:hAnsiTheme="minorEastAsia" w:eastAsiaTheme="minorEastAsia" w:cstheme="minorEastAsia"/>
                <w:spacing w:val="-10"/>
                <w:sz w:val="21"/>
                <w:szCs w:val="21"/>
                <w:highlight w:val="none"/>
              </w:rPr>
              <w:t>部</w:t>
            </w:r>
          </w:p>
        </w:tc>
        <w:tc>
          <w:tcPr>
            <w:tcW w:w="1154" w:type="dxa"/>
            <w:vAlign w:val="top"/>
          </w:tcPr>
          <w:p w14:paraId="49B62C49">
            <w:pPr>
              <w:rPr>
                <w:rFonts w:hint="eastAsia" w:asciiTheme="minorEastAsia" w:hAnsiTheme="minorEastAsia" w:eastAsiaTheme="minorEastAsia" w:cstheme="minorEastAsia"/>
                <w:sz w:val="21"/>
                <w:szCs w:val="21"/>
                <w:highlight w:val="none"/>
              </w:rPr>
            </w:pPr>
          </w:p>
        </w:tc>
        <w:tc>
          <w:tcPr>
            <w:tcW w:w="1154" w:type="dxa"/>
            <w:vAlign w:val="top"/>
          </w:tcPr>
          <w:p w14:paraId="7519EFD9">
            <w:pPr>
              <w:rPr>
                <w:rFonts w:hint="eastAsia" w:asciiTheme="minorEastAsia" w:hAnsiTheme="minorEastAsia" w:eastAsiaTheme="minorEastAsia" w:cstheme="minorEastAsia"/>
                <w:sz w:val="21"/>
                <w:szCs w:val="21"/>
                <w:highlight w:val="none"/>
              </w:rPr>
            </w:pPr>
          </w:p>
        </w:tc>
        <w:tc>
          <w:tcPr>
            <w:tcW w:w="1154" w:type="dxa"/>
            <w:vAlign w:val="top"/>
          </w:tcPr>
          <w:p w14:paraId="562B1A2B">
            <w:pPr>
              <w:rPr>
                <w:rFonts w:hint="eastAsia" w:asciiTheme="minorEastAsia" w:hAnsiTheme="minorEastAsia" w:eastAsiaTheme="minorEastAsia" w:cstheme="minorEastAsia"/>
                <w:sz w:val="21"/>
                <w:szCs w:val="21"/>
                <w:highlight w:val="none"/>
              </w:rPr>
            </w:pPr>
          </w:p>
        </w:tc>
        <w:tc>
          <w:tcPr>
            <w:tcW w:w="4456" w:type="dxa"/>
            <w:vAlign w:val="top"/>
          </w:tcPr>
          <w:p w14:paraId="365F0FF6">
            <w:pPr>
              <w:rPr>
                <w:rFonts w:hint="eastAsia" w:asciiTheme="minorEastAsia" w:hAnsiTheme="minorEastAsia" w:eastAsiaTheme="minorEastAsia" w:cstheme="minorEastAsia"/>
                <w:sz w:val="21"/>
                <w:szCs w:val="21"/>
                <w:highlight w:val="none"/>
              </w:rPr>
            </w:pPr>
          </w:p>
        </w:tc>
      </w:tr>
      <w:tr w14:paraId="5108C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0FCD8A52">
            <w:pPr>
              <w:pStyle w:val="33"/>
              <w:spacing w:before="127" w:line="219" w:lineRule="auto"/>
              <w:ind w:left="134"/>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5"/>
                <w:sz w:val="21"/>
                <w:szCs w:val="21"/>
                <w:highlight w:val="none"/>
              </w:rPr>
              <w:t>1、项目主管</w:t>
            </w:r>
          </w:p>
        </w:tc>
        <w:tc>
          <w:tcPr>
            <w:tcW w:w="1154" w:type="dxa"/>
            <w:vAlign w:val="top"/>
          </w:tcPr>
          <w:p w14:paraId="2F248E92">
            <w:pPr>
              <w:rPr>
                <w:rFonts w:hint="eastAsia" w:asciiTheme="minorEastAsia" w:hAnsiTheme="minorEastAsia" w:eastAsiaTheme="minorEastAsia" w:cstheme="minorEastAsia"/>
                <w:sz w:val="21"/>
                <w:szCs w:val="21"/>
                <w:highlight w:val="none"/>
              </w:rPr>
            </w:pPr>
          </w:p>
        </w:tc>
        <w:tc>
          <w:tcPr>
            <w:tcW w:w="1154" w:type="dxa"/>
            <w:vAlign w:val="top"/>
          </w:tcPr>
          <w:p w14:paraId="27C37B8A">
            <w:pPr>
              <w:rPr>
                <w:rFonts w:hint="eastAsia" w:asciiTheme="minorEastAsia" w:hAnsiTheme="minorEastAsia" w:eastAsiaTheme="minorEastAsia" w:cstheme="minorEastAsia"/>
                <w:sz w:val="21"/>
                <w:szCs w:val="21"/>
                <w:highlight w:val="none"/>
              </w:rPr>
            </w:pPr>
          </w:p>
        </w:tc>
        <w:tc>
          <w:tcPr>
            <w:tcW w:w="1154" w:type="dxa"/>
            <w:vAlign w:val="top"/>
          </w:tcPr>
          <w:p w14:paraId="7EA7896F">
            <w:pPr>
              <w:rPr>
                <w:rFonts w:hint="eastAsia" w:asciiTheme="minorEastAsia" w:hAnsiTheme="minorEastAsia" w:eastAsiaTheme="minorEastAsia" w:cstheme="minorEastAsia"/>
                <w:sz w:val="21"/>
                <w:szCs w:val="21"/>
                <w:highlight w:val="none"/>
              </w:rPr>
            </w:pPr>
          </w:p>
        </w:tc>
        <w:tc>
          <w:tcPr>
            <w:tcW w:w="4456" w:type="dxa"/>
            <w:vAlign w:val="top"/>
          </w:tcPr>
          <w:p w14:paraId="0D8E2E0F">
            <w:pPr>
              <w:rPr>
                <w:rFonts w:hint="eastAsia" w:asciiTheme="minorEastAsia" w:hAnsiTheme="minorEastAsia" w:eastAsiaTheme="minorEastAsia" w:cstheme="minorEastAsia"/>
                <w:sz w:val="21"/>
                <w:szCs w:val="21"/>
                <w:highlight w:val="none"/>
              </w:rPr>
            </w:pPr>
          </w:p>
        </w:tc>
      </w:tr>
      <w:tr w14:paraId="48BAC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2ED0DDAC">
            <w:pPr>
              <w:pStyle w:val="33"/>
              <w:spacing w:before="129" w:line="220" w:lineRule="auto"/>
              <w:ind w:left="11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3"/>
                <w:sz w:val="21"/>
                <w:szCs w:val="21"/>
                <w:highlight w:val="none"/>
              </w:rPr>
              <w:t>2、其他人员</w:t>
            </w:r>
          </w:p>
        </w:tc>
        <w:tc>
          <w:tcPr>
            <w:tcW w:w="1154" w:type="dxa"/>
            <w:vAlign w:val="top"/>
          </w:tcPr>
          <w:p w14:paraId="01426293">
            <w:pPr>
              <w:rPr>
                <w:rFonts w:hint="eastAsia" w:asciiTheme="minorEastAsia" w:hAnsiTheme="minorEastAsia" w:eastAsiaTheme="minorEastAsia" w:cstheme="minorEastAsia"/>
                <w:sz w:val="21"/>
                <w:szCs w:val="21"/>
                <w:highlight w:val="none"/>
              </w:rPr>
            </w:pPr>
          </w:p>
        </w:tc>
        <w:tc>
          <w:tcPr>
            <w:tcW w:w="1154" w:type="dxa"/>
            <w:vAlign w:val="top"/>
          </w:tcPr>
          <w:p w14:paraId="3A9F280B">
            <w:pPr>
              <w:rPr>
                <w:rFonts w:hint="eastAsia" w:asciiTheme="minorEastAsia" w:hAnsiTheme="minorEastAsia" w:eastAsiaTheme="minorEastAsia" w:cstheme="minorEastAsia"/>
                <w:sz w:val="21"/>
                <w:szCs w:val="21"/>
                <w:highlight w:val="none"/>
              </w:rPr>
            </w:pPr>
          </w:p>
        </w:tc>
        <w:tc>
          <w:tcPr>
            <w:tcW w:w="1154" w:type="dxa"/>
            <w:vAlign w:val="top"/>
          </w:tcPr>
          <w:p w14:paraId="364EA4A5">
            <w:pPr>
              <w:rPr>
                <w:rFonts w:hint="eastAsia" w:asciiTheme="minorEastAsia" w:hAnsiTheme="minorEastAsia" w:eastAsiaTheme="minorEastAsia" w:cstheme="minorEastAsia"/>
                <w:sz w:val="21"/>
                <w:szCs w:val="21"/>
                <w:highlight w:val="none"/>
              </w:rPr>
            </w:pPr>
          </w:p>
        </w:tc>
        <w:tc>
          <w:tcPr>
            <w:tcW w:w="4456" w:type="dxa"/>
            <w:vAlign w:val="top"/>
          </w:tcPr>
          <w:p w14:paraId="1060C652">
            <w:pPr>
              <w:rPr>
                <w:rFonts w:hint="eastAsia" w:asciiTheme="minorEastAsia" w:hAnsiTheme="minorEastAsia" w:eastAsiaTheme="minorEastAsia" w:cstheme="minorEastAsia"/>
                <w:sz w:val="21"/>
                <w:szCs w:val="21"/>
                <w:highlight w:val="none"/>
              </w:rPr>
            </w:pPr>
          </w:p>
        </w:tc>
      </w:tr>
      <w:tr w14:paraId="11790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749" w:type="dxa"/>
            <w:vAlign w:val="top"/>
          </w:tcPr>
          <w:p w14:paraId="7EAEEE33">
            <w:pPr>
              <w:rPr>
                <w:rFonts w:hint="eastAsia" w:asciiTheme="minorEastAsia" w:hAnsiTheme="minorEastAsia" w:eastAsiaTheme="minorEastAsia" w:cstheme="minorEastAsia"/>
                <w:sz w:val="21"/>
                <w:szCs w:val="21"/>
                <w:highlight w:val="none"/>
              </w:rPr>
            </w:pPr>
          </w:p>
        </w:tc>
        <w:tc>
          <w:tcPr>
            <w:tcW w:w="1154" w:type="dxa"/>
            <w:vAlign w:val="top"/>
          </w:tcPr>
          <w:p w14:paraId="57166FD7">
            <w:pPr>
              <w:rPr>
                <w:rFonts w:hint="eastAsia" w:asciiTheme="minorEastAsia" w:hAnsiTheme="minorEastAsia" w:eastAsiaTheme="minorEastAsia" w:cstheme="minorEastAsia"/>
                <w:sz w:val="21"/>
                <w:szCs w:val="21"/>
                <w:highlight w:val="none"/>
              </w:rPr>
            </w:pPr>
          </w:p>
        </w:tc>
        <w:tc>
          <w:tcPr>
            <w:tcW w:w="1154" w:type="dxa"/>
            <w:vAlign w:val="top"/>
          </w:tcPr>
          <w:p w14:paraId="2DEDECAF">
            <w:pPr>
              <w:rPr>
                <w:rFonts w:hint="eastAsia" w:asciiTheme="minorEastAsia" w:hAnsiTheme="minorEastAsia" w:eastAsiaTheme="minorEastAsia" w:cstheme="minorEastAsia"/>
                <w:sz w:val="21"/>
                <w:szCs w:val="21"/>
                <w:highlight w:val="none"/>
              </w:rPr>
            </w:pPr>
          </w:p>
        </w:tc>
        <w:tc>
          <w:tcPr>
            <w:tcW w:w="1154" w:type="dxa"/>
            <w:vAlign w:val="top"/>
          </w:tcPr>
          <w:p w14:paraId="7C36A695">
            <w:pPr>
              <w:rPr>
                <w:rFonts w:hint="eastAsia" w:asciiTheme="minorEastAsia" w:hAnsiTheme="minorEastAsia" w:eastAsiaTheme="minorEastAsia" w:cstheme="minorEastAsia"/>
                <w:sz w:val="21"/>
                <w:szCs w:val="21"/>
                <w:highlight w:val="none"/>
              </w:rPr>
            </w:pPr>
          </w:p>
        </w:tc>
        <w:tc>
          <w:tcPr>
            <w:tcW w:w="4456" w:type="dxa"/>
            <w:vAlign w:val="top"/>
          </w:tcPr>
          <w:p w14:paraId="0D865AA4">
            <w:pPr>
              <w:rPr>
                <w:rFonts w:hint="eastAsia" w:asciiTheme="minorEastAsia" w:hAnsiTheme="minorEastAsia" w:eastAsiaTheme="minorEastAsia" w:cstheme="minorEastAsia"/>
                <w:sz w:val="21"/>
                <w:szCs w:val="21"/>
                <w:highlight w:val="none"/>
              </w:rPr>
            </w:pPr>
          </w:p>
        </w:tc>
      </w:tr>
      <w:tr w14:paraId="111C3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124287A9">
            <w:pPr>
              <w:rPr>
                <w:rFonts w:hint="eastAsia" w:asciiTheme="minorEastAsia" w:hAnsiTheme="minorEastAsia" w:eastAsiaTheme="minorEastAsia" w:cstheme="minorEastAsia"/>
                <w:sz w:val="21"/>
                <w:szCs w:val="21"/>
                <w:highlight w:val="none"/>
              </w:rPr>
            </w:pPr>
          </w:p>
        </w:tc>
        <w:tc>
          <w:tcPr>
            <w:tcW w:w="1154" w:type="dxa"/>
            <w:vAlign w:val="top"/>
          </w:tcPr>
          <w:p w14:paraId="7ED0939A">
            <w:pPr>
              <w:rPr>
                <w:rFonts w:hint="eastAsia" w:asciiTheme="minorEastAsia" w:hAnsiTheme="minorEastAsia" w:eastAsiaTheme="minorEastAsia" w:cstheme="minorEastAsia"/>
                <w:sz w:val="21"/>
                <w:szCs w:val="21"/>
                <w:highlight w:val="none"/>
              </w:rPr>
            </w:pPr>
          </w:p>
        </w:tc>
        <w:tc>
          <w:tcPr>
            <w:tcW w:w="1154" w:type="dxa"/>
            <w:vAlign w:val="top"/>
          </w:tcPr>
          <w:p w14:paraId="24572A72">
            <w:pPr>
              <w:rPr>
                <w:rFonts w:hint="eastAsia" w:asciiTheme="minorEastAsia" w:hAnsiTheme="minorEastAsia" w:eastAsiaTheme="minorEastAsia" w:cstheme="minorEastAsia"/>
                <w:sz w:val="21"/>
                <w:szCs w:val="21"/>
                <w:highlight w:val="none"/>
              </w:rPr>
            </w:pPr>
          </w:p>
        </w:tc>
        <w:tc>
          <w:tcPr>
            <w:tcW w:w="1154" w:type="dxa"/>
            <w:vAlign w:val="top"/>
          </w:tcPr>
          <w:p w14:paraId="085472BB">
            <w:pPr>
              <w:rPr>
                <w:rFonts w:hint="eastAsia" w:asciiTheme="minorEastAsia" w:hAnsiTheme="minorEastAsia" w:eastAsiaTheme="minorEastAsia" w:cstheme="minorEastAsia"/>
                <w:sz w:val="21"/>
                <w:szCs w:val="21"/>
                <w:highlight w:val="none"/>
              </w:rPr>
            </w:pPr>
          </w:p>
        </w:tc>
        <w:tc>
          <w:tcPr>
            <w:tcW w:w="4456" w:type="dxa"/>
            <w:vAlign w:val="top"/>
          </w:tcPr>
          <w:p w14:paraId="28FC4793">
            <w:pPr>
              <w:rPr>
                <w:rFonts w:hint="eastAsia" w:asciiTheme="minorEastAsia" w:hAnsiTheme="minorEastAsia" w:eastAsiaTheme="minorEastAsia" w:cstheme="minorEastAsia"/>
                <w:sz w:val="21"/>
                <w:szCs w:val="21"/>
                <w:highlight w:val="none"/>
              </w:rPr>
            </w:pPr>
          </w:p>
        </w:tc>
      </w:tr>
      <w:tr w14:paraId="64BAB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2BC17CC1">
            <w:pPr>
              <w:pStyle w:val="33"/>
              <w:spacing w:before="131" w:line="220" w:lineRule="auto"/>
              <w:ind w:left="1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0"/>
                <w:sz w:val="21"/>
                <w:szCs w:val="21"/>
                <w:highlight w:val="none"/>
              </w:rPr>
              <w:t>二</w:t>
            </w:r>
            <w:r>
              <w:rPr>
                <w:rFonts w:hint="eastAsia" w:asciiTheme="minorEastAsia" w:hAnsiTheme="minorEastAsia" w:eastAsiaTheme="minorEastAsia" w:cstheme="minorEastAsia"/>
                <w:spacing w:val="-94"/>
                <w:sz w:val="21"/>
                <w:szCs w:val="21"/>
                <w:highlight w:val="none"/>
              </w:rPr>
              <w:t xml:space="preserve"> </w:t>
            </w:r>
            <w:r>
              <w:rPr>
                <w:rFonts w:hint="eastAsia" w:asciiTheme="minorEastAsia" w:hAnsiTheme="minorEastAsia" w:eastAsiaTheme="minorEastAsia" w:cstheme="minorEastAsia"/>
                <w:spacing w:val="-10"/>
                <w:sz w:val="21"/>
                <w:szCs w:val="21"/>
                <w:highlight w:val="none"/>
              </w:rPr>
              <w:t>、现</w:t>
            </w:r>
            <w:r>
              <w:rPr>
                <w:rFonts w:hint="eastAsia" w:asciiTheme="minorEastAsia" w:hAnsiTheme="minorEastAsia" w:eastAsiaTheme="minorEastAsia" w:cstheme="minorEastAsia"/>
                <w:spacing w:val="2"/>
                <w:sz w:val="21"/>
                <w:szCs w:val="21"/>
                <w:highlight w:val="none"/>
              </w:rPr>
              <w:t xml:space="preserve">    </w:t>
            </w:r>
            <w:r>
              <w:rPr>
                <w:rFonts w:hint="eastAsia" w:asciiTheme="minorEastAsia" w:hAnsiTheme="minorEastAsia" w:eastAsiaTheme="minorEastAsia" w:cstheme="minorEastAsia"/>
                <w:spacing w:val="-10"/>
                <w:sz w:val="21"/>
                <w:szCs w:val="21"/>
                <w:highlight w:val="none"/>
              </w:rPr>
              <w:t>场</w:t>
            </w:r>
          </w:p>
        </w:tc>
        <w:tc>
          <w:tcPr>
            <w:tcW w:w="1154" w:type="dxa"/>
            <w:vAlign w:val="top"/>
          </w:tcPr>
          <w:p w14:paraId="6000F4D5">
            <w:pPr>
              <w:rPr>
                <w:rFonts w:hint="eastAsia" w:asciiTheme="minorEastAsia" w:hAnsiTheme="minorEastAsia" w:eastAsiaTheme="minorEastAsia" w:cstheme="minorEastAsia"/>
                <w:sz w:val="21"/>
                <w:szCs w:val="21"/>
                <w:highlight w:val="none"/>
              </w:rPr>
            </w:pPr>
          </w:p>
        </w:tc>
        <w:tc>
          <w:tcPr>
            <w:tcW w:w="1154" w:type="dxa"/>
            <w:vAlign w:val="top"/>
          </w:tcPr>
          <w:p w14:paraId="691EAB95">
            <w:pPr>
              <w:rPr>
                <w:rFonts w:hint="eastAsia" w:asciiTheme="minorEastAsia" w:hAnsiTheme="minorEastAsia" w:eastAsiaTheme="minorEastAsia" w:cstheme="minorEastAsia"/>
                <w:sz w:val="21"/>
                <w:szCs w:val="21"/>
                <w:highlight w:val="none"/>
              </w:rPr>
            </w:pPr>
          </w:p>
        </w:tc>
        <w:tc>
          <w:tcPr>
            <w:tcW w:w="1154" w:type="dxa"/>
            <w:vAlign w:val="top"/>
          </w:tcPr>
          <w:p w14:paraId="672E38FE">
            <w:pPr>
              <w:rPr>
                <w:rFonts w:hint="eastAsia" w:asciiTheme="minorEastAsia" w:hAnsiTheme="minorEastAsia" w:eastAsiaTheme="minorEastAsia" w:cstheme="minorEastAsia"/>
                <w:sz w:val="21"/>
                <w:szCs w:val="21"/>
                <w:highlight w:val="none"/>
              </w:rPr>
            </w:pPr>
          </w:p>
        </w:tc>
        <w:tc>
          <w:tcPr>
            <w:tcW w:w="4456" w:type="dxa"/>
            <w:vAlign w:val="top"/>
          </w:tcPr>
          <w:p w14:paraId="6561E6D8">
            <w:pPr>
              <w:rPr>
                <w:rFonts w:hint="eastAsia" w:asciiTheme="minorEastAsia" w:hAnsiTheme="minorEastAsia" w:eastAsiaTheme="minorEastAsia" w:cstheme="minorEastAsia"/>
                <w:sz w:val="21"/>
                <w:szCs w:val="21"/>
                <w:highlight w:val="none"/>
              </w:rPr>
            </w:pPr>
          </w:p>
        </w:tc>
      </w:tr>
      <w:tr w14:paraId="72D96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62E31276">
            <w:pPr>
              <w:pStyle w:val="33"/>
              <w:spacing w:before="131" w:line="220" w:lineRule="auto"/>
              <w:ind w:left="134"/>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5"/>
                <w:sz w:val="21"/>
                <w:szCs w:val="21"/>
                <w:highlight w:val="none"/>
              </w:rPr>
              <w:t>1、项目经理</w:t>
            </w:r>
          </w:p>
        </w:tc>
        <w:tc>
          <w:tcPr>
            <w:tcW w:w="1154" w:type="dxa"/>
            <w:vAlign w:val="top"/>
          </w:tcPr>
          <w:p w14:paraId="6B4E9E31">
            <w:pPr>
              <w:rPr>
                <w:rFonts w:hint="eastAsia" w:asciiTheme="minorEastAsia" w:hAnsiTheme="minorEastAsia" w:eastAsiaTheme="minorEastAsia" w:cstheme="minorEastAsia"/>
                <w:sz w:val="21"/>
                <w:szCs w:val="21"/>
                <w:highlight w:val="none"/>
              </w:rPr>
            </w:pPr>
          </w:p>
        </w:tc>
        <w:tc>
          <w:tcPr>
            <w:tcW w:w="1154" w:type="dxa"/>
            <w:vAlign w:val="top"/>
          </w:tcPr>
          <w:p w14:paraId="30FC4447">
            <w:pPr>
              <w:rPr>
                <w:rFonts w:hint="eastAsia" w:asciiTheme="minorEastAsia" w:hAnsiTheme="minorEastAsia" w:eastAsiaTheme="minorEastAsia" w:cstheme="minorEastAsia"/>
                <w:sz w:val="21"/>
                <w:szCs w:val="21"/>
                <w:highlight w:val="none"/>
              </w:rPr>
            </w:pPr>
          </w:p>
        </w:tc>
        <w:tc>
          <w:tcPr>
            <w:tcW w:w="1154" w:type="dxa"/>
            <w:vAlign w:val="top"/>
          </w:tcPr>
          <w:p w14:paraId="0F54D8BB">
            <w:pPr>
              <w:rPr>
                <w:rFonts w:hint="eastAsia" w:asciiTheme="minorEastAsia" w:hAnsiTheme="minorEastAsia" w:eastAsiaTheme="minorEastAsia" w:cstheme="minorEastAsia"/>
                <w:sz w:val="21"/>
                <w:szCs w:val="21"/>
                <w:highlight w:val="none"/>
              </w:rPr>
            </w:pPr>
          </w:p>
        </w:tc>
        <w:tc>
          <w:tcPr>
            <w:tcW w:w="4456" w:type="dxa"/>
            <w:vAlign w:val="top"/>
          </w:tcPr>
          <w:p w14:paraId="3A546C3C">
            <w:pPr>
              <w:rPr>
                <w:rFonts w:hint="eastAsia" w:asciiTheme="minorEastAsia" w:hAnsiTheme="minorEastAsia" w:eastAsiaTheme="minorEastAsia" w:cstheme="minorEastAsia"/>
                <w:sz w:val="21"/>
                <w:szCs w:val="21"/>
                <w:highlight w:val="none"/>
              </w:rPr>
            </w:pPr>
          </w:p>
        </w:tc>
      </w:tr>
      <w:tr w14:paraId="354E0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23BF614A">
            <w:pPr>
              <w:pStyle w:val="33"/>
              <w:spacing w:before="130" w:line="219" w:lineRule="auto"/>
              <w:ind w:left="119"/>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3"/>
                <w:sz w:val="21"/>
                <w:szCs w:val="21"/>
                <w:highlight w:val="none"/>
              </w:rPr>
              <w:t>2、质量管理</w:t>
            </w:r>
          </w:p>
        </w:tc>
        <w:tc>
          <w:tcPr>
            <w:tcW w:w="1154" w:type="dxa"/>
            <w:vAlign w:val="top"/>
          </w:tcPr>
          <w:p w14:paraId="5DD10374">
            <w:pPr>
              <w:rPr>
                <w:rFonts w:hint="eastAsia" w:asciiTheme="minorEastAsia" w:hAnsiTheme="minorEastAsia" w:eastAsiaTheme="minorEastAsia" w:cstheme="minorEastAsia"/>
                <w:sz w:val="21"/>
                <w:szCs w:val="21"/>
                <w:highlight w:val="none"/>
              </w:rPr>
            </w:pPr>
          </w:p>
        </w:tc>
        <w:tc>
          <w:tcPr>
            <w:tcW w:w="1154" w:type="dxa"/>
            <w:vAlign w:val="top"/>
          </w:tcPr>
          <w:p w14:paraId="47C0E1CF">
            <w:pPr>
              <w:rPr>
                <w:rFonts w:hint="eastAsia" w:asciiTheme="minorEastAsia" w:hAnsiTheme="minorEastAsia" w:eastAsiaTheme="minorEastAsia" w:cstheme="minorEastAsia"/>
                <w:sz w:val="21"/>
                <w:szCs w:val="21"/>
                <w:highlight w:val="none"/>
              </w:rPr>
            </w:pPr>
          </w:p>
        </w:tc>
        <w:tc>
          <w:tcPr>
            <w:tcW w:w="1154" w:type="dxa"/>
            <w:vAlign w:val="top"/>
          </w:tcPr>
          <w:p w14:paraId="437D7155">
            <w:pPr>
              <w:rPr>
                <w:rFonts w:hint="eastAsia" w:asciiTheme="minorEastAsia" w:hAnsiTheme="minorEastAsia" w:eastAsiaTheme="minorEastAsia" w:cstheme="minorEastAsia"/>
                <w:sz w:val="21"/>
                <w:szCs w:val="21"/>
                <w:highlight w:val="none"/>
              </w:rPr>
            </w:pPr>
          </w:p>
        </w:tc>
        <w:tc>
          <w:tcPr>
            <w:tcW w:w="4456" w:type="dxa"/>
            <w:vAlign w:val="top"/>
          </w:tcPr>
          <w:p w14:paraId="2B9BFD88">
            <w:pPr>
              <w:rPr>
                <w:rFonts w:hint="eastAsia" w:asciiTheme="minorEastAsia" w:hAnsiTheme="minorEastAsia" w:eastAsiaTheme="minorEastAsia" w:cstheme="minorEastAsia"/>
                <w:sz w:val="21"/>
                <w:szCs w:val="21"/>
                <w:highlight w:val="none"/>
              </w:rPr>
            </w:pPr>
          </w:p>
        </w:tc>
      </w:tr>
      <w:tr w14:paraId="5AE83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4A85C873">
            <w:pPr>
              <w:pStyle w:val="33"/>
              <w:spacing w:before="131" w:line="219" w:lineRule="auto"/>
              <w:ind w:left="12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3"/>
                <w:sz w:val="21"/>
                <w:szCs w:val="21"/>
                <w:highlight w:val="none"/>
              </w:rPr>
              <w:t>3、材料管理</w:t>
            </w:r>
          </w:p>
        </w:tc>
        <w:tc>
          <w:tcPr>
            <w:tcW w:w="1154" w:type="dxa"/>
            <w:vAlign w:val="top"/>
          </w:tcPr>
          <w:p w14:paraId="5C2F92B2">
            <w:pPr>
              <w:rPr>
                <w:rFonts w:hint="eastAsia" w:asciiTheme="minorEastAsia" w:hAnsiTheme="minorEastAsia" w:eastAsiaTheme="minorEastAsia" w:cstheme="minorEastAsia"/>
                <w:sz w:val="21"/>
                <w:szCs w:val="21"/>
                <w:highlight w:val="none"/>
              </w:rPr>
            </w:pPr>
          </w:p>
        </w:tc>
        <w:tc>
          <w:tcPr>
            <w:tcW w:w="1154" w:type="dxa"/>
            <w:vAlign w:val="top"/>
          </w:tcPr>
          <w:p w14:paraId="10EFDC7F">
            <w:pPr>
              <w:rPr>
                <w:rFonts w:hint="eastAsia" w:asciiTheme="minorEastAsia" w:hAnsiTheme="minorEastAsia" w:eastAsiaTheme="minorEastAsia" w:cstheme="minorEastAsia"/>
                <w:sz w:val="21"/>
                <w:szCs w:val="21"/>
                <w:highlight w:val="none"/>
              </w:rPr>
            </w:pPr>
          </w:p>
        </w:tc>
        <w:tc>
          <w:tcPr>
            <w:tcW w:w="1154" w:type="dxa"/>
            <w:vAlign w:val="top"/>
          </w:tcPr>
          <w:p w14:paraId="26838E90">
            <w:pPr>
              <w:rPr>
                <w:rFonts w:hint="eastAsia" w:asciiTheme="minorEastAsia" w:hAnsiTheme="minorEastAsia" w:eastAsiaTheme="minorEastAsia" w:cstheme="minorEastAsia"/>
                <w:sz w:val="21"/>
                <w:szCs w:val="21"/>
                <w:highlight w:val="none"/>
              </w:rPr>
            </w:pPr>
          </w:p>
        </w:tc>
        <w:tc>
          <w:tcPr>
            <w:tcW w:w="4456" w:type="dxa"/>
            <w:vAlign w:val="top"/>
          </w:tcPr>
          <w:p w14:paraId="100C52D3">
            <w:pPr>
              <w:rPr>
                <w:rFonts w:hint="eastAsia" w:asciiTheme="minorEastAsia" w:hAnsiTheme="minorEastAsia" w:eastAsiaTheme="minorEastAsia" w:cstheme="minorEastAsia"/>
                <w:sz w:val="21"/>
                <w:szCs w:val="21"/>
                <w:highlight w:val="none"/>
              </w:rPr>
            </w:pPr>
          </w:p>
        </w:tc>
      </w:tr>
      <w:tr w14:paraId="43F65D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3B7EADDA">
            <w:pPr>
              <w:pStyle w:val="33"/>
              <w:spacing w:before="131" w:line="219" w:lineRule="auto"/>
              <w:ind w:left="116"/>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2"/>
                <w:sz w:val="21"/>
                <w:szCs w:val="21"/>
                <w:highlight w:val="none"/>
              </w:rPr>
              <w:t>4、安全管理</w:t>
            </w:r>
          </w:p>
        </w:tc>
        <w:tc>
          <w:tcPr>
            <w:tcW w:w="1154" w:type="dxa"/>
            <w:vAlign w:val="top"/>
          </w:tcPr>
          <w:p w14:paraId="7DDA784E">
            <w:pPr>
              <w:rPr>
                <w:rFonts w:hint="eastAsia" w:asciiTheme="minorEastAsia" w:hAnsiTheme="minorEastAsia" w:eastAsiaTheme="minorEastAsia" w:cstheme="minorEastAsia"/>
                <w:sz w:val="21"/>
                <w:szCs w:val="21"/>
                <w:highlight w:val="none"/>
              </w:rPr>
            </w:pPr>
          </w:p>
        </w:tc>
        <w:tc>
          <w:tcPr>
            <w:tcW w:w="1154" w:type="dxa"/>
            <w:vAlign w:val="top"/>
          </w:tcPr>
          <w:p w14:paraId="59A06579">
            <w:pPr>
              <w:rPr>
                <w:rFonts w:hint="eastAsia" w:asciiTheme="minorEastAsia" w:hAnsiTheme="minorEastAsia" w:eastAsiaTheme="minorEastAsia" w:cstheme="minorEastAsia"/>
                <w:sz w:val="21"/>
                <w:szCs w:val="21"/>
                <w:highlight w:val="none"/>
              </w:rPr>
            </w:pPr>
          </w:p>
        </w:tc>
        <w:tc>
          <w:tcPr>
            <w:tcW w:w="1154" w:type="dxa"/>
            <w:vAlign w:val="top"/>
          </w:tcPr>
          <w:p w14:paraId="6C467758">
            <w:pPr>
              <w:rPr>
                <w:rFonts w:hint="eastAsia" w:asciiTheme="minorEastAsia" w:hAnsiTheme="minorEastAsia" w:eastAsiaTheme="minorEastAsia" w:cstheme="minorEastAsia"/>
                <w:sz w:val="21"/>
                <w:szCs w:val="21"/>
                <w:highlight w:val="none"/>
              </w:rPr>
            </w:pPr>
          </w:p>
        </w:tc>
        <w:tc>
          <w:tcPr>
            <w:tcW w:w="4456" w:type="dxa"/>
            <w:vAlign w:val="top"/>
          </w:tcPr>
          <w:p w14:paraId="7AE1A5EF">
            <w:pPr>
              <w:rPr>
                <w:rFonts w:hint="eastAsia" w:asciiTheme="minorEastAsia" w:hAnsiTheme="minorEastAsia" w:eastAsiaTheme="minorEastAsia" w:cstheme="minorEastAsia"/>
                <w:sz w:val="21"/>
                <w:szCs w:val="21"/>
                <w:highlight w:val="none"/>
              </w:rPr>
            </w:pPr>
          </w:p>
        </w:tc>
      </w:tr>
      <w:tr w14:paraId="0B026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4A6F8683">
            <w:pPr>
              <w:pStyle w:val="33"/>
              <w:spacing w:before="130" w:line="219" w:lineRule="auto"/>
              <w:ind w:left="12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3"/>
                <w:sz w:val="21"/>
                <w:szCs w:val="21"/>
                <w:highlight w:val="none"/>
              </w:rPr>
              <w:t>5、施工管理</w:t>
            </w:r>
          </w:p>
        </w:tc>
        <w:tc>
          <w:tcPr>
            <w:tcW w:w="1154" w:type="dxa"/>
            <w:vAlign w:val="top"/>
          </w:tcPr>
          <w:p w14:paraId="01B0289A">
            <w:pPr>
              <w:rPr>
                <w:rFonts w:hint="eastAsia" w:asciiTheme="minorEastAsia" w:hAnsiTheme="minorEastAsia" w:eastAsiaTheme="minorEastAsia" w:cstheme="minorEastAsia"/>
                <w:sz w:val="21"/>
                <w:szCs w:val="21"/>
                <w:highlight w:val="none"/>
              </w:rPr>
            </w:pPr>
          </w:p>
        </w:tc>
        <w:tc>
          <w:tcPr>
            <w:tcW w:w="1154" w:type="dxa"/>
            <w:vAlign w:val="top"/>
          </w:tcPr>
          <w:p w14:paraId="4F8FB870">
            <w:pPr>
              <w:rPr>
                <w:rFonts w:hint="eastAsia" w:asciiTheme="minorEastAsia" w:hAnsiTheme="minorEastAsia" w:eastAsiaTheme="minorEastAsia" w:cstheme="minorEastAsia"/>
                <w:sz w:val="21"/>
                <w:szCs w:val="21"/>
                <w:highlight w:val="none"/>
              </w:rPr>
            </w:pPr>
          </w:p>
        </w:tc>
        <w:tc>
          <w:tcPr>
            <w:tcW w:w="1154" w:type="dxa"/>
            <w:vAlign w:val="top"/>
          </w:tcPr>
          <w:p w14:paraId="5C481B4C">
            <w:pPr>
              <w:rPr>
                <w:rFonts w:hint="eastAsia" w:asciiTheme="minorEastAsia" w:hAnsiTheme="minorEastAsia" w:eastAsiaTheme="minorEastAsia" w:cstheme="minorEastAsia"/>
                <w:sz w:val="21"/>
                <w:szCs w:val="21"/>
                <w:highlight w:val="none"/>
              </w:rPr>
            </w:pPr>
          </w:p>
        </w:tc>
        <w:tc>
          <w:tcPr>
            <w:tcW w:w="4456" w:type="dxa"/>
            <w:vAlign w:val="top"/>
          </w:tcPr>
          <w:p w14:paraId="24AE55E5">
            <w:pPr>
              <w:rPr>
                <w:rFonts w:hint="eastAsia" w:asciiTheme="minorEastAsia" w:hAnsiTheme="minorEastAsia" w:eastAsiaTheme="minorEastAsia" w:cstheme="minorEastAsia"/>
                <w:sz w:val="21"/>
                <w:szCs w:val="21"/>
                <w:highlight w:val="none"/>
              </w:rPr>
            </w:pPr>
          </w:p>
        </w:tc>
      </w:tr>
      <w:tr w14:paraId="57425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6FAD5DEA">
            <w:pPr>
              <w:pStyle w:val="33"/>
              <w:spacing w:before="131" w:line="354" w:lineRule="exact"/>
              <w:ind w:left="132"/>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3"/>
                <w:position w:val="2"/>
                <w:sz w:val="21"/>
                <w:szCs w:val="21"/>
                <w:highlight w:val="none"/>
              </w:rPr>
              <w:t>……</w:t>
            </w:r>
          </w:p>
        </w:tc>
        <w:tc>
          <w:tcPr>
            <w:tcW w:w="1154" w:type="dxa"/>
            <w:vAlign w:val="top"/>
          </w:tcPr>
          <w:p w14:paraId="249D78BF">
            <w:pPr>
              <w:rPr>
                <w:rFonts w:hint="eastAsia" w:asciiTheme="minorEastAsia" w:hAnsiTheme="minorEastAsia" w:eastAsiaTheme="minorEastAsia" w:cstheme="minorEastAsia"/>
                <w:sz w:val="21"/>
                <w:szCs w:val="21"/>
                <w:highlight w:val="none"/>
              </w:rPr>
            </w:pPr>
          </w:p>
        </w:tc>
        <w:tc>
          <w:tcPr>
            <w:tcW w:w="1154" w:type="dxa"/>
            <w:vAlign w:val="top"/>
          </w:tcPr>
          <w:p w14:paraId="626C47BD">
            <w:pPr>
              <w:rPr>
                <w:rFonts w:hint="eastAsia" w:asciiTheme="minorEastAsia" w:hAnsiTheme="minorEastAsia" w:eastAsiaTheme="minorEastAsia" w:cstheme="minorEastAsia"/>
                <w:sz w:val="21"/>
                <w:szCs w:val="21"/>
                <w:highlight w:val="none"/>
              </w:rPr>
            </w:pPr>
          </w:p>
        </w:tc>
        <w:tc>
          <w:tcPr>
            <w:tcW w:w="1154" w:type="dxa"/>
            <w:vAlign w:val="top"/>
          </w:tcPr>
          <w:p w14:paraId="5AA4B003">
            <w:pPr>
              <w:rPr>
                <w:rFonts w:hint="eastAsia" w:asciiTheme="minorEastAsia" w:hAnsiTheme="minorEastAsia" w:eastAsiaTheme="minorEastAsia" w:cstheme="minorEastAsia"/>
                <w:sz w:val="21"/>
                <w:szCs w:val="21"/>
                <w:highlight w:val="none"/>
              </w:rPr>
            </w:pPr>
          </w:p>
        </w:tc>
        <w:tc>
          <w:tcPr>
            <w:tcW w:w="4456" w:type="dxa"/>
            <w:vAlign w:val="top"/>
          </w:tcPr>
          <w:p w14:paraId="4789A1DE">
            <w:pPr>
              <w:rPr>
                <w:rFonts w:hint="eastAsia" w:asciiTheme="minorEastAsia" w:hAnsiTheme="minorEastAsia" w:eastAsiaTheme="minorEastAsia" w:cstheme="minorEastAsia"/>
                <w:sz w:val="21"/>
                <w:szCs w:val="21"/>
                <w:highlight w:val="none"/>
              </w:rPr>
            </w:pPr>
          </w:p>
        </w:tc>
      </w:tr>
      <w:tr w14:paraId="0A0A3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749" w:type="dxa"/>
            <w:vAlign w:val="top"/>
          </w:tcPr>
          <w:p w14:paraId="1EDDF50C">
            <w:pPr>
              <w:rPr>
                <w:rFonts w:hint="eastAsia" w:asciiTheme="minorEastAsia" w:hAnsiTheme="minorEastAsia" w:eastAsiaTheme="minorEastAsia" w:cstheme="minorEastAsia"/>
                <w:sz w:val="21"/>
                <w:szCs w:val="21"/>
                <w:highlight w:val="none"/>
              </w:rPr>
            </w:pPr>
          </w:p>
        </w:tc>
        <w:tc>
          <w:tcPr>
            <w:tcW w:w="1154" w:type="dxa"/>
            <w:vAlign w:val="top"/>
          </w:tcPr>
          <w:p w14:paraId="212291EF">
            <w:pPr>
              <w:rPr>
                <w:rFonts w:hint="eastAsia" w:asciiTheme="minorEastAsia" w:hAnsiTheme="minorEastAsia" w:eastAsiaTheme="minorEastAsia" w:cstheme="minorEastAsia"/>
                <w:sz w:val="21"/>
                <w:szCs w:val="21"/>
                <w:highlight w:val="none"/>
              </w:rPr>
            </w:pPr>
          </w:p>
        </w:tc>
        <w:tc>
          <w:tcPr>
            <w:tcW w:w="1154" w:type="dxa"/>
            <w:vAlign w:val="top"/>
          </w:tcPr>
          <w:p w14:paraId="0C516C2F">
            <w:pPr>
              <w:rPr>
                <w:rFonts w:hint="eastAsia" w:asciiTheme="minorEastAsia" w:hAnsiTheme="minorEastAsia" w:eastAsiaTheme="minorEastAsia" w:cstheme="minorEastAsia"/>
                <w:sz w:val="21"/>
                <w:szCs w:val="21"/>
                <w:highlight w:val="none"/>
              </w:rPr>
            </w:pPr>
          </w:p>
        </w:tc>
        <w:tc>
          <w:tcPr>
            <w:tcW w:w="1154" w:type="dxa"/>
            <w:vAlign w:val="top"/>
          </w:tcPr>
          <w:p w14:paraId="1A1252B6">
            <w:pPr>
              <w:rPr>
                <w:rFonts w:hint="eastAsia" w:asciiTheme="minorEastAsia" w:hAnsiTheme="minorEastAsia" w:eastAsiaTheme="minorEastAsia" w:cstheme="minorEastAsia"/>
                <w:sz w:val="21"/>
                <w:szCs w:val="21"/>
                <w:highlight w:val="none"/>
              </w:rPr>
            </w:pPr>
          </w:p>
        </w:tc>
        <w:tc>
          <w:tcPr>
            <w:tcW w:w="4456" w:type="dxa"/>
            <w:vAlign w:val="top"/>
          </w:tcPr>
          <w:p w14:paraId="15C8A921">
            <w:pPr>
              <w:rPr>
                <w:rFonts w:hint="eastAsia" w:asciiTheme="minorEastAsia" w:hAnsiTheme="minorEastAsia" w:eastAsiaTheme="minorEastAsia" w:cstheme="minorEastAsia"/>
                <w:sz w:val="21"/>
                <w:szCs w:val="21"/>
                <w:highlight w:val="none"/>
              </w:rPr>
            </w:pPr>
          </w:p>
        </w:tc>
      </w:tr>
      <w:tr w14:paraId="22138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1749" w:type="dxa"/>
            <w:vAlign w:val="top"/>
          </w:tcPr>
          <w:p w14:paraId="77776D28">
            <w:pPr>
              <w:rPr>
                <w:rFonts w:hint="eastAsia" w:asciiTheme="minorEastAsia" w:hAnsiTheme="minorEastAsia" w:eastAsiaTheme="minorEastAsia" w:cstheme="minorEastAsia"/>
                <w:sz w:val="21"/>
                <w:szCs w:val="21"/>
                <w:highlight w:val="none"/>
              </w:rPr>
            </w:pPr>
          </w:p>
        </w:tc>
        <w:tc>
          <w:tcPr>
            <w:tcW w:w="1154" w:type="dxa"/>
            <w:vAlign w:val="top"/>
          </w:tcPr>
          <w:p w14:paraId="0E907B60">
            <w:pPr>
              <w:rPr>
                <w:rFonts w:hint="eastAsia" w:asciiTheme="minorEastAsia" w:hAnsiTheme="minorEastAsia" w:eastAsiaTheme="minorEastAsia" w:cstheme="minorEastAsia"/>
                <w:sz w:val="21"/>
                <w:szCs w:val="21"/>
                <w:highlight w:val="none"/>
              </w:rPr>
            </w:pPr>
          </w:p>
        </w:tc>
        <w:tc>
          <w:tcPr>
            <w:tcW w:w="1154" w:type="dxa"/>
            <w:vAlign w:val="top"/>
          </w:tcPr>
          <w:p w14:paraId="1A71A7A8">
            <w:pPr>
              <w:rPr>
                <w:rFonts w:hint="eastAsia" w:asciiTheme="minorEastAsia" w:hAnsiTheme="minorEastAsia" w:eastAsiaTheme="minorEastAsia" w:cstheme="minorEastAsia"/>
                <w:sz w:val="21"/>
                <w:szCs w:val="21"/>
                <w:highlight w:val="none"/>
              </w:rPr>
            </w:pPr>
          </w:p>
        </w:tc>
        <w:tc>
          <w:tcPr>
            <w:tcW w:w="1154" w:type="dxa"/>
            <w:vAlign w:val="top"/>
          </w:tcPr>
          <w:p w14:paraId="7C1EEB99">
            <w:pPr>
              <w:rPr>
                <w:rFonts w:hint="eastAsia" w:asciiTheme="minorEastAsia" w:hAnsiTheme="minorEastAsia" w:eastAsiaTheme="minorEastAsia" w:cstheme="minorEastAsia"/>
                <w:sz w:val="21"/>
                <w:szCs w:val="21"/>
                <w:highlight w:val="none"/>
              </w:rPr>
            </w:pPr>
          </w:p>
        </w:tc>
        <w:tc>
          <w:tcPr>
            <w:tcW w:w="4456" w:type="dxa"/>
            <w:vAlign w:val="top"/>
          </w:tcPr>
          <w:p w14:paraId="674A922C">
            <w:pPr>
              <w:rPr>
                <w:rFonts w:hint="eastAsia" w:asciiTheme="minorEastAsia" w:hAnsiTheme="minorEastAsia" w:eastAsiaTheme="minorEastAsia" w:cstheme="minorEastAsia"/>
                <w:sz w:val="21"/>
                <w:szCs w:val="21"/>
                <w:highlight w:val="none"/>
              </w:rPr>
            </w:pPr>
          </w:p>
        </w:tc>
      </w:tr>
    </w:tbl>
    <w:p w14:paraId="5169D758">
      <w:pPr>
        <w:pStyle w:val="9"/>
        <w:spacing w:before="234" w:line="340" w:lineRule="auto"/>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注：1.辅助说明资料主要包括管理机构的机构设置、职责分工、主</w:t>
      </w:r>
      <w:r>
        <w:rPr>
          <w:rFonts w:hint="eastAsia" w:asciiTheme="minorEastAsia" w:hAnsiTheme="minorEastAsia" w:eastAsiaTheme="minorEastAsia" w:cstheme="minorEastAsia"/>
          <w:spacing w:val="-1"/>
          <w:sz w:val="21"/>
          <w:szCs w:val="21"/>
          <w:highlight w:val="none"/>
        </w:rPr>
        <w:t>要管理人员上岗证书复印</w:t>
      </w:r>
      <w:r>
        <w:rPr>
          <w:rFonts w:hint="eastAsia" w:asciiTheme="minorEastAsia" w:hAnsiTheme="minorEastAsia" w:eastAsiaTheme="minorEastAsia" w:cstheme="minorEastAsia"/>
          <w:spacing w:val="-2"/>
          <w:sz w:val="21"/>
          <w:szCs w:val="21"/>
          <w:highlight w:val="none"/>
        </w:rPr>
        <w:t>件（含年审记录）以及谈判供应商认为有必要提供的资料。辅助说明资料格式不做统一规定，</w:t>
      </w:r>
      <w:r>
        <w:rPr>
          <w:rFonts w:hint="eastAsia" w:asciiTheme="minorEastAsia" w:hAnsiTheme="minorEastAsia" w:eastAsiaTheme="minorEastAsia" w:cstheme="minorEastAsia"/>
          <w:spacing w:val="-1"/>
          <w:sz w:val="21"/>
          <w:szCs w:val="21"/>
          <w:highlight w:val="none"/>
        </w:rPr>
        <w:t>由谈判供应商自行设计。</w:t>
      </w:r>
    </w:p>
    <w:p w14:paraId="605AC10A">
      <w:pPr>
        <w:pStyle w:val="9"/>
        <w:spacing w:line="218" w:lineRule="auto"/>
        <w:ind w:left="3"/>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2.项目管理班子配备情况辅助说明资料另附</w:t>
      </w:r>
      <w:r>
        <w:rPr>
          <w:rFonts w:hint="eastAsia" w:asciiTheme="minorEastAsia" w:hAnsiTheme="minorEastAsia" w:eastAsiaTheme="minorEastAsia" w:cstheme="minorEastAsia"/>
          <w:spacing w:val="-1"/>
          <w:sz w:val="21"/>
          <w:szCs w:val="21"/>
          <w:highlight w:val="none"/>
        </w:rPr>
        <w:t>（与本磋响应文件一起装订）。</w:t>
      </w:r>
    </w:p>
    <w:p w14:paraId="1DD1B5D9">
      <w:pPr>
        <w:spacing w:line="218" w:lineRule="auto"/>
        <w:rPr>
          <w:rFonts w:hint="eastAsia" w:asciiTheme="minorEastAsia" w:hAnsiTheme="minorEastAsia" w:eastAsiaTheme="minorEastAsia" w:cstheme="minorEastAsia"/>
          <w:sz w:val="21"/>
          <w:szCs w:val="21"/>
          <w:highlight w:val="none"/>
        </w:rPr>
      </w:pPr>
    </w:p>
    <w:p w14:paraId="14F9699D">
      <w:pPr>
        <w:spacing w:line="218" w:lineRule="auto"/>
        <w:rPr>
          <w:rFonts w:hint="eastAsia" w:asciiTheme="minorEastAsia" w:hAnsiTheme="minorEastAsia" w:eastAsiaTheme="minorEastAsia" w:cstheme="minorEastAsia"/>
          <w:sz w:val="21"/>
          <w:szCs w:val="21"/>
          <w:highlight w:val="none"/>
        </w:rPr>
      </w:pPr>
    </w:p>
    <w:p w14:paraId="0555ADAC">
      <w:pPr>
        <w:spacing w:line="218" w:lineRule="auto"/>
        <w:rPr>
          <w:rFonts w:hint="eastAsia" w:asciiTheme="minorEastAsia" w:hAnsiTheme="minorEastAsia" w:eastAsiaTheme="minorEastAsia" w:cstheme="minorEastAsia"/>
          <w:sz w:val="21"/>
          <w:szCs w:val="21"/>
          <w:highlight w:val="none"/>
        </w:rPr>
      </w:pPr>
    </w:p>
    <w:p w14:paraId="41ADC18F">
      <w:pPr>
        <w:pageBreakBefore w:val="0"/>
        <w:kinsoku/>
        <w:overflowPunct/>
        <w:topLinePunct w:val="0"/>
        <w:autoSpaceDE w:val="0"/>
        <w:autoSpaceDN w:val="0"/>
        <w:bidi w:val="0"/>
        <w:spacing w:line="360" w:lineRule="auto"/>
        <w:ind w:left="4335" w:leftChars="1950" w:hanging="240" w:hangingChars="100"/>
        <w:jc w:val="center"/>
        <w:rPr>
          <w:rFonts w:hint="default" w:ascii="宋体" w:hAnsi="宋体" w:eastAsia="宋体" w:cs="宋体"/>
          <w:color w:val="auto"/>
          <w:kern w:val="0"/>
          <w:sz w:val="24"/>
          <w:highlight w:val="none"/>
          <w:u w:val="single"/>
          <w:lang w:val="en-US" w:eastAsia="zh-CN"/>
        </w:rPr>
      </w:pPr>
      <w:r>
        <w:rPr>
          <w:rFonts w:hint="eastAsia" w:ascii="宋体" w:hAnsi="宋体" w:eastAsia="宋体" w:cs="宋体"/>
          <w:color w:val="auto"/>
          <w:kern w:val="0"/>
          <w:sz w:val="24"/>
          <w:highlight w:val="none"/>
        </w:rPr>
        <w:t>供应商名称（电子签章）：</w:t>
      </w:r>
      <w:r>
        <w:rPr>
          <w:rFonts w:hint="eastAsia" w:ascii="宋体" w:hAnsi="宋体" w:eastAsia="宋体" w:cs="宋体"/>
          <w:color w:val="auto"/>
          <w:kern w:val="0"/>
          <w:sz w:val="24"/>
          <w:highlight w:val="none"/>
          <w:u w:val="single"/>
          <w:lang w:val="en-US" w:eastAsia="zh-CN"/>
        </w:rPr>
        <w:t xml:space="preserve">         </w:t>
      </w:r>
    </w:p>
    <w:p w14:paraId="0096359C">
      <w:pPr>
        <w:spacing w:line="218" w:lineRule="auto"/>
        <w:rPr>
          <w:rFonts w:hint="eastAsia" w:asciiTheme="minorEastAsia" w:hAnsiTheme="minorEastAsia" w:eastAsiaTheme="minorEastAsia" w:cstheme="minorEastAsia"/>
          <w:sz w:val="21"/>
          <w:szCs w:val="21"/>
          <w:highlight w:val="none"/>
        </w:rPr>
        <w:sectPr>
          <w:footerReference r:id="rId10" w:type="default"/>
          <w:pgSz w:w="11906" w:h="16839"/>
          <w:pgMar w:top="1431" w:right="1051" w:bottom="1362" w:left="1088" w:header="0" w:footer="1200" w:gutter="0"/>
          <w:pgNumType w:fmt="decimal"/>
          <w:cols w:space="720" w:num="1"/>
        </w:sect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70EF0439">
      <w:pPr>
        <w:spacing w:before="260" w:after="260" w:line="360" w:lineRule="auto"/>
        <w:jc w:val="center"/>
        <w:outlineLvl w:val="9"/>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建设工程项目管理承诺书</w:t>
      </w:r>
    </w:p>
    <w:p w14:paraId="73916B41">
      <w:pPr>
        <w:spacing w:line="360" w:lineRule="auto"/>
        <w:jc w:val="left"/>
        <w:rPr>
          <w:rFonts w:hint="eastAsia" w:asciiTheme="minorEastAsia" w:hAnsiTheme="minorEastAsia" w:eastAsiaTheme="minorEastAsia" w:cstheme="minorEastAsia"/>
          <w:color w:val="auto"/>
          <w:kern w:val="0"/>
          <w:szCs w:val="20"/>
          <w:highlight w:val="none"/>
        </w:rPr>
      </w:pPr>
      <w:r>
        <w:rPr>
          <w:rFonts w:hint="eastAsia" w:asciiTheme="minorEastAsia" w:hAnsiTheme="minorEastAsia" w:eastAsiaTheme="minorEastAsia" w:cstheme="minorEastAsia"/>
          <w:color w:val="auto"/>
          <w:kern w:val="0"/>
          <w:szCs w:val="20"/>
          <w:highlight w:val="none"/>
        </w:rPr>
        <w:t>致</w:t>
      </w:r>
      <w:r>
        <w:rPr>
          <w:rFonts w:hint="eastAsia" w:asciiTheme="minorEastAsia" w:hAnsiTheme="minorEastAsia" w:eastAsiaTheme="minorEastAsia" w:cstheme="minorEastAsia"/>
          <w:color w:val="auto"/>
          <w:kern w:val="0"/>
          <w:szCs w:val="20"/>
          <w:highlight w:val="none"/>
          <w:u w:val="single"/>
        </w:rPr>
        <w:t xml:space="preserve">                        </w:t>
      </w:r>
      <w:r>
        <w:rPr>
          <w:rFonts w:hint="eastAsia" w:asciiTheme="minorEastAsia" w:hAnsiTheme="minorEastAsia" w:eastAsiaTheme="minorEastAsia" w:cstheme="minorEastAsia"/>
          <w:color w:val="auto"/>
          <w:kern w:val="0"/>
          <w:szCs w:val="20"/>
          <w:highlight w:val="none"/>
        </w:rPr>
        <w:t>（采购人名称）：</w:t>
      </w:r>
    </w:p>
    <w:p w14:paraId="4F8CD778">
      <w:pPr>
        <w:spacing w:line="520" w:lineRule="exact"/>
        <w:ind w:left="-10" w:firstLine="455" w:firstLineChars="217"/>
        <w:jc w:val="left"/>
        <w:rPr>
          <w:rFonts w:hint="eastAsia" w:asciiTheme="minorEastAsia" w:hAnsiTheme="minorEastAsia" w:eastAsiaTheme="minorEastAsia" w:cstheme="minorEastAsia"/>
          <w:color w:val="auto"/>
          <w:kern w:val="0"/>
          <w:szCs w:val="20"/>
          <w:highlight w:val="none"/>
        </w:rPr>
      </w:pPr>
      <w:r>
        <w:rPr>
          <w:rFonts w:hint="eastAsia" w:asciiTheme="minorEastAsia" w:hAnsiTheme="minorEastAsia" w:eastAsiaTheme="minorEastAsia" w:cstheme="minorEastAsia"/>
          <w:color w:val="auto"/>
          <w:kern w:val="0"/>
          <w:szCs w:val="20"/>
          <w:highlight w:val="none"/>
        </w:rPr>
        <w:t>作为参与</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0"/>
          <w:highlight w:val="none"/>
        </w:rPr>
        <w:t>（工程名称）项目的竞标方，根据国家、自治区相关文件规定，我方在此向</w:t>
      </w:r>
      <w:r>
        <w:rPr>
          <w:rFonts w:hint="eastAsia" w:asciiTheme="minorEastAsia" w:hAnsiTheme="minorEastAsia" w:eastAsiaTheme="minorEastAsia" w:cstheme="minorEastAsia"/>
          <w:color w:val="auto"/>
          <w:kern w:val="0"/>
          <w:szCs w:val="20"/>
          <w:highlight w:val="none"/>
          <w:lang w:val="en-US" w:eastAsia="zh-CN"/>
        </w:rPr>
        <w:t>采购</w:t>
      </w:r>
      <w:r>
        <w:rPr>
          <w:rFonts w:hint="eastAsia" w:asciiTheme="minorEastAsia" w:hAnsiTheme="minorEastAsia" w:eastAsiaTheme="minorEastAsia" w:cstheme="minorEastAsia"/>
          <w:color w:val="auto"/>
          <w:kern w:val="0"/>
          <w:szCs w:val="20"/>
          <w:highlight w:val="none"/>
        </w:rPr>
        <w:t>人承诺：</w:t>
      </w:r>
    </w:p>
    <w:p w14:paraId="14CF8A9C">
      <w:pPr>
        <w:spacing w:line="520" w:lineRule="exact"/>
        <w:ind w:left="-10" w:firstLine="455" w:firstLineChars="217"/>
        <w:jc w:val="left"/>
        <w:rPr>
          <w:rFonts w:hint="eastAsia" w:asciiTheme="minorEastAsia" w:hAnsiTheme="minorEastAsia" w:eastAsiaTheme="minorEastAsia" w:cstheme="minorEastAsia"/>
          <w:color w:val="auto"/>
          <w:kern w:val="0"/>
          <w:szCs w:val="20"/>
          <w:highlight w:val="none"/>
        </w:rPr>
      </w:pPr>
      <w:r>
        <w:rPr>
          <w:rFonts w:hint="eastAsia" w:asciiTheme="minorEastAsia" w:hAnsiTheme="minorEastAsia" w:eastAsiaTheme="minorEastAsia" w:cstheme="minorEastAsia"/>
          <w:color w:val="auto"/>
          <w:kern w:val="0"/>
          <w:szCs w:val="20"/>
          <w:highlight w:val="none"/>
        </w:rPr>
        <w:t>1、一旦</w:t>
      </w:r>
      <w:r>
        <w:rPr>
          <w:rFonts w:hint="eastAsia" w:asciiTheme="minorEastAsia" w:hAnsiTheme="minorEastAsia" w:eastAsiaTheme="minorEastAsia" w:cstheme="minorEastAsia"/>
          <w:color w:val="auto"/>
          <w:kern w:val="0"/>
          <w:szCs w:val="20"/>
          <w:highlight w:val="none"/>
          <w:lang w:eastAsia="zh-CN"/>
        </w:rPr>
        <w:t>成交</w:t>
      </w:r>
      <w:r>
        <w:rPr>
          <w:rFonts w:hint="eastAsia" w:asciiTheme="minorEastAsia" w:hAnsiTheme="minorEastAsia" w:eastAsiaTheme="minorEastAsia" w:cstheme="minorEastAsia"/>
          <w:color w:val="auto"/>
          <w:kern w:val="0"/>
          <w:szCs w:val="20"/>
          <w:highlight w:val="none"/>
        </w:rPr>
        <w:t>，我方保证按照政府相关部门的规定，在合同签订后向项目所在地劳动保障部门办理农民工工资保证金手续。严格按照《保障农民工工资支付条例》规定，存储工资保证金，专项用于支付本工程提供劳动的农民工被拖欠的工资。按照与农民工依法约定的工资支付周期和具体支付日期支付工资，保证每月至少向农民工足额支付一次工资。</w:t>
      </w:r>
    </w:p>
    <w:p w14:paraId="184BE7DF">
      <w:pPr>
        <w:spacing w:line="520" w:lineRule="exact"/>
        <w:ind w:left="-10" w:firstLine="455" w:firstLineChars="217"/>
        <w:jc w:val="left"/>
        <w:rPr>
          <w:rFonts w:hint="eastAsia" w:asciiTheme="minorEastAsia" w:hAnsiTheme="minorEastAsia" w:eastAsiaTheme="minorEastAsia" w:cstheme="minorEastAsia"/>
          <w:color w:val="auto"/>
          <w:kern w:val="0"/>
          <w:szCs w:val="20"/>
          <w:highlight w:val="none"/>
        </w:rPr>
      </w:pPr>
      <w:r>
        <w:rPr>
          <w:rFonts w:hint="eastAsia" w:asciiTheme="minorEastAsia" w:hAnsiTheme="minorEastAsia" w:eastAsiaTheme="minorEastAsia" w:cstheme="minorEastAsia"/>
          <w:color w:val="auto"/>
          <w:kern w:val="0"/>
          <w:szCs w:val="20"/>
          <w:highlight w:val="none"/>
        </w:rPr>
        <w:t>2、一旦</w:t>
      </w:r>
      <w:r>
        <w:rPr>
          <w:rFonts w:hint="eastAsia" w:asciiTheme="minorEastAsia" w:hAnsiTheme="minorEastAsia" w:eastAsiaTheme="minorEastAsia" w:cstheme="minorEastAsia"/>
          <w:color w:val="auto"/>
          <w:kern w:val="0"/>
          <w:szCs w:val="20"/>
          <w:highlight w:val="none"/>
          <w:lang w:eastAsia="zh-CN"/>
        </w:rPr>
        <w:t>成交</w:t>
      </w:r>
      <w:r>
        <w:rPr>
          <w:rFonts w:hint="eastAsia" w:asciiTheme="minorEastAsia" w:hAnsiTheme="minorEastAsia" w:eastAsiaTheme="minorEastAsia" w:cstheme="minorEastAsia"/>
          <w:color w:val="auto"/>
          <w:kern w:val="0"/>
          <w:szCs w:val="20"/>
          <w:highlight w:val="none"/>
        </w:rPr>
        <w:t>，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31EAC31F">
      <w:pPr>
        <w:spacing w:line="520" w:lineRule="exact"/>
        <w:ind w:left="-2" w:leftChars="-1" w:firstLine="449" w:firstLineChars="214"/>
        <w:jc w:val="left"/>
        <w:rPr>
          <w:rFonts w:hint="eastAsia" w:asciiTheme="minorEastAsia" w:hAnsiTheme="minorEastAsia" w:eastAsiaTheme="minorEastAsia" w:cstheme="minorEastAsia"/>
          <w:color w:val="auto"/>
          <w:kern w:val="0"/>
          <w:szCs w:val="20"/>
          <w:highlight w:val="none"/>
        </w:rPr>
      </w:pPr>
      <w:r>
        <w:rPr>
          <w:rFonts w:hint="eastAsia" w:asciiTheme="minorEastAsia" w:hAnsiTheme="minorEastAsia" w:eastAsiaTheme="minorEastAsia" w:cstheme="minorEastAsia"/>
          <w:color w:val="auto"/>
          <w:kern w:val="0"/>
          <w:szCs w:val="20"/>
          <w:highlight w:val="none"/>
        </w:rPr>
        <w:t>3、一旦</w:t>
      </w:r>
      <w:r>
        <w:rPr>
          <w:rFonts w:hint="eastAsia" w:asciiTheme="minorEastAsia" w:hAnsiTheme="minorEastAsia" w:eastAsiaTheme="minorEastAsia" w:cstheme="minorEastAsia"/>
          <w:color w:val="auto"/>
          <w:kern w:val="0"/>
          <w:szCs w:val="20"/>
          <w:highlight w:val="none"/>
          <w:lang w:eastAsia="zh-CN"/>
        </w:rPr>
        <w:t>成交</w:t>
      </w:r>
      <w:r>
        <w:rPr>
          <w:rFonts w:hint="eastAsia" w:asciiTheme="minorEastAsia" w:hAnsiTheme="minorEastAsia" w:eastAsiaTheme="minorEastAsia" w:cstheme="minorEastAsia"/>
          <w:color w:val="auto"/>
          <w:kern w:val="0"/>
          <w:szCs w:val="20"/>
          <w:highlight w:val="none"/>
        </w:rPr>
        <w:t>，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77396D63">
      <w:pPr>
        <w:spacing w:line="520" w:lineRule="exact"/>
        <w:ind w:left="-10" w:firstLine="455" w:firstLineChars="217"/>
        <w:jc w:val="left"/>
        <w:rPr>
          <w:rFonts w:hint="eastAsia" w:asciiTheme="minorEastAsia" w:hAnsiTheme="minorEastAsia" w:eastAsiaTheme="minorEastAsia" w:cstheme="minorEastAsia"/>
          <w:color w:val="auto"/>
          <w:kern w:val="0"/>
          <w:szCs w:val="20"/>
          <w:highlight w:val="none"/>
        </w:rPr>
      </w:pPr>
      <w:r>
        <w:rPr>
          <w:rFonts w:hint="eastAsia" w:asciiTheme="minorEastAsia" w:hAnsiTheme="minorEastAsia" w:eastAsiaTheme="minorEastAsia" w:cstheme="minorEastAsia"/>
          <w:color w:val="auto"/>
          <w:kern w:val="0"/>
          <w:szCs w:val="20"/>
          <w:highlight w:val="none"/>
        </w:rPr>
        <w:t>4、一旦</w:t>
      </w:r>
      <w:r>
        <w:rPr>
          <w:rFonts w:hint="eastAsia" w:asciiTheme="minorEastAsia" w:hAnsiTheme="minorEastAsia" w:eastAsiaTheme="minorEastAsia" w:cstheme="minorEastAsia"/>
          <w:color w:val="auto"/>
          <w:kern w:val="0"/>
          <w:szCs w:val="20"/>
          <w:highlight w:val="none"/>
          <w:lang w:eastAsia="zh-CN"/>
        </w:rPr>
        <w:t>成交</w:t>
      </w:r>
      <w:r>
        <w:rPr>
          <w:rFonts w:hint="eastAsia" w:asciiTheme="minorEastAsia" w:hAnsiTheme="minorEastAsia" w:eastAsiaTheme="minorEastAsia" w:cstheme="minorEastAsia"/>
          <w:color w:val="auto"/>
          <w:kern w:val="0"/>
          <w:szCs w:val="20"/>
          <w:highlight w:val="none"/>
        </w:rPr>
        <w:t>，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242381CA">
      <w:pPr>
        <w:spacing w:line="520" w:lineRule="exact"/>
        <w:ind w:left="-10" w:firstLine="455" w:firstLineChars="217"/>
        <w:jc w:val="left"/>
        <w:rPr>
          <w:rFonts w:hint="eastAsia" w:asciiTheme="minorEastAsia" w:hAnsiTheme="minorEastAsia" w:eastAsiaTheme="minorEastAsia" w:cstheme="minorEastAsia"/>
          <w:color w:val="auto"/>
          <w:kern w:val="0"/>
          <w:szCs w:val="20"/>
          <w:highlight w:val="none"/>
        </w:rPr>
      </w:pPr>
      <w:r>
        <w:rPr>
          <w:rFonts w:hint="eastAsia" w:asciiTheme="minorEastAsia" w:hAnsiTheme="minorEastAsia" w:eastAsiaTheme="minorEastAsia" w:cstheme="minorEastAsia"/>
          <w:color w:val="auto"/>
          <w:kern w:val="0"/>
          <w:szCs w:val="20"/>
          <w:highlight w:val="none"/>
        </w:rPr>
        <w:t>5、一旦</w:t>
      </w:r>
      <w:r>
        <w:rPr>
          <w:rFonts w:hint="eastAsia" w:asciiTheme="minorEastAsia" w:hAnsiTheme="minorEastAsia" w:eastAsiaTheme="minorEastAsia" w:cstheme="minorEastAsia"/>
          <w:color w:val="auto"/>
          <w:kern w:val="0"/>
          <w:szCs w:val="20"/>
          <w:highlight w:val="none"/>
          <w:lang w:eastAsia="zh-CN"/>
        </w:rPr>
        <w:t>成交</w:t>
      </w:r>
      <w:r>
        <w:rPr>
          <w:rFonts w:hint="eastAsia" w:asciiTheme="minorEastAsia" w:hAnsiTheme="minorEastAsia" w:eastAsiaTheme="minorEastAsia" w:cstheme="minorEastAsia"/>
          <w:color w:val="auto"/>
          <w:kern w:val="0"/>
          <w:szCs w:val="20"/>
          <w:highlight w:val="none"/>
        </w:rPr>
        <w:t>，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134D320B">
      <w:pPr>
        <w:spacing w:line="520" w:lineRule="exact"/>
        <w:ind w:left="-10" w:firstLine="455" w:firstLineChars="217"/>
        <w:jc w:val="left"/>
        <w:rPr>
          <w:rFonts w:hint="eastAsia" w:asciiTheme="minorEastAsia" w:hAnsiTheme="minorEastAsia" w:eastAsiaTheme="minorEastAsia" w:cstheme="minorEastAsia"/>
          <w:color w:val="auto"/>
          <w:kern w:val="0"/>
          <w:szCs w:val="20"/>
          <w:highlight w:val="none"/>
        </w:rPr>
      </w:pPr>
    </w:p>
    <w:p w14:paraId="02DCB1CB">
      <w:pPr>
        <w:spacing w:line="360" w:lineRule="auto"/>
        <w:ind w:firstLine="3840" w:firstLineChars="16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1E0E55D4">
      <w:pPr>
        <w:spacing w:line="360" w:lineRule="auto"/>
        <w:contextualSpacing/>
        <w:jc w:val="center"/>
        <w:rPr>
          <w:rFonts w:hint="eastAsia" w:asciiTheme="minorEastAsia" w:hAnsiTheme="minorEastAsia" w:eastAsiaTheme="minorEastAsia" w:cstheme="minorEastAsia"/>
          <w:b/>
          <w:color w:val="auto"/>
          <w:sz w:val="30"/>
          <w:szCs w:val="30"/>
          <w:highlight w:val="none"/>
        </w:rPr>
      </w:pPr>
      <w:r>
        <w:rPr>
          <w:rFonts w:hint="eastAsia" w:asciiTheme="minorEastAsia" w:hAnsiTheme="minorEastAsia" w:eastAsiaTheme="minorEastAsia" w:cstheme="minorEastAsia"/>
          <w:color w:val="auto"/>
          <w:kern w:val="0"/>
          <w:sz w:val="24"/>
          <w:highlight w:val="none"/>
          <w:lang w:val="zh-CN"/>
        </w:rPr>
        <w:t xml:space="preserve">                                                   日期：  年  月   日</w:t>
      </w:r>
    </w:p>
    <w:p w14:paraId="202A4AF1">
      <w:pPr>
        <w:spacing w:line="228" w:lineRule="auto"/>
        <w:rPr>
          <w:rFonts w:hint="eastAsia" w:asciiTheme="minorEastAsia" w:hAnsiTheme="minorEastAsia" w:eastAsiaTheme="minorEastAsia" w:cstheme="minorEastAsia"/>
          <w:sz w:val="22"/>
          <w:szCs w:val="22"/>
          <w:highlight w:val="none"/>
        </w:rPr>
        <w:sectPr>
          <w:footerReference r:id="rId11" w:type="default"/>
          <w:pgSz w:w="11906" w:h="16839"/>
          <w:pgMar w:top="1431" w:right="1081" w:bottom="1360" w:left="1079" w:header="0" w:footer="1200" w:gutter="0"/>
          <w:pgNumType w:fmt="decimal"/>
          <w:cols w:space="720" w:num="1"/>
        </w:sectPr>
      </w:pPr>
    </w:p>
    <w:bookmarkEnd w:id="198"/>
    <w:p w14:paraId="3B7E993E">
      <w:pPr>
        <w:keepNext w:val="0"/>
        <w:keepLines w:val="0"/>
        <w:widowControl/>
        <w:suppressLineNumbers w:val="0"/>
        <w:shd w:val="clear" w:color="auto" w:fill="auto"/>
        <w:spacing w:line="36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技术及商务偏离表</w:t>
      </w:r>
    </w:p>
    <w:p w14:paraId="62C75E24">
      <w:pPr>
        <w:keepNext w:val="0"/>
        <w:keepLines w:val="0"/>
        <w:widowControl/>
        <w:suppressLineNumbers w:val="0"/>
        <w:shd w:val="clear" w:color="auto" w:fill="auto"/>
        <w:spacing w:line="360" w:lineRule="auto"/>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项目名称：</w:t>
      </w:r>
    </w:p>
    <w:p w14:paraId="754D17F7">
      <w:pPr>
        <w:keepNext w:val="0"/>
        <w:keepLines w:val="0"/>
        <w:widowControl/>
        <w:suppressLineNumbers w:val="0"/>
        <w:shd w:val="clear" w:color="auto" w:fill="auto"/>
        <w:spacing w:line="360" w:lineRule="auto"/>
        <w:jc w:val="left"/>
        <w:rPr>
          <w:rFonts w:hint="eastAsia"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color w:val="auto"/>
          <w:kern w:val="0"/>
          <w:sz w:val="24"/>
          <w:szCs w:val="24"/>
          <w:highlight w:val="none"/>
          <w:lang w:val="en-US" w:eastAsia="zh-CN" w:bidi="ar"/>
        </w:rPr>
        <w:t>项目编号：</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2913"/>
        <w:gridCol w:w="2422"/>
        <w:gridCol w:w="2831"/>
        <w:gridCol w:w="919"/>
      </w:tblGrid>
      <w:tr w14:paraId="1FC2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39" w:type="pct"/>
            <w:noWrap w:val="0"/>
            <w:vAlign w:val="center"/>
          </w:tcPr>
          <w:p w14:paraId="6D55B026">
            <w:pPr>
              <w:shd w:val="clear" w:color="auto" w:fill="auto"/>
              <w:spacing w:line="360"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项号</w:t>
            </w:r>
          </w:p>
        </w:tc>
        <w:tc>
          <w:tcPr>
            <w:tcW w:w="1461" w:type="pct"/>
            <w:noWrap w:val="0"/>
            <w:vAlign w:val="center"/>
          </w:tcPr>
          <w:p w14:paraId="275F7505">
            <w:pPr>
              <w:shd w:val="clear" w:color="auto" w:fill="auto"/>
              <w:spacing w:line="360"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采购文件要求</w:t>
            </w:r>
          </w:p>
        </w:tc>
        <w:tc>
          <w:tcPr>
            <w:tcW w:w="1215" w:type="pct"/>
            <w:noWrap w:val="0"/>
            <w:vAlign w:val="center"/>
          </w:tcPr>
          <w:p w14:paraId="201255D3">
            <w:pPr>
              <w:shd w:val="clear" w:color="auto" w:fill="auto"/>
              <w:spacing w:line="360"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供应商响应内容</w:t>
            </w:r>
          </w:p>
        </w:tc>
        <w:tc>
          <w:tcPr>
            <w:tcW w:w="1420" w:type="pct"/>
            <w:noWrap w:val="0"/>
            <w:vAlign w:val="center"/>
          </w:tcPr>
          <w:p w14:paraId="0E8A958C">
            <w:pPr>
              <w:shd w:val="clear" w:color="auto" w:fill="auto"/>
              <w:spacing w:line="360"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偏离情况</w:t>
            </w:r>
          </w:p>
        </w:tc>
        <w:tc>
          <w:tcPr>
            <w:tcW w:w="461" w:type="pct"/>
            <w:noWrap w:val="0"/>
            <w:vAlign w:val="center"/>
          </w:tcPr>
          <w:p w14:paraId="4FF613C1">
            <w:pPr>
              <w:shd w:val="clear" w:color="auto" w:fill="auto"/>
              <w:spacing w:line="360" w:lineRule="auto"/>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说明</w:t>
            </w:r>
          </w:p>
        </w:tc>
      </w:tr>
      <w:tr w14:paraId="24D8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39" w:type="pct"/>
            <w:noWrap w:val="0"/>
            <w:vAlign w:val="top"/>
          </w:tcPr>
          <w:p w14:paraId="1D89ECE4">
            <w:pPr>
              <w:shd w:val="clear" w:color="auto" w:fill="auto"/>
              <w:spacing w:line="360" w:lineRule="auto"/>
              <w:rPr>
                <w:rFonts w:hint="eastAsia" w:asciiTheme="minorEastAsia" w:hAnsiTheme="minorEastAsia" w:eastAsiaTheme="minorEastAsia" w:cstheme="minorEastAsia"/>
                <w:color w:val="auto"/>
                <w:highlight w:val="none"/>
              </w:rPr>
            </w:pPr>
          </w:p>
        </w:tc>
        <w:tc>
          <w:tcPr>
            <w:tcW w:w="1461" w:type="pct"/>
            <w:noWrap w:val="0"/>
            <w:vAlign w:val="top"/>
          </w:tcPr>
          <w:p w14:paraId="2996A539">
            <w:pPr>
              <w:shd w:val="clear" w:color="auto" w:fill="auto"/>
              <w:spacing w:line="360" w:lineRule="auto"/>
              <w:rPr>
                <w:rFonts w:hint="eastAsia" w:asciiTheme="minorEastAsia" w:hAnsiTheme="minorEastAsia" w:eastAsiaTheme="minorEastAsia" w:cstheme="minorEastAsia"/>
                <w:color w:val="auto"/>
                <w:highlight w:val="none"/>
              </w:rPr>
            </w:pPr>
          </w:p>
        </w:tc>
        <w:tc>
          <w:tcPr>
            <w:tcW w:w="1215" w:type="pct"/>
            <w:noWrap w:val="0"/>
            <w:vAlign w:val="top"/>
          </w:tcPr>
          <w:p w14:paraId="58B9AB40">
            <w:pPr>
              <w:shd w:val="clear" w:color="auto" w:fill="auto"/>
              <w:spacing w:line="360" w:lineRule="auto"/>
              <w:rPr>
                <w:rFonts w:hint="eastAsia" w:asciiTheme="minorEastAsia" w:hAnsiTheme="minorEastAsia" w:eastAsiaTheme="minorEastAsia" w:cstheme="minorEastAsia"/>
                <w:color w:val="auto"/>
                <w:highlight w:val="none"/>
              </w:rPr>
            </w:pPr>
          </w:p>
        </w:tc>
        <w:tc>
          <w:tcPr>
            <w:tcW w:w="1420" w:type="pct"/>
            <w:noWrap w:val="0"/>
            <w:vAlign w:val="top"/>
          </w:tcPr>
          <w:p w14:paraId="30F91520">
            <w:pPr>
              <w:shd w:val="clear" w:color="auto" w:fill="auto"/>
              <w:spacing w:line="360" w:lineRule="auto"/>
              <w:rPr>
                <w:rFonts w:hint="eastAsia" w:asciiTheme="minorEastAsia" w:hAnsiTheme="minorEastAsia" w:eastAsiaTheme="minorEastAsia" w:cstheme="minorEastAsia"/>
                <w:color w:val="auto"/>
                <w:highlight w:val="none"/>
              </w:rPr>
            </w:pPr>
          </w:p>
        </w:tc>
        <w:tc>
          <w:tcPr>
            <w:tcW w:w="461" w:type="pct"/>
            <w:noWrap w:val="0"/>
            <w:vAlign w:val="top"/>
          </w:tcPr>
          <w:p w14:paraId="25C43080">
            <w:pPr>
              <w:shd w:val="clear" w:color="auto" w:fill="auto"/>
              <w:spacing w:line="360" w:lineRule="auto"/>
              <w:rPr>
                <w:rFonts w:hint="eastAsia" w:asciiTheme="minorEastAsia" w:hAnsiTheme="minorEastAsia" w:eastAsiaTheme="minorEastAsia" w:cstheme="minorEastAsia"/>
                <w:color w:val="auto"/>
                <w:highlight w:val="none"/>
              </w:rPr>
            </w:pPr>
          </w:p>
        </w:tc>
      </w:tr>
      <w:tr w14:paraId="48820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39" w:type="pct"/>
            <w:noWrap w:val="0"/>
            <w:vAlign w:val="top"/>
          </w:tcPr>
          <w:p w14:paraId="61164068">
            <w:pPr>
              <w:shd w:val="clear" w:color="auto" w:fill="auto"/>
              <w:spacing w:line="360" w:lineRule="auto"/>
              <w:rPr>
                <w:rFonts w:hint="eastAsia" w:asciiTheme="minorEastAsia" w:hAnsiTheme="minorEastAsia" w:eastAsiaTheme="minorEastAsia" w:cstheme="minorEastAsia"/>
                <w:color w:val="auto"/>
                <w:highlight w:val="none"/>
              </w:rPr>
            </w:pPr>
          </w:p>
        </w:tc>
        <w:tc>
          <w:tcPr>
            <w:tcW w:w="1461" w:type="pct"/>
            <w:noWrap w:val="0"/>
            <w:vAlign w:val="top"/>
          </w:tcPr>
          <w:p w14:paraId="39053023">
            <w:pPr>
              <w:shd w:val="clear" w:color="auto" w:fill="auto"/>
              <w:spacing w:line="360" w:lineRule="auto"/>
              <w:rPr>
                <w:rFonts w:hint="eastAsia" w:asciiTheme="minorEastAsia" w:hAnsiTheme="minorEastAsia" w:eastAsiaTheme="minorEastAsia" w:cstheme="minorEastAsia"/>
                <w:color w:val="auto"/>
                <w:highlight w:val="none"/>
              </w:rPr>
            </w:pPr>
          </w:p>
        </w:tc>
        <w:tc>
          <w:tcPr>
            <w:tcW w:w="1215" w:type="pct"/>
            <w:noWrap w:val="0"/>
            <w:vAlign w:val="top"/>
          </w:tcPr>
          <w:p w14:paraId="05F6F3EE">
            <w:pPr>
              <w:shd w:val="clear" w:color="auto" w:fill="auto"/>
              <w:spacing w:line="360" w:lineRule="auto"/>
              <w:rPr>
                <w:rFonts w:hint="eastAsia" w:asciiTheme="minorEastAsia" w:hAnsiTheme="minorEastAsia" w:eastAsiaTheme="minorEastAsia" w:cstheme="minorEastAsia"/>
                <w:color w:val="auto"/>
                <w:highlight w:val="none"/>
              </w:rPr>
            </w:pPr>
          </w:p>
        </w:tc>
        <w:tc>
          <w:tcPr>
            <w:tcW w:w="1420" w:type="pct"/>
            <w:noWrap w:val="0"/>
            <w:vAlign w:val="top"/>
          </w:tcPr>
          <w:p w14:paraId="38F7AB31">
            <w:pPr>
              <w:shd w:val="clear" w:color="auto" w:fill="auto"/>
              <w:spacing w:line="360" w:lineRule="auto"/>
              <w:rPr>
                <w:rFonts w:hint="eastAsia" w:asciiTheme="minorEastAsia" w:hAnsiTheme="minorEastAsia" w:eastAsiaTheme="minorEastAsia" w:cstheme="minorEastAsia"/>
                <w:color w:val="auto"/>
                <w:highlight w:val="none"/>
              </w:rPr>
            </w:pPr>
          </w:p>
        </w:tc>
        <w:tc>
          <w:tcPr>
            <w:tcW w:w="461" w:type="pct"/>
            <w:noWrap w:val="0"/>
            <w:vAlign w:val="top"/>
          </w:tcPr>
          <w:p w14:paraId="5F51B823">
            <w:pPr>
              <w:shd w:val="clear" w:color="auto" w:fill="auto"/>
              <w:spacing w:line="360" w:lineRule="auto"/>
              <w:rPr>
                <w:rFonts w:hint="eastAsia" w:asciiTheme="minorEastAsia" w:hAnsiTheme="minorEastAsia" w:eastAsiaTheme="minorEastAsia" w:cstheme="minorEastAsia"/>
                <w:color w:val="auto"/>
                <w:highlight w:val="none"/>
              </w:rPr>
            </w:pPr>
          </w:p>
        </w:tc>
      </w:tr>
      <w:tr w14:paraId="474C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439" w:type="pct"/>
            <w:noWrap w:val="0"/>
            <w:vAlign w:val="top"/>
          </w:tcPr>
          <w:p w14:paraId="4FAF2632">
            <w:pPr>
              <w:shd w:val="clear" w:color="auto" w:fill="auto"/>
              <w:spacing w:line="360" w:lineRule="auto"/>
              <w:rPr>
                <w:rFonts w:hint="eastAsia" w:asciiTheme="minorEastAsia" w:hAnsiTheme="minorEastAsia" w:eastAsiaTheme="minorEastAsia" w:cstheme="minorEastAsia"/>
                <w:color w:val="auto"/>
                <w:highlight w:val="none"/>
              </w:rPr>
            </w:pPr>
          </w:p>
        </w:tc>
        <w:tc>
          <w:tcPr>
            <w:tcW w:w="1461" w:type="pct"/>
            <w:noWrap w:val="0"/>
            <w:vAlign w:val="top"/>
          </w:tcPr>
          <w:p w14:paraId="70CBE1A2">
            <w:pPr>
              <w:shd w:val="clear" w:color="auto" w:fill="auto"/>
              <w:spacing w:line="360" w:lineRule="auto"/>
              <w:rPr>
                <w:rFonts w:hint="eastAsia" w:asciiTheme="minorEastAsia" w:hAnsiTheme="minorEastAsia" w:eastAsiaTheme="minorEastAsia" w:cstheme="minorEastAsia"/>
                <w:color w:val="auto"/>
                <w:highlight w:val="none"/>
              </w:rPr>
            </w:pPr>
          </w:p>
        </w:tc>
        <w:tc>
          <w:tcPr>
            <w:tcW w:w="1215" w:type="pct"/>
            <w:noWrap w:val="0"/>
            <w:vAlign w:val="top"/>
          </w:tcPr>
          <w:p w14:paraId="25FADF2D">
            <w:pPr>
              <w:shd w:val="clear" w:color="auto" w:fill="auto"/>
              <w:spacing w:line="360" w:lineRule="auto"/>
              <w:rPr>
                <w:rFonts w:hint="eastAsia" w:asciiTheme="minorEastAsia" w:hAnsiTheme="minorEastAsia" w:eastAsiaTheme="minorEastAsia" w:cstheme="minorEastAsia"/>
                <w:color w:val="auto"/>
                <w:highlight w:val="none"/>
              </w:rPr>
            </w:pPr>
          </w:p>
        </w:tc>
        <w:tc>
          <w:tcPr>
            <w:tcW w:w="1420" w:type="pct"/>
            <w:noWrap w:val="0"/>
            <w:vAlign w:val="top"/>
          </w:tcPr>
          <w:p w14:paraId="084DA029">
            <w:pPr>
              <w:shd w:val="clear" w:color="auto" w:fill="auto"/>
              <w:spacing w:line="360" w:lineRule="auto"/>
              <w:rPr>
                <w:rFonts w:hint="eastAsia" w:asciiTheme="minorEastAsia" w:hAnsiTheme="minorEastAsia" w:eastAsiaTheme="minorEastAsia" w:cstheme="minorEastAsia"/>
                <w:color w:val="auto"/>
                <w:highlight w:val="none"/>
              </w:rPr>
            </w:pPr>
          </w:p>
        </w:tc>
        <w:tc>
          <w:tcPr>
            <w:tcW w:w="461" w:type="pct"/>
            <w:noWrap w:val="0"/>
            <w:vAlign w:val="top"/>
          </w:tcPr>
          <w:p w14:paraId="03F20188">
            <w:pPr>
              <w:shd w:val="clear" w:color="auto" w:fill="auto"/>
              <w:spacing w:line="360" w:lineRule="auto"/>
              <w:rPr>
                <w:rFonts w:hint="eastAsia" w:asciiTheme="minorEastAsia" w:hAnsiTheme="minorEastAsia" w:eastAsiaTheme="minorEastAsia" w:cstheme="minorEastAsia"/>
                <w:color w:val="auto"/>
                <w:highlight w:val="none"/>
              </w:rPr>
            </w:pPr>
          </w:p>
        </w:tc>
      </w:tr>
      <w:tr w14:paraId="1A48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39" w:type="pct"/>
            <w:noWrap w:val="0"/>
            <w:vAlign w:val="top"/>
          </w:tcPr>
          <w:p w14:paraId="1063F41B">
            <w:pPr>
              <w:shd w:val="clear" w:color="auto" w:fill="auto"/>
              <w:spacing w:line="360" w:lineRule="auto"/>
              <w:rPr>
                <w:rFonts w:hint="eastAsia" w:asciiTheme="minorEastAsia" w:hAnsiTheme="minorEastAsia" w:eastAsiaTheme="minorEastAsia" w:cstheme="minorEastAsia"/>
                <w:color w:val="auto"/>
                <w:highlight w:val="none"/>
              </w:rPr>
            </w:pPr>
          </w:p>
        </w:tc>
        <w:tc>
          <w:tcPr>
            <w:tcW w:w="1461" w:type="pct"/>
            <w:noWrap w:val="0"/>
            <w:vAlign w:val="top"/>
          </w:tcPr>
          <w:p w14:paraId="279774B1">
            <w:pPr>
              <w:shd w:val="clear" w:color="auto" w:fill="auto"/>
              <w:spacing w:line="360" w:lineRule="auto"/>
              <w:rPr>
                <w:rFonts w:hint="eastAsia" w:asciiTheme="minorEastAsia" w:hAnsiTheme="minorEastAsia" w:eastAsiaTheme="minorEastAsia" w:cstheme="minorEastAsia"/>
                <w:color w:val="auto"/>
                <w:highlight w:val="none"/>
              </w:rPr>
            </w:pPr>
          </w:p>
        </w:tc>
        <w:tc>
          <w:tcPr>
            <w:tcW w:w="1215" w:type="pct"/>
            <w:noWrap w:val="0"/>
            <w:vAlign w:val="top"/>
          </w:tcPr>
          <w:p w14:paraId="77B01B60">
            <w:pPr>
              <w:shd w:val="clear" w:color="auto" w:fill="auto"/>
              <w:spacing w:line="360" w:lineRule="auto"/>
              <w:rPr>
                <w:rFonts w:hint="eastAsia" w:asciiTheme="minorEastAsia" w:hAnsiTheme="minorEastAsia" w:eastAsiaTheme="minorEastAsia" w:cstheme="minorEastAsia"/>
                <w:color w:val="auto"/>
                <w:highlight w:val="none"/>
              </w:rPr>
            </w:pPr>
          </w:p>
        </w:tc>
        <w:tc>
          <w:tcPr>
            <w:tcW w:w="1420" w:type="pct"/>
            <w:noWrap w:val="0"/>
            <w:vAlign w:val="top"/>
          </w:tcPr>
          <w:p w14:paraId="72D7DED6">
            <w:pPr>
              <w:shd w:val="clear" w:color="auto" w:fill="auto"/>
              <w:spacing w:line="360" w:lineRule="auto"/>
              <w:rPr>
                <w:rFonts w:hint="eastAsia" w:asciiTheme="minorEastAsia" w:hAnsiTheme="minorEastAsia" w:eastAsiaTheme="minorEastAsia" w:cstheme="minorEastAsia"/>
                <w:color w:val="auto"/>
                <w:highlight w:val="none"/>
              </w:rPr>
            </w:pPr>
          </w:p>
        </w:tc>
        <w:tc>
          <w:tcPr>
            <w:tcW w:w="461" w:type="pct"/>
            <w:noWrap w:val="0"/>
            <w:vAlign w:val="top"/>
          </w:tcPr>
          <w:p w14:paraId="191B9E60">
            <w:pPr>
              <w:shd w:val="clear" w:color="auto" w:fill="auto"/>
              <w:spacing w:line="360" w:lineRule="auto"/>
              <w:rPr>
                <w:rFonts w:hint="eastAsia" w:asciiTheme="minorEastAsia" w:hAnsiTheme="minorEastAsia" w:eastAsiaTheme="minorEastAsia" w:cstheme="minorEastAsia"/>
                <w:color w:val="auto"/>
                <w:highlight w:val="none"/>
              </w:rPr>
            </w:pPr>
          </w:p>
        </w:tc>
      </w:tr>
    </w:tbl>
    <w:p w14:paraId="1A0325F5">
      <w:pPr>
        <w:keepNext w:val="0"/>
        <w:keepLines w:val="0"/>
        <w:widowControl/>
        <w:suppressLineNumbers w:val="0"/>
        <w:shd w:val="clear" w:color="auto" w:fill="auto"/>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 xml:space="preserve">注： </w:t>
      </w:r>
    </w:p>
    <w:p w14:paraId="1C8C2298">
      <w:pPr>
        <w:keepNext w:val="0"/>
        <w:keepLines w:val="0"/>
        <w:widowControl/>
        <w:suppressLineNumbers w:val="0"/>
        <w:shd w:val="clear" w:color="auto" w:fill="auto"/>
        <w:spacing w:line="360" w:lineRule="auto"/>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1. 说明：应对照招标文件“第三章 采购需求 ”中的“采购要求 ”逐条作明确的竞标响应，并作出偏离说明，否则作无效标处理。</w:t>
      </w:r>
    </w:p>
    <w:p w14:paraId="3709C492">
      <w:pPr>
        <w:keepNext w:val="0"/>
        <w:keepLines w:val="0"/>
        <w:widowControl/>
        <w:suppressLineNumbers w:val="0"/>
        <w:shd w:val="clear" w:color="auto" w:fill="auto"/>
        <w:spacing w:line="360" w:lineRule="auto"/>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2.竞标人根据竞标产品的性能指标，对照招标文件技术要求，在“偏离说明 ”中注明“正偏离 ”、 “负偏离 ”或者“无偏离 ”。既不属于“正偏离 ”也不属于“负偏离 ”即为“无偏离 ”。</w:t>
      </w:r>
    </w:p>
    <w:p w14:paraId="599B39CF">
      <w:pPr>
        <w:keepNext w:val="0"/>
        <w:keepLines w:val="0"/>
        <w:widowControl/>
        <w:suppressLineNumbers w:val="0"/>
        <w:shd w:val="clear" w:color="auto" w:fill="auto"/>
        <w:spacing w:line="360" w:lineRule="auto"/>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3.竞标人认为其竞标响应有正偏离的，请在技术要求偏离表中列明。</w:t>
      </w:r>
    </w:p>
    <w:p w14:paraId="1CCA6FAB">
      <w:pPr>
        <w:keepNext w:val="0"/>
        <w:keepLines w:val="0"/>
        <w:widowControl/>
        <w:suppressLineNumbers w:val="0"/>
        <w:shd w:val="clear" w:color="auto" w:fill="auto"/>
        <w:spacing w:line="360" w:lineRule="auto"/>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4. 如技术要求偏离表中的竞标响应与佐证材料不一致的，以佐证材料为准。</w:t>
      </w:r>
    </w:p>
    <w:p w14:paraId="01225AFE">
      <w:pPr>
        <w:keepNext w:val="0"/>
        <w:keepLines w:val="0"/>
        <w:widowControl/>
        <w:suppressLineNumbers w:val="0"/>
        <w:shd w:val="clear" w:color="auto" w:fill="auto"/>
        <w:spacing w:line="360" w:lineRule="auto"/>
        <w:jc w:val="left"/>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w:t>
      </w:r>
    </w:p>
    <w:p w14:paraId="501BF397">
      <w:pPr>
        <w:pStyle w:val="7"/>
        <w:shd w:val="clear" w:color="auto" w:fill="auto"/>
        <w:spacing w:line="360" w:lineRule="auto"/>
        <w:rPr>
          <w:rFonts w:hint="eastAsia" w:asciiTheme="minorEastAsia" w:hAnsiTheme="minorEastAsia" w:eastAsiaTheme="minorEastAsia" w:cstheme="minorEastAsia"/>
          <w:color w:val="auto"/>
          <w:kern w:val="0"/>
          <w:sz w:val="24"/>
          <w:szCs w:val="24"/>
          <w:highlight w:val="none"/>
          <w:lang w:val="en-US" w:eastAsia="zh-CN" w:bidi="ar"/>
        </w:rPr>
      </w:pPr>
    </w:p>
    <w:p w14:paraId="00666A22">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法定代表人或者委托代理人（签字或者电子签名）：                    </w:t>
      </w:r>
    </w:p>
    <w:p w14:paraId="42539882">
      <w:pPr>
        <w:shd w:val="clear" w:color="auto" w:fill="auto"/>
        <w:spacing w:line="360" w:lineRule="auto"/>
        <w:ind w:right="-817" w:rightChars="-389" w:firstLine="2640" w:firstLineChars="11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供应商（电子签章）：      </w:t>
      </w:r>
    </w:p>
    <w:p w14:paraId="0C65A3AF">
      <w:pPr>
        <w:shd w:val="clear" w:color="auto" w:fill="auto"/>
        <w:spacing w:line="360" w:lineRule="auto"/>
        <w:ind w:right="-817" w:rightChars="-389" w:firstLine="4080" w:firstLineChars="17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   年   月   日</w:t>
      </w:r>
    </w:p>
    <w:p w14:paraId="4154062F">
      <w:pPr>
        <w:shd w:val="clear" w:color="auto" w:fill="auto"/>
        <w:spacing w:line="360" w:lineRule="auto"/>
        <w:jc w:val="center"/>
        <w:rPr>
          <w:rFonts w:hint="eastAsia" w:asciiTheme="minorEastAsia" w:hAnsiTheme="minorEastAsia" w:eastAsiaTheme="minorEastAsia" w:cstheme="minorEastAsia"/>
          <w:color w:val="auto"/>
          <w:sz w:val="32"/>
          <w:szCs w:val="32"/>
          <w:highlight w:val="none"/>
        </w:rPr>
      </w:pPr>
    </w:p>
    <w:p w14:paraId="423CDB4D">
      <w:pPr>
        <w:shd w:val="clear" w:color="auto" w:fill="auto"/>
        <w:spacing w:line="360" w:lineRule="auto"/>
        <w:jc w:val="center"/>
        <w:rPr>
          <w:rFonts w:hint="eastAsia" w:asciiTheme="minorEastAsia" w:hAnsiTheme="minorEastAsia" w:eastAsiaTheme="minorEastAsia" w:cstheme="minorEastAsia"/>
          <w:color w:val="auto"/>
          <w:sz w:val="32"/>
          <w:szCs w:val="32"/>
          <w:highlight w:val="none"/>
        </w:rPr>
      </w:pPr>
    </w:p>
    <w:p w14:paraId="4EB9358D">
      <w:pPr>
        <w:shd w:val="clear" w:color="auto" w:fill="auto"/>
        <w:spacing w:line="360" w:lineRule="auto"/>
        <w:jc w:val="center"/>
        <w:rPr>
          <w:rFonts w:hint="eastAsia" w:asciiTheme="minorEastAsia" w:hAnsiTheme="minorEastAsia" w:eastAsiaTheme="minorEastAsia" w:cstheme="minorEastAsia"/>
          <w:color w:val="auto"/>
          <w:sz w:val="32"/>
          <w:szCs w:val="32"/>
          <w:highlight w:val="none"/>
        </w:rPr>
      </w:pPr>
    </w:p>
    <w:p w14:paraId="3A6EB2C8">
      <w:pPr>
        <w:shd w:val="clear" w:color="auto" w:fill="auto"/>
        <w:spacing w:line="360" w:lineRule="auto"/>
        <w:jc w:val="center"/>
        <w:rPr>
          <w:rFonts w:hint="eastAsia" w:asciiTheme="minorEastAsia" w:hAnsiTheme="minorEastAsia" w:eastAsiaTheme="minorEastAsia" w:cstheme="minorEastAsia"/>
          <w:color w:val="auto"/>
          <w:sz w:val="32"/>
          <w:szCs w:val="32"/>
          <w:highlight w:val="none"/>
        </w:rPr>
      </w:pPr>
    </w:p>
    <w:p w14:paraId="40F970D4">
      <w:pPr>
        <w:shd w:val="clear" w:color="auto" w:fill="auto"/>
        <w:spacing w:line="360" w:lineRule="auto"/>
        <w:jc w:val="center"/>
        <w:rPr>
          <w:rFonts w:hint="eastAsia" w:asciiTheme="minorEastAsia" w:hAnsiTheme="minorEastAsia" w:eastAsiaTheme="minorEastAsia" w:cstheme="minorEastAsia"/>
          <w:color w:val="auto"/>
          <w:sz w:val="32"/>
          <w:szCs w:val="32"/>
          <w:highlight w:val="none"/>
        </w:rPr>
      </w:pPr>
    </w:p>
    <w:p w14:paraId="7F44757C">
      <w:pPr>
        <w:shd w:val="clear" w:color="auto" w:fill="auto"/>
        <w:spacing w:line="360" w:lineRule="auto"/>
        <w:jc w:val="center"/>
        <w:rPr>
          <w:rFonts w:hint="eastAsia" w:asciiTheme="minorEastAsia" w:hAnsiTheme="minorEastAsia" w:eastAsiaTheme="minorEastAsia" w:cstheme="minorEastAsia"/>
          <w:color w:val="auto"/>
          <w:sz w:val="32"/>
          <w:szCs w:val="32"/>
          <w:highlight w:val="none"/>
        </w:rPr>
      </w:pPr>
    </w:p>
    <w:p w14:paraId="6853BD14">
      <w:pPr>
        <w:shd w:val="clear" w:color="auto" w:fill="auto"/>
        <w:spacing w:line="360" w:lineRule="auto"/>
        <w:jc w:val="center"/>
        <w:rPr>
          <w:rFonts w:hint="eastAsia" w:asciiTheme="minorEastAsia" w:hAnsiTheme="minorEastAsia" w:eastAsiaTheme="minorEastAsia" w:cstheme="minorEastAsia"/>
          <w:color w:val="auto"/>
          <w:sz w:val="32"/>
          <w:szCs w:val="32"/>
          <w:highlight w:val="none"/>
        </w:rPr>
      </w:pPr>
    </w:p>
    <w:p w14:paraId="16F124DC">
      <w:pPr>
        <w:pStyle w:val="9"/>
        <w:spacing w:before="203" w:line="219" w:lineRule="auto"/>
        <w:ind w:left="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pacing w:val="-3"/>
          <w:sz w:val="21"/>
          <w:szCs w:val="21"/>
          <w:highlight w:val="none"/>
        </w:rPr>
        <w:t>其他文书、文件格式</w:t>
      </w:r>
    </w:p>
    <w:p w14:paraId="26676B71">
      <w:pPr>
        <w:spacing w:line="300" w:lineRule="auto"/>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中小企业声明函（</w:t>
      </w:r>
      <w:r>
        <w:rPr>
          <w:rFonts w:hint="eastAsia" w:asciiTheme="minorEastAsia" w:hAnsiTheme="minorEastAsia" w:eastAsiaTheme="minorEastAsia" w:cstheme="minorEastAsia"/>
          <w:b/>
          <w:color w:val="auto"/>
          <w:sz w:val="32"/>
          <w:szCs w:val="32"/>
          <w:highlight w:val="none"/>
          <w:lang w:val="en-US" w:eastAsia="zh-CN"/>
        </w:rPr>
        <w:t>工程</w:t>
      </w:r>
      <w:r>
        <w:rPr>
          <w:rFonts w:hint="eastAsia" w:asciiTheme="minorEastAsia" w:hAnsiTheme="minorEastAsia" w:eastAsiaTheme="minorEastAsia" w:cstheme="minorEastAsia"/>
          <w:b/>
          <w:color w:val="auto"/>
          <w:sz w:val="32"/>
          <w:szCs w:val="32"/>
          <w:highlight w:val="none"/>
        </w:rPr>
        <w:t>）</w:t>
      </w:r>
    </w:p>
    <w:p w14:paraId="58DB367F">
      <w:pPr>
        <w:spacing w:line="300" w:lineRule="auto"/>
        <w:jc w:val="center"/>
        <w:rPr>
          <w:rFonts w:hint="eastAsia" w:asciiTheme="minorEastAsia" w:hAnsiTheme="minorEastAsia" w:eastAsiaTheme="minorEastAsia" w:cstheme="minorEastAsia"/>
          <w:b/>
          <w:color w:val="auto"/>
          <w:sz w:val="32"/>
          <w:szCs w:val="32"/>
          <w:highlight w:val="none"/>
        </w:rPr>
      </w:pPr>
    </w:p>
    <w:p w14:paraId="58287500">
      <w:pPr>
        <w:pStyle w:val="9"/>
        <w:spacing w:after="0" w:line="360" w:lineRule="auto"/>
        <w:ind w:left="-426" w:right="142" w:firstLine="6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本公司（联合体）郑重声明，根据《政府采购促进中小企业发展管理办法》（财库﹝2020﹞46号）的规定，本公司参加</w:t>
      </w:r>
      <w:r>
        <w:rPr>
          <w:rFonts w:hint="eastAsia" w:ascii="宋体" w:hAnsi="宋体" w:eastAsia="宋体" w:cs="宋体"/>
          <w:color w:val="auto"/>
          <w:sz w:val="24"/>
          <w:highlight w:val="none"/>
          <w:u w:val="single"/>
        </w:rPr>
        <w:t>（单位名称）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采购活动，工程的施工单位全部为符合政策要求的中小企业。相关企业（含联合体中的中小企业、签订分包意向协议的中小企业）的具体情况如下：</w:t>
      </w:r>
    </w:p>
    <w:p w14:paraId="2D0A5EB1">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w:t>
      </w:r>
      <w:r>
        <w:rPr>
          <w:rFonts w:hint="eastAsia" w:ascii="宋体" w:hAnsi="宋体" w:eastAsia="宋体" w:cs="宋体"/>
          <w:color w:val="auto"/>
          <w:sz w:val="24"/>
          <w:highlight w:val="none"/>
          <w:lang w:val="en-US" w:eastAsia="zh-CN"/>
        </w:rPr>
        <w:t>承接企业</w:t>
      </w:r>
      <w:r>
        <w:rPr>
          <w:rFonts w:hint="eastAsia" w:ascii="宋体" w:hAnsi="宋体" w:eastAsia="宋体" w:cs="宋体"/>
          <w:color w:val="auto"/>
          <w:sz w:val="24"/>
          <w:highlight w:val="none"/>
        </w:rPr>
        <w:t>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5A25131B">
      <w:pPr>
        <w:tabs>
          <w:tab w:val="left" w:pos="1065"/>
          <w:tab w:val="left" w:pos="6477"/>
        </w:tabs>
        <w:spacing w:line="360" w:lineRule="auto"/>
        <w:ind w:left="-426" w:right="-58" w:firstLine="65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w:t>
      </w:r>
      <w:r>
        <w:rPr>
          <w:rFonts w:hint="eastAsia" w:ascii="宋体" w:hAnsi="宋体" w:eastAsia="宋体" w:cs="宋体"/>
          <w:color w:val="auto"/>
          <w:sz w:val="24"/>
          <w:highlight w:val="none"/>
          <w:lang w:val="en-US" w:eastAsia="zh-CN"/>
        </w:rPr>
        <w:t>承接企业</w:t>
      </w:r>
      <w:r>
        <w:rPr>
          <w:rFonts w:hint="eastAsia" w:ascii="宋体" w:hAnsi="宋体" w:eastAsia="宋体" w:cs="宋体"/>
          <w:color w:val="auto"/>
          <w:sz w:val="24"/>
          <w:highlight w:val="none"/>
        </w:rPr>
        <w:t>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659FDAC0">
      <w:pPr>
        <w:pStyle w:val="9"/>
        <w:spacing w:after="0" w:line="360" w:lineRule="auto"/>
        <w:ind w:left="142" w:right="142"/>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7C6EAB7A">
      <w:pPr>
        <w:pStyle w:val="9"/>
        <w:spacing w:after="0" w:line="360" w:lineRule="auto"/>
        <w:ind w:left="-405" w:leftChars="-193" w:right="142" w:firstLine="453" w:firstLineChars="189"/>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246D4B44">
      <w:pPr>
        <w:pStyle w:val="9"/>
        <w:spacing w:after="0" w:line="360" w:lineRule="auto"/>
        <w:ind w:left="-426" w:right="142" w:firstLine="567"/>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67747800">
      <w:pPr>
        <w:pStyle w:val="9"/>
        <w:spacing w:after="0" w:line="360" w:lineRule="auto"/>
        <w:ind w:left="3960" w:right="1808"/>
        <w:contextualSpacing/>
        <w:rPr>
          <w:rFonts w:hint="eastAsia" w:ascii="宋体" w:hAnsi="宋体" w:eastAsia="宋体" w:cs="宋体"/>
          <w:color w:val="auto"/>
          <w:sz w:val="24"/>
          <w:highlight w:val="none"/>
        </w:rPr>
      </w:pPr>
    </w:p>
    <w:p w14:paraId="72A1F084">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0AE255F">
      <w:pPr>
        <w:autoSpaceDE w:val="0"/>
        <w:autoSpaceDN w:val="0"/>
        <w:spacing w:line="360" w:lineRule="auto"/>
        <w:ind w:firstLine="6480" w:firstLineChars="27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EDC4C84">
      <w:pPr>
        <w:pStyle w:val="9"/>
        <w:spacing w:after="0" w:line="360" w:lineRule="auto"/>
        <w:ind w:left="3960" w:right="1808"/>
        <w:contextualSpacing/>
        <w:rPr>
          <w:rFonts w:hint="eastAsia" w:ascii="宋体" w:hAnsi="宋体" w:eastAsia="宋体" w:cs="宋体"/>
          <w:color w:val="auto"/>
          <w:highlight w:val="none"/>
        </w:rPr>
      </w:pPr>
    </w:p>
    <w:p w14:paraId="1F4D8D4D">
      <w:pPr>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524B423">
      <w:pPr>
        <w:widowControl/>
        <w:spacing w:line="360" w:lineRule="auto"/>
        <w:jc w:val="left"/>
        <w:rPr>
          <w:rFonts w:hint="eastAsia" w:ascii="宋体" w:hAnsi="宋体" w:eastAsia="宋体" w:cs="宋体"/>
          <w:b/>
          <w:bCs/>
          <w:color w:val="auto"/>
          <w:sz w:val="32"/>
          <w:szCs w:val="32"/>
          <w:highlight w:val="none"/>
        </w:rPr>
        <w:sectPr>
          <w:pgSz w:w="11910" w:h="16840"/>
          <w:pgMar w:top="1440" w:right="1080" w:bottom="1440" w:left="1080" w:header="720" w:footer="720" w:gutter="0"/>
          <w:pgNumType w:fmt="decimal"/>
          <w:cols w:space="720" w:num="1"/>
        </w:sectPr>
      </w:pPr>
    </w:p>
    <w:p w14:paraId="7942FEB0">
      <w:pPr>
        <w:spacing w:line="300" w:lineRule="auto"/>
        <w:jc w:val="center"/>
        <w:rPr>
          <w:rFonts w:hint="eastAsia" w:ascii="宋体" w:hAnsi="宋体" w:eastAsia="宋体" w:cs="宋体"/>
          <w:color w:val="auto"/>
          <w:sz w:val="28"/>
          <w:szCs w:val="28"/>
          <w:highlight w:val="none"/>
        </w:rPr>
      </w:pPr>
      <w:r>
        <w:rPr>
          <w:rFonts w:hint="eastAsia" w:asciiTheme="minorEastAsia" w:hAnsiTheme="minorEastAsia" w:eastAsiaTheme="minorEastAsia" w:cstheme="minorEastAsia"/>
          <w:b/>
          <w:color w:val="auto"/>
          <w:sz w:val="32"/>
          <w:szCs w:val="32"/>
          <w:highlight w:val="none"/>
        </w:rPr>
        <w:t>残疾人福利性单位声明函</w:t>
      </w:r>
    </w:p>
    <w:p w14:paraId="1F39DA7C">
      <w:pPr>
        <w:spacing w:line="520" w:lineRule="exact"/>
        <w:rPr>
          <w:rFonts w:hint="eastAsia" w:ascii="宋体" w:hAnsi="宋体" w:eastAsia="宋体" w:cs="宋体"/>
          <w:color w:val="auto"/>
          <w:sz w:val="32"/>
          <w:szCs w:val="32"/>
          <w:highlight w:val="none"/>
        </w:rPr>
      </w:pPr>
    </w:p>
    <w:p w14:paraId="08A8F3F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（单位名称）的（项目名称）</w:t>
      </w:r>
      <w:r>
        <w:rPr>
          <w:rFonts w:hint="eastAsia" w:ascii="宋体" w:hAnsi="宋体" w:eastAsia="宋体" w:cs="宋体"/>
          <w:color w:val="auto"/>
          <w:sz w:val="24"/>
          <w:highlight w:val="none"/>
        </w:rPr>
        <w:t>项目采购活动由本单位提供服务。</w:t>
      </w:r>
    </w:p>
    <w:p w14:paraId="65C7218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18DEA50">
      <w:pPr>
        <w:spacing w:line="360" w:lineRule="auto"/>
        <w:rPr>
          <w:rFonts w:hint="eastAsia" w:ascii="宋体" w:hAnsi="宋体" w:eastAsia="宋体" w:cs="宋体"/>
          <w:color w:val="auto"/>
          <w:sz w:val="24"/>
          <w:highlight w:val="none"/>
        </w:rPr>
      </w:pPr>
    </w:p>
    <w:p w14:paraId="28592F82">
      <w:pPr>
        <w:spacing w:line="360" w:lineRule="auto"/>
        <w:rPr>
          <w:rFonts w:hint="eastAsia" w:ascii="宋体" w:hAnsi="宋体" w:eastAsia="宋体" w:cs="宋体"/>
          <w:color w:val="auto"/>
          <w:sz w:val="24"/>
          <w:highlight w:val="none"/>
        </w:rPr>
      </w:pPr>
    </w:p>
    <w:p w14:paraId="1E0A8E16">
      <w:pPr>
        <w:spacing w:line="360" w:lineRule="auto"/>
        <w:rPr>
          <w:rFonts w:hint="eastAsia" w:ascii="宋体" w:hAnsi="宋体" w:eastAsia="宋体" w:cs="宋体"/>
          <w:color w:val="auto"/>
          <w:sz w:val="24"/>
          <w:highlight w:val="none"/>
        </w:rPr>
      </w:pPr>
    </w:p>
    <w:p w14:paraId="32276423">
      <w:pPr>
        <w:spacing w:line="360" w:lineRule="auto"/>
        <w:ind w:firstLine="2400" w:firstLineChars="10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0C7BCFA0">
      <w:pPr>
        <w:spacing w:line="360" w:lineRule="auto"/>
        <w:ind w:firstLine="4320" w:firstLineChars="180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24492448">
      <w:pPr>
        <w:spacing w:line="360" w:lineRule="auto"/>
        <w:rPr>
          <w:rFonts w:hint="eastAsia" w:ascii="宋体" w:hAnsi="宋体" w:eastAsia="宋体" w:cs="宋体"/>
          <w:color w:val="auto"/>
          <w:sz w:val="24"/>
          <w:highlight w:val="none"/>
        </w:rPr>
      </w:pPr>
    </w:p>
    <w:p w14:paraId="33886213">
      <w:pPr>
        <w:spacing w:line="360" w:lineRule="auto"/>
        <w:rPr>
          <w:rFonts w:hint="eastAsia" w:ascii="宋体" w:hAnsi="宋体" w:eastAsia="宋体" w:cs="宋体"/>
          <w:color w:val="auto"/>
          <w:sz w:val="24"/>
          <w:highlight w:val="none"/>
        </w:rPr>
      </w:pPr>
    </w:p>
    <w:p w14:paraId="31CFA61D">
      <w:pPr>
        <w:spacing w:line="360" w:lineRule="auto"/>
        <w:rPr>
          <w:rFonts w:hint="eastAsia" w:ascii="宋体" w:hAnsi="宋体" w:eastAsia="宋体" w:cs="宋体"/>
          <w:color w:val="auto"/>
          <w:sz w:val="24"/>
          <w:highlight w:val="none"/>
        </w:rPr>
      </w:pPr>
    </w:p>
    <w:p w14:paraId="209C4CC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w:t>
      </w:r>
      <w:r>
        <w:rPr>
          <w:rFonts w:hint="eastAsia" w:ascii="宋体" w:hAnsi="宋体" w:cs="宋体"/>
          <w:color w:val="auto"/>
          <w:sz w:val="24"/>
          <w:highlight w:val="none"/>
          <w:lang w:eastAsia="zh-CN"/>
        </w:rPr>
        <w:t>成交</w:t>
      </w:r>
      <w:r>
        <w:rPr>
          <w:rFonts w:hint="eastAsia" w:ascii="宋体" w:hAnsi="宋体" w:eastAsia="宋体" w:cs="宋体"/>
          <w:color w:val="auto"/>
          <w:sz w:val="24"/>
          <w:highlight w:val="none"/>
        </w:rPr>
        <w:t>结果时，同时公告其《残疾人福利性单位声明函》，接受社会监督；根据《关于政府采购支持监狱企业发展有关问题的通知》（财库[2014]68号）的规定，</w:t>
      </w:r>
      <w:r>
        <w:rPr>
          <w:rFonts w:hint="eastAsia" w:ascii="宋体" w:hAnsi="宋体" w:cs="宋体"/>
          <w:color w:val="auto"/>
          <w:sz w:val="24"/>
          <w:highlight w:val="none"/>
          <w:lang w:eastAsia="zh-CN"/>
        </w:rPr>
        <w:t>竞标</w:t>
      </w:r>
      <w:r>
        <w:rPr>
          <w:rFonts w:hint="eastAsia" w:ascii="宋体" w:hAnsi="宋体" w:eastAsia="宋体" w:cs="宋体"/>
          <w:color w:val="auto"/>
          <w:sz w:val="24"/>
          <w:highlight w:val="none"/>
        </w:rPr>
        <w:t>人提供由省级以上监狱管理局、戒毒管理局（含新疆生产建设兵团）出具的属于监狱企业证明文件的，视同为小型和微型企业。</w:t>
      </w:r>
    </w:p>
    <w:p w14:paraId="4D785FEC">
      <w:pPr>
        <w:rPr>
          <w:rFonts w:hint="eastAsia" w:ascii="宋体" w:hAnsi="宋体" w:eastAsia="宋体" w:cs="宋体"/>
          <w:color w:val="auto"/>
          <w:highlight w:val="none"/>
          <w:lang w:val="en-US" w:eastAsia="zh-CN"/>
        </w:rPr>
        <w:sectPr>
          <w:pgSz w:w="11910" w:h="16840"/>
          <w:pgMar w:top="1440" w:right="1080" w:bottom="1440" w:left="1080" w:header="720" w:footer="720" w:gutter="0"/>
          <w:pgNumType w:fmt="decimal"/>
          <w:cols w:space="720" w:num="1"/>
        </w:sectPr>
      </w:pPr>
    </w:p>
    <w:p w14:paraId="23DA3A54">
      <w:pPr>
        <w:spacing w:line="300" w:lineRule="auto"/>
        <w:ind w:firstLine="1606" w:firstLineChars="500"/>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农民工工资保证金承诺书（格式）</w:t>
      </w:r>
    </w:p>
    <w:p w14:paraId="382DD81A">
      <w:pPr>
        <w:pStyle w:val="9"/>
        <w:spacing w:before="234" w:line="227"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5"/>
          <w:sz w:val="24"/>
          <w:szCs w:val="24"/>
          <w:highlight w:val="none"/>
        </w:rPr>
        <w:t>致</w:t>
      </w:r>
      <w:r>
        <w:rPr>
          <w:rFonts w:hint="eastAsia" w:asciiTheme="minorEastAsia" w:hAnsiTheme="minorEastAsia" w:eastAsiaTheme="minorEastAsia" w:cstheme="minorEastAsia"/>
          <w:spacing w:val="-18"/>
          <w:sz w:val="24"/>
          <w:szCs w:val="24"/>
          <w:highlight w:val="none"/>
        </w:rPr>
        <w:t>：</w:t>
      </w:r>
      <w:r>
        <w:rPr>
          <w:rFonts w:hint="eastAsia" w:asciiTheme="minorEastAsia" w:hAnsiTheme="minorEastAsia" w:eastAsiaTheme="minorEastAsia" w:cstheme="minorEastAsia"/>
          <w:spacing w:val="1"/>
          <w:sz w:val="24"/>
          <w:szCs w:val="24"/>
          <w:highlight w:val="none"/>
          <w:u w:val="single" w:color="auto"/>
        </w:rPr>
        <w:t xml:space="preserve">                              </w:t>
      </w:r>
      <w:r>
        <w:rPr>
          <w:rFonts w:hint="eastAsia" w:asciiTheme="minorEastAsia" w:hAnsiTheme="minorEastAsia" w:eastAsiaTheme="minorEastAsia" w:cstheme="minorEastAsia"/>
          <w:spacing w:val="-18"/>
          <w:sz w:val="24"/>
          <w:szCs w:val="24"/>
          <w:highlight w:val="none"/>
        </w:rPr>
        <w:t>（</w:t>
      </w:r>
      <w:r>
        <w:rPr>
          <w:rFonts w:hint="eastAsia" w:asciiTheme="minorEastAsia" w:hAnsiTheme="minorEastAsia" w:eastAsiaTheme="minorEastAsia" w:cstheme="minorEastAsia"/>
          <w:spacing w:val="15"/>
          <w:sz w:val="24"/>
          <w:szCs w:val="24"/>
          <w:highlight w:val="none"/>
        </w:rPr>
        <w:t>采购人名称）</w:t>
      </w:r>
    </w:p>
    <w:p w14:paraId="1D5E9942">
      <w:pPr>
        <w:pStyle w:val="9"/>
        <w:spacing w:before="154" w:line="228" w:lineRule="auto"/>
        <w:ind w:left="48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在</w:t>
      </w:r>
      <w:r>
        <w:rPr>
          <w:rFonts w:hint="eastAsia" w:asciiTheme="minorEastAsia" w:hAnsiTheme="minorEastAsia" w:eastAsiaTheme="minorEastAsia" w:cstheme="minorEastAsia"/>
          <w:spacing w:val="8"/>
          <w:sz w:val="24"/>
          <w:szCs w:val="24"/>
          <w:highlight w:val="none"/>
          <w:u w:val="single" w:color="auto"/>
        </w:rPr>
        <w:t xml:space="preserve">       </w:t>
      </w:r>
      <w:r>
        <w:rPr>
          <w:rFonts w:hint="eastAsia" w:asciiTheme="minorEastAsia" w:hAnsiTheme="minorEastAsia" w:eastAsiaTheme="minorEastAsia" w:cstheme="minorEastAsia"/>
          <w:spacing w:val="-82"/>
          <w:sz w:val="24"/>
          <w:szCs w:val="24"/>
          <w:highlight w:val="none"/>
        </w:rPr>
        <w:t xml:space="preserve"> </w:t>
      </w:r>
      <w:r>
        <w:rPr>
          <w:rFonts w:hint="eastAsia" w:asciiTheme="minorEastAsia" w:hAnsiTheme="minorEastAsia" w:eastAsiaTheme="minorEastAsia" w:cstheme="minorEastAsia"/>
          <w:spacing w:val="8"/>
          <w:sz w:val="24"/>
          <w:szCs w:val="24"/>
          <w:highlight w:val="none"/>
        </w:rPr>
        <w:t>项目的竞谈中，我单位对农民工工资的支付作出以下郑重承诺：</w:t>
      </w:r>
    </w:p>
    <w:p w14:paraId="5C639F13">
      <w:pPr>
        <w:pStyle w:val="9"/>
        <w:spacing w:before="151" w:line="370" w:lineRule="auto"/>
        <w:ind w:left="1" w:right="2" w:firstLine="48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（一）我单位在本采购项目递交响应文件截止时间</w:t>
      </w:r>
      <w:r>
        <w:rPr>
          <w:rFonts w:hint="eastAsia" w:asciiTheme="minorEastAsia" w:hAnsiTheme="minorEastAsia" w:eastAsiaTheme="minorEastAsia" w:cstheme="minorEastAsia"/>
          <w:spacing w:val="3"/>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u w:val="single" w:color="auto"/>
        </w:rPr>
        <w:t>（开标日）</w:t>
      </w:r>
      <w:r>
        <w:rPr>
          <w:rFonts w:hint="eastAsia" w:asciiTheme="minorEastAsia" w:hAnsiTheme="minorEastAsia" w:eastAsiaTheme="minorEastAsia" w:cstheme="minorEastAsia"/>
          <w:spacing w:val="8"/>
          <w:sz w:val="24"/>
          <w:szCs w:val="24"/>
          <w:highlight w:val="none"/>
        </w:rPr>
        <w:t>前所承建的工</w:t>
      </w:r>
      <w:r>
        <w:rPr>
          <w:rFonts w:hint="eastAsia" w:asciiTheme="minorEastAsia" w:hAnsiTheme="minorEastAsia" w:eastAsiaTheme="minorEastAsia" w:cstheme="minorEastAsia"/>
          <w:spacing w:val="7"/>
          <w:sz w:val="24"/>
          <w:szCs w:val="24"/>
          <w:highlight w:val="none"/>
        </w:rPr>
        <w:t>程项目，不存在</w:t>
      </w:r>
      <w:r>
        <w:rPr>
          <w:rFonts w:hint="eastAsia" w:asciiTheme="minorEastAsia" w:hAnsiTheme="minorEastAsia" w:eastAsiaTheme="minorEastAsia" w:cstheme="minorEastAsia"/>
          <w:spacing w:val="8"/>
          <w:sz w:val="24"/>
          <w:szCs w:val="24"/>
          <w:highlight w:val="none"/>
        </w:rPr>
        <w:t>拖欠或克扣农民工工资的行为。</w:t>
      </w:r>
    </w:p>
    <w:p w14:paraId="29431278">
      <w:pPr>
        <w:pStyle w:val="9"/>
        <w:spacing w:line="369" w:lineRule="auto"/>
        <w:ind w:right="2" w:firstLine="49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（二）成交后，我单位同意在工程施工合同签订之日起</w:t>
      </w:r>
      <w:r>
        <w:rPr>
          <w:rFonts w:hint="eastAsia" w:asciiTheme="minorEastAsia" w:hAnsiTheme="minorEastAsia" w:eastAsiaTheme="minorEastAsia" w:cstheme="minorEastAsia"/>
          <w:spacing w:val="-21"/>
          <w:sz w:val="24"/>
          <w:szCs w:val="24"/>
          <w:highlight w:val="none"/>
        </w:rPr>
        <w:t xml:space="preserve"> </w:t>
      </w:r>
      <w:r>
        <w:rPr>
          <w:rFonts w:hint="eastAsia" w:asciiTheme="minorEastAsia" w:hAnsiTheme="minorEastAsia" w:eastAsiaTheme="minorEastAsia" w:cstheme="minorEastAsia"/>
          <w:spacing w:val="6"/>
          <w:sz w:val="24"/>
          <w:szCs w:val="24"/>
          <w:highlight w:val="none"/>
        </w:rPr>
        <w:t>30日内，自主选择在自治区行政区域内依法设</w:t>
      </w:r>
      <w:r>
        <w:rPr>
          <w:rFonts w:hint="eastAsia" w:asciiTheme="minorEastAsia" w:hAnsiTheme="minorEastAsia" w:eastAsiaTheme="minorEastAsia" w:cstheme="minorEastAsia"/>
          <w:spacing w:val="12"/>
          <w:sz w:val="24"/>
          <w:szCs w:val="24"/>
          <w:highlight w:val="none"/>
        </w:rPr>
        <w:t>立或设有分支机构的银行开立专用账户，并与建设单位、开户银行</w:t>
      </w:r>
      <w:r>
        <w:rPr>
          <w:rFonts w:hint="eastAsia" w:asciiTheme="minorEastAsia" w:hAnsiTheme="minorEastAsia" w:eastAsiaTheme="minorEastAsia" w:cstheme="minorEastAsia"/>
          <w:spacing w:val="11"/>
          <w:sz w:val="24"/>
          <w:szCs w:val="24"/>
          <w:highlight w:val="none"/>
        </w:rPr>
        <w:t>签订《广西壮族自治区工程建设领域农民工工资专用账户资金管理三方协议》</w:t>
      </w:r>
      <w:r>
        <w:rPr>
          <w:rFonts w:hint="eastAsia" w:asciiTheme="minorEastAsia" w:hAnsiTheme="minorEastAsia" w:eastAsiaTheme="minorEastAsia" w:cstheme="minorEastAsia"/>
          <w:spacing w:val="-56"/>
          <w:sz w:val="24"/>
          <w:szCs w:val="24"/>
          <w:highlight w:val="none"/>
        </w:rPr>
        <w:t xml:space="preserve"> </w:t>
      </w:r>
      <w:r>
        <w:rPr>
          <w:rFonts w:hint="eastAsia" w:asciiTheme="minorEastAsia" w:hAnsiTheme="minorEastAsia" w:eastAsiaTheme="minorEastAsia" w:cstheme="minorEastAsia"/>
          <w:spacing w:val="11"/>
          <w:sz w:val="24"/>
          <w:szCs w:val="24"/>
          <w:highlight w:val="none"/>
        </w:rPr>
        <w:t>。按响应文件规定的农民工工资</w:t>
      </w:r>
      <w:r>
        <w:rPr>
          <w:rFonts w:hint="eastAsia" w:asciiTheme="minorEastAsia" w:hAnsiTheme="minorEastAsia" w:eastAsiaTheme="minorEastAsia" w:cstheme="minorEastAsia"/>
          <w:spacing w:val="10"/>
          <w:sz w:val="24"/>
          <w:szCs w:val="24"/>
          <w:highlight w:val="none"/>
        </w:rPr>
        <w:t>保证金额度预存一定数额的资金作</w:t>
      </w:r>
      <w:r>
        <w:rPr>
          <w:rFonts w:hint="eastAsia" w:asciiTheme="minorEastAsia" w:hAnsiTheme="minorEastAsia" w:eastAsiaTheme="minorEastAsia" w:cstheme="minorEastAsia"/>
          <w:spacing w:val="8"/>
          <w:sz w:val="24"/>
          <w:szCs w:val="24"/>
          <w:highlight w:val="none"/>
        </w:rPr>
        <w:t>为农民工工资保证金，在专用账户开立后的</w:t>
      </w:r>
      <w:r>
        <w:rPr>
          <w:rFonts w:hint="eastAsia" w:asciiTheme="minorEastAsia" w:hAnsiTheme="minorEastAsia" w:eastAsiaTheme="minorEastAsia" w:cstheme="minorEastAsia"/>
          <w:spacing w:val="-39"/>
          <w:sz w:val="24"/>
          <w:szCs w:val="24"/>
          <w:highlight w:val="none"/>
        </w:rPr>
        <w:t xml:space="preserve"> </w:t>
      </w:r>
      <w:r>
        <w:rPr>
          <w:rFonts w:hint="eastAsia" w:asciiTheme="minorEastAsia" w:hAnsiTheme="minorEastAsia" w:eastAsiaTheme="minorEastAsia" w:cstheme="minorEastAsia"/>
          <w:spacing w:val="8"/>
          <w:sz w:val="24"/>
          <w:szCs w:val="24"/>
          <w:highlight w:val="none"/>
        </w:rPr>
        <w:t>30日内报项目所在地人力资源社会保障行政部门、相关行业工程建设主管部门备案。</w:t>
      </w:r>
    </w:p>
    <w:p w14:paraId="5C33B355">
      <w:pPr>
        <w:pStyle w:val="9"/>
        <w:spacing w:before="2" w:line="368" w:lineRule="auto"/>
        <w:ind w:right="2" w:firstLine="49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（三）在项目实施过程中，若出现结算价与成交价不一致时，以实际结算金额按响应文件规定的计算</w:t>
      </w:r>
      <w:r>
        <w:rPr>
          <w:rFonts w:hint="eastAsia" w:asciiTheme="minorEastAsia" w:hAnsiTheme="minorEastAsia" w:eastAsiaTheme="minorEastAsia" w:cstheme="minorEastAsia"/>
          <w:spacing w:val="8"/>
          <w:sz w:val="24"/>
          <w:szCs w:val="24"/>
          <w:highlight w:val="none"/>
        </w:rPr>
        <w:t>额度存入农民工工资保证金。</w:t>
      </w:r>
    </w:p>
    <w:p w14:paraId="0F311A7B">
      <w:pPr>
        <w:pStyle w:val="9"/>
        <w:spacing w:before="1" w:line="369" w:lineRule="auto"/>
        <w:ind w:left="3" w:firstLine="48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（四）我单位向建设单位承诺依法足额支付农民工工资，一旦我单位（包含我单位的分包商）承建的</w:t>
      </w:r>
      <w:r>
        <w:rPr>
          <w:rFonts w:hint="eastAsia" w:asciiTheme="minorEastAsia" w:hAnsiTheme="minorEastAsia" w:eastAsiaTheme="minorEastAsia" w:cstheme="minorEastAsia"/>
          <w:position w:val="-3"/>
          <w:sz w:val="24"/>
          <w:szCs w:val="24"/>
          <w:highlight w:val="none"/>
        </w:rPr>
        <w:drawing>
          <wp:inline distT="0" distB="0" distL="0" distR="0">
            <wp:extent cx="1270" cy="571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6"/>
                    <a:stretch>
                      <a:fillRect/>
                    </a:stretch>
                  </pic:blipFill>
                  <pic:spPr>
                    <a:xfrm>
                      <a:off x="0" y="0"/>
                      <a:ext cx="1407" cy="6095"/>
                    </a:xfrm>
                    <a:prstGeom prst="rect">
                      <a:avLst/>
                    </a:prstGeom>
                  </pic:spPr>
                </pic:pic>
              </a:graphicData>
            </a:graphic>
          </wp:inline>
        </w:drawing>
      </w:r>
      <w:r>
        <w:rPr>
          <w:rFonts w:hint="eastAsia" w:asciiTheme="minorEastAsia" w:hAnsiTheme="minorEastAsia" w:eastAsiaTheme="minorEastAsia" w:cstheme="minorEastAsia"/>
          <w:spacing w:val="4"/>
          <w:sz w:val="24"/>
          <w:szCs w:val="24"/>
          <w:highlight w:val="none"/>
        </w:rPr>
        <w:t xml:space="preserve"> </w:t>
      </w:r>
      <w:r>
        <w:rPr>
          <w:rFonts w:hint="eastAsia" w:asciiTheme="minorEastAsia" w:hAnsiTheme="minorEastAsia" w:eastAsiaTheme="minorEastAsia" w:cstheme="minorEastAsia"/>
          <w:spacing w:val="12"/>
          <w:sz w:val="24"/>
          <w:szCs w:val="24"/>
          <w:highlight w:val="none"/>
        </w:rPr>
        <w:t>项目出现拖欠农民工工资情况的，可由劳动保障、相关主管</w:t>
      </w:r>
      <w:r>
        <w:rPr>
          <w:rFonts w:hint="eastAsia" w:asciiTheme="minorEastAsia" w:hAnsiTheme="minorEastAsia" w:eastAsiaTheme="minorEastAsia" w:cstheme="minorEastAsia"/>
          <w:spacing w:val="11"/>
          <w:sz w:val="24"/>
          <w:szCs w:val="24"/>
          <w:highlight w:val="none"/>
        </w:rPr>
        <w:t>部门（或授权机构）及建设单位根据相关规定</w:t>
      </w:r>
      <w:r>
        <w:rPr>
          <w:rFonts w:hint="eastAsia" w:asciiTheme="minorEastAsia" w:hAnsiTheme="minorEastAsia" w:eastAsiaTheme="minorEastAsia" w:cstheme="minorEastAsia"/>
          <w:spacing w:val="8"/>
          <w:sz w:val="24"/>
          <w:szCs w:val="24"/>
          <w:highlight w:val="none"/>
        </w:rPr>
        <w:t>从其农民工工资保证金中先予支取。</w:t>
      </w:r>
    </w:p>
    <w:p w14:paraId="6526191A">
      <w:pPr>
        <w:pStyle w:val="9"/>
        <w:spacing w:before="4" w:line="369" w:lineRule="auto"/>
        <w:ind w:firstLine="43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（五）其它未尽事宜按广西壮族自治区人力资源和社会保障厅等</w:t>
      </w:r>
      <w:r>
        <w:rPr>
          <w:rFonts w:hint="eastAsia" w:asciiTheme="minorEastAsia" w:hAnsiTheme="minorEastAsia" w:eastAsiaTheme="minorEastAsia" w:cstheme="minorEastAsia"/>
          <w:spacing w:val="-32"/>
          <w:sz w:val="24"/>
          <w:szCs w:val="24"/>
          <w:highlight w:val="none"/>
        </w:rPr>
        <w:t xml:space="preserve"> </w:t>
      </w:r>
      <w:r>
        <w:rPr>
          <w:rFonts w:hint="eastAsia" w:asciiTheme="minorEastAsia" w:hAnsiTheme="minorEastAsia" w:eastAsiaTheme="minorEastAsia" w:cstheme="minorEastAsia"/>
          <w:spacing w:val="11"/>
          <w:sz w:val="24"/>
          <w:szCs w:val="24"/>
          <w:highlight w:val="none"/>
        </w:rPr>
        <w:t>8</w:t>
      </w:r>
      <w:r>
        <w:rPr>
          <w:rFonts w:hint="eastAsia" w:asciiTheme="minorEastAsia" w:hAnsiTheme="minorEastAsia" w:eastAsiaTheme="minorEastAsia" w:cstheme="minorEastAsia"/>
          <w:spacing w:val="17"/>
          <w:sz w:val="24"/>
          <w:szCs w:val="24"/>
          <w:highlight w:val="none"/>
        </w:rPr>
        <w:t xml:space="preserve"> </w:t>
      </w:r>
      <w:r>
        <w:rPr>
          <w:rFonts w:hint="eastAsia" w:asciiTheme="minorEastAsia" w:hAnsiTheme="minorEastAsia" w:eastAsiaTheme="minorEastAsia" w:cstheme="minorEastAsia"/>
          <w:spacing w:val="11"/>
          <w:sz w:val="24"/>
          <w:szCs w:val="24"/>
          <w:highlight w:val="none"/>
        </w:rPr>
        <w:t>部门《</w:t>
      </w:r>
      <w:r>
        <w:rPr>
          <w:rFonts w:hint="eastAsia" w:asciiTheme="minorEastAsia" w:hAnsiTheme="minorEastAsia" w:eastAsiaTheme="minorEastAsia" w:cstheme="minorEastAsia"/>
          <w:spacing w:val="10"/>
          <w:sz w:val="24"/>
          <w:szCs w:val="24"/>
          <w:highlight w:val="none"/>
        </w:rPr>
        <w:t>关于印发广西壮族自治区工</w:t>
      </w:r>
      <w:r>
        <w:rPr>
          <w:rFonts w:hint="eastAsia" w:asciiTheme="minorEastAsia" w:hAnsiTheme="minorEastAsia" w:eastAsiaTheme="minorEastAsia" w:cstheme="minorEastAsia"/>
          <w:spacing w:val="8"/>
          <w:sz w:val="24"/>
          <w:szCs w:val="24"/>
          <w:highlight w:val="none"/>
        </w:rPr>
        <w:t>程建设领域农民工工资专用账户管理暂行办法实施细则的</w:t>
      </w:r>
      <w:r>
        <w:rPr>
          <w:rFonts w:hint="eastAsia" w:asciiTheme="minorEastAsia" w:hAnsiTheme="minorEastAsia" w:eastAsiaTheme="minorEastAsia" w:cstheme="minorEastAsia"/>
          <w:spacing w:val="7"/>
          <w:sz w:val="24"/>
          <w:szCs w:val="24"/>
          <w:highlight w:val="none"/>
        </w:rPr>
        <w:t>通知》（桂人社规〔2022〕5</w:t>
      </w:r>
      <w:r>
        <w:rPr>
          <w:rFonts w:hint="eastAsia" w:asciiTheme="minorEastAsia" w:hAnsiTheme="minorEastAsia" w:eastAsiaTheme="minorEastAsia" w:cstheme="minorEastAsia"/>
          <w:spacing w:val="17"/>
          <w:w w:val="101"/>
          <w:sz w:val="24"/>
          <w:szCs w:val="24"/>
          <w:highlight w:val="none"/>
        </w:rPr>
        <w:t xml:space="preserve"> </w:t>
      </w:r>
      <w:r>
        <w:rPr>
          <w:rFonts w:hint="eastAsia" w:asciiTheme="minorEastAsia" w:hAnsiTheme="minorEastAsia" w:eastAsiaTheme="minorEastAsia" w:cstheme="minorEastAsia"/>
          <w:spacing w:val="7"/>
          <w:sz w:val="24"/>
          <w:szCs w:val="24"/>
          <w:highlight w:val="none"/>
        </w:rPr>
        <w:t>号）、《关于印发广</w:t>
      </w:r>
      <w:r>
        <w:rPr>
          <w:rFonts w:hint="eastAsia" w:asciiTheme="minorEastAsia" w:hAnsiTheme="minorEastAsia" w:eastAsiaTheme="minorEastAsia" w:cstheme="minorEastAsia"/>
          <w:spacing w:val="10"/>
          <w:sz w:val="24"/>
          <w:szCs w:val="24"/>
          <w:highlight w:val="none"/>
        </w:rPr>
        <w:t>西壮族自治区工程建设领域农民工工资保证金规定实施办法的</w:t>
      </w:r>
      <w:r>
        <w:rPr>
          <w:rFonts w:hint="eastAsia" w:asciiTheme="minorEastAsia" w:hAnsiTheme="minorEastAsia" w:eastAsiaTheme="minorEastAsia" w:cstheme="minorEastAsia"/>
          <w:spacing w:val="9"/>
          <w:sz w:val="24"/>
          <w:szCs w:val="24"/>
          <w:highlight w:val="none"/>
        </w:rPr>
        <w:t>通知》桂人社规〔2021〕16</w:t>
      </w:r>
      <w:r>
        <w:rPr>
          <w:rFonts w:hint="eastAsia" w:asciiTheme="minorEastAsia" w:hAnsiTheme="minorEastAsia" w:eastAsiaTheme="minorEastAsia" w:cstheme="minorEastAsia"/>
          <w:spacing w:val="17"/>
          <w:w w:val="101"/>
          <w:sz w:val="24"/>
          <w:szCs w:val="24"/>
          <w:highlight w:val="none"/>
        </w:rPr>
        <w:t xml:space="preserve"> </w:t>
      </w:r>
      <w:r>
        <w:rPr>
          <w:rFonts w:hint="eastAsia" w:asciiTheme="minorEastAsia" w:hAnsiTheme="minorEastAsia" w:eastAsiaTheme="minorEastAsia" w:cstheme="minorEastAsia"/>
          <w:spacing w:val="9"/>
          <w:sz w:val="24"/>
          <w:szCs w:val="24"/>
          <w:highlight w:val="none"/>
        </w:rPr>
        <w:t>号）等有关规定</w:t>
      </w:r>
      <w:r>
        <w:rPr>
          <w:rFonts w:hint="eastAsia" w:asciiTheme="minorEastAsia" w:hAnsiTheme="minorEastAsia" w:eastAsiaTheme="minorEastAsia" w:cstheme="minorEastAsia"/>
          <w:spacing w:val="3"/>
          <w:sz w:val="24"/>
          <w:szCs w:val="24"/>
          <w:highlight w:val="none"/>
        </w:rPr>
        <w:t>执行。</w:t>
      </w:r>
    </w:p>
    <w:p w14:paraId="7F5F5ED7">
      <w:pPr>
        <w:spacing w:line="284" w:lineRule="auto"/>
        <w:rPr>
          <w:rFonts w:hint="eastAsia" w:asciiTheme="minorEastAsia" w:hAnsiTheme="minorEastAsia" w:eastAsiaTheme="minorEastAsia" w:cstheme="minorEastAsia"/>
          <w:sz w:val="24"/>
          <w:szCs w:val="24"/>
          <w:highlight w:val="none"/>
        </w:rPr>
      </w:pPr>
    </w:p>
    <w:p w14:paraId="4A92DA37">
      <w:pPr>
        <w:spacing w:line="284" w:lineRule="auto"/>
        <w:rPr>
          <w:rFonts w:hint="eastAsia" w:asciiTheme="minorEastAsia" w:hAnsiTheme="minorEastAsia" w:eastAsiaTheme="minorEastAsia" w:cstheme="minorEastAsia"/>
          <w:sz w:val="24"/>
          <w:szCs w:val="24"/>
          <w:highlight w:val="none"/>
        </w:rPr>
      </w:pPr>
    </w:p>
    <w:p w14:paraId="654E9B60">
      <w:pPr>
        <w:pStyle w:val="9"/>
        <w:spacing w:before="65" w:line="227" w:lineRule="auto"/>
        <w:ind w:left="3255"/>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3"/>
          <w:sz w:val="24"/>
          <w:szCs w:val="24"/>
          <w:highlight w:val="none"/>
        </w:rPr>
        <w:t>供应商</w:t>
      </w:r>
      <w:r>
        <w:rPr>
          <w:rFonts w:hint="eastAsia" w:asciiTheme="minorEastAsia" w:hAnsiTheme="minorEastAsia" w:eastAsiaTheme="minorEastAsia" w:cstheme="minorEastAsia"/>
          <w:spacing w:val="-5"/>
          <w:sz w:val="24"/>
          <w:szCs w:val="24"/>
          <w:highlight w:val="none"/>
        </w:rPr>
        <w:t>：（</w:t>
      </w:r>
      <w:r>
        <w:rPr>
          <w:rFonts w:hint="eastAsia" w:asciiTheme="minorEastAsia" w:hAnsiTheme="minorEastAsia" w:eastAsiaTheme="minorEastAsia" w:cstheme="minorEastAsia"/>
          <w:spacing w:val="13"/>
          <w:sz w:val="24"/>
          <w:szCs w:val="24"/>
          <w:highlight w:val="none"/>
        </w:rPr>
        <w:t>盖公章）</w:t>
      </w:r>
      <w:r>
        <w:rPr>
          <w:rFonts w:hint="eastAsia" w:asciiTheme="minorEastAsia" w:hAnsiTheme="minorEastAsia" w:eastAsiaTheme="minorEastAsia" w:cstheme="minorEastAsia"/>
          <w:sz w:val="24"/>
          <w:szCs w:val="24"/>
          <w:highlight w:val="none"/>
          <w:u w:val="single" w:color="auto"/>
        </w:rPr>
        <w:t xml:space="preserve">                          </w:t>
      </w:r>
    </w:p>
    <w:p w14:paraId="4A9BDCED">
      <w:pPr>
        <w:pStyle w:val="9"/>
        <w:spacing w:before="222" w:line="228" w:lineRule="auto"/>
        <w:ind w:left="325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法定代表人（负责人</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pacing w:val="8"/>
          <w:sz w:val="24"/>
          <w:szCs w:val="24"/>
          <w:highlight w:val="none"/>
        </w:rPr>
        <w:t>签字）</w:t>
      </w:r>
      <w:r>
        <w:rPr>
          <w:rFonts w:hint="eastAsia" w:asciiTheme="minorEastAsia" w:hAnsiTheme="minorEastAsia" w:eastAsiaTheme="minorEastAsia" w:cstheme="minorEastAsia"/>
          <w:spacing w:val="8"/>
          <w:sz w:val="24"/>
          <w:szCs w:val="24"/>
          <w:highlight w:val="none"/>
          <w:u w:val="single" w:color="auto"/>
        </w:rPr>
        <w:t xml:space="preserve">              </w:t>
      </w:r>
    </w:p>
    <w:p w14:paraId="440668E5">
      <w:pPr>
        <w:spacing w:line="245" w:lineRule="auto"/>
        <w:rPr>
          <w:rFonts w:hint="eastAsia" w:asciiTheme="minorEastAsia" w:hAnsiTheme="minorEastAsia" w:eastAsiaTheme="minorEastAsia" w:cstheme="minorEastAsia"/>
          <w:sz w:val="24"/>
          <w:szCs w:val="24"/>
          <w:highlight w:val="none"/>
        </w:rPr>
      </w:pPr>
    </w:p>
    <w:p w14:paraId="223E9BFE">
      <w:pPr>
        <w:keepNext w:val="0"/>
        <w:keepLines w:val="0"/>
        <w:pageBreakBefore w:val="0"/>
        <w:widowControl w:val="0"/>
        <w:kinsoku/>
        <w:wordWrap/>
        <w:overflowPunct/>
        <w:topLinePunct w:val="0"/>
        <w:autoSpaceDE/>
        <w:autoSpaceDN/>
        <w:bidi w:val="0"/>
        <w:adjustRightInd/>
        <w:snapToGrid/>
        <w:spacing w:line="360" w:lineRule="auto"/>
        <w:ind w:firstLine="4140" w:firstLineChars="1800"/>
        <w:textAlignment w:val="auto"/>
        <w:rPr>
          <w:rFonts w:hint="eastAsia" w:ascii="宋体" w:hAnsi="宋体" w:eastAsia="宋体" w:cs="宋体"/>
          <w:color w:val="auto"/>
          <w:sz w:val="24"/>
          <w:szCs w:val="24"/>
          <w:highlight w:val="none"/>
          <w:lang w:val="zh-CN"/>
        </w:rPr>
      </w:pPr>
      <w:r>
        <w:rPr>
          <w:rFonts w:hint="eastAsia" w:asciiTheme="minorEastAsia" w:hAnsiTheme="minorEastAsia" w:eastAsiaTheme="minorEastAsia" w:cstheme="minorEastAsia"/>
          <w:spacing w:val="-5"/>
          <w:sz w:val="24"/>
          <w:szCs w:val="24"/>
          <w:highlight w:val="none"/>
        </w:rPr>
        <w:t>日</w:t>
      </w:r>
      <w:r>
        <w:rPr>
          <w:rFonts w:hint="eastAsia" w:asciiTheme="minorEastAsia" w:hAnsiTheme="minorEastAsia" w:eastAsiaTheme="minorEastAsia" w:cstheme="minorEastAsia"/>
          <w:spacing w:val="10"/>
          <w:sz w:val="24"/>
          <w:szCs w:val="24"/>
          <w:highlight w:val="none"/>
        </w:rPr>
        <w:t xml:space="preserve">  </w:t>
      </w:r>
      <w:r>
        <w:rPr>
          <w:rFonts w:hint="eastAsia" w:asciiTheme="minorEastAsia" w:hAnsiTheme="minorEastAsia" w:eastAsiaTheme="minorEastAsia" w:cstheme="minorEastAsia"/>
          <w:spacing w:val="-5"/>
          <w:sz w:val="24"/>
          <w:szCs w:val="24"/>
          <w:highlight w:val="none"/>
        </w:rPr>
        <w:t>期：</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0"/>
          <w:sz w:val="24"/>
          <w:szCs w:val="24"/>
          <w:highlight w:val="none"/>
        </w:rPr>
        <w:t xml:space="preserve"> </w:t>
      </w:r>
      <w:r>
        <w:rPr>
          <w:rFonts w:hint="eastAsia" w:asciiTheme="minorEastAsia" w:hAnsiTheme="minorEastAsia" w:eastAsiaTheme="minorEastAsia" w:cstheme="minorEastAsia"/>
          <w:spacing w:val="-5"/>
          <w:sz w:val="24"/>
          <w:szCs w:val="24"/>
          <w:highlight w:val="none"/>
        </w:rPr>
        <w:t>年</w:t>
      </w:r>
      <w:r>
        <w:rPr>
          <w:rFonts w:hint="eastAsia" w:asciiTheme="minorEastAsia" w:hAnsiTheme="minorEastAsia" w:eastAsiaTheme="minorEastAsia" w:cstheme="minorEastAsia"/>
          <w:spacing w:val="-99"/>
          <w:sz w:val="24"/>
          <w:szCs w:val="24"/>
          <w:highlight w:val="none"/>
        </w:rPr>
        <w:t xml:space="preserve"> </w:t>
      </w:r>
      <w:r>
        <w:rPr>
          <w:rFonts w:hint="eastAsia" w:asciiTheme="minorEastAsia" w:hAnsiTheme="minorEastAsia" w:eastAsiaTheme="minorEastAsia" w:cstheme="minorEastAsia"/>
          <w:spacing w:val="4"/>
          <w:sz w:val="24"/>
          <w:szCs w:val="24"/>
          <w:highlight w:val="none"/>
          <w:u w:val="single" w:color="auto"/>
        </w:rPr>
        <w:t xml:space="preserve">     </w:t>
      </w:r>
      <w:r>
        <w:rPr>
          <w:rFonts w:hint="eastAsia" w:asciiTheme="minorEastAsia" w:hAnsiTheme="minorEastAsia" w:eastAsiaTheme="minorEastAsia" w:cstheme="minorEastAsia"/>
          <w:spacing w:val="-83"/>
          <w:sz w:val="24"/>
          <w:szCs w:val="24"/>
          <w:highlight w:val="none"/>
        </w:rPr>
        <w:t xml:space="preserve"> </w:t>
      </w:r>
      <w:r>
        <w:rPr>
          <w:rFonts w:hint="eastAsia" w:asciiTheme="minorEastAsia" w:hAnsiTheme="minorEastAsia" w:eastAsiaTheme="minorEastAsia" w:cstheme="minorEastAsia"/>
          <w:spacing w:val="-5"/>
          <w:sz w:val="24"/>
          <w:szCs w:val="24"/>
          <w:highlight w:val="none"/>
        </w:rPr>
        <w:t>月</w:t>
      </w:r>
      <w:r>
        <w:rPr>
          <w:rFonts w:hint="eastAsia" w:asciiTheme="minorEastAsia" w:hAnsiTheme="minorEastAsia" w:eastAsiaTheme="minorEastAsia" w:cstheme="minorEastAsia"/>
          <w:spacing w:val="-98"/>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55"/>
          <w:sz w:val="24"/>
          <w:szCs w:val="24"/>
          <w:highlight w:val="none"/>
        </w:rPr>
        <w:t xml:space="preserve"> </w:t>
      </w:r>
      <w:r>
        <w:rPr>
          <w:rFonts w:hint="eastAsia" w:asciiTheme="minorEastAsia" w:hAnsiTheme="minorEastAsia" w:eastAsiaTheme="minorEastAsia" w:cstheme="minorEastAsia"/>
          <w:spacing w:val="-5"/>
          <w:sz w:val="24"/>
          <w:szCs w:val="24"/>
          <w:highlight w:val="none"/>
        </w:rPr>
        <w:t>日</w:t>
      </w:r>
    </w:p>
    <w:p w14:paraId="1CC9A96E">
      <w:pPr>
        <w:pStyle w:val="9"/>
        <w:spacing w:before="213" w:line="224" w:lineRule="auto"/>
        <w:ind w:left="2323"/>
        <w:rPr>
          <w:rFonts w:hint="eastAsia" w:asciiTheme="minorEastAsia" w:hAnsiTheme="minorEastAsia" w:eastAsiaTheme="minorEastAsia" w:cstheme="minorEastAsia"/>
          <w:b/>
          <w:color w:val="auto"/>
          <w:kern w:val="2"/>
          <w:sz w:val="32"/>
          <w:szCs w:val="32"/>
          <w:highlight w:val="none"/>
          <w:lang w:val="en-US" w:eastAsia="zh-CN" w:bidi="ar-SA"/>
        </w:rPr>
      </w:pPr>
      <w:r>
        <w:rPr>
          <w:rFonts w:hint="eastAsia" w:asciiTheme="minorEastAsia" w:hAnsiTheme="minorEastAsia" w:eastAsiaTheme="minorEastAsia" w:cstheme="minorEastAsia"/>
          <w:color w:val="auto"/>
          <w:sz w:val="32"/>
          <w:szCs w:val="32"/>
          <w:highlight w:val="none"/>
        </w:rPr>
        <w:br w:type="page"/>
      </w:r>
      <w:r>
        <w:rPr>
          <w:rFonts w:hint="eastAsia" w:asciiTheme="minorEastAsia" w:hAnsiTheme="minorEastAsia" w:eastAsiaTheme="minorEastAsia" w:cstheme="minorEastAsia"/>
          <w:b/>
          <w:color w:val="auto"/>
          <w:kern w:val="2"/>
          <w:sz w:val="32"/>
          <w:szCs w:val="32"/>
          <w:highlight w:val="none"/>
          <w:lang w:val="en-US" w:eastAsia="zh-CN" w:bidi="ar-SA"/>
        </w:rPr>
        <w:t>针对本项目的项目实施方案</w:t>
      </w:r>
    </w:p>
    <w:p w14:paraId="350CC8AF">
      <w:pPr>
        <w:shd w:val="clear" w:color="auto" w:fill="auto"/>
        <w:spacing w:line="360" w:lineRule="auto"/>
        <w:jc w:val="center"/>
        <w:rPr>
          <w:rFonts w:hint="eastAsia"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
          <w:color w:val="auto"/>
          <w:kern w:val="2"/>
          <w:sz w:val="32"/>
          <w:szCs w:val="32"/>
          <w:highlight w:val="none"/>
          <w:lang w:val="en-US" w:eastAsia="zh-CN" w:bidi="ar-SA"/>
        </w:rPr>
        <w:t>（格式自拟）</w:t>
      </w:r>
      <w:r>
        <w:rPr>
          <w:rFonts w:hint="eastAsia" w:asciiTheme="minorEastAsia" w:hAnsiTheme="minorEastAsia" w:eastAsiaTheme="minorEastAsia" w:cstheme="minorEastAsia"/>
          <w:bCs/>
          <w:color w:val="auto"/>
          <w:sz w:val="44"/>
          <w:szCs w:val="44"/>
          <w:highlight w:val="none"/>
        </w:rPr>
        <w:br w:type="page"/>
      </w:r>
    </w:p>
    <w:p w14:paraId="6031CA41">
      <w:p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质疑函（格式）</w:t>
      </w:r>
    </w:p>
    <w:p w14:paraId="34D4C8C5">
      <w:pPr>
        <w:pStyle w:val="12"/>
        <w:shd w:val="clear" w:color="auto" w:fill="auto"/>
        <w:snapToGrid w:val="0"/>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一、质疑供应商基本信息：</w:t>
      </w:r>
    </w:p>
    <w:p w14:paraId="4FC0BB8F">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质疑供应商：</w:t>
      </w:r>
    </w:p>
    <w:p w14:paraId="19FFC81D">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地址：邮编：</w:t>
      </w:r>
    </w:p>
    <w:p w14:paraId="61D38EAE">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联系人：联系电话：</w:t>
      </w:r>
    </w:p>
    <w:p w14:paraId="63E6A785">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授权代表：</w:t>
      </w:r>
    </w:p>
    <w:p w14:paraId="3A70E8D9">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联系电话：</w:t>
      </w:r>
    </w:p>
    <w:p w14:paraId="3409ABC6">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地址：邮编：</w:t>
      </w:r>
    </w:p>
    <w:p w14:paraId="4D53FD06">
      <w:pPr>
        <w:pStyle w:val="12"/>
        <w:shd w:val="clear" w:color="auto" w:fill="auto"/>
        <w:snapToGrid w:val="0"/>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二、质疑项目基本情况：</w:t>
      </w:r>
    </w:p>
    <w:p w14:paraId="51C28255">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项目的名称：</w:t>
      </w:r>
    </w:p>
    <w:p w14:paraId="5A83929D">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项目的编号：</w:t>
      </w:r>
    </w:p>
    <w:p w14:paraId="1FD02FCF">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p>
    <w:p w14:paraId="39E4F876">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w:t>
      </w:r>
    </w:p>
    <w:p w14:paraId="626701C2">
      <w:pPr>
        <w:pStyle w:val="12"/>
        <w:shd w:val="clear" w:color="auto" w:fill="auto"/>
        <w:spacing w:line="360" w:lineRule="auto"/>
        <w:ind w:left="25" w:leftChars="12" w:firstLine="352" w:firstLineChars="14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□采购文件   采购文件获取日期：</w:t>
      </w:r>
    </w:p>
    <w:p w14:paraId="7BD2E747">
      <w:pPr>
        <w:pStyle w:val="12"/>
        <w:shd w:val="clear" w:color="auto" w:fill="auto"/>
        <w:spacing w:line="360" w:lineRule="auto"/>
        <w:ind w:left="25" w:leftChars="12" w:firstLine="352" w:firstLineChars="14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□采购过程   </w:t>
      </w:r>
    </w:p>
    <w:p w14:paraId="7F0516ED">
      <w:pPr>
        <w:pStyle w:val="12"/>
        <w:shd w:val="clear" w:color="auto" w:fill="auto"/>
        <w:spacing w:line="360" w:lineRule="auto"/>
        <w:ind w:left="25" w:leftChars="12" w:firstLine="352" w:firstLineChars="14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□成交结果   </w:t>
      </w:r>
    </w:p>
    <w:p w14:paraId="76A6D5E6">
      <w:pPr>
        <w:pStyle w:val="12"/>
        <w:shd w:val="clear" w:color="auto" w:fill="auto"/>
        <w:spacing w:line="360" w:lineRule="auto"/>
        <w:ind w:left="25" w:leftChars="12"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三、质疑事项具体内容</w:t>
      </w:r>
    </w:p>
    <w:p w14:paraId="6D398F8E">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质疑事项1：</w:t>
      </w:r>
    </w:p>
    <w:p w14:paraId="260E4591">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事实依据：</w:t>
      </w:r>
    </w:p>
    <w:p w14:paraId="757912F5">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法律依据：</w:t>
      </w:r>
    </w:p>
    <w:p w14:paraId="6DD8B499">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质疑事项2</w:t>
      </w:r>
    </w:p>
    <w:p w14:paraId="2FFFDF84">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24ED31BF">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四、与质疑事项相关的质疑请求：</w:t>
      </w:r>
    </w:p>
    <w:p w14:paraId="41A13797">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p>
    <w:p w14:paraId="5E917A1B">
      <w:pPr>
        <w:pStyle w:val="12"/>
        <w:shd w:val="clear" w:color="auto" w:fill="auto"/>
        <w:spacing w:line="360" w:lineRule="auto"/>
        <w:ind w:left="25" w:leftChars="12" w:firstLine="352" w:firstLineChars="147"/>
        <w:rPr>
          <w:rFonts w:hint="eastAsia" w:asciiTheme="minorEastAsia" w:hAnsiTheme="minorEastAsia" w:eastAsiaTheme="minorEastAsia" w:cstheme="minorEastAsia"/>
          <w:color w:val="auto"/>
          <w:sz w:val="24"/>
          <w:szCs w:val="24"/>
          <w:highlight w:val="none"/>
        </w:rPr>
      </w:pPr>
    </w:p>
    <w:p w14:paraId="2DF3B545">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签字（签章）：                                       公章：</w:t>
      </w:r>
    </w:p>
    <w:p w14:paraId="25D2ADD3">
      <w:pPr>
        <w:pStyle w:val="12"/>
        <w:shd w:val="clear" w:color="auto" w:fill="auto"/>
        <w:spacing w:line="360" w:lineRule="auto"/>
        <w:ind w:left="25" w:leftChars="12" w:firstLine="352" w:firstLineChars="147"/>
        <w:rPr>
          <w:rFonts w:hint="eastAsia" w:asciiTheme="minorEastAsia" w:hAnsiTheme="minorEastAsia" w:eastAsiaTheme="minorEastAsia" w:cstheme="minorEastAsia"/>
          <w:color w:val="auto"/>
          <w:sz w:val="24"/>
          <w:szCs w:val="24"/>
          <w:highlight w:val="none"/>
        </w:rPr>
      </w:pPr>
    </w:p>
    <w:p w14:paraId="458B8B5F">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p w14:paraId="5B0DCAEE">
      <w:pPr>
        <w:pStyle w:val="12"/>
        <w:shd w:val="clear" w:color="auto" w:fill="auto"/>
        <w:snapToGrid w:val="0"/>
        <w:spacing w:line="360" w:lineRule="auto"/>
        <w:rPr>
          <w:rFonts w:hint="eastAsia" w:asciiTheme="minorEastAsia" w:hAnsiTheme="minorEastAsia" w:eastAsiaTheme="minorEastAsia" w:cstheme="minorEastAsia"/>
          <w:b/>
          <w:color w:val="auto"/>
          <w:sz w:val="24"/>
          <w:szCs w:val="24"/>
          <w:highlight w:val="none"/>
        </w:rPr>
      </w:pPr>
    </w:p>
    <w:p w14:paraId="44D0819E">
      <w:pPr>
        <w:pStyle w:val="12"/>
        <w:shd w:val="clear" w:color="auto" w:fill="auto"/>
        <w:snapToGrid w:val="0"/>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14:paraId="1F0C8500">
      <w:pPr>
        <w:pStyle w:val="12"/>
        <w:shd w:val="clear" w:color="auto" w:fill="auto"/>
        <w:spacing w:line="360" w:lineRule="auto"/>
        <w:ind w:left="25" w:leftChars="12" w:firstLine="354" w:firstLineChars="147"/>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1.供应商提出质疑时，应提交质疑函和必要的证明材料</w:t>
      </w:r>
      <w:r>
        <w:rPr>
          <w:rFonts w:hint="eastAsia" w:asciiTheme="minorEastAsia" w:hAnsiTheme="minorEastAsia" w:eastAsiaTheme="minorEastAsia" w:cstheme="minorEastAsia"/>
          <w:b/>
          <w:bCs/>
          <w:color w:val="auto"/>
          <w:sz w:val="24"/>
          <w:szCs w:val="24"/>
          <w:highlight w:val="none"/>
        </w:rPr>
        <w:t>。</w:t>
      </w:r>
    </w:p>
    <w:p w14:paraId="5673E07A">
      <w:pPr>
        <w:pStyle w:val="12"/>
        <w:shd w:val="clear" w:color="auto" w:fill="auto"/>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42BFAEC">
      <w:pPr>
        <w:pStyle w:val="12"/>
        <w:shd w:val="clear" w:color="auto" w:fill="auto"/>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3.质疑函的质疑事项应具体、明确，并有必要的事实依据和法律依据。</w:t>
      </w:r>
    </w:p>
    <w:p w14:paraId="649B1854">
      <w:pPr>
        <w:pStyle w:val="12"/>
        <w:shd w:val="clear" w:color="auto" w:fill="auto"/>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4.质疑函的质疑请求应与质疑事项相关。</w:t>
      </w:r>
    </w:p>
    <w:p w14:paraId="7C1BBB8D">
      <w:pPr>
        <w:pStyle w:val="12"/>
        <w:shd w:val="clear" w:color="auto" w:fill="auto"/>
        <w:spacing w:line="360" w:lineRule="auto"/>
        <w:ind w:left="25" w:leftChars="12" w:firstLine="354" w:firstLineChars="147"/>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5.质疑供应商为法人或者其他组织的，质疑函应由法定代表人、主要负责人，或者其授权代表签字或者盖章，并加盖公章。</w:t>
      </w:r>
    </w:p>
    <w:p w14:paraId="721BCC7B">
      <w:pPr>
        <w:pStyle w:val="12"/>
        <w:shd w:val="clear" w:color="auto" w:fill="auto"/>
        <w:snapToGrid w:val="0"/>
        <w:spacing w:line="360" w:lineRule="auto"/>
        <w:rPr>
          <w:rFonts w:hint="eastAsia" w:asciiTheme="minorEastAsia" w:hAnsiTheme="minorEastAsia" w:eastAsiaTheme="minorEastAsia" w:cstheme="minorEastAsia"/>
          <w:b/>
          <w:color w:val="auto"/>
          <w:sz w:val="24"/>
          <w:szCs w:val="24"/>
          <w:highlight w:val="none"/>
        </w:rPr>
      </w:pPr>
    </w:p>
    <w:p w14:paraId="1519F912">
      <w:pPr>
        <w:shd w:val="clear" w:color="auto" w:fill="auto"/>
        <w:spacing w:line="360" w:lineRule="auto"/>
        <w:jc w:val="center"/>
        <w:rPr>
          <w:rFonts w:hint="eastAsia" w:asciiTheme="minorEastAsia" w:hAnsiTheme="minorEastAsia" w:eastAsiaTheme="minorEastAsia" w:cstheme="minorEastAsia"/>
          <w:color w:val="auto"/>
          <w:sz w:val="44"/>
          <w:highlight w:val="none"/>
        </w:rPr>
      </w:pPr>
      <w:r>
        <w:rPr>
          <w:rFonts w:hint="eastAsia" w:asciiTheme="minorEastAsia" w:hAnsiTheme="minorEastAsia" w:eastAsiaTheme="minorEastAsia" w:cstheme="minorEastAsia"/>
          <w:color w:val="auto"/>
          <w:sz w:val="44"/>
          <w:highlight w:val="none"/>
        </w:rPr>
        <w:br w:type="page"/>
      </w:r>
    </w:p>
    <w:p w14:paraId="11960B0E">
      <w:pPr>
        <w:shd w:val="clear" w:color="auto" w:fill="auto"/>
        <w:spacing w:line="36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投诉书（格式）</w:t>
      </w:r>
    </w:p>
    <w:p w14:paraId="3CDDDEC8">
      <w:pPr>
        <w:pStyle w:val="12"/>
        <w:shd w:val="clear" w:color="auto" w:fill="auto"/>
        <w:snapToGrid w:val="0"/>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一、投诉相关主体基本情况：</w:t>
      </w:r>
    </w:p>
    <w:p w14:paraId="6C4DF606">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供应商：</w:t>
      </w:r>
    </w:p>
    <w:p w14:paraId="29349D0C">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地址：邮编：</w:t>
      </w:r>
    </w:p>
    <w:p w14:paraId="7005F665">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法定代表人/主要负责人：</w:t>
      </w:r>
    </w:p>
    <w:p w14:paraId="714D76C2">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联系电话：</w:t>
      </w:r>
    </w:p>
    <w:p w14:paraId="74FFE704">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授权代表：联系电话：</w:t>
      </w:r>
    </w:p>
    <w:p w14:paraId="16AF82B7">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地址：邮编：</w:t>
      </w:r>
    </w:p>
    <w:p w14:paraId="70760C29">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被投诉人1：</w:t>
      </w:r>
    </w:p>
    <w:p w14:paraId="604455C1">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地址：邮编：</w:t>
      </w:r>
    </w:p>
    <w:p w14:paraId="27625D2A">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联系人：联系电话：</w:t>
      </w:r>
    </w:p>
    <w:p w14:paraId="0CA5B3B3">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被投诉人2：</w:t>
      </w:r>
    </w:p>
    <w:p w14:paraId="2FE4EC07">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相关供应商：</w:t>
      </w:r>
    </w:p>
    <w:p w14:paraId="70FC9053">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地址：邮编：</w:t>
      </w:r>
    </w:p>
    <w:p w14:paraId="3A1F5FF7">
      <w:pPr>
        <w:pStyle w:val="12"/>
        <w:shd w:val="clear" w:color="auto" w:fill="auto"/>
        <w:snapToGrid w:val="0"/>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联系人：联系电话：</w:t>
      </w:r>
    </w:p>
    <w:p w14:paraId="1879CDBA">
      <w:pPr>
        <w:pStyle w:val="12"/>
        <w:shd w:val="clear" w:color="auto" w:fill="auto"/>
        <w:snapToGrid w:val="0"/>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二、投诉项目基本情况：</w:t>
      </w:r>
    </w:p>
    <w:p w14:paraId="4B23E85D">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项目的名称：</w:t>
      </w:r>
    </w:p>
    <w:p w14:paraId="732A0F93">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项目的编号：</w:t>
      </w:r>
    </w:p>
    <w:p w14:paraId="276C3078">
      <w:pPr>
        <w:pStyle w:val="12"/>
        <w:shd w:val="clear" w:color="auto" w:fill="auto"/>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采购人名称：</w:t>
      </w:r>
    </w:p>
    <w:p w14:paraId="554EABC7">
      <w:pPr>
        <w:pStyle w:val="12"/>
        <w:shd w:val="clear" w:color="auto" w:fill="auto"/>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代理机构名称：</w:t>
      </w:r>
    </w:p>
    <w:p w14:paraId="7AA73BB6">
      <w:pPr>
        <w:pStyle w:val="12"/>
        <w:shd w:val="clear" w:color="auto" w:fill="auto"/>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lang w:eastAsia="zh-CN"/>
        </w:rPr>
        <w:t>竞争性谈判</w:t>
      </w:r>
      <w:r>
        <w:rPr>
          <w:rFonts w:hint="eastAsia" w:asciiTheme="minorEastAsia" w:hAnsiTheme="minorEastAsia" w:eastAsiaTheme="minorEastAsia" w:cstheme="minorEastAsia"/>
          <w:bCs/>
          <w:color w:val="auto"/>
          <w:sz w:val="24"/>
          <w:szCs w:val="24"/>
          <w:highlight w:val="none"/>
        </w:rPr>
        <w:t>文件公告：</w:t>
      </w:r>
      <w:r>
        <w:rPr>
          <w:rFonts w:hint="eastAsia" w:asciiTheme="minorEastAsia" w:hAnsiTheme="minorEastAsia" w:eastAsiaTheme="minorEastAsia" w:cstheme="minorEastAsia"/>
          <w:bCs/>
          <w:color w:val="auto"/>
          <w:sz w:val="24"/>
          <w:szCs w:val="24"/>
          <w:highlight w:val="none"/>
          <w:u w:val="single"/>
        </w:rPr>
        <w:t>是/否</w:t>
      </w:r>
      <w:r>
        <w:rPr>
          <w:rFonts w:hint="eastAsia" w:asciiTheme="minorEastAsia" w:hAnsiTheme="minorEastAsia" w:eastAsiaTheme="minorEastAsia" w:cstheme="minorEastAsia"/>
          <w:bCs/>
          <w:color w:val="auto"/>
          <w:sz w:val="24"/>
          <w:szCs w:val="24"/>
          <w:highlight w:val="none"/>
        </w:rPr>
        <w:t>公告期限：</w:t>
      </w:r>
    </w:p>
    <w:p w14:paraId="54DDFE96">
      <w:pPr>
        <w:pStyle w:val="12"/>
        <w:shd w:val="clear" w:color="auto" w:fill="auto"/>
        <w:spacing w:line="360" w:lineRule="auto"/>
        <w:ind w:left="25" w:leftChars="12" w:firstLine="472" w:firstLineChars="19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采购结果公告：</w:t>
      </w:r>
      <w:r>
        <w:rPr>
          <w:rFonts w:hint="eastAsia" w:asciiTheme="minorEastAsia" w:hAnsiTheme="minorEastAsia" w:eastAsiaTheme="minorEastAsia" w:cstheme="minorEastAsia"/>
          <w:bCs/>
          <w:color w:val="auto"/>
          <w:sz w:val="24"/>
          <w:szCs w:val="24"/>
          <w:highlight w:val="none"/>
          <w:u w:val="single"/>
        </w:rPr>
        <w:t>是/否</w:t>
      </w:r>
      <w:r>
        <w:rPr>
          <w:rFonts w:hint="eastAsia" w:asciiTheme="minorEastAsia" w:hAnsiTheme="minorEastAsia" w:eastAsiaTheme="minorEastAsia" w:cstheme="minorEastAsia"/>
          <w:bCs/>
          <w:color w:val="auto"/>
          <w:sz w:val="24"/>
          <w:szCs w:val="24"/>
          <w:highlight w:val="none"/>
        </w:rPr>
        <w:t>公告期限：</w:t>
      </w:r>
    </w:p>
    <w:p w14:paraId="3B1188F3">
      <w:pPr>
        <w:pStyle w:val="12"/>
        <w:shd w:val="clear" w:color="auto" w:fill="auto"/>
        <w:spacing w:line="360" w:lineRule="auto"/>
        <w:ind w:left="25" w:leftChars="12"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三、质疑基本情况</w:t>
      </w:r>
    </w:p>
    <w:p w14:paraId="1291148F">
      <w:pPr>
        <w:pStyle w:val="12"/>
        <w:shd w:val="clear" w:color="auto" w:fill="auto"/>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投诉人于年月日，向提出质疑，质疑事项为：</w:t>
      </w:r>
    </w:p>
    <w:p w14:paraId="14D99DF3">
      <w:pPr>
        <w:pStyle w:val="12"/>
        <w:shd w:val="clear" w:color="auto" w:fill="auto"/>
        <w:spacing w:line="360" w:lineRule="auto"/>
        <w:ind w:firstLine="241"/>
        <w:rPr>
          <w:rFonts w:hint="eastAsia" w:asciiTheme="minorEastAsia" w:hAnsiTheme="minorEastAsia" w:eastAsiaTheme="minorEastAsia" w:cstheme="minorEastAsia"/>
          <w:bCs/>
          <w:color w:val="auto"/>
          <w:sz w:val="24"/>
          <w:szCs w:val="24"/>
          <w:highlight w:val="none"/>
          <w:u w:val="single"/>
        </w:rPr>
      </w:pPr>
    </w:p>
    <w:p w14:paraId="77AD8F3B">
      <w:pPr>
        <w:pStyle w:val="12"/>
        <w:shd w:val="clear" w:color="auto" w:fill="auto"/>
        <w:spacing w:line="360" w:lineRule="auto"/>
        <w:ind w:firstLine="241"/>
        <w:rPr>
          <w:rFonts w:hint="eastAsia" w:asciiTheme="minorEastAsia" w:hAnsiTheme="minorEastAsia" w:eastAsiaTheme="minorEastAsia" w:cstheme="minorEastAsia"/>
          <w:bCs/>
          <w:color w:val="auto"/>
          <w:sz w:val="24"/>
          <w:szCs w:val="24"/>
          <w:highlight w:val="none"/>
          <w:u w:val="single"/>
        </w:rPr>
      </w:pPr>
    </w:p>
    <w:p w14:paraId="3B956CBC">
      <w:pPr>
        <w:pStyle w:val="12"/>
        <w:shd w:val="clear" w:color="auto" w:fill="auto"/>
        <w:spacing w:line="360" w:lineRule="auto"/>
        <w:ind w:firstLine="24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u w:val="single"/>
        </w:rPr>
        <w:t>采购人/采购代理机构</w:t>
      </w:r>
      <w:r>
        <w:rPr>
          <w:rFonts w:hint="eastAsia" w:asciiTheme="minorEastAsia" w:hAnsiTheme="minorEastAsia" w:eastAsiaTheme="minorEastAsia" w:cstheme="minorEastAsia"/>
          <w:bCs/>
          <w:color w:val="auto"/>
          <w:sz w:val="24"/>
          <w:szCs w:val="24"/>
          <w:highlight w:val="none"/>
        </w:rPr>
        <w:t>于</w:t>
      </w:r>
      <w:r>
        <w:rPr>
          <w:rFonts w:hint="eastAsia" w:asciiTheme="minorEastAsia" w:hAnsiTheme="minorEastAsia" w:eastAsiaTheme="minorEastAsia" w:cstheme="minorEastAsia"/>
          <w:color w:val="auto"/>
          <w:sz w:val="24"/>
          <w:szCs w:val="24"/>
          <w:highlight w:val="none"/>
        </w:rPr>
        <w:t>年月日，</w:t>
      </w:r>
      <w:r>
        <w:rPr>
          <w:rFonts w:hint="eastAsia" w:asciiTheme="minorEastAsia" w:hAnsiTheme="minorEastAsia" w:eastAsiaTheme="minorEastAsia" w:cstheme="minorEastAsia"/>
          <w:bCs/>
          <w:color w:val="auto"/>
          <w:sz w:val="24"/>
          <w:szCs w:val="24"/>
          <w:highlight w:val="none"/>
        </w:rPr>
        <w:t xml:space="preserve">就质疑事项作出了答复/没有在法定期限内作出答复。                                                                                             </w:t>
      </w:r>
    </w:p>
    <w:p w14:paraId="6ADA20B0">
      <w:pPr>
        <w:pStyle w:val="12"/>
        <w:shd w:val="clear" w:color="auto" w:fill="auto"/>
        <w:spacing w:line="360" w:lineRule="auto"/>
        <w:ind w:left="25" w:leftChars="12"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四、投诉事项具体内容</w:t>
      </w:r>
    </w:p>
    <w:p w14:paraId="2207E5BE">
      <w:pPr>
        <w:pStyle w:val="12"/>
        <w:shd w:val="clear" w:color="auto" w:fill="auto"/>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投诉事项1：</w:t>
      </w:r>
    </w:p>
    <w:p w14:paraId="0EB36D70">
      <w:pPr>
        <w:pStyle w:val="12"/>
        <w:shd w:val="clear" w:color="auto" w:fill="auto"/>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事实依据：</w:t>
      </w:r>
    </w:p>
    <w:p w14:paraId="3F43EC1E">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p>
    <w:p w14:paraId="79C147B3">
      <w:pPr>
        <w:pStyle w:val="12"/>
        <w:shd w:val="clear" w:color="auto" w:fill="auto"/>
        <w:spacing w:line="360" w:lineRule="auto"/>
        <w:ind w:firstLine="480" w:firstLineChars="200"/>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法律依据：</w:t>
      </w:r>
    </w:p>
    <w:p w14:paraId="20F77740">
      <w:pPr>
        <w:pStyle w:val="12"/>
        <w:shd w:val="clear" w:color="auto" w:fill="auto"/>
        <w:spacing w:line="360" w:lineRule="auto"/>
        <w:ind w:left="25" w:leftChars="12" w:firstLine="352" w:firstLineChars="147"/>
        <w:rPr>
          <w:rFonts w:hint="eastAsia" w:asciiTheme="minorEastAsia" w:hAnsiTheme="minorEastAsia" w:eastAsiaTheme="minorEastAsia" w:cstheme="minorEastAsia"/>
          <w:bCs/>
          <w:color w:val="auto"/>
          <w:sz w:val="24"/>
          <w:szCs w:val="24"/>
          <w:highlight w:val="none"/>
          <w:u w:val="single"/>
        </w:rPr>
      </w:pPr>
    </w:p>
    <w:p w14:paraId="13417F52">
      <w:pPr>
        <w:pStyle w:val="12"/>
        <w:shd w:val="clear" w:color="auto" w:fill="auto"/>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投诉事项2  </w:t>
      </w:r>
    </w:p>
    <w:p w14:paraId="4ADB617C">
      <w:pPr>
        <w:pStyle w:val="12"/>
        <w:shd w:val="clear" w:color="auto" w:fill="auto"/>
        <w:spacing w:line="360" w:lineRule="auto"/>
        <w:ind w:left="25" w:leftChars="12" w:firstLine="472" w:firstLineChars="197"/>
        <w:rPr>
          <w:rFonts w:hint="eastAsia" w:asciiTheme="minorEastAsia" w:hAnsiTheme="minorEastAsia" w:eastAsiaTheme="minorEastAsia" w:cstheme="minorEastAsia"/>
          <w:bCs/>
          <w:color w:val="auto"/>
          <w:sz w:val="24"/>
          <w:szCs w:val="24"/>
          <w:highlight w:val="none"/>
        </w:rPr>
      </w:pPr>
    </w:p>
    <w:p w14:paraId="557F3E11">
      <w:pPr>
        <w:pStyle w:val="12"/>
        <w:shd w:val="clear" w:color="auto" w:fill="auto"/>
        <w:spacing w:line="360" w:lineRule="auto"/>
        <w:ind w:left="25" w:leftChars="12" w:firstLine="472" w:firstLineChars="196"/>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五、与投诉事项相关的投诉请求：</w:t>
      </w:r>
    </w:p>
    <w:p w14:paraId="4BFBDA18">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p>
    <w:p w14:paraId="47AA6A8D">
      <w:pPr>
        <w:pStyle w:val="12"/>
        <w:shd w:val="clear" w:color="auto" w:fill="auto"/>
        <w:spacing w:line="360" w:lineRule="auto"/>
        <w:ind w:left="25" w:leftChars="12" w:firstLine="352" w:firstLineChars="147"/>
        <w:rPr>
          <w:rFonts w:hint="eastAsia" w:asciiTheme="minorEastAsia" w:hAnsiTheme="minorEastAsia" w:eastAsiaTheme="minorEastAsia" w:cstheme="minorEastAsia"/>
          <w:color w:val="auto"/>
          <w:sz w:val="24"/>
          <w:szCs w:val="24"/>
          <w:highlight w:val="none"/>
        </w:rPr>
      </w:pPr>
    </w:p>
    <w:p w14:paraId="65C88A05">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签字（签章）：                                       公章：</w:t>
      </w:r>
    </w:p>
    <w:p w14:paraId="48BEAAAD">
      <w:pPr>
        <w:pStyle w:val="12"/>
        <w:shd w:val="clear" w:color="auto" w:fill="auto"/>
        <w:spacing w:line="360" w:lineRule="auto"/>
        <w:ind w:left="25" w:leftChars="12" w:firstLine="352" w:firstLineChars="147"/>
        <w:rPr>
          <w:rFonts w:hint="eastAsia" w:asciiTheme="minorEastAsia" w:hAnsiTheme="minorEastAsia" w:eastAsiaTheme="minorEastAsia" w:cstheme="minorEastAsia"/>
          <w:color w:val="auto"/>
          <w:sz w:val="24"/>
          <w:szCs w:val="24"/>
          <w:highlight w:val="none"/>
        </w:rPr>
      </w:pPr>
    </w:p>
    <w:p w14:paraId="5B77893A">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p w14:paraId="7D06A99F">
      <w:pPr>
        <w:pStyle w:val="12"/>
        <w:shd w:val="clear" w:color="auto" w:fill="auto"/>
        <w:spacing w:line="360" w:lineRule="auto"/>
        <w:ind w:left="25" w:leftChars="12" w:firstLine="472" w:firstLineChars="197"/>
        <w:rPr>
          <w:rFonts w:hint="eastAsia" w:asciiTheme="minorEastAsia" w:hAnsiTheme="minorEastAsia" w:eastAsiaTheme="minorEastAsia" w:cstheme="minorEastAsia"/>
          <w:color w:val="auto"/>
          <w:sz w:val="24"/>
          <w:szCs w:val="24"/>
          <w:highlight w:val="none"/>
        </w:rPr>
      </w:pPr>
    </w:p>
    <w:p w14:paraId="185D0B53">
      <w:pPr>
        <w:pStyle w:val="12"/>
        <w:shd w:val="clear" w:color="auto" w:fill="auto"/>
        <w:snapToGrid w:val="0"/>
        <w:spacing w:line="360" w:lineRule="auto"/>
        <w:rPr>
          <w:rFonts w:hint="eastAsia" w:asciiTheme="minorEastAsia" w:hAnsiTheme="minorEastAsia" w:eastAsiaTheme="minorEastAsia" w:cstheme="minorEastAsia"/>
          <w:b/>
          <w:color w:val="auto"/>
          <w:sz w:val="24"/>
          <w:szCs w:val="24"/>
          <w:highlight w:val="none"/>
        </w:rPr>
      </w:pPr>
    </w:p>
    <w:p w14:paraId="511AB9A5">
      <w:pPr>
        <w:pStyle w:val="12"/>
        <w:shd w:val="clear" w:color="auto" w:fill="auto"/>
        <w:snapToGrid w:val="0"/>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14:paraId="710CD4EB">
      <w:pPr>
        <w:pStyle w:val="12"/>
        <w:shd w:val="clear" w:color="auto" w:fill="auto"/>
        <w:spacing w:line="360" w:lineRule="auto"/>
        <w:ind w:left="25" w:leftChars="12" w:firstLine="354" w:firstLineChars="147"/>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1.投诉人提起投诉时，应当提交投诉书和必要的证明材料，并按照被投诉人和与投诉事项有关的供应商数量提供投诉书副本</w:t>
      </w:r>
      <w:r>
        <w:rPr>
          <w:rFonts w:hint="eastAsia" w:asciiTheme="minorEastAsia" w:hAnsiTheme="minorEastAsia" w:eastAsiaTheme="minorEastAsia" w:cstheme="minorEastAsia"/>
          <w:b/>
          <w:bCs/>
          <w:color w:val="auto"/>
          <w:sz w:val="24"/>
          <w:szCs w:val="24"/>
          <w:highlight w:val="none"/>
        </w:rPr>
        <w:t>。</w:t>
      </w:r>
    </w:p>
    <w:p w14:paraId="081BC3DA">
      <w:pPr>
        <w:pStyle w:val="12"/>
        <w:shd w:val="clear" w:color="auto" w:fill="auto"/>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B84A668">
      <w:pPr>
        <w:pStyle w:val="12"/>
        <w:shd w:val="clear" w:color="auto" w:fill="auto"/>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3.投诉书应简要列明质疑事项，质疑函、质疑答复等作为附件材料提供。</w:t>
      </w:r>
    </w:p>
    <w:p w14:paraId="4EDEB2AE">
      <w:pPr>
        <w:pStyle w:val="12"/>
        <w:shd w:val="clear" w:color="auto" w:fill="auto"/>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4.投诉书的投诉事项应具体、明确，并有必要的事实依据和法律依据。</w:t>
      </w:r>
    </w:p>
    <w:p w14:paraId="75F3F21E">
      <w:pPr>
        <w:pStyle w:val="12"/>
        <w:shd w:val="clear" w:color="auto" w:fill="auto"/>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5.投诉书的投诉请求应与投诉事项相关。</w:t>
      </w:r>
    </w:p>
    <w:p w14:paraId="0A1F73A2">
      <w:pPr>
        <w:pStyle w:val="12"/>
        <w:shd w:val="clear" w:color="auto" w:fill="auto"/>
        <w:spacing w:line="360" w:lineRule="auto"/>
        <w:ind w:left="25" w:leftChars="12" w:firstLine="354" w:firstLineChars="147"/>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6.投诉人为法人或者其他组织的，投诉书应由法定代表人、主要负责人，或者其授权代表签字或者盖章，并加盖公章。</w:t>
      </w:r>
    </w:p>
    <w:p w14:paraId="10324B0B">
      <w:pPr>
        <w:pStyle w:val="2"/>
        <w:numPr>
          <w:ilvl w:val="0"/>
          <w:numId w:val="0"/>
        </w:numPr>
        <w:shd w:val="clear" w:color="auto" w:fill="auto"/>
        <w:spacing w:line="360" w:lineRule="auto"/>
        <w:jc w:val="center"/>
        <w:outlineLvl w:val="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val="0"/>
          <w:color w:val="auto"/>
          <w:sz w:val="24"/>
          <w:highlight w:val="none"/>
        </w:rPr>
        <w:br w:type="page"/>
      </w:r>
      <w:bookmarkStart w:id="199" w:name="_Toc11991"/>
      <w:r>
        <w:rPr>
          <w:rFonts w:hint="eastAsia" w:asciiTheme="minorEastAsia" w:hAnsiTheme="minorEastAsia" w:eastAsiaTheme="minorEastAsia" w:cstheme="minorEastAsia"/>
          <w:b/>
          <w:color w:val="auto"/>
          <w:kern w:val="44"/>
          <w:sz w:val="44"/>
          <w:szCs w:val="24"/>
          <w:highlight w:val="none"/>
          <w:lang w:val="en-US" w:eastAsia="zh-CN" w:bidi="ar-SA"/>
        </w:rPr>
        <w:t>第七章  合同文本</w:t>
      </w:r>
      <w:bookmarkEnd w:id="181"/>
      <w:bookmarkEnd w:id="199"/>
    </w:p>
    <w:p w14:paraId="122E4D76">
      <w:pPr>
        <w:pStyle w:val="12"/>
        <w:spacing w:line="840" w:lineRule="exact"/>
        <w:ind w:firstLine="420"/>
        <w:jc w:val="center"/>
        <w:rPr>
          <w:rFonts w:hint="eastAsia" w:hAnsi="宋体"/>
          <w:b/>
          <w:bCs/>
          <w:sz w:val="48"/>
          <w:szCs w:val="48"/>
          <w:highlight w:val="none"/>
        </w:rPr>
      </w:pPr>
      <w:r>
        <w:rPr>
          <w:rFonts w:hint="eastAsia" w:hAnsi="宋体"/>
          <w:b/>
          <w:bCs/>
          <w:sz w:val="48"/>
          <w:szCs w:val="48"/>
          <w:highlight w:val="none"/>
          <w:lang w:eastAsia="zh-CN"/>
        </w:rPr>
        <w:t>广西壮族自治区人民医院</w:t>
      </w:r>
      <w:r>
        <w:rPr>
          <w:rFonts w:hint="eastAsia" w:hAnsi="宋体"/>
          <w:b/>
          <w:bCs/>
          <w:sz w:val="48"/>
          <w:szCs w:val="48"/>
          <w:highlight w:val="none"/>
        </w:rPr>
        <w:t>施工合同</w:t>
      </w:r>
    </w:p>
    <w:p w14:paraId="7A0A019A">
      <w:pPr>
        <w:pStyle w:val="12"/>
        <w:spacing w:line="340" w:lineRule="exact"/>
        <w:rPr>
          <w:rFonts w:hint="eastAsia" w:hAnsi="宋体"/>
          <w:highlight w:val="none"/>
        </w:rPr>
      </w:pPr>
    </w:p>
    <w:p w14:paraId="0F112EFF">
      <w:pPr>
        <w:pStyle w:val="12"/>
        <w:spacing w:line="340" w:lineRule="exact"/>
        <w:rPr>
          <w:rFonts w:hint="eastAsia" w:hAnsi="宋体"/>
          <w:highlight w:val="none"/>
        </w:rPr>
      </w:pPr>
    </w:p>
    <w:p w14:paraId="2804C3B1">
      <w:pPr>
        <w:pStyle w:val="12"/>
        <w:spacing w:line="340" w:lineRule="exact"/>
        <w:rPr>
          <w:rFonts w:hint="eastAsia" w:hAnsi="宋体"/>
          <w:sz w:val="32"/>
          <w:szCs w:val="32"/>
          <w:highlight w:val="none"/>
        </w:rPr>
      </w:pPr>
    </w:p>
    <w:p w14:paraId="45165358">
      <w:pPr>
        <w:pStyle w:val="12"/>
        <w:spacing w:line="340" w:lineRule="exact"/>
        <w:rPr>
          <w:rFonts w:hint="eastAsia" w:hAnsi="宋体"/>
          <w:sz w:val="32"/>
          <w:szCs w:val="32"/>
          <w:highlight w:val="none"/>
        </w:rPr>
      </w:pPr>
    </w:p>
    <w:p w14:paraId="5BC23F11">
      <w:pPr>
        <w:pStyle w:val="12"/>
        <w:spacing w:line="840" w:lineRule="exact"/>
        <w:ind w:left="1260" w:leftChars="600" w:firstLine="420"/>
        <w:rPr>
          <w:rFonts w:hint="eastAsia" w:hAnsi="宋体"/>
          <w:b/>
          <w:bCs/>
          <w:sz w:val="32"/>
          <w:szCs w:val="32"/>
          <w:highlight w:val="none"/>
        </w:rPr>
      </w:pPr>
      <w:r>
        <w:rPr>
          <w:rFonts w:hint="eastAsia" w:hAnsi="宋体"/>
          <w:b/>
          <w:bCs/>
          <w:sz w:val="32"/>
          <w:szCs w:val="32"/>
          <w:highlight w:val="none"/>
        </w:rPr>
        <w:t>项目编号：</w:t>
      </w:r>
    </w:p>
    <w:p w14:paraId="6EF8E898">
      <w:pPr>
        <w:pStyle w:val="12"/>
        <w:spacing w:line="840" w:lineRule="exact"/>
        <w:ind w:left="1260" w:leftChars="600" w:firstLine="420"/>
        <w:rPr>
          <w:rFonts w:hint="eastAsia" w:hAnsi="宋体"/>
          <w:b/>
          <w:bCs/>
          <w:sz w:val="32"/>
          <w:szCs w:val="32"/>
          <w:highlight w:val="none"/>
        </w:rPr>
      </w:pPr>
      <w:r>
        <w:rPr>
          <w:rFonts w:hint="eastAsia" w:hAnsi="宋体"/>
          <w:b/>
          <w:bCs/>
          <w:sz w:val="32"/>
          <w:szCs w:val="32"/>
          <w:highlight w:val="none"/>
        </w:rPr>
        <w:t>合同编号：</w:t>
      </w:r>
    </w:p>
    <w:p w14:paraId="232FD254">
      <w:pPr>
        <w:pStyle w:val="12"/>
        <w:spacing w:line="340" w:lineRule="exact"/>
        <w:rPr>
          <w:rFonts w:hint="eastAsia" w:hAnsi="宋体"/>
          <w:sz w:val="32"/>
          <w:szCs w:val="32"/>
          <w:highlight w:val="none"/>
        </w:rPr>
      </w:pPr>
    </w:p>
    <w:p w14:paraId="5B13943D">
      <w:pPr>
        <w:pStyle w:val="12"/>
        <w:spacing w:line="340" w:lineRule="exact"/>
        <w:rPr>
          <w:rFonts w:hint="eastAsia" w:hAnsi="宋体"/>
          <w:sz w:val="32"/>
          <w:szCs w:val="32"/>
          <w:highlight w:val="none"/>
        </w:rPr>
      </w:pPr>
    </w:p>
    <w:p w14:paraId="14099C79">
      <w:pPr>
        <w:pStyle w:val="12"/>
        <w:spacing w:line="340" w:lineRule="exact"/>
        <w:rPr>
          <w:rFonts w:hint="eastAsia" w:hAnsi="宋体"/>
          <w:sz w:val="32"/>
          <w:szCs w:val="32"/>
          <w:highlight w:val="none"/>
        </w:rPr>
      </w:pPr>
    </w:p>
    <w:p w14:paraId="002A4B37">
      <w:pPr>
        <w:pStyle w:val="12"/>
        <w:spacing w:line="340" w:lineRule="exact"/>
        <w:rPr>
          <w:rFonts w:hint="eastAsia" w:hAnsi="宋体"/>
          <w:sz w:val="32"/>
          <w:szCs w:val="32"/>
          <w:highlight w:val="none"/>
        </w:rPr>
      </w:pPr>
    </w:p>
    <w:p w14:paraId="4F1D9B18">
      <w:pPr>
        <w:pStyle w:val="12"/>
        <w:spacing w:line="340" w:lineRule="exact"/>
        <w:rPr>
          <w:rFonts w:hint="eastAsia" w:hAnsi="宋体"/>
          <w:sz w:val="32"/>
          <w:szCs w:val="32"/>
          <w:highlight w:val="none"/>
        </w:rPr>
      </w:pPr>
    </w:p>
    <w:p w14:paraId="697F5297">
      <w:pPr>
        <w:pStyle w:val="12"/>
        <w:spacing w:line="340" w:lineRule="exact"/>
        <w:rPr>
          <w:rFonts w:hint="eastAsia" w:hAnsi="宋体"/>
          <w:sz w:val="32"/>
          <w:szCs w:val="32"/>
          <w:highlight w:val="none"/>
        </w:rPr>
      </w:pPr>
    </w:p>
    <w:p w14:paraId="4DAF98E2">
      <w:pPr>
        <w:pStyle w:val="12"/>
        <w:spacing w:line="340" w:lineRule="exact"/>
        <w:rPr>
          <w:rFonts w:hint="eastAsia" w:hAnsi="宋体"/>
          <w:sz w:val="32"/>
          <w:szCs w:val="32"/>
          <w:highlight w:val="none"/>
        </w:rPr>
      </w:pPr>
    </w:p>
    <w:p w14:paraId="5143D815">
      <w:pPr>
        <w:pStyle w:val="12"/>
        <w:spacing w:line="840" w:lineRule="exact"/>
        <w:ind w:firstLine="420"/>
        <w:jc w:val="center"/>
        <w:rPr>
          <w:rFonts w:hint="eastAsia" w:hAnsi="宋体"/>
          <w:b/>
          <w:bCs/>
          <w:sz w:val="32"/>
          <w:szCs w:val="32"/>
          <w:highlight w:val="none"/>
        </w:rPr>
      </w:pPr>
    </w:p>
    <w:p w14:paraId="60B7BA8E">
      <w:pPr>
        <w:pStyle w:val="12"/>
        <w:spacing w:line="840" w:lineRule="exact"/>
        <w:ind w:left="1050" w:leftChars="500"/>
        <w:rPr>
          <w:rFonts w:hint="eastAsia" w:hAnsi="宋体"/>
          <w:b/>
          <w:bCs/>
          <w:sz w:val="32"/>
          <w:szCs w:val="32"/>
          <w:highlight w:val="none"/>
        </w:rPr>
      </w:pPr>
      <w:r>
        <w:rPr>
          <w:rFonts w:hint="eastAsia" w:hAnsi="宋体"/>
          <w:b/>
          <w:bCs/>
          <w:sz w:val="32"/>
          <w:szCs w:val="32"/>
          <w:highlight w:val="none"/>
        </w:rPr>
        <w:t>发包人（全称）：</w:t>
      </w:r>
      <w:bookmarkStart w:id="200" w:name="OLE_LINK9"/>
      <w:r>
        <w:rPr>
          <w:rFonts w:hint="eastAsia" w:hAnsi="宋体"/>
          <w:b/>
          <w:bCs/>
          <w:sz w:val="32"/>
          <w:szCs w:val="32"/>
          <w:highlight w:val="none"/>
        </w:rPr>
        <w:t>广西壮族自治区人民医院</w:t>
      </w:r>
      <w:bookmarkEnd w:id="200"/>
    </w:p>
    <w:p w14:paraId="505A59AD">
      <w:pPr>
        <w:pStyle w:val="12"/>
        <w:spacing w:line="840" w:lineRule="exact"/>
        <w:ind w:left="1050" w:leftChars="500"/>
        <w:rPr>
          <w:rFonts w:hint="default" w:hAnsi="宋体" w:eastAsia="宋体"/>
          <w:b/>
          <w:bCs/>
          <w:sz w:val="32"/>
          <w:szCs w:val="32"/>
          <w:highlight w:val="none"/>
          <w:lang w:val="en-US" w:eastAsia="zh-CN"/>
        </w:rPr>
      </w:pPr>
      <w:r>
        <w:rPr>
          <w:rFonts w:hint="eastAsia" w:hAnsi="宋体"/>
          <w:b/>
          <w:bCs/>
          <w:sz w:val="32"/>
          <w:szCs w:val="32"/>
          <w:highlight w:val="none"/>
        </w:rPr>
        <w:t>承包人（全称）：</w:t>
      </w:r>
    </w:p>
    <w:p w14:paraId="2411DF5F">
      <w:pPr>
        <w:pStyle w:val="12"/>
        <w:spacing w:line="840" w:lineRule="exact"/>
        <w:ind w:firstLine="420"/>
        <w:jc w:val="center"/>
        <w:rPr>
          <w:rFonts w:hint="eastAsia" w:hAnsi="宋体"/>
          <w:b/>
          <w:bCs/>
          <w:sz w:val="32"/>
          <w:szCs w:val="32"/>
          <w:highlight w:val="none"/>
        </w:rPr>
      </w:pPr>
      <w:r>
        <w:rPr>
          <w:rFonts w:hint="eastAsia" w:hAnsi="宋体"/>
          <w:b/>
          <w:bCs/>
          <w:sz w:val="32"/>
          <w:szCs w:val="32"/>
          <w:highlight w:val="none"/>
        </w:rPr>
        <w:t>签订合同时间：202</w:t>
      </w:r>
      <w:r>
        <w:rPr>
          <w:rFonts w:hint="eastAsia" w:hAnsi="宋体"/>
          <w:b/>
          <w:bCs/>
          <w:sz w:val="32"/>
          <w:szCs w:val="32"/>
          <w:highlight w:val="none"/>
          <w:lang w:val="en-US" w:eastAsia="zh-CN"/>
        </w:rPr>
        <w:t>6</w:t>
      </w:r>
      <w:r>
        <w:rPr>
          <w:rFonts w:hint="eastAsia" w:hAnsi="宋体"/>
          <w:b/>
          <w:bCs/>
          <w:sz w:val="32"/>
          <w:szCs w:val="32"/>
          <w:highlight w:val="none"/>
        </w:rPr>
        <w:t xml:space="preserve">年  月 </w:t>
      </w:r>
      <w:r>
        <w:rPr>
          <w:rFonts w:hAnsi="宋体"/>
          <w:b/>
          <w:bCs/>
          <w:sz w:val="32"/>
          <w:szCs w:val="32"/>
          <w:highlight w:val="none"/>
        </w:rPr>
        <w:t xml:space="preserve">  </w:t>
      </w:r>
      <w:r>
        <w:rPr>
          <w:rFonts w:hint="eastAsia" w:hAnsi="宋体"/>
          <w:b/>
          <w:bCs/>
          <w:sz w:val="32"/>
          <w:szCs w:val="32"/>
          <w:highlight w:val="none"/>
        </w:rPr>
        <w:t>日</w:t>
      </w:r>
    </w:p>
    <w:p w14:paraId="2A79F8F5">
      <w:pPr>
        <w:rPr>
          <w:highlight w:val="none"/>
        </w:rPr>
      </w:pPr>
      <w:r>
        <w:rPr>
          <w:highlight w:val="none"/>
        </w:rPr>
        <w:br w:type="page"/>
      </w:r>
    </w:p>
    <w:p w14:paraId="56ECF1F8">
      <w:pPr>
        <w:jc w:val="center"/>
        <w:rPr>
          <w:b/>
          <w:bCs/>
          <w:sz w:val="48"/>
          <w:szCs w:val="48"/>
          <w:highlight w:val="none"/>
        </w:rPr>
      </w:pPr>
      <w:bookmarkStart w:id="201" w:name="_Toc23262"/>
      <w:bookmarkStart w:id="202" w:name="_Toc389065255"/>
      <w:bookmarkStart w:id="203" w:name="_Toc296890982"/>
      <w:bookmarkStart w:id="204" w:name="_Toc83895638"/>
      <w:bookmarkStart w:id="205" w:name="_Toc407135191"/>
      <w:bookmarkStart w:id="206" w:name="_Toc296503025"/>
      <w:bookmarkStart w:id="207" w:name="_Toc373227552"/>
      <w:bookmarkStart w:id="208" w:name="_Toc256000127"/>
      <w:bookmarkStart w:id="209" w:name="_Toc351203480"/>
      <w:bookmarkStart w:id="210" w:name="_Toc373478199"/>
      <w:r>
        <w:rPr>
          <w:rFonts w:hint="eastAsia" w:cs="黑体"/>
          <w:b/>
          <w:bCs/>
          <w:color w:val="000000"/>
          <w:sz w:val="48"/>
          <w:szCs w:val="48"/>
          <w:highlight w:val="none"/>
        </w:rPr>
        <w:t>目录</w:t>
      </w:r>
      <w:bookmarkEnd w:id="201"/>
    </w:p>
    <w:p w14:paraId="338D25D9">
      <w:pPr>
        <w:pStyle w:val="15"/>
        <w:tabs>
          <w:tab w:val="right" w:leader="dot" w:pos="8306"/>
        </w:tabs>
        <w:rPr>
          <w:highlight w:val="none"/>
          <w:u w:val="none"/>
        </w:rPr>
      </w:pPr>
      <w:r>
        <w:rPr>
          <w:highlight w:val="none"/>
        </w:rPr>
        <w:fldChar w:fldCharType="begin"/>
      </w:r>
      <w:r>
        <w:rPr>
          <w:highlight w:val="none"/>
        </w:rPr>
        <w:instrText xml:space="preserve">TOC \o "1-3" \h \u </w:instrText>
      </w:r>
      <w:r>
        <w:rPr>
          <w:highlight w:val="none"/>
        </w:rPr>
        <w:fldChar w:fldCharType="separate"/>
      </w:r>
      <w:r>
        <w:rPr>
          <w:highlight w:val="none"/>
          <w:u w:val="none"/>
        </w:rPr>
        <w:fldChar w:fldCharType="begin"/>
      </w:r>
      <w:r>
        <w:rPr>
          <w:highlight w:val="none"/>
          <w:u w:val="none"/>
        </w:rPr>
        <w:instrText xml:space="preserve"> HYPERLINK \l _Toc31716 </w:instrText>
      </w:r>
      <w:r>
        <w:rPr>
          <w:highlight w:val="none"/>
          <w:u w:val="none"/>
        </w:rPr>
        <w:fldChar w:fldCharType="separate"/>
      </w:r>
      <w:r>
        <w:rPr>
          <w:rFonts w:hint="eastAsia" w:cs="黑体"/>
          <w:highlight w:val="none"/>
          <w:u w:val="none"/>
        </w:rPr>
        <w:t>第一部分</w:t>
      </w:r>
      <w:r>
        <w:rPr>
          <w:highlight w:val="none"/>
          <w:u w:val="none"/>
        </w:rPr>
        <w:t xml:space="preserve"> </w:t>
      </w:r>
      <w:r>
        <w:rPr>
          <w:rFonts w:hint="eastAsia" w:cs="黑体"/>
          <w:highlight w:val="none"/>
          <w:u w:val="none"/>
        </w:rPr>
        <w:t>合同协议书</w:t>
      </w:r>
      <w:r>
        <w:rPr>
          <w:highlight w:val="none"/>
          <w:u w:val="none"/>
        </w:rPr>
        <w:tab/>
      </w:r>
      <w:r>
        <w:rPr>
          <w:highlight w:val="none"/>
          <w:u w:val="none"/>
        </w:rPr>
        <w:fldChar w:fldCharType="end"/>
      </w:r>
    </w:p>
    <w:p w14:paraId="64693B6F">
      <w:pPr>
        <w:pStyle w:val="15"/>
        <w:tabs>
          <w:tab w:val="right" w:leader="dot" w:pos="8306"/>
        </w:tabs>
        <w:rPr>
          <w:highlight w:val="none"/>
          <w:u w:val="none"/>
        </w:rPr>
      </w:pPr>
      <w:r>
        <w:rPr>
          <w:highlight w:val="none"/>
          <w:u w:val="none"/>
        </w:rPr>
        <w:fldChar w:fldCharType="begin"/>
      </w:r>
      <w:r>
        <w:rPr>
          <w:highlight w:val="none"/>
          <w:u w:val="none"/>
        </w:rPr>
        <w:instrText xml:space="preserve"> HYPERLINK \l _Toc6390 </w:instrText>
      </w:r>
      <w:r>
        <w:rPr>
          <w:highlight w:val="none"/>
          <w:u w:val="none"/>
        </w:rPr>
        <w:fldChar w:fldCharType="separate"/>
      </w:r>
      <w:r>
        <w:rPr>
          <w:rFonts w:hint="eastAsia" w:cs="黑体"/>
          <w:highlight w:val="none"/>
          <w:u w:val="none"/>
        </w:rPr>
        <w:t>第二部分</w:t>
      </w:r>
      <w:r>
        <w:rPr>
          <w:highlight w:val="none"/>
          <w:u w:val="none"/>
        </w:rPr>
        <w:t xml:space="preserve"> </w:t>
      </w:r>
      <w:r>
        <w:rPr>
          <w:rFonts w:hint="eastAsia" w:cs="黑体"/>
          <w:highlight w:val="none"/>
          <w:u w:val="none"/>
        </w:rPr>
        <w:t>通用合同条款</w:t>
      </w:r>
      <w:r>
        <w:rPr>
          <w:highlight w:val="none"/>
          <w:u w:val="none"/>
        </w:rPr>
        <w:tab/>
      </w:r>
      <w:r>
        <w:rPr>
          <w:highlight w:val="none"/>
          <w:u w:val="none"/>
        </w:rPr>
        <w:fldChar w:fldCharType="end"/>
      </w:r>
    </w:p>
    <w:p w14:paraId="794C2471">
      <w:pPr>
        <w:rPr>
          <w:rFonts w:hint="default"/>
          <w:highlight w:val="none"/>
          <w:lang w:val="en-US" w:eastAsia="zh-CN"/>
        </w:rPr>
      </w:pPr>
      <w:r>
        <w:rPr>
          <w:rFonts w:hint="eastAsia" w:ascii="Calibri" w:hAnsi="Calibri" w:eastAsia="宋体" w:cs="黑体"/>
          <w:b/>
          <w:bCs/>
          <w:caps/>
          <w:kern w:val="2"/>
          <w:sz w:val="22"/>
          <w:szCs w:val="22"/>
          <w:highlight w:val="none"/>
          <w:u w:val="none"/>
          <w:lang w:val="zh-CN" w:eastAsia="zh-CN" w:bidi="ar-SA"/>
        </w:rPr>
        <w:t>第三部分 专用合同条款</w:t>
      </w:r>
      <w:r>
        <w:rPr>
          <w:rFonts w:hint="eastAsia" w:ascii="Calibri" w:hAnsi="Calibri" w:eastAsia="宋体" w:cs="黑体"/>
          <w:b/>
          <w:bCs/>
          <w:caps/>
          <w:kern w:val="2"/>
          <w:sz w:val="22"/>
          <w:szCs w:val="22"/>
          <w:highlight w:val="none"/>
          <w:u w:val="none"/>
          <w:lang w:val="en-US" w:eastAsia="zh-CN" w:bidi="ar-SA"/>
        </w:rPr>
        <w:t>......................................................................................................</w:t>
      </w:r>
    </w:p>
    <w:p w14:paraId="5E1E26E9">
      <w:pPr>
        <w:rPr>
          <w:highlight w:val="none"/>
        </w:rPr>
      </w:pPr>
    </w:p>
    <w:p w14:paraId="2AF4D7AE">
      <w:pPr>
        <w:pStyle w:val="11"/>
        <w:tabs>
          <w:tab w:val="right" w:leader="dot" w:pos="8306"/>
        </w:tabs>
        <w:rPr>
          <w:highlight w:val="none"/>
        </w:rPr>
      </w:pPr>
    </w:p>
    <w:p w14:paraId="636D0B65">
      <w:pPr>
        <w:rPr>
          <w:highlight w:val="none"/>
        </w:rPr>
      </w:pPr>
      <w:r>
        <w:rPr>
          <w:highlight w:val="none"/>
        </w:rPr>
        <w:fldChar w:fldCharType="end"/>
      </w:r>
    </w:p>
    <w:p w14:paraId="7399BF86">
      <w:pPr>
        <w:pStyle w:val="2"/>
        <w:jc w:val="center"/>
        <w:rPr>
          <w:color w:val="000000"/>
          <w:highlight w:val="none"/>
        </w:rPr>
      </w:pPr>
      <w:r>
        <w:rPr>
          <w:rFonts w:hint="eastAsia" w:cs="黑体"/>
          <w:color w:val="000000"/>
          <w:highlight w:val="none"/>
        </w:rPr>
        <w:br w:type="page"/>
      </w:r>
      <w:bookmarkEnd w:id="202"/>
      <w:bookmarkEnd w:id="203"/>
      <w:bookmarkEnd w:id="204"/>
      <w:bookmarkEnd w:id="205"/>
      <w:bookmarkEnd w:id="206"/>
      <w:bookmarkEnd w:id="207"/>
      <w:bookmarkEnd w:id="208"/>
      <w:bookmarkEnd w:id="209"/>
      <w:bookmarkEnd w:id="210"/>
      <w:bookmarkStart w:id="211" w:name="_Toc31716"/>
      <w:r>
        <w:rPr>
          <w:rFonts w:hint="eastAsia" w:cs="黑体"/>
          <w:color w:val="000000"/>
          <w:highlight w:val="none"/>
        </w:rPr>
        <w:t>第一部分</w:t>
      </w:r>
      <w:r>
        <w:rPr>
          <w:color w:val="000000"/>
          <w:highlight w:val="none"/>
        </w:rPr>
        <w:t xml:space="preserve"> </w:t>
      </w:r>
      <w:r>
        <w:rPr>
          <w:rFonts w:hint="eastAsia" w:cs="黑体"/>
          <w:color w:val="000000"/>
          <w:highlight w:val="none"/>
        </w:rPr>
        <w:t>合同协议书</w:t>
      </w:r>
      <w:bookmarkEnd w:id="211"/>
    </w:p>
    <w:p w14:paraId="2F5CF660">
      <w:pPr>
        <w:keepNext w:val="0"/>
        <w:keepLines w:val="0"/>
        <w:pageBreakBefore w:val="0"/>
        <w:widowControl w:val="0"/>
        <w:kinsoku/>
        <w:wordWrap/>
        <w:overflowPunct/>
        <w:topLinePunct w:val="0"/>
        <w:bidi w:val="0"/>
        <w:snapToGrid/>
        <w:spacing w:line="360" w:lineRule="auto"/>
        <w:textAlignment w:val="auto"/>
        <w:rPr>
          <w:highlight w:val="none"/>
        </w:rPr>
      </w:pPr>
      <w:bookmarkStart w:id="212" w:name="EBf5d8882b67eb450294403d6d9eac2034"/>
    </w:p>
    <w:bookmarkEnd w:id="212"/>
    <w:p w14:paraId="6E938D3C">
      <w:pPr>
        <w:pStyle w:val="31"/>
        <w:keepNext w:val="0"/>
        <w:keepLines w:val="0"/>
        <w:pageBreakBefore w:val="0"/>
        <w:widowControl w:val="0"/>
        <w:kinsoku/>
        <w:wordWrap/>
        <w:overflowPunct/>
        <w:topLinePunct w:val="0"/>
        <w:bidi w:val="0"/>
        <w:snapToGrid/>
        <w:spacing w:line="360" w:lineRule="auto"/>
        <w:textAlignment w:val="auto"/>
        <w:rPr>
          <w:color w:val="000000"/>
          <w:highlight w:val="none"/>
          <w:u w:val="single"/>
        </w:rPr>
      </w:pPr>
      <w:bookmarkStart w:id="213" w:name="OLE_LINK22"/>
      <w:bookmarkStart w:id="214" w:name="OLE_LINK23"/>
      <w:r>
        <w:rPr>
          <w:rFonts w:hint="eastAsia" w:hAnsi="宋体" w:cs="宋体"/>
          <w:color w:val="000000"/>
          <w:highlight w:val="none"/>
        </w:rPr>
        <w:t>发包人（</w:t>
      </w:r>
      <w:r>
        <w:rPr>
          <w:rFonts w:hint="eastAsia" w:hAnsi="宋体" w:cs="宋体"/>
          <w:color w:val="000000"/>
          <w:highlight w:val="none"/>
          <w:lang w:eastAsia="zh-Hans"/>
        </w:rPr>
        <w:t>甲方</w:t>
      </w:r>
      <w:r>
        <w:rPr>
          <w:rFonts w:hint="eastAsia" w:hAnsi="宋体" w:cs="宋体"/>
          <w:color w:val="000000"/>
          <w:highlight w:val="none"/>
        </w:rPr>
        <w:t>）：</w:t>
      </w:r>
      <w:r>
        <w:rPr>
          <w:rFonts w:hint="eastAsia" w:hAnsi="宋体" w:cs="宋体"/>
          <w:color w:val="000000"/>
          <w:highlight w:val="none"/>
          <w:u w:val="single"/>
        </w:rPr>
        <w:t>广西壮族自治区人民医院</w:t>
      </w:r>
    </w:p>
    <w:p w14:paraId="5C36E4ED">
      <w:pPr>
        <w:pStyle w:val="31"/>
        <w:keepNext w:val="0"/>
        <w:keepLines w:val="0"/>
        <w:pageBreakBefore w:val="0"/>
        <w:widowControl w:val="0"/>
        <w:kinsoku/>
        <w:wordWrap/>
        <w:overflowPunct/>
        <w:topLinePunct w:val="0"/>
        <w:bidi w:val="0"/>
        <w:snapToGrid/>
        <w:spacing w:line="360" w:lineRule="auto"/>
        <w:textAlignment w:val="auto"/>
        <w:rPr>
          <w:rFonts w:hint="eastAsia" w:eastAsia="宋体"/>
          <w:color w:val="000000"/>
          <w:highlight w:val="none"/>
          <w:u w:val="single"/>
          <w:lang w:eastAsia="zh-CN"/>
        </w:rPr>
      </w:pPr>
      <w:r>
        <w:rPr>
          <w:rFonts w:hint="eastAsia" w:hAnsi="宋体" w:cs="宋体"/>
          <w:color w:val="000000"/>
          <w:highlight w:val="none"/>
        </w:rPr>
        <w:t>承包人（</w:t>
      </w:r>
      <w:r>
        <w:rPr>
          <w:rFonts w:hint="eastAsia" w:hAnsi="宋体" w:cs="宋体"/>
          <w:color w:val="000000"/>
          <w:highlight w:val="none"/>
          <w:lang w:eastAsia="zh-Hans"/>
        </w:rPr>
        <w:t>乙方</w:t>
      </w:r>
      <w:r>
        <w:rPr>
          <w:rFonts w:hint="eastAsia" w:hAnsi="宋体" w:cs="宋体"/>
          <w:color w:val="000000"/>
          <w:highlight w:val="none"/>
        </w:rPr>
        <w:t>）：</w:t>
      </w:r>
    </w:p>
    <w:bookmarkEnd w:id="213"/>
    <w:bookmarkEnd w:id="214"/>
    <w:p w14:paraId="152160AF">
      <w:pPr>
        <w:pStyle w:val="31"/>
        <w:keepNext w:val="0"/>
        <w:keepLines w:val="0"/>
        <w:pageBreakBefore w:val="0"/>
        <w:widowControl w:val="0"/>
        <w:kinsoku/>
        <w:wordWrap/>
        <w:overflowPunct/>
        <w:topLinePunct w:val="0"/>
        <w:bidi w:val="0"/>
        <w:snapToGrid/>
        <w:spacing w:line="360" w:lineRule="auto"/>
        <w:ind w:firstLine="420" w:firstLineChars="200"/>
        <w:textAlignment w:val="auto"/>
        <w:rPr>
          <w:rStyle w:val="19"/>
          <w:rFonts w:hAnsi="宋体"/>
          <w:color w:val="000000"/>
          <w:highlight w:val="none"/>
        </w:rPr>
      </w:pPr>
      <w:r>
        <w:rPr>
          <w:rStyle w:val="19"/>
          <w:rFonts w:hint="eastAsia" w:hAnsi="宋体" w:cs="宋体"/>
          <w:color w:val="000000"/>
          <w:highlight w:val="none"/>
        </w:rPr>
        <w:t>根据《中华人民共和国民法典》、《中华人民共和国建筑法》及有关法律规定，遵循平等、自愿、公平和诚实信用的原则，双方就</w:t>
      </w:r>
      <w:r>
        <w:rPr>
          <w:rStyle w:val="19"/>
          <w:rFonts w:hint="eastAsia"/>
          <w:color w:val="000000"/>
          <w:highlight w:val="none"/>
          <w:u w:val="single"/>
          <w:lang w:val="en-US" w:eastAsia="zh-CN"/>
        </w:rPr>
        <w:t xml:space="preserve">    </w:t>
      </w:r>
      <w:r>
        <w:rPr>
          <w:rStyle w:val="19"/>
          <w:rFonts w:hint="eastAsia" w:hAnsi="宋体" w:cs="宋体"/>
          <w:color w:val="000000"/>
          <w:highlight w:val="none"/>
        </w:rPr>
        <w:t>工程施工及有关事项协商一致，共同达成如下协议：</w:t>
      </w:r>
      <w:bookmarkStart w:id="215" w:name="_Toc351203481"/>
    </w:p>
    <w:p w14:paraId="453340BD">
      <w:pPr>
        <w:pStyle w:val="31"/>
        <w:keepNext w:val="0"/>
        <w:keepLines w:val="0"/>
        <w:pageBreakBefore w:val="0"/>
        <w:widowControl w:val="0"/>
        <w:kinsoku/>
        <w:wordWrap/>
        <w:overflowPunct/>
        <w:topLinePunct w:val="0"/>
        <w:bidi w:val="0"/>
        <w:snapToGrid/>
        <w:spacing w:line="360" w:lineRule="auto"/>
        <w:ind w:firstLine="422" w:firstLineChars="200"/>
        <w:textAlignment w:val="auto"/>
        <w:outlineLvl w:val="0"/>
        <w:rPr>
          <w:rStyle w:val="19"/>
          <w:b/>
          <w:bCs/>
          <w:color w:val="000000"/>
          <w:highlight w:val="none"/>
        </w:rPr>
      </w:pPr>
      <w:bookmarkStart w:id="216" w:name="_Toc16257"/>
      <w:r>
        <w:rPr>
          <w:rStyle w:val="19"/>
          <w:rFonts w:hint="eastAsia" w:hAnsi="宋体" w:cs="宋体"/>
          <w:b/>
          <w:bCs/>
          <w:color w:val="000000"/>
          <w:highlight w:val="none"/>
        </w:rPr>
        <w:t>一、工程概况</w:t>
      </w:r>
      <w:bookmarkEnd w:id="215"/>
      <w:bookmarkEnd w:id="216"/>
    </w:p>
    <w:p w14:paraId="07C55F12">
      <w:pPr>
        <w:pStyle w:val="31"/>
        <w:keepNext w:val="0"/>
        <w:keepLines w:val="0"/>
        <w:pageBreakBefore w:val="0"/>
        <w:widowControl w:val="0"/>
        <w:kinsoku/>
        <w:wordWrap/>
        <w:overflowPunct/>
        <w:topLinePunct w:val="0"/>
        <w:bidi w:val="0"/>
        <w:snapToGrid/>
        <w:spacing w:line="360" w:lineRule="auto"/>
        <w:ind w:firstLine="411" w:firstLineChars="196"/>
        <w:textAlignment w:val="auto"/>
        <w:rPr>
          <w:rStyle w:val="19"/>
          <w:color w:val="000000"/>
          <w:highlight w:val="none"/>
          <w:u w:val="single"/>
        </w:rPr>
      </w:pPr>
      <w:r>
        <w:rPr>
          <w:rStyle w:val="19"/>
          <w:color w:val="000000"/>
          <w:highlight w:val="none"/>
        </w:rPr>
        <w:t xml:space="preserve">1. </w:t>
      </w:r>
      <w:r>
        <w:rPr>
          <w:rStyle w:val="19"/>
          <w:rFonts w:hint="eastAsia" w:hAnsi="宋体" w:cs="宋体"/>
          <w:color w:val="000000"/>
          <w:highlight w:val="none"/>
        </w:rPr>
        <w:t>工程名称：。</w:t>
      </w:r>
    </w:p>
    <w:p w14:paraId="570FE8C9">
      <w:pPr>
        <w:pStyle w:val="31"/>
        <w:keepNext w:val="0"/>
        <w:keepLines w:val="0"/>
        <w:pageBreakBefore w:val="0"/>
        <w:widowControl w:val="0"/>
        <w:kinsoku/>
        <w:wordWrap/>
        <w:overflowPunct/>
        <w:topLinePunct w:val="0"/>
        <w:bidi w:val="0"/>
        <w:snapToGrid/>
        <w:spacing w:line="360" w:lineRule="auto"/>
        <w:ind w:firstLine="411" w:firstLineChars="196"/>
        <w:textAlignment w:val="auto"/>
        <w:rPr>
          <w:rStyle w:val="19"/>
          <w:color w:val="000000"/>
          <w:highlight w:val="none"/>
        </w:rPr>
      </w:pPr>
      <w:r>
        <w:rPr>
          <w:rStyle w:val="19"/>
          <w:color w:val="000000"/>
          <w:highlight w:val="none"/>
        </w:rPr>
        <w:t xml:space="preserve">2. </w:t>
      </w:r>
      <w:r>
        <w:rPr>
          <w:rStyle w:val="19"/>
          <w:rFonts w:hint="eastAsia" w:hAnsi="宋体" w:cs="宋体"/>
          <w:color w:val="000000"/>
          <w:highlight w:val="none"/>
        </w:rPr>
        <w:t>工程地点：。</w:t>
      </w:r>
    </w:p>
    <w:p w14:paraId="11CB45C1">
      <w:pPr>
        <w:pStyle w:val="31"/>
        <w:keepNext w:val="0"/>
        <w:keepLines w:val="0"/>
        <w:pageBreakBefore w:val="0"/>
        <w:widowControl w:val="0"/>
        <w:kinsoku/>
        <w:wordWrap/>
        <w:overflowPunct/>
        <w:topLinePunct w:val="0"/>
        <w:bidi w:val="0"/>
        <w:snapToGrid/>
        <w:spacing w:line="360" w:lineRule="auto"/>
        <w:ind w:firstLine="411" w:firstLineChars="196"/>
        <w:textAlignment w:val="auto"/>
        <w:rPr>
          <w:rStyle w:val="19"/>
          <w:color w:val="000000"/>
          <w:highlight w:val="none"/>
        </w:rPr>
      </w:pPr>
      <w:r>
        <w:rPr>
          <w:rStyle w:val="19"/>
          <w:color w:val="000000"/>
          <w:highlight w:val="none"/>
        </w:rPr>
        <w:t xml:space="preserve">3. </w:t>
      </w:r>
      <w:r>
        <w:rPr>
          <w:rStyle w:val="19"/>
          <w:rFonts w:hint="eastAsia" w:hAnsi="宋体" w:cs="宋体"/>
          <w:color w:val="000000"/>
          <w:highlight w:val="none"/>
        </w:rPr>
        <w:t>工程立项批准文号：。</w:t>
      </w:r>
    </w:p>
    <w:p w14:paraId="534738D4">
      <w:pPr>
        <w:pStyle w:val="31"/>
        <w:keepNext w:val="0"/>
        <w:keepLines w:val="0"/>
        <w:pageBreakBefore w:val="0"/>
        <w:widowControl w:val="0"/>
        <w:kinsoku/>
        <w:wordWrap/>
        <w:overflowPunct/>
        <w:topLinePunct w:val="0"/>
        <w:bidi w:val="0"/>
        <w:snapToGrid/>
        <w:spacing w:line="360" w:lineRule="auto"/>
        <w:ind w:firstLine="411" w:firstLineChars="196"/>
        <w:textAlignment w:val="auto"/>
        <w:rPr>
          <w:rStyle w:val="19"/>
          <w:color w:val="000000"/>
          <w:highlight w:val="none"/>
        </w:rPr>
      </w:pPr>
      <w:r>
        <w:rPr>
          <w:rStyle w:val="19"/>
          <w:color w:val="000000"/>
          <w:highlight w:val="none"/>
        </w:rPr>
        <w:t xml:space="preserve">4. </w:t>
      </w:r>
      <w:r>
        <w:rPr>
          <w:rStyle w:val="19"/>
          <w:rFonts w:hint="eastAsia" w:hAnsi="宋体" w:cs="宋体"/>
          <w:color w:val="000000"/>
          <w:highlight w:val="none"/>
        </w:rPr>
        <w:t>资金来源：。</w:t>
      </w:r>
    </w:p>
    <w:p w14:paraId="3557D3DA">
      <w:pPr>
        <w:pStyle w:val="31"/>
        <w:keepNext w:val="0"/>
        <w:keepLines w:val="0"/>
        <w:pageBreakBefore w:val="0"/>
        <w:widowControl w:val="0"/>
        <w:kinsoku/>
        <w:wordWrap/>
        <w:overflowPunct/>
        <w:topLinePunct w:val="0"/>
        <w:bidi w:val="0"/>
        <w:snapToGrid/>
        <w:spacing w:line="360" w:lineRule="auto"/>
        <w:ind w:firstLine="411" w:firstLineChars="196"/>
        <w:textAlignment w:val="auto"/>
        <w:rPr>
          <w:rStyle w:val="19"/>
          <w:rFonts w:hint="eastAsia" w:eastAsia="宋体"/>
          <w:color w:val="000000"/>
          <w:highlight w:val="none"/>
          <w:lang w:eastAsia="zh-CN"/>
        </w:rPr>
      </w:pPr>
      <w:r>
        <w:rPr>
          <w:rStyle w:val="19"/>
          <w:color w:val="000000"/>
          <w:highlight w:val="none"/>
        </w:rPr>
        <w:t xml:space="preserve">5. </w:t>
      </w:r>
      <w:r>
        <w:rPr>
          <w:rStyle w:val="19"/>
          <w:rFonts w:hint="eastAsia" w:hAnsi="宋体" w:cs="宋体"/>
          <w:color w:val="000000"/>
          <w:highlight w:val="none"/>
        </w:rPr>
        <w:t>工程内容：</w:t>
      </w:r>
      <w:r>
        <w:rPr>
          <w:rStyle w:val="19"/>
          <w:rFonts w:hint="eastAsia" w:eastAsia="宋体" w:cs="Times New Roman"/>
          <w:color w:val="000000"/>
          <w:highlight w:val="none"/>
          <w:u w:val="single"/>
          <w:lang w:eastAsia="zh-CN"/>
        </w:rPr>
        <w:t>。</w:t>
      </w:r>
    </w:p>
    <w:p w14:paraId="5F9F39D0">
      <w:pPr>
        <w:pStyle w:val="31"/>
        <w:keepNext w:val="0"/>
        <w:keepLines w:val="0"/>
        <w:pageBreakBefore w:val="0"/>
        <w:widowControl w:val="0"/>
        <w:kinsoku/>
        <w:wordWrap/>
        <w:overflowPunct/>
        <w:topLinePunct w:val="0"/>
        <w:bidi w:val="0"/>
        <w:snapToGrid/>
        <w:spacing w:line="360" w:lineRule="auto"/>
        <w:ind w:firstLine="411" w:firstLineChars="196"/>
        <w:textAlignment w:val="auto"/>
        <w:rPr>
          <w:rStyle w:val="19"/>
          <w:color w:val="000000"/>
          <w:highlight w:val="none"/>
        </w:rPr>
      </w:pPr>
      <w:r>
        <w:rPr>
          <w:rStyle w:val="19"/>
          <w:rFonts w:hint="eastAsia" w:hAnsi="宋体" w:cs="宋体"/>
          <w:color w:val="000000"/>
          <w:highlight w:val="none"/>
        </w:rPr>
        <w:t>群体工程应附《承包人承揽工程项目一览表》（附件</w:t>
      </w:r>
      <w:r>
        <w:rPr>
          <w:rStyle w:val="19"/>
          <w:color w:val="000000"/>
          <w:highlight w:val="none"/>
        </w:rPr>
        <w:t>1</w:t>
      </w:r>
      <w:r>
        <w:rPr>
          <w:rStyle w:val="19"/>
          <w:rFonts w:hint="eastAsia" w:hAnsi="宋体" w:cs="宋体"/>
          <w:color w:val="000000"/>
          <w:highlight w:val="none"/>
        </w:rPr>
        <w:t>）。</w:t>
      </w:r>
    </w:p>
    <w:p w14:paraId="1B60B4E6">
      <w:pPr>
        <w:pStyle w:val="31"/>
        <w:keepNext w:val="0"/>
        <w:keepLines w:val="0"/>
        <w:pageBreakBefore w:val="0"/>
        <w:widowControl w:val="0"/>
        <w:kinsoku/>
        <w:wordWrap/>
        <w:overflowPunct/>
        <w:topLinePunct w:val="0"/>
        <w:bidi w:val="0"/>
        <w:snapToGrid/>
        <w:spacing w:line="360" w:lineRule="auto"/>
        <w:ind w:firstLine="411" w:firstLineChars="196"/>
        <w:textAlignment w:val="auto"/>
        <w:rPr>
          <w:rStyle w:val="19"/>
          <w:rFonts w:cs="宋体"/>
          <w:color w:val="000000"/>
          <w:highlight w:val="none"/>
          <w:u w:val="single"/>
        </w:rPr>
      </w:pPr>
      <w:r>
        <w:rPr>
          <w:rStyle w:val="19"/>
          <w:color w:val="000000"/>
          <w:highlight w:val="none"/>
        </w:rPr>
        <w:t xml:space="preserve">6. </w:t>
      </w:r>
      <w:r>
        <w:rPr>
          <w:rStyle w:val="19"/>
          <w:rFonts w:hint="eastAsia" w:hAnsi="宋体" w:cs="宋体"/>
          <w:color w:val="000000"/>
          <w:highlight w:val="none"/>
        </w:rPr>
        <w:t>工程承包范围：</w:t>
      </w:r>
      <w:bookmarkStart w:id="217" w:name="_Toc351203482"/>
      <w:r>
        <w:rPr>
          <w:rStyle w:val="19"/>
          <w:rFonts w:hint="eastAsia" w:cs="宋体"/>
          <w:color w:val="000000"/>
          <w:highlight w:val="none"/>
          <w:u w:val="single"/>
          <w:lang w:eastAsia="zh-CN"/>
        </w:rPr>
        <w:t>广西壮族自治区人民医院视光中心楼负一、一层高压氧科氧舱设备更新土建设计工程</w:t>
      </w:r>
      <w:r>
        <w:rPr>
          <w:rStyle w:val="19"/>
          <w:rFonts w:hint="eastAsia" w:cs="宋体"/>
          <w:color w:val="000000"/>
          <w:highlight w:val="none"/>
          <w:u w:val="single"/>
        </w:rPr>
        <w:t>施工图纸及招标工程量清单所包含的所有内容。</w:t>
      </w:r>
    </w:p>
    <w:p w14:paraId="7EB019C4">
      <w:pPr>
        <w:pStyle w:val="31"/>
        <w:keepNext w:val="0"/>
        <w:keepLines w:val="0"/>
        <w:pageBreakBefore w:val="0"/>
        <w:widowControl w:val="0"/>
        <w:kinsoku/>
        <w:wordWrap/>
        <w:overflowPunct/>
        <w:topLinePunct w:val="0"/>
        <w:bidi w:val="0"/>
        <w:snapToGrid/>
        <w:spacing w:line="360" w:lineRule="auto"/>
        <w:ind w:firstLine="407" w:firstLineChars="193"/>
        <w:textAlignment w:val="auto"/>
        <w:outlineLvl w:val="0"/>
        <w:rPr>
          <w:rStyle w:val="19"/>
          <w:b/>
          <w:bCs/>
          <w:color w:val="000000"/>
          <w:highlight w:val="none"/>
        </w:rPr>
      </w:pPr>
      <w:bookmarkStart w:id="218" w:name="_Toc5644"/>
      <w:r>
        <w:rPr>
          <w:rStyle w:val="19"/>
          <w:rFonts w:hint="eastAsia" w:hAnsi="宋体" w:cs="宋体"/>
          <w:b/>
          <w:bCs/>
          <w:color w:val="000000"/>
          <w:highlight w:val="none"/>
        </w:rPr>
        <w:t>二、合同工期</w:t>
      </w:r>
      <w:bookmarkEnd w:id="217"/>
      <w:bookmarkEnd w:id="218"/>
    </w:p>
    <w:p w14:paraId="55DA024F">
      <w:pPr>
        <w:pStyle w:val="31"/>
        <w:keepNext w:val="0"/>
        <w:keepLines w:val="0"/>
        <w:pageBreakBefore w:val="0"/>
        <w:widowControl w:val="0"/>
        <w:kinsoku/>
        <w:wordWrap/>
        <w:overflowPunct/>
        <w:topLinePunct w:val="0"/>
        <w:bidi w:val="0"/>
        <w:snapToGrid/>
        <w:spacing w:line="360" w:lineRule="auto"/>
        <w:ind w:firstLine="459"/>
        <w:textAlignment w:val="auto"/>
        <w:rPr>
          <w:rStyle w:val="19"/>
          <w:color w:val="000000"/>
          <w:highlight w:val="none"/>
        </w:rPr>
      </w:pPr>
      <w:r>
        <w:rPr>
          <w:rStyle w:val="19"/>
          <w:rFonts w:hint="eastAsia" w:hAnsi="宋体" w:cs="宋体"/>
          <w:color w:val="000000"/>
          <w:highlight w:val="none"/>
        </w:rPr>
        <w:t>计划开工日期：</w:t>
      </w:r>
      <w:r>
        <w:rPr>
          <w:rStyle w:val="19"/>
          <w:rFonts w:hint="eastAsia" w:hAnsi="宋体"/>
          <w:color w:val="000000"/>
          <w:highlight w:val="none"/>
          <w:u w:val="single"/>
        </w:rPr>
        <w:t xml:space="preserve">202  </w:t>
      </w:r>
      <w:r>
        <w:rPr>
          <w:rStyle w:val="19"/>
          <w:rFonts w:hAnsi="宋体"/>
          <w:color w:val="000000"/>
          <w:highlight w:val="none"/>
        </w:rPr>
        <w:t>年</w:t>
      </w:r>
      <w:r>
        <w:rPr>
          <w:rStyle w:val="19"/>
          <w:rFonts w:hint="eastAsia" w:hAnsi="宋体"/>
          <w:color w:val="000000"/>
          <w:highlight w:val="none"/>
          <w:u w:val="single"/>
        </w:rPr>
        <w:t xml:space="preserve">  </w:t>
      </w:r>
      <w:r>
        <w:rPr>
          <w:rStyle w:val="19"/>
          <w:rFonts w:hAnsi="宋体"/>
          <w:color w:val="000000"/>
          <w:highlight w:val="none"/>
        </w:rPr>
        <w:t>月</w:t>
      </w:r>
      <w:r>
        <w:rPr>
          <w:rStyle w:val="19"/>
          <w:rFonts w:hint="eastAsia" w:hAnsi="宋体"/>
          <w:color w:val="000000"/>
          <w:highlight w:val="none"/>
          <w:u w:val="single"/>
        </w:rPr>
        <w:t xml:space="preserve">  </w:t>
      </w:r>
      <w:r>
        <w:rPr>
          <w:rStyle w:val="19"/>
          <w:rFonts w:hAnsi="宋体"/>
          <w:color w:val="000000"/>
          <w:highlight w:val="none"/>
        </w:rPr>
        <w:t>日。</w:t>
      </w:r>
      <w:r>
        <w:rPr>
          <w:rStyle w:val="19"/>
          <w:rFonts w:hint="eastAsia" w:hAnsi="宋体" w:cs="宋体"/>
          <w:color w:val="000000"/>
          <w:highlight w:val="none"/>
        </w:rPr>
        <w:t>（具体以发包人书面通知为准）</w:t>
      </w:r>
    </w:p>
    <w:p w14:paraId="7276505D">
      <w:pPr>
        <w:pStyle w:val="31"/>
        <w:keepNext w:val="0"/>
        <w:keepLines w:val="0"/>
        <w:pageBreakBefore w:val="0"/>
        <w:widowControl w:val="0"/>
        <w:kinsoku/>
        <w:wordWrap/>
        <w:overflowPunct/>
        <w:topLinePunct w:val="0"/>
        <w:bidi w:val="0"/>
        <w:snapToGrid/>
        <w:spacing w:line="360" w:lineRule="auto"/>
        <w:ind w:firstLine="459"/>
        <w:textAlignment w:val="auto"/>
        <w:rPr>
          <w:rStyle w:val="19"/>
          <w:color w:val="000000"/>
          <w:highlight w:val="none"/>
        </w:rPr>
      </w:pPr>
      <w:r>
        <w:rPr>
          <w:rStyle w:val="19"/>
          <w:rFonts w:hint="eastAsia" w:hAnsi="宋体" w:cs="宋体"/>
          <w:color w:val="000000"/>
          <w:highlight w:val="none"/>
        </w:rPr>
        <w:t>计划竣工日期：</w:t>
      </w:r>
      <w:r>
        <w:rPr>
          <w:rStyle w:val="19"/>
          <w:rFonts w:hint="eastAsia" w:hAnsi="宋体"/>
          <w:color w:val="000000"/>
          <w:highlight w:val="none"/>
          <w:u w:val="single"/>
        </w:rPr>
        <w:t xml:space="preserve">202  </w:t>
      </w:r>
      <w:r>
        <w:rPr>
          <w:rStyle w:val="19"/>
          <w:rFonts w:hAnsi="宋体"/>
          <w:color w:val="000000"/>
          <w:highlight w:val="none"/>
        </w:rPr>
        <w:t>年</w:t>
      </w:r>
      <w:r>
        <w:rPr>
          <w:rStyle w:val="19"/>
          <w:rFonts w:hint="eastAsia" w:hAnsi="宋体"/>
          <w:color w:val="000000"/>
          <w:highlight w:val="none"/>
          <w:u w:val="single"/>
        </w:rPr>
        <w:t xml:space="preserve">  </w:t>
      </w:r>
      <w:r>
        <w:rPr>
          <w:rStyle w:val="19"/>
          <w:rFonts w:hAnsi="宋体"/>
          <w:color w:val="000000"/>
          <w:highlight w:val="none"/>
        </w:rPr>
        <w:t>月</w:t>
      </w:r>
      <w:r>
        <w:rPr>
          <w:rStyle w:val="19"/>
          <w:rFonts w:hint="eastAsia" w:hAnsi="宋体"/>
          <w:color w:val="000000"/>
          <w:highlight w:val="none"/>
          <w:u w:val="single"/>
        </w:rPr>
        <w:t xml:space="preserve">  </w:t>
      </w:r>
      <w:r>
        <w:rPr>
          <w:rStyle w:val="19"/>
          <w:rFonts w:hAnsi="宋体"/>
          <w:color w:val="000000"/>
          <w:highlight w:val="none"/>
        </w:rPr>
        <w:t>日</w:t>
      </w:r>
      <w:r>
        <w:rPr>
          <w:rStyle w:val="19"/>
          <w:rFonts w:hint="eastAsia" w:hAnsi="宋体" w:cs="宋体"/>
          <w:color w:val="000000"/>
          <w:highlight w:val="none"/>
        </w:rPr>
        <w:t>。（具体以实际竣工日期为准）</w:t>
      </w:r>
    </w:p>
    <w:p w14:paraId="6420928E">
      <w:pPr>
        <w:pStyle w:val="31"/>
        <w:keepNext w:val="0"/>
        <w:keepLines w:val="0"/>
        <w:pageBreakBefore w:val="0"/>
        <w:widowControl w:val="0"/>
        <w:kinsoku/>
        <w:wordWrap/>
        <w:overflowPunct/>
        <w:topLinePunct w:val="0"/>
        <w:bidi w:val="0"/>
        <w:snapToGrid/>
        <w:spacing w:line="360" w:lineRule="auto"/>
        <w:ind w:firstLine="459"/>
        <w:textAlignment w:val="auto"/>
        <w:rPr>
          <w:rStyle w:val="19"/>
          <w:rFonts w:hAnsi="宋体"/>
          <w:color w:val="000000"/>
          <w:highlight w:val="none"/>
        </w:rPr>
      </w:pPr>
      <w:r>
        <w:rPr>
          <w:rStyle w:val="19"/>
          <w:rFonts w:hint="eastAsia" w:hAnsi="宋体" w:cs="宋体"/>
          <w:color w:val="000000"/>
          <w:highlight w:val="none"/>
        </w:rPr>
        <w:t>工期总日历天数：</w:t>
      </w:r>
      <w:r>
        <w:rPr>
          <w:rStyle w:val="19"/>
          <w:rFonts w:hint="eastAsia" w:hAnsi="宋体" w:cs="宋体"/>
          <w:color w:val="000000"/>
          <w:highlight w:val="none"/>
          <w:u w:val="single"/>
        </w:rPr>
        <w:t xml:space="preserve"> </w:t>
      </w:r>
      <w:r>
        <w:rPr>
          <w:rStyle w:val="19"/>
          <w:rFonts w:hint="eastAsia" w:hAnsi="宋体" w:cs="宋体"/>
          <w:color w:val="000000"/>
          <w:highlight w:val="none"/>
        </w:rPr>
        <w:t>天。工期总日历天数与根据前述计划开竣工日期计算的工期天数不一致的，以工期总日历天数为准。</w:t>
      </w:r>
    </w:p>
    <w:p w14:paraId="67D5256E">
      <w:pPr>
        <w:pStyle w:val="31"/>
        <w:keepNext w:val="0"/>
        <w:keepLines w:val="0"/>
        <w:pageBreakBefore w:val="0"/>
        <w:widowControl w:val="0"/>
        <w:kinsoku/>
        <w:wordWrap/>
        <w:overflowPunct/>
        <w:topLinePunct w:val="0"/>
        <w:bidi w:val="0"/>
        <w:snapToGrid/>
        <w:spacing w:line="360" w:lineRule="auto"/>
        <w:ind w:firstLine="459"/>
        <w:textAlignment w:val="auto"/>
        <w:outlineLvl w:val="0"/>
        <w:rPr>
          <w:rStyle w:val="19"/>
          <w:b/>
          <w:bCs/>
          <w:color w:val="000000"/>
          <w:highlight w:val="none"/>
        </w:rPr>
      </w:pPr>
      <w:bookmarkStart w:id="219" w:name="_Toc351203483"/>
      <w:bookmarkStart w:id="220" w:name="_Toc7218"/>
      <w:r>
        <w:rPr>
          <w:rStyle w:val="19"/>
          <w:rFonts w:hint="eastAsia" w:hAnsi="宋体" w:cs="宋体"/>
          <w:b/>
          <w:bCs/>
          <w:color w:val="000000"/>
          <w:highlight w:val="none"/>
        </w:rPr>
        <w:t>三、质量标准</w:t>
      </w:r>
      <w:bookmarkEnd w:id="219"/>
      <w:bookmarkEnd w:id="220"/>
    </w:p>
    <w:p w14:paraId="4CAB55C2">
      <w:pPr>
        <w:pStyle w:val="31"/>
        <w:keepNext w:val="0"/>
        <w:keepLines w:val="0"/>
        <w:pageBreakBefore w:val="0"/>
        <w:widowControl w:val="0"/>
        <w:kinsoku/>
        <w:wordWrap/>
        <w:overflowPunct/>
        <w:topLinePunct w:val="0"/>
        <w:bidi w:val="0"/>
        <w:snapToGrid/>
        <w:spacing w:line="360" w:lineRule="auto"/>
        <w:ind w:firstLine="459"/>
        <w:textAlignment w:val="auto"/>
        <w:outlineLvl w:val="9"/>
        <w:rPr>
          <w:rStyle w:val="19"/>
          <w:rFonts w:hint="eastAsia" w:hAnsi="宋体" w:cs="宋体"/>
          <w:b/>
          <w:bCs/>
          <w:color w:val="000000"/>
          <w:highlight w:val="none"/>
        </w:rPr>
      </w:pPr>
      <w:r>
        <w:rPr>
          <w:rStyle w:val="19"/>
          <w:rFonts w:hint="eastAsia" w:hAnsi="宋体" w:cs="宋体"/>
          <w:color w:val="000000"/>
          <w:highlight w:val="none"/>
        </w:rPr>
        <w:t>工程质量符合国家现行的工程建设标准、技术规范及强制性标准条文、以及施工图纸载明的其他有关规范标准。</w:t>
      </w:r>
      <w:bookmarkStart w:id="221" w:name="_Toc351203484"/>
    </w:p>
    <w:p w14:paraId="1FBAFD91">
      <w:pPr>
        <w:pStyle w:val="31"/>
        <w:keepNext w:val="0"/>
        <w:keepLines w:val="0"/>
        <w:pageBreakBefore w:val="0"/>
        <w:widowControl w:val="0"/>
        <w:kinsoku/>
        <w:wordWrap/>
        <w:overflowPunct/>
        <w:topLinePunct w:val="0"/>
        <w:bidi w:val="0"/>
        <w:snapToGrid/>
        <w:spacing w:line="360" w:lineRule="auto"/>
        <w:ind w:firstLine="459"/>
        <w:textAlignment w:val="auto"/>
        <w:outlineLvl w:val="0"/>
        <w:rPr>
          <w:rStyle w:val="19"/>
          <w:rFonts w:hAnsi="宋体"/>
          <w:b/>
          <w:bCs/>
          <w:color w:val="000000"/>
          <w:highlight w:val="none"/>
        </w:rPr>
      </w:pPr>
      <w:bookmarkStart w:id="222" w:name="_Toc25242"/>
      <w:r>
        <w:rPr>
          <w:rStyle w:val="19"/>
          <w:rFonts w:hint="eastAsia" w:hAnsi="宋体" w:cs="宋体"/>
          <w:b/>
          <w:bCs/>
          <w:color w:val="000000"/>
          <w:highlight w:val="none"/>
        </w:rPr>
        <w:t>四、签约合同价与合同价格形式</w:t>
      </w:r>
      <w:bookmarkEnd w:id="221"/>
      <w:bookmarkEnd w:id="222"/>
    </w:p>
    <w:p w14:paraId="2532E679">
      <w:pPr>
        <w:pStyle w:val="31"/>
        <w:keepNext w:val="0"/>
        <w:keepLines w:val="0"/>
        <w:pageBreakBefore w:val="0"/>
        <w:widowControl w:val="0"/>
        <w:kinsoku/>
        <w:wordWrap/>
        <w:overflowPunct/>
        <w:topLinePunct w:val="0"/>
        <w:bidi w:val="0"/>
        <w:snapToGrid/>
        <w:spacing w:line="360" w:lineRule="auto"/>
        <w:ind w:firstLine="459"/>
        <w:textAlignment w:val="auto"/>
        <w:rPr>
          <w:rStyle w:val="19"/>
          <w:color w:val="000000"/>
          <w:highlight w:val="none"/>
        </w:rPr>
      </w:pPr>
      <w:r>
        <w:rPr>
          <w:rStyle w:val="19"/>
          <w:color w:val="000000"/>
          <w:highlight w:val="none"/>
        </w:rPr>
        <w:t xml:space="preserve">1. </w:t>
      </w:r>
      <w:r>
        <w:rPr>
          <w:rStyle w:val="19"/>
          <w:rFonts w:hint="eastAsia" w:hAnsi="宋体" w:cs="宋体"/>
          <w:color w:val="000000"/>
          <w:highlight w:val="none"/>
        </w:rPr>
        <w:t>签约合同价为：</w:t>
      </w:r>
    </w:p>
    <w:p w14:paraId="280C5FFC">
      <w:pPr>
        <w:pStyle w:val="31"/>
        <w:keepNext w:val="0"/>
        <w:keepLines w:val="0"/>
        <w:pageBreakBefore w:val="0"/>
        <w:widowControl w:val="0"/>
        <w:kinsoku/>
        <w:wordWrap/>
        <w:overflowPunct/>
        <w:topLinePunct w:val="0"/>
        <w:bidi w:val="0"/>
        <w:snapToGrid/>
        <w:spacing w:line="360" w:lineRule="auto"/>
        <w:ind w:firstLine="525" w:firstLineChars="250"/>
        <w:textAlignment w:val="auto"/>
        <w:rPr>
          <w:rStyle w:val="19"/>
          <w:rFonts w:hAnsi="宋体"/>
          <w:color w:val="000000"/>
          <w:highlight w:val="none"/>
        </w:rPr>
      </w:pPr>
      <w:r>
        <w:rPr>
          <w:rStyle w:val="19"/>
          <w:rFonts w:hint="eastAsia" w:hAnsi="宋体" w:cs="宋体"/>
          <w:color w:val="000000"/>
          <w:highlight w:val="none"/>
        </w:rPr>
        <w:t>人民币（大写）</w:t>
      </w:r>
      <w:r>
        <w:rPr>
          <w:rStyle w:val="19"/>
          <w:rFonts w:hint="eastAsia" w:hAnsi="宋体" w:cs="宋体"/>
          <w:color w:val="000000"/>
          <w:highlight w:val="none"/>
          <w:lang w:val="en-US" w:eastAsia="zh-CN"/>
        </w:rPr>
        <w:t xml:space="preserve">     </w:t>
      </w:r>
      <w:r>
        <w:rPr>
          <w:rStyle w:val="19"/>
          <w:rFonts w:hint="eastAsia" w:cs="宋体"/>
          <w:color w:val="000000"/>
          <w:highlight w:val="none"/>
        </w:rPr>
        <w:t>（</w:t>
      </w:r>
      <w:r>
        <w:rPr>
          <w:rStyle w:val="19"/>
          <w:color w:val="000000"/>
          <w:highlight w:val="none"/>
        </w:rPr>
        <w:t>¥</w:t>
      </w:r>
      <w:r>
        <w:rPr>
          <w:rStyle w:val="19"/>
          <w:color w:val="000000"/>
          <w:highlight w:val="none"/>
          <w:u w:val="single"/>
        </w:rPr>
        <w:t xml:space="preserve"> </w:t>
      </w:r>
      <w:r>
        <w:rPr>
          <w:rStyle w:val="19"/>
          <w:rFonts w:hint="eastAsia"/>
          <w:color w:val="000000"/>
          <w:highlight w:val="none"/>
          <w:u w:val="single"/>
          <w:lang w:val="en-US" w:eastAsia="zh-CN"/>
        </w:rPr>
        <w:t xml:space="preserve">    </w:t>
      </w:r>
      <w:r>
        <w:rPr>
          <w:rStyle w:val="19"/>
          <w:rFonts w:hint="eastAsia" w:hAnsi="宋体" w:cs="宋体"/>
          <w:color w:val="000000"/>
          <w:highlight w:val="none"/>
        </w:rPr>
        <w:t>元</w:t>
      </w:r>
      <w:r>
        <w:rPr>
          <w:rStyle w:val="19"/>
          <w:rFonts w:hint="eastAsia" w:cs="宋体"/>
          <w:color w:val="000000"/>
          <w:highlight w:val="none"/>
        </w:rPr>
        <w:t>）</w:t>
      </w:r>
      <w:r>
        <w:rPr>
          <w:rStyle w:val="19"/>
          <w:rFonts w:hint="eastAsia" w:hAnsi="宋体" w:cs="宋体"/>
          <w:color w:val="000000"/>
          <w:highlight w:val="none"/>
        </w:rPr>
        <w:t>；</w:t>
      </w:r>
    </w:p>
    <w:p w14:paraId="26657499">
      <w:pPr>
        <w:pStyle w:val="31"/>
        <w:keepNext w:val="0"/>
        <w:keepLines w:val="0"/>
        <w:pageBreakBefore w:val="0"/>
        <w:widowControl w:val="0"/>
        <w:kinsoku/>
        <w:wordWrap/>
        <w:overflowPunct/>
        <w:topLinePunct w:val="0"/>
        <w:bidi w:val="0"/>
        <w:snapToGrid/>
        <w:spacing w:line="360" w:lineRule="auto"/>
        <w:ind w:firstLine="525" w:firstLineChars="250"/>
        <w:textAlignment w:val="auto"/>
        <w:rPr>
          <w:rStyle w:val="19"/>
          <w:rFonts w:hAnsi="宋体"/>
          <w:color w:val="000000"/>
          <w:highlight w:val="none"/>
        </w:rPr>
      </w:pPr>
      <w:r>
        <w:rPr>
          <w:rStyle w:val="19"/>
          <w:rFonts w:hint="eastAsia" w:hAnsi="宋体" w:cs="宋体"/>
          <w:color w:val="000000"/>
          <w:highlight w:val="none"/>
        </w:rPr>
        <w:t>其中：</w:t>
      </w:r>
    </w:p>
    <w:p w14:paraId="4D70DD79">
      <w:pPr>
        <w:pStyle w:val="31"/>
        <w:keepNext w:val="0"/>
        <w:keepLines w:val="0"/>
        <w:pageBreakBefore w:val="0"/>
        <w:widowControl w:val="0"/>
        <w:kinsoku/>
        <w:wordWrap/>
        <w:overflowPunct/>
        <w:topLinePunct w:val="0"/>
        <w:bidi w:val="0"/>
        <w:snapToGrid/>
        <w:spacing w:line="360" w:lineRule="auto"/>
        <w:ind w:firstLine="420" w:firstLineChars="200"/>
        <w:textAlignment w:val="auto"/>
        <w:rPr>
          <w:rStyle w:val="19"/>
          <w:color w:val="000000"/>
          <w:highlight w:val="none"/>
        </w:rPr>
      </w:pPr>
      <w:r>
        <w:rPr>
          <w:rStyle w:val="19"/>
          <w:rFonts w:hint="eastAsia" w:hAnsi="宋体" w:cs="宋体"/>
          <w:color w:val="000000"/>
          <w:highlight w:val="none"/>
        </w:rPr>
        <w:t>（</w:t>
      </w:r>
      <w:r>
        <w:rPr>
          <w:rStyle w:val="19"/>
          <w:rFonts w:hAnsi="宋体"/>
          <w:color w:val="000000"/>
          <w:highlight w:val="none"/>
        </w:rPr>
        <w:t>1</w:t>
      </w:r>
      <w:r>
        <w:rPr>
          <w:rStyle w:val="19"/>
          <w:rFonts w:hint="eastAsia" w:hAnsi="宋体" w:cs="宋体"/>
          <w:color w:val="000000"/>
          <w:highlight w:val="none"/>
        </w:rPr>
        <w:t>）安全文明施工费：</w:t>
      </w:r>
    </w:p>
    <w:p w14:paraId="2BD7E200">
      <w:pPr>
        <w:pStyle w:val="31"/>
        <w:keepNext w:val="0"/>
        <w:keepLines w:val="0"/>
        <w:pageBreakBefore w:val="0"/>
        <w:widowControl w:val="0"/>
        <w:kinsoku/>
        <w:wordWrap/>
        <w:overflowPunct/>
        <w:topLinePunct w:val="0"/>
        <w:bidi w:val="0"/>
        <w:snapToGrid/>
        <w:spacing w:line="360" w:lineRule="auto"/>
        <w:ind w:left="420" w:leftChars="200" w:firstLine="525" w:firstLineChars="250"/>
        <w:textAlignment w:val="auto"/>
        <w:rPr>
          <w:rStyle w:val="19"/>
          <w:rFonts w:hAnsi="宋体"/>
          <w:color w:val="000000"/>
          <w:highlight w:val="none"/>
        </w:rPr>
      </w:pPr>
      <w:r>
        <w:rPr>
          <w:rStyle w:val="19"/>
          <w:rFonts w:hint="eastAsia" w:hAnsi="宋体" w:cs="宋体"/>
          <w:color w:val="000000"/>
          <w:highlight w:val="none"/>
        </w:rPr>
        <w:t>人民币（大写）</w:t>
      </w:r>
      <w:r>
        <w:rPr>
          <w:rStyle w:val="19"/>
          <w:color w:val="000000"/>
          <w:highlight w:val="none"/>
          <w:u w:val="single"/>
        </w:rPr>
        <w:t xml:space="preserve"> </w:t>
      </w:r>
      <w:r>
        <w:rPr>
          <w:rStyle w:val="19"/>
          <w:rFonts w:hint="eastAsia"/>
          <w:color w:val="000000"/>
          <w:highlight w:val="none"/>
          <w:u w:val="single"/>
          <w:lang w:val="en-US" w:eastAsia="zh-CN"/>
        </w:rPr>
        <w:t xml:space="preserve">   </w:t>
      </w:r>
      <w:r>
        <w:rPr>
          <w:rStyle w:val="19"/>
          <w:rFonts w:hint="eastAsia" w:cs="宋体"/>
          <w:color w:val="000000"/>
          <w:highlight w:val="none"/>
        </w:rPr>
        <w:t>（</w:t>
      </w:r>
      <w:r>
        <w:rPr>
          <w:rStyle w:val="19"/>
          <w:color w:val="000000"/>
          <w:highlight w:val="none"/>
        </w:rPr>
        <w:t>¥</w:t>
      </w:r>
      <w:r>
        <w:rPr>
          <w:rStyle w:val="19"/>
          <w:color w:val="000000"/>
          <w:highlight w:val="none"/>
          <w:u w:val="single"/>
        </w:rPr>
        <w:t xml:space="preserve"> </w:t>
      </w:r>
      <w:r>
        <w:rPr>
          <w:rStyle w:val="19"/>
          <w:rFonts w:hint="eastAsia"/>
          <w:color w:val="000000"/>
          <w:highlight w:val="none"/>
          <w:u w:val="single"/>
          <w:lang w:val="en-US" w:eastAsia="zh-CN"/>
        </w:rPr>
        <w:t xml:space="preserve">   </w:t>
      </w:r>
      <w:r>
        <w:rPr>
          <w:rStyle w:val="19"/>
          <w:rFonts w:hint="eastAsia" w:hAnsi="宋体" w:cs="宋体"/>
          <w:color w:val="000000"/>
          <w:highlight w:val="none"/>
        </w:rPr>
        <w:t>元</w:t>
      </w:r>
      <w:r>
        <w:rPr>
          <w:rStyle w:val="19"/>
          <w:rFonts w:hint="eastAsia" w:cs="宋体"/>
          <w:color w:val="000000"/>
          <w:highlight w:val="none"/>
        </w:rPr>
        <w:t>）</w:t>
      </w:r>
      <w:r>
        <w:rPr>
          <w:rStyle w:val="19"/>
          <w:rFonts w:hint="eastAsia" w:hAnsi="宋体" w:cs="宋体"/>
          <w:color w:val="000000"/>
          <w:highlight w:val="none"/>
        </w:rPr>
        <w:t>；</w:t>
      </w:r>
    </w:p>
    <w:p w14:paraId="5E02B12B">
      <w:pPr>
        <w:pStyle w:val="31"/>
        <w:keepNext w:val="0"/>
        <w:keepLines w:val="0"/>
        <w:pageBreakBefore w:val="0"/>
        <w:widowControl w:val="0"/>
        <w:kinsoku/>
        <w:wordWrap/>
        <w:overflowPunct/>
        <w:topLinePunct w:val="0"/>
        <w:bidi w:val="0"/>
        <w:snapToGrid/>
        <w:spacing w:line="360" w:lineRule="auto"/>
        <w:ind w:firstLine="420" w:firstLineChars="200"/>
        <w:textAlignment w:val="auto"/>
        <w:rPr>
          <w:rStyle w:val="19"/>
          <w:color w:val="000000"/>
          <w:highlight w:val="none"/>
        </w:rPr>
      </w:pPr>
      <w:r>
        <w:rPr>
          <w:rStyle w:val="19"/>
          <w:rFonts w:hint="eastAsia" w:hAnsi="宋体" w:cs="宋体"/>
          <w:color w:val="000000"/>
          <w:highlight w:val="none"/>
        </w:rPr>
        <w:t>（</w:t>
      </w:r>
      <w:r>
        <w:rPr>
          <w:rStyle w:val="19"/>
          <w:color w:val="000000"/>
          <w:highlight w:val="none"/>
        </w:rPr>
        <w:t>2</w:t>
      </w:r>
      <w:r>
        <w:rPr>
          <w:rStyle w:val="19"/>
          <w:rFonts w:hint="eastAsia" w:hAnsi="宋体" w:cs="宋体"/>
          <w:color w:val="000000"/>
          <w:highlight w:val="none"/>
        </w:rPr>
        <w:t>）材料和工程设备暂估价金额：</w:t>
      </w:r>
    </w:p>
    <w:p w14:paraId="5D6AF8DD">
      <w:pPr>
        <w:pStyle w:val="31"/>
        <w:keepNext w:val="0"/>
        <w:keepLines w:val="0"/>
        <w:pageBreakBefore w:val="0"/>
        <w:widowControl w:val="0"/>
        <w:kinsoku/>
        <w:wordWrap/>
        <w:overflowPunct/>
        <w:topLinePunct w:val="0"/>
        <w:bidi w:val="0"/>
        <w:snapToGrid/>
        <w:spacing w:line="360" w:lineRule="auto"/>
        <w:ind w:firstLine="945" w:firstLineChars="450"/>
        <w:textAlignment w:val="auto"/>
        <w:rPr>
          <w:rStyle w:val="19"/>
          <w:color w:val="000000"/>
          <w:highlight w:val="none"/>
        </w:rPr>
      </w:pPr>
      <w:r>
        <w:rPr>
          <w:rStyle w:val="19"/>
          <w:rFonts w:hint="eastAsia" w:hAnsi="宋体" w:cs="宋体"/>
          <w:color w:val="000000"/>
          <w:highlight w:val="none"/>
        </w:rPr>
        <w:t>人民币（大写）</w:t>
      </w:r>
      <w:r>
        <w:rPr>
          <w:rStyle w:val="19"/>
          <w:color w:val="000000"/>
          <w:highlight w:val="none"/>
          <w:u w:val="single"/>
        </w:rPr>
        <w:t xml:space="preserve">      </w:t>
      </w:r>
      <w:r>
        <w:rPr>
          <w:rStyle w:val="19"/>
          <w:rFonts w:hint="eastAsia"/>
          <w:color w:val="000000"/>
          <w:highlight w:val="none"/>
          <w:u w:val="single"/>
          <w:lang w:val="en-US" w:eastAsia="zh-CN"/>
        </w:rPr>
        <w:t>\</w:t>
      </w:r>
      <w:r>
        <w:rPr>
          <w:rStyle w:val="19"/>
          <w:color w:val="000000"/>
          <w:highlight w:val="none"/>
          <w:u w:val="single"/>
        </w:rPr>
        <w:t xml:space="preserve">    </w:t>
      </w:r>
      <w:r>
        <w:rPr>
          <w:rStyle w:val="19"/>
          <w:color w:val="000000"/>
          <w:highlight w:val="none"/>
        </w:rPr>
        <w:t xml:space="preserve"> </w:t>
      </w:r>
      <w:r>
        <w:rPr>
          <w:rStyle w:val="19"/>
          <w:rFonts w:hint="eastAsia" w:cs="宋体"/>
          <w:color w:val="000000"/>
          <w:highlight w:val="none"/>
        </w:rPr>
        <w:t>（</w:t>
      </w:r>
      <w:r>
        <w:rPr>
          <w:rStyle w:val="19"/>
          <w:color w:val="000000"/>
          <w:highlight w:val="none"/>
        </w:rPr>
        <w:t>¥</w:t>
      </w:r>
      <w:r>
        <w:rPr>
          <w:rStyle w:val="19"/>
          <w:color w:val="000000"/>
          <w:highlight w:val="none"/>
          <w:u w:val="single"/>
        </w:rPr>
        <w:t xml:space="preserve">    </w:t>
      </w:r>
      <w:r>
        <w:rPr>
          <w:rStyle w:val="19"/>
          <w:rFonts w:hint="eastAsia"/>
          <w:color w:val="000000"/>
          <w:highlight w:val="none"/>
          <w:u w:val="single"/>
          <w:lang w:val="en-US" w:eastAsia="zh-CN"/>
        </w:rPr>
        <w:t>\</w:t>
      </w:r>
      <w:r>
        <w:rPr>
          <w:rStyle w:val="19"/>
          <w:color w:val="000000"/>
          <w:highlight w:val="none"/>
          <w:u w:val="single"/>
        </w:rPr>
        <w:t xml:space="preserve">   </w:t>
      </w:r>
      <w:r>
        <w:rPr>
          <w:rStyle w:val="19"/>
          <w:rFonts w:hint="eastAsia" w:hAnsi="宋体" w:cs="宋体"/>
          <w:color w:val="000000"/>
          <w:highlight w:val="none"/>
        </w:rPr>
        <w:t>元</w:t>
      </w:r>
      <w:r>
        <w:rPr>
          <w:rStyle w:val="19"/>
          <w:rFonts w:hint="eastAsia" w:cs="宋体"/>
          <w:color w:val="000000"/>
          <w:highlight w:val="none"/>
        </w:rPr>
        <w:t>）</w:t>
      </w:r>
      <w:r>
        <w:rPr>
          <w:rStyle w:val="19"/>
          <w:rFonts w:hint="eastAsia" w:hAnsi="宋体" w:cs="宋体"/>
          <w:color w:val="000000"/>
          <w:highlight w:val="none"/>
        </w:rPr>
        <w:t>；</w:t>
      </w:r>
    </w:p>
    <w:p w14:paraId="4F2AFC62">
      <w:pPr>
        <w:pStyle w:val="31"/>
        <w:keepNext w:val="0"/>
        <w:keepLines w:val="0"/>
        <w:pageBreakBefore w:val="0"/>
        <w:widowControl w:val="0"/>
        <w:kinsoku/>
        <w:wordWrap/>
        <w:overflowPunct/>
        <w:topLinePunct w:val="0"/>
        <w:bidi w:val="0"/>
        <w:snapToGrid/>
        <w:spacing w:line="360" w:lineRule="auto"/>
        <w:ind w:firstLine="420" w:firstLineChars="200"/>
        <w:textAlignment w:val="auto"/>
        <w:rPr>
          <w:rStyle w:val="19"/>
          <w:color w:val="000000"/>
          <w:highlight w:val="none"/>
        </w:rPr>
      </w:pPr>
      <w:r>
        <w:rPr>
          <w:rStyle w:val="19"/>
          <w:rFonts w:hint="eastAsia" w:hAnsi="宋体" w:cs="宋体"/>
          <w:color w:val="000000"/>
          <w:highlight w:val="none"/>
        </w:rPr>
        <w:t>（</w:t>
      </w:r>
      <w:r>
        <w:rPr>
          <w:rStyle w:val="19"/>
          <w:color w:val="000000"/>
          <w:highlight w:val="none"/>
        </w:rPr>
        <w:t>3</w:t>
      </w:r>
      <w:r>
        <w:rPr>
          <w:rStyle w:val="19"/>
          <w:rFonts w:hint="eastAsia" w:hAnsi="宋体" w:cs="宋体"/>
          <w:color w:val="000000"/>
          <w:highlight w:val="none"/>
        </w:rPr>
        <w:t>）专业工程暂估价金额：</w:t>
      </w:r>
    </w:p>
    <w:p w14:paraId="6D34F374">
      <w:pPr>
        <w:pStyle w:val="31"/>
        <w:keepNext w:val="0"/>
        <w:keepLines w:val="0"/>
        <w:pageBreakBefore w:val="0"/>
        <w:widowControl w:val="0"/>
        <w:kinsoku/>
        <w:wordWrap/>
        <w:overflowPunct/>
        <w:topLinePunct w:val="0"/>
        <w:bidi w:val="0"/>
        <w:snapToGrid/>
        <w:spacing w:line="360" w:lineRule="auto"/>
        <w:ind w:firstLine="945" w:firstLineChars="450"/>
        <w:textAlignment w:val="auto"/>
        <w:rPr>
          <w:rStyle w:val="19"/>
          <w:color w:val="000000"/>
          <w:highlight w:val="none"/>
        </w:rPr>
      </w:pPr>
      <w:r>
        <w:rPr>
          <w:rStyle w:val="19"/>
          <w:rFonts w:hint="eastAsia" w:hAnsi="宋体" w:cs="宋体"/>
          <w:color w:val="000000"/>
          <w:highlight w:val="none"/>
        </w:rPr>
        <w:t>人民币（大写）</w:t>
      </w:r>
      <w:r>
        <w:rPr>
          <w:rStyle w:val="19"/>
          <w:color w:val="000000"/>
          <w:highlight w:val="none"/>
          <w:u w:val="single"/>
        </w:rPr>
        <w:t xml:space="preserve">        </w:t>
      </w:r>
      <w:r>
        <w:rPr>
          <w:rStyle w:val="19"/>
          <w:rFonts w:hint="eastAsia"/>
          <w:color w:val="000000"/>
          <w:highlight w:val="none"/>
          <w:u w:val="single"/>
        </w:rPr>
        <w:t xml:space="preserve"> \</w:t>
      </w:r>
      <w:r>
        <w:rPr>
          <w:rStyle w:val="19"/>
          <w:color w:val="000000"/>
          <w:highlight w:val="none"/>
          <w:u w:val="single"/>
        </w:rPr>
        <w:t xml:space="preserve">      </w:t>
      </w:r>
      <w:r>
        <w:rPr>
          <w:rStyle w:val="19"/>
          <w:color w:val="000000"/>
          <w:highlight w:val="none"/>
        </w:rPr>
        <w:t xml:space="preserve"> </w:t>
      </w:r>
      <w:r>
        <w:rPr>
          <w:rStyle w:val="19"/>
          <w:rFonts w:hint="eastAsia" w:cs="宋体"/>
          <w:color w:val="000000"/>
          <w:highlight w:val="none"/>
        </w:rPr>
        <w:t>（</w:t>
      </w:r>
      <w:r>
        <w:rPr>
          <w:rStyle w:val="19"/>
          <w:color w:val="000000"/>
          <w:highlight w:val="none"/>
        </w:rPr>
        <w:t>¥</w:t>
      </w:r>
      <w:r>
        <w:rPr>
          <w:rStyle w:val="19"/>
          <w:color w:val="000000"/>
          <w:highlight w:val="none"/>
          <w:u w:val="single"/>
        </w:rPr>
        <w:t xml:space="preserve">   </w:t>
      </w:r>
      <w:r>
        <w:rPr>
          <w:rStyle w:val="19"/>
          <w:rFonts w:hint="eastAsia"/>
          <w:color w:val="000000"/>
          <w:highlight w:val="none"/>
          <w:u w:val="single"/>
          <w:lang w:val="en-US" w:eastAsia="zh-CN"/>
        </w:rPr>
        <w:t>\</w:t>
      </w:r>
      <w:r>
        <w:rPr>
          <w:rStyle w:val="19"/>
          <w:color w:val="000000"/>
          <w:highlight w:val="none"/>
          <w:u w:val="single"/>
        </w:rPr>
        <w:t xml:space="preserve">   </w:t>
      </w:r>
      <w:r>
        <w:rPr>
          <w:rStyle w:val="19"/>
          <w:rFonts w:hint="eastAsia" w:hAnsi="宋体" w:cs="宋体"/>
          <w:color w:val="000000"/>
          <w:highlight w:val="none"/>
        </w:rPr>
        <w:t>元</w:t>
      </w:r>
      <w:r>
        <w:rPr>
          <w:rStyle w:val="19"/>
          <w:rFonts w:hint="eastAsia" w:cs="宋体"/>
          <w:color w:val="000000"/>
          <w:highlight w:val="none"/>
        </w:rPr>
        <w:t>）</w:t>
      </w:r>
      <w:r>
        <w:rPr>
          <w:rStyle w:val="19"/>
          <w:rFonts w:hint="eastAsia" w:hAnsi="宋体" w:cs="宋体"/>
          <w:color w:val="000000"/>
          <w:highlight w:val="none"/>
        </w:rPr>
        <w:t>；</w:t>
      </w:r>
    </w:p>
    <w:p w14:paraId="18085F9F">
      <w:pPr>
        <w:pStyle w:val="31"/>
        <w:keepNext w:val="0"/>
        <w:keepLines w:val="0"/>
        <w:pageBreakBefore w:val="0"/>
        <w:widowControl w:val="0"/>
        <w:kinsoku/>
        <w:wordWrap/>
        <w:overflowPunct/>
        <w:topLinePunct w:val="0"/>
        <w:bidi w:val="0"/>
        <w:snapToGrid/>
        <w:spacing w:line="360" w:lineRule="auto"/>
        <w:ind w:firstLine="420" w:firstLineChars="200"/>
        <w:textAlignment w:val="auto"/>
        <w:rPr>
          <w:rStyle w:val="19"/>
          <w:color w:val="000000"/>
          <w:highlight w:val="none"/>
        </w:rPr>
      </w:pPr>
      <w:r>
        <w:rPr>
          <w:rStyle w:val="19"/>
          <w:rFonts w:hint="eastAsia" w:hAnsi="宋体" w:cs="宋体"/>
          <w:color w:val="000000"/>
          <w:highlight w:val="none"/>
        </w:rPr>
        <w:t>（</w:t>
      </w:r>
      <w:r>
        <w:rPr>
          <w:rStyle w:val="19"/>
          <w:color w:val="000000"/>
          <w:highlight w:val="none"/>
        </w:rPr>
        <w:t>4</w:t>
      </w:r>
      <w:r>
        <w:rPr>
          <w:rStyle w:val="19"/>
          <w:rFonts w:hint="eastAsia" w:hAnsi="宋体" w:cs="宋体"/>
          <w:color w:val="000000"/>
          <w:highlight w:val="none"/>
        </w:rPr>
        <w:t>）暂列金额：</w:t>
      </w:r>
    </w:p>
    <w:p w14:paraId="1DDC102D">
      <w:pPr>
        <w:pStyle w:val="31"/>
        <w:keepNext w:val="0"/>
        <w:keepLines w:val="0"/>
        <w:pageBreakBefore w:val="0"/>
        <w:widowControl w:val="0"/>
        <w:kinsoku/>
        <w:wordWrap/>
        <w:overflowPunct/>
        <w:topLinePunct w:val="0"/>
        <w:bidi w:val="0"/>
        <w:snapToGrid/>
        <w:spacing w:line="360" w:lineRule="auto"/>
        <w:ind w:firstLine="945" w:firstLineChars="450"/>
        <w:textAlignment w:val="auto"/>
        <w:rPr>
          <w:rStyle w:val="19"/>
          <w:rFonts w:hAnsi="宋体"/>
          <w:color w:val="000000"/>
          <w:highlight w:val="none"/>
        </w:rPr>
      </w:pPr>
      <w:r>
        <w:rPr>
          <w:rStyle w:val="19"/>
          <w:rFonts w:hint="eastAsia" w:hAnsi="宋体" w:cs="宋体"/>
          <w:color w:val="000000"/>
          <w:highlight w:val="none"/>
        </w:rPr>
        <w:t>人民币（大写）</w:t>
      </w:r>
      <w:r>
        <w:rPr>
          <w:rStyle w:val="19"/>
          <w:color w:val="000000"/>
          <w:highlight w:val="none"/>
          <w:u w:val="single"/>
        </w:rPr>
        <w:t xml:space="preserve">          </w:t>
      </w:r>
      <w:r>
        <w:rPr>
          <w:rStyle w:val="19"/>
          <w:rFonts w:hint="eastAsia"/>
          <w:color w:val="000000"/>
          <w:highlight w:val="none"/>
          <w:u w:val="single"/>
        </w:rPr>
        <w:t xml:space="preserve"> \</w:t>
      </w:r>
      <w:r>
        <w:rPr>
          <w:rStyle w:val="19"/>
          <w:color w:val="000000"/>
          <w:highlight w:val="none"/>
          <w:u w:val="single"/>
        </w:rPr>
        <w:t xml:space="preserve">    </w:t>
      </w:r>
      <w:r>
        <w:rPr>
          <w:rStyle w:val="19"/>
          <w:color w:val="000000"/>
          <w:highlight w:val="none"/>
        </w:rPr>
        <w:t xml:space="preserve"> </w:t>
      </w:r>
      <w:r>
        <w:rPr>
          <w:rStyle w:val="19"/>
          <w:rFonts w:hint="eastAsia" w:cs="宋体"/>
          <w:color w:val="000000"/>
          <w:highlight w:val="none"/>
        </w:rPr>
        <w:t>（</w:t>
      </w:r>
      <w:r>
        <w:rPr>
          <w:rStyle w:val="19"/>
          <w:color w:val="000000"/>
          <w:highlight w:val="none"/>
        </w:rPr>
        <w:t>¥</w:t>
      </w:r>
      <w:r>
        <w:rPr>
          <w:rStyle w:val="19"/>
          <w:color w:val="000000"/>
          <w:highlight w:val="none"/>
          <w:u w:val="single"/>
        </w:rPr>
        <w:t xml:space="preserve">        </w:t>
      </w:r>
      <w:r>
        <w:rPr>
          <w:rStyle w:val="19"/>
          <w:rFonts w:hint="eastAsia"/>
          <w:color w:val="000000"/>
          <w:highlight w:val="none"/>
          <w:u w:val="single"/>
        </w:rPr>
        <w:t xml:space="preserve"> \</w:t>
      </w:r>
      <w:r>
        <w:rPr>
          <w:rStyle w:val="19"/>
          <w:color w:val="000000"/>
          <w:highlight w:val="none"/>
          <w:u w:val="single"/>
        </w:rPr>
        <w:t xml:space="preserve">  </w:t>
      </w:r>
      <w:r>
        <w:rPr>
          <w:rStyle w:val="19"/>
          <w:rFonts w:hint="eastAsia" w:hAnsi="宋体" w:cs="宋体"/>
          <w:color w:val="000000"/>
          <w:highlight w:val="none"/>
        </w:rPr>
        <w:t>元</w:t>
      </w:r>
      <w:r>
        <w:rPr>
          <w:rStyle w:val="19"/>
          <w:rFonts w:hint="eastAsia" w:cs="宋体"/>
          <w:color w:val="000000"/>
          <w:highlight w:val="none"/>
        </w:rPr>
        <w:t>）</w:t>
      </w:r>
      <w:r>
        <w:rPr>
          <w:rStyle w:val="19"/>
          <w:rFonts w:hint="eastAsia" w:hAnsi="宋体" w:cs="宋体"/>
          <w:color w:val="000000"/>
          <w:highlight w:val="none"/>
        </w:rPr>
        <w:t>。</w:t>
      </w:r>
    </w:p>
    <w:p w14:paraId="5F25622B">
      <w:pPr>
        <w:pStyle w:val="31"/>
        <w:keepNext w:val="0"/>
        <w:keepLines w:val="0"/>
        <w:pageBreakBefore w:val="0"/>
        <w:widowControl w:val="0"/>
        <w:kinsoku/>
        <w:wordWrap/>
        <w:overflowPunct/>
        <w:topLinePunct w:val="0"/>
        <w:bidi w:val="0"/>
        <w:snapToGrid/>
        <w:spacing w:line="360" w:lineRule="auto"/>
        <w:ind w:firstLine="420" w:firstLineChars="200"/>
        <w:textAlignment w:val="auto"/>
        <w:rPr>
          <w:rStyle w:val="19"/>
          <w:rFonts w:hint="eastAsia" w:hAnsi="宋体"/>
          <w:color w:val="000000"/>
          <w:highlight w:val="none"/>
        </w:rPr>
      </w:pPr>
      <w:r>
        <w:rPr>
          <w:rStyle w:val="19"/>
          <w:color w:val="000000"/>
          <w:highlight w:val="none"/>
        </w:rPr>
        <w:t xml:space="preserve">2. </w:t>
      </w:r>
      <w:r>
        <w:rPr>
          <w:rStyle w:val="19"/>
          <w:rFonts w:hint="eastAsia" w:hAnsi="宋体" w:cs="宋体"/>
          <w:color w:val="000000"/>
          <w:highlight w:val="none"/>
        </w:rPr>
        <w:t>合同价格形式：</w:t>
      </w:r>
      <w:r>
        <w:rPr>
          <w:rStyle w:val="19"/>
          <w:rFonts w:hint="eastAsia"/>
          <w:color w:val="000000"/>
          <w:highlight w:val="none"/>
          <w:u w:val="single"/>
        </w:rPr>
        <w:t>包工包料，固定综合单价</w:t>
      </w:r>
      <w:r>
        <w:rPr>
          <w:rStyle w:val="19"/>
          <w:rFonts w:hint="eastAsia" w:hAnsi="宋体" w:cs="宋体"/>
          <w:color w:val="000000"/>
          <w:highlight w:val="none"/>
        </w:rPr>
        <w:t>。</w:t>
      </w:r>
    </w:p>
    <w:p w14:paraId="38F44F04">
      <w:pPr>
        <w:pStyle w:val="31"/>
        <w:keepNext w:val="0"/>
        <w:keepLines w:val="0"/>
        <w:pageBreakBefore w:val="0"/>
        <w:widowControl w:val="0"/>
        <w:kinsoku/>
        <w:wordWrap/>
        <w:overflowPunct/>
        <w:topLinePunct w:val="0"/>
        <w:bidi w:val="0"/>
        <w:snapToGrid/>
        <w:spacing w:line="360" w:lineRule="auto"/>
        <w:ind w:firstLine="422" w:firstLineChars="200"/>
        <w:textAlignment w:val="auto"/>
        <w:outlineLvl w:val="0"/>
        <w:rPr>
          <w:rStyle w:val="19"/>
          <w:b/>
          <w:bCs/>
          <w:color w:val="000000"/>
          <w:highlight w:val="none"/>
        </w:rPr>
      </w:pPr>
      <w:bookmarkStart w:id="223" w:name="_Toc351203485"/>
      <w:bookmarkStart w:id="224" w:name="_Toc25162"/>
      <w:r>
        <w:rPr>
          <w:rStyle w:val="19"/>
          <w:rFonts w:hint="eastAsia" w:hAnsi="宋体" w:cs="宋体"/>
          <w:b/>
          <w:bCs/>
          <w:color w:val="000000"/>
          <w:highlight w:val="none"/>
        </w:rPr>
        <w:t>五、</w:t>
      </w:r>
      <w:bookmarkEnd w:id="223"/>
      <w:r>
        <w:rPr>
          <w:rStyle w:val="19"/>
          <w:rFonts w:hint="eastAsia" w:hAnsi="宋体" w:cs="宋体"/>
          <w:b/>
          <w:bCs/>
          <w:color w:val="000000"/>
          <w:highlight w:val="none"/>
        </w:rPr>
        <w:t>项目经理</w:t>
      </w:r>
      <w:bookmarkEnd w:id="224"/>
    </w:p>
    <w:p w14:paraId="58724E31">
      <w:pPr>
        <w:pStyle w:val="31"/>
        <w:keepNext w:val="0"/>
        <w:keepLines w:val="0"/>
        <w:pageBreakBefore w:val="0"/>
        <w:widowControl w:val="0"/>
        <w:kinsoku/>
        <w:wordWrap/>
        <w:overflowPunct/>
        <w:topLinePunct w:val="0"/>
        <w:bidi w:val="0"/>
        <w:snapToGrid/>
        <w:spacing w:line="360" w:lineRule="auto"/>
        <w:ind w:firstLine="420" w:firstLineChars="200"/>
        <w:textAlignment w:val="auto"/>
        <w:rPr>
          <w:rStyle w:val="19"/>
          <w:rFonts w:hAnsi="宋体"/>
          <w:color w:val="000000"/>
          <w:highlight w:val="none"/>
        </w:rPr>
      </w:pPr>
      <w:r>
        <w:rPr>
          <w:rStyle w:val="19"/>
          <w:rFonts w:hint="eastAsia" w:hAnsi="宋体" w:cs="宋体"/>
          <w:color w:val="000000"/>
          <w:highlight w:val="none"/>
        </w:rPr>
        <w:t>承包人项目经理：</w:t>
      </w:r>
      <w:r>
        <w:rPr>
          <w:rStyle w:val="19"/>
          <w:color w:val="000000"/>
          <w:highlight w:val="none"/>
          <w:u w:val="single"/>
        </w:rPr>
        <w:t xml:space="preserve">  </w:t>
      </w:r>
      <w:r>
        <w:rPr>
          <w:rStyle w:val="19"/>
          <w:rFonts w:hint="eastAsia"/>
          <w:color w:val="000000"/>
          <w:highlight w:val="none"/>
          <w:u w:val="single"/>
          <w:lang w:val="en-US" w:eastAsia="zh-CN"/>
        </w:rPr>
        <w:t xml:space="preserve">             </w:t>
      </w:r>
      <w:r>
        <w:rPr>
          <w:rStyle w:val="19"/>
          <w:color w:val="000000"/>
          <w:highlight w:val="none"/>
          <w:u w:val="single"/>
        </w:rPr>
        <w:t xml:space="preserve">  </w:t>
      </w:r>
      <w:r>
        <w:rPr>
          <w:rStyle w:val="19"/>
          <w:rFonts w:hint="eastAsia" w:hAnsi="宋体" w:cs="宋体"/>
          <w:color w:val="000000"/>
          <w:highlight w:val="none"/>
        </w:rPr>
        <w:t>。</w:t>
      </w:r>
    </w:p>
    <w:p w14:paraId="1F7A676A">
      <w:pPr>
        <w:pStyle w:val="88"/>
        <w:keepNext w:val="0"/>
        <w:keepLines w:val="0"/>
        <w:pageBreakBefore w:val="0"/>
        <w:widowControl w:val="0"/>
        <w:kinsoku/>
        <w:wordWrap/>
        <w:overflowPunct/>
        <w:topLinePunct w:val="0"/>
        <w:bidi w:val="0"/>
        <w:snapToGrid/>
        <w:spacing w:line="360" w:lineRule="auto"/>
        <w:ind w:firstLine="422" w:firstLineChars="200"/>
        <w:textAlignment w:val="auto"/>
        <w:outlineLvl w:val="0"/>
        <w:rPr>
          <w:rStyle w:val="19"/>
          <w:rFonts w:ascii="宋体" w:hAnsi="宋体"/>
          <w:b/>
          <w:bCs/>
          <w:color w:val="000000"/>
          <w:highlight w:val="none"/>
        </w:rPr>
      </w:pPr>
      <w:bookmarkStart w:id="225" w:name="_Toc351203486"/>
      <w:bookmarkStart w:id="226" w:name="_Toc4662"/>
      <w:r>
        <w:rPr>
          <w:rStyle w:val="19"/>
          <w:rFonts w:hint="eastAsia" w:ascii="宋体" w:hAnsi="宋体" w:cs="宋体"/>
          <w:b/>
          <w:bCs/>
          <w:color w:val="000000"/>
          <w:highlight w:val="none"/>
        </w:rPr>
        <w:t>六、合同文件构成</w:t>
      </w:r>
      <w:bookmarkEnd w:id="225"/>
      <w:bookmarkEnd w:id="226"/>
    </w:p>
    <w:p w14:paraId="18C0B7A7">
      <w:pPr>
        <w:pStyle w:val="88"/>
        <w:keepNext w:val="0"/>
        <w:keepLines w:val="0"/>
        <w:pageBreakBefore w:val="0"/>
        <w:widowControl w:val="0"/>
        <w:kinsoku/>
        <w:wordWrap/>
        <w:overflowPunct/>
        <w:topLinePunct w:val="0"/>
        <w:bidi w:val="0"/>
        <w:snapToGrid/>
        <w:spacing w:line="360" w:lineRule="auto"/>
        <w:ind w:firstLine="420" w:firstLineChars="200"/>
        <w:textAlignment w:val="auto"/>
        <w:rPr>
          <w:rStyle w:val="19"/>
          <w:rFonts w:ascii="宋体" w:hAnsi="宋体"/>
          <w:color w:val="000000"/>
          <w:highlight w:val="none"/>
        </w:rPr>
      </w:pPr>
      <w:r>
        <w:rPr>
          <w:rStyle w:val="19"/>
          <w:rFonts w:hint="eastAsia" w:ascii="宋体" w:hAnsi="宋体" w:cs="宋体"/>
          <w:color w:val="000000"/>
          <w:highlight w:val="none"/>
        </w:rPr>
        <w:t>本协议书与下列文件一起构成合同文件：</w:t>
      </w:r>
    </w:p>
    <w:p w14:paraId="70894461">
      <w:pPr>
        <w:pStyle w:val="88"/>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19"/>
          <w:rFonts w:ascii="宋体" w:hAnsi="宋体"/>
          <w:color w:val="000000"/>
          <w:highlight w:val="none"/>
        </w:rPr>
      </w:pPr>
      <w:r>
        <w:rPr>
          <w:rStyle w:val="19"/>
          <w:rFonts w:hint="eastAsia" w:ascii="宋体" w:hAnsi="宋体" w:cs="宋体"/>
          <w:color w:val="000000"/>
          <w:highlight w:val="none"/>
        </w:rPr>
        <w:t>（</w:t>
      </w:r>
      <w:r>
        <w:rPr>
          <w:rStyle w:val="19"/>
          <w:rFonts w:ascii="宋体" w:hAnsi="宋体"/>
          <w:color w:val="000000"/>
          <w:highlight w:val="none"/>
        </w:rPr>
        <w:t>1</w:t>
      </w:r>
      <w:r>
        <w:rPr>
          <w:rStyle w:val="19"/>
          <w:rFonts w:hint="eastAsia" w:ascii="宋体" w:hAnsi="宋体" w:cs="宋体"/>
          <w:color w:val="000000"/>
          <w:highlight w:val="none"/>
        </w:rPr>
        <w:t>）中标通知书；</w:t>
      </w:r>
    </w:p>
    <w:p w14:paraId="24517A0E">
      <w:pPr>
        <w:pStyle w:val="88"/>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19"/>
          <w:rFonts w:ascii="宋体" w:hAnsi="宋体"/>
          <w:color w:val="000000"/>
          <w:highlight w:val="none"/>
        </w:rPr>
      </w:pPr>
      <w:r>
        <w:rPr>
          <w:rStyle w:val="19"/>
          <w:rFonts w:hint="eastAsia" w:ascii="宋体" w:hAnsi="宋体" w:cs="宋体"/>
          <w:color w:val="000000"/>
          <w:highlight w:val="none"/>
        </w:rPr>
        <w:t>（</w:t>
      </w:r>
      <w:r>
        <w:rPr>
          <w:rStyle w:val="19"/>
          <w:rFonts w:ascii="宋体" w:hAnsi="宋体"/>
          <w:color w:val="000000"/>
          <w:highlight w:val="none"/>
        </w:rPr>
        <w:t>2</w:t>
      </w:r>
      <w:r>
        <w:rPr>
          <w:rStyle w:val="19"/>
          <w:rFonts w:hint="eastAsia" w:ascii="宋体" w:hAnsi="宋体" w:cs="宋体"/>
          <w:color w:val="000000"/>
          <w:highlight w:val="none"/>
        </w:rPr>
        <w:t>）投标函及其附录；</w:t>
      </w:r>
    </w:p>
    <w:p w14:paraId="6A9F02DF">
      <w:pPr>
        <w:pStyle w:val="88"/>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19"/>
          <w:rFonts w:ascii="宋体" w:hAnsi="宋体"/>
          <w:color w:val="000000"/>
          <w:highlight w:val="none"/>
        </w:rPr>
      </w:pPr>
      <w:r>
        <w:rPr>
          <w:rStyle w:val="19"/>
          <w:rFonts w:hint="eastAsia" w:ascii="宋体" w:hAnsi="宋体" w:cs="宋体"/>
          <w:color w:val="000000"/>
          <w:highlight w:val="none"/>
        </w:rPr>
        <w:t>（</w:t>
      </w:r>
      <w:r>
        <w:rPr>
          <w:rStyle w:val="19"/>
          <w:rFonts w:ascii="宋体" w:hAnsi="宋体"/>
          <w:color w:val="000000"/>
          <w:highlight w:val="none"/>
        </w:rPr>
        <w:t>3</w:t>
      </w:r>
      <w:r>
        <w:rPr>
          <w:rStyle w:val="19"/>
          <w:rFonts w:hint="eastAsia" w:ascii="宋体" w:hAnsi="宋体" w:cs="宋体"/>
          <w:color w:val="000000"/>
          <w:highlight w:val="none"/>
        </w:rPr>
        <w:t>）专用合同条款及其附件；</w:t>
      </w:r>
    </w:p>
    <w:p w14:paraId="17441C6F">
      <w:pPr>
        <w:pStyle w:val="88"/>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19"/>
          <w:rFonts w:ascii="宋体" w:hAnsi="宋体"/>
          <w:color w:val="000000"/>
          <w:highlight w:val="none"/>
        </w:rPr>
      </w:pPr>
      <w:r>
        <w:rPr>
          <w:rStyle w:val="19"/>
          <w:rFonts w:hint="eastAsia" w:ascii="宋体" w:hAnsi="宋体" w:cs="宋体"/>
          <w:color w:val="000000"/>
          <w:highlight w:val="none"/>
        </w:rPr>
        <w:t>（</w:t>
      </w:r>
      <w:r>
        <w:rPr>
          <w:rStyle w:val="19"/>
          <w:rFonts w:ascii="宋体" w:hAnsi="宋体"/>
          <w:color w:val="000000"/>
          <w:highlight w:val="none"/>
        </w:rPr>
        <w:t>4</w:t>
      </w:r>
      <w:r>
        <w:rPr>
          <w:rStyle w:val="19"/>
          <w:rFonts w:hint="eastAsia" w:ascii="宋体" w:hAnsi="宋体" w:cs="宋体"/>
          <w:color w:val="000000"/>
          <w:highlight w:val="none"/>
        </w:rPr>
        <w:t>）通用合同条款；</w:t>
      </w:r>
    </w:p>
    <w:p w14:paraId="3EAAA142">
      <w:pPr>
        <w:pStyle w:val="88"/>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19"/>
          <w:rFonts w:ascii="宋体" w:hAnsi="宋体"/>
          <w:color w:val="000000"/>
          <w:highlight w:val="none"/>
        </w:rPr>
      </w:pPr>
      <w:r>
        <w:rPr>
          <w:rStyle w:val="19"/>
          <w:rFonts w:hint="eastAsia" w:ascii="宋体" w:hAnsi="宋体" w:cs="宋体"/>
          <w:color w:val="000000"/>
          <w:highlight w:val="none"/>
        </w:rPr>
        <w:t>（</w:t>
      </w:r>
      <w:r>
        <w:rPr>
          <w:rStyle w:val="19"/>
          <w:rFonts w:ascii="宋体" w:hAnsi="宋体"/>
          <w:color w:val="000000"/>
          <w:highlight w:val="none"/>
        </w:rPr>
        <w:t>5</w:t>
      </w:r>
      <w:r>
        <w:rPr>
          <w:rStyle w:val="19"/>
          <w:rFonts w:hint="eastAsia" w:ascii="宋体" w:hAnsi="宋体" w:cs="宋体"/>
          <w:color w:val="000000"/>
          <w:highlight w:val="none"/>
        </w:rPr>
        <w:t>）</w:t>
      </w:r>
      <w:r>
        <w:rPr>
          <w:rStyle w:val="19"/>
          <w:rFonts w:hint="eastAsia" w:ascii="宋体" w:hAnsi="宋体"/>
          <w:color w:val="000000"/>
          <w:szCs w:val="21"/>
          <w:highlight w:val="none"/>
        </w:rPr>
        <w:t>技术标准和要求</w:t>
      </w:r>
      <w:r>
        <w:rPr>
          <w:rStyle w:val="19"/>
          <w:rFonts w:hint="eastAsia" w:ascii="宋体" w:hAnsi="宋体" w:cs="宋体"/>
          <w:color w:val="000000"/>
          <w:highlight w:val="none"/>
        </w:rPr>
        <w:t>；</w:t>
      </w:r>
    </w:p>
    <w:p w14:paraId="11D02C54">
      <w:pPr>
        <w:pStyle w:val="88"/>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19"/>
          <w:rFonts w:ascii="宋体" w:hAnsi="宋体"/>
          <w:color w:val="000000"/>
          <w:highlight w:val="none"/>
        </w:rPr>
      </w:pPr>
      <w:r>
        <w:rPr>
          <w:rStyle w:val="19"/>
          <w:rFonts w:hint="eastAsia" w:ascii="宋体" w:hAnsi="宋体" w:cs="宋体"/>
          <w:color w:val="000000"/>
          <w:highlight w:val="none"/>
        </w:rPr>
        <w:t>（</w:t>
      </w:r>
      <w:r>
        <w:rPr>
          <w:rStyle w:val="19"/>
          <w:rFonts w:ascii="宋体" w:hAnsi="宋体"/>
          <w:color w:val="000000"/>
          <w:highlight w:val="none"/>
        </w:rPr>
        <w:t>6</w:t>
      </w:r>
      <w:r>
        <w:rPr>
          <w:rStyle w:val="19"/>
          <w:rFonts w:hint="eastAsia" w:ascii="宋体" w:hAnsi="宋体" w:cs="宋体"/>
          <w:color w:val="000000"/>
          <w:highlight w:val="none"/>
        </w:rPr>
        <w:t>）</w:t>
      </w:r>
      <w:r>
        <w:rPr>
          <w:rStyle w:val="19"/>
          <w:rFonts w:hint="eastAsia" w:ascii="宋体" w:hAnsi="宋体"/>
          <w:color w:val="000000"/>
          <w:szCs w:val="21"/>
          <w:highlight w:val="none"/>
        </w:rPr>
        <w:t>已标价工程量清单或预算书</w:t>
      </w:r>
      <w:r>
        <w:rPr>
          <w:rStyle w:val="19"/>
          <w:rFonts w:hint="eastAsia" w:ascii="宋体" w:hAnsi="宋体" w:cs="宋体"/>
          <w:color w:val="000000"/>
          <w:highlight w:val="none"/>
        </w:rPr>
        <w:t>；</w:t>
      </w:r>
    </w:p>
    <w:p w14:paraId="6F3DE105">
      <w:pPr>
        <w:pStyle w:val="88"/>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19"/>
          <w:rFonts w:ascii="宋体" w:hAnsi="宋体"/>
          <w:color w:val="000000"/>
          <w:highlight w:val="none"/>
        </w:rPr>
      </w:pPr>
      <w:r>
        <w:rPr>
          <w:rStyle w:val="19"/>
          <w:rFonts w:hint="eastAsia" w:ascii="宋体" w:hAnsi="宋体" w:cs="宋体"/>
          <w:color w:val="000000"/>
          <w:highlight w:val="none"/>
        </w:rPr>
        <w:t>（</w:t>
      </w:r>
      <w:r>
        <w:rPr>
          <w:rStyle w:val="19"/>
          <w:rFonts w:ascii="宋体" w:hAnsi="宋体"/>
          <w:color w:val="000000"/>
          <w:highlight w:val="none"/>
        </w:rPr>
        <w:t>7</w:t>
      </w:r>
      <w:r>
        <w:rPr>
          <w:rStyle w:val="19"/>
          <w:rFonts w:hint="eastAsia" w:ascii="宋体" w:hAnsi="宋体" w:cs="宋体"/>
          <w:color w:val="000000"/>
          <w:highlight w:val="none"/>
        </w:rPr>
        <w:t>）</w:t>
      </w:r>
      <w:r>
        <w:rPr>
          <w:rStyle w:val="19"/>
          <w:rFonts w:hint="eastAsia" w:ascii="宋体" w:hAnsi="宋体"/>
          <w:color w:val="000000"/>
          <w:szCs w:val="21"/>
          <w:highlight w:val="none"/>
        </w:rPr>
        <w:t>图纸</w:t>
      </w:r>
      <w:r>
        <w:rPr>
          <w:rStyle w:val="19"/>
          <w:rFonts w:hint="eastAsia" w:ascii="宋体" w:hAnsi="宋体" w:cs="宋体"/>
          <w:color w:val="000000"/>
          <w:highlight w:val="none"/>
        </w:rPr>
        <w:t>；</w:t>
      </w:r>
    </w:p>
    <w:p w14:paraId="320D286C">
      <w:pPr>
        <w:pStyle w:val="88"/>
        <w:keepNext w:val="0"/>
        <w:keepLines w:val="0"/>
        <w:pageBreakBefore w:val="0"/>
        <w:widowControl w:val="0"/>
        <w:kinsoku/>
        <w:wordWrap/>
        <w:overflowPunct/>
        <w:topLinePunct w:val="0"/>
        <w:bidi w:val="0"/>
        <w:snapToGrid/>
        <w:spacing w:line="360" w:lineRule="auto"/>
        <w:ind w:firstLine="420" w:firstLineChars="200"/>
        <w:jc w:val="left"/>
        <w:textAlignment w:val="auto"/>
        <w:rPr>
          <w:rStyle w:val="19"/>
          <w:rFonts w:ascii="宋体" w:hAnsi="宋体"/>
          <w:color w:val="000000"/>
          <w:highlight w:val="none"/>
        </w:rPr>
      </w:pPr>
      <w:r>
        <w:rPr>
          <w:rStyle w:val="19"/>
          <w:rFonts w:hint="eastAsia" w:ascii="宋体" w:hAnsi="宋体" w:cs="宋体"/>
          <w:color w:val="000000"/>
          <w:highlight w:val="none"/>
        </w:rPr>
        <w:t>（</w:t>
      </w:r>
      <w:r>
        <w:rPr>
          <w:rStyle w:val="19"/>
          <w:rFonts w:ascii="宋体" w:hAnsi="宋体"/>
          <w:color w:val="000000"/>
          <w:highlight w:val="none"/>
        </w:rPr>
        <w:t>8</w:t>
      </w:r>
      <w:r>
        <w:rPr>
          <w:rStyle w:val="19"/>
          <w:rFonts w:hint="eastAsia" w:ascii="宋体" w:hAnsi="宋体" w:cs="宋体"/>
          <w:color w:val="000000"/>
          <w:highlight w:val="none"/>
        </w:rPr>
        <w:t>）其他合同文件：</w:t>
      </w:r>
      <w:r>
        <w:rPr>
          <w:rStyle w:val="19"/>
          <w:rFonts w:hint="eastAsia" w:ascii="宋体" w:hAnsi="宋体"/>
          <w:color w:val="000000"/>
          <w:szCs w:val="21"/>
          <w:highlight w:val="none"/>
          <w:u w:val="single"/>
        </w:rPr>
        <w:t>《建设工程工程量清单计价规范（GB50500-2013）》及其广西实施细则及《关于建筑业实施营业税改征增值税后广西壮族自治区建设工程计价依据调整的通知》（桂建标〔2016〕17号）、《自治区住房城乡建设厅关于调整建设工程计价增值税税率的通知》（桂建标〔2018〕14号）、《建设工程工程量清单计算规范（GB50854~50862-2013）》及其广西实施细则（修订本）等国家、自治区颁布的计价定额及有关规定</w:t>
      </w:r>
      <w:r>
        <w:rPr>
          <w:rStyle w:val="19"/>
          <w:rFonts w:hint="eastAsia" w:ascii="宋体" w:hAnsi="宋体"/>
          <w:color w:val="000000"/>
          <w:szCs w:val="21"/>
          <w:highlight w:val="none"/>
        </w:rPr>
        <w:t>。</w:t>
      </w:r>
    </w:p>
    <w:p w14:paraId="4A70B808">
      <w:pPr>
        <w:pStyle w:val="88"/>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Style w:val="19"/>
          <w:rFonts w:ascii="宋体" w:hAnsi="宋体"/>
          <w:color w:val="000000"/>
          <w:highlight w:val="none"/>
        </w:rPr>
      </w:pPr>
      <w:r>
        <w:rPr>
          <w:rStyle w:val="19"/>
          <w:rFonts w:hint="eastAsia" w:ascii="宋体" w:hAnsi="宋体" w:cs="宋体"/>
          <w:color w:val="000000"/>
          <w:highlight w:val="none"/>
        </w:rPr>
        <w:t>上述各项合同文件包括合同当事人就该项合同文件所作出的补充和修改，属于同一类内容的文件，应以最新签署的为准（违反招标文件</w:t>
      </w:r>
      <w:r>
        <w:rPr>
          <w:rStyle w:val="19"/>
          <w:rFonts w:ascii="宋体" w:hAnsi="宋体" w:cs="宋体"/>
          <w:color w:val="000000"/>
          <w:highlight w:val="none"/>
        </w:rPr>
        <w:t>实质性内容的约定除外</w:t>
      </w:r>
      <w:r>
        <w:rPr>
          <w:rStyle w:val="19"/>
          <w:rFonts w:hint="eastAsia" w:ascii="宋体" w:hAnsi="宋体" w:cs="宋体"/>
          <w:color w:val="000000"/>
          <w:highlight w:val="none"/>
        </w:rPr>
        <w:t>）。专用合同条款及其附件须经合同当事人</w:t>
      </w:r>
      <w:r>
        <w:rPr>
          <w:rStyle w:val="19"/>
          <w:rFonts w:hint="eastAsia" w:ascii="宋体" w:hAnsi="宋体" w:cs="宋体"/>
          <w:color w:val="000000"/>
          <w:highlight w:val="none"/>
          <w:lang w:val="en-US" w:eastAsia="zh-CN"/>
        </w:rPr>
        <w:t>法定代表人或委托代理人</w:t>
      </w:r>
      <w:r>
        <w:rPr>
          <w:rStyle w:val="19"/>
          <w:rFonts w:hint="eastAsia" w:ascii="宋体" w:hAnsi="宋体" w:cs="宋体"/>
          <w:color w:val="000000"/>
          <w:highlight w:val="none"/>
        </w:rPr>
        <w:t>签字</w:t>
      </w:r>
      <w:r>
        <w:rPr>
          <w:rStyle w:val="19"/>
          <w:rFonts w:hint="eastAsia" w:ascii="宋体" w:hAnsi="宋体" w:cs="宋体"/>
          <w:color w:val="000000"/>
          <w:highlight w:val="none"/>
          <w:lang w:val="en-US" w:eastAsia="zh-CN"/>
        </w:rPr>
        <w:t>并加</w:t>
      </w:r>
      <w:r>
        <w:rPr>
          <w:rStyle w:val="19"/>
          <w:rFonts w:hint="eastAsia" w:ascii="宋体" w:hAnsi="宋体" w:cs="宋体"/>
          <w:color w:val="000000"/>
          <w:highlight w:val="none"/>
        </w:rPr>
        <w:t>盖</w:t>
      </w:r>
      <w:r>
        <w:rPr>
          <w:rStyle w:val="19"/>
          <w:rFonts w:hint="eastAsia" w:ascii="宋体" w:hAnsi="宋体" w:cs="宋体"/>
          <w:color w:val="000000"/>
          <w:highlight w:val="none"/>
          <w:lang w:val="en-US" w:eastAsia="zh-CN"/>
        </w:rPr>
        <w:t>双方单位公</w:t>
      </w:r>
      <w:r>
        <w:rPr>
          <w:rStyle w:val="19"/>
          <w:rFonts w:hint="eastAsia" w:ascii="宋体" w:hAnsi="宋体" w:cs="宋体"/>
          <w:color w:val="000000"/>
          <w:highlight w:val="none"/>
        </w:rPr>
        <w:t>章。</w:t>
      </w:r>
    </w:p>
    <w:p w14:paraId="1C126CBD">
      <w:pPr>
        <w:pStyle w:val="88"/>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jc w:val="left"/>
        <w:textAlignment w:val="auto"/>
        <w:outlineLvl w:val="0"/>
        <w:rPr>
          <w:rStyle w:val="19"/>
          <w:rFonts w:ascii="宋体" w:hAnsi="宋体"/>
          <w:b/>
          <w:bCs/>
          <w:color w:val="000000"/>
          <w:highlight w:val="none"/>
        </w:rPr>
      </w:pPr>
      <w:bookmarkStart w:id="227" w:name="_Toc15976"/>
      <w:bookmarkStart w:id="228" w:name="_Toc351203487"/>
      <w:r>
        <w:rPr>
          <w:rStyle w:val="19"/>
          <w:rFonts w:hint="eastAsia" w:ascii="宋体" w:hAnsi="宋体" w:cs="宋体"/>
          <w:b/>
          <w:bCs/>
          <w:color w:val="000000"/>
          <w:highlight w:val="none"/>
        </w:rPr>
        <w:t>七、承诺</w:t>
      </w:r>
      <w:bookmarkEnd w:id="227"/>
      <w:bookmarkEnd w:id="228"/>
    </w:p>
    <w:p w14:paraId="49C86604">
      <w:pPr>
        <w:pStyle w:val="88"/>
        <w:keepNext w:val="0"/>
        <w:keepLines w:val="0"/>
        <w:pageBreakBefore w:val="0"/>
        <w:widowControl w:val="0"/>
        <w:kinsoku/>
        <w:wordWrap/>
        <w:overflowPunct/>
        <w:topLinePunct w:val="0"/>
        <w:bidi w:val="0"/>
        <w:snapToGrid/>
        <w:spacing w:line="360" w:lineRule="auto"/>
        <w:ind w:firstLine="420" w:firstLineChars="200"/>
        <w:textAlignment w:val="auto"/>
        <w:rPr>
          <w:rStyle w:val="19"/>
          <w:rFonts w:ascii="宋体" w:hAnsi="宋体"/>
          <w:color w:val="000000"/>
          <w:highlight w:val="none"/>
        </w:rPr>
      </w:pPr>
      <w:r>
        <w:rPr>
          <w:rStyle w:val="19"/>
          <w:rFonts w:ascii="宋体" w:hAnsi="宋体"/>
          <w:color w:val="000000"/>
          <w:highlight w:val="none"/>
        </w:rPr>
        <w:t xml:space="preserve">1. </w:t>
      </w:r>
      <w:r>
        <w:rPr>
          <w:rStyle w:val="19"/>
          <w:rFonts w:hint="eastAsia" w:ascii="宋体" w:hAnsi="宋体" w:cs="宋体"/>
          <w:color w:val="000000"/>
          <w:highlight w:val="none"/>
        </w:rPr>
        <w:t>发包人承诺按照法律规定履行项目审批手续、筹集工程建设资金并按照合同约定的期限和方式支付合同价款。</w:t>
      </w:r>
    </w:p>
    <w:p w14:paraId="394E2959">
      <w:pPr>
        <w:pStyle w:val="88"/>
        <w:keepNext w:val="0"/>
        <w:keepLines w:val="0"/>
        <w:pageBreakBefore w:val="0"/>
        <w:widowControl w:val="0"/>
        <w:kinsoku/>
        <w:wordWrap/>
        <w:overflowPunct/>
        <w:topLinePunct w:val="0"/>
        <w:bidi w:val="0"/>
        <w:snapToGrid/>
        <w:spacing w:line="360" w:lineRule="auto"/>
        <w:ind w:firstLine="420" w:firstLineChars="200"/>
        <w:textAlignment w:val="auto"/>
        <w:rPr>
          <w:rStyle w:val="19"/>
          <w:rFonts w:ascii="宋体" w:hAnsi="宋体"/>
          <w:color w:val="000000"/>
          <w:highlight w:val="none"/>
        </w:rPr>
      </w:pPr>
      <w:r>
        <w:rPr>
          <w:rStyle w:val="19"/>
          <w:rFonts w:ascii="宋体" w:hAnsi="宋体"/>
          <w:color w:val="000000"/>
          <w:highlight w:val="none"/>
        </w:rPr>
        <w:t xml:space="preserve">2. </w:t>
      </w:r>
      <w:r>
        <w:rPr>
          <w:rStyle w:val="19"/>
          <w:rFonts w:hint="eastAsia" w:ascii="宋体" w:hAnsi="宋体" w:cs="宋体"/>
          <w:color w:val="000000"/>
          <w:highlight w:val="none"/>
        </w:rPr>
        <w:t>承包人承诺按照法律规定及合同约定组织完成工程施工，确保工程质量和安全，不进行转包及违法分包，并在缺陷责任期及保修期内承担相应的工程维修责任。</w:t>
      </w:r>
    </w:p>
    <w:p w14:paraId="4521C69C">
      <w:pPr>
        <w:pStyle w:val="88"/>
        <w:keepNext w:val="0"/>
        <w:keepLines w:val="0"/>
        <w:pageBreakBefore w:val="0"/>
        <w:widowControl w:val="0"/>
        <w:kinsoku/>
        <w:wordWrap/>
        <w:overflowPunct/>
        <w:topLinePunct w:val="0"/>
        <w:bidi w:val="0"/>
        <w:snapToGrid/>
        <w:spacing w:line="360" w:lineRule="auto"/>
        <w:ind w:firstLine="420" w:firstLineChars="200"/>
        <w:textAlignment w:val="auto"/>
        <w:rPr>
          <w:rStyle w:val="19"/>
          <w:rFonts w:ascii="宋体" w:hAnsi="宋体" w:cs="宋体"/>
          <w:color w:val="000000"/>
          <w:highlight w:val="none"/>
        </w:rPr>
      </w:pPr>
      <w:r>
        <w:rPr>
          <w:rStyle w:val="19"/>
          <w:rFonts w:ascii="宋体" w:hAnsi="宋体"/>
          <w:color w:val="000000"/>
          <w:highlight w:val="none"/>
        </w:rPr>
        <w:t xml:space="preserve">3. </w:t>
      </w:r>
      <w:r>
        <w:rPr>
          <w:rStyle w:val="19"/>
          <w:rFonts w:hint="eastAsia" w:ascii="宋体" w:hAnsi="宋体" w:cs="宋体"/>
          <w:color w:val="000000"/>
          <w:highlight w:val="none"/>
        </w:rPr>
        <w:t>发包人和承包人通过招投标形式签订合同的，双方理解并承诺不再就同一工程另行签订与合同实质性内容相背离的协议。</w:t>
      </w:r>
      <w:bookmarkStart w:id="229" w:name="_Toc351203488"/>
    </w:p>
    <w:p w14:paraId="16FC14DF">
      <w:pPr>
        <w:pStyle w:val="88"/>
        <w:keepNext w:val="0"/>
        <w:keepLines w:val="0"/>
        <w:pageBreakBefore w:val="0"/>
        <w:widowControl w:val="0"/>
        <w:kinsoku/>
        <w:wordWrap/>
        <w:overflowPunct/>
        <w:topLinePunct w:val="0"/>
        <w:bidi w:val="0"/>
        <w:snapToGrid/>
        <w:spacing w:line="360" w:lineRule="auto"/>
        <w:ind w:firstLine="422" w:firstLineChars="200"/>
        <w:textAlignment w:val="auto"/>
        <w:outlineLvl w:val="0"/>
        <w:rPr>
          <w:rStyle w:val="19"/>
          <w:rFonts w:ascii="宋体" w:hAnsi="宋体"/>
          <w:b/>
          <w:bCs/>
          <w:color w:val="000000"/>
          <w:highlight w:val="none"/>
        </w:rPr>
      </w:pPr>
      <w:bookmarkStart w:id="230" w:name="_Toc27420"/>
      <w:r>
        <w:rPr>
          <w:rStyle w:val="19"/>
          <w:rFonts w:hint="eastAsia" w:ascii="宋体" w:hAnsi="宋体" w:cs="宋体"/>
          <w:b/>
          <w:bCs/>
          <w:color w:val="000000"/>
          <w:highlight w:val="none"/>
        </w:rPr>
        <w:t>八、词语含义</w:t>
      </w:r>
      <w:bookmarkEnd w:id="229"/>
      <w:bookmarkEnd w:id="230"/>
    </w:p>
    <w:p w14:paraId="0E493B77">
      <w:pPr>
        <w:pStyle w:val="88"/>
        <w:keepNext w:val="0"/>
        <w:keepLines w:val="0"/>
        <w:pageBreakBefore w:val="0"/>
        <w:widowControl w:val="0"/>
        <w:kinsoku/>
        <w:wordWrap/>
        <w:overflowPunct/>
        <w:topLinePunct w:val="0"/>
        <w:bidi w:val="0"/>
        <w:snapToGrid/>
        <w:spacing w:line="360" w:lineRule="auto"/>
        <w:ind w:firstLine="420" w:firstLineChars="200"/>
        <w:textAlignment w:val="auto"/>
        <w:rPr>
          <w:rStyle w:val="19"/>
          <w:rFonts w:ascii="宋体" w:hAnsi="宋体"/>
          <w:color w:val="000000"/>
          <w:highlight w:val="none"/>
        </w:rPr>
      </w:pPr>
      <w:r>
        <w:rPr>
          <w:rStyle w:val="19"/>
          <w:rFonts w:hint="eastAsia" w:ascii="宋体" w:hAnsi="宋体" w:cs="宋体"/>
          <w:color w:val="000000"/>
          <w:highlight w:val="none"/>
        </w:rPr>
        <w:t>本协议书中词语含义与第二部分通用合同条款中赋予的含义相同。</w:t>
      </w:r>
    </w:p>
    <w:p w14:paraId="7A46D475">
      <w:pPr>
        <w:pStyle w:val="88"/>
        <w:keepNext w:val="0"/>
        <w:keepLines w:val="0"/>
        <w:pageBreakBefore w:val="0"/>
        <w:widowControl w:val="0"/>
        <w:kinsoku/>
        <w:wordWrap/>
        <w:overflowPunct/>
        <w:topLinePunct w:val="0"/>
        <w:bidi w:val="0"/>
        <w:snapToGrid/>
        <w:spacing w:line="360" w:lineRule="auto"/>
        <w:ind w:firstLine="422" w:firstLineChars="200"/>
        <w:textAlignment w:val="auto"/>
        <w:outlineLvl w:val="0"/>
        <w:rPr>
          <w:rStyle w:val="19"/>
          <w:rFonts w:ascii="宋体" w:hAnsi="宋体"/>
          <w:b/>
          <w:bCs/>
          <w:color w:val="000000"/>
          <w:highlight w:val="none"/>
        </w:rPr>
      </w:pPr>
      <w:bookmarkStart w:id="231" w:name="_Toc351203489"/>
      <w:bookmarkStart w:id="232" w:name="_Toc24979"/>
      <w:r>
        <w:rPr>
          <w:rStyle w:val="19"/>
          <w:rFonts w:hint="eastAsia" w:ascii="宋体" w:hAnsi="宋体" w:cs="宋体"/>
          <w:b/>
          <w:bCs/>
          <w:color w:val="000000"/>
          <w:highlight w:val="none"/>
        </w:rPr>
        <w:t>九、签订时间</w:t>
      </w:r>
      <w:bookmarkEnd w:id="231"/>
      <w:bookmarkEnd w:id="232"/>
    </w:p>
    <w:p w14:paraId="7A648E28">
      <w:pPr>
        <w:pStyle w:val="88"/>
        <w:keepNext w:val="0"/>
        <w:keepLines w:val="0"/>
        <w:pageBreakBefore w:val="0"/>
        <w:widowControl w:val="0"/>
        <w:kinsoku/>
        <w:wordWrap/>
        <w:overflowPunct/>
        <w:topLinePunct w:val="0"/>
        <w:bidi w:val="0"/>
        <w:snapToGrid/>
        <w:spacing w:line="360" w:lineRule="auto"/>
        <w:ind w:firstLine="420" w:firstLineChars="200"/>
        <w:textAlignment w:val="auto"/>
        <w:rPr>
          <w:rStyle w:val="19"/>
          <w:rFonts w:ascii="宋体" w:hAnsi="宋体"/>
          <w:color w:val="000000"/>
          <w:highlight w:val="none"/>
        </w:rPr>
      </w:pPr>
      <w:r>
        <w:rPr>
          <w:rStyle w:val="19"/>
          <w:rFonts w:hint="eastAsia" w:ascii="宋体" w:hAnsi="宋体" w:cs="宋体"/>
          <w:color w:val="000000"/>
          <w:highlight w:val="none"/>
        </w:rPr>
        <w:t>本合同于</w:t>
      </w:r>
      <w:r>
        <w:rPr>
          <w:rStyle w:val="19"/>
          <w:rFonts w:hint="eastAsia" w:ascii="宋体" w:hAnsi="宋体" w:cs="宋体"/>
          <w:color w:val="000000"/>
          <w:highlight w:val="none"/>
          <w:lang w:val="en-US" w:eastAsia="zh-CN"/>
        </w:rPr>
        <w:t>2026</w:t>
      </w:r>
      <w:r>
        <w:rPr>
          <w:rStyle w:val="19"/>
          <w:rFonts w:hint="eastAsia" w:ascii="宋体" w:hAnsi="宋体" w:cs="宋体"/>
          <w:color w:val="000000"/>
          <w:highlight w:val="none"/>
        </w:rPr>
        <w:t>年  月  日签订。</w:t>
      </w:r>
    </w:p>
    <w:p w14:paraId="00B699B7">
      <w:pPr>
        <w:pStyle w:val="88"/>
        <w:keepNext w:val="0"/>
        <w:keepLines w:val="0"/>
        <w:pageBreakBefore w:val="0"/>
        <w:widowControl w:val="0"/>
        <w:kinsoku/>
        <w:wordWrap/>
        <w:overflowPunct/>
        <w:topLinePunct w:val="0"/>
        <w:bidi w:val="0"/>
        <w:snapToGrid/>
        <w:spacing w:line="360" w:lineRule="auto"/>
        <w:ind w:firstLine="422" w:firstLineChars="200"/>
        <w:textAlignment w:val="auto"/>
        <w:outlineLvl w:val="0"/>
        <w:rPr>
          <w:rStyle w:val="19"/>
          <w:rFonts w:ascii="宋体" w:hAnsi="宋体"/>
          <w:b/>
          <w:bCs/>
          <w:color w:val="000000"/>
          <w:highlight w:val="none"/>
        </w:rPr>
      </w:pPr>
      <w:bookmarkStart w:id="233" w:name="_Toc5923"/>
      <w:bookmarkStart w:id="234" w:name="_Toc351203490"/>
      <w:r>
        <w:rPr>
          <w:rStyle w:val="19"/>
          <w:rFonts w:hint="eastAsia" w:ascii="宋体" w:hAnsi="宋体" w:cs="宋体"/>
          <w:b/>
          <w:bCs/>
          <w:color w:val="000000"/>
          <w:highlight w:val="none"/>
        </w:rPr>
        <w:t>十、签订地点</w:t>
      </w:r>
      <w:bookmarkEnd w:id="233"/>
      <w:bookmarkEnd w:id="234"/>
    </w:p>
    <w:p w14:paraId="2898075E">
      <w:pPr>
        <w:pStyle w:val="88"/>
        <w:keepNext w:val="0"/>
        <w:keepLines w:val="0"/>
        <w:pageBreakBefore w:val="0"/>
        <w:widowControl w:val="0"/>
        <w:kinsoku/>
        <w:wordWrap/>
        <w:overflowPunct/>
        <w:topLinePunct w:val="0"/>
        <w:bidi w:val="0"/>
        <w:snapToGrid/>
        <w:spacing w:line="360" w:lineRule="auto"/>
        <w:ind w:firstLine="420" w:firstLineChars="200"/>
        <w:textAlignment w:val="auto"/>
        <w:rPr>
          <w:rStyle w:val="19"/>
          <w:rFonts w:ascii="宋体" w:hAnsi="宋体"/>
          <w:color w:val="000000"/>
          <w:highlight w:val="none"/>
        </w:rPr>
      </w:pPr>
      <w:r>
        <w:rPr>
          <w:rStyle w:val="19"/>
          <w:rFonts w:hint="eastAsia" w:ascii="宋体" w:hAnsi="宋体" w:cs="宋体"/>
          <w:color w:val="000000"/>
          <w:highlight w:val="none"/>
        </w:rPr>
        <w:t>本合同在</w:t>
      </w:r>
      <w:r>
        <w:rPr>
          <w:rStyle w:val="19"/>
          <w:rFonts w:hint="eastAsia" w:ascii="宋体" w:hAnsi="宋体"/>
          <w:color w:val="000000"/>
          <w:szCs w:val="21"/>
          <w:highlight w:val="none"/>
          <w:u w:val="single"/>
        </w:rPr>
        <w:t>广西壮族自治区南宁市</w:t>
      </w:r>
      <w:r>
        <w:rPr>
          <w:rStyle w:val="19"/>
          <w:rFonts w:hint="eastAsia" w:ascii="宋体" w:hAnsi="宋体" w:cs="宋体"/>
          <w:color w:val="000000"/>
          <w:highlight w:val="none"/>
        </w:rPr>
        <w:t>签订。</w:t>
      </w:r>
    </w:p>
    <w:p w14:paraId="621AED7C">
      <w:pPr>
        <w:pStyle w:val="88"/>
        <w:keepNext w:val="0"/>
        <w:keepLines w:val="0"/>
        <w:pageBreakBefore w:val="0"/>
        <w:widowControl w:val="0"/>
        <w:kinsoku/>
        <w:wordWrap/>
        <w:overflowPunct/>
        <w:topLinePunct w:val="0"/>
        <w:bidi w:val="0"/>
        <w:snapToGrid/>
        <w:spacing w:line="360" w:lineRule="auto"/>
        <w:ind w:firstLine="422" w:firstLineChars="200"/>
        <w:textAlignment w:val="auto"/>
        <w:outlineLvl w:val="0"/>
        <w:rPr>
          <w:rStyle w:val="19"/>
          <w:rFonts w:ascii="宋体" w:hAnsi="宋体"/>
          <w:b/>
          <w:bCs/>
          <w:color w:val="000000"/>
          <w:highlight w:val="none"/>
        </w:rPr>
      </w:pPr>
      <w:bookmarkStart w:id="235" w:name="_Toc351203491"/>
      <w:bookmarkStart w:id="236" w:name="_Toc16263"/>
      <w:r>
        <w:rPr>
          <w:rStyle w:val="19"/>
          <w:rFonts w:hint="eastAsia" w:ascii="宋体" w:hAnsi="宋体" w:cs="宋体"/>
          <w:b/>
          <w:bCs/>
          <w:color w:val="000000"/>
          <w:highlight w:val="none"/>
        </w:rPr>
        <w:t>十一、补充协议</w:t>
      </w:r>
      <w:bookmarkEnd w:id="235"/>
      <w:bookmarkEnd w:id="236"/>
    </w:p>
    <w:p w14:paraId="7E5DDB44">
      <w:pPr>
        <w:pStyle w:val="88"/>
        <w:keepNext w:val="0"/>
        <w:keepLines w:val="0"/>
        <w:pageBreakBefore w:val="0"/>
        <w:widowControl w:val="0"/>
        <w:kinsoku/>
        <w:wordWrap/>
        <w:overflowPunct/>
        <w:topLinePunct w:val="0"/>
        <w:bidi w:val="0"/>
        <w:snapToGrid/>
        <w:spacing w:line="360" w:lineRule="auto"/>
        <w:ind w:firstLine="420" w:firstLineChars="200"/>
        <w:textAlignment w:val="auto"/>
        <w:rPr>
          <w:rStyle w:val="19"/>
          <w:rFonts w:ascii="宋体" w:hAnsi="宋体"/>
          <w:color w:val="000000"/>
          <w:highlight w:val="none"/>
        </w:rPr>
      </w:pPr>
      <w:r>
        <w:rPr>
          <w:rStyle w:val="19"/>
          <w:rFonts w:hint="eastAsia" w:ascii="宋体" w:hAnsi="宋体" w:cs="宋体"/>
          <w:color w:val="000000"/>
          <w:highlight w:val="none"/>
        </w:rPr>
        <w:t>合同未尽事宜，合同当事人另行签订补充协议，补充协议是合同的组成部分。</w:t>
      </w:r>
    </w:p>
    <w:p w14:paraId="6EF788EE">
      <w:pPr>
        <w:pStyle w:val="88"/>
        <w:keepNext w:val="0"/>
        <w:keepLines w:val="0"/>
        <w:pageBreakBefore w:val="0"/>
        <w:widowControl w:val="0"/>
        <w:kinsoku/>
        <w:wordWrap/>
        <w:overflowPunct/>
        <w:topLinePunct w:val="0"/>
        <w:bidi w:val="0"/>
        <w:snapToGrid/>
        <w:spacing w:line="360" w:lineRule="auto"/>
        <w:ind w:firstLine="422" w:firstLineChars="200"/>
        <w:textAlignment w:val="auto"/>
        <w:outlineLvl w:val="0"/>
        <w:rPr>
          <w:rStyle w:val="19"/>
          <w:rFonts w:ascii="宋体" w:hAnsi="宋体"/>
          <w:b/>
          <w:bCs/>
          <w:color w:val="000000"/>
          <w:highlight w:val="none"/>
        </w:rPr>
      </w:pPr>
      <w:bookmarkStart w:id="237" w:name="_Toc351203492"/>
      <w:bookmarkStart w:id="238" w:name="_Toc28497"/>
      <w:r>
        <w:rPr>
          <w:rStyle w:val="19"/>
          <w:rFonts w:hint="eastAsia" w:ascii="宋体" w:hAnsi="宋体" w:cs="宋体"/>
          <w:b/>
          <w:bCs/>
          <w:color w:val="000000"/>
          <w:highlight w:val="none"/>
        </w:rPr>
        <w:t>十二、合同生效</w:t>
      </w:r>
      <w:bookmarkEnd w:id="237"/>
      <w:bookmarkEnd w:id="238"/>
    </w:p>
    <w:p w14:paraId="0C24BEE4">
      <w:pPr>
        <w:pStyle w:val="88"/>
        <w:keepNext w:val="0"/>
        <w:keepLines w:val="0"/>
        <w:pageBreakBefore w:val="0"/>
        <w:widowControl w:val="0"/>
        <w:kinsoku/>
        <w:wordWrap/>
        <w:overflowPunct/>
        <w:topLinePunct w:val="0"/>
        <w:bidi w:val="0"/>
        <w:snapToGrid/>
        <w:spacing w:line="360" w:lineRule="auto"/>
        <w:ind w:firstLine="420" w:firstLineChars="200"/>
        <w:textAlignment w:val="auto"/>
        <w:rPr>
          <w:rStyle w:val="19"/>
          <w:rFonts w:ascii="宋体" w:hAnsi="宋体"/>
          <w:color w:val="000000"/>
          <w:highlight w:val="none"/>
        </w:rPr>
      </w:pPr>
      <w:r>
        <w:rPr>
          <w:rStyle w:val="19"/>
          <w:rFonts w:hint="eastAsia" w:ascii="宋体" w:hAnsi="宋体" w:cs="宋体"/>
          <w:color w:val="000000"/>
          <w:highlight w:val="none"/>
        </w:rPr>
        <w:t>本合同自</w:t>
      </w:r>
      <w:r>
        <w:rPr>
          <w:rStyle w:val="19"/>
          <w:rFonts w:hint="eastAsia" w:ascii="宋体" w:hAnsi="宋体"/>
          <w:color w:val="000000"/>
          <w:highlight w:val="none"/>
          <w:u w:val="single"/>
        </w:rPr>
        <w:t>双方法定代表人或授权委托代理人签</w:t>
      </w:r>
      <w:r>
        <w:rPr>
          <w:rStyle w:val="19"/>
          <w:rFonts w:hint="eastAsia" w:ascii="宋体" w:hAnsi="宋体"/>
          <w:color w:val="000000"/>
          <w:highlight w:val="none"/>
          <w:u w:val="single"/>
          <w:lang w:val="en-US" w:eastAsia="zh-CN"/>
        </w:rPr>
        <w:t>字（或盖</w:t>
      </w:r>
      <w:r>
        <w:rPr>
          <w:rStyle w:val="19"/>
          <w:rFonts w:hint="eastAsia" w:ascii="宋体" w:hAnsi="宋体"/>
          <w:color w:val="000000"/>
          <w:highlight w:val="none"/>
          <w:u w:val="single"/>
        </w:rPr>
        <w:t>章</w:t>
      </w:r>
      <w:r>
        <w:rPr>
          <w:rStyle w:val="19"/>
          <w:rFonts w:hint="eastAsia" w:ascii="宋体" w:hAnsi="宋体"/>
          <w:color w:val="000000"/>
          <w:highlight w:val="none"/>
          <w:u w:val="single"/>
          <w:lang w:eastAsia="zh-CN"/>
        </w:rPr>
        <w:t>）</w:t>
      </w:r>
      <w:r>
        <w:rPr>
          <w:rStyle w:val="19"/>
          <w:rFonts w:hint="eastAsia" w:ascii="宋体" w:hAnsi="宋体"/>
          <w:color w:val="000000"/>
          <w:highlight w:val="none"/>
          <w:u w:val="single"/>
        </w:rPr>
        <w:t>并加盖</w:t>
      </w:r>
      <w:r>
        <w:rPr>
          <w:rStyle w:val="19"/>
          <w:rFonts w:hint="eastAsia" w:ascii="宋体" w:hAnsi="宋体"/>
          <w:color w:val="000000"/>
          <w:highlight w:val="none"/>
          <w:u w:val="single"/>
          <w:lang w:val="en-US" w:eastAsia="zh-CN"/>
        </w:rPr>
        <w:t>双方</w:t>
      </w:r>
      <w:r>
        <w:rPr>
          <w:rStyle w:val="19"/>
          <w:rFonts w:hint="eastAsia" w:ascii="宋体" w:hAnsi="宋体"/>
          <w:color w:val="000000"/>
          <w:highlight w:val="none"/>
          <w:u w:val="single"/>
        </w:rPr>
        <w:t>公章之日起</w:t>
      </w:r>
      <w:r>
        <w:rPr>
          <w:rStyle w:val="19"/>
          <w:rFonts w:hint="eastAsia" w:ascii="宋体" w:hAnsi="宋体" w:cs="宋体"/>
          <w:color w:val="000000"/>
          <w:highlight w:val="none"/>
        </w:rPr>
        <w:t>生效。</w:t>
      </w:r>
    </w:p>
    <w:p w14:paraId="3C0556A0">
      <w:pPr>
        <w:pStyle w:val="88"/>
        <w:keepNext w:val="0"/>
        <w:keepLines w:val="0"/>
        <w:pageBreakBefore w:val="0"/>
        <w:widowControl w:val="0"/>
        <w:kinsoku/>
        <w:wordWrap/>
        <w:overflowPunct/>
        <w:topLinePunct w:val="0"/>
        <w:bidi w:val="0"/>
        <w:snapToGrid/>
        <w:spacing w:line="360" w:lineRule="auto"/>
        <w:ind w:firstLine="422" w:firstLineChars="200"/>
        <w:textAlignment w:val="auto"/>
        <w:outlineLvl w:val="0"/>
        <w:rPr>
          <w:rStyle w:val="19"/>
          <w:rFonts w:ascii="宋体" w:hAnsi="宋体"/>
          <w:b/>
          <w:bCs/>
          <w:color w:val="000000"/>
          <w:highlight w:val="none"/>
        </w:rPr>
      </w:pPr>
      <w:bookmarkStart w:id="239" w:name="_Toc6274"/>
      <w:bookmarkStart w:id="240" w:name="_Toc351203493"/>
      <w:r>
        <w:rPr>
          <w:rStyle w:val="19"/>
          <w:rFonts w:hint="eastAsia" w:ascii="宋体" w:hAnsi="宋体" w:cs="宋体"/>
          <w:b/>
          <w:bCs/>
          <w:color w:val="000000"/>
          <w:highlight w:val="none"/>
        </w:rPr>
        <w:t>十三、合同份数</w:t>
      </w:r>
      <w:bookmarkEnd w:id="239"/>
      <w:bookmarkEnd w:id="240"/>
    </w:p>
    <w:p w14:paraId="09DEB56C">
      <w:pPr>
        <w:pStyle w:val="88"/>
        <w:keepNext w:val="0"/>
        <w:keepLines w:val="0"/>
        <w:pageBreakBefore w:val="0"/>
        <w:widowControl w:val="0"/>
        <w:kinsoku/>
        <w:wordWrap/>
        <w:overflowPunct/>
        <w:topLinePunct w:val="0"/>
        <w:bidi w:val="0"/>
        <w:snapToGrid/>
        <w:spacing w:line="360" w:lineRule="auto"/>
        <w:ind w:firstLine="420" w:firstLineChars="200"/>
        <w:textAlignment w:val="auto"/>
        <w:rPr>
          <w:rStyle w:val="19"/>
          <w:color w:val="000000"/>
          <w:highlight w:val="none"/>
        </w:rPr>
      </w:pPr>
      <w:r>
        <w:rPr>
          <w:rStyle w:val="19"/>
          <w:rFonts w:hint="eastAsia" w:ascii="宋体" w:hAnsi="宋体" w:cs="宋体"/>
          <w:color w:val="000000"/>
          <w:highlight w:val="none"/>
        </w:rPr>
        <w:t>本合同一式</w:t>
      </w:r>
      <w:r>
        <w:rPr>
          <w:rStyle w:val="19"/>
          <w:rFonts w:hint="eastAsia" w:ascii="宋体" w:hAnsi="宋体"/>
          <w:color w:val="000000"/>
          <w:szCs w:val="21"/>
          <w:highlight w:val="none"/>
          <w:u w:val="single"/>
          <w:lang w:val="en-US" w:eastAsia="zh-CN"/>
        </w:rPr>
        <w:t>陆</w:t>
      </w:r>
      <w:r>
        <w:rPr>
          <w:rStyle w:val="19"/>
          <w:rFonts w:hint="eastAsia" w:ascii="宋体" w:hAnsi="宋体" w:cs="宋体"/>
          <w:color w:val="000000"/>
          <w:highlight w:val="none"/>
        </w:rPr>
        <w:t>份，均具有同等法律效力，发包人执</w:t>
      </w:r>
      <w:r>
        <w:rPr>
          <w:rStyle w:val="19"/>
          <w:rFonts w:hint="eastAsia" w:ascii="宋体" w:hAnsi="宋体"/>
          <w:bCs/>
          <w:color w:val="000000"/>
          <w:szCs w:val="21"/>
          <w:highlight w:val="none"/>
          <w:u w:val="single"/>
          <w:lang w:val="en-US" w:eastAsia="zh-CN"/>
        </w:rPr>
        <w:t>叁</w:t>
      </w:r>
      <w:r>
        <w:rPr>
          <w:rStyle w:val="19"/>
          <w:rFonts w:hint="eastAsia" w:ascii="宋体" w:hAnsi="宋体" w:cs="宋体"/>
          <w:color w:val="000000"/>
          <w:highlight w:val="none"/>
        </w:rPr>
        <w:t>份，承包人执</w:t>
      </w:r>
      <w:r>
        <w:rPr>
          <w:rStyle w:val="19"/>
          <w:rFonts w:hint="eastAsia" w:ascii="宋体" w:hAnsi="宋体"/>
          <w:color w:val="000000"/>
          <w:szCs w:val="21"/>
          <w:highlight w:val="none"/>
          <w:u w:val="single"/>
        </w:rPr>
        <w:t>叁</w:t>
      </w:r>
      <w:r>
        <w:rPr>
          <w:rStyle w:val="19"/>
          <w:rFonts w:hint="eastAsia" w:ascii="宋体" w:hAnsi="宋体" w:cs="宋体"/>
          <w:color w:val="000000"/>
          <w:highlight w:val="none"/>
        </w:rPr>
        <w:t>份。</w:t>
      </w:r>
    </w:p>
    <w:p w14:paraId="730C8435">
      <w:pPr>
        <w:pStyle w:val="31"/>
        <w:keepNext w:val="0"/>
        <w:keepLines w:val="0"/>
        <w:pageBreakBefore w:val="0"/>
        <w:widowControl w:val="0"/>
        <w:kinsoku/>
        <w:wordWrap/>
        <w:overflowPunct/>
        <w:topLinePunct w:val="0"/>
        <w:bidi w:val="0"/>
        <w:snapToGrid/>
        <w:spacing w:line="360" w:lineRule="auto"/>
        <w:textAlignment w:val="auto"/>
        <w:rPr>
          <w:color w:val="000000"/>
          <w:highlight w:val="none"/>
        </w:rPr>
      </w:pPr>
    </w:p>
    <w:p w14:paraId="1AAE8C9D">
      <w:pPr>
        <w:pStyle w:val="31"/>
        <w:keepNext w:val="0"/>
        <w:keepLines w:val="0"/>
        <w:pageBreakBefore w:val="0"/>
        <w:widowControl w:val="0"/>
        <w:kinsoku/>
        <w:wordWrap/>
        <w:overflowPunct/>
        <w:topLinePunct w:val="0"/>
        <w:bidi w:val="0"/>
        <w:snapToGrid/>
        <w:spacing w:line="360" w:lineRule="auto"/>
        <w:ind w:firstLine="420" w:firstLineChars="200"/>
        <w:textAlignment w:val="auto"/>
        <w:rPr>
          <w:rFonts w:hint="eastAsia" w:hAnsi="宋体" w:cs="宋体"/>
          <w:color w:val="000000"/>
          <w:highlight w:val="none"/>
          <w:lang w:eastAsia="zh-CN"/>
        </w:rPr>
      </w:pPr>
      <w:r>
        <w:rPr>
          <w:rFonts w:hint="eastAsia" w:hAnsi="宋体" w:cs="宋体"/>
          <w:color w:val="000000"/>
          <w:highlight w:val="none"/>
          <w:lang w:eastAsia="zh-CN"/>
        </w:rPr>
        <w:t>（</w:t>
      </w:r>
      <w:r>
        <w:rPr>
          <w:rFonts w:hint="eastAsia" w:hAnsi="宋体" w:cs="宋体"/>
          <w:color w:val="000000"/>
          <w:highlight w:val="none"/>
          <w:lang w:val="en-US" w:eastAsia="zh-CN"/>
        </w:rPr>
        <w:t>以下为合同协议书签署页</w:t>
      </w:r>
      <w:r>
        <w:rPr>
          <w:rFonts w:hint="eastAsia" w:hAnsi="宋体" w:cs="宋体"/>
          <w:color w:val="000000"/>
          <w:highlight w:val="none"/>
          <w:lang w:eastAsia="zh-CN"/>
        </w:rPr>
        <w:t>）</w:t>
      </w:r>
    </w:p>
    <w:p w14:paraId="75A42105">
      <w:pPr>
        <w:pStyle w:val="31"/>
        <w:keepNext w:val="0"/>
        <w:keepLines w:val="0"/>
        <w:pageBreakBefore w:val="0"/>
        <w:widowControl w:val="0"/>
        <w:kinsoku/>
        <w:wordWrap/>
        <w:overflowPunct/>
        <w:topLinePunct w:val="0"/>
        <w:bidi w:val="0"/>
        <w:snapToGrid/>
        <w:spacing w:line="360" w:lineRule="auto"/>
        <w:ind w:firstLine="420" w:firstLineChars="200"/>
        <w:textAlignment w:val="auto"/>
        <w:rPr>
          <w:rFonts w:hint="eastAsia" w:hAnsi="宋体" w:eastAsia="宋体" w:cs="宋体"/>
          <w:color w:val="000000"/>
          <w:highlight w:val="none"/>
          <w:lang w:eastAsia="zh-CN"/>
        </w:rPr>
      </w:pPr>
      <w:r>
        <w:rPr>
          <w:rFonts w:hint="eastAsia" w:hAnsi="宋体" w:cs="宋体"/>
          <w:color w:val="000000"/>
          <w:highlight w:val="none"/>
          <w:lang w:eastAsia="zh-CN"/>
        </w:rPr>
        <w:br w:type="page"/>
      </w:r>
      <w:r>
        <w:rPr>
          <w:rFonts w:hint="eastAsia" w:hAnsi="宋体" w:cs="宋体"/>
          <w:color w:val="000000"/>
          <w:highlight w:val="none"/>
          <w:lang w:eastAsia="zh-CN"/>
        </w:rPr>
        <w:t>（</w:t>
      </w:r>
      <w:r>
        <w:rPr>
          <w:rFonts w:hint="eastAsia" w:hAnsi="宋体" w:cs="宋体"/>
          <w:color w:val="000000"/>
          <w:highlight w:val="none"/>
          <w:lang w:val="en-US" w:eastAsia="zh-CN"/>
        </w:rPr>
        <w:t>本页为合同协议书签署页</w:t>
      </w:r>
      <w:r>
        <w:rPr>
          <w:rFonts w:hint="eastAsia" w:hAnsi="宋体" w:cs="宋体"/>
          <w:color w:val="000000"/>
          <w:highlight w:val="none"/>
          <w:lang w:eastAsia="zh-CN"/>
        </w:rPr>
        <w:t>）</w:t>
      </w:r>
    </w:p>
    <w:p w14:paraId="0633112A">
      <w:pPr>
        <w:pStyle w:val="31"/>
        <w:keepNext w:val="0"/>
        <w:keepLines w:val="0"/>
        <w:pageBreakBefore w:val="0"/>
        <w:widowControl w:val="0"/>
        <w:kinsoku/>
        <w:wordWrap/>
        <w:overflowPunct/>
        <w:topLinePunct w:val="0"/>
        <w:bidi w:val="0"/>
        <w:snapToGrid/>
        <w:spacing w:line="360" w:lineRule="auto"/>
        <w:textAlignment w:val="auto"/>
        <w:rPr>
          <w:rFonts w:hint="eastAsia" w:hAnsi="宋体" w:cs="宋体"/>
          <w:color w:val="000000"/>
          <w:highlight w:val="none"/>
        </w:rPr>
      </w:pPr>
    </w:p>
    <w:p w14:paraId="33E811BF">
      <w:pPr>
        <w:pStyle w:val="31"/>
        <w:keepNext w:val="0"/>
        <w:keepLines w:val="0"/>
        <w:pageBreakBefore w:val="0"/>
        <w:widowControl w:val="0"/>
        <w:kinsoku/>
        <w:wordWrap/>
        <w:overflowPunct/>
        <w:topLinePunct w:val="0"/>
        <w:bidi w:val="0"/>
        <w:snapToGrid/>
        <w:spacing w:line="360" w:lineRule="auto"/>
        <w:textAlignment w:val="auto"/>
        <w:rPr>
          <w:color w:val="000000"/>
          <w:highlight w:val="none"/>
        </w:rPr>
      </w:pPr>
      <w:r>
        <w:rPr>
          <w:rFonts w:hint="eastAsia" w:hAnsi="宋体" w:cs="宋体"/>
          <w:color w:val="000000"/>
          <w:highlight w:val="none"/>
        </w:rPr>
        <w:t>发包人：</w:t>
      </w:r>
      <w:r>
        <w:rPr>
          <w:rFonts w:hint="eastAsia"/>
          <w:color w:val="000000"/>
          <w:highlight w:val="none"/>
        </w:rPr>
        <w:t>广西壮族自治区人民医院</w:t>
      </w:r>
      <w:r>
        <w:rPr>
          <w:rFonts w:hint="eastAsia" w:cs="宋体"/>
          <w:color w:val="000000"/>
          <w:highlight w:val="none"/>
        </w:rPr>
        <w:t>（</w:t>
      </w:r>
      <w:r>
        <w:rPr>
          <w:rFonts w:hint="eastAsia" w:hAnsi="宋体" w:cs="宋体"/>
          <w:color w:val="000000"/>
          <w:highlight w:val="none"/>
        </w:rPr>
        <w:t>公章</w:t>
      </w:r>
      <w:r>
        <w:rPr>
          <w:rFonts w:hint="eastAsia" w:cs="宋体"/>
          <w:color w:val="000000"/>
          <w:highlight w:val="none"/>
        </w:rPr>
        <w:t>）</w:t>
      </w:r>
      <w:r>
        <w:rPr>
          <w:color w:val="000000"/>
          <w:highlight w:val="none"/>
        </w:rPr>
        <w:t xml:space="preserve">    </w:t>
      </w:r>
      <w:r>
        <w:rPr>
          <w:rFonts w:hint="eastAsia" w:hAnsi="宋体" w:cs="宋体"/>
          <w:color w:val="000000"/>
          <w:highlight w:val="none"/>
        </w:rPr>
        <w:t>承包人：</w:t>
      </w:r>
      <w:r>
        <w:rPr>
          <w:rFonts w:hint="eastAsia" w:hAnsi="宋体" w:cs="宋体"/>
          <w:color w:val="000000"/>
          <w:highlight w:val="none"/>
          <w:lang w:val="en-US" w:eastAsia="zh-CN"/>
        </w:rPr>
        <w:t xml:space="preserve">                      </w:t>
      </w:r>
      <w:r>
        <w:rPr>
          <w:rFonts w:hint="eastAsia" w:cs="宋体"/>
          <w:color w:val="000000"/>
          <w:highlight w:val="none"/>
        </w:rPr>
        <w:t>（</w:t>
      </w:r>
      <w:r>
        <w:rPr>
          <w:rFonts w:hint="eastAsia" w:hAnsi="宋体" w:cs="宋体"/>
          <w:color w:val="000000"/>
          <w:highlight w:val="none"/>
        </w:rPr>
        <w:t>公章</w:t>
      </w:r>
      <w:r>
        <w:rPr>
          <w:rFonts w:hint="eastAsia" w:cs="宋体"/>
          <w:color w:val="000000"/>
          <w:highlight w:val="none"/>
        </w:rPr>
        <w:t>）</w:t>
      </w:r>
    </w:p>
    <w:p w14:paraId="485A206B">
      <w:pPr>
        <w:pStyle w:val="31"/>
        <w:keepNext w:val="0"/>
        <w:keepLines w:val="0"/>
        <w:pageBreakBefore w:val="0"/>
        <w:widowControl w:val="0"/>
        <w:kinsoku/>
        <w:wordWrap/>
        <w:overflowPunct/>
        <w:topLinePunct w:val="0"/>
        <w:bidi w:val="0"/>
        <w:snapToGrid/>
        <w:spacing w:line="360" w:lineRule="auto"/>
        <w:textAlignment w:val="auto"/>
        <w:rPr>
          <w:color w:val="000000"/>
          <w:highlight w:val="none"/>
          <w:u w:val="single"/>
        </w:rPr>
      </w:pPr>
      <w:r>
        <w:rPr>
          <w:color w:val="000000"/>
          <w:highlight w:val="none"/>
        </w:rPr>
        <w:t xml:space="preserve">                                 </w:t>
      </w:r>
    </w:p>
    <w:p w14:paraId="23511C5E">
      <w:pPr>
        <w:pStyle w:val="31"/>
        <w:keepNext w:val="0"/>
        <w:keepLines w:val="0"/>
        <w:pageBreakBefore w:val="0"/>
        <w:widowControl w:val="0"/>
        <w:kinsoku/>
        <w:wordWrap/>
        <w:overflowPunct/>
        <w:topLinePunct w:val="0"/>
        <w:bidi w:val="0"/>
        <w:snapToGrid/>
        <w:spacing w:line="360" w:lineRule="auto"/>
        <w:textAlignment w:val="auto"/>
        <w:rPr>
          <w:color w:val="000000"/>
          <w:highlight w:val="none"/>
        </w:rPr>
      </w:pPr>
      <w:r>
        <w:rPr>
          <w:rFonts w:hint="eastAsia" w:hAnsi="宋体" w:cs="宋体"/>
          <w:color w:val="000000"/>
          <w:highlight w:val="none"/>
        </w:rPr>
        <w:t>法定代表人或委托代理人：</w:t>
      </w:r>
      <w:r>
        <w:rPr>
          <w:color w:val="000000"/>
          <w:highlight w:val="none"/>
        </w:rPr>
        <w:t xml:space="preserve">                 </w:t>
      </w:r>
      <w:r>
        <w:rPr>
          <w:rFonts w:hint="eastAsia" w:hAnsi="宋体" w:cs="宋体"/>
          <w:color w:val="000000"/>
          <w:highlight w:val="none"/>
        </w:rPr>
        <w:t>法定代表人或委托代理人：</w:t>
      </w:r>
    </w:p>
    <w:p w14:paraId="45329882">
      <w:pPr>
        <w:pStyle w:val="31"/>
        <w:keepNext w:val="0"/>
        <w:keepLines w:val="0"/>
        <w:pageBreakBefore w:val="0"/>
        <w:widowControl w:val="0"/>
        <w:kinsoku/>
        <w:wordWrap/>
        <w:overflowPunct/>
        <w:topLinePunct w:val="0"/>
        <w:bidi w:val="0"/>
        <w:snapToGrid/>
        <w:spacing w:line="360" w:lineRule="auto"/>
        <w:textAlignment w:val="auto"/>
        <w:rPr>
          <w:color w:val="000000"/>
          <w:highlight w:val="none"/>
        </w:rPr>
      </w:pPr>
      <w:r>
        <w:rPr>
          <w:rFonts w:hint="eastAsia" w:hAnsi="宋体" w:cs="宋体"/>
          <w:color w:val="000000"/>
          <w:highlight w:val="none"/>
        </w:rPr>
        <w:t>（签字）</w:t>
      </w:r>
      <w:r>
        <w:rPr>
          <w:color w:val="000000"/>
          <w:highlight w:val="none"/>
        </w:rPr>
        <w:t xml:space="preserve">                                     </w:t>
      </w:r>
      <w:r>
        <w:rPr>
          <w:rFonts w:hint="eastAsia" w:hAnsi="宋体" w:cs="宋体"/>
          <w:color w:val="000000"/>
          <w:highlight w:val="none"/>
        </w:rPr>
        <w:t>（签字）</w:t>
      </w:r>
    </w:p>
    <w:p w14:paraId="701F9532">
      <w:pPr>
        <w:pStyle w:val="31"/>
        <w:keepNext w:val="0"/>
        <w:keepLines w:val="0"/>
        <w:pageBreakBefore w:val="0"/>
        <w:widowControl w:val="0"/>
        <w:kinsoku/>
        <w:wordWrap/>
        <w:overflowPunct/>
        <w:topLinePunct w:val="0"/>
        <w:bidi w:val="0"/>
        <w:snapToGrid/>
        <w:spacing w:line="360" w:lineRule="auto"/>
        <w:textAlignment w:val="auto"/>
        <w:rPr>
          <w:color w:val="000000"/>
          <w:highlight w:val="none"/>
          <w:u w:val="single"/>
        </w:rPr>
      </w:pPr>
    </w:p>
    <w:p w14:paraId="1092B38A">
      <w:pPr>
        <w:pStyle w:val="31"/>
        <w:keepNext w:val="0"/>
        <w:keepLines w:val="0"/>
        <w:pageBreakBefore w:val="0"/>
        <w:widowControl w:val="0"/>
        <w:tabs>
          <w:tab w:val="left" w:pos="4410"/>
        </w:tabs>
        <w:kinsoku/>
        <w:wordWrap/>
        <w:overflowPunct/>
        <w:topLinePunct w:val="0"/>
        <w:bidi w:val="0"/>
        <w:snapToGrid/>
        <w:spacing w:line="360" w:lineRule="auto"/>
        <w:textAlignment w:val="auto"/>
        <w:rPr>
          <w:color w:val="000000"/>
          <w:highlight w:val="none"/>
        </w:rPr>
      </w:pPr>
      <w:r>
        <w:rPr>
          <w:rFonts w:hint="eastAsia" w:hAnsi="宋体" w:cs="宋体"/>
          <w:color w:val="000000"/>
          <w:highlight w:val="none"/>
        </w:rPr>
        <w:t>统一社会信用代码：</w:t>
      </w:r>
      <w:r>
        <w:rPr>
          <w:color w:val="000000"/>
          <w:highlight w:val="none"/>
          <w:u w:val="single"/>
        </w:rPr>
        <w:t>12450000498500618J</w:t>
      </w:r>
      <w:r>
        <w:rPr>
          <w:color w:val="000000"/>
          <w:highlight w:val="none"/>
        </w:rPr>
        <w:t xml:space="preserve">        </w:t>
      </w:r>
      <w:r>
        <w:rPr>
          <w:rFonts w:hint="eastAsia" w:cs="宋体"/>
          <w:color w:val="000000"/>
          <w:highlight w:val="none"/>
        </w:rPr>
        <w:t>统一</w:t>
      </w:r>
      <w:r>
        <w:rPr>
          <w:rFonts w:hint="eastAsia" w:hAnsi="宋体" w:cs="宋体"/>
          <w:color w:val="000000"/>
          <w:highlight w:val="none"/>
        </w:rPr>
        <w:t>社会信用代码：</w:t>
      </w:r>
      <w:r>
        <w:rPr>
          <w:rFonts w:hint="eastAsia"/>
          <w:color w:val="auto"/>
          <w:highlight w:val="none"/>
          <w:u w:val="single"/>
          <w:lang w:val="en-US" w:eastAsia="zh-CN"/>
        </w:rPr>
        <w:t xml:space="preserve">                   </w:t>
      </w:r>
      <w:r>
        <w:rPr>
          <w:color w:val="000000"/>
          <w:highlight w:val="none"/>
        </w:rPr>
        <w:t xml:space="preserve"> </w:t>
      </w:r>
    </w:p>
    <w:p w14:paraId="038CA0C7">
      <w:pPr>
        <w:pStyle w:val="31"/>
        <w:keepNext w:val="0"/>
        <w:keepLines w:val="0"/>
        <w:pageBreakBefore w:val="0"/>
        <w:widowControl w:val="0"/>
        <w:kinsoku/>
        <w:wordWrap/>
        <w:overflowPunct/>
        <w:topLinePunct w:val="0"/>
        <w:bidi w:val="0"/>
        <w:snapToGrid/>
        <w:spacing w:line="360" w:lineRule="auto"/>
        <w:ind w:left="5250" w:hanging="5250" w:hangingChars="2500"/>
        <w:textAlignment w:val="auto"/>
        <w:rPr>
          <w:rFonts w:hint="eastAsia" w:eastAsia="宋体"/>
          <w:color w:val="000000"/>
          <w:highlight w:val="none"/>
          <w:lang w:val="en-US" w:eastAsia="zh-CN"/>
        </w:rPr>
      </w:pPr>
      <w:r>
        <w:rPr>
          <w:rFonts w:hint="eastAsia" w:hAnsi="宋体" w:cs="宋体"/>
          <w:color w:val="000000"/>
          <w:highlight w:val="none"/>
          <w:lang w:eastAsia="zh-Hans"/>
        </w:rPr>
        <w:t>联系</w:t>
      </w:r>
      <w:r>
        <w:rPr>
          <w:rFonts w:hint="eastAsia" w:hAnsi="宋体" w:cs="宋体"/>
          <w:color w:val="000000"/>
          <w:highlight w:val="none"/>
        </w:rPr>
        <w:t>地址：</w:t>
      </w:r>
      <w:r>
        <w:rPr>
          <w:rFonts w:hint="eastAsia"/>
          <w:color w:val="000000"/>
          <w:highlight w:val="none"/>
          <w:u w:val="single"/>
        </w:rPr>
        <w:t>广西南宁市桃源路6号</w:t>
      </w:r>
      <w:r>
        <w:rPr>
          <w:color w:val="000000"/>
          <w:highlight w:val="none"/>
        </w:rPr>
        <w:t xml:space="preserve">            </w:t>
      </w:r>
      <w:r>
        <w:rPr>
          <w:rFonts w:hint="eastAsia"/>
          <w:color w:val="000000"/>
          <w:highlight w:val="none"/>
          <w:lang w:val="en-US" w:eastAsia="zh-CN"/>
        </w:rPr>
        <w:t xml:space="preserve">  </w:t>
      </w:r>
      <w:r>
        <w:rPr>
          <w:rFonts w:hint="eastAsia"/>
          <w:color w:val="000000"/>
          <w:highlight w:val="none"/>
          <w:lang w:eastAsia="zh-Hans"/>
        </w:rPr>
        <w:t>联系</w:t>
      </w:r>
      <w:r>
        <w:rPr>
          <w:rFonts w:hint="eastAsia" w:hAnsi="宋体" w:cs="宋体"/>
          <w:color w:val="000000"/>
          <w:highlight w:val="none"/>
        </w:rPr>
        <w:t>地址：</w:t>
      </w:r>
      <w:r>
        <w:rPr>
          <w:color w:val="000000"/>
          <w:highlight w:val="none"/>
          <w:u w:val="single"/>
        </w:rPr>
        <w:t xml:space="preserve"> </w:t>
      </w:r>
      <w:r>
        <w:rPr>
          <w:rFonts w:hint="eastAsia"/>
          <w:color w:val="auto"/>
          <w:highlight w:val="none"/>
          <w:u w:val="single"/>
          <w:lang w:val="en-US" w:eastAsia="zh-CN"/>
        </w:rPr>
        <w:t xml:space="preserve"> </w:t>
      </w:r>
    </w:p>
    <w:p w14:paraId="09B0AD63">
      <w:pPr>
        <w:pStyle w:val="31"/>
        <w:keepNext w:val="0"/>
        <w:keepLines w:val="0"/>
        <w:pageBreakBefore w:val="0"/>
        <w:widowControl w:val="0"/>
        <w:kinsoku/>
        <w:wordWrap/>
        <w:overflowPunct/>
        <w:topLinePunct w:val="0"/>
        <w:bidi w:val="0"/>
        <w:snapToGrid/>
        <w:spacing w:line="360" w:lineRule="auto"/>
        <w:textAlignment w:val="auto"/>
        <w:rPr>
          <w:color w:val="000000"/>
          <w:highlight w:val="none"/>
        </w:rPr>
      </w:pPr>
      <w:r>
        <w:rPr>
          <w:rFonts w:hint="eastAsia" w:hAnsi="宋体" w:cs="宋体"/>
          <w:color w:val="000000"/>
          <w:highlight w:val="none"/>
        </w:rPr>
        <w:t>邮政编码：</w:t>
      </w:r>
      <w:r>
        <w:rPr>
          <w:color w:val="000000"/>
          <w:highlight w:val="none"/>
          <w:u w:val="single"/>
        </w:rPr>
        <w:t>530000</w:t>
      </w:r>
      <w:r>
        <w:rPr>
          <w:color w:val="000000"/>
          <w:highlight w:val="none"/>
        </w:rPr>
        <w:t xml:space="preserve">                  </w:t>
      </w:r>
      <w:r>
        <w:rPr>
          <w:rFonts w:hint="eastAsia"/>
          <w:color w:val="000000"/>
          <w:highlight w:val="none"/>
        </w:rPr>
        <w:t xml:space="preserve">         </w:t>
      </w:r>
      <w:r>
        <w:rPr>
          <w:rFonts w:hint="eastAsia"/>
          <w:color w:val="000000"/>
          <w:highlight w:val="none"/>
          <w:lang w:val="en-US" w:eastAsia="zh-CN"/>
        </w:rPr>
        <w:t xml:space="preserve">   </w:t>
      </w:r>
      <w:r>
        <w:rPr>
          <w:rFonts w:hint="eastAsia"/>
          <w:color w:val="000000"/>
          <w:highlight w:val="none"/>
        </w:rPr>
        <w:t xml:space="preserve"> </w:t>
      </w:r>
      <w:r>
        <w:rPr>
          <w:rFonts w:hint="eastAsia" w:hAnsi="宋体" w:cs="宋体"/>
          <w:color w:val="000000"/>
          <w:highlight w:val="none"/>
        </w:rPr>
        <w:t>邮政编码：</w:t>
      </w:r>
      <w:r>
        <w:rPr>
          <w:color w:val="000000"/>
          <w:highlight w:val="none"/>
          <w:u w:val="single"/>
        </w:rPr>
        <w:t xml:space="preserve">  </w:t>
      </w:r>
      <w:r>
        <w:rPr>
          <w:rFonts w:hint="eastAsia"/>
          <w:color w:val="000000"/>
          <w:highlight w:val="none"/>
          <w:u w:val="single"/>
          <w:lang w:val="en-US" w:eastAsia="zh-CN"/>
        </w:rPr>
        <w:t xml:space="preserve"> </w:t>
      </w:r>
      <w:r>
        <w:rPr>
          <w:color w:val="000000"/>
          <w:highlight w:val="none"/>
          <w:u w:val="single"/>
        </w:rPr>
        <w:t xml:space="preserve">         </w:t>
      </w:r>
    </w:p>
    <w:p w14:paraId="535C4778">
      <w:pPr>
        <w:pStyle w:val="31"/>
        <w:keepNext w:val="0"/>
        <w:keepLines w:val="0"/>
        <w:pageBreakBefore w:val="0"/>
        <w:widowControl w:val="0"/>
        <w:kinsoku/>
        <w:wordWrap/>
        <w:overflowPunct/>
        <w:topLinePunct w:val="0"/>
        <w:bidi w:val="0"/>
        <w:snapToGrid/>
        <w:spacing w:line="360" w:lineRule="auto"/>
        <w:textAlignment w:val="auto"/>
        <w:rPr>
          <w:color w:val="000000"/>
          <w:highlight w:val="none"/>
        </w:rPr>
      </w:pPr>
      <w:r>
        <w:rPr>
          <w:rFonts w:hint="eastAsia" w:hAnsi="宋体" w:cs="宋体"/>
          <w:color w:val="000000"/>
          <w:highlight w:val="none"/>
        </w:rPr>
        <w:t>法定代表人：</w:t>
      </w:r>
      <w:r>
        <w:rPr>
          <w:color w:val="000000"/>
          <w:highlight w:val="none"/>
          <w:u w:val="single"/>
        </w:rPr>
        <w:t xml:space="preserve">                 </w:t>
      </w:r>
      <w:r>
        <w:rPr>
          <w:color w:val="000000"/>
          <w:highlight w:val="none"/>
        </w:rPr>
        <w:t xml:space="preserve">                  </w:t>
      </w:r>
      <w:r>
        <w:rPr>
          <w:rFonts w:hint="eastAsia" w:hAnsi="宋体" w:cs="宋体"/>
          <w:color w:val="000000"/>
          <w:highlight w:val="none"/>
        </w:rPr>
        <w:t>法定代表人：</w:t>
      </w:r>
      <w:r>
        <w:rPr>
          <w:color w:val="000000"/>
          <w:highlight w:val="none"/>
          <w:u w:val="single"/>
        </w:rPr>
        <w:t xml:space="preserve"> </w:t>
      </w:r>
      <w:r>
        <w:rPr>
          <w:rFonts w:hint="eastAsia"/>
          <w:color w:val="000000"/>
          <w:highlight w:val="none"/>
          <w:u w:val="single"/>
          <w:lang w:val="en-US" w:eastAsia="zh-CN"/>
        </w:rPr>
        <w:t xml:space="preserve">   </w:t>
      </w:r>
      <w:r>
        <w:rPr>
          <w:color w:val="000000"/>
          <w:highlight w:val="none"/>
          <w:u w:val="single"/>
        </w:rPr>
        <w:t xml:space="preserve">         </w:t>
      </w:r>
    </w:p>
    <w:p w14:paraId="752BA411">
      <w:pPr>
        <w:pStyle w:val="31"/>
        <w:keepNext w:val="0"/>
        <w:keepLines w:val="0"/>
        <w:pageBreakBefore w:val="0"/>
        <w:widowControl w:val="0"/>
        <w:kinsoku/>
        <w:wordWrap/>
        <w:overflowPunct/>
        <w:topLinePunct w:val="0"/>
        <w:bidi w:val="0"/>
        <w:snapToGrid/>
        <w:spacing w:line="360" w:lineRule="auto"/>
        <w:textAlignment w:val="auto"/>
        <w:rPr>
          <w:rFonts w:hint="eastAsia"/>
          <w:color w:val="000000"/>
          <w:highlight w:val="none"/>
          <w:u w:val="single"/>
          <w:lang w:val="en-US" w:eastAsia="zh-CN"/>
        </w:rPr>
      </w:pPr>
      <w:r>
        <w:rPr>
          <w:rFonts w:hint="eastAsia" w:hAnsi="宋体" w:cs="宋体"/>
          <w:color w:val="000000"/>
          <w:highlight w:val="none"/>
        </w:rPr>
        <w:t>委托代理人：</w:t>
      </w:r>
      <w:r>
        <w:rPr>
          <w:color w:val="000000"/>
          <w:highlight w:val="none"/>
          <w:u w:val="single"/>
        </w:rPr>
        <w:t xml:space="preserve">                 </w:t>
      </w:r>
      <w:r>
        <w:rPr>
          <w:color w:val="000000"/>
          <w:highlight w:val="none"/>
        </w:rPr>
        <w:t xml:space="preserve">                  </w:t>
      </w:r>
      <w:r>
        <w:rPr>
          <w:rFonts w:hint="eastAsia" w:hAnsi="宋体" w:cs="宋体"/>
          <w:color w:val="000000"/>
          <w:highlight w:val="none"/>
        </w:rPr>
        <w:t>委托代理人：</w:t>
      </w:r>
      <w:r>
        <w:rPr>
          <w:color w:val="000000"/>
          <w:highlight w:val="none"/>
          <w:u w:val="single"/>
        </w:rPr>
        <w:t xml:space="preserve">  </w:t>
      </w:r>
      <w:r>
        <w:rPr>
          <w:rFonts w:hint="eastAsia"/>
          <w:color w:val="000000"/>
          <w:highlight w:val="none"/>
          <w:u w:val="single"/>
          <w:lang w:val="en-US" w:eastAsia="zh-CN"/>
        </w:rPr>
        <w:t xml:space="preserve">  </w:t>
      </w:r>
      <w:r>
        <w:rPr>
          <w:color w:val="000000"/>
          <w:highlight w:val="none"/>
          <w:u w:val="single"/>
        </w:rPr>
        <w:t xml:space="preserve">          </w:t>
      </w:r>
      <w:r>
        <w:rPr>
          <w:rFonts w:hint="eastAsia"/>
          <w:color w:val="000000"/>
          <w:highlight w:val="none"/>
          <w:u w:val="single"/>
          <w:lang w:val="en-US" w:eastAsia="zh-CN"/>
        </w:rPr>
        <w:t xml:space="preserve"> </w:t>
      </w:r>
    </w:p>
    <w:p w14:paraId="2EEDF689">
      <w:pPr>
        <w:pStyle w:val="31"/>
        <w:keepNext w:val="0"/>
        <w:keepLines w:val="0"/>
        <w:pageBreakBefore w:val="0"/>
        <w:widowControl w:val="0"/>
        <w:kinsoku/>
        <w:wordWrap/>
        <w:overflowPunct/>
        <w:topLinePunct w:val="0"/>
        <w:bidi w:val="0"/>
        <w:snapToGrid/>
        <w:spacing w:line="360" w:lineRule="auto"/>
        <w:textAlignment w:val="auto"/>
        <w:rPr>
          <w:rFonts w:hAnsi="宋体" w:cs="宋体"/>
          <w:color w:val="000000"/>
          <w:highlight w:val="none"/>
          <w:lang w:eastAsia="zh-Hans"/>
        </w:rPr>
      </w:pPr>
      <w:r>
        <w:rPr>
          <w:rFonts w:hint="eastAsia" w:hAnsi="宋体" w:cs="宋体"/>
          <w:color w:val="000000"/>
          <w:highlight w:val="none"/>
          <w:lang w:eastAsia="zh-Hans"/>
        </w:rPr>
        <w:t>联系人：</w:t>
      </w:r>
      <w:r>
        <w:rPr>
          <w:rFonts w:hAnsi="宋体" w:cs="宋体"/>
          <w:color w:val="000000"/>
          <w:highlight w:val="none"/>
          <w:lang w:eastAsia="zh-Hans"/>
        </w:rPr>
        <w:t xml:space="preserve">                                       </w:t>
      </w:r>
      <w:r>
        <w:rPr>
          <w:rFonts w:hint="eastAsia" w:hAnsi="宋体" w:cs="宋体"/>
          <w:color w:val="000000"/>
          <w:highlight w:val="none"/>
          <w:lang w:eastAsia="zh-Hans"/>
        </w:rPr>
        <w:t>联系人：</w:t>
      </w:r>
      <w:r>
        <w:rPr>
          <w:color w:val="000000"/>
          <w:highlight w:val="none"/>
          <w:u w:val="single"/>
        </w:rPr>
        <w:t xml:space="preserve">    </w:t>
      </w:r>
      <w:r>
        <w:rPr>
          <w:rFonts w:hint="eastAsia"/>
          <w:color w:val="000000"/>
          <w:highlight w:val="none"/>
          <w:u w:val="single"/>
          <w:lang w:val="en-US" w:eastAsia="zh-CN"/>
        </w:rPr>
        <w:t xml:space="preserve">  </w:t>
      </w:r>
      <w:r>
        <w:rPr>
          <w:color w:val="000000"/>
          <w:highlight w:val="none"/>
          <w:u w:val="single"/>
        </w:rPr>
        <w:t xml:space="preserve">         </w:t>
      </w:r>
    </w:p>
    <w:p w14:paraId="5AB9F5B1">
      <w:pPr>
        <w:pStyle w:val="31"/>
        <w:keepNext w:val="0"/>
        <w:keepLines w:val="0"/>
        <w:pageBreakBefore w:val="0"/>
        <w:widowControl w:val="0"/>
        <w:kinsoku/>
        <w:wordWrap/>
        <w:overflowPunct/>
        <w:topLinePunct w:val="0"/>
        <w:bidi w:val="0"/>
        <w:snapToGrid/>
        <w:spacing w:line="360" w:lineRule="auto"/>
        <w:textAlignment w:val="auto"/>
        <w:rPr>
          <w:color w:val="000000"/>
          <w:highlight w:val="none"/>
        </w:rPr>
      </w:pPr>
      <w:r>
        <w:rPr>
          <w:rFonts w:hint="eastAsia" w:hAnsi="宋体" w:cs="宋体"/>
          <w:color w:val="000000"/>
          <w:highlight w:val="none"/>
        </w:rPr>
        <w:t>电</w:t>
      </w:r>
      <w:r>
        <w:rPr>
          <w:color w:val="000000"/>
          <w:highlight w:val="none"/>
        </w:rPr>
        <w:t xml:space="preserve">  </w:t>
      </w:r>
      <w:r>
        <w:rPr>
          <w:rFonts w:hint="eastAsia" w:hAnsi="宋体" w:cs="宋体"/>
          <w:color w:val="000000"/>
          <w:highlight w:val="none"/>
        </w:rPr>
        <w:t>话：</w:t>
      </w:r>
      <w:r>
        <w:rPr>
          <w:color w:val="000000"/>
          <w:highlight w:val="none"/>
          <w:u w:val="single"/>
        </w:rPr>
        <w:t xml:space="preserve">  </w:t>
      </w:r>
      <w:r>
        <w:rPr>
          <w:rFonts w:hint="eastAsia"/>
          <w:color w:val="000000"/>
          <w:highlight w:val="none"/>
          <w:u w:val="single"/>
          <w:lang w:val="en-US" w:eastAsia="zh-CN"/>
        </w:rPr>
        <w:t>0771-2186869</w:t>
      </w:r>
      <w:r>
        <w:rPr>
          <w:color w:val="000000"/>
          <w:highlight w:val="none"/>
          <w:u w:val="single"/>
        </w:rPr>
        <w:t xml:space="preserve"> </w:t>
      </w:r>
      <w:r>
        <w:rPr>
          <w:color w:val="000000"/>
          <w:highlight w:val="none"/>
        </w:rPr>
        <w:t xml:space="preserve">               </w:t>
      </w:r>
      <w:r>
        <w:rPr>
          <w:rFonts w:hint="eastAsia"/>
          <w:color w:val="000000"/>
          <w:highlight w:val="none"/>
          <w:lang w:val="en-US" w:eastAsia="zh-CN"/>
        </w:rPr>
        <w:t xml:space="preserve">  </w:t>
      </w:r>
      <w:r>
        <w:rPr>
          <w:color w:val="000000"/>
          <w:highlight w:val="none"/>
        </w:rPr>
        <w:t xml:space="preserve"> </w:t>
      </w:r>
      <w:r>
        <w:rPr>
          <w:rFonts w:hint="eastAsia"/>
          <w:color w:val="000000"/>
          <w:highlight w:val="none"/>
          <w:lang w:val="en-US" w:eastAsia="zh-CN"/>
        </w:rPr>
        <w:t xml:space="preserve">      </w:t>
      </w:r>
      <w:r>
        <w:rPr>
          <w:color w:val="000000"/>
          <w:highlight w:val="none"/>
        </w:rPr>
        <w:t xml:space="preserve"> </w:t>
      </w:r>
      <w:r>
        <w:rPr>
          <w:rFonts w:hint="eastAsia" w:hAnsi="宋体" w:cs="宋体"/>
          <w:color w:val="000000"/>
          <w:highlight w:val="none"/>
        </w:rPr>
        <w:t>电</w:t>
      </w:r>
      <w:r>
        <w:rPr>
          <w:color w:val="000000"/>
          <w:highlight w:val="none"/>
        </w:rPr>
        <w:t xml:space="preserve">  </w:t>
      </w:r>
      <w:r>
        <w:rPr>
          <w:rFonts w:hint="eastAsia" w:hAnsi="宋体" w:cs="宋体"/>
          <w:color w:val="000000"/>
          <w:highlight w:val="none"/>
        </w:rPr>
        <w:t>话：</w:t>
      </w:r>
      <w:r>
        <w:rPr>
          <w:color w:val="000000"/>
          <w:highlight w:val="none"/>
          <w:u w:val="single"/>
        </w:rPr>
        <w:t xml:space="preserve"> </w:t>
      </w:r>
      <w:r>
        <w:rPr>
          <w:rFonts w:hint="eastAsia"/>
          <w:color w:val="000000"/>
          <w:highlight w:val="none"/>
          <w:u w:val="single"/>
          <w:lang w:val="en-US" w:eastAsia="zh-CN"/>
        </w:rPr>
        <w:t xml:space="preserve"> </w:t>
      </w:r>
      <w:r>
        <w:rPr>
          <w:color w:val="000000"/>
          <w:highlight w:val="none"/>
          <w:u w:val="single"/>
        </w:rPr>
        <w:t xml:space="preserve">            </w:t>
      </w:r>
    </w:p>
    <w:p w14:paraId="7F618173">
      <w:pPr>
        <w:pStyle w:val="31"/>
        <w:keepNext w:val="0"/>
        <w:keepLines w:val="0"/>
        <w:pageBreakBefore w:val="0"/>
        <w:widowControl w:val="0"/>
        <w:kinsoku/>
        <w:wordWrap/>
        <w:overflowPunct/>
        <w:topLinePunct w:val="0"/>
        <w:bidi w:val="0"/>
        <w:snapToGrid/>
        <w:spacing w:line="360" w:lineRule="auto"/>
        <w:textAlignment w:val="auto"/>
        <w:rPr>
          <w:color w:val="000000"/>
          <w:highlight w:val="none"/>
        </w:rPr>
      </w:pPr>
      <w:r>
        <w:rPr>
          <w:rFonts w:hint="eastAsia" w:hAnsi="宋体" w:cs="宋体"/>
          <w:color w:val="000000"/>
          <w:highlight w:val="none"/>
        </w:rPr>
        <w:t>传</w:t>
      </w:r>
      <w:r>
        <w:rPr>
          <w:color w:val="000000"/>
          <w:highlight w:val="none"/>
        </w:rPr>
        <w:t xml:space="preserve">  </w:t>
      </w:r>
      <w:r>
        <w:rPr>
          <w:rFonts w:hint="eastAsia" w:hAnsi="宋体" w:cs="宋体"/>
          <w:color w:val="000000"/>
          <w:highlight w:val="none"/>
        </w:rPr>
        <w:t>真：</w:t>
      </w:r>
      <w:r>
        <w:rPr>
          <w:color w:val="000000"/>
          <w:highlight w:val="none"/>
          <w:u w:val="single"/>
        </w:rPr>
        <w:t xml:space="preserve">        </w:t>
      </w:r>
      <w:r>
        <w:rPr>
          <w:rFonts w:hint="eastAsia"/>
          <w:color w:val="000000"/>
          <w:highlight w:val="none"/>
          <w:u w:val="single"/>
          <w:lang w:val="en-US" w:eastAsia="zh-CN"/>
        </w:rPr>
        <w:t>\</w:t>
      </w:r>
      <w:r>
        <w:rPr>
          <w:color w:val="000000"/>
          <w:highlight w:val="none"/>
          <w:u w:val="single"/>
        </w:rPr>
        <w:t xml:space="preserve">     </w:t>
      </w:r>
      <w:r>
        <w:rPr>
          <w:color w:val="000000"/>
          <w:highlight w:val="none"/>
        </w:rPr>
        <w:t xml:space="preserve">                 </w:t>
      </w:r>
      <w:r>
        <w:rPr>
          <w:rFonts w:hint="eastAsia"/>
          <w:color w:val="000000"/>
          <w:highlight w:val="none"/>
          <w:lang w:val="en-US" w:eastAsia="zh-CN"/>
        </w:rPr>
        <w:t xml:space="preserve">        </w:t>
      </w:r>
      <w:r>
        <w:rPr>
          <w:rFonts w:hint="eastAsia" w:hAnsi="宋体" w:cs="宋体"/>
          <w:color w:val="000000"/>
          <w:highlight w:val="none"/>
        </w:rPr>
        <w:t>传</w:t>
      </w:r>
      <w:r>
        <w:rPr>
          <w:color w:val="000000"/>
          <w:highlight w:val="none"/>
        </w:rPr>
        <w:t xml:space="preserve">  </w:t>
      </w:r>
      <w:r>
        <w:rPr>
          <w:rFonts w:hint="eastAsia" w:hAnsi="宋体" w:cs="宋体"/>
          <w:color w:val="000000"/>
          <w:highlight w:val="none"/>
        </w:rPr>
        <w:t>真：</w:t>
      </w:r>
      <w:r>
        <w:rPr>
          <w:color w:val="000000"/>
          <w:highlight w:val="none"/>
          <w:u w:val="single"/>
        </w:rPr>
        <w:t xml:space="preserve"> </w:t>
      </w:r>
      <w:r>
        <w:rPr>
          <w:rFonts w:hint="eastAsia"/>
          <w:color w:val="000000"/>
          <w:highlight w:val="none"/>
          <w:u w:val="single"/>
          <w:lang w:val="en-US" w:eastAsia="zh-CN"/>
        </w:rPr>
        <w:t xml:space="preserve"> </w:t>
      </w:r>
      <w:r>
        <w:rPr>
          <w:color w:val="000000"/>
          <w:highlight w:val="none"/>
          <w:u w:val="single"/>
        </w:rPr>
        <w:t xml:space="preserve">               </w:t>
      </w:r>
    </w:p>
    <w:p w14:paraId="7BF3F071">
      <w:pPr>
        <w:pStyle w:val="31"/>
        <w:keepNext w:val="0"/>
        <w:keepLines w:val="0"/>
        <w:pageBreakBefore w:val="0"/>
        <w:widowControl w:val="0"/>
        <w:kinsoku/>
        <w:wordWrap/>
        <w:overflowPunct/>
        <w:topLinePunct w:val="0"/>
        <w:bidi w:val="0"/>
        <w:snapToGrid/>
        <w:spacing w:line="360" w:lineRule="auto"/>
        <w:textAlignment w:val="auto"/>
        <w:rPr>
          <w:color w:val="000000"/>
          <w:highlight w:val="none"/>
          <w:u w:val="single"/>
        </w:rPr>
      </w:pPr>
      <w:r>
        <w:rPr>
          <w:rFonts w:hint="eastAsia" w:hAnsi="宋体" w:cs="宋体"/>
          <w:color w:val="000000"/>
          <w:highlight w:val="none"/>
        </w:rPr>
        <w:t>电子信箱：</w:t>
      </w:r>
      <w:r>
        <w:rPr>
          <w:color w:val="000000"/>
          <w:highlight w:val="none"/>
          <w:u w:val="single"/>
        </w:rPr>
        <w:t xml:space="preserve">     </w:t>
      </w:r>
      <w:r>
        <w:rPr>
          <w:rFonts w:hint="eastAsia"/>
          <w:color w:val="000000"/>
          <w:highlight w:val="none"/>
          <w:u w:val="single"/>
          <w:lang w:val="en-US" w:eastAsia="zh-CN"/>
        </w:rPr>
        <w:t>\</w:t>
      </w:r>
      <w:r>
        <w:rPr>
          <w:color w:val="000000"/>
          <w:highlight w:val="none"/>
          <w:u w:val="single"/>
        </w:rPr>
        <w:t xml:space="preserve">     </w:t>
      </w:r>
      <w:r>
        <w:rPr>
          <w:color w:val="000000"/>
          <w:highlight w:val="none"/>
        </w:rPr>
        <w:t xml:space="preserve">                  </w:t>
      </w:r>
      <w:r>
        <w:rPr>
          <w:rFonts w:hint="eastAsia"/>
          <w:color w:val="000000"/>
          <w:highlight w:val="none"/>
          <w:lang w:val="en-US" w:eastAsia="zh-CN"/>
        </w:rPr>
        <w:t xml:space="preserve">          </w:t>
      </w:r>
      <w:r>
        <w:rPr>
          <w:rFonts w:hint="eastAsia" w:hAnsi="宋体" w:cs="宋体"/>
          <w:color w:val="000000"/>
          <w:highlight w:val="none"/>
        </w:rPr>
        <w:t>电子信箱：</w:t>
      </w:r>
      <w:r>
        <w:rPr>
          <w:color w:val="000000"/>
          <w:highlight w:val="none"/>
          <w:u w:val="single"/>
        </w:rPr>
        <w:t xml:space="preserve"> </w:t>
      </w:r>
      <w:r>
        <w:rPr>
          <w:rFonts w:hint="eastAsia"/>
          <w:color w:val="000000"/>
          <w:highlight w:val="none"/>
          <w:u w:val="single"/>
          <w:lang w:val="en-US" w:eastAsia="zh-CN"/>
        </w:rPr>
        <w:t xml:space="preserve"> </w:t>
      </w:r>
      <w:r>
        <w:rPr>
          <w:color w:val="000000"/>
          <w:highlight w:val="none"/>
          <w:u w:val="single"/>
        </w:rPr>
        <w:t xml:space="preserve">      </w:t>
      </w:r>
    </w:p>
    <w:p w14:paraId="0D762313">
      <w:pPr>
        <w:pStyle w:val="31"/>
        <w:keepNext w:val="0"/>
        <w:keepLines w:val="0"/>
        <w:pageBreakBefore w:val="0"/>
        <w:widowControl w:val="0"/>
        <w:kinsoku/>
        <w:wordWrap/>
        <w:overflowPunct/>
        <w:topLinePunct w:val="0"/>
        <w:bidi w:val="0"/>
        <w:snapToGrid/>
        <w:spacing w:line="360" w:lineRule="auto"/>
        <w:textAlignment w:val="auto"/>
        <w:rPr>
          <w:color w:val="000000"/>
          <w:highlight w:val="none"/>
        </w:rPr>
      </w:pPr>
      <w:r>
        <w:rPr>
          <w:rFonts w:hint="eastAsia" w:hAnsi="宋体" w:cs="宋体"/>
          <w:color w:val="000000"/>
          <w:highlight w:val="none"/>
        </w:rPr>
        <w:t>开户银行：</w:t>
      </w:r>
      <w:r>
        <w:rPr>
          <w:rFonts w:hint="eastAsia"/>
          <w:color w:val="000000"/>
          <w:highlight w:val="none"/>
          <w:u w:val="single"/>
        </w:rPr>
        <w:t>中国银行南宁桃源路支行</w:t>
      </w:r>
      <w:r>
        <w:rPr>
          <w:color w:val="000000"/>
          <w:highlight w:val="none"/>
          <w:u w:val="single"/>
        </w:rPr>
        <w:t xml:space="preserve"> </w:t>
      </w:r>
      <w:r>
        <w:rPr>
          <w:color w:val="000000"/>
          <w:highlight w:val="none"/>
        </w:rPr>
        <w:t xml:space="preserve">              </w:t>
      </w:r>
      <w:r>
        <w:rPr>
          <w:rFonts w:hint="eastAsia" w:hAnsi="宋体" w:cs="宋体"/>
          <w:color w:val="000000"/>
          <w:highlight w:val="none"/>
        </w:rPr>
        <w:t>开户银行：</w:t>
      </w:r>
      <w:r>
        <w:rPr>
          <w:color w:val="000000"/>
          <w:highlight w:val="none"/>
          <w:u w:val="single"/>
        </w:rPr>
        <w:t xml:space="preserve"> </w:t>
      </w:r>
      <w:r>
        <w:rPr>
          <w:rFonts w:hint="eastAsia"/>
          <w:color w:val="auto"/>
          <w:highlight w:val="none"/>
          <w:u w:val="single"/>
          <w:lang w:val="en-US" w:eastAsia="zh-CN"/>
        </w:rPr>
        <w:t xml:space="preserve"> </w:t>
      </w:r>
      <w:r>
        <w:rPr>
          <w:color w:val="000000"/>
          <w:highlight w:val="none"/>
          <w:u w:val="single"/>
        </w:rPr>
        <w:t xml:space="preserve">       </w:t>
      </w:r>
    </w:p>
    <w:p w14:paraId="2F329904">
      <w:pPr>
        <w:pStyle w:val="31"/>
        <w:keepNext w:val="0"/>
        <w:keepLines w:val="0"/>
        <w:pageBreakBefore w:val="0"/>
        <w:widowControl w:val="0"/>
        <w:kinsoku/>
        <w:wordWrap/>
        <w:overflowPunct/>
        <w:topLinePunct w:val="0"/>
        <w:bidi w:val="0"/>
        <w:snapToGrid/>
        <w:spacing w:line="360" w:lineRule="auto"/>
        <w:textAlignment w:val="auto"/>
        <w:rPr>
          <w:color w:val="000000"/>
          <w:highlight w:val="none"/>
          <w:u w:val="single"/>
        </w:rPr>
      </w:pPr>
      <w:r>
        <w:rPr>
          <w:rFonts w:hint="eastAsia" w:hAnsi="宋体" w:cs="宋体"/>
          <w:color w:val="000000"/>
          <w:highlight w:val="none"/>
        </w:rPr>
        <w:t>账</w:t>
      </w:r>
      <w:r>
        <w:rPr>
          <w:color w:val="000000"/>
          <w:highlight w:val="none"/>
        </w:rPr>
        <w:t xml:space="preserve">  </w:t>
      </w:r>
      <w:r>
        <w:rPr>
          <w:rFonts w:hint="eastAsia" w:hAnsi="宋体" w:cs="宋体"/>
          <w:color w:val="000000"/>
          <w:highlight w:val="none"/>
        </w:rPr>
        <w:t>号：</w:t>
      </w:r>
      <w:r>
        <w:rPr>
          <w:color w:val="000000"/>
          <w:highlight w:val="none"/>
          <w:u w:val="single"/>
        </w:rPr>
        <w:t xml:space="preserve"> 6210 5748 5137</w:t>
      </w:r>
      <w:r>
        <w:rPr>
          <w:color w:val="000000"/>
          <w:highlight w:val="none"/>
        </w:rPr>
        <w:t xml:space="preserve">                  </w:t>
      </w:r>
      <w:r>
        <w:rPr>
          <w:rFonts w:hint="eastAsia"/>
          <w:color w:val="000000"/>
          <w:highlight w:val="none"/>
        </w:rPr>
        <w:t xml:space="preserve">       </w:t>
      </w:r>
      <w:r>
        <w:rPr>
          <w:rFonts w:hint="eastAsia" w:hAnsi="宋体" w:cs="宋体"/>
          <w:color w:val="000000"/>
          <w:highlight w:val="none"/>
        </w:rPr>
        <w:t>账</w:t>
      </w:r>
      <w:r>
        <w:rPr>
          <w:color w:val="000000"/>
          <w:highlight w:val="none"/>
        </w:rPr>
        <w:t xml:space="preserve">  </w:t>
      </w:r>
      <w:r>
        <w:rPr>
          <w:rFonts w:hint="eastAsia" w:hAnsi="宋体" w:cs="宋体"/>
          <w:color w:val="000000"/>
          <w:highlight w:val="none"/>
        </w:rPr>
        <w:t>号：</w:t>
      </w:r>
      <w:r>
        <w:rPr>
          <w:rFonts w:hint="eastAsia"/>
          <w:color w:val="000000"/>
          <w:highlight w:val="none"/>
          <w:u w:val="single"/>
          <w:lang w:val="en-US" w:eastAsia="zh-CN"/>
        </w:rPr>
        <w:t xml:space="preserve"> </w:t>
      </w:r>
      <w:r>
        <w:rPr>
          <w:color w:val="000000"/>
          <w:highlight w:val="none"/>
          <w:u w:val="single"/>
        </w:rPr>
        <w:t xml:space="preserve">     </w:t>
      </w:r>
    </w:p>
    <w:p w14:paraId="4CA5FBB5">
      <w:pPr>
        <w:pStyle w:val="31"/>
        <w:keepNext w:val="0"/>
        <w:keepLines w:val="0"/>
        <w:pageBreakBefore w:val="0"/>
        <w:widowControl w:val="0"/>
        <w:kinsoku/>
        <w:wordWrap/>
        <w:overflowPunct/>
        <w:topLinePunct w:val="0"/>
        <w:bidi w:val="0"/>
        <w:snapToGrid/>
        <w:spacing w:line="360" w:lineRule="auto"/>
        <w:textAlignment w:val="auto"/>
        <w:rPr>
          <w:rFonts w:hint="eastAsia"/>
          <w:color w:val="000080"/>
          <w:sz w:val="20"/>
          <w:highlight w:val="none"/>
        </w:rPr>
      </w:pPr>
    </w:p>
    <w:p w14:paraId="46E86158">
      <w:pPr>
        <w:widowControl/>
        <w:jc w:val="left"/>
        <w:rPr>
          <w:color w:val="000000"/>
          <w:highlight w:val="none"/>
          <w:u w:val="single"/>
        </w:rPr>
      </w:pPr>
      <w:r>
        <w:rPr>
          <w:color w:val="000000"/>
          <w:highlight w:val="none"/>
        </w:rPr>
        <w:br w:type="page"/>
      </w:r>
    </w:p>
    <w:p w14:paraId="5A54AED5">
      <w:pPr>
        <w:pStyle w:val="2"/>
        <w:jc w:val="center"/>
        <w:rPr>
          <w:color w:val="000000"/>
          <w:highlight w:val="none"/>
        </w:rPr>
      </w:pPr>
      <w:bookmarkStart w:id="241" w:name="_Toc6390"/>
      <w:bookmarkStart w:id="242" w:name="_Toc389065256"/>
      <w:bookmarkStart w:id="243" w:name="_Toc83895639"/>
      <w:bookmarkStart w:id="244" w:name="_Toc407135192"/>
      <w:bookmarkStart w:id="245" w:name="_Toc256000128"/>
      <w:bookmarkStart w:id="246" w:name="_Toc351203632"/>
      <w:bookmarkStart w:id="247" w:name="_Toc373478338"/>
      <w:bookmarkStart w:id="248" w:name="_Toc373227691"/>
      <w:r>
        <w:rPr>
          <w:rFonts w:hint="eastAsia" w:cs="黑体"/>
          <w:color w:val="000000"/>
          <w:highlight w:val="none"/>
        </w:rPr>
        <w:t>第二部分</w:t>
      </w:r>
      <w:r>
        <w:rPr>
          <w:color w:val="000000"/>
          <w:highlight w:val="none"/>
        </w:rPr>
        <w:t xml:space="preserve"> </w:t>
      </w:r>
      <w:r>
        <w:rPr>
          <w:rFonts w:hint="eastAsia" w:cs="黑体"/>
          <w:color w:val="000000"/>
          <w:highlight w:val="none"/>
        </w:rPr>
        <w:t>通用合同条款</w:t>
      </w:r>
      <w:bookmarkEnd w:id="241"/>
      <w:bookmarkEnd w:id="242"/>
      <w:bookmarkEnd w:id="243"/>
      <w:bookmarkEnd w:id="244"/>
      <w:bookmarkEnd w:id="245"/>
    </w:p>
    <w:p w14:paraId="5CC1B5C8">
      <w:pPr>
        <w:spacing w:line="360" w:lineRule="auto"/>
        <w:ind w:firstLine="420" w:firstLineChars="200"/>
        <w:rPr>
          <w:rFonts w:hAnsi="宋体"/>
          <w:color w:val="000000"/>
          <w:kern w:val="0"/>
          <w:highlight w:val="none"/>
        </w:rPr>
      </w:pPr>
    </w:p>
    <w:p w14:paraId="4A33B073">
      <w:pPr>
        <w:spacing w:line="360" w:lineRule="auto"/>
        <w:ind w:firstLine="422" w:firstLineChars="200"/>
        <w:rPr>
          <w:rFonts w:hAnsi="宋体"/>
          <w:b/>
          <w:bCs/>
          <w:color w:val="000000"/>
          <w:kern w:val="0"/>
          <w:highlight w:val="none"/>
        </w:rPr>
      </w:pPr>
      <w:bookmarkStart w:id="249" w:name="_Toc389065257"/>
      <w:bookmarkStart w:id="250" w:name="_Toc407135193"/>
      <w:bookmarkStart w:id="251" w:name="_Toc83895640"/>
      <w:bookmarkStart w:id="252" w:name="_Toc256000129"/>
      <w:r>
        <w:rPr>
          <w:rFonts w:hint="eastAsia" w:hAnsi="宋体" w:cs="宋体"/>
          <w:b/>
          <w:bCs/>
          <w:color w:val="000000"/>
          <w:kern w:val="0"/>
          <w:highlight w:val="none"/>
        </w:rPr>
        <w:t>采用《建设工程施工合同（示范文本）》（</w:t>
      </w:r>
      <w:r>
        <w:rPr>
          <w:rFonts w:hAnsi="宋体"/>
          <w:b/>
          <w:bCs/>
          <w:color w:val="000000"/>
          <w:kern w:val="0"/>
          <w:highlight w:val="none"/>
        </w:rPr>
        <w:t>GF</w:t>
      </w:r>
      <w:r>
        <w:rPr>
          <w:rFonts w:hAnsi="宋体" w:cs="宋体"/>
          <w:b/>
          <w:bCs/>
          <w:color w:val="000000"/>
          <w:kern w:val="0"/>
          <w:highlight w:val="none"/>
        </w:rPr>
        <w:t>—</w:t>
      </w:r>
      <w:r>
        <w:rPr>
          <w:rFonts w:hAnsi="宋体"/>
          <w:b/>
          <w:bCs/>
          <w:color w:val="000000"/>
          <w:kern w:val="0"/>
          <w:highlight w:val="none"/>
        </w:rPr>
        <w:t>201</w:t>
      </w:r>
      <w:r>
        <w:rPr>
          <w:rFonts w:hint="eastAsia" w:hAnsi="宋体"/>
          <w:b/>
          <w:bCs/>
          <w:color w:val="000000"/>
          <w:kern w:val="0"/>
          <w:highlight w:val="none"/>
        </w:rPr>
        <w:t>7</w:t>
      </w:r>
      <w:r>
        <w:rPr>
          <w:rFonts w:hAnsi="宋体" w:cs="宋体"/>
          <w:b/>
          <w:bCs/>
          <w:color w:val="000000"/>
          <w:kern w:val="0"/>
          <w:highlight w:val="none"/>
        </w:rPr>
        <w:t>—</w:t>
      </w:r>
      <w:r>
        <w:rPr>
          <w:rFonts w:hAnsi="宋体"/>
          <w:b/>
          <w:bCs/>
          <w:color w:val="000000"/>
          <w:kern w:val="0"/>
          <w:highlight w:val="none"/>
        </w:rPr>
        <w:t>0201</w:t>
      </w:r>
      <w:r>
        <w:rPr>
          <w:rFonts w:hint="eastAsia" w:hAnsi="宋体" w:cs="宋体"/>
          <w:b/>
          <w:bCs/>
          <w:color w:val="000000"/>
          <w:kern w:val="0"/>
          <w:highlight w:val="none"/>
        </w:rPr>
        <w:t>）。</w:t>
      </w:r>
    </w:p>
    <w:p w14:paraId="17B6A163">
      <w:pPr>
        <w:autoSpaceDE w:val="0"/>
        <w:autoSpaceDN w:val="0"/>
        <w:adjustRightInd w:val="0"/>
        <w:spacing w:line="360" w:lineRule="auto"/>
        <w:ind w:firstLine="420" w:firstLineChars="200"/>
        <w:jc w:val="center"/>
        <w:rPr>
          <w:rFonts w:hint="eastAsia" w:ascii="Times New Roman" w:hAnsi="Times New Roman" w:eastAsia="黑体" w:cs="黑体"/>
          <w:b/>
          <w:color w:val="000000"/>
          <w:kern w:val="44"/>
          <w:sz w:val="44"/>
          <w:szCs w:val="24"/>
          <w:highlight w:val="none"/>
          <w:lang w:val="en-US" w:eastAsia="zh-CN" w:bidi="ar-SA"/>
        </w:rPr>
      </w:pPr>
      <w:r>
        <w:rPr>
          <w:rFonts w:hint="eastAsia" w:ascii="宋体" w:hAnsi="宋体" w:cs="宋体"/>
          <w:color w:val="000000"/>
          <w:kern w:val="0"/>
          <w:szCs w:val="21"/>
          <w:highlight w:val="none"/>
        </w:rPr>
        <w:br w:type="page"/>
      </w:r>
      <w:r>
        <w:rPr>
          <w:rFonts w:hint="eastAsia" w:ascii="Times New Roman" w:hAnsi="Times New Roman" w:eastAsia="黑体" w:cs="黑体"/>
          <w:b/>
          <w:color w:val="000000"/>
          <w:kern w:val="44"/>
          <w:sz w:val="44"/>
          <w:szCs w:val="24"/>
          <w:highlight w:val="none"/>
          <w:lang w:val="zh-CN" w:eastAsia="zh-CN" w:bidi="ar-SA"/>
        </w:rPr>
        <w:t>第三部分 专用合同条款</w:t>
      </w:r>
      <w:bookmarkEnd w:id="246"/>
      <w:bookmarkEnd w:id="247"/>
      <w:bookmarkEnd w:id="248"/>
      <w:bookmarkEnd w:id="249"/>
      <w:bookmarkEnd w:id="250"/>
      <w:bookmarkEnd w:id="251"/>
      <w:bookmarkEnd w:id="252"/>
    </w:p>
    <w:p w14:paraId="00BCBB0D">
      <w:pPr>
        <w:spacing w:line="360" w:lineRule="auto"/>
        <w:jc w:val="center"/>
        <w:rPr>
          <w:rFonts w:hint="eastAsia" w:hAnsi="宋体" w:cs="宋体"/>
          <w:b/>
          <w:bCs/>
          <w:color w:val="000000"/>
          <w:kern w:val="0"/>
          <w:highlight w:val="none"/>
        </w:rPr>
      </w:pPr>
    </w:p>
    <w:p w14:paraId="1F8F64F8">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253" w:name="_Toc373227692"/>
      <w:bookmarkStart w:id="254" w:name="_Toc407135194"/>
      <w:bookmarkStart w:id="255" w:name="_Toc29301"/>
      <w:bookmarkStart w:id="256" w:name="_Toc389065258"/>
      <w:bookmarkStart w:id="257" w:name="_Toc78449780"/>
      <w:bookmarkStart w:id="258" w:name="_Toc351203633"/>
      <w:bookmarkStart w:id="259" w:name="_Toc1516097295"/>
      <w:bookmarkStart w:id="260" w:name="_Toc373478339"/>
      <w:bookmarkStart w:id="261" w:name="_Toc1013968286"/>
      <w:bookmarkStart w:id="262" w:name="_Toc267251510"/>
      <w:bookmarkStart w:id="263" w:name="_Toc267251514"/>
      <w:bookmarkStart w:id="264" w:name="_Toc267251509"/>
      <w:bookmarkStart w:id="265" w:name="_Toc267251511"/>
      <w:bookmarkStart w:id="266" w:name="_Toc267251513"/>
      <w:bookmarkStart w:id="267" w:name="_Toc267251515"/>
      <w:r>
        <w:rPr>
          <w:rStyle w:val="19"/>
          <w:rFonts w:ascii="宋体" w:hAnsi="宋体" w:eastAsia="宋体" w:cs="Times New Roman"/>
          <w:b/>
          <w:bCs/>
          <w:color w:val="000000"/>
          <w:sz w:val="32"/>
          <w:szCs w:val="32"/>
          <w:highlight w:val="none"/>
          <w:lang w:val="zh-CN"/>
        </w:rPr>
        <w:t>1</w:t>
      </w:r>
      <w:bookmarkStart w:id="268" w:name="_Toc292559361"/>
      <w:bookmarkStart w:id="269" w:name="_Toc297048342"/>
      <w:bookmarkStart w:id="270" w:name="_Toc296891196"/>
      <w:bookmarkStart w:id="271" w:name="_Toc296890984"/>
      <w:bookmarkStart w:id="272" w:name="_Toc296346657"/>
      <w:bookmarkStart w:id="273" w:name="_Toc296944495"/>
      <w:bookmarkStart w:id="274" w:name="_Toc297120456"/>
      <w:bookmarkStart w:id="275" w:name="_Toc296347155"/>
      <w:bookmarkStart w:id="276" w:name="_Toc292559866"/>
      <w:bookmarkStart w:id="277" w:name="_Toc296503156"/>
      <w:r>
        <w:rPr>
          <w:rStyle w:val="19"/>
          <w:rFonts w:ascii="宋体" w:hAnsi="宋体" w:eastAsia="宋体" w:cs="Times New Roman"/>
          <w:b/>
          <w:bCs/>
          <w:color w:val="000000"/>
          <w:sz w:val="32"/>
          <w:szCs w:val="32"/>
          <w:highlight w:val="none"/>
          <w:lang w:val="zh-CN"/>
        </w:rPr>
        <w:t xml:space="preserve">. </w:t>
      </w:r>
      <w:r>
        <w:rPr>
          <w:rStyle w:val="19"/>
          <w:rFonts w:hint="eastAsia" w:ascii="宋体" w:hAnsi="宋体" w:eastAsia="宋体" w:cs="黑体"/>
          <w:b/>
          <w:bCs/>
          <w:color w:val="000000"/>
          <w:sz w:val="32"/>
          <w:szCs w:val="32"/>
          <w:highlight w:val="none"/>
          <w:lang w:val="zh-CN"/>
        </w:rPr>
        <w:t>一般约定</w:t>
      </w:r>
      <w:bookmarkEnd w:id="253"/>
      <w:bookmarkEnd w:id="254"/>
      <w:bookmarkEnd w:id="255"/>
      <w:bookmarkEnd w:id="256"/>
      <w:bookmarkEnd w:id="257"/>
      <w:bookmarkEnd w:id="258"/>
      <w:bookmarkEnd w:id="259"/>
      <w:bookmarkEnd w:id="260"/>
      <w:bookmarkEnd w:id="261"/>
    </w:p>
    <w:bookmarkEnd w:id="268"/>
    <w:bookmarkEnd w:id="269"/>
    <w:bookmarkEnd w:id="270"/>
    <w:bookmarkEnd w:id="271"/>
    <w:bookmarkEnd w:id="272"/>
    <w:bookmarkEnd w:id="273"/>
    <w:bookmarkEnd w:id="274"/>
    <w:bookmarkEnd w:id="275"/>
    <w:bookmarkEnd w:id="276"/>
    <w:bookmarkEnd w:id="277"/>
    <w:p w14:paraId="5A3698DD">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278" w:name="_Toc389065259"/>
      <w:bookmarkStart w:id="279" w:name="_Toc373478340"/>
      <w:bookmarkStart w:id="280" w:name="_Toc155697041"/>
      <w:bookmarkStart w:id="281" w:name="_Toc373227693"/>
      <w:bookmarkStart w:id="282" w:name="_Toc1618220701"/>
      <w:bookmarkStart w:id="283" w:name="_Toc407135195"/>
      <w:bookmarkStart w:id="284" w:name="_Toc10391"/>
      <w:bookmarkStart w:id="285" w:name="_Toc78449781"/>
      <w:r>
        <w:rPr>
          <w:rStyle w:val="19"/>
          <w:rFonts w:ascii="宋体" w:hAnsi="宋体" w:eastAsia="宋体" w:cs="Times New Roman"/>
          <w:b/>
          <w:bCs/>
          <w:color w:val="000000"/>
          <w:sz w:val="32"/>
          <w:szCs w:val="32"/>
          <w:highlight w:val="none"/>
          <w:lang w:val="zh-CN"/>
        </w:rPr>
        <w:t xml:space="preserve">1.1 </w:t>
      </w:r>
      <w:r>
        <w:rPr>
          <w:rStyle w:val="19"/>
          <w:rFonts w:hint="eastAsia" w:ascii="宋体" w:hAnsi="宋体" w:eastAsia="宋体" w:cs="黑体"/>
          <w:b/>
          <w:bCs/>
          <w:color w:val="000000"/>
          <w:sz w:val="32"/>
          <w:szCs w:val="32"/>
          <w:highlight w:val="none"/>
          <w:lang w:val="zh-CN"/>
        </w:rPr>
        <w:t>词语定义</w:t>
      </w:r>
      <w:bookmarkEnd w:id="278"/>
      <w:bookmarkEnd w:id="279"/>
      <w:bookmarkEnd w:id="280"/>
      <w:bookmarkEnd w:id="281"/>
      <w:bookmarkEnd w:id="282"/>
      <w:bookmarkEnd w:id="283"/>
      <w:bookmarkEnd w:id="284"/>
      <w:bookmarkEnd w:id="285"/>
    </w:p>
    <w:p w14:paraId="5BA696A8">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1.1.1 </w:t>
      </w:r>
      <w:r>
        <w:rPr>
          <w:rStyle w:val="19"/>
          <w:rFonts w:hint="eastAsia" w:ascii="宋体" w:hAnsi="宋体" w:eastAsia="宋体" w:cs="宋体"/>
          <w:color w:val="000000"/>
          <w:kern w:val="0"/>
          <w:highlight w:val="none"/>
        </w:rPr>
        <w:t>合同</w:t>
      </w:r>
    </w:p>
    <w:p w14:paraId="74F90874">
      <w:pPr>
        <w:pStyle w:val="89"/>
        <w:pageBreakBefore w:val="0"/>
        <w:kinsoku/>
        <w:wordWrap/>
        <w:overflowPunct/>
        <w:topLinePunct w:val="0"/>
        <w:bidi w:val="0"/>
        <w:spacing w:line="360" w:lineRule="auto"/>
        <w:ind w:firstLine="420" w:firstLineChars="200"/>
        <w:outlineLvl w:val="9"/>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1.1.1.10 </w:t>
      </w:r>
      <w:r>
        <w:rPr>
          <w:rStyle w:val="19"/>
          <w:rFonts w:hint="eastAsia" w:ascii="宋体" w:hAnsi="宋体" w:eastAsia="宋体" w:cs="宋体"/>
          <w:color w:val="000000"/>
          <w:kern w:val="0"/>
          <w:highlight w:val="none"/>
        </w:rPr>
        <w:t>其他合同文件包括：</w:t>
      </w:r>
      <w:r>
        <w:rPr>
          <w:rStyle w:val="19"/>
          <w:rFonts w:hint="eastAsia" w:ascii="宋体" w:hAnsi="宋体" w:eastAsia="宋体" w:cs="宋体"/>
          <w:color w:val="000000"/>
          <w:szCs w:val="21"/>
          <w:highlight w:val="none"/>
          <w:u w:val="single"/>
        </w:rPr>
        <w:t>其它有关本工程的洽商、变更等书面协议，经发包人认可的工程签证单，经发包人审核书面同意的施工组织设计及各项施工方案，经发包人、承包人确认的会议纪要、备忘录、往来函件等文件</w:t>
      </w:r>
      <w:r>
        <w:rPr>
          <w:rStyle w:val="19"/>
          <w:rFonts w:hint="eastAsia" w:ascii="宋体" w:hAnsi="宋体" w:eastAsia="宋体" w:cs="宋体"/>
          <w:color w:val="000000"/>
          <w:highlight w:val="none"/>
        </w:rPr>
        <w:t>。</w:t>
      </w:r>
    </w:p>
    <w:p w14:paraId="54CA17FB">
      <w:pPr>
        <w:pStyle w:val="89"/>
        <w:pageBreakBefore w:val="0"/>
        <w:kinsoku/>
        <w:wordWrap/>
        <w:overflowPunct/>
        <w:topLinePunct w:val="0"/>
        <w:bidi w:val="0"/>
        <w:spacing w:line="360" w:lineRule="auto"/>
        <w:ind w:firstLine="420" w:firstLineChars="200"/>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1.1.2 </w:t>
      </w:r>
      <w:r>
        <w:rPr>
          <w:rStyle w:val="19"/>
          <w:rFonts w:hint="eastAsia" w:ascii="宋体" w:hAnsi="宋体" w:eastAsia="宋体" w:cs="宋体"/>
          <w:color w:val="000000"/>
          <w:highlight w:val="none"/>
        </w:rPr>
        <w:t>合同当事人及其他相关方</w:t>
      </w:r>
    </w:p>
    <w:p w14:paraId="5A80B44F">
      <w:pPr>
        <w:pStyle w:val="89"/>
        <w:pageBreakBefore w:val="0"/>
        <w:kinsoku/>
        <w:wordWrap/>
        <w:overflowPunct/>
        <w:topLinePunct w:val="0"/>
        <w:bidi w:val="0"/>
        <w:spacing w:line="360" w:lineRule="auto"/>
        <w:ind w:firstLine="420" w:firstLineChars="200"/>
        <w:outlineLvl w:val="9"/>
        <w:rPr>
          <w:rStyle w:val="19"/>
          <w:rFonts w:hint="default" w:ascii="宋体" w:hAnsi="宋体" w:eastAsia="宋体" w:cs="Times New Roman"/>
          <w:color w:val="000000"/>
          <w:highlight w:val="none"/>
          <w:lang w:val="en-US" w:eastAsia="zh-CN"/>
        </w:rPr>
      </w:pPr>
      <w:r>
        <w:rPr>
          <w:rStyle w:val="19"/>
          <w:rFonts w:ascii="宋体" w:hAnsi="宋体" w:eastAsia="宋体" w:cs="Times New Roman"/>
          <w:color w:val="000000"/>
          <w:highlight w:val="none"/>
        </w:rPr>
        <w:t xml:space="preserve">1.1.2.4 </w:t>
      </w:r>
      <w:r>
        <w:rPr>
          <w:rStyle w:val="19"/>
          <w:rFonts w:hint="eastAsia" w:ascii="宋体" w:hAnsi="宋体" w:eastAsia="宋体" w:cs="宋体"/>
          <w:color w:val="000000"/>
          <w:highlight w:val="none"/>
        </w:rPr>
        <w:t>监理人：</w:t>
      </w:r>
      <w:r>
        <w:rPr>
          <w:rStyle w:val="19"/>
          <w:rFonts w:hint="eastAsia" w:ascii="宋体" w:hAnsi="宋体" w:eastAsia="宋体" w:cs="宋体"/>
          <w:color w:val="000000"/>
          <w:highlight w:val="none"/>
          <w:lang w:val="en-US" w:eastAsia="zh-CN"/>
        </w:rPr>
        <w:t>见监理合同。</w:t>
      </w:r>
    </w:p>
    <w:p w14:paraId="1E7BAC4D">
      <w:pPr>
        <w:pStyle w:val="89"/>
        <w:pageBreakBefore w:val="0"/>
        <w:kinsoku/>
        <w:wordWrap/>
        <w:overflowPunct/>
        <w:topLinePunct w:val="0"/>
        <w:bidi w:val="0"/>
        <w:spacing w:line="360" w:lineRule="auto"/>
        <w:ind w:firstLine="420" w:firstLineChars="200"/>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1.1.2.5 </w:t>
      </w:r>
      <w:r>
        <w:rPr>
          <w:rStyle w:val="19"/>
          <w:rFonts w:hint="eastAsia" w:ascii="宋体" w:hAnsi="宋体" w:eastAsia="宋体" w:cs="宋体"/>
          <w:color w:val="000000"/>
          <w:highlight w:val="none"/>
        </w:rPr>
        <w:t>设计人：</w:t>
      </w:r>
      <w:r>
        <w:rPr>
          <w:rStyle w:val="19"/>
          <w:rFonts w:hint="eastAsia" w:ascii="宋体" w:hAnsi="宋体" w:eastAsia="宋体" w:cs="宋体"/>
          <w:color w:val="000000"/>
          <w:highlight w:val="none"/>
          <w:lang w:val="en-US" w:eastAsia="zh-CN"/>
        </w:rPr>
        <w:t>见设计合同</w:t>
      </w:r>
      <w:r>
        <w:rPr>
          <w:rStyle w:val="19"/>
          <w:rFonts w:hint="eastAsia" w:ascii="宋体" w:hAnsi="宋体" w:eastAsia="宋体" w:cs="宋体"/>
          <w:color w:val="000000"/>
          <w:highlight w:val="none"/>
        </w:rPr>
        <w:t>。</w:t>
      </w:r>
    </w:p>
    <w:p w14:paraId="5AF484B7">
      <w:pPr>
        <w:pStyle w:val="89"/>
        <w:pageBreakBefore w:val="0"/>
        <w:kinsoku/>
        <w:wordWrap/>
        <w:overflowPunct/>
        <w:topLinePunct w:val="0"/>
        <w:bidi w:val="0"/>
        <w:spacing w:line="360" w:lineRule="auto"/>
        <w:ind w:firstLine="420" w:firstLineChars="200"/>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1.1.3 </w:t>
      </w:r>
      <w:r>
        <w:rPr>
          <w:rStyle w:val="19"/>
          <w:rFonts w:hint="eastAsia" w:ascii="宋体" w:hAnsi="宋体" w:eastAsia="宋体" w:cs="宋体"/>
          <w:color w:val="000000"/>
          <w:highlight w:val="none"/>
        </w:rPr>
        <w:t>工程和设备</w:t>
      </w:r>
    </w:p>
    <w:p w14:paraId="435A1136">
      <w:pPr>
        <w:pStyle w:val="89"/>
        <w:pageBreakBefore w:val="0"/>
        <w:kinsoku/>
        <w:wordWrap/>
        <w:overflowPunct/>
        <w:topLinePunct w:val="0"/>
        <w:bidi w:val="0"/>
        <w:snapToGrid w:val="0"/>
        <w:spacing w:line="360" w:lineRule="auto"/>
        <w:ind w:firstLine="420"/>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1.1.3.7 </w:t>
      </w:r>
      <w:r>
        <w:rPr>
          <w:rStyle w:val="19"/>
          <w:rFonts w:hint="eastAsia" w:ascii="宋体" w:hAnsi="宋体" w:eastAsia="宋体" w:cs="宋体"/>
          <w:color w:val="000000"/>
          <w:highlight w:val="none"/>
        </w:rPr>
        <w:t>作为施工现场组成部分的其他场所包括：</w:t>
      </w:r>
      <w:r>
        <w:rPr>
          <w:rStyle w:val="19"/>
          <w:rFonts w:ascii="宋体" w:hAnsi="宋体" w:eastAsia="宋体" w:cs="宋体"/>
          <w:color w:val="000000"/>
          <w:szCs w:val="21"/>
          <w:highlight w:val="none"/>
          <w:u w:val="single"/>
        </w:rPr>
        <w:t>指为完成合同约定的各项工作所服务的临时性生产和生活设施及临时用地</w:t>
      </w:r>
      <w:r>
        <w:rPr>
          <w:rStyle w:val="19"/>
          <w:rFonts w:ascii="宋体" w:hAnsi="宋体" w:eastAsia="宋体" w:cs="宋体;SimSun"/>
          <w:color w:val="000000"/>
          <w:highlight w:val="none"/>
        </w:rPr>
        <w:t>。</w:t>
      </w:r>
    </w:p>
    <w:p w14:paraId="68AC3005">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1.1.3.9 </w:t>
      </w:r>
      <w:r>
        <w:rPr>
          <w:rStyle w:val="19"/>
          <w:rFonts w:hint="eastAsia" w:ascii="宋体" w:hAnsi="宋体" w:eastAsia="宋体" w:cs="宋体"/>
          <w:color w:val="000000"/>
          <w:kern w:val="0"/>
          <w:highlight w:val="none"/>
        </w:rPr>
        <w:t>永久占地包括：</w:t>
      </w:r>
      <w:r>
        <w:rPr>
          <w:rStyle w:val="19"/>
          <w:rFonts w:hint="eastAsia" w:ascii="宋体" w:hAnsi="宋体" w:eastAsia="宋体" w:cs="宋体"/>
          <w:color w:val="000000"/>
          <w:szCs w:val="21"/>
          <w:highlight w:val="none"/>
          <w:u w:val="single"/>
        </w:rPr>
        <w:t>无永久占地</w:t>
      </w:r>
      <w:r>
        <w:rPr>
          <w:rStyle w:val="19"/>
          <w:rFonts w:hint="eastAsia" w:ascii="宋体" w:hAnsi="宋体" w:eastAsia="宋体" w:cs="宋体"/>
          <w:color w:val="000000"/>
          <w:kern w:val="0"/>
          <w:highlight w:val="none"/>
        </w:rPr>
        <w:t>。</w:t>
      </w:r>
    </w:p>
    <w:p w14:paraId="5B759602">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ascii="宋体" w:hAnsi="宋体" w:eastAsia="宋体" w:cs="Times New Roman"/>
          <w:color w:val="000000"/>
          <w:kern w:val="0"/>
          <w:highlight w:val="none"/>
        </w:rPr>
        <w:t xml:space="preserve">1.1.3.10 </w:t>
      </w:r>
      <w:r>
        <w:rPr>
          <w:rStyle w:val="19"/>
          <w:rFonts w:hint="eastAsia" w:ascii="宋体" w:hAnsi="宋体" w:eastAsia="宋体" w:cs="宋体"/>
          <w:color w:val="000000"/>
          <w:kern w:val="0"/>
          <w:highlight w:val="none"/>
        </w:rPr>
        <w:t>临时占地包括：</w:t>
      </w:r>
      <w:r>
        <w:rPr>
          <w:rStyle w:val="19"/>
          <w:rFonts w:hint="eastAsia" w:ascii="宋体" w:hAnsi="宋体" w:eastAsia="宋体" w:cs="宋体"/>
          <w:color w:val="000000"/>
          <w:szCs w:val="21"/>
          <w:highlight w:val="none"/>
          <w:u w:val="single"/>
        </w:rPr>
        <w:t>临时设施、运料通道、材料堆放、材料加工等为实施合同工程需临时占用的土地</w:t>
      </w:r>
      <w:r>
        <w:rPr>
          <w:rStyle w:val="19"/>
          <w:rFonts w:hint="eastAsia" w:ascii="宋体" w:hAnsi="宋体" w:eastAsia="宋体" w:cs="宋体"/>
          <w:color w:val="000000"/>
          <w:kern w:val="0"/>
          <w:highlight w:val="none"/>
        </w:rPr>
        <w:t>。</w:t>
      </w:r>
    </w:p>
    <w:p w14:paraId="76EE750E">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286" w:name="_Toc1182598796"/>
      <w:bookmarkStart w:id="287" w:name="_Toc373227694"/>
      <w:bookmarkStart w:id="288" w:name="_Toc78449782"/>
      <w:bookmarkStart w:id="289" w:name="_Toc1162259329"/>
      <w:bookmarkStart w:id="290" w:name="_Toc389065260"/>
      <w:bookmarkStart w:id="291" w:name="_Toc1221"/>
      <w:bookmarkStart w:id="292" w:name="_Toc407135196"/>
      <w:bookmarkStart w:id="293" w:name="_Toc373478341"/>
      <w:r>
        <w:rPr>
          <w:rStyle w:val="19"/>
          <w:rFonts w:ascii="宋体" w:hAnsi="宋体" w:eastAsia="宋体" w:cs="Times New Roman"/>
          <w:b/>
          <w:bCs/>
          <w:color w:val="000000"/>
          <w:sz w:val="32"/>
          <w:szCs w:val="32"/>
          <w:highlight w:val="none"/>
          <w:lang w:val="zh-CN"/>
        </w:rPr>
        <w:t xml:space="preserve">1.3 </w:t>
      </w:r>
      <w:r>
        <w:rPr>
          <w:rStyle w:val="19"/>
          <w:rFonts w:hint="eastAsia" w:ascii="宋体" w:hAnsi="宋体" w:eastAsia="宋体" w:cs="黑体"/>
          <w:b/>
          <w:bCs/>
          <w:color w:val="000000"/>
          <w:sz w:val="32"/>
          <w:szCs w:val="32"/>
          <w:highlight w:val="none"/>
          <w:lang w:val="zh-CN"/>
        </w:rPr>
        <w:t>法律</w:t>
      </w:r>
      <w:bookmarkEnd w:id="286"/>
      <w:bookmarkEnd w:id="287"/>
      <w:bookmarkEnd w:id="288"/>
      <w:bookmarkEnd w:id="289"/>
      <w:bookmarkEnd w:id="290"/>
      <w:bookmarkEnd w:id="291"/>
      <w:bookmarkEnd w:id="292"/>
      <w:bookmarkEnd w:id="293"/>
    </w:p>
    <w:p w14:paraId="353CF4FB">
      <w:pPr>
        <w:pStyle w:val="89"/>
        <w:pageBreakBefore w:val="0"/>
        <w:kinsoku/>
        <w:wordWrap/>
        <w:overflowPunct/>
        <w:topLinePunct w:val="0"/>
        <w:autoSpaceDE w:val="0"/>
        <w:autoSpaceDN w:val="0"/>
        <w:bidi w:val="0"/>
        <w:adjustRightInd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适用于合同的其他规范性文件：</w:t>
      </w:r>
      <w:r>
        <w:rPr>
          <w:rStyle w:val="19"/>
          <w:rFonts w:hint="eastAsia" w:ascii="宋体" w:hAnsi="宋体" w:eastAsia="宋体" w:cs="Times New Roman"/>
          <w:color w:val="000000"/>
          <w:szCs w:val="21"/>
          <w:highlight w:val="none"/>
          <w:u w:val="single"/>
        </w:rPr>
        <w:t>《中华人民共和国民法典》、《中华人民共和国建筑法》、《建设工程质量管理条例》以及现行国家和地方关于建设工程管理的有关法规、条例等，上述法律、法规、地方性规章有修订的，按新修订的执行，有冲突的按较严格的执行</w:t>
      </w:r>
      <w:r>
        <w:rPr>
          <w:rStyle w:val="19"/>
          <w:rFonts w:hint="eastAsia" w:ascii="宋体" w:hAnsi="宋体" w:eastAsia="宋体" w:cs="宋体"/>
          <w:color w:val="000000"/>
          <w:highlight w:val="none"/>
        </w:rPr>
        <w:t>。</w:t>
      </w:r>
    </w:p>
    <w:p w14:paraId="4F333638">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294" w:name="_Toc373478342"/>
      <w:bookmarkStart w:id="295" w:name="_Toc407135197"/>
      <w:bookmarkStart w:id="296" w:name="_Toc1569433547"/>
      <w:bookmarkStart w:id="297" w:name="_Toc373227695"/>
      <w:bookmarkStart w:id="298" w:name="_Toc389065261"/>
      <w:bookmarkStart w:id="299" w:name="_Toc78449783"/>
      <w:bookmarkStart w:id="300" w:name="_Toc1694357896"/>
      <w:bookmarkStart w:id="301" w:name="_Toc24881"/>
      <w:r>
        <w:rPr>
          <w:rStyle w:val="19"/>
          <w:rFonts w:ascii="宋体" w:hAnsi="宋体" w:eastAsia="宋体" w:cs="Times New Roman"/>
          <w:b/>
          <w:bCs/>
          <w:color w:val="000000"/>
          <w:sz w:val="32"/>
          <w:szCs w:val="32"/>
          <w:highlight w:val="none"/>
          <w:lang w:val="zh-CN"/>
        </w:rPr>
        <w:t xml:space="preserve">1.4 </w:t>
      </w:r>
      <w:r>
        <w:rPr>
          <w:rStyle w:val="19"/>
          <w:rFonts w:hint="eastAsia" w:ascii="宋体" w:hAnsi="宋体" w:eastAsia="宋体" w:cs="黑体"/>
          <w:b/>
          <w:bCs/>
          <w:color w:val="000000"/>
          <w:sz w:val="32"/>
          <w:szCs w:val="32"/>
          <w:highlight w:val="none"/>
          <w:lang w:val="zh-CN"/>
        </w:rPr>
        <w:t>标准和规范</w:t>
      </w:r>
      <w:bookmarkEnd w:id="294"/>
      <w:bookmarkEnd w:id="295"/>
      <w:bookmarkEnd w:id="296"/>
      <w:bookmarkEnd w:id="297"/>
      <w:bookmarkEnd w:id="298"/>
      <w:bookmarkEnd w:id="299"/>
      <w:bookmarkEnd w:id="300"/>
      <w:bookmarkEnd w:id="301"/>
    </w:p>
    <w:p w14:paraId="3FCD29EE">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1.4.1 </w:t>
      </w:r>
      <w:r>
        <w:rPr>
          <w:rStyle w:val="19"/>
          <w:rFonts w:hint="eastAsia" w:ascii="宋体" w:hAnsi="宋体" w:eastAsia="宋体" w:cs="宋体"/>
          <w:color w:val="000000"/>
          <w:highlight w:val="none"/>
        </w:rPr>
        <w:t>适用于工程的标准规范包括：</w:t>
      </w:r>
      <w:r>
        <w:rPr>
          <w:rStyle w:val="19"/>
          <w:rFonts w:hint="eastAsia" w:ascii="宋体" w:hAnsi="宋体" w:eastAsia="宋体" w:cs="宋体"/>
          <w:color w:val="000000"/>
          <w:szCs w:val="21"/>
          <w:highlight w:val="none"/>
          <w:u w:val="single"/>
        </w:rPr>
        <w:t>《</w:t>
      </w:r>
      <w:r>
        <w:rPr>
          <w:rStyle w:val="19"/>
          <w:rFonts w:hint="eastAsia" w:ascii="宋体" w:hAnsi="宋体" w:eastAsia="宋体" w:cs="Times New Roman"/>
          <w:color w:val="000000"/>
          <w:szCs w:val="21"/>
          <w:highlight w:val="none"/>
          <w:u w:val="single"/>
        </w:rPr>
        <w:t>建筑工程施工质量验收统一标准</w:t>
      </w:r>
      <w:r>
        <w:rPr>
          <w:rStyle w:val="19"/>
          <w:rFonts w:hint="eastAsia" w:ascii="宋体" w:hAnsi="宋体" w:eastAsia="宋体" w:cs="宋体"/>
          <w:color w:val="000000"/>
          <w:szCs w:val="21"/>
          <w:highlight w:val="none"/>
          <w:u w:val="single"/>
        </w:rPr>
        <w:t>》GB50300-2013</w:t>
      </w:r>
      <w:r>
        <w:rPr>
          <w:rStyle w:val="19"/>
          <w:rFonts w:hint="eastAsia" w:ascii="宋体" w:hAnsi="宋体" w:eastAsia="宋体" w:cs="Times New Roman"/>
          <w:color w:val="000000"/>
          <w:szCs w:val="21"/>
          <w:highlight w:val="none"/>
          <w:u w:val="single"/>
        </w:rPr>
        <w:t>等适用于本工程的国家标准、行业标准、工程所在地的地方性标准，以及相应的规范、规程</w:t>
      </w:r>
      <w:r>
        <w:rPr>
          <w:rStyle w:val="19"/>
          <w:rFonts w:hint="eastAsia" w:ascii="宋体" w:hAnsi="宋体" w:eastAsia="宋体" w:cs="宋体"/>
          <w:color w:val="000000"/>
          <w:highlight w:val="none"/>
        </w:rPr>
        <w:t>。</w:t>
      </w:r>
    </w:p>
    <w:p w14:paraId="5B68B22D">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1.4.2 </w:t>
      </w:r>
      <w:r>
        <w:rPr>
          <w:rStyle w:val="19"/>
          <w:rFonts w:hint="eastAsia" w:ascii="宋体" w:hAnsi="宋体" w:eastAsia="宋体" w:cs="宋体"/>
          <w:color w:val="000000"/>
          <w:kern w:val="0"/>
          <w:highlight w:val="none"/>
        </w:rPr>
        <w:t>发包人提供国外标准、规范的名称：</w:t>
      </w:r>
      <w:r>
        <w:rPr>
          <w:rStyle w:val="19"/>
          <w:rFonts w:hint="eastAsia" w:ascii="宋体" w:hAnsi="宋体" w:eastAsia="宋体" w:cs="Times New Roman"/>
          <w:color w:val="000000"/>
          <w:szCs w:val="21"/>
          <w:highlight w:val="none"/>
          <w:u w:val="single"/>
        </w:rPr>
        <w:t>无</w:t>
      </w:r>
      <w:r>
        <w:rPr>
          <w:rStyle w:val="19"/>
          <w:rFonts w:hint="eastAsia" w:ascii="宋体" w:hAnsi="宋体" w:eastAsia="宋体" w:cs="宋体"/>
          <w:color w:val="000000"/>
          <w:highlight w:val="none"/>
        </w:rPr>
        <w:t>；</w:t>
      </w:r>
    </w:p>
    <w:p w14:paraId="1F9B3BD5">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发包人提供国外标准、规范的份数：</w:t>
      </w:r>
      <w:r>
        <w:rPr>
          <w:rStyle w:val="19"/>
          <w:rFonts w:hint="eastAsia" w:ascii="宋体" w:hAnsi="宋体" w:eastAsia="宋体" w:cs="Times New Roman"/>
          <w:color w:val="000000"/>
          <w:highlight w:val="none"/>
          <w:u w:val="single"/>
        </w:rPr>
        <w:t>无</w:t>
      </w:r>
      <w:r>
        <w:rPr>
          <w:rStyle w:val="19"/>
          <w:rFonts w:hint="eastAsia" w:ascii="宋体" w:hAnsi="宋体" w:eastAsia="宋体" w:cs="宋体"/>
          <w:color w:val="000000"/>
          <w:kern w:val="0"/>
          <w:highlight w:val="none"/>
        </w:rPr>
        <w:t>；</w:t>
      </w:r>
    </w:p>
    <w:p w14:paraId="4AE4D777">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kern w:val="0"/>
          <w:highlight w:val="none"/>
        </w:rPr>
        <w:t>发包人提供国外标准、规范的名称：</w:t>
      </w:r>
      <w:r>
        <w:rPr>
          <w:rStyle w:val="19"/>
          <w:rFonts w:hint="eastAsia" w:ascii="宋体" w:hAnsi="宋体" w:eastAsia="宋体" w:cs="Times New Roman"/>
          <w:color w:val="000000"/>
          <w:highlight w:val="none"/>
          <w:u w:val="single"/>
        </w:rPr>
        <w:t xml:space="preserve">无 </w:t>
      </w:r>
      <w:r>
        <w:rPr>
          <w:rStyle w:val="19"/>
          <w:rFonts w:hint="eastAsia" w:ascii="宋体" w:hAnsi="宋体" w:eastAsia="宋体" w:cs="宋体"/>
          <w:color w:val="000000"/>
          <w:kern w:val="0"/>
          <w:highlight w:val="none"/>
        </w:rPr>
        <w:t>。</w:t>
      </w:r>
    </w:p>
    <w:p w14:paraId="4AD4B3E4">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1.4.3 </w:t>
      </w:r>
      <w:r>
        <w:rPr>
          <w:rStyle w:val="19"/>
          <w:rFonts w:hint="eastAsia" w:ascii="宋体" w:hAnsi="宋体" w:eastAsia="宋体" w:cs="宋体"/>
          <w:color w:val="000000"/>
          <w:highlight w:val="none"/>
        </w:rPr>
        <w:t>发包人对工程的技术标准和功能要求的特殊要求：</w:t>
      </w:r>
      <w:r>
        <w:rPr>
          <w:rStyle w:val="19"/>
          <w:rFonts w:hint="eastAsia" w:ascii="宋体" w:hAnsi="宋体" w:eastAsia="宋体" w:cs="Times New Roman"/>
          <w:color w:val="000000"/>
          <w:highlight w:val="none"/>
          <w:u w:val="single"/>
        </w:rPr>
        <w:t xml:space="preserve">现行的国家标准、规范，行业、地方标准、规范由承包人自行收集，费用包含在投标报价内 </w:t>
      </w:r>
      <w:r>
        <w:rPr>
          <w:rStyle w:val="19"/>
          <w:rFonts w:hint="eastAsia" w:ascii="宋体" w:hAnsi="宋体" w:eastAsia="宋体" w:cs="宋体"/>
          <w:color w:val="000000"/>
          <w:highlight w:val="none"/>
        </w:rPr>
        <w:t>。</w:t>
      </w:r>
    </w:p>
    <w:p w14:paraId="528BD95A">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302" w:name="_Toc78449784"/>
      <w:bookmarkStart w:id="303" w:name="_Toc389065262"/>
      <w:bookmarkStart w:id="304" w:name="_Toc407135198"/>
      <w:bookmarkStart w:id="305" w:name="_Toc29435"/>
      <w:bookmarkStart w:id="306" w:name="_Toc373227696"/>
      <w:bookmarkStart w:id="307" w:name="_Toc373478343"/>
      <w:bookmarkStart w:id="308" w:name="_Toc24431861"/>
      <w:bookmarkStart w:id="309" w:name="_Toc188277238"/>
      <w:r>
        <w:rPr>
          <w:rStyle w:val="19"/>
          <w:rFonts w:ascii="宋体" w:hAnsi="宋体" w:eastAsia="宋体" w:cs="Times New Roman"/>
          <w:b/>
          <w:bCs/>
          <w:color w:val="000000"/>
          <w:sz w:val="32"/>
          <w:szCs w:val="32"/>
          <w:highlight w:val="none"/>
          <w:lang w:val="zh-CN"/>
        </w:rPr>
        <w:t xml:space="preserve">1.5 </w:t>
      </w:r>
      <w:r>
        <w:rPr>
          <w:rStyle w:val="19"/>
          <w:rFonts w:hint="eastAsia" w:ascii="宋体" w:hAnsi="宋体" w:eastAsia="宋体" w:cs="黑体"/>
          <w:b/>
          <w:bCs/>
          <w:color w:val="000000"/>
          <w:sz w:val="32"/>
          <w:szCs w:val="32"/>
          <w:highlight w:val="none"/>
          <w:lang w:val="zh-CN"/>
        </w:rPr>
        <w:t>合同文件的优先顺序</w:t>
      </w:r>
      <w:bookmarkEnd w:id="302"/>
      <w:bookmarkEnd w:id="303"/>
      <w:bookmarkEnd w:id="304"/>
      <w:bookmarkEnd w:id="305"/>
      <w:bookmarkEnd w:id="306"/>
      <w:bookmarkEnd w:id="307"/>
      <w:bookmarkEnd w:id="308"/>
      <w:bookmarkEnd w:id="309"/>
    </w:p>
    <w:p w14:paraId="2DAC82DC">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rPr>
      </w:pPr>
      <w:r>
        <w:rPr>
          <w:rStyle w:val="19"/>
          <w:rFonts w:hint="eastAsia" w:ascii="宋体" w:hAnsi="宋体" w:eastAsia="宋体" w:cs="宋体"/>
          <w:color w:val="000000"/>
          <w:highlight w:val="none"/>
        </w:rPr>
        <w:t>合同文件组成及优先顺序为：</w:t>
      </w:r>
    </w:p>
    <w:p w14:paraId="68A3F216">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（1）合同协议书；</w:t>
      </w:r>
    </w:p>
    <w:p w14:paraId="5E5040FA">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rPr>
      </w:pPr>
      <w:bookmarkStart w:id="310" w:name="bookmark916"/>
      <w:bookmarkEnd w:id="310"/>
      <w:r>
        <w:rPr>
          <w:rStyle w:val="19"/>
          <w:rFonts w:hint="eastAsia" w:ascii="宋体" w:hAnsi="宋体" w:eastAsia="宋体" w:cs="宋体"/>
          <w:color w:val="000000"/>
          <w:kern w:val="0"/>
          <w:highlight w:val="none"/>
        </w:rPr>
        <w:t>（2）中标通知书；</w:t>
      </w:r>
    </w:p>
    <w:p w14:paraId="76184662">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rPr>
      </w:pPr>
      <w:bookmarkStart w:id="311" w:name="bookmark917"/>
      <w:bookmarkEnd w:id="311"/>
      <w:r>
        <w:rPr>
          <w:rStyle w:val="19"/>
          <w:rFonts w:hint="eastAsia" w:ascii="宋体" w:hAnsi="宋体" w:eastAsia="宋体" w:cs="宋体"/>
          <w:color w:val="000000"/>
          <w:kern w:val="0"/>
          <w:highlight w:val="none"/>
        </w:rPr>
        <w:t>（3）投标函及投标函附录；</w:t>
      </w:r>
    </w:p>
    <w:p w14:paraId="1440FFDF">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rPr>
      </w:pPr>
      <w:bookmarkStart w:id="312" w:name="bookmark918"/>
      <w:bookmarkEnd w:id="312"/>
      <w:r>
        <w:rPr>
          <w:rStyle w:val="19"/>
          <w:rFonts w:hint="eastAsia" w:ascii="宋体" w:hAnsi="宋体" w:eastAsia="宋体" w:cs="宋体"/>
          <w:color w:val="000000"/>
          <w:kern w:val="0"/>
          <w:highlight w:val="none"/>
        </w:rPr>
        <w:t>（4）专用合同条款；</w:t>
      </w:r>
    </w:p>
    <w:p w14:paraId="6840C98C">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rPr>
      </w:pPr>
      <w:bookmarkStart w:id="313" w:name="bookmark919"/>
      <w:bookmarkEnd w:id="313"/>
      <w:r>
        <w:rPr>
          <w:rStyle w:val="19"/>
          <w:rFonts w:hint="eastAsia" w:ascii="宋体" w:hAnsi="宋体" w:eastAsia="宋体" w:cs="宋体"/>
          <w:color w:val="000000"/>
          <w:kern w:val="0"/>
          <w:highlight w:val="none"/>
        </w:rPr>
        <w:t>（5）通用合同条款；</w:t>
      </w:r>
    </w:p>
    <w:p w14:paraId="45B6AE0F">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rPr>
      </w:pPr>
      <w:bookmarkStart w:id="314" w:name="bookmark920"/>
      <w:bookmarkEnd w:id="314"/>
      <w:r>
        <w:rPr>
          <w:rStyle w:val="19"/>
          <w:rFonts w:hint="eastAsia" w:ascii="宋体" w:hAnsi="宋体" w:eastAsia="宋体" w:cs="宋体"/>
          <w:color w:val="000000"/>
          <w:kern w:val="0"/>
          <w:highlight w:val="none"/>
        </w:rPr>
        <w:t>（6）技术标准和要求；</w:t>
      </w:r>
    </w:p>
    <w:p w14:paraId="361EB99B">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rPr>
      </w:pPr>
      <w:bookmarkStart w:id="315" w:name="bookmark921"/>
      <w:bookmarkEnd w:id="315"/>
      <w:r>
        <w:rPr>
          <w:rStyle w:val="19"/>
          <w:rFonts w:hint="eastAsia" w:ascii="宋体" w:hAnsi="宋体" w:eastAsia="宋体" w:cs="宋体"/>
          <w:color w:val="000000"/>
          <w:kern w:val="0"/>
          <w:highlight w:val="none"/>
        </w:rPr>
        <w:t>（7）图纸；</w:t>
      </w:r>
    </w:p>
    <w:p w14:paraId="02333284">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rPr>
      </w:pPr>
      <w:bookmarkStart w:id="316" w:name="bookmark922"/>
      <w:bookmarkEnd w:id="316"/>
      <w:r>
        <w:rPr>
          <w:rStyle w:val="19"/>
          <w:rFonts w:hint="eastAsia" w:ascii="宋体" w:hAnsi="宋体" w:eastAsia="宋体" w:cs="宋体"/>
          <w:color w:val="000000"/>
          <w:kern w:val="0"/>
          <w:highlight w:val="none"/>
        </w:rPr>
        <w:t>（8）已标价工程量清单；</w:t>
      </w:r>
    </w:p>
    <w:p w14:paraId="5CC5BDC7">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kern w:val="0"/>
          <w:highlight w:val="none"/>
        </w:rPr>
        <w:t>（9）其他合同文件：</w:t>
      </w:r>
      <w:r>
        <w:rPr>
          <w:rStyle w:val="19"/>
          <w:rFonts w:hint="eastAsia" w:ascii="宋体" w:hAnsi="宋体" w:eastAsia="宋体" w:cs="Times New Roman"/>
          <w:color w:val="000000"/>
          <w:szCs w:val="21"/>
          <w:highlight w:val="none"/>
          <w:u w:val="single"/>
        </w:rPr>
        <w:t>《建设工程工程量清单计价规范（GB50500-2013）》及其广西实施细则及《关于建筑业实施营业税改征增值税后广西壮族自治区建设工程计价依据调整的通知》（桂建标〔2016〕17号）、《自治区住房城乡建设厅关于调整建设工程计价增值税税率的通知》（桂建标〔2018〕14号）、《建设工程工程量清单计算规范（GB50854~50862-2013）》及其广西实施细则（修订本）等国家、自治区颁布的计价定额及有关规定</w:t>
      </w:r>
      <w:r>
        <w:rPr>
          <w:rStyle w:val="19"/>
          <w:rFonts w:hint="eastAsia" w:ascii="宋体" w:hAnsi="宋体" w:eastAsia="宋体" w:cs="Times New Roman"/>
          <w:color w:val="000000"/>
          <w:szCs w:val="21"/>
          <w:highlight w:val="none"/>
        </w:rPr>
        <w:t>。</w:t>
      </w:r>
    </w:p>
    <w:p w14:paraId="3A7A6CC0">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上述各项合同文件包括合同当事人就该项合同文件所作出的补充和修改，属于同一类内容的文件，应以最新签署的为准（违反招标文件</w:t>
      </w:r>
      <w:r>
        <w:rPr>
          <w:rStyle w:val="19"/>
          <w:rFonts w:ascii="宋体" w:hAnsi="宋体" w:eastAsia="宋体" w:cs="宋体"/>
          <w:color w:val="000000"/>
          <w:kern w:val="0"/>
          <w:highlight w:val="none"/>
        </w:rPr>
        <w:t>实质性内容的约定除外</w:t>
      </w:r>
      <w:r>
        <w:rPr>
          <w:rStyle w:val="19"/>
          <w:rFonts w:hint="eastAsia" w:ascii="宋体" w:hAnsi="宋体" w:eastAsia="宋体" w:cs="宋体"/>
          <w:color w:val="000000"/>
          <w:kern w:val="0"/>
          <w:highlight w:val="none"/>
        </w:rPr>
        <w:t>）。专用合同条款及其附件须经合同当事人</w:t>
      </w:r>
      <w:r>
        <w:rPr>
          <w:rFonts w:hint="eastAsia" w:ascii="宋体" w:hAnsi="宋体" w:eastAsia="宋体" w:cs="宋体"/>
          <w:color w:val="000000"/>
          <w:highlight w:val="none"/>
          <w:lang w:eastAsia="zh-CN" w:bidi="ar-SA"/>
        </w:rPr>
        <w:t>法定代表人或委托代理人</w:t>
      </w:r>
      <w:r>
        <w:rPr>
          <w:rStyle w:val="19"/>
          <w:rFonts w:hint="eastAsia" w:ascii="宋体" w:hAnsi="宋体" w:eastAsia="宋体" w:cs="宋体"/>
          <w:color w:val="000000"/>
          <w:kern w:val="0"/>
          <w:highlight w:val="none"/>
        </w:rPr>
        <w:t>签字</w:t>
      </w:r>
      <w:r>
        <w:rPr>
          <w:rStyle w:val="19"/>
          <w:rFonts w:hint="eastAsia" w:ascii="宋体" w:hAnsi="宋体" w:eastAsia="宋体" w:cs="宋体"/>
          <w:color w:val="000000"/>
          <w:kern w:val="0"/>
          <w:highlight w:val="none"/>
          <w:lang w:val="en-US" w:eastAsia="zh-CN"/>
        </w:rPr>
        <w:t>并加</w:t>
      </w:r>
      <w:r>
        <w:rPr>
          <w:rStyle w:val="19"/>
          <w:rFonts w:hint="eastAsia" w:ascii="宋体" w:hAnsi="宋体" w:eastAsia="宋体" w:cs="宋体"/>
          <w:color w:val="000000"/>
          <w:kern w:val="0"/>
          <w:highlight w:val="none"/>
        </w:rPr>
        <w:t>盖</w:t>
      </w:r>
      <w:r>
        <w:rPr>
          <w:rStyle w:val="19"/>
          <w:rFonts w:hint="eastAsia" w:ascii="宋体" w:hAnsi="宋体" w:eastAsia="宋体" w:cs="宋体"/>
          <w:color w:val="000000"/>
          <w:kern w:val="0"/>
          <w:highlight w:val="none"/>
          <w:lang w:val="en-US" w:eastAsia="zh-CN"/>
        </w:rPr>
        <w:t>双方单位公</w:t>
      </w:r>
      <w:r>
        <w:rPr>
          <w:rStyle w:val="19"/>
          <w:rFonts w:hint="eastAsia" w:ascii="宋体" w:hAnsi="宋体" w:eastAsia="宋体" w:cs="宋体"/>
          <w:color w:val="000000"/>
          <w:kern w:val="0"/>
          <w:highlight w:val="none"/>
        </w:rPr>
        <w:t>章。</w:t>
      </w:r>
    </w:p>
    <w:p w14:paraId="395D50E7">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317" w:name="_Toc389065263"/>
      <w:bookmarkStart w:id="318" w:name="_Toc1531480704"/>
      <w:bookmarkStart w:id="319" w:name="_Toc407135199"/>
      <w:bookmarkStart w:id="320" w:name="_Toc6814"/>
      <w:bookmarkStart w:id="321" w:name="_Toc373227697"/>
      <w:bookmarkStart w:id="322" w:name="_Toc373478344"/>
      <w:bookmarkStart w:id="323" w:name="_Toc78449785"/>
      <w:bookmarkStart w:id="324" w:name="_Toc1537247101"/>
      <w:r>
        <w:rPr>
          <w:rStyle w:val="19"/>
          <w:rFonts w:ascii="宋体" w:hAnsi="宋体" w:eastAsia="宋体" w:cs="Times New Roman"/>
          <w:b/>
          <w:bCs/>
          <w:color w:val="000000"/>
          <w:sz w:val="32"/>
          <w:szCs w:val="32"/>
          <w:highlight w:val="none"/>
          <w:lang w:val="zh-CN"/>
        </w:rPr>
        <w:t xml:space="preserve">1.6 </w:t>
      </w:r>
      <w:r>
        <w:rPr>
          <w:rStyle w:val="19"/>
          <w:rFonts w:hint="eastAsia" w:ascii="宋体" w:hAnsi="宋体" w:eastAsia="宋体" w:cs="黑体"/>
          <w:b/>
          <w:bCs/>
          <w:color w:val="000000"/>
          <w:sz w:val="32"/>
          <w:szCs w:val="32"/>
          <w:highlight w:val="none"/>
          <w:lang w:val="zh-CN"/>
        </w:rPr>
        <w:t>图纸和承包人文件</w:t>
      </w:r>
      <w:bookmarkEnd w:id="317"/>
      <w:bookmarkEnd w:id="318"/>
      <w:bookmarkEnd w:id="319"/>
      <w:bookmarkEnd w:id="320"/>
      <w:bookmarkEnd w:id="321"/>
      <w:bookmarkEnd w:id="322"/>
      <w:bookmarkEnd w:id="323"/>
      <w:bookmarkEnd w:id="324"/>
      <w:r>
        <w:rPr>
          <w:rStyle w:val="19"/>
          <w:rFonts w:ascii="宋体" w:hAnsi="宋体" w:eastAsia="宋体" w:cs="Times New Roman"/>
          <w:b/>
          <w:bCs/>
          <w:color w:val="000000"/>
          <w:sz w:val="32"/>
          <w:szCs w:val="32"/>
          <w:highlight w:val="none"/>
          <w:lang w:val="zh-CN"/>
        </w:rPr>
        <w:tab/>
      </w:r>
    </w:p>
    <w:p w14:paraId="4F44D427">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1.6.1 </w:t>
      </w:r>
      <w:r>
        <w:rPr>
          <w:rStyle w:val="19"/>
          <w:rFonts w:hint="eastAsia" w:ascii="宋体" w:hAnsi="宋体" w:eastAsia="宋体" w:cs="宋体"/>
          <w:color w:val="000000"/>
          <w:highlight w:val="none"/>
        </w:rPr>
        <w:t>图纸的提供</w:t>
      </w:r>
    </w:p>
    <w:p w14:paraId="7A18C46D">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发包人向承包人提供图纸的期限：</w:t>
      </w:r>
      <w:r>
        <w:rPr>
          <w:rStyle w:val="19"/>
          <w:rFonts w:hint="eastAsia" w:ascii="宋体" w:hAnsi="宋体" w:eastAsia="宋体" w:cs="Times New Roman"/>
          <w:color w:val="000000"/>
          <w:highlight w:val="none"/>
          <w:u w:val="single"/>
        </w:rPr>
        <w:t>合同签订之日起 7 个工作日内提供施工图</w:t>
      </w:r>
      <w:r>
        <w:rPr>
          <w:rStyle w:val="19"/>
          <w:rFonts w:hint="eastAsia" w:ascii="宋体" w:hAnsi="宋体" w:eastAsia="宋体" w:cs="宋体"/>
          <w:color w:val="000000"/>
          <w:highlight w:val="none"/>
        </w:rPr>
        <w:t>；</w:t>
      </w:r>
    </w:p>
    <w:p w14:paraId="6DD48B70">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发包人向承包人提供图纸的数量：</w:t>
      </w:r>
      <w:r>
        <w:rPr>
          <w:rStyle w:val="19"/>
          <w:rFonts w:hint="eastAsia" w:ascii="宋体" w:hAnsi="宋体" w:eastAsia="宋体" w:cs="Times New Roman"/>
          <w:color w:val="000000"/>
          <w:highlight w:val="none"/>
          <w:u w:val="single"/>
        </w:rPr>
        <w:t>叁</w:t>
      </w:r>
      <w:r>
        <w:rPr>
          <w:rStyle w:val="19"/>
          <w:rFonts w:hint="eastAsia" w:ascii="宋体" w:hAnsi="宋体" w:eastAsia="宋体" w:cs="宋体"/>
          <w:color w:val="000000"/>
          <w:highlight w:val="none"/>
        </w:rPr>
        <w:t>套（承包人需要增加图纸套数的，发包人应代为复制，复制费用由承包人承担）；</w:t>
      </w:r>
    </w:p>
    <w:p w14:paraId="5DA84A5E">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发包人向承包人提供图纸的内容：</w:t>
      </w:r>
      <w:r>
        <w:rPr>
          <w:rStyle w:val="19"/>
          <w:rFonts w:hint="eastAsia" w:ascii="宋体" w:hAnsi="宋体" w:eastAsia="宋体" w:cs="Times New Roman"/>
          <w:color w:val="000000"/>
          <w:highlight w:val="none"/>
          <w:u w:val="single"/>
        </w:rPr>
        <w:t>全套施工蓝图</w:t>
      </w:r>
      <w:r>
        <w:rPr>
          <w:rStyle w:val="19"/>
          <w:rFonts w:hint="eastAsia" w:ascii="宋体" w:hAnsi="宋体" w:eastAsia="宋体" w:cs="宋体"/>
          <w:color w:val="000000"/>
          <w:highlight w:val="none"/>
        </w:rPr>
        <w:t>。</w:t>
      </w:r>
      <w:r>
        <w:rPr>
          <w:rStyle w:val="19"/>
          <w:rFonts w:hint="eastAsia" w:ascii="Calibri" w:hAnsi="Calibri" w:eastAsia="宋体" w:cs="Times New Roman"/>
          <w:color w:val="000000"/>
          <w:szCs w:val="21"/>
          <w:highlight w:val="none"/>
          <w:u w:val="single"/>
        </w:rPr>
        <w:t>承包人在接到发包人施工图后应认真组织相关专业人员进行审核，图纸中存在问题的应在图纸会审时提出，否则在施工过程中因图纸本身存在的问题而发生变更，并由此导致费用增加的，发包人不予认可，增加费用由承包人自理，且工期不予顺延。</w:t>
      </w:r>
    </w:p>
    <w:p w14:paraId="005C5042">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1.6.4 </w:t>
      </w:r>
      <w:r>
        <w:rPr>
          <w:rStyle w:val="19"/>
          <w:rFonts w:hint="eastAsia" w:ascii="宋体" w:hAnsi="宋体" w:eastAsia="宋体" w:cs="宋体"/>
          <w:color w:val="000000"/>
          <w:highlight w:val="none"/>
        </w:rPr>
        <w:t>承包人文件</w:t>
      </w:r>
    </w:p>
    <w:p w14:paraId="6537173E">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需要由承包人提供的文件，包括</w:t>
      </w:r>
      <w:r>
        <w:rPr>
          <w:rStyle w:val="19"/>
          <w:rFonts w:hint="eastAsia" w:ascii="宋体" w:hAnsi="宋体" w:eastAsia="宋体" w:cs="宋体"/>
          <w:color w:val="000000"/>
          <w:highlight w:val="none"/>
          <w:u w:val="single"/>
        </w:rPr>
        <w:t>：</w:t>
      </w:r>
      <w:r>
        <w:rPr>
          <w:rStyle w:val="19"/>
          <w:rFonts w:hint="eastAsia" w:ascii="宋体" w:hAnsi="宋体" w:eastAsia="宋体" w:cs="Times New Roman"/>
          <w:color w:val="000000"/>
          <w:highlight w:val="none"/>
          <w:u w:val="single"/>
        </w:rPr>
        <w:t>工程施工组织设计；各专项施工方案；施工进度计划表；总平面布置及临水、临电及场地布置方案；专项深化设计图、必要的加工图和大样图</w:t>
      </w:r>
      <w:r>
        <w:rPr>
          <w:rStyle w:val="19"/>
          <w:rFonts w:hint="eastAsia" w:ascii="Calibri" w:hAnsi="Calibri" w:eastAsia="宋体" w:cs="Times New Roman"/>
          <w:color w:val="000000"/>
          <w:highlight w:val="none"/>
          <w:u w:val="single"/>
        </w:rPr>
        <w:t>，项目组织架构、竣工资料（含竣工图，竣工图编制费已含在签约合同价中）</w:t>
      </w:r>
      <w:r>
        <w:rPr>
          <w:rStyle w:val="19"/>
          <w:rFonts w:hint="eastAsia" w:ascii="宋体" w:hAnsi="宋体" w:eastAsia="宋体" w:cs="Times New Roman"/>
          <w:color w:val="000000"/>
          <w:highlight w:val="none"/>
          <w:u w:val="single"/>
        </w:rPr>
        <w:t>，均不是合同计量与支付的依据；</w:t>
      </w:r>
      <w:r>
        <w:rPr>
          <w:rStyle w:val="19"/>
          <w:rFonts w:hint="eastAsia" w:ascii="宋体" w:hAnsi="宋体" w:eastAsia="宋体" w:cs="宋体"/>
          <w:color w:val="000000"/>
          <w:szCs w:val="21"/>
          <w:highlight w:val="none"/>
          <w:u w:val="single"/>
        </w:rPr>
        <w:t>项目现场管理人员名单及证件；企业资质及相关审批资料等发包人要求提供的文件；承包人提供文件所需的打印、装订、运输等一切费用由承包人负责</w:t>
      </w:r>
      <w:r>
        <w:rPr>
          <w:rStyle w:val="19"/>
          <w:rFonts w:hint="eastAsia" w:ascii="宋体" w:hAnsi="宋体" w:eastAsia="宋体" w:cs="宋体"/>
          <w:color w:val="000000"/>
          <w:highlight w:val="none"/>
          <w:u w:val="single"/>
        </w:rPr>
        <w:t>；</w:t>
      </w:r>
    </w:p>
    <w:p w14:paraId="35026AFC">
      <w:pPr>
        <w:pStyle w:val="89"/>
        <w:pageBreakBefore w:val="0"/>
        <w:kinsoku/>
        <w:wordWrap/>
        <w:overflowPunct/>
        <w:topLinePunct w:val="0"/>
        <w:bidi w:val="0"/>
        <w:spacing w:line="360" w:lineRule="auto"/>
        <w:ind w:firstLine="420" w:firstLineChars="200"/>
        <w:rPr>
          <w:rStyle w:val="19"/>
          <w:rFonts w:ascii="宋体" w:hAnsi="宋体" w:eastAsia="宋体" w:cs="宋体"/>
          <w:color w:val="000000"/>
          <w:highlight w:val="none"/>
        </w:rPr>
      </w:pPr>
      <w:r>
        <w:rPr>
          <w:rStyle w:val="19"/>
          <w:rFonts w:hint="eastAsia" w:ascii="宋体" w:hAnsi="宋体" w:eastAsia="宋体" w:cs="宋体"/>
          <w:color w:val="000000"/>
          <w:highlight w:val="none"/>
        </w:rPr>
        <w:t>承包人提供的文件的期限为：</w:t>
      </w:r>
      <w:r>
        <w:rPr>
          <w:rStyle w:val="19"/>
          <w:rFonts w:hint="eastAsia" w:ascii="宋体" w:hAnsi="宋体" w:eastAsia="宋体" w:cs="宋体"/>
          <w:color w:val="000000"/>
          <w:highlight w:val="none"/>
          <w:u w:val="single"/>
        </w:rPr>
        <w:t>竣工验收正式通过后 5 天（工程造价在 500 万元以下含 500万元）、10 天（工程造价在 500 万元至 1000 万元之间含 1000 万元）、15 天（工程造价在 1000万元以上）；承包人逾期</w:t>
      </w:r>
      <w:r>
        <w:rPr>
          <w:rStyle w:val="19"/>
          <w:rFonts w:hint="eastAsia" w:ascii="宋体" w:hAnsi="宋体" w:eastAsia="宋体" w:cs="宋体"/>
          <w:color w:val="000000"/>
          <w:highlight w:val="none"/>
          <w:u w:val="single"/>
          <w:lang w:val="en-US" w:eastAsia="zh-CN"/>
        </w:rPr>
        <w:t>提供</w:t>
      </w:r>
      <w:r>
        <w:rPr>
          <w:rStyle w:val="19"/>
          <w:rFonts w:hint="eastAsia" w:ascii="宋体" w:hAnsi="宋体" w:eastAsia="宋体" w:cs="宋体"/>
          <w:color w:val="000000"/>
          <w:highlight w:val="none"/>
          <w:u w:val="single"/>
        </w:rPr>
        <w:t>文件</w:t>
      </w:r>
      <w:r>
        <w:rPr>
          <w:rStyle w:val="19"/>
          <w:rFonts w:hint="eastAsia" w:ascii="宋体" w:hAnsi="宋体" w:eastAsia="宋体" w:cs="宋体"/>
          <w:color w:val="000000"/>
          <w:highlight w:val="none"/>
          <w:u w:val="single"/>
          <w:lang w:eastAsia="zh-CN"/>
        </w:rPr>
        <w:t>（</w:t>
      </w:r>
      <w:r>
        <w:rPr>
          <w:rStyle w:val="19"/>
          <w:rFonts w:hint="eastAsia" w:ascii="宋体" w:hAnsi="宋体" w:eastAsia="宋体" w:cs="宋体"/>
          <w:color w:val="000000"/>
          <w:highlight w:val="none"/>
          <w:u w:val="single"/>
          <w:lang w:val="en-US" w:eastAsia="zh-CN"/>
        </w:rPr>
        <w:t>提供</w:t>
      </w:r>
      <w:r>
        <w:rPr>
          <w:rStyle w:val="19"/>
          <w:rFonts w:hint="eastAsia" w:ascii="宋体" w:hAnsi="宋体" w:eastAsia="宋体" w:cs="宋体"/>
          <w:color w:val="000000"/>
          <w:highlight w:val="none"/>
          <w:u w:val="single"/>
          <w:lang w:eastAsia="zh-CN"/>
        </w:rPr>
        <w:t>文件</w:t>
      </w:r>
      <w:r>
        <w:rPr>
          <w:rStyle w:val="19"/>
          <w:rFonts w:hint="eastAsia" w:ascii="宋体" w:hAnsi="宋体" w:eastAsia="宋体" w:cs="宋体"/>
          <w:color w:val="000000"/>
          <w:highlight w:val="none"/>
          <w:u w:val="single"/>
          <w:lang w:val="en-US" w:eastAsia="zh-CN"/>
        </w:rPr>
        <w:t>的</w:t>
      </w:r>
      <w:r>
        <w:rPr>
          <w:rStyle w:val="19"/>
          <w:rFonts w:hint="eastAsia" w:ascii="宋体" w:hAnsi="宋体" w:eastAsia="宋体" w:cs="宋体"/>
          <w:color w:val="000000"/>
          <w:highlight w:val="none"/>
          <w:u w:val="single"/>
          <w:lang w:eastAsia="zh-CN"/>
        </w:rPr>
        <w:t>内容、数量、形式不满足发包方要求，视为未提供）</w:t>
      </w:r>
      <w:r>
        <w:rPr>
          <w:rStyle w:val="19"/>
          <w:rFonts w:hint="eastAsia" w:ascii="宋体" w:hAnsi="宋体" w:eastAsia="宋体" w:cs="宋体"/>
          <w:color w:val="000000"/>
          <w:highlight w:val="none"/>
          <w:u w:val="single"/>
        </w:rPr>
        <w:t>的，</w:t>
      </w:r>
      <w:r>
        <w:rPr>
          <w:rStyle w:val="19"/>
          <w:rFonts w:hint="eastAsia" w:ascii="宋体" w:hAnsi="宋体" w:eastAsia="宋体" w:cs="宋体"/>
          <w:color w:val="000000"/>
          <w:highlight w:val="none"/>
          <w:u w:val="single"/>
          <w:lang w:val="en-US" w:eastAsia="zh-CN"/>
        </w:rPr>
        <w:t>每逾期一天，应按按签约合同价的万分之四向</w:t>
      </w:r>
      <w:r>
        <w:rPr>
          <w:rStyle w:val="19"/>
          <w:rFonts w:hint="eastAsia" w:ascii="宋体" w:hAnsi="宋体" w:eastAsia="宋体" w:cs="宋体"/>
          <w:color w:val="000000"/>
          <w:highlight w:val="none"/>
          <w:u w:val="single"/>
        </w:rPr>
        <w:t>发包人</w:t>
      </w:r>
      <w:r>
        <w:rPr>
          <w:rStyle w:val="19"/>
          <w:rFonts w:hint="eastAsia" w:ascii="宋体" w:hAnsi="宋体" w:eastAsia="宋体" w:cs="宋体"/>
          <w:color w:val="000000"/>
          <w:highlight w:val="none"/>
          <w:u w:val="single"/>
          <w:lang w:val="en-US" w:eastAsia="zh-CN"/>
        </w:rPr>
        <w:t>支付</w:t>
      </w:r>
      <w:r>
        <w:rPr>
          <w:rStyle w:val="19"/>
          <w:rFonts w:hint="eastAsia" w:ascii="宋体" w:hAnsi="宋体" w:eastAsia="宋体" w:cs="宋体"/>
          <w:color w:val="000000"/>
          <w:highlight w:val="none"/>
          <w:u w:val="single"/>
        </w:rPr>
        <w:t>违约</w:t>
      </w:r>
      <w:r>
        <w:rPr>
          <w:rStyle w:val="19"/>
          <w:rFonts w:hint="eastAsia" w:ascii="宋体" w:hAnsi="宋体" w:eastAsia="宋体" w:cs="宋体"/>
          <w:color w:val="000000"/>
          <w:highlight w:val="none"/>
          <w:u w:val="single"/>
          <w:lang w:val="en-US" w:eastAsia="zh-CN"/>
        </w:rPr>
        <w:t>金</w:t>
      </w:r>
      <w:r>
        <w:rPr>
          <w:rStyle w:val="19"/>
          <w:rFonts w:hint="eastAsia" w:ascii="宋体" w:hAnsi="宋体" w:eastAsia="宋体" w:cs="宋体"/>
          <w:color w:val="000000"/>
          <w:highlight w:val="none"/>
          <w:u w:val="single"/>
        </w:rPr>
        <w:t>；</w:t>
      </w:r>
    </w:p>
    <w:p w14:paraId="54E08FFF">
      <w:pPr>
        <w:pStyle w:val="89"/>
        <w:pageBreakBefore w:val="0"/>
        <w:kinsoku/>
        <w:wordWrap/>
        <w:overflowPunct/>
        <w:topLinePunct w:val="0"/>
        <w:bidi w:val="0"/>
        <w:spacing w:line="360" w:lineRule="auto"/>
        <w:ind w:firstLine="420" w:firstLineChars="200"/>
        <w:rPr>
          <w:rStyle w:val="19"/>
          <w:rFonts w:ascii="宋体" w:hAnsi="宋体" w:eastAsia="宋体" w:cs="宋体"/>
          <w:color w:val="000000"/>
          <w:highlight w:val="none"/>
          <w:u w:val="single"/>
        </w:rPr>
      </w:pPr>
      <w:r>
        <w:rPr>
          <w:rStyle w:val="19"/>
          <w:rFonts w:hint="eastAsia" w:ascii="宋体" w:hAnsi="宋体" w:eastAsia="宋体" w:cs="宋体"/>
          <w:color w:val="000000"/>
          <w:highlight w:val="none"/>
        </w:rPr>
        <w:t>承包人提供的文件的数量为：</w:t>
      </w:r>
      <w:r>
        <w:rPr>
          <w:rStyle w:val="19"/>
          <w:rFonts w:hint="eastAsia" w:ascii="宋体" w:hAnsi="宋体" w:eastAsia="宋体" w:cs="宋体"/>
          <w:color w:val="000000"/>
          <w:highlight w:val="none"/>
          <w:u w:val="single"/>
        </w:rPr>
        <w:t xml:space="preserve">提供竣工图的数量为肆套； </w:t>
      </w:r>
    </w:p>
    <w:p w14:paraId="42F1BDED">
      <w:pPr>
        <w:pStyle w:val="89"/>
        <w:pageBreakBefore w:val="0"/>
        <w:kinsoku/>
        <w:wordWrap/>
        <w:overflowPunct/>
        <w:topLinePunct w:val="0"/>
        <w:bidi w:val="0"/>
        <w:spacing w:line="360" w:lineRule="auto"/>
        <w:ind w:firstLine="420" w:firstLineChars="200"/>
        <w:rPr>
          <w:rStyle w:val="19"/>
          <w:rFonts w:ascii="宋体" w:hAnsi="宋体" w:eastAsia="宋体" w:cs="宋体"/>
          <w:color w:val="000000"/>
          <w:highlight w:val="none"/>
        </w:rPr>
      </w:pPr>
      <w:r>
        <w:rPr>
          <w:rStyle w:val="19"/>
          <w:rFonts w:hint="eastAsia" w:ascii="宋体" w:hAnsi="宋体" w:eastAsia="宋体" w:cs="宋体"/>
          <w:color w:val="000000"/>
          <w:highlight w:val="none"/>
        </w:rPr>
        <w:t>承包人提供的文件的形式为：</w:t>
      </w:r>
      <w:r>
        <w:rPr>
          <w:rStyle w:val="19"/>
          <w:rFonts w:hint="eastAsia" w:ascii="宋体" w:hAnsi="宋体" w:eastAsia="宋体" w:cs="宋体"/>
          <w:color w:val="000000"/>
          <w:highlight w:val="none"/>
          <w:u w:val="single"/>
        </w:rPr>
        <w:t xml:space="preserve"> 以经承包人法定代表人签字并加盖单位公章纸质文件形式提交。</w:t>
      </w:r>
    </w:p>
    <w:p w14:paraId="7761C52F">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发包人审批承包人文件的期限：/</w:t>
      </w:r>
      <w:r>
        <w:rPr>
          <w:rStyle w:val="19"/>
          <w:rFonts w:hint="eastAsia" w:ascii="宋体" w:hAnsi="宋体" w:eastAsia="宋体" w:cs="宋体"/>
          <w:color w:val="000000"/>
          <w:highlight w:val="none"/>
          <w:u w:val="single"/>
        </w:rPr>
        <w:t>。</w:t>
      </w:r>
    </w:p>
    <w:p w14:paraId="47B69D5C">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1.6.5 </w:t>
      </w:r>
      <w:r>
        <w:rPr>
          <w:rStyle w:val="19"/>
          <w:rFonts w:hint="eastAsia" w:ascii="宋体" w:hAnsi="宋体" w:eastAsia="宋体" w:cs="宋体"/>
          <w:color w:val="000000"/>
          <w:highlight w:val="none"/>
        </w:rPr>
        <w:t>现场图纸准备</w:t>
      </w:r>
    </w:p>
    <w:p w14:paraId="29C4E4B2">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关于现场图纸准备的约定：</w:t>
      </w:r>
      <w:r>
        <w:rPr>
          <w:rStyle w:val="19"/>
          <w:rFonts w:hint="eastAsia" w:ascii="Calibri" w:hAnsi="Calibri" w:eastAsia="宋体" w:cs="Times New Roman"/>
          <w:color w:val="000000"/>
          <w:szCs w:val="21"/>
          <w:highlight w:val="none"/>
          <w:u w:val="single"/>
        </w:rPr>
        <w:t>承包人应在施工现场保留一套完整的施工图纸，供工程师及有 关人员进行工程检查时使用，未经发包人同意不许将图纸泄露和转让给第三方</w:t>
      </w:r>
      <w:r>
        <w:rPr>
          <w:rStyle w:val="19"/>
          <w:rFonts w:hint="eastAsia" w:ascii="宋体" w:hAnsi="宋体" w:eastAsia="宋体" w:cs="宋体"/>
          <w:color w:val="000000"/>
          <w:highlight w:val="none"/>
          <w:u w:val="single"/>
        </w:rPr>
        <w:t>。</w:t>
      </w:r>
    </w:p>
    <w:p w14:paraId="17AC4533">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325" w:name="_Toc110523719"/>
      <w:bookmarkStart w:id="326" w:name="_Toc373227698"/>
      <w:bookmarkStart w:id="327" w:name="_Toc389065264"/>
      <w:bookmarkStart w:id="328" w:name="_Toc22042"/>
      <w:bookmarkStart w:id="329" w:name="_Toc407135200"/>
      <w:bookmarkStart w:id="330" w:name="_Toc78449786"/>
      <w:bookmarkStart w:id="331" w:name="_Toc373478345"/>
      <w:bookmarkStart w:id="332" w:name="_Toc1944260835"/>
      <w:r>
        <w:rPr>
          <w:rStyle w:val="19"/>
          <w:rFonts w:ascii="宋体" w:hAnsi="宋体" w:eastAsia="宋体" w:cs="Times New Roman"/>
          <w:b/>
          <w:bCs/>
          <w:color w:val="000000"/>
          <w:sz w:val="32"/>
          <w:szCs w:val="32"/>
          <w:highlight w:val="none"/>
          <w:lang w:val="zh-CN"/>
        </w:rPr>
        <w:t xml:space="preserve">1.7 </w:t>
      </w:r>
      <w:r>
        <w:rPr>
          <w:rStyle w:val="19"/>
          <w:rFonts w:hint="eastAsia" w:ascii="宋体" w:hAnsi="宋体" w:eastAsia="宋体" w:cs="黑体"/>
          <w:b/>
          <w:bCs/>
          <w:color w:val="000000"/>
          <w:sz w:val="32"/>
          <w:szCs w:val="32"/>
          <w:highlight w:val="none"/>
          <w:lang w:val="zh-CN"/>
        </w:rPr>
        <w:t>联络</w:t>
      </w:r>
      <w:bookmarkEnd w:id="325"/>
      <w:bookmarkEnd w:id="326"/>
      <w:bookmarkEnd w:id="327"/>
      <w:bookmarkEnd w:id="328"/>
      <w:bookmarkEnd w:id="329"/>
      <w:bookmarkEnd w:id="330"/>
      <w:bookmarkEnd w:id="331"/>
      <w:bookmarkEnd w:id="332"/>
    </w:p>
    <w:p w14:paraId="6ABF9FC1">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1.7.1</w:t>
      </w:r>
      <w:r>
        <w:rPr>
          <w:rStyle w:val="19"/>
          <w:rFonts w:hint="eastAsia" w:ascii="宋体" w:hAnsi="宋体" w:eastAsia="宋体" w:cs="宋体"/>
          <w:color w:val="000000"/>
          <w:kern w:val="0"/>
          <w:highlight w:val="none"/>
        </w:rPr>
        <w:t>发包人和承包人应当在</w:t>
      </w:r>
      <w:r>
        <w:rPr>
          <w:rStyle w:val="19"/>
          <w:rFonts w:hint="eastAsia" w:ascii="宋体" w:hAnsi="宋体" w:eastAsia="宋体" w:cs="Times New Roman"/>
          <w:color w:val="000000"/>
          <w:highlight w:val="none"/>
          <w:u w:val="single"/>
        </w:rPr>
        <w:t>7</w:t>
      </w:r>
      <w:r>
        <w:rPr>
          <w:rStyle w:val="19"/>
          <w:rFonts w:hint="eastAsia" w:ascii="宋体" w:hAnsi="宋体" w:eastAsia="宋体" w:cs="宋体"/>
          <w:color w:val="000000"/>
          <w:kern w:val="0"/>
          <w:highlight w:val="none"/>
        </w:rPr>
        <w:t>天内将与合同有关的通知、批准、证明、证书、指示、指令、要求、请求、同意、意见、确定和决定等书面函件送达对方当事人。</w:t>
      </w:r>
    </w:p>
    <w:p w14:paraId="65FE7BFF">
      <w:pPr>
        <w:pStyle w:val="89"/>
        <w:pageBreakBefore w:val="0"/>
        <w:kinsoku/>
        <w:wordWrap/>
        <w:overflowPunct/>
        <w:topLinePunct w:val="0"/>
        <w:bidi w:val="0"/>
        <w:spacing w:line="360" w:lineRule="auto"/>
        <w:ind w:firstLine="420" w:firstLineChars="200"/>
        <w:rPr>
          <w:rStyle w:val="19"/>
          <w:rFonts w:hint="eastAsia" w:ascii="宋体" w:hAnsi="宋体" w:eastAsia="宋体" w:cs="宋体"/>
          <w:color w:val="000000"/>
          <w:kern w:val="0"/>
          <w:highlight w:val="none"/>
          <w:u w:val="single"/>
        </w:rPr>
      </w:pPr>
      <w:r>
        <w:rPr>
          <w:rStyle w:val="19"/>
          <w:rFonts w:ascii="宋体" w:hAnsi="宋体" w:eastAsia="宋体" w:cs="Times New Roman"/>
          <w:color w:val="000000"/>
          <w:kern w:val="0"/>
          <w:highlight w:val="none"/>
        </w:rPr>
        <w:t xml:space="preserve">1.7.2 </w:t>
      </w:r>
      <w:bookmarkStart w:id="333" w:name="_Toc407135201"/>
      <w:bookmarkStart w:id="334" w:name="_Toc373478346"/>
      <w:bookmarkStart w:id="335" w:name="_Toc373227699"/>
      <w:bookmarkStart w:id="336" w:name="_Toc1387231545"/>
      <w:bookmarkStart w:id="337" w:name="_Toc78449787"/>
      <w:bookmarkStart w:id="338" w:name="_Toc224348539"/>
      <w:bookmarkStart w:id="339" w:name="_Toc389065265"/>
      <w:r>
        <w:rPr>
          <w:rStyle w:val="19"/>
          <w:rFonts w:hint="eastAsia" w:ascii="宋体" w:hAnsi="宋体" w:eastAsia="宋体" w:cs="宋体"/>
          <w:color w:val="000000"/>
          <w:kern w:val="0"/>
          <w:highlight w:val="none"/>
        </w:rPr>
        <w:t>发包人接收文件的地点：</w:t>
      </w:r>
      <w:r>
        <w:rPr>
          <w:rStyle w:val="19"/>
          <w:rFonts w:hint="eastAsia" w:ascii="宋体" w:hAnsi="宋体" w:eastAsia="宋体" w:cs="宋体"/>
          <w:color w:val="000000"/>
          <w:kern w:val="0"/>
          <w:highlight w:val="none"/>
          <w:u w:val="single"/>
        </w:rPr>
        <w:t xml:space="preserve">施工现场发包人办公室； </w:t>
      </w:r>
    </w:p>
    <w:p w14:paraId="12FB8848">
      <w:pPr>
        <w:pStyle w:val="89"/>
        <w:pageBreakBefore w:val="0"/>
        <w:kinsoku/>
        <w:wordWrap/>
        <w:overflowPunct/>
        <w:topLinePunct w:val="0"/>
        <w:bidi w:val="0"/>
        <w:spacing w:line="360" w:lineRule="auto"/>
        <w:ind w:firstLine="420" w:firstLineChars="200"/>
        <w:rPr>
          <w:rStyle w:val="19"/>
          <w:rFonts w:hint="eastAsia" w:ascii="宋体" w:hAnsi="宋体" w:eastAsia="宋体" w:cs="宋体"/>
          <w:color w:val="000000"/>
          <w:kern w:val="0"/>
          <w:highlight w:val="none"/>
          <w:u w:val="single"/>
        </w:rPr>
      </w:pPr>
      <w:r>
        <w:rPr>
          <w:rFonts w:hint="eastAsia" w:ascii="宋体" w:hAnsi="宋体" w:eastAsia="宋体" w:cs="宋体"/>
          <w:color w:val="000000"/>
          <w:highlight w:val="none"/>
          <w:lang w:eastAsia="zh-CN" w:bidi="ar-SA"/>
        </w:rPr>
        <w:t>邮寄地址为：</w:t>
      </w:r>
      <w:r>
        <w:rPr>
          <w:rFonts w:hint="eastAsia" w:ascii="宋体" w:hAnsi="宋体" w:eastAsia="宋体" w:cs="宋体"/>
          <w:color w:val="000000"/>
          <w:highlight w:val="none"/>
          <w:u w:val="single"/>
          <w:lang w:eastAsia="zh-CN" w:bidi="ar-SA"/>
        </w:rPr>
        <w:t xml:space="preserve"> 广西壮族自治区南宁市青秀区中山街道桃源路22-1号广西壮族自治区人民医院职工宿舍区31层住宅楼2楼基建科 </w:t>
      </w:r>
      <w:r>
        <w:rPr>
          <w:rFonts w:hint="eastAsia" w:ascii="宋体" w:hAnsi="宋体" w:eastAsia="宋体" w:cs="宋体"/>
          <w:color w:val="000000"/>
          <w:highlight w:val="none"/>
          <w:lang w:eastAsia="zh-CN" w:bidi="ar-SA"/>
        </w:rPr>
        <w:t xml:space="preserve"> ；</w:t>
      </w:r>
    </w:p>
    <w:p w14:paraId="599A1327">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u w:val="single"/>
        </w:rPr>
      </w:pPr>
      <w:r>
        <w:rPr>
          <w:rStyle w:val="19"/>
          <w:rFonts w:hint="eastAsia" w:ascii="宋体" w:hAnsi="宋体" w:eastAsia="宋体" w:cs="宋体"/>
          <w:color w:val="000000"/>
          <w:kern w:val="0"/>
          <w:highlight w:val="none"/>
        </w:rPr>
        <w:t>发包人指定的接收人为：</w:t>
      </w:r>
      <w:r>
        <w:rPr>
          <w:rStyle w:val="19"/>
          <w:rFonts w:hint="eastAsia" w:ascii="宋体" w:hAnsi="宋体" w:eastAsia="宋体" w:cs="宋体"/>
          <w:color w:val="000000"/>
          <w:kern w:val="0"/>
          <w:highlight w:val="none"/>
          <w:u w:val="single"/>
          <w:lang w:val="en-US" w:eastAsia="zh-CN"/>
        </w:rPr>
        <w:t xml:space="preserve">      </w:t>
      </w:r>
      <w:r>
        <w:rPr>
          <w:rStyle w:val="19"/>
          <w:rFonts w:hint="eastAsia" w:ascii="宋体" w:hAnsi="宋体" w:eastAsia="宋体" w:cs="宋体"/>
          <w:color w:val="000000"/>
          <w:kern w:val="0"/>
          <w:highlight w:val="none"/>
          <w:u w:val="single"/>
        </w:rPr>
        <w:t xml:space="preserve">。 </w:t>
      </w:r>
    </w:p>
    <w:p w14:paraId="3F94DBAE">
      <w:pPr>
        <w:pStyle w:val="89"/>
        <w:pageBreakBefore w:val="0"/>
        <w:kinsoku/>
        <w:wordWrap/>
        <w:overflowPunct/>
        <w:topLinePunct w:val="0"/>
        <w:bidi w:val="0"/>
        <w:spacing w:line="360" w:lineRule="auto"/>
        <w:ind w:firstLine="420" w:firstLineChars="200"/>
        <w:rPr>
          <w:rStyle w:val="19"/>
          <w:rFonts w:ascii="宋体" w:hAnsi="宋体" w:eastAsia="宋体" w:cs="宋体"/>
          <w:color w:val="auto"/>
          <w:kern w:val="0"/>
          <w:highlight w:val="none"/>
          <w:u w:val="single"/>
        </w:rPr>
      </w:pPr>
      <w:r>
        <w:rPr>
          <w:rStyle w:val="19"/>
          <w:rFonts w:hint="eastAsia" w:ascii="宋体" w:hAnsi="宋体" w:eastAsia="宋体" w:cs="宋体"/>
          <w:color w:val="auto"/>
          <w:kern w:val="0"/>
          <w:highlight w:val="none"/>
        </w:rPr>
        <w:t>承包人接收文件的地点：</w:t>
      </w:r>
      <w:r>
        <w:rPr>
          <w:rStyle w:val="19"/>
          <w:rFonts w:hint="eastAsia" w:ascii="宋体" w:hAnsi="宋体" w:eastAsia="宋体" w:cs="宋体"/>
          <w:color w:val="auto"/>
          <w:kern w:val="0"/>
          <w:highlight w:val="none"/>
          <w:u w:val="single"/>
        </w:rPr>
        <w:t xml:space="preserve">施工现场承包人办公室； </w:t>
      </w:r>
    </w:p>
    <w:p w14:paraId="5B6534EF">
      <w:pPr>
        <w:pStyle w:val="89"/>
        <w:pageBreakBefore w:val="0"/>
        <w:kinsoku/>
        <w:wordWrap/>
        <w:overflowPunct/>
        <w:topLinePunct w:val="0"/>
        <w:bidi w:val="0"/>
        <w:spacing w:line="360" w:lineRule="auto"/>
        <w:ind w:firstLine="420" w:firstLineChars="200"/>
        <w:rPr>
          <w:rStyle w:val="19"/>
          <w:rFonts w:hint="eastAsia" w:ascii="宋体" w:hAnsi="宋体" w:eastAsia="宋体" w:cs="宋体"/>
          <w:color w:val="auto"/>
          <w:kern w:val="0"/>
          <w:highlight w:val="none"/>
        </w:rPr>
      </w:pPr>
      <w:r>
        <w:rPr>
          <w:rFonts w:hint="eastAsia" w:ascii="宋体" w:hAnsi="宋体" w:eastAsia="宋体" w:cs="宋体"/>
          <w:color w:val="auto"/>
          <w:highlight w:val="none"/>
          <w:lang w:eastAsia="zh-CN" w:bidi="ar-SA"/>
        </w:rPr>
        <w:t>邮寄地址为：</w:t>
      </w:r>
      <w:r>
        <w:rPr>
          <w:rFonts w:hint="eastAsia" w:ascii="宋体" w:hAnsi="宋体" w:eastAsia="宋体" w:cs="宋体"/>
          <w:color w:val="auto"/>
          <w:highlight w:val="none"/>
          <w:u w:val="single"/>
          <w:lang w:eastAsia="zh-CN" w:bidi="ar-SA"/>
        </w:rPr>
        <w:t xml:space="preserve"> </w:t>
      </w:r>
      <w:r>
        <w:rPr>
          <w:rFonts w:hint="eastAsia" w:ascii="宋体" w:hAnsi="宋体" w:eastAsia="宋体" w:cs="宋体"/>
          <w:color w:val="auto"/>
          <w:highlight w:val="none"/>
          <w:u w:val="single"/>
          <w:lang w:val="en-US" w:eastAsia="zh-CN" w:bidi="ar-SA"/>
        </w:rPr>
        <w:t xml:space="preserve">  </w:t>
      </w:r>
      <w:r>
        <w:rPr>
          <w:rFonts w:hint="eastAsia" w:ascii="宋体" w:hAnsi="宋体" w:eastAsia="宋体" w:cs="宋体"/>
          <w:color w:val="auto"/>
          <w:highlight w:val="none"/>
          <w:u w:val="single"/>
          <w:lang w:eastAsia="zh-CN" w:bidi="ar-SA"/>
        </w:rPr>
        <w:t xml:space="preserve"> </w:t>
      </w:r>
      <w:r>
        <w:rPr>
          <w:rFonts w:hint="eastAsia" w:ascii="宋体" w:hAnsi="宋体" w:eastAsia="宋体" w:cs="宋体"/>
          <w:color w:val="auto"/>
          <w:highlight w:val="none"/>
          <w:lang w:eastAsia="zh-CN" w:bidi="ar-SA"/>
        </w:rPr>
        <w:t xml:space="preserve"> ；</w:t>
      </w:r>
    </w:p>
    <w:p w14:paraId="5EDDD635">
      <w:pPr>
        <w:pStyle w:val="89"/>
        <w:pageBreakBefore w:val="0"/>
        <w:kinsoku/>
        <w:wordWrap/>
        <w:overflowPunct/>
        <w:topLinePunct w:val="0"/>
        <w:bidi w:val="0"/>
        <w:spacing w:line="360" w:lineRule="auto"/>
        <w:ind w:firstLine="420" w:firstLineChars="200"/>
        <w:rPr>
          <w:rStyle w:val="19"/>
          <w:rFonts w:hint="eastAsia" w:ascii="宋体" w:hAnsi="宋体" w:eastAsia="宋体" w:cs="宋体"/>
          <w:color w:val="000000"/>
          <w:kern w:val="0"/>
          <w:highlight w:val="none"/>
          <w:u w:val="single"/>
        </w:rPr>
      </w:pPr>
      <w:r>
        <w:rPr>
          <w:rStyle w:val="19"/>
          <w:rFonts w:hint="eastAsia" w:ascii="宋体" w:hAnsi="宋体" w:eastAsia="宋体" w:cs="宋体"/>
          <w:color w:val="auto"/>
          <w:kern w:val="0"/>
          <w:highlight w:val="none"/>
        </w:rPr>
        <w:t>承包人指定的接收人为：</w:t>
      </w:r>
      <w:r>
        <w:rPr>
          <w:rStyle w:val="19"/>
          <w:rFonts w:hint="eastAsia" w:ascii="宋体" w:hAnsi="宋体" w:eastAsia="宋体" w:cs="宋体"/>
          <w:color w:val="auto"/>
          <w:kern w:val="0"/>
          <w:highlight w:val="none"/>
          <w:u w:val="single"/>
          <w:lang w:val="en-US" w:eastAsia="zh-CN"/>
        </w:rPr>
        <w:t xml:space="preserve">  </w:t>
      </w:r>
      <w:r>
        <w:rPr>
          <w:rStyle w:val="19"/>
          <w:rFonts w:hint="eastAsia" w:ascii="宋体" w:hAnsi="宋体" w:eastAsia="宋体" w:cs="宋体"/>
          <w:color w:val="000000"/>
          <w:kern w:val="0"/>
          <w:highlight w:val="none"/>
        </w:rPr>
        <w:t>监理人接收文件的地点：</w:t>
      </w:r>
      <w:r>
        <w:rPr>
          <w:rStyle w:val="19"/>
          <w:rFonts w:hint="eastAsia" w:ascii="宋体" w:hAnsi="宋体" w:eastAsia="宋体" w:cs="宋体"/>
          <w:color w:val="000000"/>
          <w:kern w:val="0"/>
          <w:highlight w:val="none"/>
          <w:u w:val="single"/>
        </w:rPr>
        <w:t xml:space="preserve">施工现场监理人办公室； </w:t>
      </w:r>
    </w:p>
    <w:p w14:paraId="0F3D5412">
      <w:pPr>
        <w:pStyle w:val="89"/>
        <w:pageBreakBefore w:val="0"/>
        <w:kinsoku/>
        <w:wordWrap/>
        <w:overflowPunct/>
        <w:topLinePunct w:val="0"/>
        <w:bidi w:val="0"/>
        <w:spacing w:line="360" w:lineRule="auto"/>
        <w:ind w:firstLine="420" w:firstLineChars="200"/>
        <w:rPr>
          <w:rStyle w:val="19"/>
          <w:rFonts w:hint="eastAsia" w:ascii="宋体" w:hAnsi="宋体" w:eastAsia="宋体" w:cs="宋体"/>
          <w:color w:val="000000"/>
          <w:kern w:val="0"/>
          <w:highlight w:val="none"/>
          <w:u w:val="single"/>
        </w:rPr>
      </w:pPr>
      <w:r>
        <w:rPr>
          <w:rFonts w:hint="eastAsia" w:ascii="宋体" w:hAnsi="宋体" w:eastAsia="宋体" w:cs="宋体"/>
          <w:color w:val="000000"/>
          <w:highlight w:val="none"/>
          <w:lang w:eastAsia="zh-CN" w:bidi="ar-SA"/>
        </w:rPr>
        <w:t>邮寄地址为：</w:t>
      </w:r>
      <w:r>
        <w:rPr>
          <w:rFonts w:hint="eastAsia" w:ascii="宋体" w:hAnsi="宋体" w:eastAsia="宋体" w:cs="宋体"/>
          <w:color w:val="000000"/>
          <w:highlight w:val="none"/>
          <w:u w:val="single"/>
          <w:lang w:eastAsia="zh-CN" w:bidi="ar-SA"/>
        </w:rPr>
        <w:t xml:space="preserve">           </w:t>
      </w:r>
      <w:r>
        <w:rPr>
          <w:rFonts w:hint="eastAsia" w:ascii="宋体" w:hAnsi="宋体" w:eastAsia="宋体" w:cs="宋体"/>
          <w:color w:val="000000"/>
          <w:highlight w:val="none"/>
          <w:u w:val="single"/>
          <w:lang w:val="en-US" w:eastAsia="zh-CN" w:bidi="ar-SA"/>
        </w:rPr>
        <w:t>\</w:t>
      </w:r>
      <w:r>
        <w:rPr>
          <w:rFonts w:hint="eastAsia" w:ascii="宋体" w:hAnsi="宋体" w:eastAsia="宋体" w:cs="宋体"/>
          <w:color w:val="000000"/>
          <w:highlight w:val="none"/>
          <w:u w:val="single"/>
          <w:lang w:eastAsia="zh-CN" w:bidi="ar-SA"/>
        </w:rPr>
        <w:t xml:space="preserve">         </w:t>
      </w:r>
      <w:r>
        <w:rPr>
          <w:rFonts w:hint="eastAsia" w:ascii="宋体" w:hAnsi="宋体" w:eastAsia="宋体" w:cs="宋体"/>
          <w:color w:val="000000"/>
          <w:highlight w:val="none"/>
          <w:lang w:eastAsia="zh-CN" w:bidi="ar-SA"/>
        </w:rPr>
        <w:t xml:space="preserve"> ；</w:t>
      </w:r>
    </w:p>
    <w:p w14:paraId="2B07E517">
      <w:pPr>
        <w:pStyle w:val="89"/>
        <w:pageBreakBefore w:val="0"/>
        <w:kinsoku/>
        <w:wordWrap/>
        <w:overflowPunct/>
        <w:topLinePunct w:val="0"/>
        <w:bidi w:val="0"/>
        <w:spacing w:line="360" w:lineRule="auto"/>
        <w:ind w:firstLine="420" w:firstLineChars="200"/>
        <w:rPr>
          <w:rStyle w:val="19"/>
          <w:rFonts w:ascii="宋体" w:hAnsi="宋体" w:eastAsia="宋体" w:cs="宋体"/>
          <w:color w:val="000000"/>
          <w:kern w:val="0"/>
          <w:highlight w:val="none"/>
          <w:u w:val="single"/>
        </w:rPr>
      </w:pPr>
      <w:r>
        <w:rPr>
          <w:rStyle w:val="19"/>
          <w:rFonts w:hint="eastAsia" w:ascii="宋体" w:hAnsi="宋体" w:eastAsia="宋体" w:cs="宋体"/>
          <w:color w:val="000000"/>
          <w:kern w:val="0"/>
          <w:highlight w:val="none"/>
        </w:rPr>
        <w:t>监理人指定的接收人为：</w:t>
      </w:r>
      <w:r>
        <w:rPr>
          <w:rStyle w:val="19"/>
          <w:rFonts w:hint="eastAsia" w:ascii="宋体" w:hAnsi="宋体" w:eastAsia="宋体" w:cs="宋体"/>
          <w:color w:val="000000"/>
          <w:kern w:val="0"/>
          <w:highlight w:val="none"/>
          <w:u w:val="single"/>
        </w:rPr>
        <w:t>现场项目监理部监理人员</w:t>
      </w:r>
      <w:r>
        <w:rPr>
          <w:rStyle w:val="19"/>
          <w:rFonts w:hint="eastAsia" w:ascii="宋体" w:hAnsi="宋体" w:eastAsia="宋体" w:cs="宋体"/>
          <w:color w:val="000000"/>
          <w:kern w:val="0"/>
          <w:highlight w:val="none"/>
          <w:u w:val="single"/>
          <w:lang w:eastAsia="zh-CN"/>
        </w:rPr>
        <w:t>，</w:t>
      </w:r>
      <w:r>
        <w:rPr>
          <w:rStyle w:val="19"/>
          <w:rFonts w:hint="eastAsia" w:ascii="宋体" w:hAnsi="宋体" w:eastAsia="宋体" w:cs="宋体"/>
          <w:color w:val="000000"/>
          <w:kern w:val="0"/>
          <w:highlight w:val="none"/>
          <w:u w:val="single"/>
        </w:rPr>
        <w:t>手机号：</w:t>
      </w:r>
      <w:r>
        <w:rPr>
          <w:rStyle w:val="19"/>
          <w:rFonts w:hint="eastAsia" w:ascii="宋体" w:hAnsi="宋体" w:eastAsia="宋体" w:cs="宋体"/>
          <w:color w:val="000000"/>
          <w:kern w:val="0"/>
          <w:highlight w:val="none"/>
          <w:u w:val="single"/>
          <w:lang w:val="en-US" w:eastAsia="zh-CN"/>
        </w:rPr>
        <w:t xml:space="preserve">  \  </w:t>
      </w:r>
      <w:r>
        <w:rPr>
          <w:rStyle w:val="19"/>
          <w:rFonts w:hint="eastAsia" w:ascii="宋体" w:hAnsi="宋体" w:eastAsia="宋体" w:cs="宋体"/>
          <w:color w:val="000000"/>
          <w:kern w:val="0"/>
          <w:highlight w:val="none"/>
          <w:u w:val="single"/>
        </w:rPr>
        <w:t xml:space="preserve">，电子邮箱： </w:t>
      </w:r>
      <w:r>
        <w:rPr>
          <w:rStyle w:val="19"/>
          <w:rFonts w:hint="eastAsia" w:ascii="宋体" w:hAnsi="宋体" w:eastAsia="宋体" w:cs="宋体"/>
          <w:color w:val="000000"/>
          <w:kern w:val="0"/>
          <w:highlight w:val="none"/>
          <w:u w:val="single"/>
          <w:lang w:val="en-US" w:eastAsia="zh-CN"/>
        </w:rPr>
        <w:t>\</w:t>
      </w:r>
      <w:r>
        <w:rPr>
          <w:rStyle w:val="19"/>
          <w:rFonts w:hint="eastAsia" w:ascii="宋体" w:hAnsi="宋体" w:eastAsia="宋体" w:cs="宋体"/>
          <w:color w:val="000000"/>
          <w:kern w:val="0"/>
          <w:highlight w:val="none"/>
          <w:u w:val="single"/>
        </w:rPr>
        <w:t>。</w:t>
      </w:r>
    </w:p>
    <w:p w14:paraId="564BA026">
      <w:pPr>
        <w:pStyle w:val="89"/>
        <w:pageBreakBefore w:val="0"/>
        <w:kinsoku/>
        <w:wordWrap/>
        <w:overflowPunct/>
        <w:topLinePunct w:val="0"/>
        <w:bidi w:val="0"/>
        <w:spacing w:line="360" w:lineRule="auto"/>
        <w:ind w:firstLine="643" w:firstLineChars="200"/>
        <w:rPr>
          <w:rStyle w:val="19"/>
          <w:rFonts w:ascii="宋体" w:hAnsi="宋体" w:eastAsia="宋体" w:cs="Times New Roman"/>
          <w:b/>
          <w:bCs/>
          <w:color w:val="000000"/>
          <w:sz w:val="32"/>
          <w:szCs w:val="32"/>
          <w:highlight w:val="none"/>
          <w:lang w:val="zh-CN"/>
        </w:rPr>
      </w:pPr>
      <w:r>
        <w:rPr>
          <w:rStyle w:val="19"/>
          <w:rFonts w:ascii="宋体" w:hAnsi="宋体" w:eastAsia="宋体" w:cs="Times New Roman"/>
          <w:b/>
          <w:bCs/>
          <w:color w:val="000000"/>
          <w:sz w:val="32"/>
          <w:szCs w:val="32"/>
          <w:highlight w:val="none"/>
          <w:lang w:val="zh-CN"/>
        </w:rPr>
        <w:t xml:space="preserve">1.10 </w:t>
      </w:r>
      <w:r>
        <w:rPr>
          <w:rStyle w:val="19"/>
          <w:rFonts w:hint="eastAsia" w:ascii="宋体" w:hAnsi="宋体" w:eastAsia="宋体" w:cs="黑体"/>
          <w:b/>
          <w:bCs/>
          <w:color w:val="000000"/>
          <w:sz w:val="32"/>
          <w:szCs w:val="32"/>
          <w:highlight w:val="none"/>
          <w:lang w:val="zh-CN"/>
        </w:rPr>
        <w:t>交通运输</w:t>
      </w:r>
      <w:bookmarkEnd w:id="333"/>
      <w:bookmarkEnd w:id="334"/>
      <w:bookmarkEnd w:id="335"/>
      <w:bookmarkEnd w:id="336"/>
      <w:bookmarkEnd w:id="337"/>
      <w:bookmarkEnd w:id="338"/>
      <w:bookmarkEnd w:id="339"/>
    </w:p>
    <w:p w14:paraId="0027457C">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1</w:t>
      </w:r>
      <w:bookmarkStart w:id="340" w:name="_Toc300934943"/>
      <w:bookmarkStart w:id="341" w:name="_Toc318581155"/>
      <w:bookmarkStart w:id="342" w:name="_Toc303539100"/>
      <w:bookmarkStart w:id="343" w:name="_Toc304295521"/>
      <w:bookmarkStart w:id="344" w:name="_Toc312677986"/>
      <w:r>
        <w:rPr>
          <w:rStyle w:val="19"/>
          <w:rFonts w:ascii="宋体" w:hAnsi="宋体" w:eastAsia="宋体" w:cs="Times New Roman"/>
          <w:color w:val="000000"/>
          <w:highlight w:val="none"/>
        </w:rPr>
        <w:t xml:space="preserve">.10.1 </w:t>
      </w:r>
      <w:r>
        <w:rPr>
          <w:rStyle w:val="19"/>
          <w:rFonts w:hint="eastAsia" w:ascii="宋体" w:hAnsi="宋体" w:eastAsia="宋体" w:cs="宋体"/>
          <w:color w:val="000000"/>
          <w:highlight w:val="none"/>
        </w:rPr>
        <w:t>出入现场的权利</w:t>
      </w:r>
    </w:p>
    <w:p w14:paraId="14554D8A">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关于出入现场的权利的约定：</w:t>
      </w:r>
      <w:r>
        <w:rPr>
          <w:rStyle w:val="19"/>
          <w:rFonts w:hint="eastAsia" w:ascii="宋体" w:hAnsi="宋体" w:eastAsia="宋体" w:cs="宋体"/>
          <w:color w:val="000000"/>
          <w:szCs w:val="21"/>
          <w:highlight w:val="none"/>
          <w:u w:val="single"/>
        </w:rPr>
        <w:t>经发包人授权同意的，承包人需无条件同意</w:t>
      </w:r>
      <w:r>
        <w:rPr>
          <w:rStyle w:val="19"/>
          <w:rFonts w:hint="eastAsia" w:ascii="宋体" w:hAnsi="宋体" w:eastAsia="宋体" w:cs="宋体"/>
          <w:color w:val="000000"/>
          <w:highlight w:val="none"/>
        </w:rPr>
        <w:t>。</w:t>
      </w:r>
    </w:p>
    <w:bookmarkEnd w:id="340"/>
    <w:bookmarkEnd w:id="341"/>
    <w:bookmarkEnd w:id="342"/>
    <w:bookmarkEnd w:id="343"/>
    <w:bookmarkEnd w:id="344"/>
    <w:p w14:paraId="70705039">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1</w:t>
      </w:r>
      <w:bookmarkStart w:id="345" w:name="_Toc312677987"/>
      <w:bookmarkStart w:id="346" w:name="_Toc304295522"/>
      <w:bookmarkStart w:id="347" w:name="_Toc300934944"/>
      <w:bookmarkStart w:id="348" w:name="_Toc303539101"/>
      <w:bookmarkStart w:id="349" w:name="_Toc318581156"/>
      <w:r>
        <w:rPr>
          <w:rStyle w:val="19"/>
          <w:rFonts w:ascii="宋体" w:hAnsi="宋体" w:eastAsia="宋体" w:cs="Times New Roman"/>
          <w:color w:val="000000"/>
          <w:highlight w:val="none"/>
        </w:rPr>
        <w:t xml:space="preserve">.10.3 </w:t>
      </w:r>
      <w:r>
        <w:rPr>
          <w:rStyle w:val="19"/>
          <w:rFonts w:hint="eastAsia" w:ascii="宋体" w:hAnsi="宋体" w:eastAsia="宋体" w:cs="宋体"/>
          <w:color w:val="000000"/>
          <w:highlight w:val="none"/>
        </w:rPr>
        <w:t>场内交通</w:t>
      </w:r>
    </w:p>
    <w:p w14:paraId="2A3FD139">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关于场外交通和场内交通的边界的约定：</w:t>
      </w:r>
      <w:r>
        <w:rPr>
          <w:rStyle w:val="19"/>
          <w:rFonts w:hint="eastAsia" w:ascii="宋体" w:hAnsi="宋体" w:eastAsia="宋体" w:cs="宋体"/>
          <w:color w:val="000000"/>
          <w:szCs w:val="21"/>
          <w:highlight w:val="none"/>
          <w:u w:val="single"/>
        </w:rPr>
        <w:t>以本合同施工图纸为准</w:t>
      </w:r>
      <w:r>
        <w:rPr>
          <w:rStyle w:val="19"/>
          <w:rFonts w:hint="eastAsia" w:ascii="宋体" w:hAnsi="宋体" w:eastAsia="宋体" w:cs="宋体"/>
          <w:color w:val="000000"/>
          <w:highlight w:val="none"/>
        </w:rPr>
        <w:t>。</w:t>
      </w:r>
    </w:p>
    <w:p w14:paraId="534991F4">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ascii="宋体" w:hAnsi="宋体" w:eastAsia="宋体" w:cs="Times New Roman"/>
          <w:color w:val="000000"/>
          <w:highlight w:val="none"/>
        </w:rPr>
        <w:t>关于发包人向承包人免费提供满足工程施工需要的场内道路和交通设施的约定：</w:t>
      </w:r>
      <w:bookmarkEnd w:id="345"/>
      <w:bookmarkEnd w:id="346"/>
      <w:bookmarkEnd w:id="347"/>
      <w:bookmarkEnd w:id="348"/>
      <w:bookmarkEnd w:id="349"/>
      <w:bookmarkStart w:id="350" w:name="_Toc318581157"/>
      <w:r>
        <w:rPr>
          <w:rStyle w:val="19"/>
          <w:rFonts w:hint="eastAsia" w:ascii="Calibri" w:hAnsi="Calibri" w:eastAsia="宋体" w:cs="Times New Roman"/>
          <w:color w:val="000000"/>
          <w:szCs w:val="21"/>
          <w:highlight w:val="none"/>
          <w:u w:val="single"/>
        </w:rPr>
        <w:t>由承包人 根据现场实际自行考虑，费用自理。若因承包人原因造成上述道路或交通设施（包含施工现场所在楼栋消防步梯、电梯等）损坏的，承包人负责按原标准进行修复并承担由此增加的费用，若因此给发包人造成损失的，还应当赔偿发包人全部损失。</w:t>
      </w:r>
    </w:p>
    <w:p w14:paraId="62E41763">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1.10.4 </w:t>
      </w:r>
      <w:r>
        <w:rPr>
          <w:rStyle w:val="19"/>
          <w:rFonts w:hint="eastAsia" w:ascii="宋体" w:hAnsi="宋体" w:eastAsia="宋体" w:cs="宋体"/>
          <w:color w:val="000000"/>
          <w:highlight w:val="none"/>
        </w:rPr>
        <w:t>超大件和超重件的运输</w:t>
      </w:r>
    </w:p>
    <w:p w14:paraId="7DD7BCF6">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运输超大件或超重件所需的道路和桥梁临时加固改造费用和其他有关费用由</w:t>
      </w:r>
      <w:r>
        <w:rPr>
          <w:rStyle w:val="19"/>
          <w:rFonts w:hint="eastAsia" w:ascii="宋体" w:hAnsi="宋体" w:eastAsia="宋体" w:cs="宋体"/>
          <w:color w:val="000000"/>
          <w:szCs w:val="21"/>
          <w:highlight w:val="none"/>
          <w:u w:val="single"/>
        </w:rPr>
        <w:t>承包人</w:t>
      </w:r>
      <w:r>
        <w:rPr>
          <w:rStyle w:val="19"/>
          <w:rFonts w:hint="eastAsia" w:ascii="宋体" w:hAnsi="宋体" w:eastAsia="宋体" w:cs="宋体"/>
          <w:color w:val="000000"/>
          <w:highlight w:val="none"/>
        </w:rPr>
        <w:t>承担。</w:t>
      </w:r>
    </w:p>
    <w:bookmarkEnd w:id="350"/>
    <w:p w14:paraId="56688B4F">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351" w:name="_Toc512841653"/>
      <w:bookmarkStart w:id="352" w:name="_Toc1495098807"/>
      <w:bookmarkStart w:id="353" w:name="_Toc28711"/>
      <w:bookmarkStart w:id="354" w:name="_Toc373478347"/>
      <w:bookmarkStart w:id="355" w:name="_Toc78449788"/>
      <w:bookmarkStart w:id="356" w:name="_Toc373227700"/>
      <w:bookmarkStart w:id="357" w:name="_Toc389065266"/>
      <w:bookmarkStart w:id="358" w:name="_Toc407135202"/>
      <w:r>
        <w:rPr>
          <w:rStyle w:val="19"/>
          <w:rFonts w:ascii="宋体" w:hAnsi="宋体" w:eastAsia="宋体" w:cs="Times New Roman"/>
          <w:b/>
          <w:bCs/>
          <w:color w:val="000000"/>
          <w:sz w:val="32"/>
          <w:szCs w:val="32"/>
          <w:highlight w:val="none"/>
          <w:lang w:val="zh-CN"/>
        </w:rPr>
        <w:t xml:space="preserve">1.11 </w:t>
      </w:r>
      <w:r>
        <w:rPr>
          <w:rStyle w:val="19"/>
          <w:rFonts w:hint="eastAsia" w:ascii="宋体" w:hAnsi="宋体" w:eastAsia="宋体" w:cs="黑体"/>
          <w:b/>
          <w:bCs/>
          <w:color w:val="000000"/>
          <w:sz w:val="32"/>
          <w:szCs w:val="32"/>
          <w:highlight w:val="none"/>
          <w:lang w:val="zh-CN"/>
        </w:rPr>
        <w:t>知识产权</w:t>
      </w:r>
      <w:bookmarkEnd w:id="351"/>
      <w:bookmarkEnd w:id="352"/>
      <w:bookmarkEnd w:id="353"/>
      <w:bookmarkEnd w:id="354"/>
      <w:bookmarkEnd w:id="355"/>
      <w:bookmarkEnd w:id="356"/>
      <w:bookmarkEnd w:id="357"/>
      <w:bookmarkEnd w:id="358"/>
    </w:p>
    <w:p w14:paraId="764ABF73">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1.11.1 </w:t>
      </w:r>
      <w:r>
        <w:rPr>
          <w:rStyle w:val="19"/>
          <w:rFonts w:hint="eastAsia" w:ascii="宋体" w:hAnsi="宋体" w:eastAsia="宋体" w:cs="宋体"/>
          <w:color w:val="000000"/>
          <w:highlight w:val="none"/>
        </w:rPr>
        <w:t>关于发包人提供给承包人的图纸、发包人为实施工程自行编制或委托编制的技术规范以及反映发包人关于合同要求或其他类似性质的文件的著作权的归属：</w:t>
      </w:r>
      <w:r>
        <w:rPr>
          <w:rStyle w:val="19"/>
          <w:rFonts w:hint="eastAsia" w:ascii="宋体" w:hAnsi="宋体" w:eastAsia="宋体" w:cs="宋体"/>
          <w:color w:val="000000"/>
          <w:szCs w:val="21"/>
          <w:highlight w:val="none"/>
          <w:u w:val="single"/>
        </w:rPr>
        <w:t>发包人</w:t>
      </w:r>
      <w:r>
        <w:rPr>
          <w:rStyle w:val="19"/>
          <w:rFonts w:hint="eastAsia" w:ascii="宋体" w:hAnsi="宋体" w:eastAsia="宋体" w:cs="宋体"/>
          <w:color w:val="000000"/>
          <w:highlight w:val="none"/>
        </w:rPr>
        <w:t>。</w:t>
      </w:r>
    </w:p>
    <w:p w14:paraId="597791DE">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关于发包人提供的上述文件的使用限制的要求：</w:t>
      </w:r>
      <w:r>
        <w:rPr>
          <w:rStyle w:val="19"/>
          <w:rFonts w:hint="eastAsia" w:ascii="Calibri" w:hAnsi="Calibri" w:eastAsia="宋体" w:cs="Times New Roman"/>
          <w:color w:val="000000"/>
          <w:szCs w:val="21"/>
          <w:highlight w:val="none"/>
          <w:u w:val="single"/>
        </w:rPr>
        <w:t>承包人可以为实现合同目的而复制、使用 此类文件，但不能用于与合同无关的其他事项。未经发包人书面同意，承包人不得为了合同以 外的目的而复制、使用上述文件或将之提供给任何第三方。承包人违反上述文件的使用限制要 求的，每违反一次，应当向发包人支付签约合同价 5%的违约金。</w:t>
      </w:r>
    </w:p>
    <w:p w14:paraId="113610AA">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1.11.2 </w:t>
      </w:r>
      <w:r>
        <w:rPr>
          <w:rStyle w:val="19"/>
          <w:rFonts w:hint="eastAsia" w:ascii="宋体" w:hAnsi="宋体" w:eastAsia="宋体" w:cs="宋体"/>
          <w:color w:val="000000"/>
          <w:highlight w:val="none"/>
        </w:rPr>
        <w:t>关于承包人为实施工程所编制文件的著作权的归属：</w:t>
      </w:r>
      <w:r>
        <w:rPr>
          <w:rStyle w:val="19"/>
          <w:rFonts w:hint="eastAsia" w:ascii="宋体" w:hAnsi="宋体" w:eastAsia="宋体" w:cs="宋体"/>
          <w:color w:val="000000"/>
          <w:szCs w:val="21"/>
          <w:highlight w:val="none"/>
          <w:u w:val="single"/>
        </w:rPr>
        <w:t>发包人</w:t>
      </w:r>
      <w:r>
        <w:rPr>
          <w:rStyle w:val="19"/>
          <w:rFonts w:hint="eastAsia" w:ascii="宋体" w:hAnsi="宋体" w:eastAsia="宋体" w:cs="宋体"/>
          <w:color w:val="000000"/>
          <w:szCs w:val="21"/>
          <w:highlight w:val="none"/>
          <w:u w:val="single"/>
          <w:lang w:val="en-US" w:eastAsia="zh-CN"/>
        </w:rPr>
        <w:t>所有</w:t>
      </w:r>
      <w:r>
        <w:rPr>
          <w:rStyle w:val="19"/>
          <w:rFonts w:hint="eastAsia" w:ascii="宋体" w:hAnsi="宋体" w:eastAsia="宋体" w:cs="宋体"/>
          <w:color w:val="000000"/>
          <w:highlight w:val="none"/>
        </w:rPr>
        <w:t>。</w:t>
      </w:r>
    </w:p>
    <w:p w14:paraId="564ED1BA">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关于承包人提供的上述文件的使用限制的要求：</w:t>
      </w:r>
      <w:r>
        <w:rPr>
          <w:rStyle w:val="19"/>
          <w:rFonts w:hint="eastAsia" w:ascii="宋体" w:hAnsi="宋体" w:eastAsia="宋体" w:cs="宋体"/>
          <w:color w:val="000000"/>
          <w:szCs w:val="21"/>
          <w:highlight w:val="none"/>
          <w:u w:val="single"/>
        </w:rPr>
        <w:t>仅限于本工程施工使用，未经承包人许可不得透露给第三人</w:t>
      </w:r>
      <w:r>
        <w:rPr>
          <w:rStyle w:val="19"/>
          <w:rFonts w:hint="eastAsia" w:ascii="Calibri" w:hAnsi="宋体" w:eastAsia="宋体" w:cs="宋体"/>
          <w:color w:val="000000"/>
          <w:szCs w:val="21"/>
          <w:highlight w:val="none"/>
        </w:rPr>
        <w:t>。</w:t>
      </w:r>
    </w:p>
    <w:p w14:paraId="2599B578">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u w:val="single"/>
        </w:rPr>
      </w:pPr>
      <w:r>
        <w:rPr>
          <w:rStyle w:val="19"/>
          <w:rFonts w:ascii="宋体" w:hAnsi="宋体" w:eastAsia="宋体" w:cs="Times New Roman"/>
          <w:color w:val="000000"/>
          <w:highlight w:val="none"/>
        </w:rPr>
        <w:t xml:space="preserve">1.11.4 </w:t>
      </w:r>
      <w:r>
        <w:rPr>
          <w:rStyle w:val="19"/>
          <w:rFonts w:hint="eastAsia" w:ascii="宋体" w:hAnsi="宋体" w:eastAsia="宋体" w:cs="宋体"/>
          <w:color w:val="000000"/>
          <w:highlight w:val="none"/>
        </w:rPr>
        <w:t>承包人在施工过程中所采用的专利、专有技术、技术秘密的使用费的承担方式：</w:t>
      </w:r>
      <w:r>
        <w:rPr>
          <w:rStyle w:val="19"/>
          <w:rFonts w:hint="eastAsia" w:ascii="Calibri" w:hAnsi="Calibri" w:eastAsia="宋体" w:cs="Times New Roman"/>
          <w:color w:val="000000"/>
          <w:szCs w:val="21"/>
          <w:highlight w:val="none"/>
          <w:u w:val="single"/>
        </w:rPr>
        <w:t>所 有费用已包含在本签约合同价款中，发包人不再另外向承包人支付使用费</w:t>
      </w:r>
      <w:r>
        <w:rPr>
          <w:rStyle w:val="19"/>
          <w:rFonts w:hint="eastAsia" w:ascii="宋体" w:hAnsi="宋体" w:eastAsia="宋体" w:cs="宋体"/>
          <w:color w:val="000000"/>
          <w:kern w:val="0"/>
          <w:highlight w:val="none"/>
        </w:rPr>
        <w:t>。</w:t>
      </w:r>
    </w:p>
    <w:p w14:paraId="017FB39D">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359" w:name="_Toc78449789"/>
      <w:bookmarkStart w:id="360" w:name="_Toc373478348"/>
      <w:bookmarkStart w:id="361" w:name="_Toc407135203"/>
      <w:bookmarkStart w:id="362" w:name="_Toc389065267"/>
      <w:bookmarkStart w:id="363" w:name="_Toc20847"/>
      <w:bookmarkStart w:id="364" w:name="_Toc267680563"/>
      <w:bookmarkStart w:id="365" w:name="_Toc373227701"/>
      <w:bookmarkStart w:id="366" w:name="_Toc1194977599"/>
      <w:r>
        <w:rPr>
          <w:rStyle w:val="19"/>
          <w:rFonts w:ascii="宋体" w:hAnsi="宋体" w:eastAsia="宋体" w:cs="Times New Roman"/>
          <w:b/>
          <w:bCs/>
          <w:color w:val="000000"/>
          <w:sz w:val="32"/>
          <w:szCs w:val="32"/>
          <w:highlight w:val="none"/>
          <w:lang w:val="zh-CN"/>
        </w:rPr>
        <w:t>1.13</w:t>
      </w:r>
      <w:r>
        <w:rPr>
          <w:rStyle w:val="19"/>
          <w:rFonts w:hint="eastAsia" w:ascii="宋体" w:hAnsi="宋体" w:eastAsia="宋体" w:cs="黑体"/>
          <w:b/>
          <w:bCs/>
          <w:color w:val="000000"/>
          <w:sz w:val="32"/>
          <w:szCs w:val="32"/>
          <w:highlight w:val="none"/>
          <w:lang w:val="zh-CN"/>
        </w:rPr>
        <w:t>工程量清单错误的修正</w:t>
      </w:r>
      <w:bookmarkEnd w:id="359"/>
      <w:bookmarkEnd w:id="360"/>
      <w:bookmarkEnd w:id="361"/>
      <w:bookmarkEnd w:id="362"/>
      <w:bookmarkEnd w:id="363"/>
      <w:bookmarkEnd w:id="364"/>
      <w:bookmarkEnd w:id="365"/>
      <w:bookmarkEnd w:id="366"/>
    </w:p>
    <w:p w14:paraId="7B1C96C7">
      <w:pPr>
        <w:pStyle w:val="89"/>
        <w:pageBreakBefore w:val="0"/>
        <w:kinsoku/>
        <w:wordWrap/>
        <w:overflowPunct/>
        <w:topLinePunct w:val="0"/>
        <w:bidi w:val="0"/>
        <w:spacing w:line="360" w:lineRule="auto"/>
        <w:ind w:firstLine="42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发包人提供的工程量清单，出现下列情形之一时，发包人应予以修正，并相应调整合同价格：</w:t>
      </w:r>
    </w:p>
    <w:p w14:paraId="26FC2388">
      <w:pPr>
        <w:pStyle w:val="89"/>
        <w:pageBreakBefore w:val="0"/>
        <w:kinsoku/>
        <w:wordWrap/>
        <w:overflowPunct/>
        <w:topLinePunct w:val="0"/>
        <w:bidi w:val="0"/>
        <w:spacing w:line="360" w:lineRule="auto"/>
        <w:ind w:left="42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（1）</w:t>
      </w:r>
      <w:r>
        <w:rPr>
          <w:rStyle w:val="19"/>
          <w:rFonts w:hint="eastAsia" w:ascii="宋体" w:hAnsi="宋体" w:eastAsia="宋体" w:cs="宋体"/>
          <w:color w:val="000000"/>
          <w:szCs w:val="21"/>
          <w:highlight w:val="none"/>
          <w:u w:val="single"/>
        </w:rPr>
        <w:t>工程量清单偏差超出专用合同条款约定的工程量偏差范围的</w:t>
      </w:r>
      <w:r>
        <w:rPr>
          <w:rStyle w:val="19"/>
          <w:rFonts w:hint="eastAsia" w:ascii="宋体" w:hAnsi="宋体" w:eastAsia="宋体" w:cs="宋体"/>
          <w:color w:val="000000"/>
          <w:szCs w:val="21"/>
          <w:highlight w:val="none"/>
        </w:rPr>
        <w:t>；</w:t>
      </w:r>
    </w:p>
    <w:p w14:paraId="76A86430">
      <w:pPr>
        <w:pStyle w:val="89"/>
        <w:pageBreakBefore w:val="0"/>
        <w:kinsoku/>
        <w:wordWrap/>
        <w:overflowPunct/>
        <w:topLinePunct w:val="0"/>
        <w:bidi w:val="0"/>
        <w:spacing w:line="360" w:lineRule="auto"/>
        <w:ind w:left="42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（2）</w:t>
      </w:r>
      <w:r>
        <w:rPr>
          <w:rStyle w:val="19"/>
          <w:rFonts w:hint="eastAsia" w:ascii="宋体" w:hAnsi="宋体" w:eastAsia="宋体" w:cs="宋体"/>
          <w:color w:val="000000"/>
          <w:szCs w:val="21"/>
          <w:highlight w:val="none"/>
          <w:u w:val="single"/>
        </w:rPr>
        <w:t>未按照国家现行计量规范强制性规定计量的</w:t>
      </w:r>
      <w:r>
        <w:rPr>
          <w:rStyle w:val="19"/>
          <w:rFonts w:hint="eastAsia" w:ascii="宋体" w:hAnsi="宋体" w:eastAsia="宋体" w:cs="宋体"/>
          <w:color w:val="000000"/>
          <w:szCs w:val="21"/>
          <w:highlight w:val="none"/>
        </w:rPr>
        <w:t>。</w:t>
      </w:r>
    </w:p>
    <w:p w14:paraId="44185178">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允许调整合同价格的工程量偏差范围</w:t>
      </w:r>
      <w:r>
        <w:rPr>
          <w:rStyle w:val="19"/>
          <w:rFonts w:hint="eastAsia" w:ascii="宋体" w:hAnsi="宋体" w:eastAsia="宋体" w:cs="宋体"/>
          <w:color w:val="000000"/>
          <w:highlight w:val="none"/>
        </w:rPr>
        <w:t>及其调整办法：</w:t>
      </w:r>
      <w:r>
        <w:rPr>
          <w:rStyle w:val="19"/>
          <w:rFonts w:hint="eastAsia" w:ascii="宋体" w:hAnsi="宋体" w:eastAsia="宋体" w:cs="宋体"/>
          <w:color w:val="000000"/>
          <w:szCs w:val="21"/>
          <w:highlight w:val="none"/>
          <w:u w:val="single"/>
        </w:rPr>
        <w:t>承包人实际完成的某单项清单项目工程量与招标工程量清单工程量偏差超过15%且该单项清单造价超过合同总价1 %以上的，超过后增加部分工程量或减少后剩余部分工程量的综合单价按以下方法调整：由承包人对增加的工程量或减少后剩余的工程量的综合单价按10.4.1（3）变更估价原则计算。经发包人确认调整后，作为结算依据。当以上变化引起的相关总价措施项目发生变化时，以项计算的总价措施项目应按实际发生变化的措施项目进行调整，以计算基础乘费率计算的总价措施项目按照实际发生变化的计算基础及投标报价费率进行调整</w:t>
      </w:r>
      <w:r>
        <w:rPr>
          <w:rStyle w:val="19"/>
          <w:rFonts w:hint="eastAsia" w:ascii="宋体" w:hAnsi="宋体" w:eastAsia="宋体" w:cs="宋体"/>
          <w:color w:val="000000"/>
          <w:szCs w:val="21"/>
          <w:highlight w:val="none"/>
        </w:rPr>
        <w:t>。</w:t>
      </w:r>
    </w:p>
    <w:p w14:paraId="66C41870">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367" w:name="_Toc143780453"/>
      <w:bookmarkStart w:id="368" w:name="_Toc78449790"/>
      <w:bookmarkStart w:id="369" w:name="_Toc8317"/>
      <w:bookmarkStart w:id="370" w:name="_Toc389065268"/>
      <w:bookmarkStart w:id="371" w:name="_Toc1415467590"/>
      <w:bookmarkStart w:id="372" w:name="_Toc407135204"/>
      <w:bookmarkStart w:id="373" w:name="_Toc351203634"/>
      <w:bookmarkStart w:id="374" w:name="_Toc373478349"/>
      <w:bookmarkStart w:id="375" w:name="_Toc373227702"/>
      <w:r>
        <w:rPr>
          <w:rStyle w:val="19"/>
          <w:rFonts w:ascii="宋体" w:hAnsi="宋体" w:eastAsia="宋体" w:cs="Times New Roman"/>
          <w:b/>
          <w:bCs/>
          <w:color w:val="000000"/>
          <w:sz w:val="32"/>
          <w:szCs w:val="32"/>
          <w:highlight w:val="none"/>
          <w:lang w:val="zh-CN"/>
        </w:rPr>
        <w:t>2</w:t>
      </w:r>
      <w:bookmarkStart w:id="376" w:name="_Toc296347156"/>
      <w:bookmarkStart w:id="377" w:name="_Toc292559867"/>
      <w:bookmarkStart w:id="378" w:name="_Toc296890985"/>
      <w:bookmarkStart w:id="379" w:name="_Toc296944496"/>
      <w:bookmarkStart w:id="380" w:name="_Toc292559362"/>
      <w:bookmarkStart w:id="381" w:name="_Toc296891197"/>
      <w:bookmarkStart w:id="382" w:name="_Toc297048343"/>
      <w:bookmarkStart w:id="383" w:name="_Toc296346658"/>
      <w:bookmarkStart w:id="384" w:name="_Toc297120457"/>
      <w:bookmarkStart w:id="385" w:name="_Toc296503157"/>
      <w:r>
        <w:rPr>
          <w:rStyle w:val="19"/>
          <w:rFonts w:ascii="宋体" w:hAnsi="宋体" w:eastAsia="宋体" w:cs="Times New Roman"/>
          <w:b/>
          <w:bCs/>
          <w:color w:val="000000"/>
          <w:sz w:val="32"/>
          <w:szCs w:val="32"/>
          <w:highlight w:val="none"/>
          <w:lang w:val="zh-CN"/>
        </w:rPr>
        <w:t xml:space="preserve">. </w:t>
      </w:r>
      <w:r>
        <w:rPr>
          <w:rStyle w:val="19"/>
          <w:rFonts w:hint="eastAsia" w:ascii="宋体" w:hAnsi="宋体" w:eastAsia="宋体" w:cs="黑体"/>
          <w:b/>
          <w:bCs/>
          <w:color w:val="000000"/>
          <w:sz w:val="32"/>
          <w:szCs w:val="32"/>
          <w:highlight w:val="none"/>
          <w:lang w:val="zh-CN"/>
        </w:rPr>
        <w:t>发包人</w:t>
      </w:r>
      <w:bookmarkEnd w:id="367"/>
      <w:bookmarkEnd w:id="368"/>
      <w:bookmarkEnd w:id="369"/>
      <w:bookmarkEnd w:id="370"/>
      <w:bookmarkEnd w:id="371"/>
      <w:bookmarkEnd w:id="372"/>
      <w:bookmarkEnd w:id="373"/>
      <w:bookmarkEnd w:id="374"/>
      <w:bookmarkEnd w:id="375"/>
    </w:p>
    <w:bookmarkEnd w:id="376"/>
    <w:bookmarkEnd w:id="377"/>
    <w:bookmarkEnd w:id="378"/>
    <w:bookmarkEnd w:id="379"/>
    <w:bookmarkEnd w:id="380"/>
    <w:bookmarkEnd w:id="381"/>
    <w:bookmarkEnd w:id="382"/>
    <w:bookmarkEnd w:id="383"/>
    <w:bookmarkEnd w:id="384"/>
    <w:bookmarkEnd w:id="385"/>
    <w:p w14:paraId="1055386C">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386" w:name="_Toc373478350"/>
      <w:bookmarkStart w:id="387" w:name="_Toc389065269"/>
      <w:bookmarkStart w:id="388" w:name="_Toc373227703"/>
      <w:bookmarkStart w:id="389" w:name="_Toc5909"/>
      <w:bookmarkStart w:id="390" w:name="_Toc971240048"/>
      <w:bookmarkStart w:id="391" w:name="_Toc78449791"/>
      <w:bookmarkStart w:id="392" w:name="_Toc407135205"/>
      <w:bookmarkStart w:id="393" w:name="_Toc547644210"/>
      <w:r>
        <w:rPr>
          <w:rStyle w:val="19"/>
          <w:rFonts w:ascii="宋体" w:hAnsi="宋体" w:eastAsia="宋体" w:cs="Times New Roman"/>
          <w:b/>
          <w:bCs/>
          <w:color w:val="000000"/>
          <w:sz w:val="32"/>
          <w:szCs w:val="32"/>
          <w:highlight w:val="none"/>
          <w:lang w:val="zh-CN"/>
        </w:rPr>
        <w:t xml:space="preserve">2.2 </w:t>
      </w:r>
      <w:r>
        <w:rPr>
          <w:rStyle w:val="19"/>
          <w:rFonts w:hint="eastAsia" w:ascii="宋体" w:hAnsi="宋体" w:eastAsia="宋体" w:cs="黑体"/>
          <w:b/>
          <w:bCs/>
          <w:color w:val="000000"/>
          <w:sz w:val="32"/>
          <w:szCs w:val="32"/>
          <w:highlight w:val="none"/>
          <w:lang w:val="zh-CN"/>
        </w:rPr>
        <w:t>发包人代表</w:t>
      </w:r>
      <w:bookmarkEnd w:id="386"/>
      <w:bookmarkEnd w:id="387"/>
      <w:bookmarkEnd w:id="388"/>
      <w:bookmarkEnd w:id="389"/>
      <w:bookmarkEnd w:id="390"/>
      <w:bookmarkEnd w:id="391"/>
      <w:bookmarkEnd w:id="392"/>
      <w:bookmarkEnd w:id="393"/>
    </w:p>
    <w:p w14:paraId="1BC0165D">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发包人代表：</w:t>
      </w:r>
    </w:p>
    <w:p w14:paraId="44A69DB9">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姓    名：</w:t>
      </w:r>
      <w:r>
        <w:rPr>
          <w:rStyle w:val="19"/>
          <w:rFonts w:hint="eastAsia" w:ascii="MingLiU_HKSCS" w:hAnsi="MingLiU_HKSCS" w:eastAsia="MingLiU_HKSCS" w:cs="MingLiU_HKSCS"/>
          <w:color w:val="000000"/>
          <w:highlight w:val="none"/>
          <w:u w:val="single"/>
        </w:rPr>
        <w:t xml:space="preserve">  </w:t>
      </w:r>
      <w:r>
        <w:rPr>
          <w:rStyle w:val="19"/>
          <w:rFonts w:hint="eastAsia" w:ascii="宋体" w:hAnsi="宋体" w:eastAsia="宋体" w:cs="MingLiU_HKSCS"/>
          <w:color w:val="000000"/>
          <w:highlight w:val="none"/>
          <w:u w:val="single"/>
        </w:rPr>
        <w:t xml:space="preserve">     </w:t>
      </w:r>
      <w:r>
        <w:rPr>
          <w:rStyle w:val="19"/>
          <w:rFonts w:hint="eastAsia" w:ascii="MingLiU_HKSCS" w:hAnsi="MingLiU_HKSCS" w:eastAsia="MingLiU_HKSCS" w:cs="MingLiU_HKSCS"/>
          <w:color w:val="000000"/>
          <w:highlight w:val="none"/>
          <w:u w:val="single"/>
        </w:rPr>
        <w:t xml:space="preserve"> </w:t>
      </w:r>
      <w:r>
        <w:rPr>
          <w:rStyle w:val="19"/>
          <w:rFonts w:hint="eastAsia" w:ascii="MingLiU_HKSCS" w:hAnsi="MingLiU_HKSCS" w:eastAsia="宋体" w:cs="MingLiU_HKSCS"/>
          <w:color w:val="000000"/>
          <w:highlight w:val="none"/>
          <w:u w:val="single"/>
          <w:lang w:val="en-US" w:eastAsia="zh-CN"/>
        </w:rPr>
        <w:t xml:space="preserve"> </w:t>
      </w:r>
      <w:r>
        <w:rPr>
          <w:rStyle w:val="19"/>
          <w:rFonts w:hint="eastAsia" w:ascii="MingLiU_HKSCS" w:hAnsi="MingLiU_HKSCS" w:eastAsia="MingLiU_HKSCS" w:cs="MingLiU_HKSCS"/>
          <w:color w:val="000000"/>
          <w:highlight w:val="none"/>
          <w:u w:val="single"/>
        </w:rPr>
        <w:t xml:space="preserve">         </w:t>
      </w:r>
      <w:r>
        <w:rPr>
          <w:rStyle w:val="19"/>
          <w:rFonts w:ascii="宋体" w:hAnsi="宋体" w:eastAsia="宋体" w:cs="Times New Roman"/>
          <w:color w:val="000000"/>
          <w:highlight w:val="none"/>
        </w:rPr>
        <w:t>；</w:t>
      </w:r>
    </w:p>
    <w:p w14:paraId="6A08D11E">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rPr>
      </w:pPr>
      <w:r>
        <w:rPr>
          <w:rStyle w:val="19"/>
          <w:rFonts w:hint="eastAsia" w:ascii="宋体" w:hAnsi="宋体" w:eastAsia="宋体" w:cs="宋体"/>
          <w:color w:val="000000"/>
          <w:highlight w:val="none"/>
        </w:rPr>
        <w:t>发包人对发包人代表的授权范围如下：</w:t>
      </w:r>
      <w:r>
        <w:rPr>
          <w:rStyle w:val="19"/>
          <w:rFonts w:hint="eastAsia" w:ascii="宋体" w:hAnsi="宋体" w:eastAsia="宋体" w:cs="宋体"/>
          <w:color w:val="000000"/>
          <w:szCs w:val="21"/>
          <w:highlight w:val="none"/>
          <w:u w:val="single"/>
        </w:rPr>
        <w:t>对本工程的质量、进度、投资、安全、信息等事宜进行管理和控制，协调各有关单位和承包人的工作关系。应遵守法律，并办理法律规定由其办理的许可、批准或备案，包括但不限于建设用地规划许可证、建设工程规划许可证、建设工程施工许可证、施工所需临时用水、临时用电、中断道路交通、临时占用土地等许可和批准。应协助承包人办理法律规定的有关施工证件和批件，协调处理施工现场周围地下管线和邻近建筑物、构筑物、古树名木的保护工作，并承担相关费用</w:t>
      </w:r>
      <w:r>
        <w:rPr>
          <w:rStyle w:val="19"/>
          <w:rFonts w:hint="eastAsia" w:ascii="宋体" w:hAnsi="宋体" w:eastAsia="宋体" w:cs="宋体"/>
          <w:color w:val="000000"/>
          <w:szCs w:val="21"/>
          <w:highlight w:val="none"/>
        </w:rPr>
        <w:t>。</w:t>
      </w:r>
    </w:p>
    <w:p w14:paraId="2B15B8A5">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szCs w:val="21"/>
          <w:highlight w:val="none"/>
          <w:u w:val="single"/>
        </w:rPr>
      </w:pPr>
      <w:r>
        <w:rPr>
          <w:rStyle w:val="19"/>
          <w:rFonts w:hint="eastAsia" w:ascii="宋体" w:hAnsi="宋体" w:eastAsia="宋体" w:cs="宋体"/>
          <w:color w:val="000000"/>
          <w:szCs w:val="21"/>
          <w:highlight w:val="none"/>
          <w:u w:val="single"/>
        </w:rPr>
        <w:t>凡涉及合同价款或工程造价增减变化的施工方案和施工工艺实施、设计变更、现场签证、索赔、工程量、材料设备品牌选择、人工材料设备和机械台班数量及价格等事项的确认文件和工程计量、工程结算和工程款核付的确认文件及顺延工期、工程验收、工程竣工验收的确认文件，必须由发包人代表、监理工程师代表签名及加盖监理人、发包人公章后方能生效，否则无效。其他事项的确认文件，由发包人代表、监理工程师共同签名及加盖监理人、分管基建工程的职能部门公章后生效</w:t>
      </w:r>
      <w:r>
        <w:rPr>
          <w:rStyle w:val="19"/>
          <w:rFonts w:hint="eastAsia" w:ascii="宋体" w:hAnsi="宋体" w:eastAsia="宋体" w:cs="Times New Roman"/>
          <w:color w:val="000000"/>
          <w:szCs w:val="21"/>
          <w:highlight w:val="none"/>
        </w:rPr>
        <w:t>。发包人代表依据合同行使管理权利或发出各种指令时，承包人必须服从并遵照执行。</w:t>
      </w:r>
    </w:p>
    <w:p w14:paraId="769FF36C">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394" w:name="_Toc373478351"/>
      <w:bookmarkStart w:id="395" w:name="_Toc373227704"/>
      <w:bookmarkStart w:id="396" w:name="_Toc407135206"/>
      <w:bookmarkStart w:id="397" w:name="_Toc2066513957"/>
      <w:bookmarkStart w:id="398" w:name="_Toc78449792"/>
      <w:bookmarkStart w:id="399" w:name="_Toc2077499244"/>
      <w:bookmarkStart w:id="400" w:name="_Toc389065270"/>
      <w:bookmarkStart w:id="401" w:name="_Toc4789"/>
      <w:r>
        <w:rPr>
          <w:rStyle w:val="19"/>
          <w:rFonts w:ascii="宋体" w:hAnsi="宋体" w:eastAsia="宋体" w:cs="Times New Roman"/>
          <w:b/>
          <w:bCs/>
          <w:color w:val="000000"/>
          <w:sz w:val="32"/>
          <w:szCs w:val="32"/>
          <w:highlight w:val="none"/>
          <w:lang w:val="zh-CN"/>
        </w:rPr>
        <w:t xml:space="preserve">2.4 </w:t>
      </w:r>
      <w:r>
        <w:rPr>
          <w:rStyle w:val="19"/>
          <w:rFonts w:hint="eastAsia" w:ascii="宋体" w:hAnsi="宋体" w:eastAsia="宋体" w:cs="黑体"/>
          <w:b/>
          <w:bCs/>
          <w:color w:val="000000"/>
          <w:sz w:val="32"/>
          <w:szCs w:val="32"/>
          <w:highlight w:val="none"/>
          <w:lang w:val="zh-CN"/>
        </w:rPr>
        <w:t>施工现场、施工条件和基础资料的提供</w:t>
      </w:r>
      <w:bookmarkEnd w:id="394"/>
      <w:bookmarkEnd w:id="395"/>
      <w:bookmarkEnd w:id="396"/>
      <w:bookmarkEnd w:id="397"/>
      <w:bookmarkEnd w:id="398"/>
      <w:bookmarkEnd w:id="399"/>
      <w:bookmarkEnd w:id="400"/>
      <w:bookmarkEnd w:id="401"/>
    </w:p>
    <w:p w14:paraId="636B8F6A">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2.4.1 </w:t>
      </w:r>
      <w:r>
        <w:rPr>
          <w:rStyle w:val="19"/>
          <w:rFonts w:hint="eastAsia" w:ascii="宋体" w:hAnsi="宋体" w:eastAsia="宋体" w:cs="宋体"/>
          <w:color w:val="000000"/>
          <w:highlight w:val="none"/>
        </w:rPr>
        <w:t>提供施工现场</w:t>
      </w:r>
    </w:p>
    <w:p w14:paraId="26F2389E">
      <w:pPr>
        <w:pStyle w:val="89"/>
        <w:pageBreakBefore w:val="0"/>
        <w:kinsoku/>
        <w:wordWrap/>
        <w:overflowPunct/>
        <w:topLinePunct w:val="0"/>
        <w:bidi w:val="0"/>
        <w:spacing w:line="360" w:lineRule="auto"/>
        <w:ind w:firstLine="420" w:firstLineChars="200"/>
        <w:jc w:val="left"/>
        <w:rPr>
          <w:rStyle w:val="19"/>
          <w:rFonts w:hint="eastAsia" w:ascii="宋体" w:hAnsi="宋体" w:eastAsia="宋体" w:cs="宋体"/>
          <w:color w:val="000000"/>
          <w:highlight w:val="none"/>
        </w:rPr>
      </w:pPr>
      <w:r>
        <w:rPr>
          <w:rStyle w:val="19"/>
          <w:rFonts w:hint="eastAsia" w:ascii="宋体" w:hAnsi="宋体" w:eastAsia="宋体" w:cs="宋体"/>
          <w:color w:val="000000"/>
          <w:highlight w:val="none"/>
        </w:rPr>
        <w:t>关于发包人移交施工现场的期限要求：</w:t>
      </w:r>
      <w:r>
        <w:rPr>
          <w:rStyle w:val="19"/>
          <w:rFonts w:hint="eastAsia" w:ascii="宋体" w:hAnsi="宋体" w:eastAsia="宋体" w:cs="宋体"/>
          <w:color w:val="000000"/>
          <w:szCs w:val="21"/>
          <w:highlight w:val="none"/>
          <w:u w:val="single"/>
        </w:rPr>
        <w:t>发包人应最迟于开工日期7天前向承包人移交施工现场</w:t>
      </w:r>
      <w:r>
        <w:rPr>
          <w:rStyle w:val="19"/>
          <w:rFonts w:hint="eastAsia" w:ascii="宋体" w:hAnsi="宋体" w:eastAsia="宋体" w:cs="宋体"/>
          <w:color w:val="000000"/>
          <w:highlight w:val="none"/>
        </w:rPr>
        <w:t>。</w:t>
      </w:r>
    </w:p>
    <w:p w14:paraId="45E9183F">
      <w:pPr>
        <w:pStyle w:val="89"/>
        <w:pageBreakBefore w:val="0"/>
        <w:kinsoku/>
        <w:wordWrap/>
        <w:overflowPunct/>
        <w:topLinePunct w:val="0"/>
        <w:bidi w:val="0"/>
        <w:spacing w:line="360" w:lineRule="auto"/>
        <w:ind w:firstLine="420" w:firstLineChars="200"/>
        <w:jc w:val="left"/>
        <w:rPr>
          <w:rStyle w:val="19"/>
          <w:rFonts w:hint="eastAsia" w:ascii="宋体" w:hAnsi="宋体" w:eastAsia="宋体" w:cs="宋体"/>
          <w:color w:val="000000"/>
          <w:highlight w:val="none"/>
        </w:rPr>
      </w:pPr>
      <w:r>
        <w:rPr>
          <w:rStyle w:val="19"/>
          <w:rFonts w:hint="eastAsia" w:ascii="宋体" w:hAnsi="宋体" w:eastAsia="宋体" w:cs="宋体"/>
          <w:color w:val="000000"/>
          <w:highlight w:val="none"/>
        </w:rPr>
        <w:t>如无相反证据，开工令的签发是施工现场满足本合同约定的移交标准具备施工条件且发包人已将现场移交给承包人的充分证据，承包人应及时进场施工。</w:t>
      </w:r>
    </w:p>
    <w:p w14:paraId="0B7BB3FA">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2.4.2 </w:t>
      </w:r>
      <w:r>
        <w:rPr>
          <w:rStyle w:val="19"/>
          <w:rFonts w:hint="eastAsia" w:ascii="宋体" w:hAnsi="宋体" w:eastAsia="宋体" w:cs="宋体"/>
          <w:color w:val="000000"/>
          <w:highlight w:val="none"/>
        </w:rPr>
        <w:t>提供施工条件</w:t>
      </w:r>
    </w:p>
    <w:p w14:paraId="0AB60858">
      <w:pPr>
        <w:pStyle w:val="89"/>
        <w:pageBreakBefore w:val="0"/>
        <w:kinsoku/>
        <w:wordWrap/>
        <w:overflowPunct/>
        <w:topLinePunct w:val="0"/>
        <w:bidi w:val="0"/>
        <w:spacing w:line="360" w:lineRule="auto"/>
        <w:ind w:firstLine="420" w:firstLineChars="200"/>
        <w:rPr>
          <w:rStyle w:val="19"/>
          <w:rFonts w:ascii="宋体" w:hAnsi="宋体" w:eastAsia="宋体" w:cs="宋体"/>
          <w:color w:val="000000"/>
          <w:highlight w:val="none"/>
          <w:u w:val="single"/>
        </w:rPr>
      </w:pPr>
      <w:r>
        <w:rPr>
          <w:rStyle w:val="19"/>
          <w:rFonts w:hint="eastAsia" w:ascii="宋体" w:hAnsi="宋体" w:eastAsia="宋体" w:cs="宋体"/>
          <w:color w:val="000000"/>
          <w:highlight w:val="none"/>
        </w:rPr>
        <w:t>关于发包人应负责提供施工所需要的条件，包括：</w:t>
      </w:r>
      <w:r>
        <w:rPr>
          <w:rStyle w:val="19"/>
          <w:rFonts w:hint="eastAsia" w:ascii="Calibri" w:hAnsi="Calibri" w:eastAsia="宋体" w:cs="宋体"/>
          <w:color w:val="000000"/>
          <w:szCs w:val="21"/>
          <w:highlight w:val="none"/>
          <w:u w:val="single"/>
        </w:rPr>
        <w:t>距离用地边界</w:t>
      </w:r>
      <w:r>
        <w:rPr>
          <w:rStyle w:val="19"/>
          <w:rFonts w:ascii="Calibri" w:hAnsi="Calibri" w:eastAsia="宋体" w:cs="Times New Roman"/>
          <w:color w:val="000000"/>
          <w:szCs w:val="21"/>
          <w:highlight w:val="none"/>
          <w:u w:val="single"/>
        </w:rPr>
        <w:t>500</w:t>
      </w:r>
      <w:r>
        <w:rPr>
          <w:rStyle w:val="19"/>
          <w:rFonts w:hint="eastAsia" w:ascii="Calibri" w:hAnsi="Calibri" w:eastAsia="宋体" w:cs="宋体"/>
          <w:color w:val="000000"/>
          <w:szCs w:val="21"/>
          <w:highlight w:val="none"/>
          <w:u w:val="single"/>
        </w:rPr>
        <w:t>米范围内提供施工用水、电接口，由承包人自行接入，并承担相应费用；承包人可在用地边界内设置施工临时设施，项目竣工前恢复场地原状</w:t>
      </w:r>
      <w:r>
        <w:rPr>
          <w:rStyle w:val="19"/>
          <w:rFonts w:hint="eastAsia" w:ascii="宋体" w:hAnsi="宋体" w:eastAsia="宋体" w:cs="宋体"/>
          <w:color w:val="000000"/>
          <w:highlight w:val="none"/>
          <w:u w:val="single"/>
        </w:rPr>
        <w:t>，若因外部的原因造成停水停电，承包人必须自行解决，费用自理，工期不予顺延。</w:t>
      </w:r>
    </w:p>
    <w:p w14:paraId="7AA34C6B">
      <w:pPr>
        <w:pStyle w:val="89"/>
        <w:pageBreakBefore w:val="0"/>
        <w:kinsoku/>
        <w:wordWrap/>
        <w:overflowPunct/>
        <w:topLinePunct w:val="0"/>
        <w:bidi w:val="0"/>
        <w:spacing w:line="360" w:lineRule="auto"/>
        <w:ind w:firstLine="420" w:firstLineChars="200"/>
        <w:rPr>
          <w:rStyle w:val="19"/>
          <w:rFonts w:hint="eastAsia" w:ascii="宋体" w:hAnsi="宋体" w:eastAsia="宋体" w:cs="宋体"/>
          <w:color w:val="000000"/>
          <w:highlight w:val="none"/>
        </w:rPr>
      </w:pPr>
      <w:r>
        <w:rPr>
          <w:rStyle w:val="19"/>
          <w:rFonts w:hint="eastAsia" w:ascii="宋体" w:hAnsi="宋体" w:eastAsia="宋体" w:cs="宋体"/>
          <w:color w:val="000000"/>
          <w:highlight w:val="none"/>
        </w:rPr>
        <w:t>对工程现场临近发包人正在使用、运行、或由发包人用于生产的建筑物、构筑物、生产装置、设施、设备等，设置隔离设施，由承包人竖立禁止入内、禁止动火的明显安全标志。</w:t>
      </w:r>
    </w:p>
    <w:p w14:paraId="75899044">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u w:val="single"/>
        </w:rPr>
      </w:pPr>
      <w:r>
        <w:rPr>
          <w:rStyle w:val="19"/>
          <w:rFonts w:hint="eastAsia" w:ascii="Calibri" w:hAnsi="Calibri" w:eastAsia="宋体" w:cs="Times New Roman"/>
          <w:color w:val="000000"/>
          <w:highlight w:val="none"/>
        </w:rPr>
        <w:t>承包单位施工期间所使用的临水、临电等条件，发包人提供接驳点，其余均由承包人自行解决。若因外部的原因造成停水停电，承包人必须自行解决，费用自理。</w:t>
      </w:r>
    </w:p>
    <w:p w14:paraId="21121630">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u w:val="single"/>
        </w:rPr>
      </w:pPr>
      <w:r>
        <w:rPr>
          <w:rStyle w:val="19"/>
          <w:rFonts w:hint="eastAsia" w:ascii="宋体" w:hAnsi="宋体" w:eastAsia="宋体" w:cs="宋体"/>
          <w:color w:val="000000"/>
          <w:highlight w:val="none"/>
          <w:u w:val="single"/>
        </w:rPr>
        <w:t>施工水电费用约定：（1）承包人在签订施工合同后，项目进场前与发包人签订《施工用水、用电及原基础设施质保协议》并缴纳文明施工保证金，发包人开通用水用电；（2）由承包人安装临时水表及临时电表，每月与发包人共同抄表。承包人按照要求及时缴纳费用，如逾期未缴纳费用，发包人有权停水停电，造成的一切后果由承包人承担；（3）项目竣工验收后，承包人应与发包人结算水电费用，待结算完成后，由承包人申请，发包人15个工作日内</w:t>
      </w:r>
      <w:r>
        <w:rPr>
          <w:rStyle w:val="19"/>
          <w:rFonts w:hint="eastAsia" w:ascii="宋体" w:hAnsi="宋体" w:eastAsia="宋体" w:cs="宋体"/>
          <w:color w:val="000000"/>
          <w:highlight w:val="none"/>
          <w:u w:val="single"/>
          <w:lang w:val="en-US" w:eastAsia="zh-CN"/>
        </w:rPr>
        <w:t>无息</w:t>
      </w:r>
      <w:r>
        <w:rPr>
          <w:rStyle w:val="19"/>
          <w:rFonts w:hint="eastAsia" w:ascii="宋体" w:hAnsi="宋体" w:eastAsia="宋体" w:cs="宋体"/>
          <w:color w:val="000000"/>
          <w:highlight w:val="none"/>
          <w:u w:val="single"/>
        </w:rPr>
        <w:t>退还文明施工保证金。</w:t>
      </w:r>
    </w:p>
    <w:p w14:paraId="23BFB9A9">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402" w:name="_Toc78449793"/>
      <w:bookmarkStart w:id="403" w:name="_Toc373227705"/>
      <w:bookmarkStart w:id="404" w:name="_Toc1238195908"/>
      <w:bookmarkStart w:id="405" w:name="_Toc672429943"/>
      <w:bookmarkStart w:id="406" w:name="_Toc8592"/>
      <w:bookmarkStart w:id="407" w:name="_Toc389065271"/>
      <w:bookmarkStart w:id="408" w:name="_Toc373478352"/>
      <w:bookmarkStart w:id="409" w:name="_Toc407135207"/>
      <w:r>
        <w:rPr>
          <w:rStyle w:val="19"/>
          <w:rFonts w:ascii="宋体" w:hAnsi="宋体" w:eastAsia="宋体" w:cs="Times New Roman"/>
          <w:b/>
          <w:bCs/>
          <w:color w:val="000000"/>
          <w:sz w:val="32"/>
          <w:szCs w:val="32"/>
          <w:highlight w:val="none"/>
          <w:lang w:val="zh-CN"/>
        </w:rPr>
        <w:t xml:space="preserve">2.5 </w:t>
      </w:r>
      <w:r>
        <w:rPr>
          <w:rStyle w:val="19"/>
          <w:rFonts w:hint="eastAsia" w:ascii="宋体" w:hAnsi="宋体" w:eastAsia="宋体" w:cs="黑体"/>
          <w:b/>
          <w:bCs/>
          <w:color w:val="000000"/>
          <w:sz w:val="32"/>
          <w:szCs w:val="32"/>
          <w:highlight w:val="none"/>
          <w:lang w:val="zh-CN"/>
        </w:rPr>
        <w:t>资金来源证明及支付担保</w:t>
      </w:r>
      <w:bookmarkEnd w:id="402"/>
      <w:bookmarkEnd w:id="403"/>
      <w:bookmarkEnd w:id="404"/>
      <w:bookmarkEnd w:id="405"/>
      <w:bookmarkEnd w:id="406"/>
      <w:bookmarkEnd w:id="407"/>
      <w:bookmarkEnd w:id="408"/>
      <w:bookmarkEnd w:id="409"/>
    </w:p>
    <w:p w14:paraId="0A86B8F8">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发包人提供资金来源证明的期限要求：</w:t>
      </w:r>
      <w:r>
        <w:rPr>
          <w:rStyle w:val="19"/>
          <w:rFonts w:hint="eastAsia" w:ascii="宋体" w:hAnsi="宋体" w:eastAsia="宋体" w:cs="宋体"/>
          <w:color w:val="000000"/>
          <w:szCs w:val="21"/>
          <w:highlight w:val="none"/>
          <w:u w:val="single"/>
        </w:rPr>
        <w:t>不提供</w:t>
      </w:r>
      <w:r>
        <w:rPr>
          <w:rStyle w:val="19"/>
          <w:rFonts w:hint="eastAsia" w:ascii="宋体" w:hAnsi="宋体" w:eastAsia="宋体" w:cs="宋体"/>
          <w:color w:val="000000"/>
          <w:highlight w:val="none"/>
        </w:rPr>
        <w:t>。</w:t>
      </w:r>
    </w:p>
    <w:p w14:paraId="0BE753E6">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发包人是否提供支付担保：</w:t>
      </w:r>
      <w:r>
        <w:rPr>
          <w:rStyle w:val="19"/>
          <w:rFonts w:hint="eastAsia" w:ascii="宋体" w:hAnsi="宋体" w:eastAsia="宋体" w:cs="宋体"/>
          <w:color w:val="000000"/>
          <w:szCs w:val="21"/>
          <w:highlight w:val="none"/>
          <w:u w:val="single"/>
        </w:rPr>
        <w:t>不提供</w:t>
      </w:r>
      <w:r>
        <w:rPr>
          <w:rStyle w:val="19"/>
          <w:rFonts w:hint="eastAsia" w:ascii="宋体" w:hAnsi="宋体" w:eastAsia="宋体" w:cs="宋体"/>
          <w:color w:val="000000"/>
          <w:highlight w:val="none"/>
        </w:rPr>
        <w:t>。</w:t>
      </w:r>
    </w:p>
    <w:p w14:paraId="71993A48">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410" w:name="_Toc20479"/>
      <w:bookmarkStart w:id="411" w:name="_Toc351203635"/>
      <w:bookmarkStart w:id="412" w:name="_Toc373478353"/>
      <w:bookmarkStart w:id="413" w:name="_Toc373227706"/>
      <w:bookmarkStart w:id="414" w:name="_Toc407135208"/>
      <w:bookmarkStart w:id="415" w:name="_Toc1181400362"/>
      <w:bookmarkStart w:id="416" w:name="_Toc78449794"/>
      <w:bookmarkStart w:id="417" w:name="_Toc729657770"/>
      <w:bookmarkStart w:id="418" w:name="_Toc389065272"/>
      <w:r>
        <w:rPr>
          <w:rStyle w:val="19"/>
          <w:rFonts w:ascii="宋体" w:hAnsi="宋体" w:eastAsia="宋体" w:cs="Times New Roman"/>
          <w:b/>
          <w:bCs/>
          <w:color w:val="000000"/>
          <w:sz w:val="32"/>
          <w:szCs w:val="32"/>
          <w:highlight w:val="none"/>
          <w:lang w:val="zh-CN"/>
        </w:rPr>
        <w:t>3</w:t>
      </w:r>
      <w:bookmarkStart w:id="419" w:name="_Toc297048344"/>
      <w:bookmarkStart w:id="420" w:name="_Toc292559868"/>
      <w:bookmarkStart w:id="421" w:name="_Toc296346659"/>
      <w:bookmarkStart w:id="422" w:name="_Toc296890986"/>
      <w:bookmarkStart w:id="423" w:name="_Toc296347157"/>
      <w:bookmarkStart w:id="424" w:name="_Toc296944497"/>
      <w:bookmarkStart w:id="425" w:name="_Toc292559363"/>
      <w:bookmarkStart w:id="426" w:name="_Toc296503158"/>
      <w:bookmarkStart w:id="427" w:name="_Toc297120458"/>
      <w:bookmarkStart w:id="428" w:name="_Toc296891198"/>
      <w:r>
        <w:rPr>
          <w:rStyle w:val="19"/>
          <w:rFonts w:ascii="宋体" w:hAnsi="宋体" w:eastAsia="宋体" w:cs="Times New Roman"/>
          <w:b/>
          <w:bCs/>
          <w:color w:val="000000"/>
          <w:sz w:val="32"/>
          <w:szCs w:val="32"/>
          <w:highlight w:val="none"/>
          <w:lang w:val="zh-CN"/>
        </w:rPr>
        <w:t xml:space="preserve">. </w:t>
      </w:r>
      <w:r>
        <w:rPr>
          <w:rStyle w:val="19"/>
          <w:rFonts w:hint="eastAsia" w:ascii="宋体" w:hAnsi="宋体" w:eastAsia="宋体" w:cs="黑体"/>
          <w:b/>
          <w:bCs/>
          <w:color w:val="000000"/>
          <w:sz w:val="32"/>
          <w:szCs w:val="32"/>
          <w:highlight w:val="none"/>
          <w:lang w:val="zh-CN"/>
        </w:rPr>
        <w:t>承包人</w:t>
      </w:r>
      <w:bookmarkEnd w:id="410"/>
      <w:bookmarkEnd w:id="411"/>
      <w:bookmarkEnd w:id="412"/>
      <w:bookmarkEnd w:id="413"/>
      <w:bookmarkEnd w:id="414"/>
      <w:bookmarkEnd w:id="415"/>
      <w:bookmarkEnd w:id="416"/>
      <w:bookmarkEnd w:id="417"/>
      <w:bookmarkEnd w:id="418"/>
    </w:p>
    <w:bookmarkEnd w:id="419"/>
    <w:bookmarkEnd w:id="420"/>
    <w:bookmarkEnd w:id="421"/>
    <w:bookmarkEnd w:id="422"/>
    <w:bookmarkEnd w:id="423"/>
    <w:bookmarkEnd w:id="424"/>
    <w:bookmarkEnd w:id="425"/>
    <w:bookmarkEnd w:id="426"/>
    <w:bookmarkEnd w:id="427"/>
    <w:bookmarkEnd w:id="428"/>
    <w:p w14:paraId="4C1FF862">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429" w:name="_Toc21278"/>
      <w:bookmarkStart w:id="430" w:name="_Toc389065273"/>
      <w:bookmarkStart w:id="431" w:name="_Toc1642190822"/>
      <w:bookmarkStart w:id="432" w:name="_Toc373227707"/>
      <w:bookmarkStart w:id="433" w:name="_Toc962678435"/>
      <w:bookmarkStart w:id="434" w:name="_Toc78449795"/>
      <w:bookmarkStart w:id="435" w:name="_Toc373478354"/>
      <w:bookmarkStart w:id="436" w:name="_Toc407135209"/>
      <w:r>
        <w:rPr>
          <w:rStyle w:val="19"/>
          <w:rFonts w:ascii="宋体" w:hAnsi="宋体" w:eastAsia="宋体" w:cs="Times New Roman"/>
          <w:b/>
          <w:bCs/>
          <w:color w:val="000000"/>
          <w:sz w:val="32"/>
          <w:szCs w:val="32"/>
          <w:highlight w:val="none"/>
          <w:lang w:val="zh-CN"/>
        </w:rPr>
        <w:t xml:space="preserve">3.1 </w:t>
      </w:r>
      <w:r>
        <w:rPr>
          <w:rStyle w:val="19"/>
          <w:rFonts w:hint="eastAsia" w:ascii="宋体" w:hAnsi="宋体" w:eastAsia="宋体" w:cs="黑体"/>
          <w:b/>
          <w:bCs/>
          <w:color w:val="000000"/>
          <w:sz w:val="32"/>
          <w:szCs w:val="32"/>
          <w:highlight w:val="none"/>
          <w:lang w:val="zh-CN"/>
        </w:rPr>
        <w:t>承包人的一般义务</w:t>
      </w:r>
      <w:bookmarkEnd w:id="429"/>
      <w:bookmarkEnd w:id="430"/>
      <w:bookmarkEnd w:id="431"/>
      <w:bookmarkEnd w:id="432"/>
      <w:bookmarkEnd w:id="433"/>
      <w:bookmarkEnd w:id="434"/>
      <w:bookmarkEnd w:id="435"/>
      <w:bookmarkEnd w:id="436"/>
    </w:p>
    <w:p w14:paraId="6D0EA20F">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9</w:t>
      </w:r>
      <w:r>
        <w:rPr>
          <w:rStyle w:val="19"/>
          <w:rFonts w:hint="eastAsia" w:ascii="宋体" w:hAnsi="宋体" w:eastAsia="宋体" w:cs="宋体"/>
          <w:color w:val="000000"/>
          <w:kern w:val="0"/>
          <w:highlight w:val="none"/>
        </w:rPr>
        <w:t>）</w:t>
      </w:r>
      <w:r>
        <w:rPr>
          <w:rStyle w:val="19"/>
          <w:rFonts w:hint="eastAsia" w:ascii="宋体" w:hAnsi="宋体" w:eastAsia="宋体" w:cs="宋体"/>
          <w:color w:val="000000"/>
          <w:highlight w:val="none"/>
        </w:rPr>
        <w:t>承包人提交的竣工资料的内容：</w:t>
      </w:r>
      <w:r>
        <w:rPr>
          <w:rStyle w:val="19"/>
          <w:rFonts w:hint="eastAsia" w:ascii="Calibri" w:hAnsi="Calibri" w:eastAsia="宋体" w:cs="Times New Roman"/>
          <w:color w:val="000000"/>
          <w:szCs w:val="21"/>
          <w:highlight w:val="none"/>
          <w:u w:val="single"/>
        </w:rPr>
        <w:t>完整的技术档案和施工管理资料；工程使用的主要建 筑材料、建筑构配件和设备的进场试验报告；勘察、设计、施工、监理等单位分别签署的质量合格文件；承包人签署的工程保修书等。承包人应保证竣工图质量，如实反映现场实际情况，确保竣工图与现场一致，符合法律规定和合同约定的工程建设竣工验收要求。</w:t>
      </w:r>
    </w:p>
    <w:p w14:paraId="3A4F78CB">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承包人需要提交的竣工资料套数：</w:t>
      </w:r>
      <w:r>
        <w:rPr>
          <w:rStyle w:val="19"/>
          <w:rFonts w:hint="eastAsia" w:ascii="宋体" w:hAnsi="宋体" w:eastAsia="宋体" w:cs="宋体"/>
          <w:color w:val="000000"/>
          <w:szCs w:val="21"/>
          <w:highlight w:val="none"/>
          <w:u w:val="single"/>
        </w:rPr>
        <w:t>一式肆套</w:t>
      </w:r>
      <w:r>
        <w:rPr>
          <w:rStyle w:val="19"/>
          <w:rFonts w:hint="eastAsia" w:ascii="宋体" w:hAnsi="宋体" w:eastAsia="宋体" w:cs="宋体"/>
          <w:color w:val="000000"/>
          <w:highlight w:val="none"/>
        </w:rPr>
        <w:t>。</w:t>
      </w:r>
    </w:p>
    <w:p w14:paraId="4193456A">
      <w:pPr>
        <w:pStyle w:val="89"/>
        <w:pageBreakBefore w:val="0"/>
        <w:kinsoku/>
        <w:wordWrap/>
        <w:overflowPunct/>
        <w:topLinePunct w:val="0"/>
        <w:bidi w:val="0"/>
        <w:spacing w:line="360" w:lineRule="auto"/>
        <w:ind w:left="424" w:leftChars="202"/>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承包人提交的竣工资料的费用承担：</w:t>
      </w:r>
      <w:r>
        <w:rPr>
          <w:rStyle w:val="19"/>
          <w:rFonts w:hint="eastAsia" w:ascii="宋体" w:hAnsi="宋体" w:eastAsia="宋体" w:cs="宋体"/>
          <w:color w:val="000000"/>
          <w:szCs w:val="21"/>
          <w:highlight w:val="none"/>
          <w:u w:val="single"/>
        </w:rPr>
        <w:t>由承包人承担</w:t>
      </w:r>
      <w:r>
        <w:rPr>
          <w:rStyle w:val="19"/>
          <w:rFonts w:hint="eastAsia" w:ascii="宋体" w:hAnsi="宋体" w:eastAsia="宋体" w:cs="宋体"/>
          <w:color w:val="000000"/>
          <w:highlight w:val="none"/>
        </w:rPr>
        <w:t>。</w:t>
      </w:r>
    </w:p>
    <w:p w14:paraId="10037C2C">
      <w:pPr>
        <w:pStyle w:val="89"/>
        <w:pageBreakBefore w:val="0"/>
        <w:kinsoku/>
        <w:wordWrap/>
        <w:overflowPunct/>
        <w:topLinePunct w:val="0"/>
        <w:bidi w:val="0"/>
        <w:spacing w:line="360" w:lineRule="auto"/>
        <w:ind w:left="424" w:leftChars="202"/>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承包人提交的竣工资料移交时间：</w:t>
      </w:r>
      <w:r>
        <w:rPr>
          <w:rStyle w:val="19"/>
          <w:rFonts w:hint="eastAsia" w:ascii="宋体" w:hAnsi="宋体" w:eastAsia="宋体" w:cs="宋体"/>
          <w:color w:val="000000"/>
          <w:szCs w:val="21"/>
          <w:highlight w:val="none"/>
          <w:u w:val="single"/>
        </w:rPr>
        <w:t>全部工程竣工验收合格后5天内</w:t>
      </w:r>
      <w:r>
        <w:rPr>
          <w:rStyle w:val="19"/>
          <w:rFonts w:hint="eastAsia" w:ascii="宋体" w:hAnsi="宋体" w:eastAsia="宋体" w:cs="宋体"/>
          <w:color w:val="000000"/>
          <w:highlight w:val="none"/>
        </w:rPr>
        <w:t>。</w:t>
      </w:r>
    </w:p>
    <w:p w14:paraId="17C4B325">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承包人提交的竣工资料形式要求：</w:t>
      </w:r>
      <w:r>
        <w:rPr>
          <w:rStyle w:val="19"/>
          <w:rFonts w:hint="eastAsia" w:ascii="宋体" w:hAnsi="宋体" w:eastAsia="宋体" w:cs="宋体"/>
          <w:color w:val="000000"/>
          <w:szCs w:val="21"/>
          <w:highlight w:val="none"/>
          <w:u w:val="single"/>
        </w:rPr>
        <w:t>纸质文件和电子文件</w:t>
      </w:r>
      <w:r>
        <w:rPr>
          <w:rStyle w:val="19"/>
          <w:rFonts w:hint="eastAsia" w:ascii="宋体" w:hAnsi="宋体" w:eastAsia="宋体" w:cs="宋体"/>
          <w:color w:val="000000"/>
          <w:highlight w:val="none"/>
        </w:rPr>
        <w:t>。</w:t>
      </w:r>
    </w:p>
    <w:p w14:paraId="30C4C8ED">
      <w:pPr>
        <w:pStyle w:val="89"/>
        <w:pageBreakBefore w:val="0"/>
        <w:numPr>
          <w:ilvl w:val="0"/>
          <w:numId w:val="0"/>
        </w:numPr>
        <w:kinsoku/>
        <w:wordWrap/>
        <w:overflowPunct/>
        <w:topLinePunct w:val="0"/>
        <w:bidi w:val="0"/>
        <w:spacing w:line="360" w:lineRule="auto"/>
        <w:ind w:firstLine="420" w:firstLineChars="200"/>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lang w:eastAsia="zh-CN"/>
        </w:rPr>
        <w:t>（</w:t>
      </w:r>
      <w:r>
        <w:rPr>
          <w:rStyle w:val="19"/>
          <w:rFonts w:hint="eastAsia" w:ascii="宋体" w:hAnsi="宋体" w:eastAsia="宋体" w:cs="宋体"/>
          <w:color w:val="000000"/>
          <w:kern w:val="0"/>
          <w:highlight w:val="none"/>
          <w:lang w:val="en-US" w:eastAsia="zh-CN"/>
        </w:rPr>
        <w:t>10</w:t>
      </w:r>
      <w:r>
        <w:rPr>
          <w:rStyle w:val="19"/>
          <w:rFonts w:hint="eastAsia" w:ascii="宋体" w:hAnsi="宋体" w:eastAsia="宋体" w:cs="宋体"/>
          <w:color w:val="000000"/>
          <w:kern w:val="0"/>
          <w:highlight w:val="none"/>
          <w:lang w:eastAsia="zh-CN"/>
        </w:rPr>
        <w:t>）</w:t>
      </w:r>
      <w:r>
        <w:rPr>
          <w:rStyle w:val="19"/>
          <w:rFonts w:hint="eastAsia" w:ascii="宋体" w:hAnsi="宋体" w:eastAsia="宋体" w:cs="宋体"/>
          <w:color w:val="000000"/>
          <w:kern w:val="0"/>
          <w:highlight w:val="none"/>
        </w:rPr>
        <w:t>承包人应履行的其他义务：</w:t>
      </w:r>
    </w:p>
    <w:p w14:paraId="64B7FCE3">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1）施工场地周围地下管线和邻近建筑物、构筑物（含文物保护建筑）、古树名木的保护要求及费用承担：承包人施工时应探明并负责保护且承包费用，施工时如损坏地下管线、邻近建筑物、构筑物，所发生费用由承包人承担。承包人对发包人提供的资料有核实的责任，施工之前发现资料有误的，应及时汇报发包人，征求发包人同意后方可启动施工，施工过程中发现资料有误的，应及时汇报发包人并采取相应措施防止损失扩大责任。承包人主张费用由发包人承担的，应证明该损失的发生是由发包人提供的资料有误所导致的； </w:t>
      </w:r>
    </w:p>
    <w:p w14:paraId="3DE4C658">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2）取土场及弃土场由承包人自行解决，但不得违反相关管理规定，并承担相关费用。 </w:t>
      </w:r>
    </w:p>
    <w:p w14:paraId="364034B8">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3）向发包人提供的办公和生活房屋及设施的要求：向发包人及监理提供办公室和休息室各</w:t>
      </w:r>
      <w:r>
        <w:rPr>
          <w:rStyle w:val="19"/>
          <w:rFonts w:ascii="宋体" w:hAnsi="宋体" w:eastAsia="宋体" w:cs="Times New Roman"/>
          <w:color w:val="000000"/>
          <w:highlight w:val="none"/>
        </w:rPr>
        <w:t xml:space="preserve">2 </w:t>
      </w:r>
      <w:r>
        <w:rPr>
          <w:rStyle w:val="19"/>
          <w:rFonts w:hint="eastAsia" w:ascii="宋体" w:hAnsi="宋体" w:eastAsia="宋体" w:cs="Times New Roman"/>
          <w:color w:val="000000"/>
          <w:highlight w:val="none"/>
        </w:rPr>
        <w:t xml:space="preserve">间，每间面积约 </w:t>
      </w:r>
      <w:r>
        <w:rPr>
          <w:rStyle w:val="19"/>
          <w:rFonts w:ascii="宋体" w:hAnsi="宋体" w:eastAsia="宋体" w:cs="Times New Roman"/>
          <w:color w:val="000000"/>
          <w:highlight w:val="none"/>
        </w:rPr>
        <w:t xml:space="preserve">15 </w:t>
      </w:r>
      <w:r>
        <w:rPr>
          <w:rStyle w:val="19"/>
          <w:rFonts w:hint="eastAsia" w:ascii="宋体" w:hAnsi="宋体" w:eastAsia="宋体" w:cs="Times New Roman"/>
          <w:color w:val="000000"/>
          <w:highlight w:val="none"/>
        </w:rPr>
        <w:t xml:space="preserve">㎡，费用由承包人承担。 </w:t>
      </w:r>
    </w:p>
    <w:p w14:paraId="52D3BB05">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4）已完工程成品保护的特殊要求及费用承担：已竣工工程未交付发包人之前，承包人按协 议条款约定负责已完成工程的成品保护工作，保护期间发生损坏，承包人自费予以修复。 </w:t>
      </w:r>
    </w:p>
    <w:p w14:paraId="63BA5E27">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5）施工场地、水电运输通道及施工便道的修建和维护、清场等费用：由承包人承担。 </w:t>
      </w:r>
    </w:p>
    <w:p w14:paraId="6F0E3F46">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6</w:t>
      </w:r>
      <w:r>
        <w:rPr>
          <w:rStyle w:val="19"/>
          <w:rFonts w:hint="eastAsia" w:ascii="宋体" w:hAnsi="宋体" w:eastAsia="宋体" w:cs="Times New Roman"/>
          <w:color w:val="000000"/>
          <w:highlight w:val="none"/>
        </w:rPr>
        <w:t xml:space="preserve">）本工程施工场地范围内水、电（含发包人的供水、供电部分设备）使用、维护、拆除、 恢复等由承包人负责，以上费用在投标报价中综合考虑。 </w:t>
      </w:r>
    </w:p>
    <w:p w14:paraId="39B5B834">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7</w:t>
      </w:r>
      <w:r>
        <w:rPr>
          <w:rStyle w:val="19"/>
          <w:rFonts w:hint="eastAsia" w:ascii="宋体" w:hAnsi="宋体" w:eastAsia="宋体" w:cs="Times New Roman"/>
          <w:color w:val="000000"/>
          <w:highlight w:val="none"/>
        </w:rPr>
        <w:t xml:space="preserve">）承包人的临时占地（含项目部驻地等）租用费（含拆迁补偿）、临时用地的环保、恢复 及施工范围内临时性占地的青苗补偿及地面附着物发生的费用均由承包人负责，发生的一切费用已包含在相关报价中。 </w:t>
      </w:r>
    </w:p>
    <w:p w14:paraId="79AA71E3">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8</w:t>
      </w:r>
      <w:r>
        <w:rPr>
          <w:rStyle w:val="19"/>
          <w:rFonts w:hint="eastAsia" w:ascii="宋体" w:hAnsi="宋体" w:eastAsia="宋体" w:cs="Times New Roman"/>
          <w:color w:val="000000"/>
          <w:highlight w:val="none"/>
        </w:rPr>
        <w:t xml:space="preserve">）承包人应按监理人的指示负责拆除拆迁残留基础和构筑物等，清除本工程施工范围的零 星拆迁垃圾、杂物以及场地中的树根等，所需费用均由承包人负责，在土方工程投标报价中考 虑。 </w:t>
      </w:r>
    </w:p>
    <w:p w14:paraId="72C73CCF">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9</w:t>
      </w:r>
      <w:r>
        <w:rPr>
          <w:rStyle w:val="19"/>
          <w:rFonts w:hint="eastAsia" w:ascii="宋体" w:hAnsi="宋体" w:eastAsia="宋体" w:cs="Times New Roman"/>
          <w:color w:val="000000"/>
          <w:highlight w:val="none"/>
        </w:rPr>
        <w:t xml:space="preserve">）各合同承包人应允许本工程其他承包人在本合同承包人施工场地上架设施工用电线路， 线路走向由监理人会同各有关合同承包人共同协商确定。 </w:t>
      </w:r>
    </w:p>
    <w:p w14:paraId="4FDE7A82">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10</w:t>
      </w:r>
      <w:r>
        <w:rPr>
          <w:rStyle w:val="19"/>
          <w:rFonts w:hint="eastAsia" w:ascii="宋体" w:hAnsi="宋体" w:eastAsia="宋体" w:cs="Times New Roman"/>
          <w:color w:val="000000"/>
          <w:highlight w:val="none"/>
        </w:rPr>
        <w:t xml:space="preserve">）承包人应充分理解有一些设施（如施工道路）将会由一个以上的承包人使用，如果在使 用过程中发生干扰时，应立即通知监理人并服从监理人的决定。 </w:t>
      </w:r>
    </w:p>
    <w:p w14:paraId="12D75E19">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11）凡属于承包人交付给其他承包人的工作面以及与其他承包人交叉作业的工作面，承包人 必须服从监理人的决定，按规定的完工日期完成并将清理好的工作面移交给发包人，并取得监 理人的同意。 </w:t>
      </w:r>
    </w:p>
    <w:p w14:paraId="27D6841B">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12）承包人应为监理人、发包人现场代表对施工现场的检查监督提供必要的配合，并对这种 配合对施工的影响应有充分的考虑。 </w:t>
      </w:r>
    </w:p>
    <w:p w14:paraId="28B355B1">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13）对上述9）～12）项工作，费用已包括在有关单价和总价中，发包人不再另行支付由此所 发生的一切费用。 </w:t>
      </w:r>
    </w:p>
    <w:p w14:paraId="38BE9B37">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14）土料场由承包人自行解决，并负责提供经检测合格的土料。 </w:t>
      </w:r>
    </w:p>
    <w:p w14:paraId="2985F562">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15）承包人应负责施工场内交通管制和协调通行工作。连接施工场地内外道路出口处须设洗 车场，对从施工场地进入市区道路的所有车辆进行清洗，并派专人在出口处负责看守，严禁与 工程施工无关的人员及车辆进出施工场地，所发生的费用由监理人负责协调有关标段共同承担。 如承包人违反以上有关规定，由此所造成的一切后果由承包人负责。 </w:t>
      </w:r>
    </w:p>
    <w:p w14:paraId="6C324BD5">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16）承包人负责其本合同段在合同实施期内临时交通道路（含场内外连接公共交通道路）和 交通设施的修建、维修、养护和交通管理工作，并承担一切费用。 </w:t>
      </w:r>
    </w:p>
    <w:p w14:paraId="7F5C4D80">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17</w:t>
      </w:r>
      <w:r>
        <w:rPr>
          <w:rStyle w:val="19"/>
          <w:rFonts w:hint="eastAsia" w:ascii="宋体" w:hAnsi="宋体" w:eastAsia="宋体" w:cs="Times New Roman"/>
          <w:color w:val="000000"/>
          <w:highlight w:val="none"/>
        </w:rPr>
        <w:t xml:space="preserve">）承包人修建的临时道路和交通设施，应免费提供给发包人、监理人和其他合同段的承包 人使用，如共同使用的路基损坏严重，发包人或监理人将负责通知有关承包人共同出资修复， 若使用频率相差悬殊，则按比例分摊。 </w:t>
      </w:r>
    </w:p>
    <w:p w14:paraId="4D158BF0">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18</w:t>
      </w:r>
      <w:r>
        <w:rPr>
          <w:rStyle w:val="19"/>
          <w:rFonts w:hint="eastAsia" w:ascii="宋体" w:hAnsi="宋体" w:eastAsia="宋体" w:cs="Times New Roman"/>
          <w:color w:val="000000"/>
          <w:highlight w:val="none"/>
        </w:rPr>
        <w:t xml:space="preserve">）承包人在实施合同工程所使用公共道路、水源、公共设施等必须保障发包人及其他人的 财产、利益和权利免受损害，造成损害的自费负责维修或赔偿。 </w:t>
      </w:r>
    </w:p>
    <w:p w14:paraId="3B337367">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19</w:t>
      </w:r>
      <w:r>
        <w:rPr>
          <w:rStyle w:val="19"/>
          <w:rFonts w:hint="eastAsia" w:ascii="宋体" w:hAnsi="宋体" w:eastAsia="宋体" w:cs="Times New Roman"/>
          <w:color w:val="000000"/>
          <w:highlight w:val="none"/>
        </w:rPr>
        <w:t xml:space="preserve">）承包人的施工管理区及施工场地应设有临时的污水处理设施和施工排水设施，生活、 施工垃圾等处置应妥当，施工材料如涂料、化学品等应妥善存放，并设有防雨、防风等措施，并承担一切费用。 </w:t>
      </w:r>
    </w:p>
    <w:p w14:paraId="56D54397">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20</w:t>
      </w:r>
      <w:r>
        <w:rPr>
          <w:rStyle w:val="19"/>
          <w:rFonts w:hint="eastAsia" w:ascii="宋体" w:hAnsi="宋体" w:eastAsia="宋体" w:cs="Times New Roman"/>
          <w:color w:val="000000"/>
          <w:highlight w:val="none"/>
        </w:rPr>
        <w:t xml:space="preserve">）移交证书签发后，承包人应立即从签发了移交证书的工地上将所有有关的承包人的设 备、多余材料、垃圾及各种临时工程清除、移走，并使这一部分工程及工地保持清洁，使发包人满意。 </w:t>
      </w:r>
    </w:p>
    <w:p w14:paraId="157389E4">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21</w:t>
      </w:r>
      <w:r>
        <w:rPr>
          <w:rStyle w:val="19"/>
          <w:rFonts w:hint="eastAsia" w:ascii="宋体" w:hAnsi="宋体" w:eastAsia="宋体" w:cs="Times New Roman"/>
          <w:color w:val="000000"/>
          <w:highlight w:val="none"/>
        </w:rPr>
        <w:t xml:space="preserve">）承包人应全权自费负责其劳务及职员的雇佣、工资的支付、房屋、膳食及运输的安排。 承包人在任何时候应采取一切合理的预防措施，以防止其职员发生任何违法的、妨碍治安的行 为，并维护治安和保护工程附近的单位、个人或财产免遭上述行为的破坏，否则，由此造成的后果和费用均由承包人承担。 </w:t>
      </w:r>
    </w:p>
    <w:p w14:paraId="35324B9C">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22</w:t>
      </w:r>
      <w:r>
        <w:rPr>
          <w:rStyle w:val="19"/>
          <w:rFonts w:hint="eastAsia" w:ascii="宋体" w:hAnsi="宋体" w:eastAsia="宋体" w:cs="Times New Roman"/>
          <w:color w:val="000000"/>
          <w:highlight w:val="none"/>
        </w:rPr>
        <w:t xml:space="preserve">）承包人应按安全施工管理有关规定，配备安全管理机构，配备合格的安全管理人员，负责处理全体工作人员和劳务人员的安全保护和防止事故等问题，如因承包人原因造成人员伤亡、财产损失等一切事故，由承包人负全责并承担费用。 </w:t>
      </w:r>
    </w:p>
    <w:p w14:paraId="3AF47189">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23）承包人在施工期间应协调好与邻近相关单位（含居民、农民）的关系、应避免发生矛 盾与冲突，否则，由此造成的一切后果由承包人承担。 </w:t>
      </w:r>
    </w:p>
    <w:p w14:paraId="60E9EF6D">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437" w:name="_Toc45"/>
      <w:bookmarkStart w:id="438" w:name="_Toc373478355"/>
      <w:bookmarkStart w:id="439" w:name="_Toc501741485"/>
      <w:bookmarkStart w:id="440" w:name="_Toc1659520837"/>
      <w:bookmarkStart w:id="441" w:name="_Toc373227708"/>
      <w:bookmarkStart w:id="442" w:name="_Toc78449796"/>
      <w:bookmarkStart w:id="443" w:name="_Toc389065274"/>
      <w:bookmarkStart w:id="444" w:name="_Toc407135210"/>
      <w:r>
        <w:rPr>
          <w:rStyle w:val="19"/>
          <w:rFonts w:ascii="宋体" w:hAnsi="宋体" w:eastAsia="宋体" w:cs="Times New Roman"/>
          <w:b/>
          <w:bCs/>
          <w:color w:val="000000"/>
          <w:sz w:val="32"/>
          <w:szCs w:val="32"/>
          <w:highlight w:val="none"/>
          <w:lang w:val="zh-CN"/>
        </w:rPr>
        <w:t xml:space="preserve">3.2 </w:t>
      </w:r>
      <w:r>
        <w:rPr>
          <w:rStyle w:val="19"/>
          <w:rFonts w:hint="eastAsia" w:ascii="宋体" w:hAnsi="宋体" w:eastAsia="宋体" w:cs="黑体"/>
          <w:b/>
          <w:bCs/>
          <w:color w:val="000000"/>
          <w:sz w:val="32"/>
          <w:szCs w:val="32"/>
          <w:highlight w:val="none"/>
          <w:lang w:val="zh-CN"/>
        </w:rPr>
        <w:t>项目经理</w:t>
      </w:r>
      <w:bookmarkEnd w:id="437"/>
      <w:bookmarkEnd w:id="438"/>
      <w:bookmarkEnd w:id="439"/>
      <w:bookmarkEnd w:id="440"/>
      <w:bookmarkEnd w:id="441"/>
      <w:bookmarkEnd w:id="442"/>
      <w:bookmarkEnd w:id="443"/>
      <w:bookmarkEnd w:id="444"/>
    </w:p>
    <w:p w14:paraId="2BF40DE6">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kern w:val="0"/>
          <w:highlight w:val="none"/>
        </w:rPr>
        <w:t xml:space="preserve">3.2.1 </w:t>
      </w:r>
      <w:r>
        <w:rPr>
          <w:rStyle w:val="19"/>
          <w:rFonts w:hint="eastAsia" w:ascii="宋体" w:hAnsi="宋体" w:eastAsia="宋体" w:cs="宋体"/>
          <w:color w:val="000000"/>
          <w:highlight w:val="none"/>
        </w:rPr>
        <w:t>项目经理：</w:t>
      </w:r>
    </w:p>
    <w:p w14:paraId="387FAD1D">
      <w:pPr>
        <w:pStyle w:val="89"/>
        <w:pageBreakBefore w:val="0"/>
        <w:kinsoku/>
        <w:wordWrap/>
        <w:overflowPunct/>
        <w:topLinePunct w:val="0"/>
        <w:bidi w:val="0"/>
        <w:snapToGrid w:val="0"/>
        <w:spacing w:line="360" w:lineRule="auto"/>
        <w:ind w:firstLine="420"/>
        <w:rPr>
          <w:rStyle w:val="19"/>
          <w:rFonts w:ascii="宋体" w:hAnsi="宋体" w:eastAsia="宋体" w:cs="Times New Roman"/>
          <w:color w:val="000000"/>
          <w:szCs w:val="21"/>
          <w:highlight w:val="none"/>
        </w:rPr>
      </w:pPr>
      <w:r>
        <w:rPr>
          <w:rStyle w:val="19"/>
          <w:rFonts w:ascii="宋体" w:hAnsi="宋体" w:eastAsia="宋体" w:cs="Times New Roman"/>
          <w:color w:val="000000"/>
          <w:highlight w:val="none"/>
        </w:rPr>
        <w:t>姓    名：</w:t>
      </w:r>
      <w:r>
        <w:rPr>
          <w:rStyle w:val="19"/>
          <w:rFonts w:hint="eastAsia" w:ascii="MingLiU_HKSCS" w:hAnsi="MingLiU_HKSCS" w:eastAsia="MingLiU_HKSCS" w:cs="MingLiU_HKSCS"/>
          <w:color w:val="000000"/>
          <w:highlight w:val="none"/>
          <w:u w:val="single"/>
        </w:rPr>
        <w:t xml:space="preserve"> </w:t>
      </w:r>
      <w:r>
        <w:rPr>
          <w:rStyle w:val="19"/>
          <w:rFonts w:hint="eastAsia" w:ascii="Calibri" w:hAnsi="Calibri" w:eastAsia="宋体" w:cs="Times New Roman"/>
          <w:color w:val="000000"/>
          <w:szCs w:val="21"/>
          <w:highlight w:val="none"/>
          <w:u w:val="single"/>
          <w:lang w:val="en-US" w:eastAsia="zh-CN"/>
        </w:rPr>
        <w:t xml:space="preserve"> </w:t>
      </w:r>
      <w:r>
        <w:rPr>
          <w:rStyle w:val="19"/>
          <w:rFonts w:hint="eastAsia" w:ascii="MingLiU_HKSCS" w:hAnsi="MingLiU_HKSCS" w:eastAsia="MingLiU_HKSCS" w:cs="MingLiU_HKSCS"/>
          <w:b w:val="0"/>
          <w:bCs w:val="0"/>
          <w:color w:val="000000"/>
          <w:highlight w:val="none"/>
          <w:u w:val="single"/>
        </w:rPr>
        <w:t xml:space="preserve"> </w:t>
      </w:r>
      <w:r>
        <w:rPr>
          <w:rStyle w:val="19"/>
          <w:rFonts w:hint="eastAsia" w:ascii="宋体" w:hAnsi="宋体" w:eastAsia="宋体" w:cs="Times New Roman"/>
          <w:color w:val="000000"/>
          <w:highlight w:val="none"/>
        </w:rPr>
        <w:t>，</w:t>
      </w:r>
    </w:p>
    <w:p w14:paraId="4F78092F">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身份证号：</w:t>
      </w:r>
      <w:r>
        <w:rPr>
          <w:rStyle w:val="19"/>
          <w:rFonts w:hint="eastAsia" w:ascii="MingLiU_HKSCS" w:hAnsi="MingLiU_HKSCS" w:eastAsia="MingLiU_HKSCS" w:cs="MingLiU_HKSCS"/>
          <w:color w:val="000000"/>
          <w:highlight w:val="none"/>
          <w:u w:val="single"/>
        </w:rPr>
        <w:t xml:space="preserve"> </w:t>
      </w:r>
      <w:r>
        <w:rPr>
          <w:rStyle w:val="19"/>
          <w:rFonts w:hint="eastAsia" w:ascii="Calibri" w:hAnsi="Calibri" w:eastAsia="宋体" w:cs="Times New Roman"/>
          <w:color w:val="000000"/>
          <w:szCs w:val="21"/>
          <w:highlight w:val="none"/>
          <w:u w:val="single"/>
          <w:lang w:val="en-US" w:eastAsia="zh-CN"/>
        </w:rPr>
        <w:t xml:space="preserve"> </w:t>
      </w:r>
      <w:r>
        <w:rPr>
          <w:rStyle w:val="19"/>
          <w:rFonts w:ascii="宋体" w:hAnsi="宋体" w:eastAsia="宋体" w:cs="Times New Roman"/>
          <w:color w:val="000000"/>
          <w:highlight w:val="none"/>
        </w:rPr>
        <w:t>；</w:t>
      </w:r>
    </w:p>
    <w:p w14:paraId="534DDE13">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建造师执业资格等级：</w:t>
      </w:r>
      <w:r>
        <w:rPr>
          <w:rStyle w:val="19"/>
          <w:rFonts w:hint="eastAsia" w:ascii="MingLiU_HKSCS" w:hAnsi="MingLiU_HKSCS" w:eastAsia="MingLiU_HKSCS" w:cs="MingLiU_HKSCS"/>
          <w:color w:val="000000"/>
          <w:highlight w:val="none"/>
          <w:u w:val="single"/>
        </w:rPr>
        <w:t xml:space="preserve">   </w:t>
      </w:r>
      <w:r>
        <w:rPr>
          <w:rStyle w:val="19"/>
          <w:rFonts w:hint="eastAsia" w:ascii="MingLiU_HKSCS" w:hAnsi="MingLiU_HKSCS" w:eastAsia="宋体" w:cs="MingLiU_HKSCS"/>
          <w:color w:val="000000"/>
          <w:highlight w:val="none"/>
          <w:u w:val="single"/>
          <w:lang w:val="en-US" w:eastAsia="zh-CN"/>
        </w:rPr>
        <w:t xml:space="preserve"> </w:t>
      </w:r>
      <w:r>
        <w:rPr>
          <w:rStyle w:val="19"/>
          <w:rFonts w:hint="eastAsia" w:ascii="MingLiU_HKSCS" w:hAnsi="MingLiU_HKSCS" w:eastAsia="MingLiU_HKSCS" w:cs="MingLiU_HKSCS"/>
          <w:color w:val="000000"/>
          <w:highlight w:val="none"/>
          <w:u w:val="single"/>
        </w:rPr>
        <w:t xml:space="preserve">      </w:t>
      </w:r>
      <w:r>
        <w:rPr>
          <w:rStyle w:val="19"/>
          <w:rFonts w:ascii="宋体" w:hAnsi="宋体" w:eastAsia="宋体" w:cs="Times New Roman"/>
          <w:color w:val="000000"/>
          <w:highlight w:val="none"/>
        </w:rPr>
        <w:t>；</w:t>
      </w:r>
    </w:p>
    <w:p w14:paraId="33774EF6">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建造师注册证书号：</w:t>
      </w:r>
      <w:r>
        <w:rPr>
          <w:rStyle w:val="19"/>
          <w:rFonts w:hint="eastAsia" w:ascii="宋体" w:hAnsi="宋体" w:eastAsia="宋体" w:cs="Times New Roman"/>
          <w:color w:val="000000"/>
          <w:highlight w:val="none"/>
          <w:u w:val="single"/>
          <w:lang w:val="en-US" w:eastAsia="zh-CN"/>
        </w:rPr>
        <w:t xml:space="preserve"> </w:t>
      </w:r>
      <w:r>
        <w:rPr>
          <w:rStyle w:val="19"/>
          <w:rFonts w:hint="eastAsia" w:ascii="MingLiU_HKSCS" w:hAnsi="MingLiU_HKSCS" w:eastAsia="宋体" w:cs="MingLiU_HKSCS"/>
          <w:color w:val="000000"/>
          <w:highlight w:val="none"/>
          <w:u w:val="single"/>
          <w:lang w:val="en-US" w:eastAsia="zh-CN"/>
        </w:rPr>
        <w:t xml:space="preserve">        </w:t>
      </w:r>
      <w:r>
        <w:rPr>
          <w:rStyle w:val="19"/>
          <w:rFonts w:hint="eastAsia" w:ascii="MingLiU_HKSCS" w:hAnsi="MingLiU_HKSCS" w:eastAsia="MingLiU_HKSCS" w:cs="MingLiU_HKSCS"/>
          <w:color w:val="000000"/>
          <w:highlight w:val="none"/>
          <w:u w:val="single"/>
        </w:rPr>
        <w:t xml:space="preserve">  </w:t>
      </w:r>
      <w:r>
        <w:rPr>
          <w:rStyle w:val="19"/>
          <w:rFonts w:ascii="宋体" w:hAnsi="宋体" w:eastAsia="宋体" w:cs="Times New Roman"/>
          <w:color w:val="000000"/>
          <w:highlight w:val="none"/>
        </w:rPr>
        <w:t>；</w:t>
      </w:r>
    </w:p>
    <w:p w14:paraId="6278098C">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安全生产考核合格证书号：</w:t>
      </w:r>
      <w:r>
        <w:rPr>
          <w:rStyle w:val="19"/>
          <w:rFonts w:hint="eastAsia" w:ascii="MingLiU_HKSCS" w:hAnsi="MingLiU_HKSCS" w:eastAsia="MingLiU_HKSCS" w:cs="MingLiU_HKSCS"/>
          <w:color w:val="000000"/>
          <w:highlight w:val="none"/>
          <w:u w:val="single"/>
        </w:rPr>
        <w:t xml:space="preserve"> </w:t>
      </w:r>
      <w:r>
        <w:rPr>
          <w:rStyle w:val="19"/>
          <w:rFonts w:hint="eastAsia" w:ascii="MingLiU_HKSCS" w:hAnsi="MingLiU_HKSCS" w:eastAsia="宋体" w:cs="MingLiU_HKSCS"/>
          <w:color w:val="000000"/>
          <w:highlight w:val="none"/>
          <w:u w:val="single"/>
          <w:lang w:val="en-US" w:eastAsia="zh-CN"/>
        </w:rPr>
        <w:t xml:space="preserve"> </w:t>
      </w:r>
      <w:r>
        <w:rPr>
          <w:rStyle w:val="19"/>
          <w:rFonts w:hint="eastAsia" w:ascii="MingLiU_HKSCS" w:hAnsi="MingLiU_HKSCS" w:eastAsia="MingLiU_HKSCS" w:cs="MingLiU_HKSCS"/>
          <w:color w:val="000000"/>
          <w:highlight w:val="none"/>
          <w:u w:val="single"/>
        </w:rPr>
        <w:t xml:space="preserve"> </w:t>
      </w:r>
      <w:r>
        <w:rPr>
          <w:rStyle w:val="19"/>
          <w:rFonts w:ascii="宋体" w:hAnsi="宋体" w:eastAsia="宋体" w:cs="Times New Roman"/>
          <w:color w:val="000000"/>
          <w:highlight w:val="none"/>
        </w:rPr>
        <w:t>；</w:t>
      </w:r>
    </w:p>
    <w:p w14:paraId="2FF3EAD2">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联系电话：</w:t>
      </w:r>
      <w:r>
        <w:rPr>
          <w:rStyle w:val="19"/>
          <w:rFonts w:hint="eastAsia" w:ascii="MingLiU_HKSCS" w:hAnsi="MingLiU_HKSCS" w:eastAsia="MingLiU_HKSCS" w:cs="MingLiU_HKSCS"/>
          <w:color w:val="000000"/>
          <w:highlight w:val="none"/>
          <w:u w:val="single"/>
        </w:rPr>
        <w:t xml:space="preserve">    </w:t>
      </w:r>
      <w:r>
        <w:rPr>
          <w:rStyle w:val="19"/>
          <w:rFonts w:hint="eastAsia" w:ascii="MingLiU_HKSCS" w:hAnsi="MingLiU_HKSCS" w:eastAsia="宋体" w:cs="MingLiU_HKSCS"/>
          <w:color w:val="000000"/>
          <w:highlight w:val="none"/>
          <w:u w:val="single"/>
          <w:lang w:val="en-US" w:eastAsia="zh-CN"/>
        </w:rPr>
        <w:t xml:space="preserve"> </w:t>
      </w:r>
      <w:r>
        <w:rPr>
          <w:rStyle w:val="19"/>
          <w:rFonts w:hint="eastAsia" w:ascii="MingLiU_HKSCS" w:hAnsi="MingLiU_HKSCS" w:eastAsia="MingLiU_HKSCS" w:cs="MingLiU_HKSCS"/>
          <w:color w:val="000000"/>
          <w:highlight w:val="none"/>
          <w:u w:val="single"/>
        </w:rPr>
        <w:t xml:space="preserve">         </w:t>
      </w:r>
      <w:r>
        <w:rPr>
          <w:rStyle w:val="19"/>
          <w:rFonts w:ascii="宋体" w:hAnsi="宋体" w:eastAsia="宋体" w:cs="Times New Roman"/>
          <w:color w:val="000000"/>
          <w:highlight w:val="none"/>
        </w:rPr>
        <w:t>；</w:t>
      </w:r>
    </w:p>
    <w:p w14:paraId="167A120B">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电子信箱：</w:t>
      </w:r>
      <w:r>
        <w:rPr>
          <w:rStyle w:val="19"/>
          <w:rFonts w:hint="eastAsia" w:ascii="MingLiU_HKSCS" w:hAnsi="MingLiU_HKSCS" w:eastAsia="MingLiU_HKSCS" w:cs="MingLiU_HKSCS"/>
          <w:color w:val="000000"/>
          <w:highlight w:val="none"/>
          <w:u w:val="single"/>
        </w:rPr>
        <w:t xml:space="preserve">       </w:t>
      </w:r>
      <w:r>
        <w:rPr>
          <w:rFonts w:hint="eastAsia" w:hAnsi="宋体"/>
          <w:color w:val="auto"/>
          <w:highlight w:val="none"/>
          <w:u w:val="single"/>
          <w:lang w:val="en-US" w:eastAsia="zh-CN"/>
        </w:rPr>
        <w:t xml:space="preserve"> </w:t>
      </w:r>
      <w:r>
        <w:rPr>
          <w:rStyle w:val="19"/>
          <w:rFonts w:hint="eastAsia" w:ascii="MingLiU_HKSCS" w:hAnsi="MingLiU_HKSCS" w:eastAsia="MingLiU_HKSCS" w:cs="MingLiU_HKSCS"/>
          <w:color w:val="000000"/>
          <w:highlight w:val="none"/>
          <w:u w:val="single"/>
        </w:rPr>
        <w:t xml:space="preserve">                 </w:t>
      </w:r>
      <w:r>
        <w:rPr>
          <w:rStyle w:val="19"/>
          <w:rFonts w:ascii="宋体" w:hAnsi="宋体" w:eastAsia="宋体" w:cs="Times New Roman"/>
          <w:color w:val="000000"/>
          <w:highlight w:val="none"/>
        </w:rPr>
        <w:t>；</w:t>
      </w:r>
    </w:p>
    <w:p w14:paraId="225CE886">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通信地址：</w:t>
      </w:r>
      <w:r>
        <w:rPr>
          <w:rStyle w:val="19"/>
          <w:rFonts w:hint="eastAsia" w:ascii="MingLiU_HKSCS" w:hAnsi="MingLiU_HKSCS" w:eastAsia="MingLiU_HKSCS" w:cs="MingLiU_HKSCS"/>
          <w:color w:val="000000"/>
          <w:highlight w:val="none"/>
          <w:u w:val="single"/>
        </w:rPr>
        <w:t xml:space="preserve"> </w:t>
      </w:r>
      <w:r>
        <w:rPr>
          <w:rStyle w:val="19"/>
          <w:rFonts w:hint="eastAsia" w:ascii="MingLiU_HKSCS" w:hAnsi="MingLiU_HKSCS" w:eastAsia="宋体" w:cs="MingLiU_HKSCS"/>
          <w:color w:val="000000"/>
          <w:highlight w:val="none"/>
          <w:u w:val="single"/>
          <w:lang w:val="en-US" w:eastAsia="zh-CN"/>
        </w:rPr>
        <w:t xml:space="preserve">  </w:t>
      </w:r>
      <w:r>
        <w:rPr>
          <w:rStyle w:val="19"/>
          <w:rFonts w:ascii="宋体" w:hAnsi="宋体" w:eastAsia="宋体" w:cs="Times New Roman"/>
          <w:color w:val="000000"/>
          <w:highlight w:val="none"/>
        </w:rPr>
        <w:t>；</w:t>
      </w:r>
    </w:p>
    <w:p w14:paraId="0C058987">
      <w:pPr>
        <w:pStyle w:val="89"/>
        <w:pageBreakBefore w:val="0"/>
        <w:kinsoku/>
        <w:wordWrap/>
        <w:overflowPunct/>
        <w:topLinePunct w:val="0"/>
        <w:bidi w:val="0"/>
        <w:adjustRightInd w:val="0"/>
        <w:snapToGrid w:val="0"/>
        <w:spacing w:line="360" w:lineRule="auto"/>
        <w:ind w:firstLine="420" w:firstLineChars="200"/>
        <w:jc w:val="left"/>
        <w:rPr>
          <w:rStyle w:val="19"/>
          <w:rFonts w:ascii="Calibri" w:hAnsi="Calibri" w:eastAsia="宋体" w:cs="Times New Roman"/>
          <w:color w:val="000000"/>
          <w:szCs w:val="21"/>
          <w:highlight w:val="none"/>
        </w:rPr>
      </w:pPr>
      <w:r>
        <w:rPr>
          <w:rStyle w:val="19"/>
          <w:rFonts w:hint="eastAsia" w:ascii="Calibri" w:hAnsi="Calibri" w:eastAsia="宋体" w:cs="Times New Roman"/>
          <w:color w:val="000000"/>
          <w:szCs w:val="21"/>
          <w:highlight w:val="none"/>
        </w:rPr>
        <w:t>承包人对项目经理的授权范围如下：</w:t>
      </w:r>
      <w:r>
        <w:rPr>
          <w:rStyle w:val="19"/>
          <w:rFonts w:hint="eastAsia" w:ascii="Calibri" w:hAnsi="Calibri" w:eastAsia="宋体" w:cs="Times New Roman"/>
          <w:color w:val="000000"/>
          <w:szCs w:val="21"/>
          <w:highlight w:val="none"/>
          <w:u w:val="single"/>
        </w:rPr>
        <w:t>项目经理仅限于工程的现场施工管理，但未经承包人 盖章同意，不得以承包人名义向外采购材料设备、租用建筑周转材料、雇用劳动力、签订分包合同等从事一切为承包人设立义务或责任的行为。</w:t>
      </w:r>
    </w:p>
    <w:p w14:paraId="20F13297">
      <w:pPr>
        <w:pStyle w:val="89"/>
        <w:pageBreakBefore w:val="0"/>
        <w:kinsoku/>
        <w:wordWrap/>
        <w:overflowPunct/>
        <w:topLinePunct w:val="0"/>
        <w:bidi w:val="0"/>
        <w:adjustRightInd w:val="0"/>
        <w:snapToGrid w:val="0"/>
        <w:spacing w:line="360" w:lineRule="auto"/>
        <w:ind w:firstLine="420" w:firstLineChars="200"/>
        <w:jc w:val="left"/>
        <w:rPr>
          <w:rStyle w:val="19"/>
          <w:rFonts w:ascii="Calibri" w:hAnsi="Calibri" w:eastAsia="宋体" w:cs="Times New Roman"/>
          <w:color w:val="000000"/>
          <w:szCs w:val="21"/>
          <w:highlight w:val="none"/>
        </w:rPr>
      </w:pPr>
      <w:r>
        <w:rPr>
          <w:rStyle w:val="19"/>
          <w:rFonts w:hint="eastAsia" w:ascii="Calibri" w:hAnsi="Calibri" w:eastAsia="宋体" w:cs="Times New Roman"/>
          <w:color w:val="000000"/>
          <w:szCs w:val="21"/>
          <w:highlight w:val="none"/>
        </w:rPr>
        <w:t>关于项目经理每月在施工现场的时间要求：</w:t>
      </w:r>
      <w:r>
        <w:rPr>
          <w:rStyle w:val="19"/>
          <w:rFonts w:hint="eastAsia" w:ascii="Calibri" w:hAnsi="Calibri" w:eastAsia="宋体" w:cs="Times New Roman"/>
          <w:color w:val="000000"/>
          <w:szCs w:val="21"/>
          <w:highlight w:val="none"/>
          <w:u w:val="single"/>
        </w:rPr>
        <w:t>项目经理无正当理由不得请假，到施工现场的 时间每月不少于25天，每少到一天支付违约金1000元，违约金须当月向发包人缴清，否则发包人有权延期支付当月工程进度款（由发包人派驻代表或监理人员确认项目经理到场天数）。项 目经理无故连续七天不到的，发包人将本项目视为挂靠工程,有权解除合同。</w:t>
      </w:r>
    </w:p>
    <w:p w14:paraId="62E64B91">
      <w:pPr>
        <w:pStyle w:val="89"/>
        <w:pageBreakBefore w:val="0"/>
        <w:kinsoku/>
        <w:wordWrap/>
        <w:overflowPunct/>
        <w:topLinePunct w:val="0"/>
        <w:bidi w:val="0"/>
        <w:adjustRightInd w:val="0"/>
        <w:snapToGrid w:val="0"/>
        <w:spacing w:line="360" w:lineRule="auto"/>
        <w:ind w:firstLine="420" w:firstLineChars="200"/>
        <w:jc w:val="left"/>
        <w:rPr>
          <w:rStyle w:val="19"/>
          <w:rFonts w:hint="eastAsia" w:ascii="Calibri" w:hAnsi="Calibri" w:eastAsia="宋体" w:cs="Times New Roman"/>
          <w:color w:val="000000"/>
          <w:szCs w:val="21"/>
          <w:highlight w:val="none"/>
          <w:lang w:eastAsia="zh-CN"/>
        </w:rPr>
      </w:pPr>
      <w:r>
        <w:rPr>
          <w:rStyle w:val="19"/>
          <w:rFonts w:hint="eastAsia" w:ascii="Calibri" w:hAnsi="Calibri" w:eastAsia="宋体" w:cs="Times New Roman"/>
          <w:color w:val="000000"/>
          <w:szCs w:val="21"/>
          <w:highlight w:val="none"/>
          <w:lang w:eastAsia="zh-CN"/>
        </w:rPr>
        <w:t>承包人未提交劳动合同，以及没有为项目经理缴纳社会保险证明的违约责任：承包人应向发包人支付50000元违约金，按发包人要求提交劳动合同并补缴社会保险，以上违约金由发包人从工程进度款中扣除。承包人不能提交上述文件的，项目经理无权履行职责，发包人有权要求更换项目经理，由此增加的费用及延误的工期由承包人承担。</w:t>
      </w:r>
    </w:p>
    <w:p w14:paraId="0C4D2210">
      <w:pPr>
        <w:pStyle w:val="89"/>
        <w:pageBreakBefore w:val="0"/>
        <w:kinsoku/>
        <w:wordWrap/>
        <w:overflowPunct/>
        <w:topLinePunct w:val="0"/>
        <w:bidi w:val="0"/>
        <w:adjustRightInd w:val="0"/>
        <w:snapToGrid w:val="0"/>
        <w:spacing w:line="360" w:lineRule="auto"/>
        <w:ind w:firstLine="420" w:firstLineChars="200"/>
        <w:jc w:val="left"/>
        <w:rPr>
          <w:rStyle w:val="19"/>
          <w:rFonts w:ascii="Calibri" w:hAnsi="Calibri" w:eastAsia="宋体" w:cs="Times New Roman"/>
          <w:color w:val="000000"/>
          <w:szCs w:val="21"/>
          <w:highlight w:val="none"/>
        </w:rPr>
      </w:pPr>
      <w:r>
        <w:rPr>
          <w:rStyle w:val="19"/>
          <w:rFonts w:hint="eastAsia" w:ascii="Calibri" w:hAnsi="Calibri" w:eastAsia="宋体" w:cs="Times New Roman"/>
          <w:color w:val="000000"/>
          <w:szCs w:val="21"/>
          <w:highlight w:val="none"/>
        </w:rPr>
        <w:t>项目经理未经批准，擅自离开施工现场的违约责任：</w:t>
      </w:r>
      <w:r>
        <w:rPr>
          <w:rStyle w:val="19"/>
          <w:rFonts w:hint="eastAsia" w:ascii="Calibri" w:hAnsi="Calibri" w:eastAsia="宋体" w:cs="Times New Roman"/>
          <w:color w:val="000000"/>
          <w:szCs w:val="21"/>
          <w:highlight w:val="none"/>
          <w:u w:val="single"/>
        </w:rPr>
        <w:t>项目经理每月在岗带班时间不得少于 当月施工时间的80%。未经发包人同意或正当理由，项目经理每月在岗带班时间少于当月施工时间 80%的，少在岗带班一天，发包人有权处违约金 1000 元/日（人民币） 。</w:t>
      </w:r>
    </w:p>
    <w:p w14:paraId="281D2147">
      <w:pPr>
        <w:pStyle w:val="89"/>
        <w:pageBreakBefore w:val="0"/>
        <w:kinsoku/>
        <w:wordWrap/>
        <w:overflowPunct/>
        <w:topLinePunct w:val="0"/>
        <w:bidi w:val="0"/>
        <w:adjustRightInd w:val="0"/>
        <w:snapToGrid w:val="0"/>
        <w:spacing w:line="360" w:lineRule="auto"/>
        <w:ind w:firstLine="420" w:firstLineChars="200"/>
        <w:jc w:val="left"/>
        <w:rPr>
          <w:rStyle w:val="19"/>
          <w:rFonts w:ascii="Calibri" w:hAnsi="Calibri" w:eastAsia="宋体" w:cs="Times New Roman"/>
          <w:color w:val="000000"/>
          <w:szCs w:val="21"/>
          <w:highlight w:val="none"/>
          <w:u w:val="single"/>
        </w:rPr>
      </w:pPr>
      <w:r>
        <w:rPr>
          <w:rStyle w:val="19"/>
          <w:rFonts w:hint="eastAsia" w:ascii="Calibri" w:hAnsi="Calibri" w:eastAsia="宋体" w:cs="Times New Roman"/>
          <w:color w:val="000000"/>
          <w:szCs w:val="21"/>
          <w:highlight w:val="none"/>
        </w:rPr>
        <w:t>3.2.3 承包人擅自更换项目经理的违约责任：</w:t>
      </w:r>
      <w:r>
        <w:rPr>
          <w:rStyle w:val="19"/>
          <w:rFonts w:hint="eastAsia" w:ascii="Calibri" w:hAnsi="Calibri" w:eastAsia="宋体" w:cs="Times New Roman"/>
          <w:color w:val="000000"/>
          <w:szCs w:val="21"/>
          <w:highlight w:val="none"/>
          <w:u w:val="single"/>
        </w:rPr>
        <w:t xml:space="preserve">承包人项目经理必须与承包人投标时所承诺 的人员一致，并在（开工日期）3 日前到任。在监理人向承包人颁发（竣工证明材料名称）3 日 前，项目经理不得同时兼任其他任何项目的项目经理（符合桂建管﹝2013﹞17 号和桂建管 ﹝2014﹞25 号文除外）。未经发包人书面同意，承包人擅自更换项目经理的视为违约，违约金 处 50000 元/人•次（人民币）。 </w:t>
      </w:r>
    </w:p>
    <w:p w14:paraId="584799A0">
      <w:pPr>
        <w:pStyle w:val="89"/>
        <w:pageBreakBefore w:val="0"/>
        <w:kinsoku/>
        <w:wordWrap/>
        <w:overflowPunct/>
        <w:topLinePunct w:val="0"/>
        <w:bidi w:val="0"/>
        <w:adjustRightInd w:val="0"/>
        <w:snapToGrid w:val="0"/>
        <w:spacing w:line="360" w:lineRule="auto"/>
        <w:ind w:firstLine="420" w:firstLineChars="200"/>
        <w:jc w:val="left"/>
        <w:rPr>
          <w:rStyle w:val="19"/>
          <w:rFonts w:ascii="宋体" w:hAnsi="宋体" w:eastAsia="宋体" w:cs="Times New Roman"/>
          <w:color w:val="000000"/>
          <w:szCs w:val="21"/>
          <w:highlight w:val="none"/>
          <w:u w:val="single"/>
        </w:rPr>
      </w:pPr>
      <w:r>
        <w:rPr>
          <w:rStyle w:val="19"/>
          <w:rFonts w:hint="eastAsia" w:ascii="Calibri" w:hAnsi="Calibri" w:eastAsia="宋体" w:cs="Times New Roman"/>
          <w:color w:val="000000"/>
          <w:szCs w:val="21"/>
          <w:highlight w:val="none"/>
        </w:rPr>
        <w:t>3.2.4 承包人无正当理由拒绝更换项目经理的违约责任：</w:t>
      </w:r>
      <w:r>
        <w:rPr>
          <w:rStyle w:val="19"/>
          <w:rFonts w:hint="eastAsia" w:ascii="Calibri" w:hAnsi="Calibri" w:eastAsia="宋体" w:cs="Times New Roman"/>
          <w:color w:val="000000"/>
          <w:szCs w:val="21"/>
          <w:highlight w:val="none"/>
          <w:u w:val="single"/>
        </w:rPr>
        <w:t>因承包人项目经理不称职，发包人要求调换而未及时调换的，视为承包人违约，必须向发包人</w:t>
      </w:r>
      <w:r>
        <w:rPr>
          <w:rStyle w:val="19"/>
          <w:rFonts w:hint="eastAsia" w:ascii="Calibri" w:hAnsi="Calibri" w:eastAsia="宋体" w:cs="Times New Roman"/>
          <w:color w:val="000000"/>
          <w:szCs w:val="21"/>
          <w:highlight w:val="none"/>
          <w:u w:val="single"/>
          <w:lang w:val="en-US" w:eastAsia="zh-CN"/>
        </w:rPr>
        <w:t>支付违约金</w:t>
      </w:r>
      <w:r>
        <w:rPr>
          <w:rStyle w:val="19"/>
          <w:rFonts w:hint="eastAsia" w:ascii="Calibri" w:hAnsi="Calibri" w:eastAsia="宋体" w:cs="Times New Roman"/>
          <w:color w:val="000000"/>
          <w:szCs w:val="21"/>
          <w:highlight w:val="none"/>
          <w:u w:val="single"/>
        </w:rPr>
        <w:t xml:space="preserve"> </w:t>
      </w:r>
      <w:r>
        <w:rPr>
          <w:rStyle w:val="19"/>
          <w:rFonts w:hint="eastAsia" w:ascii="Calibri" w:hAnsi="Calibri" w:eastAsia="宋体" w:cs="Times New Roman"/>
          <w:b/>
          <w:bCs/>
          <w:color w:val="000000"/>
          <w:szCs w:val="21"/>
          <w:highlight w:val="none"/>
          <w:u w:val="single"/>
        </w:rPr>
        <w:t xml:space="preserve">10000 </w:t>
      </w:r>
      <w:r>
        <w:rPr>
          <w:rStyle w:val="19"/>
          <w:rFonts w:hint="eastAsia" w:ascii="Calibri" w:hAnsi="Calibri" w:eastAsia="宋体" w:cs="Times New Roman"/>
          <w:color w:val="000000"/>
          <w:szCs w:val="21"/>
          <w:highlight w:val="none"/>
          <w:u w:val="single"/>
        </w:rPr>
        <w:t>元/人•天（人 民币）。</w:t>
      </w:r>
      <w:bookmarkStart w:id="445" w:name="_Toc78449797"/>
      <w:bookmarkStart w:id="446" w:name="_Toc373227709"/>
      <w:bookmarkStart w:id="447" w:name="_Toc373478356"/>
      <w:bookmarkStart w:id="448" w:name="_Toc407135211"/>
      <w:bookmarkStart w:id="449" w:name="_Toc747710271"/>
      <w:bookmarkStart w:id="450" w:name="_Toc1443830486"/>
      <w:bookmarkStart w:id="451" w:name="_Toc389065275"/>
    </w:p>
    <w:p w14:paraId="5FF513A0">
      <w:pPr>
        <w:pStyle w:val="89"/>
        <w:pageBreakBefore w:val="0"/>
        <w:kinsoku/>
        <w:wordWrap/>
        <w:overflowPunct/>
        <w:topLinePunct w:val="0"/>
        <w:bidi w:val="0"/>
        <w:spacing w:line="360" w:lineRule="auto"/>
        <w:ind w:firstLine="643" w:firstLineChars="200"/>
        <w:outlineLvl w:val="2"/>
        <w:rPr>
          <w:rStyle w:val="19"/>
          <w:rFonts w:ascii="宋体" w:hAnsi="宋体" w:eastAsia="宋体" w:cs="Times New Roman"/>
          <w:b/>
          <w:bCs/>
          <w:color w:val="000000"/>
          <w:sz w:val="32"/>
          <w:szCs w:val="32"/>
          <w:highlight w:val="none"/>
          <w:lang w:val="zh-CN"/>
        </w:rPr>
      </w:pPr>
      <w:bookmarkStart w:id="452" w:name="_Toc28849"/>
      <w:r>
        <w:rPr>
          <w:rStyle w:val="19"/>
          <w:rFonts w:ascii="宋体" w:hAnsi="宋体" w:eastAsia="宋体" w:cs="Times New Roman"/>
          <w:b/>
          <w:bCs/>
          <w:color w:val="000000"/>
          <w:sz w:val="32"/>
          <w:szCs w:val="32"/>
          <w:highlight w:val="none"/>
          <w:lang w:val="zh-CN"/>
        </w:rPr>
        <w:t xml:space="preserve">3.3 </w:t>
      </w:r>
      <w:r>
        <w:rPr>
          <w:rStyle w:val="19"/>
          <w:rFonts w:hint="eastAsia" w:ascii="宋体" w:hAnsi="宋体" w:eastAsia="宋体" w:cs="黑体"/>
          <w:b/>
          <w:bCs/>
          <w:color w:val="000000"/>
          <w:sz w:val="32"/>
          <w:szCs w:val="32"/>
          <w:highlight w:val="none"/>
          <w:lang w:val="zh-CN"/>
        </w:rPr>
        <w:t>承包人人员</w:t>
      </w:r>
      <w:bookmarkEnd w:id="445"/>
      <w:bookmarkEnd w:id="446"/>
      <w:bookmarkEnd w:id="447"/>
      <w:bookmarkEnd w:id="448"/>
      <w:bookmarkEnd w:id="449"/>
      <w:bookmarkEnd w:id="450"/>
      <w:bookmarkEnd w:id="451"/>
      <w:bookmarkEnd w:id="452"/>
    </w:p>
    <w:p w14:paraId="41756B94">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3.3.1 </w:t>
      </w:r>
      <w:r>
        <w:rPr>
          <w:rStyle w:val="19"/>
          <w:rFonts w:hint="eastAsia" w:ascii="宋体" w:hAnsi="宋体" w:eastAsia="宋体" w:cs="宋体"/>
          <w:color w:val="000000"/>
          <w:highlight w:val="none"/>
        </w:rPr>
        <w:t>承包人提交项目管理机构及施工现场管理人员安排报告（格式见合同附件</w:t>
      </w:r>
      <w:r>
        <w:rPr>
          <w:rStyle w:val="19"/>
          <w:rFonts w:hint="eastAsia" w:ascii="宋体" w:hAnsi="宋体" w:eastAsia="宋体" w:cs="Times New Roman"/>
          <w:color w:val="000000"/>
          <w:highlight w:val="none"/>
        </w:rPr>
        <w:t>5</w:t>
      </w:r>
      <w:r>
        <w:rPr>
          <w:rStyle w:val="19"/>
          <w:rFonts w:hint="eastAsia" w:ascii="宋体" w:hAnsi="宋体" w:eastAsia="宋体" w:cs="宋体"/>
          <w:color w:val="000000"/>
          <w:highlight w:val="none"/>
        </w:rPr>
        <w:t>）的期限：</w:t>
      </w:r>
    </w:p>
    <w:p w14:paraId="7058DF3E">
      <w:pPr>
        <w:pStyle w:val="89"/>
        <w:pageBreakBefore w:val="0"/>
        <w:kinsoku/>
        <w:wordWrap/>
        <w:overflowPunct/>
        <w:topLinePunct w:val="0"/>
        <w:bidi w:val="0"/>
        <w:spacing w:line="360" w:lineRule="auto"/>
        <w:rPr>
          <w:rStyle w:val="19"/>
          <w:rFonts w:ascii="宋体" w:hAnsi="宋体" w:eastAsia="宋体" w:cs="Times New Roman"/>
          <w:color w:val="000000"/>
          <w:highlight w:val="none"/>
        </w:rPr>
      </w:pPr>
      <w:r>
        <w:rPr>
          <w:rStyle w:val="19"/>
          <w:rFonts w:hint="eastAsia" w:ascii="宋体" w:hAnsi="宋体" w:eastAsia="宋体" w:cs="Times New Roman"/>
          <w:color w:val="000000"/>
          <w:szCs w:val="21"/>
          <w:highlight w:val="none"/>
          <w:u w:val="single"/>
        </w:rPr>
        <w:t>工程开工前7天，逾期提交的，每逾期一天，承包人应当按签约合同价的万分之四向发包人支付违约金</w:t>
      </w:r>
      <w:r>
        <w:rPr>
          <w:rStyle w:val="19"/>
          <w:rFonts w:hint="eastAsia" w:ascii="宋体" w:hAnsi="宋体" w:eastAsia="宋体" w:cs="宋体"/>
          <w:color w:val="000000"/>
          <w:szCs w:val="21"/>
          <w:highlight w:val="none"/>
          <w:u w:val="single"/>
        </w:rPr>
        <w:t>。</w:t>
      </w:r>
    </w:p>
    <w:p w14:paraId="35EBDA4E">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rPr>
      </w:pPr>
      <w:r>
        <w:rPr>
          <w:rStyle w:val="19"/>
          <w:rFonts w:ascii="宋体" w:hAnsi="宋体" w:eastAsia="宋体" w:cs="Times New Roman"/>
          <w:color w:val="000000"/>
          <w:highlight w:val="none"/>
        </w:rPr>
        <w:t xml:space="preserve">3.3.3 </w:t>
      </w:r>
      <w:r>
        <w:rPr>
          <w:rStyle w:val="19"/>
          <w:rFonts w:hint="eastAsia" w:ascii="宋体" w:hAnsi="宋体" w:eastAsia="宋体" w:cs="宋体"/>
          <w:color w:val="000000"/>
          <w:highlight w:val="none"/>
        </w:rPr>
        <w:t>承包人无正当理由拒绝撤换主要施工管理人员的违约责任：</w:t>
      </w:r>
      <w:r>
        <w:rPr>
          <w:rStyle w:val="19"/>
          <w:rFonts w:hint="eastAsia" w:ascii="宋体" w:hAnsi="宋体" w:eastAsia="宋体" w:cs="宋体"/>
          <w:color w:val="000000"/>
          <w:szCs w:val="21"/>
          <w:highlight w:val="none"/>
          <w:u w:val="single"/>
        </w:rPr>
        <w:t>因承包人主要施工管理人员不称职，发包人要求调换而无正当理由拒绝撤换或未及时调换的，视为承包人违约，必须</w:t>
      </w:r>
      <w:r>
        <w:rPr>
          <w:rStyle w:val="19"/>
          <w:rFonts w:ascii="宋体" w:hAnsi="宋体" w:eastAsia="宋体" w:cs="宋体"/>
          <w:color w:val="000000"/>
          <w:szCs w:val="21"/>
          <w:highlight w:val="none"/>
          <w:u w:val="single"/>
        </w:rPr>
        <w:t>立即更换并向发包人</w:t>
      </w:r>
      <w:r>
        <w:rPr>
          <w:rStyle w:val="19"/>
          <w:rFonts w:hint="eastAsia" w:ascii="宋体" w:hAnsi="宋体" w:eastAsia="宋体" w:cs="宋体"/>
          <w:color w:val="000000"/>
          <w:szCs w:val="21"/>
          <w:highlight w:val="none"/>
          <w:u w:val="single"/>
        </w:rPr>
        <w:t>支付违约金，违约金标准：技术负责人10000元</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人</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次（人民币）；其他管理人员专业工程师5000元</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人</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次（人民币）</w:t>
      </w:r>
      <w:r>
        <w:rPr>
          <w:rStyle w:val="19"/>
          <w:rFonts w:hint="eastAsia" w:ascii="宋体" w:hAnsi="宋体" w:eastAsia="宋体" w:cs="宋体"/>
          <w:color w:val="000000"/>
          <w:szCs w:val="21"/>
          <w:highlight w:val="none"/>
        </w:rPr>
        <w:t>。如承包人第二次接到发包人要求更换主要施工管理人员的通知后，仍然无正当理由拒绝撤换或逾期未调换的，发包人有权</w:t>
      </w:r>
      <w:r>
        <w:rPr>
          <w:rStyle w:val="19"/>
          <w:rFonts w:hint="eastAsia" w:ascii="宋体" w:hAnsi="宋体" w:eastAsia="宋体" w:cs="宋体"/>
          <w:color w:val="000000"/>
          <w:szCs w:val="21"/>
          <w:highlight w:val="none"/>
          <w:lang w:eastAsia="zh-CN"/>
        </w:rPr>
        <w:t>按</w:t>
      </w:r>
      <w:r>
        <w:rPr>
          <w:rStyle w:val="19"/>
          <w:rFonts w:hint="eastAsia" w:ascii="宋体" w:hAnsi="宋体" w:eastAsia="宋体" w:cs="宋体"/>
          <w:color w:val="000000"/>
          <w:szCs w:val="21"/>
          <w:highlight w:val="none"/>
          <w:lang w:val="en-US" w:eastAsia="zh-CN"/>
        </w:rPr>
        <w:t>20000元/人•次（人民币）进行罚款</w:t>
      </w:r>
      <w:r>
        <w:rPr>
          <w:rStyle w:val="19"/>
          <w:rFonts w:hint="eastAsia" w:ascii="宋体" w:hAnsi="宋体" w:eastAsia="宋体" w:cs="宋体"/>
          <w:color w:val="000000"/>
          <w:szCs w:val="21"/>
          <w:highlight w:val="none"/>
        </w:rPr>
        <w:t>。</w:t>
      </w:r>
    </w:p>
    <w:p w14:paraId="5F62AAE0">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u w:val="single"/>
        </w:rPr>
      </w:pPr>
      <w:r>
        <w:rPr>
          <w:rStyle w:val="19"/>
          <w:rFonts w:ascii="宋体" w:hAnsi="宋体" w:eastAsia="宋体" w:cs="Times New Roman"/>
          <w:color w:val="000000"/>
          <w:highlight w:val="none"/>
        </w:rPr>
        <w:t xml:space="preserve">3.3.4 </w:t>
      </w:r>
      <w:r>
        <w:rPr>
          <w:rStyle w:val="19"/>
          <w:rFonts w:hint="eastAsia" w:ascii="宋体" w:hAnsi="宋体" w:eastAsia="宋体" w:cs="宋体"/>
          <w:color w:val="000000"/>
          <w:highlight w:val="none"/>
        </w:rPr>
        <w:t>承包人主要施工管理人员离开施工现场的批准要求：</w:t>
      </w:r>
      <w:r>
        <w:rPr>
          <w:rStyle w:val="19"/>
          <w:rFonts w:hint="eastAsia" w:ascii="宋体" w:hAnsi="宋体" w:eastAsia="宋体" w:cs="宋体"/>
          <w:color w:val="000000"/>
          <w:szCs w:val="21"/>
          <w:highlight w:val="none"/>
          <w:u w:val="single"/>
        </w:rPr>
        <w:t>项目技术负责人、专职安全员及其承诺的其它在场管理人员未经发包人书面同意不准擅自更换，擅自更换项目技术负责人处20000 元/人•天（人民币）违约金；擅自更换专职安全员处 10000 元/人•天（人民币）违约金；擅自更换其它在场管理人员处 10000 元/人•天（人民币）违约金。</w:t>
      </w:r>
    </w:p>
    <w:p w14:paraId="12DD4554">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3.3.5 </w:t>
      </w:r>
      <w:r>
        <w:rPr>
          <w:rStyle w:val="19"/>
          <w:rFonts w:hint="eastAsia" w:ascii="宋体" w:hAnsi="宋体" w:eastAsia="宋体" w:cs="宋体"/>
          <w:color w:val="000000"/>
          <w:highlight w:val="none"/>
        </w:rPr>
        <w:t>承包人擅自更换主要施工管理人员的违约责任：</w:t>
      </w:r>
      <w:r>
        <w:rPr>
          <w:rStyle w:val="19"/>
          <w:rFonts w:hint="eastAsia" w:ascii="宋体" w:hAnsi="宋体" w:eastAsia="宋体" w:cs="宋体"/>
          <w:color w:val="000000"/>
          <w:szCs w:val="21"/>
          <w:highlight w:val="none"/>
          <w:u w:val="single"/>
        </w:rPr>
        <w:t>项目技术负责人、专职安全生产管理人员及其承诺的其它在场管理人员未经发包人书面同意不准擅自更换，擅自更换项目技术负责人处20000元</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人</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次（人民币）违约金；擅自更换专职安全生产管理人员处</w:t>
      </w:r>
      <w:r>
        <w:rPr>
          <w:rStyle w:val="19"/>
          <w:rFonts w:ascii="宋体" w:hAnsi="宋体" w:eastAsia="宋体" w:cs="宋体"/>
          <w:color w:val="000000"/>
          <w:szCs w:val="21"/>
          <w:highlight w:val="none"/>
          <w:u w:val="single"/>
        </w:rPr>
        <w:t>10</w:t>
      </w:r>
      <w:r>
        <w:rPr>
          <w:rStyle w:val="19"/>
          <w:rFonts w:hint="eastAsia" w:ascii="宋体" w:hAnsi="宋体" w:eastAsia="宋体" w:cs="宋体"/>
          <w:color w:val="000000"/>
          <w:szCs w:val="21"/>
          <w:highlight w:val="none"/>
          <w:u w:val="single"/>
        </w:rPr>
        <w:t>000元</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人</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次（人民币）违约金；擅自更换其他在场管理人员处10000元</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人</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次（人民币）违约金，如在开工前更换，则取消中标资格。</w:t>
      </w:r>
    </w:p>
    <w:p w14:paraId="3381F152">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rPr>
      </w:pPr>
      <w:r>
        <w:rPr>
          <w:rStyle w:val="19"/>
          <w:rFonts w:hint="eastAsia" w:ascii="宋体" w:hAnsi="宋体" w:eastAsia="宋体" w:cs="宋体"/>
          <w:color w:val="000000"/>
          <w:highlight w:val="none"/>
        </w:rPr>
        <w:t>承包人主要施工管理人员擅自离开施工现场的违约责任：</w:t>
      </w:r>
      <w:r>
        <w:rPr>
          <w:rStyle w:val="19"/>
          <w:rFonts w:hint="eastAsia" w:ascii="宋体" w:hAnsi="宋体" w:eastAsia="宋体" w:cs="宋体"/>
          <w:color w:val="000000"/>
          <w:szCs w:val="21"/>
          <w:highlight w:val="none"/>
          <w:u w:val="single"/>
        </w:rPr>
        <w:t>未经发包人同意，项目技术负责人擅自离岗的，视为承包人违约，发包人有权处违约金1000元</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人</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次（人民币）；未经发包人同意，专职安全生产管理人员擅自离岗的，视为承包人违约，发包人有权处违约金500元</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人</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次（人民币）；其它在场管理人员擅自离岗的，视为承包人违约，发包人有权处违约金500元</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人</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次（人民币）</w:t>
      </w:r>
      <w:r>
        <w:rPr>
          <w:rStyle w:val="19"/>
          <w:rFonts w:hint="eastAsia" w:ascii="宋体" w:hAnsi="宋体" w:eastAsia="宋体" w:cs="宋体"/>
          <w:color w:val="000000"/>
          <w:szCs w:val="21"/>
          <w:highlight w:val="none"/>
        </w:rPr>
        <w:t>。</w:t>
      </w:r>
    </w:p>
    <w:p w14:paraId="50EE4C1F">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 xml:space="preserve">3.4 在承包人签署合同文件时，承包人应被认为已对现场的相关条件进行了周详的了解和考查，并已充分掌握了下述因素及其对合同履行成本、费用、税金和时间的影响： </w:t>
      </w:r>
    </w:p>
    <w:p w14:paraId="495CC984">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u w:val="single"/>
        </w:rPr>
      </w:pPr>
      <w:r>
        <w:rPr>
          <w:rStyle w:val="19"/>
          <w:rFonts w:hint="eastAsia" w:ascii="宋体" w:hAnsi="宋体" w:eastAsia="宋体" w:cs="宋体"/>
          <w:color w:val="000000"/>
          <w:szCs w:val="21"/>
          <w:highlight w:val="none"/>
          <w:u w:val="single"/>
        </w:rPr>
        <w:t xml:space="preserve">（1）现场的状况、环境与限制； </w:t>
      </w:r>
    </w:p>
    <w:p w14:paraId="7F2BBFE3">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u w:val="single"/>
        </w:rPr>
      </w:pPr>
      <w:r>
        <w:rPr>
          <w:rStyle w:val="19"/>
          <w:rFonts w:hint="eastAsia" w:ascii="宋体" w:hAnsi="宋体" w:eastAsia="宋体" w:cs="宋体"/>
          <w:color w:val="000000"/>
          <w:szCs w:val="21"/>
          <w:highlight w:val="none"/>
          <w:u w:val="single"/>
        </w:rPr>
        <w:t xml:space="preserve">（2）施工及承担质量保证责任所需的工作、人力、机械、材料； </w:t>
      </w:r>
    </w:p>
    <w:p w14:paraId="050688FE">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u w:val="single"/>
        </w:rPr>
      </w:pPr>
      <w:r>
        <w:rPr>
          <w:rStyle w:val="19"/>
          <w:rFonts w:hint="eastAsia" w:ascii="宋体" w:hAnsi="宋体" w:eastAsia="宋体" w:cs="宋体"/>
          <w:color w:val="000000"/>
          <w:szCs w:val="21"/>
          <w:highlight w:val="none"/>
          <w:u w:val="single"/>
        </w:rPr>
        <w:t xml:space="preserve">（3）材料、设备的采购、运输、存放、保管及检测； </w:t>
      </w:r>
    </w:p>
    <w:p w14:paraId="0F5C6D32">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u w:val="single"/>
        </w:rPr>
      </w:pPr>
      <w:r>
        <w:rPr>
          <w:rStyle w:val="19"/>
          <w:rFonts w:hint="eastAsia" w:ascii="宋体" w:hAnsi="宋体" w:eastAsia="宋体" w:cs="宋体"/>
          <w:color w:val="000000"/>
          <w:szCs w:val="21"/>
          <w:highlight w:val="none"/>
          <w:u w:val="single"/>
        </w:rPr>
        <w:t xml:space="preserve">（4）进出现场的手段及承包人可能需要的食宿与办公条件； </w:t>
      </w:r>
    </w:p>
    <w:p w14:paraId="3AD2590A">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u w:val="single"/>
        </w:rPr>
      </w:pPr>
      <w:r>
        <w:rPr>
          <w:rStyle w:val="19"/>
          <w:rFonts w:hint="eastAsia" w:ascii="宋体" w:hAnsi="宋体" w:eastAsia="宋体" w:cs="宋体"/>
          <w:color w:val="000000"/>
          <w:szCs w:val="21"/>
          <w:highlight w:val="none"/>
          <w:u w:val="single"/>
        </w:rPr>
        <w:t xml:space="preserve">（5）可能受到的来自现场其它承包人的各种影响及所需要的相互配合； </w:t>
      </w:r>
    </w:p>
    <w:p w14:paraId="3E76F726">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u w:val="single"/>
        </w:rPr>
      </w:pPr>
      <w:r>
        <w:rPr>
          <w:rStyle w:val="19"/>
          <w:rFonts w:hint="eastAsia" w:ascii="宋体" w:hAnsi="宋体" w:eastAsia="宋体" w:cs="宋体"/>
          <w:color w:val="000000"/>
          <w:szCs w:val="21"/>
          <w:highlight w:val="none"/>
          <w:u w:val="single"/>
        </w:rPr>
        <w:t xml:space="preserve">（6）对合同履行有影响或起作用的其它各种可能的风险。 </w:t>
      </w:r>
    </w:p>
    <w:p w14:paraId="0B2DD338">
      <w:pPr>
        <w:pStyle w:val="89"/>
        <w:pageBreakBefore w:val="0"/>
        <w:kinsoku/>
        <w:wordWrap/>
        <w:overflowPunct/>
        <w:topLinePunct w:val="0"/>
        <w:bidi w:val="0"/>
        <w:spacing w:line="360" w:lineRule="auto"/>
        <w:ind w:firstLine="420" w:firstLineChars="200"/>
        <w:outlineLvl w:val="2"/>
        <w:rPr>
          <w:rStyle w:val="19"/>
          <w:rFonts w:ascii="宋体" w:hAnsi="宋体" w:eastAsia="宋体" w:cs="Times New Roman"/>
          <w:b/>
          <w:bCs/>
          <w:color w:val="000000"/>
          <w:sz w:val="32"/>
          <w:szCs w:val="32"/>
          <w:highlight w:val="none"/>
          <w:lang w:val="zh-CN"/>
        </w:rPr>
      </w:pPr>
      <w:bookmarkStart w:id="453" w:name="_Toc10046"/>
      <w:r>
        <w:rPr>
          <w:rStyle w:val="19"/>
          <w:rFonts w:hint="eastAsia" w:ascii="宋体" w:hAnsi="宋体" w:eastAsia="宋体" w:cs="宋体"/>
          <w:color w:val="000000"/>
          <w:szCs w:val="21"/>
          <w:highlight w:val="none"/>
          <w:u w:val="single"/>
        </w:rPr>
        <w:t xml:space="preserve">承包人不得以上述理由为由，而要求对合同进行变更或免责。 </w:t>
      </w:r>
      <w:r>
        <w:rPr>
          <w:rStyle w:val="19"/>
          <w:rFonts w:hint="eastAsia" w:ascii="宋体" w:hAnsi="宋体" w:eastAsia="宋体" w:cs="宋体"/>
          <w:color w:val="000000"/>
          <w:szCs w:val="21"/>
          <w:highlight w:val="none"/>
          <w:u w:val="single"/>
        </w:rPr>
        <w:cr/>
      </w:r>
      <w:bookmarkStart w:id="454" w:name="_Toc389065276"/>
      <w:bookmarkStart w:id="455" w:name="_Toc2066279184"/>
      <w:bookmarkStart w:id="456" w:name="_Toc78449798"/>
      <w:bookmarkStart w:id="457" w:name="_Toc373478357"/>
      <w:bookmarkStart w:id="458" w:name="_Toc407135212"/>
      <w:bookmarkStart w:id="459" w:name="_Toc373227710"/>
      <w:bookmarkStart w:id="460" w:name="_Toc2025600126"/>
      <w:r>
        <w:rPr>
          <w:rStyle w:val="19"/>
          <w:rFonts w:ascii="宋体" w:hAnsi="宋体" w:eastAsia="宋体" w:cs="Times New Roman"/>
          <w:b/>
          <w:bCs/>
          <w:color w:val="000000"/>
          <w:sz w:val="32"/>
          <w:szCs w:val="32"/>
          <w:highlight w:val="none"/>
          <w:lang w:val="zh-CN"/>
        </w:rPr>
        <w:t>3</w:t>
      </w:r>
      <w:bookmarkStart w:id="461" w:name="_Toc297216151"/>
      <w:bookmarkStart w:id="462" w:name="_Toc297048345"/>
      <w:bookmarkStart w:id="463" w:name="_Toc296347158"/>
      <w:bookmarkStart w:id="464" w:name="_Toc303539102"/>
      <w:bookmarkStart w:id="465" w:name="_Toc304295523"/>
      <w:bookmarkStart w:id="466" w:name="_Toc296503159"/>
      <w:bookmarkStart w:id="467" w:name="_Toc296890987"/>
      <w:bookmarkStart w:id="468" w:name="_Toc296346660"/>
      <w:bookmarkStart w:id="469" w:name="_Toc292559364"/>
      <w:bookmarkStart w:id="470" w:name="_Toc297120459"/>
      <w:bookmarkStart w:id="471" w:name="_Toc312677988"/>
      <w:bookmarkStart w:id="472" w:name="_Toc292559869"/>
      <w:bookmarkStart w:id="473" w:name="_Toc296891199"/>
      <w:bookmarkStart w:id="474" w:name="_Toc296944498"/>
      <w:bookmarkStart w:id="475" w:name="_Toc297123492"/>
      <w:bookmarkStart w:id="476" w:name="_Toc300934945"/>
      <w:r>
        <w:rPr>
          <w:rStyle w:val="19"/>
          <w:rFonts w:ascii="宋体" w:hAnsi="宋体" w:eastAsia="宋体" w:cs="Times New Roman"/>
          <w:b/>
          <w:bCs/>
          <w:color w:val="000000"/>
          <w:sz w:val="32"/>
          <w:szCs w:val="32"/>
          <w:highlight w:val="none"/>
          <w:lang w:val="zh-CN"/>
        </w:rPr>
        <w:t xml:space="preserve">.5 </w:t>
      </w:r>
      <w:r>
        <w:rPr>
          <w:rStyle w:val="19"/>
          <w:rFonts w:hint="eastAsia" w:ascii="宋体" w:hAnsi="宋体" w:eastAsia="宋体" w:cs="黑体"/>
          <w:b/>
          <w:bCs/>
          <w:color w:val="000000"/>
          <w:sz w:val="32"/>
          <w:szCs w:val="32"/>
          <w:highlight w:val="none"/>
          <w:lang w:val="zh-CN"/>
        </w:rPr>
        <w:t>分包</w:t>
      </w:r>
      <w:bookmarkEnd w:id="453"/>
      <w:bookmarkEnd w:id="454"/>
      <w:bookmarkEnd w:id="455"/>
      <w:bookmarkEnd w:id="456"/>
      <w:bookmarkEnd w:id="457"/>
      <w:bookmarkEnd w:id="458"/>
      <w:bookmarkEnd w:id="459"/>
      <w:bookmarkEnd w:id="460"/>
    </w:p>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14:paraId="317CEFFF">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bookmarkStart w:id="477" w:name="_Toc389065277"/>
      <w:bookmarkStart w:id="478" w:name="_Toc373227711"/>
      <w:bookmarkStart w:id="479" w:name="_Toc373478358"/>
      <w:r>
        <w:rPr>
          <w:rFonts w:ascii="微软雅黑" w:hAnsi="微软雅黑" w:eastAsia="微软雅黑" w:cs="微软雅黑"/>
          <w:i w:val="0"/>
          <w:iCs w:val="0"/>
          <w:caps w:val="0"/>
          <w:color w:val="000000"/>
          <w:spacing w:val="0"/>
          <w:sz w:val="21"/>
          <w:szCs w:val="21"/>
          <w:shd w:val="clear" w:fill="FFFFFF"/>
        </w:rPr>
        <w:t>本项目不允许分包</w:t>
      </w:r>
      <w:r>
        <w:rPr>
          <w:rStyle w:val="19"/>
          <w:rFonts w:hint="eastAsia" w:ascii="宋体" w:hAnsi="宋体" w:eastAsia="宋体" w:cs="宋体"/>
          <w:color w:val="000000"/>
          <w:highlight w:val="none"/>
        </w:rPr>
        <w:t>。</w:t>
      </w:r>
    </w:p>
    <w:p w14:paraId="1A54C6D3">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480" w:name="_Toc57329529"/>
      <w:bookmarkStart w:id="481" w:name="_Toc407135213"/>
      <w:bookmarkStart w:id="482" w:name="_Toc23993"/>
      <w:bookmarkStart w:id="483" w:name="_Toc78449799"/>
      <w:bookmarkStart w:id="484" w:name="_Toc101808609"/>
      <w:r>
        <w:rPr>
          <w:rStyle w:val="19"/>
          <w:rFonts w:ascii="宋体" w:hAnsi="宋体" w:eastAsia="宋体" w:cs="Times New Roman"/>
          <w:b/>
          <w:bCs/>
          <w:color w:val="000000"/>
          <w:sz w:val="32"/>
          <w:szCs w:val="32"/>
          <w:highlight w:val="none"/>
          <w:lang w:val="zh-CN"/>
        </w:rPr>
        <w:t xml:space="preserve">3.6 </w:t>
      </w:r>
      <w:r>
        <w:rPr>
          <w:rStyle w:val="19"/>
          <w:rFonts w:hint="eastAsia" w:ascii="宋体" w:hAnsi="宋体" w:eastAsia="宋体" w:cs="黑体"/>
          <w:b/>
          <w:bCs/>
          <w:color w:val="000000"/>
          <w:sz w:val="32"/>
          <w:szCs w:val="32"/>
          <w:highlight w:val="none"/>
          <w:lang w:val="zh-CN"/>
        </w:rPr>
        <w:t>工程照管与成品、半成品保护</w:t>
      </w:r>
      <w:bookmarkEnd w:id="477"/>
      <w:bookmarkEnd w:id="478"/>
      <w:bookmarkEnd w:id="479"/>
      <w:bookmarkEnd w:id="480"/>
      <w:bookmarkEnd w:id="481"/>
      <w:bookmarkEnd w:id="482"/>
      <w:bookmarkEnd w:id="483"/>
      <w:bookmarkEnd w:id="484"/>
    </w:p>
    <w:p w14:paraId="322D51AB">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kern w:val="0"/>
          <w:highlight w:val="none"/>
          <w:u w:val="single"/>
        </w:rPr>
      </w:pPr>
      <w:r>
        <w:rPr>
          <w:rStyle w:val="19"/>
          <w:rFonts w:hint="eastAsia" w:ascii="宋体" w:hAnsi="宋体" w:eastAsia="宋体" w:cs="宋体"/>
          <w:color w:val="000000"/>
          <w:szCs w:val="21"/>
          <w:highlight w:val="none"/>
        </w:rPr>
        <w:t>承包人负责照管工程及工程相关的材料、工程设备的起始时间：设备、人员进场至业主确认验收交付使用前由承包人负责保管、保护、保修，该期间材料、设备等发生损坏、灭失的，承包人负责及时予以修复或照价赔偿，费用由承包人承担。</w:t>
      </w:r>
    </w:p>
    <w:p w14:paraId="4012DE6A">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485" w:name="_Toc373478359"/>
      <w:bookmarkStart w:id="486" w:name="_Toc373227712"/>
      <w:bookmarkStart w:id="487" w:name="_Toc389065278"/>
      <w:bookmarkStart w:id="488" w:name="_Toc407135214"/>
      <w:bookmarkStart w:id="489" w:name="_Toc1649716734"/>
      <w:bookmarkStart w:id="490" w:name="_Toc5267"/>
      <w:bookmarkStart w:id="491" w:name="_Toc1042049436"/>
      <w:bookmarkStart w:id="492" w:name="_Toc78449800"/>
      <w:r>
        <w:rPr>
          <w:rStyle w:val="19"/>
          <w:rFonts w:ascii="宋体" w:hAnsi="宋体" w:eastAsia="宋体" w:cs="Times New Roman"/>
          <w:b/>
          <w:bCs/>
          <w:color w:val="000000"/>
          <w:sz w:val="32"/>
          <w:szCs w:val="32"/>
          <w:highlight w:val="none"/>
          <w:lang w:val="zh-CN"/>
        </w:rPr>
        <w:t xml:space="preserve">3.7 </w:t>
      </w:r>
      <w:r>
        <w:rPr>
          <w:rStyle w:val="19"/>
          <w:rFonts w:hint="eastAsia" w:ascii="宋体" w:hAnsi="宋体" w:eastAsia="宋体" w:cs="黑体"/>
          <w:b/>
          <w:bCs/>
          <w:color w:val="000000"/>
          <w:sz w:val="32"/>
          <w:szCs w:val="32"/>
          <w:highlight w:val="none"/>
          <w:lang w:val="zh-CN"/>
        </w:rPr>
        <w:t>履约</w:t>
      </w:r>
      <w:bookmarkEnd w:id="485"/>
      <w:bookmarkEnd w:id="486"/>
      <w:bookmarkEnd w:id="487"/>
      <w:r>
        <w:rPr>
          <w:rStyle w:val="19"/>
          <w:rFonts w:hint="eastAsia" w:ascii="宋体" w:hAnsi="宋体" w:eastAsia="宋体" w:cs="黑体"/>
          <w:b/>
          <w:bCs/>
          <w:color w:val="000000"/>
          <w:sz w:val="32"/>
          <w:szCs w:val="32"/>
          <w:highlight w:val="none"/>
          <w:lang w:val="zh-CN"/>
        </w:rPr>
        <w:t>保证金</w:t>
      </w:r>
      <w:bookmarkEnd w:id="488"/>
      <w:bookmarkEnd w:id="489"/>
      <w:bookmarkEnd w:id="490"/>
      <w:bookmarkEnd w:id="491"/>
      <w:bookmarkEnd w:id="492"/>
    </w:p>
    <w:p w14:paraId="4AB070B0">
      <w:pPr>
        <w:pStyle w:val="89"/>
        <w:pageBreakBefore w:val="0"/>
        <w:kinsoku/>
        <w:wordWrap/>
        <w:overflowPunct/>
        <w:topLinePunct w:val="0"/>
        <w:bidi w:val="0"/>
        <w:spacing w:line="360" w:lineRule="auto"/>
        <w:ind w:firstLine="420" w:firstLineChars="200"/>
        <w:rPr>
          <w:rStyle w:val="19"/>
          <w:rFonts w:ascii="宋体" w:hAnsi="宋体" w:eastAsia="宋体" w:cs="宋体"/>
          <w:color w:val="000000"/>
          <w:highlight w:val="none"/>
        </w:rPr>
      </w:pPr>
      <w:bookmarkStart w:id="493" w:name="_Toc373227713"/>
      <w:bookmarkStart w:id="494" w:name="_Toc351203636"/>
      <w:bookmarkStart w:id="495" w:name="_Toc389065279"/>
      <w:bookmarkStart w:id="496" w:name="_Toc373478360"/>
      <w:r>
        <w:rPr>
          <w:rStyle w:val="19"/>
          <w:rFonts w:hint="eastAsia" w:ascii="宋体" w:hAnsi="宋体" w:eastAsia="宋体" w:cs="宋体"/>
          <w:color w:val="000000"/>
          <w:szCs w:val="21"/>
          <w:highlight w:val="none"/>
        </w:rPr>
        <w:t>承包人提供履约担保金额及期限：</w:t>
      </w:r>
      <w:r>
        <w:rPr>
          <w:rStyle w:val="19"/>
          <w:rFonts w:hint="eastAsia" w:ascii="宋体" w:hAnsi="宋体" w:eastAsia="宋体" w:cs="宋体"/>
          <w:color w:val="000000"/>
          <w:highlight w:val="none"/>
        </w:rPr>
        <w:t>承包人在收到中标通知书后，须在</w:t>
      </w:r>
      <w:r>
        <w:rPr>
          <w:rStyle w:val="19"/>
          <w:rFonts w:hint="eastAsia" w:ascii="宋体" w:hAnsi="宋体" w:eastAsia="宋体" w:cs="Times New Roman"/>
          <w:color w:val="000000"/>
          <w:highlight w:val="none"/>
        </w:rPr>
        <w:t>30</w:t>
      </w:r>
      <w:r>
        <w:rPr>
          <w:rStyle w:val="19"/>
          <w:rFonts w:hint="eastAsia" w:ascii="宋体" w:hAnsi="宋体" w:eastAsia="宋体" w:cs="宋体"/>
          <w:color w:val="000000"/>
          <w:highlight w:val="none"/>
        </w:rPr>
        <w:t>日内向发包人提交合同价款扣除发包人材料设备价款、暂估专业工程、暂列金额后的</w:t>
      </w:r>
      <w:r>
        <w:rPr>
          <w:rStyle w:val="19"/>
          <w:rFonts w:hint="eastAsia" w:ascii="宋体" w:hAnsi="宋体" w:eastAsia="宋体" w:cs="Times New Roman"/>
          <w:color w:val="000000"/>
          <w:highlight w:val="none"/>
        </w:rPr>
        <w:t>5</w:t>
      </w:r>
      <w:r>
        <w:rPr>
          <w:rStyle w:val="19"/>
          <w:rFonts w:ascii="宋体" w:hAnsi="宋体" w:eastAsia="宋体" w:cs="Times New Roman"/>
          <w:color w:val="000000"/>
          <w:highlight w:val="none"/>
        </w:rPr>
        <w:t>%</w:t>
      </w:r>
      <w:r>
        <w:rPr>
          <w:rStyle w:val="19"/>
          <w:rFonts w:hint="eastAsia" w:ascii="宋体" w:hAnsi="宋体" w:eastAsia="宋体" w:cs="宋体"/>
          <w:color w:val="000000"/>
          <w:highlight w:val="none"/>
        </w:rPr>
        <w:t>的履约担保（格式见合同附件</w:t>
      </w:r>
      <w:r>
        <w:rPr>
          <w:rStyle w:val="19"/>
          <w:rFonts w:hint="eastAsia" w:ascii="宋体" w:hAnsi="宋体" w:eastAsia="宋体" w:cs="Times New Roman"/>
          <w:color w:val="000000"/>
          <w:highlight w:val="none"/>
        </w:rPr>
        <w:t>7</w:t>
      </w:r>
      <w:r>
        <w:rPr>
          <w:rStyle w:val="19"/>
          <w:rFonts w:hint="eastAsia" w:ascii="宋体" w:hAnsi="宋体" w:eastAsia="宋体" w:cs="宋体"/>
          <w:color w:val="000000"/>
          <w:highlight w:val="none"/>
        </w:rPr>
        <w:t>）。履约担保的有效期应当自本合同生效之日起至发包人签认并由监理人向承包人出具</w:t>
      </w:r>
      <w:r>
        <w:rPr>
          <w:rStyle w:val="19"/>
          <w:rFonts w:ascii="宋体" w:hAnsi="宋体" w:eastAsia="宋体" w:cs="宋体"/>
          <w:color w:val="000000"/>
          <w:szCs w:val="21"/>
          <w:highlight w:val="none"/>
        </w:rPr>
        <w:t>竣工验收意见书或竣工验收报告</w:t>
      </w:r>
      <w:r>
        <w:rPr>
          <w:rStyle w:val="19"/>
          <w:rFonts w:hint="eastAsia" w:ascii="宋体" w:hAnsi="宋体" w:eastAsia="宋体" w:cs="宋体"/>
          <w:color w:val="000000"/>
          <w:highlight w:val="none"/>
        </w:rPr>
        <w:t>之日止。如果承包人无法获得一份不带具体截止日期的担保，履约担保中应当有</w:t>
      </w:r>
      <w:r>
        <w:rPr>
          <w:rStyle w:val="19"/>
          <w:rFonts w:ascii="宋体" w:hAnsi="宋体" w:eastAsia="宋体" w:cs="Times New Roman"/>
          <w:color w:val="000000"/>
          <w:highlight w:val="none"/>
        </w:rPr>
        <w:t>“</w:t>
      </w:r>
      <w:r>
        <w:rPr>
          <w:rStyle w:val="19"/>
          <w:rFonts w:hint="eastAsia" w:ascii="宋体" w:hAnsi="宋体" w:eastAsia="宋体" w:cs="宋体"/>
          <w:color w:val="000000"/>
          <w:highlight w:val="none"/>
        </w:rPr>
        <w:t>变更工程竣工日期的，保证期间按照变更后的竣工日期做相应调整</w:t>
      </w:r>
      <w:r>
        <w:rPr>
          <w:rStyle w:val="19"/>
          <w:rFonts w:ascii="宋体" w:hAnsi="宋体" w:eastAsia="宋体" w:cs="Times New Roman"/>
          <w:color w:val="000000"/>
          <w:highlight w:val="none"/>
        </w:rPr>
        <w:t>”</w:t>
      </w:r>
      <w:r>
        <w:rPr>
          <w:rStyle w:val="19"/>
          <w:rFonts w:hint="eastAsia" w:ascii="宋体" w:hAnsi="宋体" w:eastAsia="宋体" w:cs="宋体"/>
          <w:color w:val="000000"/>
          <w:highlight w:val="none"/>
        </w:rPr>
        <w:t>或类似约定的条款。</w:t>
      </w:r>
    </w:p>
    <w:p w14:paraId="3DEB2B31">
      <w:pPr>
        <w:pStyle w:val="89"/>
        <w:pageBreakBefore w:val="0"/>
        <w:kinsoku/>
        <w:wordWrap/>
        <w:overflowPunct/>
        <w:topLinePunct w:val="0"/>
        <w:bidi w:val="0"/>
        <w:spacing w:line="360" w:lineRule="auto"/>
        <w:ind w:firstLine="630" w:firstLineChars="300"/>
        <w:rPr>
          <w:rStyle w:val="19"/>
          <w:rFonts w:ascii="宋体" w:hAnsi="宋体" w:eastAsia="宋体" w:cs="宋体"/>
          <w:color w:val="000000"/>
          <w:szCs w:val="21"/>
          <w:highlight w:val="none"/>
        </w:rPr>
      </w:pPr>
      <w:r>
        <w:rPr>
          <w:rStyle w:val="19"/>
          <w:rFonts w:ascii="宋体" w:hAnsi="宋体" w:eastAsia="宋体" w:cs="宋体"/>
          <w:color w:val="000000"/>
          <w:szCs w:val="21"/>
          <w:highlight w:val="none"/>
        </w:rPr>
        <w:t>同时，承包人应在原履约担保到期前提供新的履约担保， 未能按时提供新的履约担保的，视为承包人违约，承包人按履约担保金额的4‰/日向发包人支付违约金， 并且发</w:t>
      </w:r>
      <w:r>
        <w:rPr>
          <w:rStyle w:val="19"/>
          <w:rFonts w:hint="eastAsia" w:ascii="宋体" w:hAnsi="宋体" w:eastAsia="宋体" w:cs="宋体"/>
          <w:color w:val="000000"/>
          <w:szCs w:val="21"/>
          <w:highlight w:val="none"/>
        </w:rPr>
        <w:t>包人有权终止向承包人支付任何合同款项，直至承包人提供新的履约担保。</w:t>
      </w:r>
    </w:p>
    <w:p w14:paraId="7E8C822B">
      <w:pPr>
        <w:pStyle w:val="89"/>
        <w:pageBreakBefore w:val="0"/>
        <w:kinsoku/>
        <w:wordWrap/>
        <w:overflowPunct/>
        <w:topLinePunct w:val="0"/>
        <w:bidi w:val="0"/>
        <w:spacing w:line="360" w:lineRule="auto"/>
        <w:ind w:firstLine="420" w:firstLineChars="200"/>
        <w:rPr>
          <w:rStyle w:val="19"/>
          <w:rFonts w:ascii="宋体" w:hAnsi="宋体" w:eastAsia="宋体" w:cs="宋体"/>
          <w:color w:val="000000"/>
          <w:highlight w:val="none"/>
        </w:rPr>
      </w:pPr>
      <w:r>
        <w:rPr>
          <w:rStyle w:val="19"/>
          <w:rFonts w:hint="eastAsia" w:ascii="宋体" w:hAnsi="宋体" w:eastAsia="宋体" w:cs="宋体"/>
          <w:color w:val="000000"/>
          <w:szCs w:val="21"/>
          <w:highlight w:val="none"/>
        </w:rPr>
        <w:t>承包人提供履约担保的形式：</w:t>
      </w:r>
      <w:r>
        <w:rPr>
          <w:rStyle w:val="19"/>
          <w:rFonts w:hint="eastAsia" w:ascii="宋体" w:hAnsi="宋体" w:eastAsia="宋体" w:cs="宋体"/>
          <w:color w:val="000000"/>
          <w:highlight w:val="none"/>
        </w:rPr>
        <w:t>银行转账或银行保函。工程担保保证人应将出具的保函相关信息录入“广西建筑市场监管云”平台（http://gxjzsc.caihcloud.com），以实现保函查询及验真功能。</w:t>
      </w:r>
    </w:p>
    <w:p w14:paraId="50DADE77">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履约保证金的退还：履约保证金在工程竣工验收合格并对验收发现的问题完成整改后的7个日历天内，</w:t>
      </w:r>
      <w:r>
        <w:rPr>
          <w:rStyle w:val="19"/>
          <w:rFonts w:hint="eastAsia" w:ascii="宋体" w:hAnsi="宋体" w:eastAsia="宋体" w:cs="宋体"/>
          <w:color w:val="000000"/>
          <w:szCs w:val="21"/>
          <w:highlight w:val="none"/>
          <w:lang w:val="en-US" w:eastAsia="zh-CN"/>
        </w:rPr>
        <w:t>无息退还</w:t>
      </w:r>
      <w:r>
        <w:rPr>
          <w:rStyle w:val="19"/>
          <w:rFonts w:hint="eastAsia" w:ascii="宋体" w:hAnsi="宋体" w:eastAsia="宋体" w:cs="宋体"/>
          <w:color w:val="000000"/>
          <w:szCs w:val="21"/>
          <w:highlight w:val="none"/>
        </w:rPr>
        <w:t>履约金的50%；承包人向发包人完成（施工）竣工资料移交手续后并提交完整的竣工结算资料，结算资料经发包人检查完整合格，双方在《工程项目竣工结算送审资料表》签字确认，可向发包人申请退还剩余的履约保证金，发包人应在收到申请之日起28个日历天内扣减承包人赔偿金和其他应从承包人扣回的款项后，将履约保证金的余额退还给承包人（无息）。</w:t>
      </w:r>
    </w:p>
    <w:p w14:paraId="3F634202">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497" w:name="_Toc931514330"/>
      <w:bookmarkStart w:id="498" w:name="_Toc907912356"/>
      <w:bookmarkStart w:id="499" w:name="_Toc78449801"/>
      <w:bookmarkStart w:id="500" w:name="_Toc407135215"/>
      <w:bookmarkStart w:id="501" w:name="_Toc26394"/>
      <w:r>
        <w:rPr>
          <w:rStyle w:val="19"/>
          <w:rFonts w:ascii="宋体" w:hAnsi="宋体" w:eastAsia="宋体" w:cs="Times New Roman"/>
          <w:b/>
          <w:bCs/>
          <w:color w:val="000000"/>
          <w:sz w:val="32"/>
          <w:szCs w:val="32"/>
          <w:highlight w:val="none"/>
          <w:lang w:val="zh-CN"/>
        </w:rPr>
        <w:t>4</w:t>
      </w:r>
      <w:bookmarkStart w:id="502" w:name="_Toc296891202"/>
      <w:bookmarkStart w:id="503" w:name="_Toc296503162"/>
      <w:bookmarkStart w:id="504" w:name="_Toc296347161"/>
      <w:bookmarkStart w:id="505" w:name="_Toc292559366"/>
      <w:bookmarkStart w:id="506" w:name="_Toc297048348"/>
      <w:bookmarkStart w:id="507" w:name="_Toc296346663"/>
      <w:bookmarkStart w:id="508" w:name="_Toc267251413"/>
      <w:bookmarkStart w:id="509" w:name="_Toc296944501"/>
      <w:bookmarkStart w:id="510" w:name="_Toc297120462"/>
      <w:bookmarkStart w:id="511" w:name="_Toc292559871"/>
      <w:bookmarkStart w:id="512" w:name="_Toc296890990"/>
      <w:r>
        <w:rPr>
          <w:rStyle w:val="19"/>
          <w:rFonts w:ascii="宋体" w:hAnsi="宋体" w:eastAsia="宋体" w:cs="Times New Roman"/>
          <w:b/>
          <w:bCs/>
          <w:color w:val="000000"/>
          <w:sz w:val="32"/>
          <w:szCs w:val="32"/>
          <w:highlight w:val="none"/>
          <w:lang w:val="zh-CN"/>
        </w:rPr>
        <w:t xml:space="preserve">. </w:t>
      </w:r>
      <w:r>
        <w:rPr>
          <w:rStyle w:val="19"/>
          <w:rFonts w:hint="eastAsia" w:ascii="宋体" w:hAnsi="宋体" w:eastAsia="宋体" w:cs="黑体"/>
          <w:b/>
          <w:bCs/>
          <w:color w:val="000000"/>
          <w:sz w:val="32"/>
          <w:szCs w:val="32"/>
          <w:highlight w:val="none"/>
          <w:lang w:val="zh-CN"/>
        </w:rPr>
        <w:t>监</w:t>
      </w:r>
      <w:bookmarkEnd w:id="502"/>
      <w:bookmarkEnd w:id="503"/>
      <w:bookmarkEnd w:id="504"/>
      <w:bookmarkEnd w:id="505"/>
      <w:bookmarkEnd w:id="506"/>
      <w:bookmarkEnd w:id="507"/>
      <w:bookmarkEnd w:id="508"/>
      <w:bookmarkEnd w:id="509"/>
      <w:bookmarkEnd w:id="510"/>
      <w:bookmarkEnd w:id="511"/>
      <w:bookmarkEnd w:id="512"/>
      <w:r>
        <w:rPr>
          <w:rStyle w:val="19"/>
          <w:rFonts w:hint="eastAsia" w:ascii="宋体" w:hAnsi="宋体" w:eastAsia="宋体" w:cs="黑体"/>
          <w:b/>
          <w:bCs/>
          <w:color w:val="000000"/>
          <w:sz w:val="32"/>
          <w:szCs w:val="32"/>
          <w:highlight w:val="none"/>
          <w:lang w:val="zh-CN"/>
        </w:rPr>
        <w:t>理人</w:t>
      </w:r>
      <w:bookmarkEnd w:id="493"/>
      <w:bookmarkEnd w:id="494"/>
      <w:bookmarkEnd w:id="495"/>
      <w:bookmarkEnd w:id="496"/>
      <w:bookmarkEnd w:id="497"/>
      <w:bookmarkEnd w:id="498"/>
      <w:bookmarkEnd w:id="499"/>
      <w:bookmarkEnd w:id="500"/>
      <w:bookmarkEnd w:id="501"/>
    </w:p>
    <w:p w14:paraId="49E9AD5B">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513" w:name="_Toc1595043148"/>
      <w:bookmarkStart w:id="514" w:name="_Toc389065280"/>
      <w:bookmarkStart w:id="515" w:name="_Toc14452"/>
      <w:bookmarkStart w:id="516" w:name="_Toc78449802"/>
      <w:bookmarkStart w:id="517" w:name="_Toc373227714"/>
      <w:bookmarkStart w:id="518" w:name="_Toc1008304989"/>
      <w:bookmarkStart w:id="519" w:name="_Toc373478361"/>
      <w:bookmarkStart w:id="520" w:name="_Toc407135216"/>
      <w:r>
        <w:rPr>
          <w:rStyle w:val="19"/>
          <w:rFonts w:ascii="宋体" w:hAnsi="宋体" w:eastAsia="宋体" w:cs="Times New Roman"/>
          <w:b/>
          <w:bCs/>
          <w:color w:val="000000"/>
          <w:sz w:val="32"/>
          <w:szCs w:val="32"/>
          <w:highlight w:val="none"/>
          <w:lang w:val="zh-CN"/>
        </w:rPr>
        <w:t xml:space="preserve">4.1 </w:t>
      </w:r>
      <w:r>
        <w:rPr>
          <w:rStyle w:val="19"/>
          <w:rFonts w:hint="eastAsia" w:ascii="宋体" w:hAnsi="宋体" w:eastAsia="宋体" w:cs="黑体"/>
          <w:b/>
          <w:bCs/>
          <w:color w:val="000000"/>
          <w:sz w:val="32"/>
          <w:szCs w:val="32"/>
          <w:highlight w:val="none"/>
          <w:lang w:val="zh-CN"/>
        </w:rPr>
        <w:t>监理人的一般规定</w:t>
      </w:r>
      <w:bookmarkEnd w:id="513"/>
      <w:bookmarkEnd w:id="514"/>
      <w:bookmarkEnd w:id="515"/>
      <w:bookmarkEnd w:id="516"/>
      <w:bookmarkEnd w:id="517"/>
      <w:bookmarkEnd w:id="518"/>
      <w:bookmarkEnd w:id="519"/>
      <w:bookmarkEnd w:id="520"/>
    </w:p>
    <w:p w14:paraId="0E05BDA6">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关于监理人的监理内容：</w:t>
      </w:r>
      <w:r>
        <w:rPr>
          <w:rStyle w:val="19"/>
          <w:rFonts w:hint="eastAsia" w:ascii="宋体" w:hAnsi="宋体" w:eastAsia="宋体" w:cs="宋体"/>
          <w:color w:val="000000"/>
          <w:szCs w:val="21"/>
          <w:highlight w:val="none"/>
          <w:u w:val="single"/>
        </w:rPr>
        <w:t>质量、进度、投资控制；合同管理、信息管理、安全管理；项目有关单位的协调。具体以监理合同约定为准</w:t>
      </w:r>
      <w:r>
        <w:rPr>
          <w:rStyle w:val="19"/>
          <w:rFonts w:hint="eastAsia" w:ascii="宋体" w:hAnsi="宋体" w:eastAsia="宋体" w:cs="宋体"/>
          <w:color w:val="000000"/>
          <w:highlight w:val="none"/>
        </w:rPr>
        <w:t>。</w:t>
      </w:r>
    </w:p>
    <w:p w14:paraId="62903EB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关于监理人的监理权限：</w:t>
      </w:r>
      <w:r>
        <w:rPr>
          <w:rStyle w:val="19"/>
          <w:rFonts w:hint="eastAsia" w:ascii="宋体" w:hAnsi="宋体" w:eastAsia="宋体" w:cs="宋体"/>
          <w:color w:val="000000"/>
          <w:szCs w:val="21"/>
          <w:highlight w:val="none"/>
          <w:u w:val="single"/>
        </w:rPr>
        <w:t>对施工中的质量、进度、安全、投资进行监督控制，收集整理与施工有关的信息，协助发包人处理与施工相关的问题；对于涉及设计、工期、造价等变更文件的确认，须由发包人盖章及发包人代表、总监理工程师签字后方能生效</w:t>
      </w:r>
      <w:r>
        <w:rPr>
          <w:rStyle w:val="19"/>
          <w:rFonts w:hint="eastAsia" w:ascii="宋体" w:hAnsi="宋体" w:eastAsia="宋体" w:cs="宋体"/>
          <w:color w:val="000000"/>
          <w:highlight w:val="none"/>
        </w:rPr>
        <w:t>。</w:t>
      </w:r>
    </w:p>
    <w:p w14:paraId="13B3BC5A">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关于监理人在施工现场的办公场所、生活场所的提供和费用承担的约定：</w:t>
      </w:r>
      <w:r>
        <w:rPr>
          <w:rStyle w:val="19"/>
          <w:rFonts w:hint="eastAsia" w:ascii="宋体" w:hAnsi="宋体" w:eastAsia="宋体" w:cs="宋体"/>
          <w:color w:val="000000"/>
          <w:szCs w:val="21"/>
          <w:highlight w:val="none"/>
          <w:u w:val="single"/>
        </w:rPr>
        <w:t>监理人进场前提供经过与发包人、承包人协商认可的施工现场办公、住宿场所的需用计划给承包人，承包人根据计划提供且承担所发生的费用</w:t>
      </w:r>
      <w:r>
        <w:rPr>
          <w:rStyle w:val="19"/>
          <w:rFonts w:hint="eastAsia" w:ascii="宋体" w:hAnsi="宋体" w:eastAsia="宋体" w:cs="宋体"/>
          <w:color w:val="000000"/>
          <w:highlight w:val="none"/>
        </w:rPr>
        <w:t>。</w:t>
      </w:r>
    </w:p>
    <w:p w14:paraId="277E1E74">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521" w:name="_Toc78449803"/>
      <w:bookmarkStart w:id="522" w:name="_Toc407135217"/>
      <w:bookmarkStart w:id="523" w:name="_Toc373227715"/>
      <w:bookmarkStart w:id="524" w:name="_Toc386397261"/>
      <w:bookmarkStart w:id="525" w:name="_Toc1350458461"/>
      <w:bookmarkStart w:id="526" w:name="_Toc373478362"/>
      <w:bookmarkStart w:id="527" w:name="_Toc389065281"/>
      <w:bookmarkStart w:id="528" w:name="_Toc7946"/>
      <w:r>
        <w:rPr>
          <w:rStyle w:val="19"/>
          <w:rFonts w:ascii="宋体" w:hAnsi="宋体" w:eastAsia="宋体" w:cs="Times New Roman"/>
          <w:b/>
          <w:bCs/>
          <w:color w:val="000000"/>
          <w:sz w:val="32"/>
          <w:szCs w:val="32"/>
          <w:highlight w:val="none"/>
          <w:lang w:val="zh-CN"/>
        </w:rPr>
        <w:t xml:space="preserve">4.2 </w:t>
      </w:r>
      <w:r>
        <w:rPr>
          <w:rStyle w:val="19"/>
          <w:rFonts w:hint="eastAsia" w:ascii="宋体" w:hAnsi="宋体" w:eastAsia="宋体" w:cs="黑体"/>
          <w:b/>
          <w:bCs/>
          <w:color w:val="000000"/>
          <w:sz w:val="32"/>
          <w:szCs w:val="32"/>
          <w:highlight w:val="none"/>
          <w:lang w:val="zh-CN"/>
        </w:rPr>
        <w:t>监理人员</w:t>
      </w:r>
      <w:bookmarkEnd w:id="521"/>
      <w:bookmarkEnd w:id="522"/>
      <w:bookmarkEnd w:id="523"/>
      <w:bookmarkEnd w:id="524"/>
      <w:bookmarkEnd w:id="525"/>
      <w:bookmarkEnd w:id="526"/>
      <w:bookmarkEnd w:id="527"/>
      <w:bookmarkEnd w:id="528"/>
    </w:p>
    <w:p w14:paraId="5E445596">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lang w:val="en-US" w:eastAsia="zh-CN"/>
        </w:rPr>
        <w:t>见监理合同</w:t>
      </w:r>
      <w:r>
        <w:rPr>
          <w:rStyle w:val="19"/>
          <w:rFonts w:ascii="宋体" w:hAnsi="宋体" w:eastAsia="宋体" w:cs="Times New Roman"/>
          <w:color w:val="000000"/>
          <w:highlight w:val="none"/>
        </w:rPr>
        <w:t>。</w:t>
      </w:r>
    </w:p>
    <w:p w14:paraId="00404814">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529" w:name="_Toc407135218"/>
      <w:bookmarkStart w:id="530" w:name="_Toc389065282"/>
      <w:bookmarkStart w:id="531" w:name="_Toc941562442"/>
      <w:bookmarkStart w:id="532" w:name="_Toc373478363"/>
      <w:bookmarkStart w:id="533" w:name="_Toc539923186"/>
      <w:bookmarkStart w:id="534" w:name="_Toc373227716"/>
      <w:bookmarkStart w:id="535" w:name="_Toc78449804"/>
      <w:bookmarkStart w:id="536" w:name="_Toc31500"/>
      <w:r>
        <w:rPr>
          <w:rStyle w:val="19"/>
          <w:rFonts w:ascii="宋体" w:hAnsi="宋体" w:eastAsia="宋体" w:cs="Times New Roman"/>
          <w:b/>
          <w:bCs/>
          <w:color w:val="000000"/>
          <w:sz w:val="32"/>
          <w:szCs w:val="32"/>
          <w:highlight w:val="none"/>
          <w:lang w:val="zh-CN"/>
        </w:rPr>
        <w:t xml:space="preserve">4.4 </w:t>
      </w:r>
      <w:r>
        <w:rPr>
          <w:rStyle w:val="19"/>
          <w:rFonts w:hint="eastAsia" w:ascii="宋体" w:hAnsi="宋体" w:eastAsia="宋体" w:cs="黑体"/>
          <w:b/>
          <w:bCs/>
          <w:color w:val="000000"/>
          <w:sz w:val="32"/>
          <w:szCs w:val="32"/>
          <w:highlight w:val="none"/>
          <w:lang w:val="zh-CN"/>
        </w:rPr>
        <w:t>商定或确定</w:t>
      </w:r>
      <w:bookmarkEnd w:id="529"/>
      <w:bookmarkEnd w:id="530"/>
      <w:bookmarkEnd w:id="531"/>
      <w:bookmarkEnd w:id="532"/>
      <w:bookmarkEnd w:id="533"/>
      <w:bookmarkEnd w:id="534"/>
      <w:bookmarkEnd w:id="535"/>
      <w:bookmarkEnd w:id="536"/>
    </w:p>
    <w:p w14:paraId="7C79870F">
      <w:pPr>
        <w:pStyle w:val="89"/>
        <w:pageBreakBefore w:val="0"/>
        <w:kinsoku/>
        <w:wordWrap/>
        <w:overflowPunct/>
        <w:topLinePunct w:val="0"/>
        <w:bidi w:val="0"/>
        <w:spacing w:line="360" w:lineRule="auto"/>
        <w:ind w:firstLine="420" w:firstLineChars="200"/>
        <w:rPr>
          <w:rStyle w:val="19"/>
          <w:rFonts w:ascii="宋体" w:hAnsi="宋体" w:eastAsia="宋体" w:cs="Times New Roman"/>
          <w:b/>
          <w:bCs/>
          <w:color w:val="000000"/>
          <w:sz w:val="32"/>
          <w:szCs w:val="32"/>
          <w:highlight w:val="none"/>
          <w:lang w:val="zh-CN"/>
        </w:rPr>
      </w:pPr>
      <w:bookmarkStart w:id="537" w:name="_Toc267251418"/>
      <w:r>
        <w:rPr>
          <w:rStyle w:val="19"/>
          <w:rFonts w:hint="eastAsia" w:ascii="宋体" w:hAnsi="宋体" w:eastAsia="宋体" w:cs="宋体"/>
          <w:color w:val="000000"/>
          <w:highlight w:val="none"/>
        </w:rPr>
        <w:t>在发包人和承包人不能通过协商达成一致意见时，发包人授权监理人对以下事项进行确定：</w:t>
      </w:r>
      <w:r>
        <w:rPr>
          <w:rStyle w:val="19"/>
          <w:rFonts w:hint="eastAsia" w:ascii="宋体" w:hAnsi="宋体" w:eastAsia="宋体" w:cs="宋体"/>
          <w:color w:val="000000"/>
          <w:highlight w:val="none"/>
          <w:u w:val="single"/>
        </w:rPr>
        <w:t>无</w:t>
      </w:r>
      <w:r>
        <w:rPr>
          <w:rStyle w:val="19"/>
          <w:rFonts w:hint="eastAsia" w:ascii="宋体" w:hAnsi="宋体" w:eastAsia="宋体" w:cs="宋体"/>
          <w:color w:val="000000"/>
          <w:highlight w:val="none"/>
        </w:rPr>
        <w:t>。</w:t>
      </w:r>
      <w:bookmarkStart w:id="538" w:name="_Toc351203637"/>
      <w:bookmarkStart w:id="539" w:name="_Toc78449805"/>
      <w:bookmarkStart w:id="540" w:name="_Toc1687297496"/>
      <w:bookmarkStart w:id="541" w:name="_Toc389065283"/>
      <w:bookmarkStart w:id="542" w:name="_Toc1603077308"/>
      <w:bookmarkStart w:id="543" w:name="_Toc373478364"/>
      <w:bookmarkStart w:id="544" w:name="_Toc373227717"/>
      <w:bookmarkStart w:id="545" w:name="_Toc407135219"/>
    </w:p>
    <w:p w14:paraId="23F0C00F">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546" w:name="_Toc6315"/>
      <w:r>
        <w:rPr>
          <w:rStyle w:val="19"/>
          <w:rFonts w:ascii="宋体" w:hAnsi="宋体" w:eastAsia="宋体" w:cs="Times New Roman"/>
          <w:b/>
          <w:bCs/>
          <w:color w:val="000000"/>
          <w:sz w:val="32"/>
          <w:szCs w:val="32"/>
          <w:highlight w:val="none"/>
          <w:lang w:val="zh-CN"/>
        </w:rPr>
        <w:t>5</w:t>
      </w:r>
      <w:bookmarkEnd w:id="537"/>
      <w:bookmarkStart w:id="547" w:name="_Toc296347162"/>
      <w:bookmarkStart w:id="548" w:name="_Toc296944502"/>
      <w:bookmarkStart w:id="549" w:name="_Toc296891203"/>
      <w:bookmarkStart w:id="550" w:name="_Toc297120463"/>
      <w:bookmarkStart w:id="551" w:name="_Toc292559872"/>
      <w:bookmarkStart w:id="552" w:name="_Toc296890991"/>
      <w:bookmarkStart w:id="553" w:name="_Toc297048349"/>
      <w:bookmarkStart w:id="554" w:name="_Toc292559367"/>
      <w:bookmarkStart w:id="555" w:name="_Toc296503163"/>
      <w:bookmarkStart w:id="556" w:name="_Toc296346664"/>
      <w:r>
        <w:rPr>
          <w:rStyle w:val="19"/>
          <w:rFonts w:ascii="宋体" w:hAnsi="宋体" w:eastAsia="宋体" w:cs="Times New Roman"/>
          <w:b/>
          <w:bCs/>
          <w:color w:val="000000"/>
          <w:sz w:val="32"/>
          <w:szCs w:val="32"/>
          <w:highlight w:val="none"/>
          <w:lang w:val="zh-CN"/>
        </w:rPr>
        <w:t xml:space="preserve">. </w:t>
      </w:r>
      <w:r>
        <w:rPr>
          <w:rStyle w:val="19"/>
          <w:rFonts w:hint="eastAsia" w:ascii="宋体" w:hAnsi="宋体" w:eastAsia="宋体" w:cs="黑体"/>
          <w:b/>
          <w:bCs/>
          <w:color w:val="000000"/>
          <w:sz w:val="32"/>
          <w:szCs w:val="32"/>
          <w:highlight w:val="none"/>
          <w:lang w:val="zh-CN"/>
        </w:rPr>
        <w:t>工程质量</w:t>
      </w:r>
      <w:bookmarkEnd w:id="538"/>
      <w:bookmarkEnd w:id="539"/>
      <w:bookmarkEnd w:id="540"/>
      <w:bookmarkEnd w:id="541"/>
      <w:bookmarkEnd w:id="542"/>
      <w:bookmarkEnd w:id="543"/>
      <w:bookmarkEnd w:id="544"/>
      <w:bookmarkEnd w:id="545"/>
      <w:bookmarkEnd w:id="546"/>
    </w:p>
    <w:p w14:paraId="1DAFDAD6">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557" w:name="_Toc373478365"/>
      <w:bookmarkStart w:id="558" w:name="_Toc1952042622"/>
      <w:bookmarkStart w:id="559" w:name="_Toc407135220"/>
      <w:bookmarkStart w:id="560" w:name="_Toc78449806"/>
      <w:bookmarkStart w:id="561" w:name="_Toc389065284"/>
      <w:bookmarkStart w:id="562" w:name="_Toc1835421345"/>
      <w:bookmarkStart w:id="563" w:name="_Toc373227718"/>
      <w:bookmarkStart w:id="564" w:name="_Toc18445"/>
      <w:r>
        <w:rPr>
          <w:rStyle w:val="19"/>
          <w:rFonts w:ascii="宋体" w:hAnsi="宋体" w:eastAsia="宋体" w:cs="Times New Roman"/>
          <w:b/>
          <w:bCs/>
          <w:color w:val="000000"/>
          <w:sz w:val="32"/>
          <w:szCs w:val="32"/>
          <w:highlight w:val="none"/>
          <w:lang w:val="zh-CN"/>
        </w:rPr>
        <w:t xml:space="preserve">5.1 </w:t>
      </w:r>
      <w:r>
        <w:rPr>
          <w:rStyle w:val="19"/>
          <w:rFonts w:hint="eastAsia" w:ascii="宋体" w:hAnsi="宋体" w:eastAsia="宋体" w:cs="黑体"/>
          <w:b/>
          <w:bCs/>
          <w:color w:val="000000"/>
          <w:sz w:val="32"/>
          <w:szCs w:val="32"/>
          <w:highlight w:val="none"/>
          <w:lang w:val="zh-CN"/>
        </w:rPr>
        <w:t>质量要求</w:t>
      </w:r>
      <w:bookmarkEnd w:id="557"/>
      <w:bookmarkEnd w:id="558"/>
      <w:bookmarkEnd w:id="559"/>
      <w:bookmarkEnd w:id="560"/>
      <w:bookmarkEnd w:id="561"/>
      <w:bookmarkEnd w:id="562"/>
      <w:bookmarkEnd w:id="563"/>
      <w:bookmarkEnd w:id="564"/>
    </w:p>
    <w:p w14:paraId="728D9DD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ascii="宋体" w:hAnsi="宋体" w:eastAsia="宋体" w:cs="Times New Roman"/>
          <w:color w:val="000000"/>
          <w:highlight w:val="none"/>
        </w:rPr>
        <w:t>5</w:t>
      </w:r>
      <w:bookmarkStart w:id="565" w:name="_Toc300934949"/>
      <w:bookmarkStart w:id="566" w:name="_Toc297216155"/>
      <w:bookmarkStart w:id="567" w:name="_Toc303539106"/>
      <w:bookmarkStart w:id="568" w:name="_Toc318581164"/>
      <w:bookmarkStart w:id="569" w:name="_Toc312677997"/>
      <w:bookmarkStart w:id="570" w:name="_Toc304295527"/>
      <w:bookmarkStart w:id="571" w:name="_Toc297123496"/>
      <w:r>
        <w:rPr>
          <w:rStyle w:val="19"/>
          <w:rFonts w:ascii="宋体" w:hAnsi="宋体" w:eastAsia="宋体" w:cs="Times New Roman"/>
          <w:color w:val="000000"/>
          <w:highlight w:val="none"/>
        </w:rPr>
        <w:t xml:space="preserve">.1.1 </w:t>
      </w:r>
      <w:r>
        <w:rPr>
          <w:rStyle w:val="19"/>
          <w:rFonts w:hint="eastAsia" w:ascii="宋体" w:hAnsi="宋体" w:eastAsia="宋体" w:cs="宋体"/>
          <w:color w:val="000000"/>
          <w:highlight w:val="none"/>
        </w:rPr>
        <w:t>特殊质量标准和要求：</w:t>
      </w:r>
      <w:r>
        <w:rPr>
          <w:rStyle w:val="19"/>
          <w:rFonts w:hint="eastAsia" w:ascii="宋体" w:hAnsi="宋体" w:eastAsia="宋体" w:cs="Times New Roman"/>
          <w:color w:val="000000"/>
          <w:szCs w:val="21"/>
          <w:highlight w:val="none"/>
          <w:u w:val="single"/>
        </w:rPr>
        <w:t>严格执行广西壮族自治区住房和城乡建设厅《关于严格实行房屋建筑和市政基础设施工程质量终身责任承诺、永久性质量责任标牌、终身责任信息档案等制度的通知》</w:t>
      </w:r>
      <w:r>
        <w:rPr>
          <w:rStyle w:val="19"/>
          <w:rFonts w:ascii="宋体" w:hAnsi="宋体" w:eastAsia="宋体" w:cs="Times New Roman"/>
          <w:color w:val="000000"/>
          <w:szCs w:val="21"/>
          <w:highlight w:val="none"/>
          <w:u w:val="single"/>
        </w:rPr>
        <w:t>(</w:t>
      </w:r>
      <w:r>
        <w:rPr>
          <w:rStyle w:val="19"/>
          <w:rFonts w:hint="eastAsia" w:ascii="宋体" w:hAnsi="宋体" w:eastAsia="宋体" w:cs="Times New Roman"/>
          <w:color w:val="000000"/>
          <w:szCs w:val="21"/>
          <w:highlight w:val="none"/>
          <w:u w:val="single"/>
        </w:rPr>
        <w:t>桂建管</w:t>
      </w:r>
      <w:r>
        <w:rPr>
          <w:rStyle w:val="19"/>
          <w:rFonts w:ascii="宋体" w:hAnsi="宋体" w:eastAsia="宋体" w:cs="Times New Roman"/>
          <w:color w:val="000000"/>
          <w:szCs w:val="21"/>
          <w:highlight w:val="none"/>
          <w:u w:val="single"/>
        </w:rPr>
        <w:t>[2014]96</w:t>
      </w:r>
      <w:r>
        <w:rPr>
          <w:rStyle w:val="19"/>
          <w:rFonts w:hint="eastAsia" w:ascii="宋体" w:hAnsi="宋体" w:eastAsia="宋体" w:cs="Times New Roman"/>
          <w:color w:val="000000"/>
          <w:szCs w:val="21"/>
          <w:highlight w:val="none"/>
          <w:u w:val="single"/>
        </w:rPr>
        <w:t>号</w:t>
      </w:r>
      <w:r>
        <w:rPr>
          <w:rStyle w:val="19"/>
          <w:rFonts w:ascii="宋体" w:hAnsi="宋体" w:eastAsia="宋体" w:cs="Times New Roman"/>
          <w:color w:val="000000"/>
          <w:szCs w:val="21"/>
          <w:highlight w:val="none"/>
          <w:u w:val="single"/>
        </w:rPr>
        <w:t>)</w:t>
      </w:r>
      <w:r>
        <w:rPr>
          <w:rStyle w:val="19"/>
          <w:rFonts w:hint="eastAsia" w:ascii="宋体" w:hAnsi="宋体" w:eastAsia="宋体" w:cs="Times New Roman"/>
          <w:color w:val="000000"/>
          <w:szCs w:val="21"/>
          <w:highlight w:val="none"/>
          <w:u w:val="single"/>
        </w:rPr>
        <w:t>和南宁市城乡建设委员会《关于落实建设工程质量终身责任，加强工程质量管理的通知》（南建质安</w:t>
      </w:r>
      <w:r>
        <w:rPr>
          <w:rStyle w:val="19"/>
          <w:rFonts w:ascii="宋体" w:hAnsi="宋体" w:eastAsia="宋体" w:cs="Times New Roman"/>
          <w:color w:val="000000"/>
          <w:szCs w:val="21"/>
          <w:highlight w:val="none"/>
          <w:u w:val="single"/>
        </w:rPr>
        <w:t>[2014]155</w:t>
      </w:r>
      <w:r>
        <w:rPr>
          <w:rStyle w:val="19"/>
          <w:rFonts w:hint="eastAsia" w:ascii="宋体" w:hAnsi="宋体" w:eastAsia="宋体" w:cs="Times New Roman"/>
          <w:color w:val="000000"/>
          <w:szCs w:val="21"/>
          <w:highlight w:val="none"/>
          <w:u w:val="single"/>
        </w:rPr>
        <w:t>号）要求，落实建设工程质量终身责任</w:t>
      </w:r>
      <w:r>
        <w:rPr>
          <w:rStyle w:val="19"/>
          <w:rFonts w:hint="eastAsia" w:ascii="宋体" w:hAnsi="宋体" w:eastAsia="宋体" w:cs="宋体"/>
          <w:color w:val="000000"/>
          <w:highlight w:val="none"/>
        </w:rPr>
        <w:t>。</w:t>
      </w:r>
    </w:p>
    <w:p w14:paraId="06B29460">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关于工程奖项的约定：</w:t>
      </w:r>
      <w:r>
        <w:rPr>
          <w:rStyle w:val="19"/>
          <w:rFonts w:hint="eastAsia" w:ascii="宋体" w:hAnsi="宋体" w:eastAsia="宋体" w:cs="Times New Roman"/>
          <w:color w:val="000000"/>
          <w:highlight w:val="none"/>
          <w:u w:val="single"/>
        </w:rPr>
        <w:t>/</w:t>
      </w:r>
      <w:r>
        <w:rPr>
          <w:rStyle w:val="19"/>
          <w:rFonts w:ascii="宋体" w:hAnsi="宋体" w:eastAsia="宋体" w:cs="Times New Roman"/>
          <w:color w:val="000000"/>
          <w:highlight w:val="none"/>
        </w:rPr>
        <w:t>。</w:t>
      </w:r>
    </w:p>
    <w:p w14:paraId="5F96EF9F">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5.</w:t>
      </w:r>
      <w:r>
        <w:rPr>
          <w:rStyle w:val="19"/>
          <w:rFonts w:hint="eastAsia" w:ascii="宋体" w:hAnsi="宋体" w:eastAsia="宋体" w:cs="宋体"/>
          <w:color w:val="000000"/>
          <w:highlight w:val="none"/>
          <w:lang w:val="en-US" w:eastAsia="zh-CN"/>
        </w:rPr>
        <w:t>1.3</w:t>
      </w:r>
      <w:r>
        <w:rPr>
          <w:rStyle w:val="19"/>
          <w:rFonts w:hint="eastAsia" w:ascii="宋体" w:hAnsi="宋体" w:eastAsia="宋体" w:cs="宋体"/>
          <w:color w:val="000000"/>
          <w:highlight w:val="none"/>
        </w:rPr>
        <w:t xml:space="preserve"> 工程质量应符合规范、标准和设计要求，质量不合格者必须按合同的要求进行返工，返 修费用由承包人负责，工期不予延长。在保修期内，如承包人未能按合同约定及时处理工程质量问题，发包人有权自行或委托他人处理，所发生的费用（无须经承包人认可，以发包人与第三方签订的合同金额为准）由承包人承担，发包人有权从需支付给承包人的任何款项中直接扣 回。</w:t>
      </w:r>
    </w:p>
    <w:p w14:paraId="7CB982D5">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5.3 </w:t>
      </w:r>
      <w:r>
        <w:rPr>
          <w:rStyle w:val="19"/>
          <w:rFonts w:hint="eastAsia" w:ascii="宋体" w:hAnsi="宋体" w:eastAsia="宋体" w:cs="宋体"/>
          <w:color w:val="000000"/>
          <w:highlight w:val="none"/>
        </w:rPr>
        <w:t>隐蔽工程检查</w:t>
      </w:r>
    </w:p>
    <w:p w14:paraId="6221619E">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ascii="宋体" w:hAnsi="宋体" w:eastAsia="宋体" w:cs="Times New Roman"/>
          <w:color w:val="000000"/>
          <w:highlight w:val="none"/>
        </w:rPr>
        <w:t>5.3.2</w:t>
      </w:r>
      <w:r>
        <w:rPr>
          <w:rStyle w:val="19"/>
          <w:rFonts w:hint="eastAsia" w:ascii="宋体" w:hAnsi="宋体" w:eastAsia="宋体" w:cs="宋体"/>
          <w:color w:val="000000"/>
          <w:highlight w:val="none"/>
        </w:rPr>
        <w:t>承包人提前通知监理人隐蔽工程检查的期限的约定：工程隐蔽或中间验收前</w:t>
      </w:r>
      <w:r>
        <w:rPr>
          <w:rStyle w:val="19"/>
          <w:rFonts w:hint="eastAsia" w:ascii="宋体" w:hAnsi="宋体" w:eastAsia="宋体" w:cs="Times New Roman"/>
          <w:color w:val="000000"/>
          <w:highlight w:val="none"/>
        </w:rPr>
        <w:t>12</w:t>
      </w:r>
      <w:r>
        <w:rPr>
          <w:rStyle w:val="19"/>
          <w:rFonts w:hint="eastAsia" w:ascii="宋体" w:hAnsi="宋体" w:eastAsia="宋体" w:cs="宋体"/>
          <w:color w:val="000000"/>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修改的一切费用由承包人负责，工期不予延长。</w:t>
      </w:r>
    </w:p>
    <w:p w14:paraId="75917EF4">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监理人不能按时进行检查时，应提前</w:t>
      </w:r>
      <w:r>
        <w:rPr>
          <w:rStyle w:val="19"/>
          <w:rFonts w:hint="eastAsia" w:ascii="宋体" w:hAnsi="宋体" w:eastAsia="宋体" w:cs="Times New Roman"/>
          <w:color w:val="000000"/>
          <w:highlight w:val="none"/>
          <w:u w:val="single"/>
        </w:rPr>
        <w:t>8</w:t>
      </w:r>
      <w:r>
        <w:rPr>
          <w:rStyle w:val="19"/>
          <w:rFonts w:hint="eastAsia" w:ascii="宋体" w:hAnsi="宋体" w:eastAsia="宋体" w:cs="宋体"/>
          <w:color w:val="000000"/>
          <w:highlight w:val="none"/>
        </w:rPr>
        <w:t>小时提交书面延期要求。</w:t>
      </w:r>
    </w:p>
    <w:p w14:paraId="54AE089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关于延期最长不得超过：</w:t>
      </w:r>
      <w:r>
        <w:rPr>
          <w:rStyle w:val="19"/>
          <w:rFonts w:hint="eastAsia" w:ascii="宋体" w:hAnsi="宋体" w:eastAsia="宋体" w:cs="Times New Roman"/>
          <w:color w:val="000000"/>
          <w:highlight w:val="none"/>
          <w:u w:val="single"/>
        </w:rPr>
        <w:t>12</w:t>
      </w:r>
      <w:r>
        <w:rPr>
          <w:rStyle w:val="19"/>
          <w:rFonts w:hint="eastAsia" w:ascii="宋体" w:hAnsi="宋体" w:eastAsia="宋体" w:cs="宋体"/>
          <w:color w:val="000000"/>
          <w:highlight w:val="none"/>
        </w:rPr>
        <w:t>小时。</w:t>
      </w:r>
    </w:p>
    <w:p w14:paraId="77C1438F">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572" w:name="_Toc1259019817"/>
      <w:bookmarkStart w:id="573" w:name="_Toc373478366"/>
      <w:bookmarkStart w:id="574" w:name="_Toc351203638"/>
      <w:bookmarkStart w:id="575" w:name="_Toc407135221"/>
      <w:bookmarkStart w:id="576" w:name="_Toc389065285"/>
      <w:bookmarkStart w:id="577" w:name="_Toc373227719"/>
      <w:bookmarkStart w:id="578" w:name="_Toc703841976"/>
      <w:bookmarkStart w:id="579" w:name="_Toc2456"/>
      <w:bookmarkStart w:id="580" w:name="_Toc78449807"/>
      <w:r>
        <w:rPr>
          <w:rStyle w:val="19"/>
          <w:rFonts w:ascii="宋体" w:hAnsi="宋体" w:eastAsia="宋体" w:cs="Times New Roman"/>
          <w:b/>
          <w:bCs/>
          <w:color w:val="000000"/>
          <w:sz w:val="32"/>
          <w:szCs w:val="32"/>
          <w:highlight w:val="none"/>
          <w:lang w:val="zh-CN"/>
        </w:rPr>
        <w:t xml:space="preserve">6. </w:t>
      </w:r>
      <w:r>
        <w:rPr>
          <w:rStyle w:val="19"/>
          <w:rFonts w:hint="eastAsia" w:ascii="宋体" w:hAnsi="宋体" w:eastAsia="宋体" w:cs="黑体"/>
          <w:b/>
          <w:bCs/>
          <w:color w:val="000000"/>
          <w:sz w:val="32"/>
          <w:szCs w:val="32"/>
          <w:highlight w:val="none"/>
          <w:lang w:val="zh-CN"/>
        </w:rPr>
        <w:t>安全文明施工与环境保护</w:t>
      </w:r>
      <w:bookmarkEnd w:id="572"/>
      <w:bookmarkEnd w:id="573"/>
      <w:bookmarkEnd w:id="574"/>
      <w:bookmarkEnd w:id="575"/>
      <w:bookmarkEnd w:id="576"/>
      <w:bookmarkEnd w:id="577"/>
      <w:bookmarkEnd w:id="578"/>
      <w:bookmarkEnd w:id="579"/>
      <w:bookmarkEnd w:id="580"/>
    </w:p>
    <w:p w14:paraId="3F341E50">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581" w:name="_Toc1296292062"/>
      <w:bookmarkStart w:id="582" w:name="_Toc78449808"/>
      <w:bookmarkStart w:id="583" w:name="_Toc373478367"/>
      <w:bookmarkStart w:id="584" w:name="_Toc407135222"/>
      <w:bookmarkStart w:id="585" w:name="_Toc180514231"/>
      <w:bookmarkStart w:id="586" w:name="_Toc23699"/>
      <w:bookmarkStart w:id="587" w:name="_Toc389065286"/>
      <w:bookmarkStart w:id="588" w:name="_Toc373227720"/>
      <w:r>
        <w:rPr>
          <w:rStyle w:val="19"/>
          <w:rFonts w:ascii="宋体" w:hAnsi="宋体" w:eastAsia="宋体" w:cs="Times New Roman"/>
          <w:b/>
          <w:bCs/>
          <w:color w:val="000000"/>
          <w:sz w:val="32"/>
          <w:szCs w:val="32"/>
          <w:highlight w:val="none"/>
          <w:lang w:val="zh-CN"/>
        </w:rPr>
        <w:t xml:space="preserve">6.1 </w:t>
      </w:r>
      <w:r>
        <w:rPr>
          <w:rStyle w:val="19"/>
          <w:rFonts w:hint="eastAsia" w:ascii="宋体" w:hAnsi="宋体" w:eastAsia="宋体" w:cs="黑体"/>
          <w:b/>
          <w:bCs/>
          <w:color w:val="000000"/>
          <w:sz w:val="32"/>
          <w:szCs w:val="32"/>
          <w:highlight w:val="none"/>
          <w:lang w:val="zh-CN"/>
        </w:rPr>
        <w:t>安全文明施工</w:t>
      </w:r>
      <w:bookmarkEnd w:id="581"/>
      <w:bookmarkEnd w:id="582"/>
      <w:bookmarkEnd w:id="583"/>
      <w:bookmarkEnd w:id="584"/>
      <w:bookmarkEnd w:id="585"/>
      <w:bookmarkEnd w:id="586"/>
      <w:bookmarkEnd w:id="587"/>
      <w:bookmarkEnd w:id="588"/>
    </w:p>
    <w:p w14:paraId="7FC719AD">
      <w:pPr>
        <w:pStyle w:val="89"/>
        <w:pageBreakBefore w:val="0"/>
        <w:kinsoku/>
        <w:wordWrap/>
        <w:overflowPunct/>
        <w:topLinePunct w:val="0"/>
        <w:bidi w:val="0"/>
        <w:spacing w:line="360" w:lineRule="auto"/>
        <w:ind w:firstLine="420" w:firstLineChars="200"/>
        <w:jc w:val="left"/>
        <w:rPr>
          <w:rStyle w:val="19"/>
          <w:rFonts w:hint="eastAsia" w:ascii="Calibri" w:hAnsi="宋体" w:eastAsia="宋体" w:cs="宋体"/>
          <w:color w:val="000000"/>
          <w:szCs w:val="21"/>
          <w:highlight w:val="none"/>
          <w:u w:val="single"/>
        </w:rPr>
      </w:pPr>
      <w:r>
        <w:rPr>
          <w:rStyle w:val="19"/>
          <w:rFonts w:ascii="宋体" w:hAnsi="宋体" w:eastAsia="宋体" w:cs="Times New Roman"/>
          <w:color w:val="000000"/>
          <w:highlight w:val="none"/>
        </w:rPr>
        <w:t xml:space="preserve">6.1.1 </w:t>
      </w:r>
      <w:r>
        <w:rPr>
          <w:rStyle w:val="19"/>
          <w:rFonts w:hint="eastAsia" w:ascii="宋体" w:hAnsi="宋体" w:eastAsia="宋体" w:cs="宋体"/>
          <w:color w:val="000000"/>
          <w:highlight w:val="none"/>
        </w:rPr>
        <w:t>项目安全生产的达标目标及相应事项的约定：</w:t>
      </w:r>
      <w:r>
        <w:rPr>
          <w:rStyle w:val="19"/>
          <w:rFonts w:hint="eastAsia" w:ascii="宋体" w:hAnsi="宋体" w:eastAsia="宋体" w:cs="宋体"/>
          <w:color w:val="000000"/>
          <w:szCs w:val="21"/>
          <w:highlight w:val="none"/>
          <w:u w:val="single"/>
        </w:rPr>
        <w:t>承包人对项目的施工应要求达到《建筑 施工安全检查标准》（JGJ59-2011）要求，同时承包人应严格遵守《建设工程安全生产管理条例》 和建设部《建筑工程安全防护、文明施工措施费及使用管理规定》、《广西壮族自治区建筑工程 安全防护、文明施工措施费及使用管理细则》以及《南宁市建设工程施工现场管理若干规定》、 南宁市建设工程施工现场安全文明施工实施细则的有关规定，严格组织实施，并随时接受行业安全检查人员依法实施的监督检查，采取必要的安全防护措施，消除事故隐患，确保无安全生产事故发生，如发生事故、发生的一切责任与后果均由承包人承担</w:t>
      </w:r>
      <w:r>
        <w:rPr>
          <w:rStyle w:val="19"/>
          <w:rFonts w:hint="eastAsia" w:ascii="Calibri" w:hAnsi="宋体" w:eastAsia="宋体" w:cs="宋体"/>
          <w:color w:val="000000"/>
          <w:szCs w:val="21"/>
          <w:highlight w:val="none"/>
          <w:u w:val="single"/>
        </w:rPr>
        <w:t>。</w:t>
      </w:r>
    </w:p>
    <w:p w14:paraId="35A80524">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关于安全文明施工奖项的约定：</w:t>
      </w:r>
      <w:r>
        <w:rPr>
          <w:rStyle w:val="19"/>
          <w:rFonts w:hint="eastAsia" w:ascii="宋体" w:hAnsi="宋体" w:eastAsia="宋体" w:cs="Times New Roman"/>
          <w:color w:val="000000"/>
          <w:szCs w:val="21"/>
          <w:highlight w:val="none"/>
          <w:u w:val="single"/>
        </w:rPr>
        <w:t>无</w:t>
      </w:r>
      <w:r>
        <w:rPr>
          <w:rStyle w:val="19"/>
          <w:rFonts w:hint="eastAsia" w:ascii="宋体" w:hAnsi="宋体" w:eastAsia="宋体" w:cs="宋体"/>
          <w:color w:val="000000"/>
          <w:highlight w:val="none"/>
        </w:rPr>
        <w:t>。</w:t>
      </w:r>
    </w:p>
    <w:p w14:paraId="3240F143">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ascii="宋体" w:hAnsi="宋体" w:eastAsia="宋体" w:cs="Times New Roman"/>
          <w:color w:val="000000"/>
          <w:highlight w:val="none"/>
        </w:rPr>
        <w:t xml:space="preserve">6.1.4 </w:t>
      </w:r>
      <w:r>
        <w:rPr>
          <w:rStyle w:val="19"/>
          <w:rFonts w:hint="eastAsia" w:ascii="宋体" w:hAnsi="宋体" w:eastAsia="宋体" w:cs="宋体"/>
          <w:color w:val="000000"/>
          <w:highlight w:val="none"/>
        </w:rPr>
        <w:t>关于治安保卫的特别约定：</w:t>
      </w:r>
      <w:r>
        <w:rPr>
          <w:rStyle w:val="19"/>
          <w:rFonts w:hint="eastAsia" w:ascii="宋体" w:hAnsi="宋体" w:eastAsia="宋体" w:cs="宋体"/>
          <w:color w:val="000000"/>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Style w:val="19"/>
          <w:rFonts w:hint="eastAsia" w:ascii="宋体" w:hAnsi="宋体" w:eastAsia="宋体" w:cs="宋体"/>
          <w:color w:val="000000"/>
          <w:szCs w:val="21"/>
          <w:highlight w:val="none"/>
          <w:u w:val="single"/>
        </w:rPr>
        <w:t>如发生事故、发生的一切责任与后果均由承包人承担</w:t>
      </w:r>
      <w:r>
        <w:rPr>
          <w:rStyle w:val="19"/>
          <w:rFonts w:hint="eastAsia" w:ascii="Calibri" w:hAnsi="宋体" w:eastAsia="宋体" w:cs="宋体"/>
          <w:color w:val="000000"/>
          <w:szCs w:val="21"/>
          <w:highlight w:val="none"/>
          <w:u w:val="single"/>
        </w:rPr>
        <w:t>。</w:t>
      </w:r>
    </w:p>
    <w:p w14:paraId="64D60B2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szCs w:val="21"/>
          <w:highlight w:val="none"/>
          <w:u w:val="single"/>
        </w:rPr>
      </w:pPr>
      <w:r>
        <w:rPr>
          <w:rStyle w:val="19"/>
          <w:rFonts w:hint="eastAsia" w:ascii="宋体" w:hAnsi="宋体" w:eastAsia="宋体" w:cs="宋体"/>
          <w:color w:val="000000"/>
          <w:highlight w:val="none"/>
        </w:rPr>
        <w:t>关于编制施工场地治安管理计划的约定：</w:t>
      </w:r>
      <w:r>
        <w:rPr>
          <w:rStyle w:val="19"/>
          <w:rFonts w:hint="eastAsia" w:ascii="宋体" w:hAnsi="宋体" w:eastAsia="宋体" w:cs="Times New Roman"/>
          <w:color w:val="000000"/>
          <w:szCs w:val="21"/>
          <w:highlight w:val="none"/>
          <w:u w:val="single"/>
        </w:rPr>
        <w:t>必须严格按照《中华人民共和国治安管理法》及《广西壮族自治区社会治安综合治理条例》要求编制治安管理计划，开工前提供经发包人同意 的施工场地治安管理计划</w:t>
      </w:r>
      <w:r>
        <w:rPr>
          <w:rStyle w:val="19"/>
          <w:rFonts w:hint="eastAsia" w:ascii="宋体" w:hAnsi="宋体" w:eastAsia="宋体" w:cs="宋体"/>
          <w:color w:val="000000"/>
          <w:szCs w:val="21"/>
          <w:highlight w:val="none"/>
        </w:rPr>
        <w:t>。</w:t>
      </w:r>
    </w:p>
    <w:p w14:paraId="23F85ED6">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6.1.5 </w:t>
      </w:r>
      <w:r>
        <w:rPr>
          <w:rStyle w:val="19"/>
          <w:rFonts w:hint="eastAsia" w:ascii="宋体" w:hAnsi="宋体" w:eastAsia="宋体" w:cs="宋体"/>
          <w:color w:val="000000"/>
          <w:highlight w:val="none"/>
        </w:rPr>
        <w:t>文明施工</w:t>
      </w:r>
    </w:p>
    <w:p w14:paraId="00C13B46">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合同当事人对文明施工的要求：</w:t>
      </w:r>
      <w:r>
        <w:rPr>
          <w:rStyle w:val="19"/>
          <w:rFonts w:hint="eastAsia" w:ascii="宋体" w:hAnsi="宋体" w:eastAsia="宋体" w:cs="Times New Roman"/>
          <w:color w:val="000000"/>
          <w:highlight w:val="none"/>
          <w:u w:val="single"/>
        </w:rPr>
        <w:t>严格执行《大气污染防治法》（主席令第三十一号）、《南宁市建设工程质量和安全生产管理办法》（南宁市人民政府令 第46号）、《南宁市建设工程质量安全标准化图集》、《南宁市建设工程施工现场管理若干规定》（南宁市人民政府令 第8号）的有关规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r>
        <w:rPr>
          <w:rStyle w:val="19"/>
          <w:rFonts w:hint="eastAsia" w:ascii="宋体" w:hAnsi="宋体" w:eastAsia="宋体" w:cs="宋体"/>
          <w:color w:val="000000"/>
          <w:highlight w:val="none"/>
        </w:rPr>
        <w:t>。</w:t>
      </w:r>
    </w:p>
    <w:p w14:paraId="16941F9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6.1.6</w:t>
      </w:r>
      <w:r>
        <w:rPr>
          <w:rStyle w:val="19"/>
          <w:rFonts w:ascii="宋体" w:hAnsi="宋体" w:eastAsia="宋体" w:cs="宋体"/>
          <w:color w:val="000000"/>
          <w:kern w:val="0"/>
          <w:highlight w:val="none"/>
        </w:rPr>
        <w:t>关于安全</w:t>
      </w:r>
      <w:r>
        <w:rPr>
          <w:rStyle w:val="19"/>
          <w:rFonts w:hint="eastAsia" w:ascii="宋体" w:hAnsi="宋体" w:eastAsia="宋体" w:cs="宋体"/>
          <w:color w:val="000000"/>
          <w:kern w:val="0"/>
          <w:highlight w:val="none"/>
        </w:rPr>
        <w:t>生产</w:t>
      </w:r>
      <w:r>
        <w:rPr>
          <w:rStyle w:val="19"/>
          <w:rFonts w:ascii="宋体" w:hAnsi="宋体" w:eastAsia="宋体" w:cs="宋体"/>
          <w:color w:val="000000"/>
          <w:kern w:val="0"/>
          <w:highlight w:val="none"/>
        </w:rPr>
        <w:t>费</w:t>
      </w:r>
      <w:r>
        <w:rPr>
          <w:rStyle w:val="19"/>
          <w:rFonts w:hint="eastAsia" w:ascii="宋体" w:hAnsi="宋体" w:eastAsia="宋体" w:cs="宋体"/>
          <w:color w:val="000000"/>
          <w:kern w:val="0"/>
          <w:highlight w:val="none"/>
        </w:rPr>
        <w:t>总额、</w:t>
      </w:r>
      <w:r>
        <w:rPr>
          <w:rStyle w:val="19"/>
          <w:rFonts w:ascii="宋体" w:hAnsi="宋体" w:eastAsia="宋体" w:cs="宋体"/>
          <w:color w:val="000000"/>
          <w:kern w:val="0"/>
          <w:highlight w:val="none"/>
        </w:rPr>
        <w:t>支付比例</w:t>
      </w:r>
      <w:r>
        <w:rPr>
          <w:rStyle w:val="19"/>
          <w:rFonts w:hint="eastAsia" w:ascii="宋体" w:hAnsi="宋体" w:eastAsia="宋体" w:cs="宋体"/>
          <w:color w:val="000000"/>
          <w:kern w:val="0"/>
          <w:highlight w:val="none"/>
        </w:rPr>
        <w:t>、</w:t>
      </w:r>
      <w:r>
        <w:rPr>
          <w:rStyle w:val="19"/>
          <w:rFonts w:ascii="宋体" w:hAnsi="宋体" w:eastAsia="宋体" w:cs="宋体"/>
          <w:color w:val="000000"/>
          <w:kern w:val="0"/>
          <w:highlight w:val="none"/>
        </w:rPr>
        <w:t>支付期限</w:t>
      </w:r>
      <w:r>
        <w:rPr>
          <w:rStyle w:val="19"/>
          <w:rFonts w:hint="eastAsia" w:ascii="宋体" w:hAnsi="宋体" w:eastAsia="宋体" w:cs="宋体"/>
          <w:color w:val="000000"/>
          <w:kern w:val="0"/>
          <w:highlight w:val="none"/>
        </w:rPr>
        <w:t>、转入和结余收回</w:t>
      </w:r>
      <w:r>
        <w:rPr>
          <w:rStyle w:val="19"/>
          <w:rFonts w:ascii="宋体" w:hAnsi="宋体" w:eastAsia="宋体" w:cs="宋体"/>
          <w:color w:val="000000"/>
          <w:kern w:val="0"/>
          <w:highlight w:val="none"/>
        </w:rPr>
        <w:t>的约定：</w:t>
      </w:r>
    </w:p>
    <w:p w14:paraId="4A4DC91D">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1</w:t>
      </w:r>
      <w:r>
        <w:rPr>
          <w:rStyle w:val="19"/>
          <w:rFonts w:hint="eastAsia" w:ascii="宋体" w:hAnsi="宋体" w:eastAsia="宋体" w:cs="宋体"/>
          <w:color w:val="000000"/>
          <w:kern w:val="0"/>
          <w:highlight w:val="none"/>
        </w:rPr>
        <w:t>）本合同价款已包含安全文明施工费</w:t>
      </w:r>
      <w:r>
        <w:rPr>
          <w:rStyle w:val="19"/>
          <w:rFonts w:hint="eastAsia" w:ascii="宋体" w:hAnsi="宋体" w:eastAsia="宋体" w:cs="宋体"/>
          <w:color w:val="000000"/>
          <w:kern w:val="0"/>
          <w:highlight w:val="none"/>
          <w:lang w:val="en-US" w:eastAsia="zh-CN"/>
        </w:rPr>
        <w:t xml:space="preserve">   </w:t>
      </w:r>
      <w:r>
        <w:rPr>
          <w:rStyle w:val="19"/>
          <w:rFonts w:hint="eastAsia" w:ascii="宋体" w:hAnsi="宋体" w:eastAsia="宋体" w:cs="宋体"/>
          <w:color w:val="000000"/>
          <w:kern w:val="0"/>
          <w:highlight w:val="none"/>
        </w:rPr>
        <w:t>元。</w:t>
      </w:r>
    </w:p>
    <w:p w14:paraId="053996DC">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2</w:t>
      </w:r>
      <w:r>
        <w:rPr>
          <w:rStyle w:val="19"/>
          <w:rFonts w:hint="eastAsia" w:ascii="宋体" w:hAnsi="宋体" w:eastAsia="宋体" w:cs="宋体"/>
          <w:color w:val="000000"/>
          <w:kern w:val="0"/>
          <w:highlight w:val="none"/>
        </w:rPr>
        <w:t>）使用要求：专款专用。具体按</w:t>
      </w:r>
      <w:r>
        <w:rPr>
          <w:rStyle w:val="19"/>
          <w:rFonts w:hint="eastAsia" w:ascii="宋体" w:hAnsi="宋体" w:eastAsia="宋体" w:cs="宋体"/>
          <w:color w:val="000000"/>
          <w:kern w:val="0"/>
          <w:highlight w:val="none"/>
          <w:u w:val="single"/>
        </w:rPr>
        <w:t>《广西壮族自治区建设工程安全文明施工费使用管理细则》（桂建质〔</w:t>
      </w:r>
      <w:r>
        <w:rPr>
          <w:rStyle w:val="19"/>
          <w:rFonts w:ascii="宋体" w:hAnsi="宋体" w:eastAsia="宋体" w:cs="Times New Roman"/>
          <w:color w:val="000000"/>
          <w:kern w:val="0"/>
          <w:highlight w:val="none"/>
          <w:u w:val="single"/>
        </w:rPr>
        <w:t>2015</w:t>
      </w:r>
      <w:r>
        <w:rPr>
          <w:rStyle w:val="19"/>
          <w:rFonts w:hint="eastAsia" w:ascii="宋体" w:hAnsi="宋体" w:eastAsia="宋体" w:cs="宋体"/>
          <w:color w:val="000000"/>
          <w:kern w:val="0"/>
          <w:highlight w:val="none"/>
          <w:u w:val="single"/>
        </w:rPr>
        <w:t>〕</w:t>
      </w:r>
      <w:r>
        <w:rPr>
          <w:rStyle w:val="19"/>
          <w:rFonts w:ascii="宋体" w:hAnsi="宋体" w:eastAsia="宋体" w:cs="Times New Roman"/>
          <w:color w:val="000000"/>
          <w:kern w:val="0"/>
          <w:highlight w:val="none"/>
          <w:u w:val="single"/>
        </w:rPr>
        <w:t>16</w:t>
      </w:r>
      <w:r>
        <w:rPr>
          <w:rStyle w:val="19"/>
          <w:rFonts w:hint="eastAsia" w:ascii="宋体" w:hAnsi="宋体" w:eastAsia="宋体" w:cs="宋体"/>
          <w:color w:val="000000"/>
          <w:kern w:val="0"/>
          <w:highlight w:val="none"/>
          <w:u w:val="single"/>
        </w:rPr>
        <w:t>号）</w:t>
      </w:r>
      <w:r>
        <w:rPr>
          <w:rStyle w:val="19"/>
          <w:rFonts w:hint="eastAsia" w:ascii="宋体" w:hAnsi="宋体" w:eastAsia="宋体" w:cs="宋体"/>
          <w:color w:val="000000"/>
          <w:kern w:val="0"/>
          <w:highlight w:val="none"/>
        </w:rPr>
        <w:t>和</w:t>
      </w:r>
      <w:r>
        <w:rPr>
          <w:rStyle w:val="19"/>
          <w:rFonts w:hint="eastAsia" w:ascii="宋体" w:hAnsi="宋体" w:eastAsia="宋体" w:cs="Times New Roman"/>
          <w:color w:val="000000"/>
          <w:kern w:val="0"/>
          <w:highlight w:val="none"/>
          <w:u w:val="single"/>
        </w:rPr>
        <w:t>《广西壮族自治区建筑工程安全生产管理办法》（广西壮族自治区人民政府令 第124号）、《南宁市建设工程施工现场管理若干规定》（南宁市人民政府令 第8号）等南宁市相关规定执行</w:t>
      </w:r>
      <w:r>
        <w:rPr>
          <w:rStyle w:val="19"/>
          <w:rFonts w:hint="eastAsia" w:ascii="宋体" w:hAnsi="宋体" w:eastAsia="宋体" w:cs="Times New Roman"/>
          <w:color w:val="000000"/>
          <w:kern w:val="0"/>
          <w:highlight w:val="none"/>
        </w:rPr>
        <w:t>。</w:t>
      </w:r>
    </w:p>
    <w:p w14:paraId="0155750F">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hint="eastAsia" w:ascii="宋体" w:hAnsi="宋体" w:eastAsia="宋体" w:cs="宋体"/>
          <w:color w:val="000000"/>
          <w:kern w:val="0"/>
          <w:highlight w:val="none"/>
        </w:rPr>
      </w:pPr>
      <w:r>
        <w:rPr>
          <w:rStyle w:val="19"/>
          <w:rFonts w:hint="eastAsia" w:ascii="宋体" w:hAnsi="宋体" w:eastAsia="宋体" w:cs="宋体"/>
          <w:color w:val="000000"/>
          <w:kern w:val="0"/>
          <w:highlight w:val="none"/>
        </w:rPr>
        <w:t>（3）支付约定：第一次付款，在工程施工现场的围挡、大门、排水系统、临时设施等完成并经发包人验收合格后支付安全文明施工费用的30%；第二次付款：装修施工完成并经发包人验收合格后支付安全文明施工费用的70%。</w:t>
      </w:r>
    </w:p>
    <w:p w14:paraId="0FB4084D">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hint="eastAsia" w:ascii="宋体" w:hAnsi="宋体" w:eastAsia="宋体" w:cs="宋体"/>
          <w:color w:val="000000"/>
          <w:kern w:val="0"/>
          <w:highlight w:val="none"/>
        </w:rPr>
      </w:pPr>
      <w:r>
        <w:rPr>
          <w:rStyle w:val="19"/>
          <w:rFonts w:hint="eastAsia" w:ascii="宋体" w:hAnsi="宋体" w:eastAsia="宋体" w:cs="宋体"/>
          <w:color w:val="000000"/>
          <w:kern w:val="0"/>
          <w:highlight w:val="none"/>
        </w:rPr>
        <w:t>（4）建设单位按规定将安全生产费用转入施工单位设立的安全生产费用专户。</w:t>
      </w:r>
    </w:p>
    <w:p w14:paraId="5E1C1478">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hint="eastAsia" w:ascii="宋体" w:hAnsi="宋体" w:eastAsia="宋体" w:cs="宋体"/>
          <w:color w:val="000000"/>
          <w:kern w:val="0"/>
          <w:highlight w:val="none"/>
        </w:rPr>
      </w:pPr>
      <w:r>
        <w:rPr>
          <w:rStyle w:val="19"/>
          <w:rFonts w:hint="eastAsia" w:ascii="宋体" w:hAnsi="宋体" w:eastAsia="宋体" w:cs="宋体"/>
          <w:color w:val="000000"/>
          <w:kern w:val="0"/>
          <w:highlight w:val="none"/>
        </w:rPr>
        <w:t>（5）工程施工完成后安全生产费用尚有结余的，结余部分由建设单位收回。</w:t>
      </w:r>
    </w:p>
    <w:p w14:paraId="0603EF17">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hint="eastAsia" w:ascii="宋体" w:hAnsi="宋体" w:eastAsia="宋体" w:cs="宋体"/>
          <w:color w:val="000000"/>
          <w:kern w:val="0"/>
          <w:highlight w:val="none"/>
        </w:rPr>
      </w:pPr>
      <w:r>
        <w:rPr>
          <w:rStyle w:val="19"/>
          <w:rFonts w:hint="eastAsia" w:ascii="宋体" w:hAnsi="宋体" w:eastAsia="宋体" w:cs="宋体"/>
          <w:color w:val="000000"/>
          <w:kern w:val="0"/>
          <w:highlight w:val="none"/>
        </w:rPr>
        <w:t>（6）施工单位将安全生产费用使用情况定期报告建设单位和监理单位，并提供相应的材料接受建设行政主管部门对此事项监管。</w:t>
      </w:r>
    </w:p>
    <w:p w14:paraId="281463A4">
      <w:pPr>
        <w:pStyle w:val="28"/>
        <w:autoSpaceDE w:val="0"/>
        <w:autoSpaceDN w:val="0"/>
        <w:adjustRightInd w:val="0"/>
        <w:spacing w:line="360" w:lineRule="auto"/>
        <w:ind w:firstLine="420" w:firstLineChars="200"/>
        <w:jc w:val="left"/>
        <w:rPr>
          <w:rFonts w:hint="eastAsia" w:hAnsi="宋体" w:cs="宋体"/>
          <w:color w:val="auto"/>
          <w:kern w:val="0"/>
          <w:highlight w:val="none"/>
        </w:rPr>
      </w:pPr>
      <w:r>
        <w:rPr>
          <w:rStyle w:val="19"/>
          <w:rFonts w:hint="eastAsia" w:ascii="宋体" w:hAnsi="宋体" w:eastAsia="宋体" w:cs="宋体"/>
          <w:color w:val="000000"/>
          <w:kern w:val="0"/>
          <w:highlight w:val="none"/>
        </w:rPr>
        <w:t>（7）安全生产费用专户：</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rPr>
        <w:t>。账号：</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u w:val="single"/>
        </w:rPr>
        <w:t>。</w:t>
      </w:r>
      <w:r>
        <w:rPr>
          <w:rFonts w:hint="eastAsia" w:hAnsi="宋体" w:cs="宋体"/>
          <w:color w:val="auto"/>
          <w:kern w:val="0"/>
          <w:highlight w:val="none"/>
        </w:rPr>
        <w:t>开户银行：</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rPr>
        <w:t>。</w:t>
      </w:r>
    </w:p>
    <w:p w14:paraId="175791A6">
      <w:pPr>
        <w:pStyle w:val="28"/>
        <w:autoSpaceDE w:val="0"/>
        <w:autoSpaceDN w:val="0"/>
        <w:adjustRightInd w:val="0"/>
        <w:spacing w:line="360" w:lineRule="auto"/>
        <w:ind w:firstLine="420" w:firstLineChars="200"/>
        <w:jc w:val="left"/>
        <w:rPr>
          <w:rFonts w:hint="eastAsia" w:hAnsi="宋体" w:cs="宋体"/>
          <w:color w:val="auto"/>
          <w:kern w:val="0"/>
          <w:highlight w:val="none"/>
        </w:rPr>
      </w:pPr>
      <w:r>
        <w:rPr>
          <w:rStyle w:val="19"/>
          <w:rFonts w:hint="eastAsia" w:ascii="宋体" w:hAnsi="宋体" w:eastAsia="宋体" w:cs="Times New Roman"/>
          <w:color w:val="000000"/>
          <w:kern w:val="2"/>
          <w:sz w:val="21"/>
          <w:szCs w:val="22"/>
          <w:highlight w:val="none"/>
          <w:lang w:val="en-US" w:eastAsia="zh-CN" w:bidi="ar-SA"/>
        </w:rPr>
        <w:t>6.1.7 在承包人将工程移交给发包人之前，因安全事故、操作疏忽、人为破坏等原因，可能使工程遭受损失的一切风险由承</w:t>
      </w:r>
      <w:r>
        <w:rPr>
          <w:rFonts w:hint="eastAsia" w:hAnsi="宋体" w:cs="宋体"/>
          <w:color w:val="auto"/>
          <w:kern w:val="0"/>
          <w:highlight w:val="none"/>
        </w:rPr>
        <w:t>包人独自承担，当损失实际发生时，承包人应负责对工程进行修复或重建并承担全部费用。除不可抗力原因造成的损失外，因修复或重建工程而延误工期的，承包人应向发包人承担工期延误的违约责任。如承包人有证据证明事故系有其他方过错所致的，可在事后向相关责任方追偿；如非由发包人原因而导致发包人被承担相关责任损失的，则均由承包人承担，发包人并可以向承包人追偿。</w:t>
      </w:r>
    </w:p>
    <w:p w14:paraId="0979CECA">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589" w:name="_Toc18626"/>
      <w:bookmarkStart w:id="590" w:name="_Toc373478368"/>
      <w:bookmarkStart w:id="591" w:name="_Toc407135223"/>
      <w:bookmarkStart w:id="592" w:name="_Toc78449809"/>
      <w:bookmarkStart w:id="593" w:name="_Toc1922268668"/>
      <w:bookmarkStart w:id="594" w:name="_Toc1519050792"/>
      <w:bookmarkStart w:id="595" w:name="_Toc389065287"/>
      <w:bookmarkStart w:id="596" w:name="_Toc373227721"/>
      <w:r>
        <w:rPr>
          <w:rStyle w:val="19"/>
          <w:rFonts w:ascii="宋体" w:hAnsi="宋体" w:eastAsia="宋体" w:cs="Times New Roman"/>
          <w:b/>
          <w:bCs/>
          <w:color w:val="000000"/>
          <w:sz w:val="32"/>
          <w:szCs w:val="32"/>
          <w:highlight w:val="none"/>
          <w:lang w:val="zh-CN"/>
        </w:rPr>
        <w:t xml:space="preserve">6.3 </w:t>
      </w:r>
      <w:r>
        <w:rPr>
          <w:rStyle w:val="19"/>
          <w:rFonts w:hint="eastAsia" w:ascii="宋体" w:hAnsi="宋体" w:eastAsia="宋体" w:cs="黑体"/>
          <w:b/>
          <w:bCs/>
          <w:color w:val="000000"/>
          <w:sz w:val="32"/>
          <w:szCs w:val="32"/>
          <w:highlight w:val="none"/>
          <w:lang w:val="zh-CN"/>
        </w:rPr>
        <w:t>环境保护</w:t>
      </w:r>
      <w:bookmarkEnd w:id="589"/>
      <w:bookmarkEnd w:id="590"/>
      <w:bookmarkEnd w:id="591"/>
      <w:bookmarkEnd w:id="592"/>
      <w:bookmarkEnd w:id="593"/>
      <w:bookmarkEnd w:id="594"/>
      <w:bookmarkEnd w:id="595"/>
      <w:bookmarkEnd w:id="596"/>
    </w:p>
    <w:p w14:paraId="4E7A71C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u w:val="single"/>
        </w:rPr>
        <w:t>6.3.1因施工需要，经发包人批准，由承包人办理有关施工场地交通、环卫和施工噪音管理等手续，费用由承包人负责</w:t>
      </w:r>
      <w:r>
        <w:rPr>
          <w:rStyle w:val="19"/>
          <w:rFonts w:hint="eastAsia" w:ascii="宋体" w:hAnsi="宋体" w:eastAsia="宋体" w:cs="宋体"/>
          <w:color w:val="000000"/>
          <w:highlight w:val="none"/>
        </w:rPr>
        <w:t>。</w:t>
      </w:r>
    </w:p>
    <w:p w14:paraId="587C00DA">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u w:val="single"/>
        </w:rPr>
        <w:t>6.3.2经过城市道路的施工车辆，必须按交警、城管、运输等部门相关规定执行。由于施工车辆造成的道路、环境等污染，其责任和费用均由承包人承担</w:t>
      </w:r>
      <w:r>
        <w:rPr>
          <w:rStyle w:val="19"/>
          <w:rFonts w:hint="eastAsia" w:ascii="宋体" w:hAnsi="宋体" w:eastAsia="宋体" w:cs="宋体"/>
          <w:color w:val="000000"/>
          <w:highlight w:val="none"/>
        </w:rPr>
        <w:t>。</w:t>
      </w:r>
    </w:p>
    <w:p w14:paraId="05BA87BE">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u w:val="single"/>
        </w:rPr>
        <w:t>根据《南宁市挥发性有机物污染防治实施方案（</w:t>
      </w:r>
      <w:r>
        <w:rPr>
          <w:rStyle w:val="19"/>
          <w:rFonts w:ascii="宋体" w:hAnsi="宋体" w:eastAsia="宋体" w:cs="宋体"/>
          <w:color w:val="000000"/>
          <w:szCs w:val="21"/>
          <w:highlight w:val="none"/>
          <w:u w:val="single"/>
        </w:rPr>
        <w:t>2019-2020</w:t>
      </w:r>
      <w:r>
        <w:rPr>
          <w:rStyle w:val="19"/>
          <w:rFonts w:hint="eastAsia" w:ascii="宋体" w:hAnsi="宋体" w:eastAsia="宋体" w:cs="宋体"/>
          <w:color w:val="000000"/>
          <w:szCs w:val="21"/>
          <w:highlight w:val="none"/>
          <w:u w:val="single"/>
        </w:rPr>
        <w:t>年）》（南环委办〔</w:t>
      </w:r>
      <w:r>
        <w:rPr>
          <w:rStyle w:val="19"/>
          <w:rFonts w:ascii="宋体" w:hAnsi="宋体" w:eastAsia="宋体" w:cs="宋体"/>
          <w:color w:val="000000"/>
          <w:szCs w:val="21"/>
          <w:highlight w:val="none"/>
          <w:u w:val="single"/>
        </w:rPr>
        <w:t>2019</w:t>
      </w:r>
      <w:r>
        <w:rPr>
          <w:rStyle w:val="19"/>
          <w:rFonts w:hint="eastAsia" w:ascii="宋体" w:hAnsi="宋体" w:eastAsia="宋体" w:cs="宋体"/>
          <w:color w:val="000000"/>
          <w:szCs w:val="21"/>
          <w:highlight w:val="none"/>
          <w:u w:val="single"/>
        </w:rPr>
        <w:t>〕</w:t>
      </w:r>
      <w:r>
        <w:rPr>
          <w:rStyle w:val="19"/>
          <w:rFonts w:ascii="宋体" w:hAnsi="宋体" w:eastAsia="宋体" w:cs="宋体"/>
          <w:color w:val="000000"/>
          <w:szCs w:val="21"/>
          <w:highlight w:val="none"/>
          <w:u w:val="single"/>
        </w:rPr>
        <w:t>166</w:t>
      </w:r>
      <w:r>
        <w:rPr>
          <w:rStyle w:val="19"/>
          <w:rFonts w:hint="eastAsia" w:ascii="宋体" w:hAnsi="宋体" w:eastAsia="宋体" w:cs="宋体"/>
          <w:color w:val="000000"/>
          <w:szCs w:val="21"/>
          <w:highlight w:val="none"/>
          <w:u w:val="single"/>
        </w:rPr>
        <w:t>号）文件精神，宜优先使用低</w:t>
      </w:r>
      <w:r>
        <w:rPr>
          <w:rStyle w:val="19"/>
          <w:rFonts w:ascii="宋体" w:hAnsi="宋体" w:eastAsia="宋体" w:cs="宋体"/>
          <w:color w:val="000000"/>
          <w:szCs w:val="21"/>
          <w:highlight w:val="none"/>
          <w:u w:val="single"/>
        </w:rPr>
        <w:t>VOCs</w:t>
      </w:r>
      <w:r>
        <w:rPr>
          <w:rStyle w:val="19"/>
          <w:rFonts w:hint="eastAsia" w:ascii="宋体" w:hAnsi="宋体" w:eastAsia="宋体" w:cs="宋体"/>
          <w:color w:val="000000"/>
          <w:szCs w:val="21"/>
          <w:highlight w:val="none"/>
          <w:u w:val="single"/>
        </w:rPr>
        <w:t>含量的涂料、油漆和有机溶剂</w:t>
      </w:r>
      <w:r>
        <w:rPr>
          <w:rStyle w:val="19"/>
          <w:rFonts w:hint="eastAsia" w:ascii="宋体" w:hAnsi="宋体" w:eastAsia="宋体" w:cs="宋体"/>
          <w:color w:val="000000"/>
          <w:szCs w:val="21"/>
          <w:highlight w:val="none"/>
        </w:rPr>
        <w:t>。</w:t>
      </w:r>
    </w:p>
    <w:p w14:paraId="2B443964">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u w:val="single"/>
        </w:rPr>
      </w:pPr>
      <w:r>
        <w:rPr>
          <w:rStyle w:val="19"/>
          <w:rFonts w:hint="eastAsia" w:ascii="宋体" w:hAnsi="宋体" w:eastAsia="宋体" w:cs="宋体"/>
          <w:color w:val="000000"/>
          <w:highlight w:val="none"/>
          <w:u w:val="single"/>
        </w:rPr>
        <w:t>6.3.3 施工场地清洁卫生的要求：保证施工场地清洁符合环境卫生管理的有关规定，交工前清理现场达到相关要求，承担因自身原因违反有关规定造成的损失和罚款，费用由承包人承担。</w:t>
      </w:r>
    </w:p>
    <w:bookmarkEnd w:id="565"/>
    <w:bookmarkEnd w:id="566"/>
    <w:bookmarkEnd w:id="567"/>
    <w:bookmarkEnd w:id="568"/>
    <w:bookmarkEnd w:id="569"/>
    <w:bookmarkEnd w:id="570"/>
    <w:bookmarkEnd w:id="571"/>
    <w:p w14:paraId="28187970">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597" w:name="_Toc4353"/>
      <w:bookmarkStart w:id="598" w:name="_Toc351203639"/>
      <w:bookmarkStart w:id="599" w:name="_Toc315674767"/>
      <w:bookmarkStart w:id="600" w:name="_Toc389065288"/>
      <w:bookmarkStart w:id="601" w:name="_Toc373227722"/>
      <w:bookmarkStart w:id="602" w:name="_Toc373478369"/>
      <w:bookmarkStart w:id="603" w:name="_Toc407135224"/>
      <w:bookmarkStart w:id="604" w:name="_Toc1408286886"/>
      <w:bookmarkStart w:id="605" w:name="_Toc78449810"/>
      <w:r>
        <w:rPr>
          <w:rStyle w:val="19"/>
          <w:rFonts w:ascii="宋体" w:hAnsi="宋体" w:eastAsia="宋体" w:cs="Times New Roman"/>
          <w:b/>
          <w:bCs/>
          <w:color w:val="000000"/>
          <w:sz w:val="32"/>
          <w:szCs w:val="32"/>
          <w:highlight w:val="none"/>
          <w:lang w:val="zh-CN"/>
        </w:rPr>
        <w:t xml:space="preserve">7. </w:t>
      </w:r>
      <w:r>
        <w:rPr>
          <w:rStyle w:val="19"/>
          <w:rFonts w:hint="eastAsia" w:ascii="宋体" w:hAnsi="宋体" w:eastAsia="宋体" w:cs="黑体"/>
          <w:b/>
          <w:bCs/>
          <w:color w:val="000000"/>
          <w:sz w:val="32"/>
          <w:szCs w:val="32"/>
          <w:highlight w:val="none"/>
          <w:lang w:val="zh-CN"/>
        </w:rPr>
        <w:t>工期和进度</w:t>
      </w:r>
      <w:bookmarkEnd w:id="597"/>
      <w:bookmarkEnd w:id="598"/>
      <w:bookmarkEnd w:id="599"/>
      <w:bookmarkEnd w:id="600"/>
      <w:bookmarkEnd w:id="601"/>
      <w:bookmarkEnd w:id="602"/>
      <w:bookmarkEnd w:id="603"/>
      <w:bookmarkEnd w:id="604"/>
      <w:bookmarkEnd w:id="605"/>
    </w:p>
    <w:p w14:paraId="4C495A06">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606" w:name="_Toc373478370"/>
      <w:bookmarkStart w:id="607" w:name="_Toc373227723"/>
      <w:bookmarkStart w:id="608" w:name="_Toc389065289"/>
      <w:bookmarkStart w:id="609" w:name="_Toc1194482517"/>
      <w:bookmarkStart w:id="610" w:name="_Toc664905709"/>
      <w:bookmarkStart w:id="611" w:name="_Toc78449811"/>
      <w:bookmarkStart w:id="612" w:name="_Toc407135225"/>
      <w:bookmarkStart w:id="613" w:name="_Toc7505"/>
      <w:r>
        <w:rPr>
          <w:rStyle w:val="19"/>
          <w:rFonts w:ascii="宋体" w:hAnsi="宋体" w:eastAsia="宋体" w:cs="Times New Roman"/>
          <w:b/>
          <w:bCs/>
          <w:color w:val="000000"/>
          <w:sz w:val="32"/>
          <w:szCs w:val="32"/>
          <w:highlight w:val="none"/>
          <w:lang w:val="zh-CN"/>
        </w:rPr>
        <w:t xml:space="preserve">7.1 </w:t>
      </w:r>
      <w:r>
        <w:rPr>
          <w:rStyle w:val="19"/>
          <w:rFonts w:hint="eastAsia" w:ascii="宋体" w:hAnsi="宋体" w:eastAsia="宋体" w:cs="黑体"/>
          <w:b/>
          <w:bCs/>
          <w:color w:val="000000"/>
          <w:sz w:val="32"/>
          <w:szCs w:val="32"/>
          <w:highlight w:val="none"/>
          <w:lang w:val="zh-CN"/>
        </w:rPr>
        <w:t>施工组织设计</w:t>
      </w:r>
      <w:bookmarkEnd w:id="606"/>
      <w:bookmarkEnd w:id="607"/>
      <w:bookmarkEnd w:id="608"/>
      <w:bookmarkEnd w:id="609"/>
      <w:bookmarkEnd w:id="610"/>
      <w:bookmarkEnd w:id="611"/>
      <w:bookmarkEnd w:id="612"/>
      <w:bookmarkEnd w:id="613"/>
    </w:p>
    <w:p w14:paraId="603BD7AF">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highlight w:val="none"/>
          <w:u w:val="single"/>
        </w:rPr>
      </w:pPr>
      <w:r>
        <w:rPr>
          <w:rStyle w:val="19"/>
          <w:rFonts w:ascii="宋体" w:hAnsi="宋体" w:eastAsia="宋体" w:cs="Times New Roman"/>
          <w:color w:val="000000"/>
          <w:highlight w:val="none"/>
        </w:rPr>
        <w:t xml:space="preserve">7.1.1 </w:t>
      </w:r>
      <w:r>
        <w:rPr>
          <w:rStyle w:val="19"/>
          <w:rFonts w:hint="eastAsia" w:ascii="宋体" w:hAnsi="宋体" w:eastAsia="宋体" w:cs="宋体"/>
          <w:color w:val="000000"/>
          <w:highlight w:val="none"/>
        </w:rPr>
        <w:t>合</w:t>
      </w:r>
      <w:r>
        <w:rPr>
          <w:rStyle w:val="19"/>
          <w:rFonts w:hint="eastAsia" w:ascii="宋体" w:hAnsi="宋体" w:eastAsia="宋体" w:cs="宋体"/>
          <w:color w:val="000000"/>
          <w:kern w:val="0"/>
          <w:highlight w:val="none"/>
        </w:rPr>
        <w:t>同当事人约定的施工组织设计应包括的其他内容：</w:t>
      </w:r>
      <w:r>
        <w:rPr>
          <w:rStyle w:val="19"/>
          <w:rFonts w:hint="eastAsia" w:ascii="宋体" w:hAnsi="宋体" w:eastAsia="宋体" w:cs="宋体"/>
          <w:color w:val="000000"/>
          <w:szCs w:val="21"/>
          <w:highlight w:val="none"/>
          <w:u w:val="single"/>
        </w:rPr>
        <w:t>按通用条款执行，无其他内容要求</w:t>
      </w:r>
      <w:r>
        <w:rPr>
          <w:rStyle w:val="19"/>
          <w:rFonts w:hint="eastAsia" w:ascii="宋体" w:hAnsi="宋体" w:eastAsia="宋体" w:cs="宋体"/>
          <w:color w:val="000000"/>
          <w:highlight w:val="none"/>
        </w:rPr>
        <w:t>。</w:t>
      </w:r>
    </w:p>
    <w:p w14:paraId="7BFF5821">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kern w:val="0"/>
          <w:highlight w:val="none"/>
        </w:rPr>
      </w:pPr>
      <w:r>
        <w:rPr>
          <w:rStyle w:val="19"/>
          <w:rFonts w:ascii="宋体" w:hAnsi="宋体" w:eastAsia="宋体" w:cs="Times New Roman"/>
          <w:color w:val="000000"/>
          <w:highlight w:val="none"/>
        </w:rPr>
        <w:t xml:space="preserve">7.1.2 </w:t>
      </w:r>
      <w:r>
        <w:rPr>
          <w:rStyle w:val="19"/>
          <w:rFonts w:hint="eastAsia" w:ascii="宋体" w:hAnsi="宋体" w:eastAsia="宋体" w:cs="宋体"/>
          <w:color w:val="000000"/>
          <w:kern w:val="0"/>
          <w:highlight w:val="none"/>
        </w:rPr>
        <w:t>施工组织设计的提交和修改</w:t>
      </w:r>
    </w:p>
    <w:p w14:paraId="7F56B953">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承包人提交详细施工组织设计的期限的约定：</w:t>
      </w:r>
      <w:r>
        <w:rPr>
          <w:rStyle w:val="19"/>
          <w:rFonts w:hint="eastAsia" w:ascii="宋体" w:hAnsi="宋体" w:eastAsia="宋体" w:cs="宋体"/>
          <w:color w:val="000000"/>
          <w:kern w:val="0"/>
          <w:highlight w:val="none"/>
          <w:u w:val="single"/>
        </w:rPr>
        <w:t>开工前7天内。</w:t>
      </w:r>
    </w:p>
    <w:p w14:paraId="0DD5089F">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 xml:space="preserve">如承包人未按上述要求的时间内提交的，每逾期一天，发包人有权要求承包人按签约合同价的万分之四支付违约金。 </w:t>
      </w:r>
    </w:p>
    <w:p w14:paraId="7610FE41">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kern w:val="0"/>
          <w:highlight w:val="none"/>
        </w:rPr>
        <w:t>发包人和监理人在收到详细的施工组织设计后确认或提出修改意见的期限：</w:t>
      </w:r>
      <w:r>
        <w:rPr>
          <w:rStyle w:val="19"/>
          <w:rFonts w:hint="eastAsia" w:ascii="宋体" w:hAnsi="宋体" w:eastAsia="宋体" w:cs="宋体"/>
          <w:color w:val="000000"/>
          <w:kern w:val="0"/>
          <w:highlight w:val="none"/>
          <w:u w:val="single"/>
        </w:rPr>
        <w:t>收到后7个工作日内。发包人及监理单位提出修改意见，承包人须在5天内按修改意见补充完善提交发包人及监理，承包人提交重新修改后的施工组织设计，发包人7天内确认。经发包人审核通过的施工组织计划具有约束力，承包人应予执行；监理、发包人对施工组织设计和进度计划的任何确认、调整和修改意见不免除和减轻承包人的工期责任。</w:t>
      </w:r>
    </w:p>
    <w:p w14:paraId="31137FDA">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614" w:name="_Toc78449812"/>
      <w:bookmarkStart w:id="615" w:name="_Toc373478371"/>
      <w:bookmarkStart w:id="616" w:name="_Toc373227724"/>
      <w:bookmarkStart w:id="617" w:name="_Toc407135226"/>
      <w:bookmarkStart w:id="618" w:name="_Toc1393005721"/>
      <w:bookmarkStart w:id="619" w:name="_Toc26350"/>
      <w:bookmarkStart w:id="620" w:name="_Toc1674747833"/>
      <w:bookmarkStart w:id="621" w:name="_Toc389065290"/>
      <w:r>
        <w:rPr>
          <w:rStyle w:val="19"/>
          <w:rFonts w:ascii="宋体" w:hAnsi="宋体" w:eastAsia="宋体" w:cs="Times New Roman"/>
          <w:b/>
          <w:bCs/>
          <w:color w:val="000000"/>
          <w:sz w:val="32"/>
          <w:szCs w:val="32"/>
          <w:highlight w:val="none"/>
          <w:lang w:val="zh-CN"/>
        </w:rPr>
        <w:t>7</w:t>
      </w:r>
      <w:bookmarkStart w:id="622" w:name="_Toc312678005"/>
      <w:bookmarkStart w:id="623" w:name="_Toc312677479"/>
      <w:bookmarkStart w:id="624" w:name="_Toc297216173"/>
      <w:bookmarkStart w:id="625" w:name="_Toc300934966"/>
      <w:bookmarkStart w:id="626" w:name="_Toc297123514"/>
      <w:bookmarkStart w:id="627" w:name="_Toc304295541"/>
      <w:bookmarkStart w:id="628" w:name="_Toc303539123"/>
      <w:r>
        <w:rPr>
          <w:rStyle w:val="19"/>
          <w:rFonts w:ascii="宋体" w:hAnsi="宋体" w:eastAsia="宋体" w:cs="Times New Roman"/>
          <w:b/>
          <w:bCs/>
          <w:color w:val="000000"/>
          <w:sz w:val="32"/>
          <w:szCs w:val="32"/>
          <w:highlight w:val="none"/>
          <w:lang w:val="zh-CN"/>
        </w:rPr>
        <w:t xml:space="preserve">.2 </w:t>
      </w:r>
      <w:r>
        <w:rPr>
          <w:rStyle w:val="19"/>
          <w:rFonts w:hint="eastAsia" w:ascii="宋体" w:hAnsi="宋体" w:eastAsia="宋体" w:cs="黑体"/>
          <w:b/>
          <w:bCs/>
          <w:color w:val="000000"/>
          <w:sz w:val="32"/>
          <w:szCs w:val="32"/>
          <w:highlight w:val="none"/>
          <w:lang w:val="zh-CN"/>
        </w:rPr>
        <w:t>施工进度计划</w:t>
      </w:r>
      <w:bookmarkEnd w:id="614"/>
      <w:bookmarkEnd w:id="615"/>
      <w:bookmarkEnd w:id="616"/>
      <w:bookmarkEnd w:id="617"/>
      <w:bookmarkEnd w:id="618"/>
      <w:bookmarkEnd w:id="619"/>
      <w:bookmarkEnd w:id="620"/>
      <w:bookmarkEnd w:id="621"/>
    </w:p>
    <w:p w14:paraId="54A23E48">
      <w:pPr>
        <w:pStyle w:val="89"/>
        <w:pageBreakBefore w:val="0"/>
        <w:kinsoku/>
        <w:wordWrap/>
        <w:overflowPunct/>
        <w:topLinePunct w:val="0"/>
        <w:bidi w:val="0"/>
        <w:spacing w:line="360" w:lineRule="auto"/>
        <w:ind w:firstLine="420" w:firstLineChars="200"/>
        <w:jc w:val="left"/>
        <w:rPr>
          <w:rStyle w:val="19"/>
          <w:rFonts w:ascii="Calibri" w:hAnsi="Calibri" w:eastAsia="宋体" w:cs="Times New Roman"/>
          <w:color w:val="000000"/>
          <w:szCs w:val="21"/>
          <w:highlight w:val="none"/>
        </w:rPr>
      </w:pPr>
      <w:r>
        <w:rPr>
          <w:rStyle w:val="19"/>
          <w:rFonts w:hint="eastAsia" w:ascii="Calibri" w:hAnsi="Calibri" w:eastAsia="宋体" w:cs="Times New Roman"/>
          <w:color w:val="000000"/>
          <w:szCs w:val="21"/>
          <w:highlight w:val="none"/>
        </w:rPr>
        <w:t>7.2.1 施工进度计划 承包人应当在收到监理人发出的开工通知后 7 天内，编制详细的施工进度计划和施工方案说明并报送监理人。承包人编制施工进度计划和施工方案说明的内容：包括进度计划、各阶段现场平面布置图，其中工程进度计划应按照网络图或主要工作横道图编绘，包括注明关键路线、月预计完成的工程量和形象进度等。每延误一天提交或提交的进度计划不符合要求被退回修改的，发包人有权</w:t>
      </w:r>
      <w:r>
        <w:rPr>
          <w:rStyle w:val="19"/>
          <w:rFonts w:hint="eastAsia" w:ascii="Calibri" w:hAnsi="Calibri" w:eastAsia="宋体" w:cs="Times New Roman"/>
          <w:color w:val="000000"/>
          <w:szCs w:val="21"/>
          <w:highlight w:val="none"/>
          <w:lang w:val="en-US" w:eastAsia="zh-CN"/>
        </w:rPr>
        <w:t>要求</w:t>
      </w:r>
      <w:r>
        <w:rPr>
          <w:rStyle w:val="19"/>
          <w:rFonts w:hint="eastAsia" w:ascii="Calibri" w:hAnsi="Calibri" w:eastAsia="宋体" w:cs="Times New Roman"/>
          <w:color w:val="000000"/>
          <w:szCs w:val="21"/>
          <w:highlight w:val="none"/>
        </w:rPr>
        <w:t>承包人</w:t>
      </w:r>
      <w:r>
        <w:rPr>
          <w:rStyle w:val="19"/>
          <w:rFonts w:hint="eastAsia" w:ascii="Calibri" w:hAnsi="Calibri" w:eastAsia="宋体" w:cs="Times New Roman"/>
          <w:color w:val="000000"/>
          <w:szCs w:val="21"/>
          <w:highlight w:val="none"/>
          <w:lang w:val="en-US" w:eastAsia="zh-CN"/>
        </w:rPr>
        <w:t>按</w:t>
      </w:r>
      <w:r>
        <w:rPr>
          <w:rStyle w:val="19"/>
          <w:rFonts w:hint="eastAsia" w:ascii="Calibri" w:hAnsi="Calibri" w:eastAsia="宋体" w:cs="Times New Roman"/>
          <w:color w:val="000000"/>
          <w:szCs w:val="21"/>
          <w:highlight w:val="none"/>
        </w:rPr>
        <w:t xml:space="preserve"> 5000 元/天</w:t>
      </w:r>
      <w:r>
        <w:rPr>
          <w:rStyle w:val="19"/>
          <w:rFonts w:hint="eastAsia" w:ascii="Calibri" w:hAnsi="Calibri" w:eastAsia="宋体" w:cs="Times New Roman"/>
          <w:color w:val="000000"/>
          <w:szCs w:val="21"/>
          <w:highlight w:val="none"/>
          <w:lang w:val="en-US" w:eastAsia="zh-CN"/>
        </w:rPr>
        <w:t>支付违约金</w:t>
      </w:r>
      <w:r>
        <w:rPr>
          <w:rStyle w:val="19"/>
          <w:rFonts w:hint="eastAsia" w:ascii="Calibri" w:hAnsi="Calibri" w:eastAsia="宋体" w:cs="Times New Roman"/>
          <w:color w:val="000000"/>
          <w:szCs w:val="21"/>
          <w:highlight w:val="none"/>
        </w:rPr>
        <w:t>。</w:t>
      </w:r>
    </w:p>
    <w:p w14:paraId="39C5DB77">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7.2.2 </w:t>
      </w:r>
      <w:r>
        <w:rPr>
          <w:rStyle w:val="19"/>
          <w:rFonts w:hint="eastAsia" w:ascii="宋体" w:hAnsi="宋体" w:eastAsia="宋体" w:cs="宋体"/>
          <w:color w:val="000000"/>
          <w:highlight w:val="none"/>
        </w:rPr>
        <w:t>施工进度计划的修订</w:t>
      </w:r>
    </w:p>
    <w:p w14:paraId="76AA9796">
      <w:pPr>
        <w:pStyle w:val="89"/>
        <w:pageBreakBefore w:val="0"/>
        <w:kinsoku/>
        <w:wordWrap/>
        <w:overflowPunct/>
        <w:topLinePunct w:val="0"/>
        <w:bidi w:val="0"/>
        <w:spacing w:line="360" w:lineRule="auto"/>
        <w:ind w:firstLine="420" w:firstLineChars="200"/>
        <w:jc w:val="left"/>
        <w:rPr>
          <w:rStyle w:val="19"/>
          <w:rFonts w:ascii="Calibri" w:hAnsi="Calibri" w:eastAsia="宋体" w:cs="Times New Roman"/>
          <w:color w:val="000000"/>
          <w:szCs w:val="21"/>
          <w:highlight w:val="none"/>
        </w:rPr>
      </w:pPr>
      <w:r>
        <w:rPr>
          <w:rStyle w:val="19"/>
          <w:rFonts w:hint="eastAsia" w:ascii="Calibri" w:hAnsi="Calibri" w:eastAsia="宋体" w:cs="Times New Roman"/>
          <w:color w:val="000000"/>
          <w:szCs w:val="21"/>
          <w:highlight w:val="none"/>
        </w:rPr>
        <w:t xml:space="preserve">发包人和监理人在收到修订的施工进度计划后确认或提出修改意见的期限：收到该申请报 告之日起 7 天内 。发包人及监理单位提出修改意见，承包人须在 3 天内按修改意见补充完善提交发包人及监理，承包人提交重新修改后的施工进度计划，发包人 5 天内确认。经发包人审核通过的施工进度计划具有约束力，承包人应予执行；监理、发包人对施工组织设计和进度计划的任何确认、调整和修改意见不免除和减轻承包人的工期责任。 </w:t>
      </w:r>
    </w:p>
    <w:p w14:paraId="3D75188F">
      <w:pPr>
        <w:pStyle w:val="89"/>
        <w:pageBreakBefore w:val="0"/>
        <w:kinsoku/>
        <w:wordWrap/>
        <w:overflowPunct/>
        <w:topLinePunct w:val="0"/>
        <w:bidi w:val="0"/>
        <w:spacing w:line="360" w:lineRule="auto"/>
        <w:ind w:firstLine="420" w:firstLineChars="200"/>
        <w:jc w:val="left"/>
        <w:rPr>
          <w:rStyle w:val="19"/>
          <w:rFonts w:ascii="Calibri" w:hAnsi="Calibri" w:eastAsia="宋体" w:cs="Times New Roman"/>
          <w:color w:val="000000"/>
          <w:szCs w:val="21"/>
          <w:highlight w:val="none"/>
        </w:rPr>
      </w:pPr>
      <w:r>
        <w:rPr>
          <w:rStyle w:val="19"/>
          <w:rFonts w:hint="eastAsia" w:ascii="Calibri" w:hAnsi="Calibri" w:eastAsia="宋体" w:cs="Times New Roman"/>
          <w:color w:val="000000"/>
          <w:szCs w:val="21"/>
          <w:highlight w:val="none"/>
        </w:rPr>
        <w:t xml:space="preserve">7.2.3 承包人编制分阶段或分项施工进度计划和施工方案说明的内容：包括进度计划、各阶 段现场平面布置图及专项施工方案，其中工程进度计划应按照网络图或主要工作横道图编绘， 包括注明关键路线、月预计完成的工程量和形象进度等。承包人报送分阶段或分项施工进度计划和施工方案说明的期限：分项工程开工前 7 天。 </w:t>
      </w:r>
    </w:p>
    <w:p w14:paraId="25561AED">
      <w:pPr>
        <w:pStyle w:val="89"/>
        <w:pageBreakBefore w:val="0"/>
        <w:kinsoku/>
        <w:wordWrap/>
        <w:overflowPunct/>
        <w:topLinePunct w:val="0"/>
        <w:bidi w:val="0"/>
        <w:spacing w:line="360" w:lineRule="auto"/>
        <w:ind w:firstLine="420" w:firstLineChars="200"/>
        <w:jc w:val="left"/>
        <w:rPr>
          <w:rStyle w:val="19"/>
          <w:rFonts w:ascii="Calibri" w:hAnsi="Calibri" w:eastAsia="宋体" w:cs="Times New Roman"/>
          <w:color w:val="000000"/>
          <w:szCs w:val="21"/>
          <w:highlight w:val="none"/>
        </w:rPr>
      </w:pPr>
      <w:r>
        <w:rPr>
          <w:rStyle w:val="19"/>
          <w:rFonts w:hint="eastAsia" w:ascii="Calibri" w:hAnsi="Calibri" w:eastAsia="宋体" w:cs="Times New Roman"/>
          <w:color w:val="000000"/>
          <w:szCs w:val="21"/>
          <w:highlight w:val="none"/>
        </w:rPr>
        <w:t>7.2.4 群体工程中单位工程分期进行施工的，承包人应按照发包人提供图纸及有关资料的时 间，按单位工程编制进度计划和施工方案说明。群体工程中有关进度计划和施工方案说明的要 求：此类工程进度计划不应对总进度计划做实质性变动，而是对其的进一步细化。</w:t>
      </w:r>
    </w:p>
    <w:p w14:paraId="6D63CAB4">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629" w:name="_Toc373227725"/>
      <w:bookmarkStart w:id="630" w:name="_Toc1498273563"/>
      <w:bookmarkStart w:id="631" w:name="_Toc423062567"/>
      <w:bookmarkStart w:id="632" w:name="_Toc78449813"/>
      <w:bookmarkStart w:id="633" w:name="_Toc9567"/>
      <w:bookmarkStart w:id="634" w:name="_Toc407135227"/>
      <w:bookmarkStart w:id="635" w:name="_Toc389065291"/>
      <w:bookmarkStart w:id="636" w:name="_Toc373478372"/>
      <w:r>
        <w:rPr>
          <w:rStyle w:val="19"/>
          <w:rFonts w:ascii="宋体" w:hAnsi="宋体" w:eastAsia="宋体" w:cs="Times New Roman"/>
          <w:b/>
          <w:bCs/>
          <w:color w:val="000000"/>
          <w:sz w:val="32"/>
          <w:szCs w:val="32"/>
          <w:highlight w:val="none"/>
          <w:lang w:val="zh-CN"/>
        </w:rPr>
        <w:t xml:space="preserve">7.3 </w:t>
      </w:r>
      <w:r>
        <w:rPr>
          <w:rStyle w:val="19"/>
          <w:rFonts w:hint="eastAsia" w:ascii="宋体" w:hAnsi="宋体" w:eastAsia="宋体" w:cs="黑体"/>
          <w:b/>
          <w:bCs/>
          <w:color w:val="000000"/>
          <w:sz w:val="32"/>
          <w:szCs w:val="32"/>
          <w:highlight w:val="none"/>
          <w:lang w:val="zh-CN"/>
        </w:rPr>
        <w:t>开工</w:t>
      </w:r>
      <w:bookmarkEnd w:id="629"/>
      <w:bookmarkEnd w:id="630"/>
      <w:bookmarkEnd w:id="631"/>
      <w:bookmarkEnd w:id="632"/>
      <w:bookmarkEnd w:id="633"/>
      <w:bookmarkEnd w:id="634"/>
      <w:bookmarkEnd w:id="635"/>
      <w:bookmarkEnd w:id="636"/>
    </w:p>
    <w:p w14:paraId="335D7153">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7.3.1 </w:t>
      </w:r>
      <w:r>
        <w:rPr>
          <w:rStyle w:val="19"/>
          <w:rFonts w:hint="eastAsia" w:ascii="宋体" w:hAnsi="宋体" w:eastAsia="宋体" w:cs="宋体"/>
          <w:color w:val="000000"/>
          <w:highlight w:val="none"/>
        </w:rPr>
        <w:t>开工准备</w:t>
      </w:r>
    </w:p>
    <w:p w14:paraId="2D8CF4B0">
      <w:pPr>
        <w:pStyle w:val="89"/>
        <w:pageBreakBefore w:val="0"/>
        <w:kinsoku/>
        <w:wordWrap/>
        <w:overflowPunct/>
        <w:topLinePunct w:val="0"/>
        <w:bidi w:val="0"/>
        <w:spacing w:line="360" w:lineRule="auto"/>
        <w:ind w:firstLine="426"/>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关于承包人提交</w:t>
      </w:r>
      <w:r>
        <w:rPr>
          <w:rStyle w:val="19"/>
          <w:rFonts w:hint="eastAsia" w:ascii="宋体" w:hAnsi="宋体" w:eastAsia="宋体" w:cs="宋体"/>
          <w:color w:val="000000"/>
          <w:kern w:val="0"/>
          <w:highlight w:val="none"/>
        </w:rPr>
        <w:t>工程开工报审表的期限：</w:t>
      </w:r>
      <w:r>
        <w:rPr>
          <w:rStyle w:val="19"/>
          <w:rFonts w:hint="eastAsia" w:ascii="宋体" w:hAnsi="宋体" w:eastAsia="宋体" w:cs="Times New Roman"/>
          <w:color w:val="000000"/>
          <w:highlight w:val="none"/>
          <w:u w:val="single"/>
        </w:rPr>
        <w:t>发包人应按照法律规定获得工程施工所需的许可。经发包人同意后，监理人发出的开工通知应符合法律规定。监理人应在计划开工日期3天前向承包人发出开工通知，工期自开工通知中载明的开工日期起算</w:t>
      </w:r>
      <w:r>
        <w:rPr>
          <w:rStyle w:val="19"/>
          <w:rFonts w:hint="eastAsia" w:ascii="宋体" w:hAnsi="宋体" w:eastAsia="宋体" w:cs="宋体"/>
          <w:color w:val="000000"/>
          <w:highlight w:val="none"/>
        </w:rPr>
        <w:t>。</w:t>
      </w:r>
    </w:p>
    <w:p w14:paraId="06D756F5">
      <w:pPr>
        <w:pStyle w:val="89"/>
        <w:pageBreakBefore w:val="0"/>
        <w:kinsoku/>
        <w:wordWrap/>
        <w:overflowPunct/>
        <w:topLinePunct w:val="0"/>
        <w:bidi w:val="0"/>
        <w:spacing w:line="360" w:lineRule="auto"/>
        <w:ind w:firstLine="426"/>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关于发包人应完成的其他开工准备工作及期限：</w:t>
      </w:r>
      <w:r>
        <w:rPr>
          <w:rStyle w:val="19"/>
          <w:rFonts w:hint="eastAsia" w:ascii="宋体" w:hAnsi="宋体" w:eastAsia="宋体" w:cs="宋体"/>
          <w:color w:val="000000"/>
          <w:szCs w:val="21"/>
          <w:highlight w:val="none"/>
          <w:u w:val="single"/>
        </w:rPr>
        <w:t>开工通知发出前</w:t>
      </w:r>
      <w:r>
        <w:rPr>
          <w:rStyle w:val="19"/>
          <w:rFonts w:hint="eastAsia" w:ascii="宋体" w:hAnsi="宋体" w:eastAsia="宋体" w:cs="宋体"/>
          <w:color w:val="000000"/>
          <w:highlight w:val="none"/>
        </w:rPr>
        <w:t>。</w:t>
      </w:r>
    </w:p>
    <w:p w14:paraId="51DDB0F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关于承包人应完成的其他开工准备工作及期限：</w:t>
      </w:r>
      <w:r>
        <w:rPr>
          <w:rStyle w:val="19"/>
          <w:rFonts w:hint="eastAsia" w:ascii="宋体" w:hAnsi="宋体" w:eastAsia="宋体" w:cs="宋体"/>
          <w:color w:val="000000"/>
          <w:szCs w:val="21"/>
          <w:highlight w:val="none"/>
          <w:u w:val="single"/>
        </w:rPr>
        <w:t>开工通知发出前</w:t>
      </w:r>
      <w:r>
        <w:rPr>
          <w:rStyle w:val="19"/>
          <w:rFonts w:hint="eastAsia" w:ascii="宋体" w:hAnsi="宋体" w:eastAsia="宋体" w:cs="宋体"/>
          <w:color w:val="000000"/>
          <w:highlight w:val="none"/>
        </w:rPr>
        <w:t>。</w:t>
      </w:r>
    </w:p>
    <w:p w14:paraId="45476EE6">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7.3.2 </w:t>
      </w:r>
      <w:r>
        <w:rPr>
          <w:rStyle w:val="19"/>
          <w:rFonts w:hint="eastAsia" w:ascii="宋体" w:hAnsi="宋体" w:eastAsia="宋体" w:cs="宋体"/>
          <w:color w:val="000000"/>
          <w:highlight w:val="none"/>
        </w:rPr>
        <w:t>开工通知</w:t>
      </w:r>
    </w:p>
    <w:p w14:paraId="2A260EE0">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因发包人原因造成监理人未能在计划开工日期之日起</w:t>
      </w:r>
      <w:r>
        <w:rPr>
          <w:rStyle w:val="19"/>
          <w:rFonts w:hint="eastAsia" w:ascii="宋体" w:hAnsi="宋体" w:eastAsia="宋体" w:cs="Times New Roman"/>
          <w:color w:val="000000"/>
          <w:highlight w:val="none"/>
          <w:u w:val="single"/>
        </w:rPr>
        <w:t>180</w:t>
      </w:r>
      <w:r>
        <w:rPr>
          <w:rStyle w:val="19"/>
          <w:rFonts w:hint="eastAsia" w:ascii="宋体" w:hAnsi="宋体" w:eastAsia="宋体" w:cs="宋体"/>
          <w:color w:val="000000"/>
          <w:highlight w:val="none"/>
        </w:rPr>
        <w:t>天内发出开工通知的，承包人有权提出价格调整要求，或者解除合同。</w:t>
      </w:r>
    </w:p>
    <w:bookmarkEnd w:id="622"/>
    <w:bookmarkEnd w:id="623"/>
    <w:bookmarkEnd w:id="624"/>
    <w:bookmarkEnd w:id="625"/>
    <w:bookmarkEnd w:id="626"/>
    <w:bookmarkEnd w:id="627"/>
    <w:bookmarkEnd w:id="628"/>
    <w:p w14:paraId="0AD54186">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637" w:name="_Toc407135228"/>
      <w:bookmarkStart w:id="638" w:name="_Toc9056"/>
      <w:bookmarkStart w:id="639" w:name="_Toc373227726"/>
      <w:bookmarkStart w:id="640" w:name="_Toc389065292"/>
      <w:bookmarkStart w:id="641" w:name="_Toc78449814"/>
      <w:bookmarkStart w:id="642" w:name="_Toc373478373"/>
      <w:bookmarkStart w:id="643" w:name="_Toc86855608"/>
      <w:bookmarkStart w:id="644" w:name="_Toc741356765"/>
      <w:r>
        <w:rPr>
          <w:rStyle w:val="19"/>
          <w:rFonts w:ascii="宋体" w:hAnsi="宋体" w:eastAsia="宋体" w:cs="Times New Roman"/>
          <w:b/>
          <w:bCs/>
          <w:color w:val="000000"/>
          <w:sz w:val="32"/>
          <w:szCs w:val="32"/>
          <w:highlight w:val="none"/>
          <w:lang w:val="zh-CN"/>
        </w:rPr>
        <w:t xml:space="preserve">7.4 </w:t>
      </w:r>
      <w:r>
        <w:rPr>
          <w:rStyle w:val="19"/>
          <w:rFonts w:hint="eastAsia" w:ascii="宋体" w:hAnsi="宋体" w:eastAsia="宋体" w:cs="黑体"/>
          <w:b/>
          <w:bCs/>
          <w:color w:val="000000"/>
          <w:sz w:val="32"/>
          <w:szCs w:val="32"/>
          <w:highlight w:val="none"/>
          <w:lang w:val="zh-CN"/>
        </w:rPr>
        <w:t>测量放线</w:t>
      </w:r>
      <w:bookmarkEnd w:id="637"/>
      <w:bookmarkEnd w:id="638"/>
      <w:bookmarkEnd w:id="639"/>
      <w:bookmarkEnd w:id="640"/>
      <w:bookmarkEnd w:id="641"/>
      <w:bookmarkEnd w:id="642"/>
      <w:bookmarkEnd w:id="643"/>
      <w:bookmarkEnd w:id="644"/>
    </w:p>
    <w:p w14:paraId="7824BD8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7.4.1</w:t>
      </w:r>
      <w:r>
        <w:rPr>
          <w:rStyle w:val="19"/>
          <w:rFonts w:hint="eastAsia" w:ascii="宋体" w:hAnsi="宋体" w:eastAsia="宋体" w:cs="宋体"/>
          <w:color w:val="000000"/>
          <w:highlight w:val="none"/>
        </w:rPr>
        <w:t>发包人通过监理人向承包人提供测量基准点、基准线和水准点及其书面资料的期限：</w:t>
      </w:r>
    </w:p>
    <w:p w14:paraId="0B234CF1">
      <w:pPr>
        <w:pStyle w:val="89"/>
        <w:pageBreakBefore w:val="0"/>
        <w:kinsoku/>
        <w:wordWrap/>
        <w:overflowPunct/>
        <w:topLinePunct w:val="0"/>
        <w:bidi w:val="0"/>
        <w:spacing w:line="360" w:lineRule="auto"/>
        <w:jc w:val="left"/>
        <w:rPr>
          <w:rStyle w:val="19"/>
          <w:rFonts w:ascii="宋体" w:hAnsi="宋体" w:eastAsia="宋体" w:cs="Times New Roman"/>
          <w:color w:val="000000"/>
          <w:highlight w:val="none"/>
          <w:u w:val="single"/>
        </w:rPr>
      </w:pPr>
      <w:r>
        <w:rPr>
          <w:rStyle w:val="19"/>
          <w:rFonts w:hint="eastAsia" w:ascii="宋体" w:hAnsi="宋体" w:eastAsia="宋体" w:cs="Times New Roman"/>
          <w:color w:val="000000"/>
          <w:highlight w:val="none"/>
          <w:u w:val="single"/>
        </w:rPr>
        <w:t>/</w:t>
      </w:r>
      <w:r>
        <w:rPr>
          <w:rStyle w:val="19"/>
          <w:rFonts w:hint="eastAsia" w:ascii="宋体" w:hAnsi="宋体" w:eastAsia="宋体" w:cs="宋体"/>
          <w:color w:val="000000"/>
          <w:highlight w:val="none"/>
        </w:rPr>
        <w:t>。</w:t>
      </w:r>
    </w:p>
    <w:p w14:paraId="68F6854B">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645" w:name="_Toc373227727"/>
      <w:bookmarkStart w:id="646" w:name="_Toc7118"/>
      <w:bookmarkStart w:id="647" w:name="_Toc1417437583"/>
      <w:bookmarkStart w:id="648" w:name="_Toc407135229"/>
      <w:bookmarkStart w:id="649" w:name="_Toc78449815"/>
      <w:bookmarkStart w:id="650" w:name="_Toc1863025072"/>
      <w:bookmarkStart w:id="651" w:name="_Toc389065293"/>
      <w:bookmarkStart w:id="652" w:name="_Toc373478374"/>
      <w:r>
        <w:rPr>
          <w:rStyle w:val="19"/>
          <w:rFonts w:ascii="宋体" w:hAnsi="宋体" w:eastAsia="宋体" w:cs="Times New Roman"/>
          <w:b/>
          <w:bCs/>
          <w:color w:val="000000"/>
          <w:sz w:val="32"/>
          <w:szCs w:val="32"/>
          <w:highlight w:val="none"/>
          <w:lang w:val="zh-CN"/>
        </w:rPr>
        <w:t>7</w:t>
      </w:r>
      <w:bookmarkStart w:id="653" w:name="_Toc297123516"/>
      <w:bookmarkStart w:id="654" w:name="_Toc304295546"/>
      <w:bookmarkStart w:id="655" w:name="_Toc297216175"/>
      <w:bookmarkStart w:id="656" w:name="_Toc312677484"/>
      <w:bookmarkStart w:id="657" w:name="_Toc312678010"/>
      <w:bookmarkStart w:id="658" w:name="_Toc303539125"/>
      <w:bookmarkStart w:id="659" w:name="_Toc300934968"/>
      <w:r>
        <w:rPr>
          <w:rStyle w:val="19"/>
          <w:rFonts w:ascii="宋体" w:hAnsi="宋体" w:eastAsia="宋体" w:cs="Times New Roman"/>
          <w:b/>
          <w:bCs/>
          <w:color w:val="000000"/>
          <w:sz w:val="32"/>
          <w:szCs w:val="32"/>
          <w:highlight w:val="none"/>
          <w:lang w:val="zh-CN"/>
        </w:rPr>
        <w:t xml:space="preserve">.5 </w:t>
      </w:r>
      <w:r>
        <w:rPr>
          <w:rStyle w:val="19"/>
          <w:rFonts w:hint="eastAsia" w:ascii="宋体" w:hAnsi="宋体" w:eastAsia="宋体" w:cs="黑体"/>
          <w:b/>
          <w:bCs/>
          <w:color w:val="000000"/>
          <w:sz w:val="32"/>
          <w:szCs w:val="32"/>
          <w:highlight w:val="none"/>
          <w:lang w:val="zh-CN"/>
        </w:rPr>
        <w:t>工期延误</w:t>
      </w:r>
      <w:bookmarkEnd w:id="645"/>
      <w:bookmarkEnd w:id="646"/>
      <w:bookmarkEnd w:id="647"/>
      <w:bookmarkEnd w:id="648"/>
      <w:bookmarkEnd w:id="649"/>
      <w:bookmarkEnd w:id="650"/>
      <w:bookmarkEnd w:id="651"/>
      <w:bookmarkEnd w:id="652"/>
    </w:p>
    <w:bookmarkEnd w:id="653"/>
    <w:bookmarkEnd w:id="654"/>
    <w:bookmarkEnd w:id="655"/>
    <w:bookmarkEnd w:id="656"/>
    <w:bookmarkEnd w:id="657"/>
    <w:bookmarkEnd w:id="658"/>
    <w:bookmarkEnd w:id="659"/>
    <w:p w14:paraId="6D6BAAD8">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7.5.1 </w:t>
      </w:r>
      <w:r>
        <w:rPr>
          <w:rStyle w:val="19"/>
          <w:rFonts w:hint="eastAsia" w:ascii="宋体" w:hAnsi="宋体" w:eastAsia="宋体" w:cs="宋体"/>
          <w:color w:val="000000"/>
          <w:highlight w:val="none"/>
        </w:rPr>
        <w:t>因发包人原因导致工期延误</w:t>
      </w:r>
    </w:p>
    <w:p w14:paraId="7A09176A">
      <w:pPr>
        <w:pStyle w:val="89"/>
        <w:pageBreakBefore w:val="0"/>
        <w:kinsoku/>
        <w:wordWrap/>
        <w:overflowPunct/>
        <w:topLinePunct w:val="0"/>
        <w:bidi w:val="0"/>
        <w:spacing w:line="360" w:lineRule="auto"/>
        <w:ind w:firstLine="210" w:firstLineChars="1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w:t>
      </w:r>
      <w:r>
        <w:rPr>
          <w:rStyle w:val="19"/>
          <w:rFonts w:ascii="宋体" w:hAnsi="宋体" w:eastAsia="宋体" w:cs="Times New Roman"/>
          <w:color w:val="000000"/>
          <w:highlight w:val="none"/>
        </w:rPr>
        <w:t>7</w:t>
      </w:r>
      <w:r>
        <w:rPr>
          <w:rStyle w:val="19"/>
          <w:rFonts w:hint="eastAsia" w:ascii="宋体" w:hAnsi="宋体" w:eastAsia="宋体" w:cs="宋体"/>
          <w:color w:val="000000"/>
          <w:highlight w:val="none"/>
        </w:rPr>
        <w:t>）因发包人原因导致工期延误的其他情形：</w:t>
      </w:r>
      <w:r>
        <w:rPr>
          <w:rStyle w:val="19"/>
          <w:rFonts w:hint="eastAsia" w:ascii="宋体" w:hAnsi="宋体" w:eastAsia="宋体" w:cs="宋体"/>
          <w:color w:val="000000"/>
          <w:highlight w:val="none"/>
          <w:u w:val="single"/>
        </w:rPr>
        <w:t>①重大图纸变更影响关键线路工序施工；②施工期间如因停电、停水连续</w:t>
      </w:r>
      <w:r>
        <w:rPr>
          <w:rStyle w:val="19"/>
          <w:rFonts w:ascii="宋体" w:hAnsi="宋体" w:eastAsia="宋体" w:cs="宋体"/>
          <w:color w:val="000000"/>
          <w:highlight w:val="none"/>
          <w:u w:val="single"/>
        </w:rPr>
        <w:t>8</w:t>
      </w:r>
      <w:r>
        <w:rPr>
          <w:rStyle w:val="19"/>
          <w:rFonts w:hint="eastAsia" w:ascii="宋体" w:hAnsi="宋体" w:eastAsia="宋体" w:cs="宋体"/>
          <w:color w:val="000000"/>
          <w:highlight w:val="none"/>
          <w:u w:val="single"/>
        </w:rPr>
        <w:t>小时以上</w:t>
      </w:r>
      <w:r>
        <w:rPr>
          <w:rStyle w:val="19"/>
          <w:rFonts w:hint="eastAsia" w:ascii="宋体" w:hAnsi="宋体" w:eastAsia="宋体" w:cs="宋体"/>
          <w:color w:val="000000"/>
          <w:highlight w:val="none"/>
          <w:u w:val="single"/>
          <w:lang w:eastAsia="zh-CN"/>
        </w:rPr>
        <w:t>（含8小时，满足条件可顺延一天，不足8小时者不计）</w:t>
      </w:r>
      <w:r>
        <w:rPr>
          <w:rStyle w:val="19"/>
          <w:rFonts w:hint="eastAsia" w:ascii="宋体" w:hAnsi="宋体" w:eastAsia="宋体" w:cs="宋体"/>
          <w:color w:val="000000"/>
          <w:highlight w:val="none"/>
          <w:u w:val="single"/>
        </w:rPr>
        <w:t>或一周内间歇性停水、停电累计</w:t>
      </w:r>
      <w:r>
        <w:rPr>
          <w:rStyle w:val="19"/>
          <w:rFonts w:ascii="宋体" w:hAnsi="宋体" w:eastAsia="宋体" w:cs="宋体"/>
          <w:color w:val="000000"/>
          <w:highlight w:val="none"/>
          <w:u w:val="single"/>
        </w:rPr>
        <w:t>8</w:t>
      </w:r>
      <w:r>
        <w:rPr>
          <w:rStyle w:val="19"/>
          <w:rFonts w:hint="eastAsia" w:ascii="宋体" w:hAnsi="宋体" w:eastAsia="宋体" w:cs="宋体"/>
          <w:color w:val="000000"/>
          <w:highlight w:val="none"/>
          <w:u w:val="single"/>
        </w:rPr>
        <w:t>小时（含</w:t>
      </w:r>
      <w:r>
        <w:rPr>
          <w:rStyle w:val="19"/>
          <w:rFonts w:ascii="宋体" w:hAnsi="宋体" w:eastAsia="宋体" w:cs="宋体"/>
          <w:color w:val="000000"/>
          <w:highlight w:val="none"/>
          <w:u w:val="single"/>
        </w:rPr>
        <w:t>8</w:t>
      </w:r>
      <w:r>
        <w:rPr>
          <w:rStyle w:val="19"/>
          <w:rFonts w:hint="eastAsia" w:ascii="宋体" w:hAnsi="宋体" w:eastAsia="宋体" w:cs="宋体"/>
          <w:color w:val="000000"/>
          <w:highlight w:val="none"/>
          <w:u w:val="single"/>
        </w:rPr>
        <w:t>小时</w:t>
      </w:r>
      <w:r>
        <w:rPr>
          <w:rStyle w:val="19"/>
          <w:rFonts w:hint="eastAsia" w:ascii="宋体" w:hAnsi="宋体" w:eastAsia="宋体" w:cs="宋体"/>
          <w:color w:val="000000"/>
          <w:highlight w:val="none"/>
          <w:u w:val="single"/>
          <w:lang w:eastAsia="zh-CN"/>
        </w:rPr>
        <w:t>，满足条件可顺延一天，不足8小时者不计</w:t>
      </w:r>
      <w:r>
        <w:rPr>
          <w:rStyle w:val="19"/>
          <w:rFonts w:hint="eastAsia" w:ascii="宋体" w:hAnsi="宋体" w:eastAsia="宋体" w:cs="宋体"/>
          <w:color w:val="000000"/>
          <w:highlight w:val="none"/>
          <w:u w:val="single"/>
        </w:rPr>
        <w:t>）影响正常施工的。③政府指令性停工。④在施工过程中遇到地下障碍物、溶洞、岩石、文物或地下管线的。⑤非承包人的责任造成的工期延误其他情形</w:t>
      </w:r>
      <w:r>
        <w:rPr>
          <w:rStyle w:val="19"/>
          <w:rFonts w:hint="eastAsia" w:ascii="宋体" w:hAnsi="宋体" w:eastAsia="宋体" w:cs="宋体"/>
          <w:color w:val="000000"/>
          <w:highlight w:val="none"/>
        </w:rPr>
        <w:t>。</w:t>
      </w:r>
    </w:p>
    <w:p w14:paraId="093CBC6D">
      <w:pPr>
        <w:pStyle w:val="89"/>
        <w:pageBreakBefore w:val="0"/>
        <w:kinsoku/>
        <w:wordWrap/>
        <w:overflowPunct/>
        <w:topLinePunct w:val="0"/>
        <w:bidi w:val="0"/>
        <w:spacing w:line="360" w:lineRule="auto"/>
        <w:ind w:firstLine="210" w:firstLineChars="1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非承包人的责任影响关键线路工序施工，导致工期延误的，承包人每月底提交工期延误签证单，并附上相关证明材料，由发包人签证确认，作为工程结算的依据。</w:t>
      </w:r>
    </w:p>
    <w:p w14:paraId="1DE61EE0">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7</w:t>
      </w:r>
      <w:bookmarkStart w:id="660" w:name="_Toc312677486"/>
      <w:bookmarkStart w:id="661" w:name="_Toc312678012"/>
      <w:bookmarkStart w:id="662" w:name="_Toc318581169"/>
      <w:bookmarkStart w:id="663" w:name="_Toc297216177"/>
      <w:bookmarkStart w:id="664" w:name="_Toc303539127"/>
      <w:bookmarkStart w:id="665" w:name="_Toc297123518"/>
      <w:bookmarkStart w:id="666" w:name="_Toc304295548"/>
      <w:bookmarkStart w:id="667" w:name="_Toc300934970"/>
      <w:r>
        <w:rPr>
          <w:rStyle w:val="19"/>
          <w:rFonts w:ascii="宋体" w:hAnsi="宋体" w:eastAsia="宋体" w:cs="Times New Roman"/>
          <w:color w:val="000000"/>
          <w:highlight w:val="none"/>
        </w:rPr>
        <w:t xml:space="preserve">.5.2 </w:t>
      </w:r>
      <w:r>
        <w:rPr>
          <w:rStyle w:val="19"/>
          <w:rFonts w:hint="eastAsia" w:ascii="宋体" w:hAnsi="宋体" w:eastAsia="宋体" w:cs="宋体"/>
          <w:color w:val="000000"/>
          <w:highlight w:val="none"/>
        </w:rPr>
        <w:t>因承包人原因导致工期延误</w:t>
      </w:r>
    </w:p>
    <w:bookmarkEnd w:id="660"/>
    <w:bookmarkEnd w:id="661"/>
    <w:bookmarkEnd w:id="662"/>
    <w:p w14:paraId="51414009">
      <w:pPr>
        <w:pStyle w:val="89"/>
        <w:pageBreakBefore w:val="0"/>
        <w:kinsoku/>
        <w:wordWrap/>
        <w:overflowPunct/>
        <w:topLinePunct w:val="0"/>
        <w:bidi w:val="0"/>
        <w:spacing w:line="360" w:lineRule="auto"/>
        <w:ind w:firstLine="420" w:firstLineChars="200"/>
        <w:jc w:val="left"/>
        <w:rPr>
          <w:rStyle w:val="19"/>
          <w:rFonts w:hint="eastAsia" w:ascii="宋体" w:hAnsi="宋体" w:eastAsia="宋体" w:cs="Times New Roman"/>
          <w:color w:val="000000"/>
          <w:szCs w:val="21"/>
          <w:highlight w:val="none"/>
          <w:u w:val="single"/>
        </w:rPr>
      </w:pPr>
      <w:r>
        <w:rPr>
          <w:rStyle w:val="19"/>
          <w:rFonts w:hint="eastAsia" w:ascii="宋体" w:hAnsi="宋体" w:eastAsia="宋体" w:cs="宋体"/>
          <w:color w:val="000000"/>
          <w:highlight w:val="none"/>
        </w:rPr>
        <w:t>双方约定经监理工程师确认，工期相应顺延的情况：</w:t>
      </w:r>
      <w:r>
        <w:rPr>
          <w:rStyle w:val="19"/>
          <w:rFonts w:hint="eastAsia" w:ascii="宋体" w:hAnsi="宋体" w:eastAsia="宋体" w:cs="Times New Roman"/>
          <w:color w:val="000000"/>
          <w:szCs w:val="21"/>
          <w:highlight w:val="none"/>
          <w:u w:val="single"/>
        </w:rPr>
        <w:t>不可抗力的原因</w:t>
      </w:r>
    </w:p>
    <w:p w14:paraId="2036B44D">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u w:val="single"/>
        </w:rPr>
      </w:pPr>
      <w:r>
        <w:rPr>
          <w:rStyle w:val="19"/>
          <w:rFonts w:hint="eastAsia" w:ascii="宋体" w:hAnsi="宋体" w:eastAsia="宋体" w:cs="宋体"/>
          <w:color w:val="000000"/>
          <w:highlight w:val="none"/>
        </w:rPr>
        <w:t>因</w:t>
      </w:r>
      <w:bookmarkStart w:id="668" w:name="_Toc318581170"/>
      <w:bookmarkStart w:id="669" w:name="_Toc312678013"/>
      <w:bookmarkStart w:id="670" w:name="_Toc312677487"/>
      <w:r>
        <w:rPr>
          <w:rStyle w:val="19"/>
          <w:rFonts w:hint="eastAsia" w:ascii="宋体" w:hAnsi="宋体" w:eastAsia="宋体" w:cs="宋体"/>
          <w:color w:val="000000"/>
          <w:highlight w:val="none"/>
        </w:rPr>
        <w:t>承包人原因造成工期延误，逾期竣工违约金的计算方法为：</w:t>
      </w:r>
      <w:bookmarkEnd w:id="663"/>
      <w:bookmarkEnd w:id="664"/>
      <w:bookmarkEnd w:id="665"/>
      <w:bookmarkEnd w:id="666"/>
      <w:bookmarkEnd w:id="667"/>
      <w:bookmarkEnd w:id="668"/>
      <w:bookmarkEnd w:id="669"/>
      <w:bookmarkEnd w:id="670"/>
      <w:bookmarkStart w:id="671" w:name="_Toc78449816"/>
      <w:bookmarkStart w:id="672" w:name="_Toc373227728"/>
      <w:bookmarkStart w:id="673" w:name="_Toc389065294"/>
      <w:bookmarkStart w:id="674" w:name="_Toc407135230"/>
      <w:bookmarkStart w:id="675" w:name="_Toc1954543271"/>
      <w:bookmarkStart w:id="676" w:name="_Toc373478375"/>
      <w:bookmarkStart w:id="677" w:name="_Toc888037017"/>
      <w:r>
        <w:rPr>
          <w:rStyle w:val="19"/>
          <w:rFonts w:hint="eastAsia" w:ascii="宋体" w:hAnsi="宋体" w:eastAsia="宋体" w:cs="宋体"/>
          <w:color w:val="000000"/>
          <w:highlight w:val="none"/>
          <w:u w:val="single"/>
        </w:rPr>
        <w:t>每延误</w:t>
      </w:r>
      <w:r>
        <w:rPr>
          <w:rStyle w:val="19"/>
          <w:rFonts w:hint="eastAsia" w:ascii="宋体" w:hAnsi="宋体" w:cs="宋体"/>
          <w:color w:val="000000"/>
          <w:highlight w:val="none"/>
          <w:u w:val="single"/>
          <w:lang w:val="en-US" w:eastAsia="zh-CN"/>
        </w:rPr>
        <w:t>1</w:t>
      </w:r>
      <w:r>
        <w:rPr>
          <w:rStyle w:val="19"/>
          <w:rFonts w:hint="eastAsia" w:ascii="宋体" w:hAnsi="宋体" w:eastAsia="宋体" w:cs="宋体"/>
          <w:color w:val="000000"/>
          <w:highlight w:val="none"/>
          <w:u w:val="single"/>
        </w:rPr>
        <w:t>日，承包人按</w:t>
      </w:r>
      <w:r>
        <w:rPr>
          <w:rStyle w:val="19"/>
          <w:rFonts w:hint="eastAsia" w:ascii="宋体" w:hAnsi="宋体" w:eastAsia="宋体" w:cs="宋体"/>
          <w:bCs/>
          <w:color w:val="000000"/>
          <w:highlight w:val="none"/>
          <w:u w:val="single"/>
          <w:lang w:val="en-US" w:eastAsia="zh-CN"/>
        </w:rPr>
        <w:t>签约合同价</w:t>
      </w:r>
      <w:r>
        <w:rPr>
          <w:rStyle w:val="19"/>
          <w:rFonts w:hint="eastAsia" w:ascii="宋体" w:hAnsi="宋体" w:eastAsia="宋体" w:cs="宋体"/>
          <w:bCs/>
          <w:color w:val="000000"/>
          <w:highlight w:val="none"/>
          <w:u w:val="single"/>
        </w:rPr>
        <w:t>的2‰/日向发包人支付违约金，</w:t>
      </w:r>
      <w:r>
        <w:rPr>
          <w:rStyle w:val="19"/>
          <w:rFonts w:hint="eastAsia" w:ascii="宋体" w:hAnsi="宋体" w:eastAsia="宋体" w:cs="宋体"/>
          <w:color w:val="000000"/>
          <w:highlight w:val="none"/>
          <w:u w:val="single"/>
        </w:rPr>
        <w:t>并赔偿发包人因此而遭受的其它损失（包括但不限于因此造成发包人对第三方的违约而应支付的赔偿款、补偿款、违约金及诉讼或仲裁中产生的诉讼仲裁费、评估费、鉴定费、律师费等，下同），对于该违约金，发包人可从应向承包人支付的任何金额中扣除。逾期时间从规定竣工日期起直到实际竣工日期的天数（扣除发包人批准顺延的工期）</w:t>
      </w:r>
      <w:r>
        <w:rPr>
          <w:rStyle w:val="19"/>
          <w:rFonts w:hint="eastAsia" w:ascii="宋体" w:hAnsi="宋体" w:eastAsia="宋体" w:cs="宋体"/>
          <w:b/>
          <w:color w:val="000000"/>
          <w:highlight w:val="none"/>
        </w:rPr>
        <w:t>。</w:t>
      </w:r>
    </w:p>
    <w:p w14:paraId="3939C644">
      <w:pPr>
        <w:pStyle w:val="89"/>
        <w:pageBreakBefore w:val="0"/>
        <w:kinsoku/>
        <w:wordWrap/>
        <w:overflowPunct/>
        <w:topLinePunct w:val="0"/>
        <w:bidi w:val="0"/>
        <w:adjustRightInd w:val="0"/>
        <w:spacing w:after="60" w:line="360" w:lineRule="auto"/>
        <w:ind w:right="63" w:rightChars="30" w:firstLine="420" w:firstLineChars="200"/>
        <w:textAlignment w:val="baseline"/>
        <w:rPr>
          <w:rStyle w:val="19"/>
          <w:rFonts w:ascii="宋体" w:hAnsi="宋体" w:eastAsia="宋体" w:cs="宋体"/>
          <w:color w:val="000000"/>
          <w:sz w:val="22"/>
          <w:szCs w:val="21"/>
          <w:highlight w:val="none"/>
        </w:rPr>
      </w:pPr>
      <w:r>
        <w:rPr>
          <w:rStyle w:val="19"/>
          <w:rFonts w:hint="eastAsia" w:ascii="宋体" w:hAnsi="宋体" w:eastAsia="宋体" w:cs="宋体"/>
          <w:color w:val="000000"/>
          <w:highlight w:val="none"/>
          <w:u w:val="single"/>
        </w:rPr>
        <w:t>承包人进场施工前须提报施工进度计划至发包人确认，施工过程中的关键路线节点存在多次延误，且经发包人多次提醒仍未采取纠偏赶工措施的情况下，发包的人有权进行1000元/次至5000元/次不等的经济处罚。</w:t>
      </w:r>
    </w:p>
    <w:p w14:paraId="43B9CDE8">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因承包人原因造成工期延误，逾期竣工违约金的上限：</w:t>
      </w:r>
      <w:r>
        <w:rPr>
          <w:rStyle w:val="19"/>
          <w:rFonts w:hint="eastAsia" w:ascii="宋体" w:hAnsi="宋体" w:eastAsia="宋体" w:cs="宋体"/>
          <w:color w:val="000000"/>
          <w:szCs w:val="21"/>
          <w:highlight w:val="none"/>
          <w:u w:val="single"/>
          <w:lang w:val="en-US" w:eastAsia="zh-CN"/>
        </w:rPr>
        <w:t>按国家有关法律规定</w:t>
      </w:r>
      <w:r>
        <w:rPr>
          <w:rStyle w:val="19"/>
          <w:rFonts w:hint="eastAsia" w:ascii="宋体" w:hAnsi="宋体" w:eastAsia="宋体" w:cs="宋体"/>
          <w:color w:val="000000"/>
          <w:szCs w:val="21"/>
          <w:highlight w:val="none"/>
        </w:rPr>
        <w:t>。</w:t>
      </w:r>
    </w:p>
    <w:p w14:paraId="2D86D4EE">
      <w:pPr>
        <w:pStyle w:val="89"/>
        <w:pageBreakBefore w:val="0"/>
        <w:kinsoku/>
        <w:wordWrap/>
        <w:overflowPunct/>
        <w:topLinePunct w:val="0"/>
        <w:bidi w:val="0"/>
        <w:spacing w:line="360" w:lineRule="auto"/>
        <w:jc w:val="left"/>
        <w:rPr>
          <w:rStyle w:val="19"/>
          <w:rFonts w:ascii="宋体" w:hAnsi="宋体" w:eastAsia="宋体" w:cs="Times New Roman"/>
          <w:b/>
          <w:bCs/>
          <w:color w:val="000000"/>
          <w:sz w:val="32"/>
          <w:szCs w:val="32"/>
          <w:highlight w:val="none"/>
          <w:lang w:val="zh-CN"/>
        </w:rPr>
      </w:pPr>
      <w:r>
        <w:rPr>
          <w:rStyle w:val="19"/>
          <w:rFonts w:ascii="宋体" w:hAnsi="宋体" w:eastAsia="宋体" w:cs="Times New Roman"/>
          <w:b/>
          <w:bCs/>
          <w:color w:val="000000"/>
          <w:sz w:val="32"/>
          <w:szCs w:val="32"/>
          <w:highlight w:val="none"/>
          <w:lang w:val="zh-CN"/>
        </w:rPr>
        <w:t>7</w:t>
      </w:r>
      <w:bookmarkStart w:id="678" w:name="_Toc303539128"/>
      <w:bookmarkStart w:id="679" w:name="_Toc300934971"/>
      <w:bookmarkStart w:id="680" w:name="_Toc297123519"/>
      <w:bookmarkStart w:id="681" w:name="_Toc312678015"/>
      <w:bookmarkStart w:id="682" w:name="_Toc297216178"/>
      <w:bookmarkStart w:id="683" w:name="_Toc304295549"/>
      <w:r>
        <w:rPr>
          <w:rStyle w:val="19"/>
          <w:rFonts w:ascii="宋体" w:hAnsi="宋体" w:eastAsia="宋体" w:cs="Times New Roman"/>
          <w:b/>
          <w:bCs/>
          <w:color w:val="000000"/>
          <w:sz w:val="32"/>
          <w:szCs w:val="32"/>
          <w:highlight w:val="none"/>
          <w:lang w:val="zh-CN"/>
        </w:rPr>
        <w:t xml:space="preserve">.6 </w:t>
      </w:r>
      <w:r>
        <w:rPr>
          <w:rStyle w:val="19"/>
          <w:rFonts w:hint="eastAsia" w:ascii="宋体" w:hAnsi="宋体" w:eastAsia="宋体" w:cs="黑体"/>
          <w:b/>
          <w:bCs/>
          <w:color w:val="000000"/>
          <w:sz w:val="32"/>
          <w:szCs w:val="32"/>
          <w:highlight w:val="none"/>
          <w:lang w:val="zh-CN"/>
        </w:rPr>
        <w:t>不</w:t>
      </w:r>
      <w:bookmarkEnd w:id="678"/>
      <w:bookmarkEnd w:id="679"/>
      <w:bookmarkEnd w:id="680"/>
      <w:bookmarkEnd w:id="681"/>
      <w:bookmarkEnd w:id="682"/>
      <w:bookmarkEnd w:id="683"/>
      <w:r>
        <w:rPr>
          <w:rStyle w:val="19"/>
          <w:rFonts w:hint="eastAsia" w:ascii="宋体" w:hAnsi="宋体" w:eastAsia="宋体" w:cs="黑体"/>
          <w:b/>
          <w:bCs/>
          <w:color w:val="000000"/>
          <w:sz w:val="32"/>
          <w:szCs w:val="32"/>
          <w:highlight w:val="none"/>
          <w:lang w:val="zh-CN"/>
        </w:rPr>
        <w:t>利物质条件</w:t>
      </w:r>
      <w:bookmarkEnd w:id="671"/>
      <w:bookmarkEnd w:id="672"/>
      <w:bookmarkEnd w:id="673"/>
      <w:bookmarkEnd w:id="674"/>
      <w:bookmarkEnd w:id="675"/>
      <w:bookmarkEnd w:id="676"/>
      <w:bookmarkEnd w:id="677"/>
    </w:p>
    <w:p w14:paraId="3DABDF44">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bookmarkStart w:id="684" w:name="_Toc297216179"/>
      <w:bookmarkStart w:id="685" w:name="_Toc300934972"/>
      <w:bookmarkStart w:id="686" w:name="_Toc304295550"/>
      <w:bookmarkStart w:id="687" w:name="_Toc312678016"/>
      <w:bookmarkStart w:id="688" w:name="_Toc303539129"/>
      <w:bookmarkStart w:id="689" w:name="_Toc297123520"/>
      <w:bookmarkStart w:id="690" w:name="_Toc318581172"/>
      <w:r>
        <w:rPr>
          <w:rStyle w:val="19"/>
          <w:rFonts w:hint="eastAsia" w:ascii="宋体" w:hAnsi="宋体" w:eastAsia="宋体" w:cs="宋体"/>
          <w:color w:val="000000"/>
          <w:highlight w:val="none"/>
        </w:rPr>
        <w:t>不利物质条件的其他情形和有关约定</w:t>
      </w:r>
      <w:bookmarkEnd w:id="684"/>
      <w:bookmarkEnd w:id="685"/>
      <w:bookmarkEnd w:id="686"/>
      <w:bookmarkEnd w:id="687"/>
      <w:bookmarkEnd w:id="688"/>
      <w:bookmarkEnd w:id="689"/>
      <w:bookmarkEnd w:id="690"/>
      <w:bookmarkStart w:id="691" w:name="_Toc373227729"/>
      <w:bookmarkStart w:id="692" w:name="_Toc407135231"/>
      <w:bookmarkStart w:id="693" w:name="_Toc78449817"/>
      <w:bookmarkStart w:id="694" w:name="_Toc851880484"/>
      <w:bookmarkStart w:id="695" w:name="_Toc389065295"/>
      <w:bookmarkStart w:id="696" w:name="_Toc373478376"/>
      <w:bookmarkStart w:id="697" w:name="_Toc2031116443"/>
      <w:r>
        <w:rPr>
          <w:rStyle w:val="19"/>
          <w:rFonts w:hint="eastAsia" w:ascii="宋体" w:hAnsi="宋体" w:eastAsia="宋体" w:cs="宋体"/>
          <w:color w:val="000000"/>
          <w:highlight w:val="none"/>
        </w:rPr>
        <w:t>：</w:t>
      </w:r>
      <w:r>
        <w:rPr>
          <w:rStyle w:val="19"/>
          <w:rFonts w:hint="eastAsia" w:ascii="宋体" w:hAnsi="宋体" w:eastAsia="宋体" w:cs="宋体"/>
          <w:color w:val="000000"/>
          <w:highlight w:val="none"/>
          <w:u w:val="single"/>
        </w:rPr>
        <w:t>无</w:t>
      </w:r>
      <w:r>
        <w:rPr>
          <w:rStyle w:val="19"/>
          <w:rFonts w:hint="eastAsia" w:ascii="宋体" w:hAnsi="宋体" w:eastAsia="宋体" w:cs="宋体"/>
          <w:color w:val="000000"/>
          <w:highlight w:val="none"/>
        </w:rPr>
        <w:t>。</w:t>
      </w:r>
    </w:p>
    <w:p w14:paraId="6E9D04FE">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7</w:t>
      </w:r>
      <w:bookmarkStart w:id="698" w:name="_Toc297216180"/>
      <w:bookmarkStart w:id="699" w:name="_Toc297123521"/>
      <w:bookmarkStart w:id="700" w:name="_Toc303539130"/>
      <w:bookmarkStart w:id="701" w:name="_Toc304295551"/>
      <w:bookmarkStart w:id="702" w:name="_Toc312678017"/>
      <w:bookmarkStart w:id="703" w:name="_Toc300934973"/>
      <w:r>
        <w:rPr>
          <w:rStyle w:val="19"/>
          <w:rFonts w:ascii="宋体" w:hAnsi="宋体" w:eastAsia="宋体" w:cs="Times New Roman"/>
          <w:color w:val="000000"/>
          <w:highlight w:val="none"/>
        </w:rPr>
        <w:t xml:space="preserve">.7 </w:t>
      </w:r>
      <w:r>
        <w:rPr>
          <w:rStyle w:val="19"/>
          <w:rFonts w:hint="eastAsia" w:ascii="宋体" w:hAnsi="宋体" w:eastAsia="宋体" w:cs="黑体"/>
          <w:color w:val="000000"/>
          <w:highlight w:val="none"/>
        </w:rPr>
        <w:t>异常恶劣的气候条件</w:t>
      </w:r>
      <w:bookmarkEnd w:id="691"/>
      <w:bookmarkEnd w:id="692"/>
      <w:bookmarkEnd w:id="693"/>
      <w:bookmarkEnd w:id="694"/>
      <w:bookmarkEnd w:id="695"/>
      <w:bookmarkEnd w:id="696"/>
      <w:bookmarkEnd w:id="697"/>
    </w:p>
    <w:bookmarkEnd w:id="698"/>
    <w:bookmarkEnd w:id="699"/>
    <w:bookmarkEnd w:id="700"/>
    <w:bookmarkEnd w:id="701"/>
    <w:bookmarkEnd w:id="702"/>
    <w:bookmarkEnd w:id="703"/>
    <w:p w14:paraId="3BADBD9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发包人和承包人同意以下情形视为异常恶劣的气候条件：</w:t>
      </w:r>
    </w:p>
    <w:p w14:paraId="17F00570">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bookmarkStart w:id="704" w:name="_Toc2087373611"/>
      <w:bookmarkStart w:id="705" w:name="_Toc657185480"/>
      <w:bookmarkStart w:id="706" w:name="_Toc78449818"/>
      <w:bookmarkStart w:id="707" w:name="_Toc373227730"/>
      <w:bookmarkStart w:id="708" w:name="_Toc373478377"/>
      <w:bookmarkStart w:id="709" w:name="_Toc389065296"/>
      <w:bookmarkStart w:id="710" w:name="_Toc407135232"/>
      <w:r>
        <w:rPr>
          <w:rStyle w:val="19"/>
          <w:rFonts w:hint="eastAsia" w:ascii="宋体" w:hAnsi="宋体" w:eastAsia="宋体" w:cs="宋体"/>
          <w:color w:val="000000"/>
          <w:highlight w:val="none"/>
        </w:rPr>
        <w:t>（1）6级以上地震；</w:t>
      </w:r>
    </w:p>
    <w:p w14:paraId="2C8FF494">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（2）10级以上持续1天的大风；</w:t>
      </w:r>
    </w:p>
    <w:p w14:paraId="496BB3FB">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（3）暴雨天级以上持续1天的大雨；</w:t>
      </w:r>
    </w:p>
    <w:p w14:paraId="6C1E591E">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（4）50年以上未发生过，持续2天的高温天气；</w:t>
      </w:r>
    </w:p>
    <w:p w14:paraId="5CE65A39">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（5）50年以上未发生过，持续2天的低温天气；</w:t>
      </w:r>
    </w:p>
    <w:p w14:paraId="40CDB317">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（6）50年以上未发生过的洪水。</w:t>
      </w:r>
    </w:p>
    <w:p w14:paraId="5BB220AC">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rPr>
      </w:pPr>
      <w:bookmarkStart w:id="711" w:name="_Toc16352"/>
      <w:r>
        <w:rPr>
          <w:rStyle w:val="19"/>
          <w:rFonts w:ascii="宋体" w:hAnsi="宋体" w:eastAsia="宋体" w:cs="Times New Roman"/>
          <w:b/>
          <w:bCs/>
          <w:color w:val="000000"/>
          <w:sz w:val="32"/>
          <w:szCs w:val="32"/>
          <w:highlight w:val="none"/>
        </w:rPr>
        <w:t xml:space="preserve">7.9 </w:t>
      </w:r>
      <w:r>
        <w:rPr>
          <w:rStyle w:val="19"/>
          <w:rFonts w:hint="eastAsia" w:ascii="宋体" w:hAnsi="宋体" w:eastAsia="宋体" w:cs="黑体"/>
          <w:b/>
          <w:bCs/>
          <w:color w:val="000000"/>
          <w:sz w:val="32"/>
          <w:szCs w:val="32"/>
          <w:highlight w:val="none"/>
          <w:lang w:val="zh-CN"/>
        </w:rPr>
        <w:t>提前竣工</w:t>
      </w:r>
      <w:bookmarkEnd w:id="704"/>
      <w:bookmarkEnd w:id="705"/>
      <w:bookmarkEnd w:id="706"/>
      <w:bookmarkEnd w:id="707"/>
      <w:bookmarkEnd w:id="708"/>
      <w:bookmarkEnd w:id="709"/>
      <w:bookmarkEnd w:id="710"/>
      <w:bookmarkEnd w:id="711"/>
    </w:p>
    <w:p w14:paraId="1F1C56EB">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7.9.2</w:t>
      </w:r>
      <w:r>
        <w:rPr>
          <w:rStyle w:val="19"/>
          <w:rFonts w:hint="eastAsia" w:ascii="宋体" w:hAnsi="宋体" w:eastAsia="宋体" w:cs="宋体"/>
          <w:color w:val="000000"/>
          <w:highlight w:val="none"/>
        </w:rPr>
        <w:t>提前竣工（赶工）增加费的计算方法：</w:t>
      </w:r>
      <w:r>
        <w:rPr>
          <w:rStyle w:val="19"/>
          <w:rFonts w:hint="eastAsia" w:ascii="宋体" w:hAnsi="宋体" w:eastAsia="宋体" w:cs="宋体"/>
          <w:color w:val="000000"/>
          <w:szCs w:val="21"/>
          <w:highlight w:val="none"/>
          <w:u w:val="single"/>
        </w:rPr>
        <w:t>无</w:t>
      </w:r>
      <w:r>
        <w:rPr>
          <w:rStyle w:val="19"/>
          <w:rFonts w:hint="eastAsia" w:ascii="宋体" w:hAnsi="宋体" w:eastAsia="宋体" w:cs="宋体"/>
          <w:color w:val="000000"/>
          <w:highlight w:val="none"/>
        </w:rPr>
        <w:t>。</w:t>
      </w:r>
    </w:p>
    <w:p w14:paraId="5CF1AF96">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712" w:name="_Toc351203640"/>
      <w:bookmarkStart w:id="713" w:name="_Toc407135233"/>
      <w:bookmarkStart w:id="714" w:name="_Toc78449819"/>
      <w:bookmarkStart w:id="715" w:name="_Toc373478378"/>
      <w:bookmarkStart w:id="716" w:name="_Toc389065297"/>
      <w:bookmarkStart w:id="717" w:name="_Toc15750"/>
      <w:bookmarkStart w:id="718" w:name="_Toc1302158431"/>
      <w:bookmarkStart w:id="719" w:name="_Toc373227731"/>
      <w:bookmarkStart w:id="720" w:name="_Toc1400878670"/>
      <w:r>
        <w:rPr>
          <w:rStyle w:val="19"/>
          <w:rFonts w:ascii="宋体" w:hAnsi="宋体" w:eastAsia="宋体" w:cs="Times New Roman"/>
          <w:b/>
          <w:bCs/>
          <w:color w:val="000000"/>
          <w:sz w:val="32"/>
          <w:szCs w:val="32"/>
          <w:highlight w:val="none"/>
          <w:lang w:val="zh-CN"/>
        </w:rPr>
        <w:t xml:space="preserve">8. </w:t>
      </w:r>
      <w:r>
        <w:rPr>
          <w:rStyle w:val="19"/>
          <w:rFonts w:hint="eastAsia" w:ascii="宋体" w:hAnsi="宋体" w:eastAsia="宋体" w:cs="黑体"/>
          <w:b/>
          <w:bCs/>
          <w:color w:val="000000"/>
          <w:sz w:val="32"/>
          <w:szCs w:val="32"/>
          <w:highlight w:val="none"/>
          <w:lang w:val="zh-CN"/>
        </w:rPr>
        <w:t>材料与设备</w:t>
      </w:r>
      <w:bookmarkEnd w:id="712"/>
      <w:bookmarkEnd w:id="713"/>
      <w:bookmarkEnd w:id="714"/>
      <w:bookmarkEnd w:id="715"/>
      <w:bookmarkEnd w:id="716"/>
      <w:bookmarkEnd w:id="717"/>
      <w:bookmarkEnd w:id="718"/>
      <w:bookmarkEnd w:id="719"/>
      <w:bookmarkEnd w:id="720"/>
    </w:p>
    <w:bookmarkEnd w:id="547"/>
    <w:bookmarkEnd w:id="548"/>
    <w:bookmarkEnd w:id="549"/>
    <w:bookmarkEnd w:id="550"/>
    <w:bookmarkEnd w:id="551"/>
    <w:bookmarkEnd w:id="552"/>
    <w:bookmarkEnd w:id="553"/>
    <w:bookmarkEnd w:id="554"/>
    <w:bookmarkEnd w:id="555"/>
    <w:bookmarkEnd w:id="556"/>
    <w:p w14:paraId="20D1DBA0">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721" w:name="_Toc78449820"/>
      <w:bookmarkStart w:id="722" w:name="_Toc4399"/>
      <w:bookmarkStart w:id="723" w:name="_Toc389065298"/>
      <w:bookmarkStart w:id="724" w:name="_Toc407135234"/>
      <w:bookmarkStart w:id="725" w:name="_Toc373478379"/>
      <w:bookmarkStart w:id="726" w:name="_Toc373227732"/>
      <w:bookmarkStart w:id="727" w:name="_Toc1078610395"/>
      <w:bookmarkStart w:id="728" w:name="_Toc1119561048"/>
      <w:r>
        <w:rPr>
          <w:rStyle w:val="19"/>
          <w:rFonts w:ascii="宋体" w:hAnsi="宋体" w:eastAsia="宋体" w:cs="Times New Roman"/>
          <w:b/>
          <w:bCs/>
          <w:color w:val="000000"/>
          <w:sz w:val="32"/>
          <w:szCs w:val="32"/>
          <w:highlight w:val="none"/>
          <w:lang w:val="zh-CN"/>
        </w:rPr>
        <w:t xml:space="preserve">8.2 </w:t>
      </w:r>
      <w:r>
        <w:rPr>
          <w:rStyle w:val="19"/>
          <w:rFonts w:hint="eastAsia" w:ascii="宋体" w:hAnsi="宋体" w:eastAsia="宋体" w:cs="黑体"/>
          <w:b/>
          <w:bCs/>
          <w:color w:val="000000"/>
          <w:sz w:val="32"/>
          <w:szCs w:val="32"/>
          <w:highlight w:val="none"/>
          <w:lang w:val="zh-CN"/>
        </w:rPr>
        <w:t>承包人采购材料与工程设备</w:t>
      </w:r>
      <w:bookmarkEnd w:id="721"/>
      <w:bookmarkEnd w:id="722"/>
      <w:bookmarkEnd w:id="723"/>
      <w:bookmarkEnd w:id="724"/>
      <w:bookmarkEnd w:id="725"/>
      <w:bookmarkEnd w:id="726"/>
      <w:bookmarkEnd w:id="727"/>
      <w:bookmarkEnd w:id="728"/>
    </w:p>
    <w:p w14:paraId="02996CD1">
      <w:pPr>
        <w:pStyle w:val="89"/>
        <w:pageBreakBefore w:val="0"/>
        <w:kinsoku/>
        <w:wordWrap/>
        <w:overflowPunct/>
        <w:topLinePunct w:val="0"/>
        <w:bidi w:val="0"/>
        <w:spacing w:line="360" w:lineRule="auto"/>
        <w:ind w:firstLine="420"/>
        <w:rPr>
          <w:rStyle w:val="19"/>
          <w:rFonts w:ascii="宋体" w:hAnsi="宋体" w:eastAsia="宋体" w:cs="宋体"/>
          <w:color w:val="000000"/>
          <w:szCs w:val="21"/>
          <w:highlight w:val="none"/>
        </w:rPr>
      </w:pPr>
      <w:bookmarkStart w:id="729" w:name="_Toc389065299"/>
      <w:bookmarkStart w:id="730" w:name="_Toc373227733"/>
      <w:bookmarkStart w:id="731" w:name="_Toc373478380"/>
      <w:r>
        <w:rPr>
          <w:rStyle w:val="19"/>
          <w:rFonts w:hint="eastAsia" w:ascii="宋体" w:hAnsi="宋体" w:eastAsia="宋体" w:cs="宋体"/>
          <w:color w:val="000000"/>
          <w:szCs w:val="21"/>
          <w:highlight w:val="none"/>
        </w:rPr>
        <w:t>除专用合同条款的附件《发包人供应材料设备一览表》中明确的材料、工程设备外，由承包人负责材料和工程设备的采购、运输和保管。对工程使用的重要建设工程材料，承包人应按《南宁市建设工程材料使用管理办法》相关规定，从南宁市建设行政主管部门公布的建设工程材料备案目录中选用。</w:t>
      </w:r>
    </w:p>
    <w:p w14:paraId="41249CEB">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对发包人在招标时有“参照或相当于”约定的材料，承包人在施工过程中必须按类似于或优于所约定品牌、厂家和等级进行采购，并经发包人认可。当发包人与承包人对招标文件所约定的材料有争议时，发包人有权要求承包人按招标文件有“参照或相当于”标明材料品牌的材料进行采购，并按结算时按投标单价支付。</w:t>
      </w:r>
    </w:p>
    <w:p w14:paraId="50FD14A3">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对发包人在招标时，没有明确约定“参照或相当于”**品牌、档次的材料和设备，或双方对材料和设备选择有争议的，发包人有权要求承包人按不低于招标控制价相同细目的材料或设备价格进行采购。</w:t>
      </w:r>
    </w:p>
    <w:p w14:paraId="2396AF2B">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szCs w:val="21"/>
          <w:highlight w:val="none"/>
        </w:rPr>
      </w:pPr>
      <w:r>
        <w:rPr>
          <w:rStyle w:val="19"/>
          <w:rFonts w:ascii="宋体" w:hAnsi="宋体" w:eastAsia="宋体" w:cs="Times New Roman"/>
          <w:color w:val="000000"/>
          <w:szCs w:val="21"/>
          <w:highlight w:val="none"/>
        </w:rPr>
        <w:t>满足南宁市城乡建设委员会</w:t>
      </w:r>
      <w:r>
        <w:rPr>
          <w:rStyle w:val="19"/>
          <w:rFonts w:hint="eastAsia" w:ascii="宋体" w:hAnsi="宋体" w:eastAsia="宋体" w:cs="Times New Roman"/>
          <w:color w:val="000000"/>
          <w:szCs w:val="21"/>
          <w:highlight w:val="none"/>
          <w:lang w:val="en-US" w:eastAsia="zh-CN"/>
        </w:rPr>
        <w:t>和</w:t>
      </w:r>
      <w:r>
        <w:rPr>
          <w:rStyle w:val="19"/>
          <w:rFonts w:ascii="宋体" w:hAnsi="宋体" w:eastAsia="宋体" w:cs="Times New Roman"/>
          <w:color w:val="000000"/>
          <w:szCs w:val="21"/>
          <w:highlight w:val="none"/>
        </w:rPr>
        <w:t>南宁市工业和信息化委员会关于重新印发《南宁市城乡建设委员会和南宁市工业和信息化委员会关于推广应用高性能混凝土的通知》的通知（南建规【2016】1号）要求的，本工程</w:t>
      </w:r>
      <w:r>
        <w:rPr>
          <w:rStyle w:val="19"/>
          <w:rFonts w:hint="eastAsia" w:ascii="宋体" w:hAnsi="宋体" w:eastAsia="宋体" w:cs="Times New Roman"/>
          <w:color w:val="000000"/>
          <w:szCs w:val="21"/>
          <w:highlight w:val="none"/>
        </w:rPr>
        <w:t>推荐</w:t>
      </w:r>
      <w:r>
        <w:rPr>
          <w:rStyle w:val="19"/>
          <w:rFonts w:ascii="宋体" w:hAnsi="宋体" w:eastAsia="宋体" w:cs="Times New Roman"/>
          <w:color w:val="000000"/>
          <w:szCs w:val="21"/>
          <w:highlight w:val="none"/>
        </w:rPr>
        <w:t xml:space="preserve">使用高性能混凝土。 </w:t>
      </w:r>
    </w:p>
    <w:p w14:paraId="1B569201">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Times New Roman"/>
          <w:color w:val="000000"/>
          <w:szCs w:val="21"/>
          <w:highlight w:val="none"/>
        </w:rPr>
        <w:t>满足南宁市人民政府印发的《南宁市人民政府关于推广使用预拌砂浆的实施意见》（南府规〔</w:t>
      </w:r>
      <w:r>
        <w:rPr>
          <w:rStyle w:val="19"/>
          <w:rFonts w:ascii="宋体" w:hAnsi="宋体" w:eastAsia="宋体" w:cs="Times New Roman"/>
          <w:color w:val="000000"/>
          <w:szCs w:val="21"/>
          <w:highlight w:val="none"/>
        </w:rPr>
        <w:t>2016</w:t>
      </w:r>
      <w:r>
        <w:rPr>
          <w:rStyle w:val="19"/>
          <w:rFonts w:hint="eastAsia" w:ascii="宋体" w:hAnsi="宋体" w:eastAsia="宋体" w:cs="Times New Roman"/>
          <w:color w:val="000000"/>
          <w:szCs w:val="21"/>
          <w:highlight w:val="none"/>
        </w:rPr>
        <w:t>〕</w:t>
      </w:r>
      <w:r>
        <w:rPr>
          <w:rStyle w:val="19"/>
          <w:rFonts w:ascii="宋体" w:hAnsi="宋体" w:eastAsia="宋体" w:cs="Times New Roman"/>
          <w:color w:val="000000"/>
          <w:szCs w:val="21"/>
          <w:highlight w:val="none"/>
        </w:rPr>
        <w:t xml:space="preserve">12 </w:t>
      </w:r>
      <w:r>
        <w:rPr>
          <w:rStyle w:val="19"/>
          <w:rFonts w:hint="eastAsia" w:ascii="宋体" w:hAnsi="宋体" w:eastAsia="宋体" w:cs="Times New Roman"/>
          <w:color w:val="000000"/>
          <w:szCs w:val="21"/>
          <w:highlight w:val="none"/>
        </w:rPr>
        <w:t>号）要求的，本工程必须使用预拌砂浆，价格执行市场询价。</w:t>
      </w:r>
    </w:p>
    <w:p w14:paraId="20A8F7F8">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满足《南宁市松材线虫病防控工作领导小组工作制度》要求，要求涉木产品供货商对应施检疫的产品提供《植物检疫证书》；涉及松木质包装材料的，积极配合林业部门做好检疫工作。</w:t>
      </w:r>
    </w:p>
    <w:p w14:paraId="6B2CDF98">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禁止使用松木及其制品、松木包装材料设备、种子、苗木、花卉及繁殖材料。</w:t>
      </w:r>
    </w:p>
    <w:p w14:paraId="470CC7BF">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732" w:name="_Toc78449821"/>
      <w:bookmarkStart w:id="733" w:name="_Toc800965933"/>
      <w:bookmarkStart w:id="734" w:name="_Toc20953"/>
      <w:bookmarkStart w:id="735" w:name="_Toc407135235"/>
      <w:bookmarkStart w:id="736" w:name="_Toc1355357553"/>
      <w:r>
        <w:rPr>
          <w:rStyle w:val="19"/>
          <w:rFonts w:ascii="宋体" w:hAnsi="宋体" w:eastAsia="宋体" w:cs="Times New Roman"/>
          <w:b/>
          <w:bCs/>
          <w:color w:val="000000"/>
          <w:sz w:val="32"/>
          <w:szCs w:val="32"/>
          <w:highlight w:val="none"/>
          <w:lang w:val="zh-CN"/>
        </w:rPr>
        <w:t>8</w:t>
      </w:r>
      <w:bookmarkStart w:id="737" w:name="_Toc280868654"/>
      <w:bookmarkStart w:id="738" w:name="_Toc312678019"/>
      <w:bookmarkStart w:id="739" w:name="_Toc297048353"/>
      <w:bookmarkStart w:id="740" w:name="_Toc303539136"/>
      <w:bookmarkStart w:id="741" w:name="_Toc292559877"/>
      <w:bookmarkStart w:id="742" w:name="_Toc296891207"/>
      <w:bookmarkStart w:id="743" w:name="_Toc297123527"/>
      <w:bookmarkStart w:id="744" w:name="_Toc297216186"/>
      <w:bookmarkStart w:id="745" w:name="_Toc296890995"/>
      <w:bookmarkStart w:id="746" w:name="_Toc292559372"/>
      <w:bookmarkStart w:id="747" w:name="_Toc297120467"/>
      <w:bookmarkStart w:id="748" w:name="_Toc300934979"/>
      <w:bookmarkStart w:id="749" w:name="_Toc304295556"/>
      <w:bookmarkStart w:id="750" w:name="_Toc296944506"/>
      <w:bookmarkStart w:id="751" w:name="_Toc296346668"/>
      <w:bookmarkStart w:id="752" w:name="_Toc312677493"/>
      <w:bookmarkStart w:id="753" w:name="_Toc296503167"/>
      <w:bookmarkStart w:id="754" w:name="_Toc296347166"/>
      <w:bookmarkStart w:id="755" w:name="_Toc280868655"/>
      <w:bookmarkStart w:id="756" w:name="_Toc267251424"/>
      <w:bookmarkStart w:id="757" w:name="_Toc280868656"/>
      <w:r>
        <w:rPr>
          <w:rStyle w:val="19"/>
          <w:rFonts w:ascii="宋体" w:hAnsi="宋体" w:eastAsia="宋体" w:cs="Times New Roman"/>
          <w:b/>
          <w:bCs/>
          <w:color w:val="000000"/>
          <w:sz w:val="32"/>
          <w:szCs w:val="32"/>
          <w:highlight w:val="none"/>
          <w:lang w:val="zh-CN"/>
        </w:rPr>
        <w:t xml:space="preserve">.4 </w:t>
      </w:r>
      <w:r>
        <w:rPr>
          <w:rStyle w:val="19"/>
          <w:rFonts w:hint="eastAsia" w:ascii="宋体" w:hAnsi="宋体" w:eastAsia="宋体" w:cs="黑体"/>
          <w:b/>
          <w:bCs/>
          <w:color w:val="000000"/>
          <w:sz w:val="32"/>
          <w:szCs w:val="32"/>
          <w:highlight w:val="none"/>
          <w:lang w:val="zh-CN"/>
        </w:rPr>
        <w:t>材料与工程设备的保管与使用</w:t>
      </w:r>
      <w:bookmarkEnd w:id="729"/>
      <w:bookmarkEnd w:id="730"/>
      <w:bookmarkEnd w:id="731"/>
      <w:bookmarkEnd w:id="732"/>
      <w:bookmarkEnd w:id="733"/>
      <w:bookmarkEnd w:id="734"/>
      <w:bookmarkEnd w:id="735"/>
      <w:bookmarkEnd w:id="736"/>
    </w:p>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14:paraId="575FE261">
      <w:pPr>
        <w:pStyle w:val="89"/>
        <w:pageBreakBefore w:val="0"/>
        <w:kinsoku/>
        <w:wordWrap/>
        <w:overflowPunct/>
        <w:topLinePunct w:val="0"/>
        <w:bidi w:val="0"/>
        <w:spacing w:line="360" w:lineRule="auto"/>
        <w:ind w:firstLine="420" w:firstLineChars="200"/>
        <w:jc w:val="left"/>
        <w:rPr>
          <w:rStyle w:val="19"/>
          <w:rFonts w:hint="eastAsia" w:ascii="宋体" w:hAnsi="宋体" w:eastAsia="宋体" w:cs="宋体"/>
          <w:color w:val="000000"/>
          <w:highlight w:val="none"/>
        </w:rPr>
      </w:pPr>
      <w:r>
        <w:rPr>
          <w:rStyle w:val="19"/>
          <w:rFonts w:ascii="宋体" w:hAnsi="宋体" w:eastAsia="宋体" w:cs="Times New Roman"/>
          <w:color w:val="000000"/>
          <w:highlight w:val="none"/>
        </w:rPr>
        <w:t>8</w:t>
      </w:r>
      <w:bookmarkStart w:id="758" w:name="_Toc292559373"/>
      <w:bookmarkStart w:id="759" w:name="_Toc292559878"/>
      <w:bookmarkStart w:id="760" w:name="_Toc297216187"/>
      <w:bookmarkStart w:id="761" w:name="_Toc300934980"/>
      <w:bookmarkStart w:id="762" w:name="_Toc297123528"/>
      <w:bookmarkStart w:id="763" w:name="_Toc312678020"/>
      <w:bookmarkStart w:id="764" w:name="_Toc297120468"/>
      <w:bookmarkStart w:id="765" w:name="_Toc296347167"/>
      <w:bookmarkStart w:id="766" w:name="_Toc296944507"/>
      <w:bookmarkStart w:id="767" w:name="_Toc296503168"/>
      <w:bookmarkStart w:id="768" w:name="_Toc296346669"/>
      <w:bookmarkStart w:id="769" w:name="_Toc297048354"/>
      <w:bookmarkStart w:id="770" w:name="_Toc296891208"/>
      <w:bookmarkStart w:id="771" w:name="_Toc318581173"/>
      <w:bookmarkStart w:id="772" w:name="_Toc312677494"/>
      <w:bookmarkStart w:id="773" w:name="_Toc296890996"/>
      <w:bookmarkStart w:id="774" w:name="_Toc303539137"/>
      <w:bookmarkStart w:id="775" w:name="_Toc304295557"/>
      <w:r>
        <w:rPr>
          <w:rStyle w:val="19"/>
          <w:rFonts w:ascii="宋体" w:hAnsi="宋体" w:eastAsia="宋体" w:cs="Times New Roman"/>
          <w:color w:val="000000"/>
          <w:highlight w:val="none"/>
        </w:rPr>
        <w:t>.4.1</w:t>
      </w:r>
      <w:r>
        <w:rPr>
          <w:rStyle w:val="19"/>
          <w:rFonts w:hint="eastAsia" w:ascii="宋体" w:hAnsi="宋体" w:eastAsia="宋体" w:cs="宋体"/>
          <w:color w:val="000000"/>
          <w:highlight w:val="none"/>
        </w:rPr>
        <w:t>发包人供应的材料设备的保管费用的承担：</w:t>
      </w:r>
      <w:r>
        <w:rPr>
          <w:rStyle w:val="19"/>
          <w:rFonts w:hint="eastAsia" w:ascii="宋体" w:hAnsi="宋体" w:eastAsia="宋体" w:cs="宋体"/>
          <w:color w:val="000000"/>
          <w:szCs w:val="21"/>
          <w:highlight w:val="none"/>
          <w:u w:val="single"/>
        </w:rPr>
        <w:t>由承包人免费承担保管、运输、接收检验，不得以任何理由拒绝</w:t>
      </w:r>
      <w:r>
        <w:rPr>
          <w:rStyle w:val="19"/>
          <w:rFonts w:hint="eastAsia" w:ascii="宋体" w:hAnsi="宋体" w:eastAsia="宋体" w:cs="宋体"/>
          <w:color w:val="000000"/>
          <w:highlight w:val="none"/>
        </w:rPr>
        <w:t>。</w:t>
      </w:r>
    </w:p>
    <w:bookmarkEnd w:id="758"/>
    <w:bookmarkEnd w:id="759"/>
    <w:p w14:paraId="5D2F4693">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776" w:name="_Toc373227734"/>
      <w:bookmarkStart w:id="777" w:name="_Toc125914831"/>
      <w:bookmarkStart w:id="778" w:name="_Toc389065300"/>
      <w:bookmarkStart w:id="779" w:name="_Toc14497"/>
      <w:bookmarkStart w:id="780" w:name="_Toc373478381"/>
      <w:bookmarkStart w:id="781" w:name="_Toc78449822"/>
      <w:bookmarkStart w:id="782" w:name="_Toc407135236"/>
      <w:bookmarkStart w:id="783" w:name="_Toc1948522881"/>
      <w:r>
        <w:rPr>
          <w:rStyle w:val="19"/>
          <w:rFonts w:ascii="宋体" w:hAnsi="宋体" w:eastAsia="宋体" w:cs="Times New Roman"/>
          <w:b/>
          <w:bCs/>
          <w:color w:val="000000"/>
          <w:sz w:val="32"/>
          <w:szCs w:val="32"/>
          <w:highlight w:val="none"/>
          <w:lang w:val="zh-CN"/>
        </w:rPr>
        <w:t xml:space="preserve">8.6 </w:t>
      </w:r>
      <w:r>
        <w:rPr>
          <w:rStyle w:val="19"/>
          <w:rFonts w:hint="eastAsia" w:ascii="宋体" w:hAnsi="宋体" w:eastAsia="宋体" w:cs="黑体"/>
          <w:b/>
          <w:bCs/>
          <w:color w:val="000000"/>
          <w:sz w:val="32"/>
          <w:szCs w:val="32"/>
          <w:highlight w:val="none"/>
          <w:lang w:val="zh-CN"/>
        </w:rPr>
        <w:t>样品</w:t>
      </w:r>
      <w:bookmarkEnd w:id="776"/>
      <w:bookmarkEnd w:id="777"/>
      <w:bookmarkEnd w:id="778"/>
      <w:bookmarkEnd w:id="779"/>
      <w:bookmarkEnd w:id="780"/>
      <w:bookmarkEnd w:id="781"/>
      <w:bookmarkEnd w:id="782"/>
      <w:bookmarkEnd w:id="783"/>
    </w:p>
    <w:p w14:paraId="649EB58C">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8.6.1 </w:t>
      </w:r>
      <w:r>
        <w:rPr>
          <w:rStyle w:val="19"/>
          <w:rFonts w:hint="eastAsia" w:ascii="宋体" w:hAnsi="宋体" w:eastAsia="宋体" w:cs="宋体"/>
          <w:color w:val="000000"/>
          <w:kern w:val="0"/>
          <w:highlight w:val="none"/>
        </w:rPr>
        <w:t>样品的报送与封存</w:t>
      </w:r>
    </w:p>
    <w:p w14:paraId="510FE656">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kern w:val="0"/>
          <w:highlight w:val="none"/>
        </w:rPr>
        <w:t>需要承包人报送样品的材料或工程设备，样品的种类、名称、规格、数量要求：</w:t>
      </w:r>
      <w:r>
        <w:rPr>
          <w:rStyle w:val="19"/>
          <w:rFonts w:hint="eastAsia" w:ascii="宋体" w:hAnsi="宋体" w:eastAsia="宋体" w:cs="宋体"/>
          <w:color w:val="000000"/>
          <w:highlight w:val="none"/>
          <w:u w:val="single"/>
        </w:rPr>
        <w:t>主要材料涉及品种、款式、颜色等方面内容的，承包人应提交准备合格的材料样品送发包人选定</w:t>
      </w:r>
      <w:r>
        <w:rPr>
          <w:rStyle w:val="19"/>
          <w:rFonts w:hint="eastAsia" w:ascii="宋体" w:hAnsi="宋体" w:eastAsia="宋体" w:cs="宋体"/>
          <w:color w:val="000000"/>
          <w:highlight w:val="none"/>
        </w:rPr>
        <w:t>。</w:t>
      </w:r>
      <w:r>
        <w:rPr>
          <w:rStyle w:val="19"/>
          <w:rFonts w:hint="eastAsia" w:ascii="宋体" w:hAnsi="宋体" w:eastAsia="宋体" w:cs="宋体"/>
          <w:color w:val="000000"/>
          <w:highlight w:val="none"/>
          <w:u w:val="single"/>
        </w:rPr>
        <w:t>选定的样品应封存于现场，承包人应在现场为保存样品提供适当和固定的场所并保持适当和良好的储存环境条件，特别是主要装饰、安装工程材料样品至少封存到竣工结算审定完成后（根据工程设计实施情况，包括但不限于地面、天面、内外墙面装饰材料，防水材料，门窗，电线电缆、桥架，给排水管等材料）</w:t>
      </w:r>
      <w:r>
        <w:rPr>
          <w:rStyle w:val="19"/>
          <w:rFonts w:hint="eastAsia" w:ascii="宋体" w:hAnsi="宋体" w:eastAsia="宋体" w:cs="宋体"/>
          <w:color w:val="000000"/>
          <w:highlight w:val="none"/>
        </w:rPr>
        <w:t>。</w:t>
      </w:r>
    </w:p>
    <w:p w14:paraId="2EA21E60">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784" w:name="_Toc389065301"/>
      <w:bookmarkStart w:id="785" w:name="_Toc14053"/>
      <w:bookmarkStart w:id="786" w:name="_Toc78449823"/>
      <w:bookmarkStart w:id="787" w:name="_Toc997640704"/>
      <w:bookmarkStart w:id="788" w:name="_Toc373478382"/>
      <w:bookmarkStart w:id="789" w:name="_Toc407135237"/>
      <w:bookmarkStart w:id="790" w:name="_Toc373227735"/>
      <w:bookmarkStart w:id="791" w:name="_Toc1049576644"/>
      <w:r>
        <w:rPr>
          <w:rStyle w:val="19"/>
          <w:rFonts w:ascii="宋体" w:hAnsi="宋体" w:eastAsia="宋体" w:cs="Times New Roman"/>
          <w:b/>
          <w:bCs/>
          <w:color w:val="000000"/>
          <w:sz w:val="32"/>
          <w:szCs w:val="32"/>
          <w:highlight w:val="none"/>
          <w:lang w:val="zh-CN"/>
        </w:rPr>
        <w:t xml:space="preserve">8.8 </w:t>
      </w:r>
      <w:r>
        <w:rPr>
          <w:rStyle w:val="19"/>
          <w:rFonts w:hint="eastAsia" w:ascii="宋体" w:hAnsi="宋体" w:eastAsia="宋体" w:cs="黑体"/>
          <w:b/>
          <w:bCs/>
          <w:color w:val="000000"/>
          <w:sz w:val="32"/>
          <w:szCs w:val="32"/>
          <w:highlight w:val="none"/>
          <w:lang w:val="zh-CN"/>
        </w:rPr>
        <w:t>施工设备和临时设施</w:t>
      </w:r>
      <w:bookmarkEnd w:id="784"/>
      <w:bookmarkEnd w:id="785"/>
      <w:bookmarkEnd w:id="786"/>
      <w:bookmarkEnd w:id="787"/>
      <w:bookmarkEnd w:id="788"/>
      <w:bookmarkEnd w:id="789"/>
      <w:bookmarkEnd w:id="790"/>
      <w:bookmarkEnd w:id="791"/>
    </w:p>
    <w:p w14:paraId="7C43C228">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8.8.1 </w:t>
      </w:r>
      <w:r>
        <w:rPr>
          <w:rStyle w:val="19"/>
          <w:rFonts w:hint="eastAsia" w:ascii="宋体" w:hAnsi="宋体" w:eastAsia="宋体" w:cs="宋体"/>
          <w:color w:val="000000"/>
          <w:highlight w:val="none"/>
        </w:rPr>
        <w:t>承包人提供的施工设备和临时设施</w:t>
      </w:r>
    </w:p>
    <w:p w14:paraId="4417F1B8">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14:paraId="26087936">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关于修建临时设施费用承担的约定：</w:t>
      </w:r>
    </w:p>
    <w:p w14:paraId="0B9EEC7F">
      <w:pPr>
        <w:pStyle w:val="89"/>
        <w:pageBreakBefore w:val="0"/>
        <w:kinsoku/>
        <w:wordWrap/>
        <w:overflowPunct/>
        <w:topLinePunct w:val="0"/>
        <w:autoSpaceDE w:val="0"/>
        <w:autoSpaceDN w:val="0"/>
        <w:bidi w:val="0"/>
        <w:adjustRightInd w:val="0"/>
        <w:spacing w:line="360" w:lineRule="auto"/>
        <w:ind w:left="0" w:leftChars="0" w:firstLine="420" w:firstLineChars="200"/>
        <w:jc w:val="left"/>
        <w:rPr>
          <w:rStyle w:val="19"/>
          <w:rFonts w:ascii="宋体" w:hAnsi="宋体" w:eastAsia="宋体" w:cs="Times New Roman"/>
          <w:bCs/>
          <w:color w:val="000000"/>
          <w:szCs w:val="21"/>
          <w:highlight w:val="none"/>
        </w:rPr>
      </w:pPr>
      <w:r>
        <w:rPr>
          <w:rStyle w:val="19"/>
          <w:rFonts w:hint="eastAsia" w:ascii="宋体" w:hAnsi="宋体" w:eastAsia="宋体" w:cs="宋体"/>
          <w:bCs/>
          <w:color w:val="000000"/>
          <w:szCs w:val="21"/>
          <w:highlight w:val="none"/>
          <w:u w:val="single"/>
        </w:rPr>
        <w:t>①</w:t>
      </w:r>
      <w:r>
        <w:rPr>
          <w:rStyle w:val="19"/>
          <w:rFonts w:hint="eastAsia" w:ascii="宋体" w:hAnsi="宋体" w:eastAsia="宋体" w:cs="Times New Roman"/>
          <w:bCs/>
          <w:color w:val="000000"/>
          <w:szCs w:val="21"/>
          <w:highlight w:val="none"/>
          <w:u w:val="single"/>
        </w:rPr>
        <w:t>承担修建承包人临时设施的费用的范围：建筑物沿边向外500米以内道路、1000米以内的水、电、管线等临时设施费用（已包含在承包人投标报价中）</w:t>
      </w:r>
      <w:r>
        <w:rPr>
          <w:rStyle w:val="19"/>
          <w:rFonts w:hint="eastAsia" w:ascii="宋体" w:hAnsi="宋体" w:eastAsia="宋体" w:cs="Times New Roman"/>
          <w:bCs/>
          <w:color w:val="000000"/>
          <w:szCs w:val="21"/>
          <w:highlight w:val="none"/>
        </w:rPr>
        <w:t>。</w:t>
      </w:r>
    </w:p>
    <w:p w14:paraId="5DAA22C6">
      <w:pPr>
        <w:pStyle w:val="89"/>
        <w:pageBreakBefore w:val="0"/>
        <w:kinsoku/>
        <w:wordWrap/>
        <w:overflowPunct/>
        <w:topLinePunct w:val="0"/>
        <w:autoSpaceDE w:val="0"/>
        <w:autoSpaceDN w:val="0"/>
        <w:bidi w:val="0"/>
        <w:adjustRightInd w:val="0"/>
        <w:spacing w:line="360" w:lineRule="auto"/>
        <w:ind w:firstLine="420" w:firstLineChars="200"/>
        <w:rPr>
          <w:rStyle w:val="19"/>
          <w:rFonts w:ascii="宋体" w:hAnsi="宋体" w:eastAsia="宋体" w:cs="Times New Roman"/>
          <w:bCs/>
          <w:color w:val="000000"/>
          <w:szCs w:val="21"/>
          <w:highlight w:val="none"/>
        </w:rPr>
      </w:pPr>
      <w:r>
        <w:rPr>
          <w:rStyle w:val="19"/>
          <w:rFonts w:hint="eastAsia" w:ascii="宋体" w:hAnsi="宋体" w:eastAsia="宋体" w:cs="Times New Roman"/>
          <w:bCs/>
          <w:color w:val="000000"/>
          <w:szCs w:val="21"/>
          <w:highlight w:val="none"/>
          <w:u w:val="single"/>
        </w:rPr>
        <w:t>②承包人的临时用地（含项目部驻地等）租用费（含拆迁补偿）、临时用地的环保、恢复、临时用地的青苗补偿及地面附着物拆除等费用均由承包人承担</w:t>
      </w:r>
      <w:r>
        <w:rPr>
          <w:rStyle w:val="19"/>
          <w:rFonts w:hint="eastAsia" w:ascii="宋体" w:hAnsi="宋体" w:eastAsia="宋体" w:cs="Times New Roman"/>
          <w:bCs/>
          <w:color w:val="000000"/>
          <w:szCs w:val="21"/>
          <w:highlight w:val="none"/>
        </w:rPr>
        <w:t>。</w:t>
      </w:r>
    </w:p>
    <w:p w14:paraId="52024E1B">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bCs/>
          <w:color w:val="000000"/>
          <w:szCs w:val="21"/>
          <w:highlight w:val="none"/>
          <w:u w:val="single"/>
        </w:rPr>
      </w:pPr>
      <w:r>
        <w:rPr>
          <w:rStyle w:val="19"/>
          <w:rFonts w:hint="eastAsia" w:ascii="宋体" w:hAnsi="宋体" w:eastAsia="宋体" w:cs="Times New Roman"/>
          <w:bCs/>
          <w:color w:val="000000"/>
          <w:szCs w:val="21"/>
          <w:highlight w:val="none"/>
          <w:u w:val="single"/>
        </w:rPr>
        <w:t>③承包人负责合同实施期间其施工场地内临时交通道路（含场内外连接公共交通道路）和交通设施的修建、维修、养护和交通管理工作，并承担一切费用。</w:t>
      </w:r>
    </w:p>
    <w:p w14:paraId="286E86A3">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bCs/>
          <w:color w:val="000000"/>
          <w:szCs w:val="21"/>
          <w:highlight w:val="none"/>
          <w:u w:val="single"/>
        </w:rPr>
      </w:pPr>
      <w:r>
        <w:rPr>
          <w:rStyle w:val="19"/>
          <w:rFonts w:hint="eastAsia" w:ascii="宋体" w:hAnsi="宋体" w:eastAsia="宋体" w:cs="Times New Roman"/>
          <w:bCs/>
          <w:color w:val="000000"/>
          <w:szCs w:val="21"/>
          <w:highlight w:val="none"/>
          <w:u w:val="single"/>
        </w:rPr>
        <w:t>④承包人修建的临时道路和交通设施，应免费提供给发包人、监理工程师和其他施工人使用，如共同使用的路基损坏严重，发包人或监理工程师将负责通知承包人修复，费用由承包人承担。</w:t>
      </w:r>
    </w:p>
    <w:p w14:paraId="6FE094F8">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bCs/>
          <w:color w:val="000000"/>
          <w:sz w:val="24"/>
          <w:szCs w:val="21"/>
          <w:highlight w:val="none"/>
          <w:u w:val="single"/>
        </w:rPr>
      </w:pPr>
      <w:r>
        <w:rPr>
          <w:rStyle w:val="19"/>
          <w:rFonts w:hint="eastAsia" w:ascii="宋体" w:hAnsi="宋体" w:eastAsia="宋体" w:cs="Times New Roman"/>
          <w:bCs/>
          <w:color w:val="000000"/>
          <w:szCs w:val="21"/>
          <w:highlight w:val="none"/>
          <w:u w:val="single"/>
        </w:rPr>
        <w:t>⑤在合同实施期间因施工需占用医院场地，导致医院路面、路缘石、路灯、井盖、苗圃的损坏，由承包人负责修复及更换，并承担一切费用。</w:t>
      </w:r>
    </w:p>
    <w:p w14:paraId="4DA32A5F">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8.8.2 </w:t>
      </w:r>
      <w:r>
        <w:rPr>
          <w:rStyle w:val="19"/>
          <w:rFonts w:hint="eastAsia" w:ascii="宋体" w:hAnsi="宋体" w:eastAsia="宋体" w:cs="宋体"/>
          <w:color w:val="000000"/>
          <w:highlight w:val="none"/>
        </w:rPr>
        <w:t>发包人提供的施工设备和临时设施</w:t>
      </w:r>
    </w:p>
    <w:p w14:paraId="7E454BB7">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发包人提供的施工设备和临时设施：</w:t>
      </w:r>
      <w:r>
        <w:rPr>
          <w:rStyle w:val="19"/>
          <w:rFonts w:hint="eastAsia" w:ascii="宋体" w:hAnsi="宋体" w:eastAsia="宋体" w:cs="宋体"/>
          <w:color w:val="000000"/>
          <w:szCs w:val="21"/>
          <w:highlight w:val="none"/>
          <w:u w:val="single"/>
        </w:rPr>
        <w:t>无</w:t>
      </w:r>
      <w:r>
        <w:rPr>
          <w:rStyle w:val="19"/>
          <w:rFonts w:hint="eastAsia" w:ascii="宋体" w:hAnsi="宋体" w:eastAsia="宋体" w:cs="宋体"/>
          <w:color w:val="000000"/>
          <w:highlight w:val="none"/>
        </w:rPr>
        <w:t>。</w:t>
      </w:r>
    </w:p>
    <w:p w14:paraId="68A90E2D">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发包人提供的施工设备和临时设施的运行、维护、拆除、清运费用的承担人：</w:t>
      </w:r>
      <w:r>
        <w:rPr>
          <w:rStyle w:val="19"/>
          <w:rFonts w:ascii="宋体" w:hAnsi="宋体" w:eastAsia="宋体" w:cs="Times New Roman"/>
          <w:color w:val="000000"/>
          <w:highlight w:val="none"/>
          <w:u w:val="single"/>
        </w:rPr>
        <w:t>承包人</w:t>
      </w:r>
      <w:r>
        <w:rPr>
          <w:rStyle w:val="19"/>
          <w:rFonts w:hint="eastAsia" w:ascii="宋体" w:hAnsi="宋体" w:eastAsia="宋体" w:cs="宋体"/>
          <w:color w:val="000000"/>
          <w:highlight w:val="none"/>
        </w:rPr>
        <w:t>。</w:t>
      </w:r>
    </w:p>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14:paraId="58B699CC">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792" w:name="_Toc78449824"/>
      <w:bookmarkStart w:id="793" w:name="_Toc373478383"/>
      <w:bookmarkStart w:id="794" w:name="_Toc2027787496"/>
      <w:bookmarkStart w:id="795" w:name="_Toc351203641"/>
      <w:bookmarkStart w:id="796" w:name="_Toc2039161841"/>
      <w:bookmarkStart w:id="797" w:name="_Toc373227736"/>
      <w:bookmarkStart w:id="798" w:name="_Toc23922"/>
      <w:bookmarkStart w:id="799" w:name="_Toc389065302"/>
      <w:bookmarkStart w:id="800" w:name="_Toc407135238"/>
      <w:r>
        <w:rPr>
          <w:rStyle w:val="19"/>
          <w:rFonts w:ascii="宋体" w:hAnsi="宋体" w:eastAsia="宋体" w:cs="Times New Roman"/>
          <w:b/>
          <w:bCs/>
          <w:color w:val="000000"/>
          <w:sz w:val="32"/>
          <w:szCs w:val="32"/>
          <w:highlight w:val="none"/>
          <w:lang w:val="zh-CN"/>
        </w:rPr>
        <w:t>9</w:t>
      </w:r>
      <w:bookmarkEnd w:id="755"/>
      <w:bookmarkEnd w:id="756"/>
      <w:bookmarkEnd w:id="757"/>
      <w:bookmarkStart w:id="801" w:name="_Toc297123533"/>
      <w:bookmarkStart w:id="802" w:name="_Toc300934982"/>
      <w:bookmarkStart w:id="803" w:name="_Toc297216192"/>
      <w:bookmarkStart w:id="804" w:name="_Toc312677495"/>
      <w:bookmarkStart w:id="805" w:name="_Toc312678021"/>
      <w:bookmarkStart w:id="806" w:name="_Toc303539139"/>
      <w:bookmarkStart w:id="807" w:name="_Toc304295559"/>
      <w:bookmarkStart w:id="808" w:name="_Toc292559883"/>
      <w:bookmarkStart w:id="809" w:name="_Toc296347172"/>
      <w:bookmarkStart w:id="810" w:name="_Toc296891001"/>
      <w:bookmarkStart w:id="811" w:name="_Toc296944512"/>
      <w:bookmarkStart w:id="812" w:name="_Toc296891213"/>
      <w:bookmarkStart w:id="813" w:name="_Toc297048359"/>
      <w:bookmarkStart w:id="814" w:name="_Toc297120473"/>
      <w:bookmarkStart w:id="815" w:name="_Toc296346674"/>
      <w:bookmarkStart w:id="816" w:name="_Toc267251428"/>
      <w:bookmarkStart w:id="817" w:name="_Toc292559378"/>
      <w:bookmarkStart w:id="818" w:name="_Toc296503173"/>
      <w:bookmarkStart w:id="819" w:name="_Toc267251427"/>
      <w:r>
        <w:rPr>
          <w:rStyle w:val="19"/>
          <w:rFonts w:ascii="宋体" w:hAnsi="宋体" w:eastAsia="宋体" w:cs="Times New Roman"/>
          <w:b/>
          <w:bCs/>
          <w:color w:val="000000"/>
          <w:sz w:val="32"/>
          <w:szCs w:val="32"/>
          <w:highlight w:val="none"/>
          <w:lang w:val="zh-CN"/>
        </w:rPr>
        <w:t xml:space="preserve">. </w:t>
      </w:r>
      <w:r>
        <w:rPr>
          <w:rStyle w:val="19"/>
          <w:rFonts w:hint="eastAsia" w:ascii="宋体" w:hAnsi="宋体" w:eastAsia="宋体" w:cs="黑体"/>
          <w:b/>
          <w:bCs/>
          <w:color w:val="000000"/>
          <w:sz w:val="32"/>
          <w:szCs w:val="32"/>
          <w:highlight w:val="none"/>
          <w:lang w:val="zh-CN"/>
        </w:rPr>
        <w:t>试验与检验</w:t>
      </w:r>
      <w:bookmarkEnd w:id="792"/>
      <w:bookmarkEnd w:id="793"/>
      <w:bookmarkEnd w:id="794"/>
      <w:bookmarkEnd w:id="795"/>
      <w:bookmarkEnd w:id="796"/>
      <w:bookmarkEnd w:id="797"/>
      <w:bookmarkEnd w:id="798"/>
      <w:bookmarkEnd w:id="799"/>
      <w:bookmarkEnd w:id="800"/>
    </w:p>
    <w:bookmarkEnd w:id="801"/>
    <w:bookmarkEnd w:id="802"/>
    <w:bookmarkEnd w:id="803"/>
    <w:bookmarkEnd w:id="804"/>
    <w:bookmarkEnd w:id="805"/>
    <w:bookmarkEnd w:id="806"/>
    <w:bookmarkEnd w:id="807"/>
    <w:p w14:paraId="110CB687">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820" w:name="_Toc373227737"/>
      <w:bookmarkStart w:id="821" w:name="_Toc407135239"/>
      <w:bookmarkStart w:id="822" w:name="_Toc389065303"/>
      <w:bookmarkStart w:id="823" w:name="_Toc530697003"/>
      <w:bookmarkStart w:id="824" w:name="_Toc373478384"/>
      <w:bookmarkStart w:id="825" w:name="_Toc6700"/>
      <w:bookmarkStart w:id="826" w:name="_Toc1307315193"/>
      <w:bookmarkStart w:id="827" w:name="_Toc78449825"/>
      <w:r>
        <w:rPr>
          <w:rStyle w:val="19"/>
          <w:rFonts w:ascii="宋体" w:hAnsi="宋体" w:eastAsia="宋体" w:cs="Times New Roman"/>
          <w:b/>
          <w:bCs/>
          <w:color w:val="000000"/>
          <w:sz w:val="32"/>
          <w:szCs w:val="32"/>
          <w:highlight w:val="none"/>
          <w:lang w:val="zh-CN"/>
        </w:rPr>
        <w:t>9</w:t>
      </w:r>
      <w:bookmarkStart w:id="828" w:name="_Toc297123534"/>
      <w:bookmarkStart w:id="829" w:name="_Toc312677496"/>
      <w:bookmarkStart w:id="830" w:name="_Toc303539140"/>
      <w:bookmarkStart w:id="831" w:name="_Toc300934983"/>
      <w:bookmarkStart w:id="832" w:name="_Toc312678022"/>
      <w:bookmarkStart w:id="833" w:name="_Toc297216193"/>
      <w:bookmarkStart w:id="834" w:name="_Toc304295560"/>
      <w:r>
        <w:rPr>
          <w:rStyle w:val="19"/>
          <w:rFonts w:ascii="宋体" w:hAnsi="宋体" w:eastAsia="宋体" w:cs="Times New Roman"/>
          <w:b/>
          <w:bCs/>
          <w:color w:val="000000"/>
          <w:sz w:val="32"/>
          <w:szCs w:val="32"/>
          <w:highlight w:val="none"/>
          <w:lang w:val="zh-CN"/>
        </w:rPr>
        <w:t xml:space="preserve">.1 </w:t>
      </w:r>
      <w:r>
        <w:rPr>
          <w:rStyle w:val="19"/>
          <w:rFonts w:hint="eastAsia" w:ascii="宋体" w:hAnsi="宋体" w:eastAsia="宋体" w:cs="黑体"/>
          <w:b/>
          <w:bCs/>
          <w:color w:val="000000"/>
          <w:sz w:val="32"/>
          <w:szCs w:val="32"/>
          <w:highlight w:val="none"/>
          <w:lang w:val="zh-CN"/>
        </w:rPr>
        <w:t>试验设备与试验人员</w:t>
      </w:r>
      <w:bookmarkEnd w:id="820"/>
      <w:bookmarkEnd w:id="821"/>
      <w:bookmarkEnd w:id="822"/>
      <w:bookmarkEnd w:id="823"/>
      <w:bookmarkEnd w:id="824"/>
      <w:bookmarkEnd w:id="825"/>
      <w:bookmarkEnd w:id="826"/>
      <w:bookmarkEnd w:id="827"/>
    </w:p>
    <w:bookmarkEnd w:id="828"/>
    <w:bookmarkEnd w:id="829"/>
    <w:bookmarkEnd w:id="830"/>
    <w:bookmarkEnd w:id="831"/>
    <w:bookmarkEnd w:id="832"/>
    <w:bookmarkEnd w:id="833"/>
    <w:bookmarkEnd w:id="834"/>
    <w:p w14:paraId="073CAAE7">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9</w:t>
      </w:r>
      <w:bookmarkStart w:id="835" w:name="_Toc300934984"/>
      <w:bookmarkStart w:id="836" w:name="_Toc304295561"/>
      <w:bookmarkStart w:id="837" w:name="_Toc312678023"/>
      <w:bookmarkStart w:id="838" w:name="_Toc297216194"/>
      <w:bookmarkStart w:id="839" w:name="_Toc303539141"/>
      <w:bookmarkStart w:id="840" w:name="_Toc297123535"/>
      <w:bookmarkStart w:id="841" w:name="_Toc312677497"/>
      <w:bookmarkStart w:id="842" w:name="_Toc318581174"/>
      <w:r>
        <w:rPr>
          <w:rStyle w:val="19"/>
          <w:rFonts w:ascii="宋体" w:hAnsi="宋体" w:eastAsia="宋体" w:cs="Times New Roman"/>
          <w:color w:val="000000"/>
          <w:highlight w:val="none"/>
        </w:rPr>
        <w:t xml:space="preserve">.1.2 </w:t>
      </w:r>
      <w:r>
        <w:rPr>
          <w:rStyle w:val="19"/>
          <w:rFonts w:hint="eastAsia" w:ascii="宋体" w:hAnsi="宋体" w:eastAsia="宋体" w:cs="宋体"/>
          <w:color w:val="000000"/>
          <w:highlight w:val="none"/>
        </w:rPr>
        <w:t>试验设备</w:t>
      </w:r>
    </w:p>
    <w:p w14:paraId="35B66A89">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施工现场需要配置的试验场所：</w:t>
      </w:r>
      <w:bookmarkEnd w:id="835"/>
      <w:bookmarkEnd w:id="836"/>
      <w:bookmarkEnd w:id="837"/>
      <w:bookmarkEnd w:id="838"/>
      <w:bookmarkEnd w:id="839"/>
      <w:bookmarkEnd w:id="840"/>
      <w:bookmarkEnd w:id="841"/>
      <w:bookmarkStart w:id="843" w:name="_Toc312678024"/>
      <w:bookmarkStart w:id="844" w:name="_Toc300934985"/>
      <w:bookmarkStart w:id="845" w:name="_Toc304295562"/>
      <w:bookmarkStart w:id="846" w:name="_Toc297216195"/>
      <w:bookmarkStart w:id="847" w:name="_Toc297123536"/>
      <w:bookmarkStart w:id="848" w:name="_Toc303539142"/>
      <w:bookmarkStart w:id="849" w:name="_Toc312677498"/>
      <w:r>
        <w:rPr>
          <w:rStyle w:val="19"/>
          <w:rFonts w:hint="eastAsia" w:ascii="宋体" w:hAnsi="宋体" w:eastAsia="宋体" w:cs="Times New Roman"/>
          <w:color w:val="000000"/>
          <w:szCs w:val="21"/>
          <w:highlight w:val="none"/>
          <w:u w:val="single"/>
        </w:rPr>
        <w:t>无</w:t>
      </w:r>
      <w:r>
        <w:rPr>
          <w:rStyle w:val="19"/>
          <w:rFonts w:hint="eastAsia" w:ascii="宋体" w:hAnsi="宋体" w:eastAsia="宋体" w:cs="宋体"/>
          <w:color w:val="000000"/>
          <w:highlight w:val="none"/>
        </w:rPr>
        <w:t>。</w:t>
      </w:r>
    </w:p>
    <w:p w14:paraId="4C17A6C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施工现场需要配备的试验设备：</w:t>
      </w:r>
      <w:r>
        <w:rPr>
          <w:rStyle w:val="19"/>
          <w:rFonts w:hint="eastAsia" w:ascii="宋体" w:hAnsi="宋体" w:eastAsia="宋体" w:cs="Times New Roman"/>
          <w:color w:val="000000"/>
          <w:szCs w:val="21"/>
          <w:highlight w:val="none"/>
          <w:u w:val="single"/>
        </w:rPr>
        <w:t>无</w:t>
      </w:r>
      <w:r>
        <w:rPr>
          <w:rStyle w:val="19"/>
          <w:rFonts w:hint="eastAsia" w:ascii="宋体" w:hAnsi="宋体" w:eastAsia="宋体" w:cs="宋体"/>
          <w:color w:val="000000"/>
          <w:highlight w:val="none"/>
        </w:rPr>
        <w:t>。</w:t>
      </w:r>
    </w:p>
    <w:p w14:paraId="54242138">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施工现场需要具备的其他试验条件：</w:t>
      </w:r>
      <w:r>
        <w:rPr>
          <w:rStyle w:val="19"/>
          <w:rFonts w:hint="eastAsia" w:ascii="宋体" w:hAnsi="宋体" w:eastAsia="宋体" w:cs="Times New Roman"/>
          <w:color w:val="000000"/>
          <w:szCs w:val="21"/>
          <w:highlight w:val="none"/>
          <w:u w:val="single"/>
        </w:rPr>
        <w:t>无</w:t>
      </w:r>
      <w:r>
        <w:rPr>
          <w:rStyle w:val="19"/>
          <w:rFonts w:hint="eastAsia" w:ascii="宋体" w:hAnsi="宋体" w:eastAsia="宋体" w:cs="宋体"/>
          <w:color w:val="000000"/>
          <w:highlight w:val="none"/>
        </w:rPr>
        <w:t>。</w:t>
      </w:r>
    </w:p>
    <w:p w14:paraId="3B94B8F0">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850" w:name="_Toc373227738"/>
      <w:bookmarkStart w:id="851" w:name="_Toc407135240"/>
      <w:bookmarkStart w:id="852" w:name="_Toc2012255079"/>
      <w:bookmarkStart w:id="853" w:name="_Toc492347879"/>
      <w:bookmarkStart w:id="854" w:name="_Toc78449826"/>
      <w:bookmarkStart w:id="855" w:name="_Toc373478385"/>
      <w:bookmarkStart w:id="856" w:name="_Toc389065304"/>
      <w:bookmarkStart w:id="857" w:name="_Toc21899"/>
      <w:r>
        <w:rPr>
          <w:rStyle w:val="19"/>
          <w:rFonts w:ascii="宋体" w:hAnsi="宋体" w:eastAsia="宋体" w:cs="Times New Roman"/>
          <w:b/>
          <w:bCs/>
          <w:color w:val="000000"/>
          <w:sz w:val="32"/>
          <w:szCs w:val="32"/>
          <w:highlight w:val="none"/>
          <w:lang w:val="zh-CN"/>
        </w:rPr>
        <w:t xml:space="preserve">9.4 </w:t>
      </w:r>
      <w:r>
        <w:rPr>
          <w:rStyle w:val="19"/>
          <w:rFonts w:hint="eastAsia" w:ascii="宋体" w:hAnsi="宋体" w:eastAsia="宋体" w:cs="黑体"/>
          <w:b/>
          <w:bCs/>
          <w:color w:val="000000"/>
          <w:sz w:val="32"/>
          <w:szCs w:val="32"/>
          <w:highlight w:val="none"/>
          <w:lang w:val="zh-CN"/>
        </w:rPr>
        <w:t>现场工艺试验</w:t>
      </w:r>
      <w:bookmarkEnd w:id="850"/>
      <w:bookmarkEnd w:id="851"/>
      <w:bookmarkEnd w:id="852"/>
      <w:bookmarkEnd w:id="853"/>
      <w:bookmarkEnd w:id="854"/>
      <w:bookmarkEnd w:id="855"/>
      <w:bookmarkEnd w:id="856"/>
      <w:bookmarkEnd w:id="857"/>
    </w:p>
    <w:p w14:paraId="427BAC76">
      <w:pPr>
        <w:pStyle w:val="89"/>
        <w:pageBreakBefore w:val="0"/>
        <w:kinsoku/>
        <w:wordWrap/>
        <w:overflowPunct/>
        <w:topLinePunct w:val="0"/>
        <w:bidi w:val="0"/>
        <w:spacing w:line="360" w:lineRule="auto"/>
        <w:ind w:firstLine="420" w:firstLineChars="200"/>
        <w:jc w:val="left"/>
        <w:rPr>
          <w:rStyle w:val="19"/>
          <w:rFonts w:hint="eastAsia" w:ascii="宋体" w:hAnsi="宋体" w:eastAsia="宋体" w:cs="宋体"/>
          <w:color w:val="000000"/>
          <w:highlight w:val="none"/>
        </w:rPr>
      </w:pPr>
      <w:r>
        <w:rPr>
          <w:rStyle w:val="19"/>
          <w:rFonts w:hint="eastAsia" w:ascii="宋体" w:hAnsi="宋体" w:eastAsia="宋体" w:cs="宋体"/>
          <w:color w:val="000000"/>
          <w:highlight w:val="none"/>
        </w:rPr>
        <w:t>现场工艺试验的有关约定：</w:t>
      </w:r>
      <w:r>
        <w:rPr>
          <w:rStyle w:val="19"/>
          <w:rFonts w:hint="eastAsia" w:ascii="宋体" w:hAnsi="宋体" w:eastAsia="宋体" w:cs="Times New Roman"/>
          <w:color w:val="000000"/>
          <w:szCs w:val="21"/>
          <w:highlight w:val="none"/>
          <w:u w:val="single"/>
        </w:rPr>
        <w:t>无</w:t>
      </w:r>
      <w:r>
        <w:rPr>
          <w:rStyle w:val="19"/>
          <w:rFonts w:hint="eastAsia" w:ascii="宋体" w:hAnsi="宋体" w:eastAsia="宋体" w:cs="宋体"/>
          <w:color w:val="000000"/>
          <w:highlight w:val="none"/>
        </w:rPr>
        <w:t>。</w:t>
      </w:r>
    </w:p>
    <w:p w14:paraId="32962C62">
      <w:pPr>
        <w:pStyle w:val="89"/>
        <w:pageBreakBefore w:val="0"/>
        <w:kinsoku/>
        <w:wordWrap/>
        <w:overflowPunct/>
        <w:topLinePunct w:val="0"/>
        <w:bidi w:val="0"/>
        <w:spacing w:line="360" w:lineRule="auto"/>
        <w:jc w:val="left"/>
        <w:rPr>
          <w:rStyle w:val="19"/>
          <w:rFonts w:hint="eastAsia" w:ascii="宋体" w:hAnsi="宋体" w:eastAsia="宋体" w:cs="宋体"/>
          <w:color w:val="000000"/>
          <w:highlight w:val="none"/>
          <w:lang w:val="zh-CN" w:eastAsia="zh-CN"/>
        </w:rPr>
      </w:pPr>
      <w:r>
        <w:rPr>
          <w:rStyle w:val="19"/>
          <w:rFonts w:hint="eastAsia" w:ascii="宋体" w:hAnsi="宋体" w:eastAsia="宋体" w:cs="Times New Roman"/>
          <w:b/>
          <w:bCs/>
          <w:color w:val="000000"/>
          <w:sz w:val="32"/>
          <w:szCs w:val="32"/>
          <w:highlight w:val="none"/>
          <w:lang w:val="zh-CN"/>
        </w:rPr>
        <w:t>9.5</w:t>
      </w:r>
      <w:r>
        <w:rPr>
          <w:rStyle w:val="19"/>
          <w:rFonts w:hint="eastAsia" w:ascii="宋体" w:hAnsi="宋体" w:eastAsia="宋体" w:cs="Times New Roman"/>
          <w:b/>
          <w:bCs/>
          <w:color w:val="000000"/>
          <w:sz w:val="32"/>
          <w:szCs w:val="32"/>
          <w:highlight w:val="none"/>
          <w:lang w:val="zh-CN" w:eastAsia="zh-CN"/>
        </w:rPr>
        <w:t xml:space="preserve"> </w:t>
      </w:r>
      <w:r>
        <w:rPr>
          <w:rStyle w:val="19"/>
          <w:rFonts w:hint="eastAsia" w:ascii="宋体" w:hAnsi="宋体" w:eastAsia="宋体" w:cs="宋体"/>
          <w:color w:val="000000"/>
          <w:highlight w:val="none"/>
          <w:lang w:val="zh-CN" w:eastAsia="zh-CN"/>
        </w:rPr>
        <w:t>如在检验过程中发现材料（成品、半成品）、设备有短缺、损坏或质量不符合合同规定等情况，承包人应在监理人限定的时间内进行更换、修理或补充。如由于承包人的更换、修理或补充导致设备、材料进场日期或安装工期被延误的，承包人应向发包人承担相应的违约责任。即使经发包人审核合格，但如果承包人所交付的设备、材料存在瑕疵，则发包人仍可在发现该瑕疵后要求承包人进行修复、更换。</w:t>
      </w:r>
    </w:p>
    <w:p w14:paraId="14FFE9F6">
      <w:pPr>
        <w:pStyle w:val="89"/>
        <w:pageBreakBefore w:val="0"/>
        <w:kinsoku/>
        <w:wordWrap/>
        <w:overflowPunct/>
        <w:topLinePunct w:val="0"/>
        <w:bidi w:val="0"/>
        <w:spacing w:line="360" w:lineRule="auto"/>
        <w:jc w:val="left"/>
        <w:rPr>
          <w:rStyle w:val="19"/>
          <w:rFonts w:hint="eastAsia" w:ascii="宋体" w:hAnsi="宋体" w:eastAsia="宋体" w:cs="宋体"/>
          <w:color w:val="000000"/>
          <w:highlight w:val="none"/>
          <w:lang w:val="zh-CN" w:eastAsia="zh-CN"/>
        </w:rPr>
      </w:pPr>
      <w:r>
        <w:rPr>
          <w:rStyle w:val="19"/>
          <w:rFonts w:hint="eastAsia" w:ascii="宋体" w:hAnsi="宋体" w:eastAsia="宋体" w:cs="Times New Roman"/>
          <w:b/>
          <w:bCs/>
          <w:color w:val="000000"/>
          <w:sz w:val="32"/>
          <w:szCs w:val="32"/>
          <w:highlight w:val="none"/>
          <w:lang w:val="zh-CN"/>
        </w:rPr>
        <w:t>9.6</w:t>
      </w:r>
      <w:r>
        <w:rPr>
          <w:rStyle w:val="19"/>
          <w:rFonts w:hint="eastAsia" w:ascii="宋体" w:hAnsi="宋体" w:eastAsia="宋体" w:cs="Times New Roman"/>
          <w:b/>
          <w:bCs/>
          <w:color w:val="000000"/>
          <w:sz w:val="32"/>
          <w:szCs w:val="32"/>
          <w:highlight w:val="none"/>
          <w:lang w:val="en-US" w:eastAsia="zh-CN"/>
        </w:rPr>
        <w:t xml:space="preserve"> </w:t>
      </w:r>
      <w:r>
        <w:rPr>
          <w:rStyle w:val="19"/>
          <w:rFonts w:hint="eastAsia" w:ascii="宋体" w:hAnsi="宋体" w:eastAsia="宋体" w:cs="宋体"/>
          <w:color w:val="000000"/>
          <w:highlight w:val="none"/>
          <w:lang w:val="zh-CN" w:eastAsia="zh-CN"/>
        </w:rPr>
        <w:t>如法律或规范要求材料（成品、半成品）、设备在安装使用前必须进行检测或性能测试的，承包人应自己承担费用完成对所提供材料（成品、半成品）、设备的全部检测工作，并在使用前将检测结果的正式报告提交给发包人。</w:t>
      </w:r>
    </w:p>
    <w:p w14:paraId="7EF33618">
      <w:pPr>
        <w:pStyle w:val="89"/>
        <w:pageBreakBefore w:val="0"/>
        <w:kinsoku/>
        <w:wordWrap/>
        <w:overflowPunct/>
        <w:topLinePunct w:val="0"/>
        <w:bidi w:val="0"/>
        <w:spacing w:line="360" w:lineRule="auto"/>
        <w:jc w:val="left"/>
        <w:rPr>
          <w:rStyle w:val="19"/>
          <w:rFonts w:hint="eastAsia" w:ascii="宋体" w:hAnsi="宋体" w:eastAsia="宋体" w:cs="宋体"/>
          <w:color w:val="000000"/>
          <w:highlight w:val="none"/>
          <w:lang w:val="zh-CN" w:eastAsia="zh-CN"/>
        </w:rPr>
      </w:pPr>
      <w:r>
        <w:rPr>
          <w:rStyle w:val="19"/>
          <w:rFonts w:hint="eastAsia" w:ascii="宋体" w:hAnsi="宋体" w:eastAsia="宋体" w:cs="Times New Roman"/>
          <w:b/>
          <w:bCs/>
          <w:color w:val="000000"/>
          <w:sz w:val="32"/>
          <w:szCs w:val="32"/>
          <w:highlight w:val="none"/>
          <w:lang w:val="zh-CN"/>
        </w:rPr>
        <w:t>9.7</w:t>
      </w:r>
      <w:r>
        <w:rPr>
          <w:rStyle w:val="19"/>
          <w:rFonts w:hint="eastAsia" w:ascii="宋体" w:hAnsi="宋体" w:eastAsia="宋体" w:cs="宋体"/>
          <w:color w:val="000000"/>
          <w:highlight w:val="none"/>
          <w:lang w:val="en-US" w:eastAsia="zh-CN"/>
        </w:rPr>
        <w:t xml:space="preserve"> </w:t>
      </w:r>
      <w:r>
        <w:rPr>
          <w:rStyle w:val="19"/>
          <w:rFonts w:hint="eastAsia" w:ascii="宋体" w:hAnsi="宋体" w:eastAsia="宋体" w:cs="宋体"/>
          <w:color w:val="000000"/>
          <w:highlight w:val="none"/>
          <w:lang w:val="zh-CN" w:eastAsia="zh-CN"/>
        </w:rPr>
        <w:t>发包人、监理人有权制止承包人在工程施工中使用任何未通过法律、规范或合同要求的检验与测试的材料。</w:t>
      </w:r>
    </w:p>
    <w:p w14:paraId="2B6445B7">
      <w:pPr>
        <w:pStyle w:val="89"/>
        <w:pageBreakBefore w:val="0"/>
        <w:kinsoku/>
        <w:wordWrap/>
        <w:overflowPunct/>
        <w:topLinePunct w:val="0"/>
        <w:bidi w:val="0"/>
        <w:spacing w:line="360" w:lineRule="auto"/>
        <w:jc w:val="left"/>
        <w:rPr>
          <w:rStyle w:val="19"/>
          <w:rFonts w:hint="eastAsia" w:ascii="宋体" w:hAnsi="宋体" w:eastAsia="宋体" w:cs="宋体"/>
          <w:color w:val="000000"/>
          <w:highlight w:val="none"/>
        </w:rPr>
      </w:pPr>
      <w:r>
        <w:rPr>
          <w:rStyle w:val="19"/>
          <w:rFonts w:hint="eastAsia" w:ascii="宋体" w:hAnsi="宋体" w:eastAsia="宋体" w:cs="Times New Roman"/>
          <w:b/>
          <w:bCs/>
          <w:color w:val="000000"/>
          <w:sz w:val="32"/>
          <w:szCs w:val="32"/>
          <w:highlight w:val="none"/>
          <w:lang w:val="zh-CN"/>
        </w:rPr>
        <w:t>9.8</w:t>
      </w:r>
      <w:r>
        <w:rPr>
          <w:rStyle w:val="19"/>
          <w:rFonts w:hint="eastAsia" w:ascii="宋体" w:hAnsi="宋体" w:eastAsia="宋体" w:cs="Times New Roman"/>
          <w:b/>
          <w:bCs/>
          <w:color w:val="000000"/>
          <w:sz w:val="32"/>
          <w:szCs w:val="32"/>
          <w:highlight w:val="none"/>
          <w:lang w:val="en-US" w:eastAsia="zh-CN"/>
        </w:rPr>
        <w:t xml:space="preserve"> </w:t>
      </w:r>
      <w:r>
        <w:rPr>
          <w:rStyle w:val="19"/>
          <w:rFonts w:hint="eastAsia" w:ascii="宋体" w:hAnsi="宋体" w:eastAsia="宋体" w:cs="宋体"/>
          <w:color w:val="000000"/>
          <w:highlight w:val="none"/>
          <w:lang w:val="zh-CN" w:eastAsia="zh-CN"/>
        </w:rPr>
        <w:t>材料、设备的合格检验、测试或是检验报告的出具，不免除承包人应承担的合同项下的质量保证义务或其他义务。</w:t>
      </w:r>
    </w:p>
    <w:p w14:paraId="7F92A89E">
      <w:pPr>
        <w:pStyle w:val="89"/>
        <w:keepNext/>
        <w:keepLines/>
        <w:pageBreakBefore w:val="0"/>
        <w:tabs>
          <w:tab w:val="left" w:pos="3571"/>
        </w:tabs>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858" w:name="_Toc407135241"/>
      <w:bookmarkStart w:id="859" w:name="_Toc78449827"/>
      <w:bookmarkStart w:id="860" w:name="_Toc1539824686"/>
      <w:bookmarkStart w:id="861" w:name="_Toc393419678"/>
      <w:bookmarkStart w:id="862" w:name="_Toc1719"/>
      <w:bookmarkStart w:id="863" w:name="OLE_LINK1"/>
      <w:r>
        <w:rPr>
          <w:rStyle w:val="19"/>
          <w:rFonts w:hint="eastAsia" w:ascii="宋体" w:hAnsi="宋体" w:eastAsia="宋体" w:cs="黑体"/>
          <w:b/>
          <w:bCs/>
          <w:color w:val="000000"/>
          <w:sz w:val="32"/>
          <w:szCs w:val="32"/>
          <w:highlight w:val="none"/>
          <w:lang w:val="en-US" w:eastAsia="zh-CN"/>
        </w:rPr>
        <w:t>9.</w:t>
      </w:r>
      <w:r>
        <w:rPr>
          <w:rStyle w:val="19"/>
          <w:rFonts w:hint="eastAsia" w:ascii="宋体" w:hAnsi="宋体" w:cs="黑体"/>
          <w:b/>
          <w:bCs/>
          <w:color w:val="000000"/>
          <w:sz w:val="32"/>
          <w:szCs w:val="32"/>
          <w:highlight w:val="none"/>
          <w:lang w:val="en-US" w:eastAsia="zh-CN"/>
        </w:rPr>
        <w:t>9</w:t>
      </w:r>
      <w:r>
        <w:rPr>
          <w:rStyle w:val="19"/>
          <w:rFonts w:hint="eastAsia" w:ascii="宋体" w:hAnsi="宋体" w:eastAsia="宋体" w:cs="黑体"/>
          <w:b/>
          <w:bCs/>
          <w:color w:val="000000"/>
          <w:sz w:val="32"/>
          <w:szCs w:val="32"/>
          <w:highlight w:val="none"/>
          <w:lang w:val="en-US" w:eastAsia="zh-CN"/>
        </w:rPr>
        <w:t xml:space="preserve"> </w:t>
      </w:r>
      <w:r>
        <w:rPr>
          <w:rStyle w:val="19"/>
          <w:rFonts w:hint="eastAsia" w:ascii="宋体" w:hAnsi="宋体" w:eastAsia="宋体" w:cs="黑体"/>
          <w:b/>
          <w:bCs/>
          <w:color w:val="000000"/>
          <w:sz w:val="32"/>
          <w:szCs w:val="32"/>
          <w:highlight w:val="none"/>
          <w:lang w:val="zh-CN"/>
        </w:rPr>
        <w:t>检验费用</w:t>
      </w:r>
      <w:bookmarkEnd w:id="858"/>
      <w:bookmarkEnd w:id="859"/>
      <w:bookmarkEnd w:id="860"/>
      <w:bookmarkEnd w:id="861"/>
      <w:bookmarkEnd w:id="862"/>
      <w:r>
        <w:rPr>
          <w:rStyle w:val="19"/>
          <w:rFonts w:ascii="宋体" w:hAnsi="宋体" w:eastAsia="宋体" w:cs="黑体"/>
          <w:b/>
          <w:bCs/>
          <w:color w:val="000000"/>
          <w:sz w:val="32"/>
          <w:szCs w:val="32"/>
          <w:highlight w:val="none"/>
          <w:lang w:val="zh-CN"/>
        </w:rPr>
        <w:tab/>
      </w:r>
    </w:p>
    <w:p w14:paraId="5A64FE76">
      <w:pPr>
        <w:pStyle w:val="89"/>
        <w:pageBreakBefore w:val="0"/>
        <w:kinsoku/>
        <w:wordWrap/>
        <w:overflowPunct/>
        <w:topLinePunct w:val="0"/>
        <w:bidi w:val="0"/>
        <w:spacing w:line="360" w:lineRule="auto"/>
        <w:ind w:firstLine="411" w:firstLineChars="196"/>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根据《建设工程质量检测管理办法》（建设部令第</w:t>
      </w:r>
      <w:r>
        <w:rPr>
          <w:rStyle w:val="19"/>
          <w:rFonts w:ascii="宋体" w:hAnsi="宋体" w:eastAsia="宋体" w:cs="Times New Roman"/>
          <w:color w:val="000000"/>
          <w:highlight w:val="none"/>
        </w:rPr>
        <w:t>141</w:t>
      </w:r>
      <w:r>
        <w:rPr>
          <w:rStyle w:val="19"/>
          <w:rFonts w:hint="eastAsia" w:ascii="宋体" w:hAnsi="宋体" w:eastAsia="宋体" w:cs="宋体"/>
          <w:color w:val="000000"/>
          <w:highlight w:val="none"/>
        </w:rPr>
        <w:t>号）以及《广西壮族自治区建设工程质量检测管理规定》（桂建管〔</w:t>
      </w:r>
      <w:r>
        <w:rPr>
          <w:rStyle w:val="19"/>
          <w:rFonts w:ascii="宋体" w:hAnsi="宋体" w:eastAsia="宋体" w:cs="Times New Roman"/>
          <w:color w:val="000000"/>
          <w:highlight w:val="none"/>
        </w:rPr>
        <w:t>2013</w:t>
      </w:r>
      <w:r>
        <w:rPr>
          <w:rStyle w:val="19"/>
          <w:rFonts w:hint="eastAsia" w:ascii="宋体" w:hAnsi="宋体" w:eastAsia="宋体" w:cs="宋体"/>
          <w:color w:val="000000"/>
          <w:highlight w:val="none"/>
        </w:rPr>
        <w:t>〕</w:t>
      </w:r>
      <w:r>
        <w:rPr>
          <w:rStyle w:val="19"/>
          <w:rFonts w:ascii="宋体" w:hAnsi="宋体" w:eastAsia="宋体" w:cs="Times New Roman"/>
          <w:color w:val="000000"/>
          <w:highlight w:val="none"/>
        </w:rPr>
        <w:t>11</w:t>
      </w:r>
      <w:r>
        <w:rPr>
          <w:rStyle w:val="19"/>
          <w:rFonts w:hint="eastAsia" w:ascii="宋体" w:hAnsi="宋体" w:eastAsia="宋体" w:cs="宋体"/>
          <w:color w:val="000000"/>
          <w:highlight w:val="none"/>
        </w:rPr>
        <w:t>号）规定，工程质量检测业务由发包人委托有相应资质的检测机构检测。费用从发包人的项目建设经费中支出并直接支付给检测机构，不计入合同价款内。</w:t>
      </w:r>
    </w:p>
    <w:bookmarkEnd w:id="842"/>
    <w:bookmarkEnd w:id="843"/>
    <w:bookmarkEnd w:id="844"/>
    <w:bookmarkEnd w:id="845"/>
    <w:bookmarkEnd w:id="846"/>
    <w:bookmarkEnd w:id="847"/>
    <w:bookmarkEnd w:id="848"/>
    <w:bookmarkEnd w:id="849"/>
    <w:bookmarkEnd w:id="863"/>
    <w:p w14:paraId="01FFD451">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864" w:name="_Toc389065305"/>
      <w:bookmarkStart w:id="865" w:name="_Toc603662032"/>
      <w:bookmarkStart w:id="866" w:name="_Toc373478386"/>
      <w:bookmarkStart w:id="867" w:name="_Toc78449828"/>
      <w:bookmarkStart w:id="868" w:name="_Toc24970"/>
      <w:bookmarkStart w:id="869" w:name="_Toc373227739"/>
      <w:bookmarkStart w:id="870" w:name="_Toc351203642"/>
      <w:bookmarkStart w:id="871" w:name="_Toc1278407274"/>
      <w:bookmarkStart w:id="872" w:name="_Toc407135242"/>
      <w:r>
        <w:rPr>
          <w:rStyle w:val="19"/>
          <w:rFonts w:ascii="宋体" w:hAnsi="宋体" w:eastAsia="宋体" w:cs="Times New Roman"/>
          <w:b/>
          <w:bCs/>
          <w:color w:val="000000"/>
          <w:sz w:val="32"/>
          <w:szCs w:val="32"/>
          <w:highlight w:val="none"/>
          <w:lang w:val="zh-CN"/>
        </w:rPr>
        <w:t>1</w:t>
      </w:r>
      <w:bookmarkEnd w:id="808"/>
      <w:bookmarkEnd w:id="809"/>
      <w:bookmarkEnd w:id="810"/>
      <w:bookmarkEnd w:id="811"/>
      <w:bookmarkEnd w:id="812"/>
      <w:bookmarkEnd w:id="813"/>
      <w:bookmarkEnd w:id="814"/>
      <w:bookmarkEnd w:id="815"/>
      <w:bookmarkEnd w:id="816"/>
      <w:bookmarkEnd w:id="817"/>
      <w:bookmarkEnd w:id="818"/>
      <w:bookmarkEnd w:id="819"/>
      <w:bookmarkStart w:id="873" w:name="_Toc297216199"/>
      <w:bookmarkStart w:id="874" w:name="_Toc292559903"/>
      <w:bookmarkStart w:id="875" w:name="_Toc296347192"/>
      <w:bookmarkStart w:id="876" w:name="_Toc297123540"/>
      <w:bookmarkStart w:id="877" w:name="_Toc300934989"/>
      <w:bookmarkStart w:id="878" w:name="_Toc303539146"/>
      <w:bookmarkStart w:id="879" w:name="_Toc304295566"/>
      <w:bookmarkStart w:id="880" w:name="_Toc296944532"/>
      <w:bookmarkStart w:id="881" w:name="_Toc296346694"/>
      <w:bookmarkStart w:id="882" w:name="_Toc292559398"/>
      <w:bookmarkStart w:id="883" w:name="_Toc296891021"/>
      <w:bookmarkStart w:id="884" w:name="_Toc296891233"/>
      <w:bookmarkStart w:id="885" w:name="_Toc297120493"/>
      <w:bookmarkStart w:id="886" w:name="_Toc297048379"/>
      <w:bookmarkStart w:id="887" w:name="_Toc296503193"/>
      <w:bookmarkStart w:id="888" w:name="_Toc312678025"/>
      <w:bookmarkStart w:id="889" w:name="_Toc312677499"/>
      <w:bookmarkStart w:id="890" w:name="_Toc267251439"/>
      <w:bookmarkStart w:id="891" w:name="_Toc267251435"/>
      <w:bookmarkStart w:id="892" w:name="_Toc267251433"/>
      <w:bookmarkStart w:id="893" w:name="_Toc267251440"/>
      <w:bookmarkStart w:id="894" w:name="_Toc267251441"/>
      <w:bookmarkStart w:id="895" w:name="_Toc267251437"/>
      <w:bookmarkStart w:id="896" w:name="_Toc267251442"/>
      <w:r>
        <w:rPr>
          <w:rStyle w:val="19"/>
          <w:rFonts w:ascii="宋体" w:hAnsi="宋体" w:eastAsia="宋体" w:cs="Times New Roman"/>
          <w:b/>
          <w:bCs/>
          <w:color w:val="000000"/>
          <w:sz w:val="32"/>
          <w:szCs w:val="32"/>
          <w:highlight w:val="none"/>
          <w:lang w:val="zh-CN"/>
        </w:rPr>
        <w:t xml:space="preserve">0. </w:t>
      </w:r>
      <w:r>
        <w:rPr>
          <w:rStyle w:val="19"/>
          <w:rFonts w:hint="eastAsia" w:ascii="宋体" w:hAnsi="宋体" w:eastAsia="宋体" w:cs="黑体"/>
          <w:b/>
          <w:bCs/>
          <w:color w:val="000000"/>
          <w:sz w:val="32"/>
          <w:szCs w:val="32"/>
          <w:highlight w:val="none"/>
          <w:lang w:val="zh-CN"/>
        </w:rPr>
        <w:t>变更</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bookmarkEnd w:id="888"/>
    <w:bookmarkEnd w:id="889"/>
    <w:p w14:paraId="5FE32ECF">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897" w:name="_Toc1890371558"/>
      <w:bookmarkStart w:id="898" w:name="_Toc32124"/>
      <w:bookmarkStart w:id="899" w:name="_Toc78449829"/>
      <w:bookmarkStart w:id="900" w:name="_Toc407135243"/>
      <w:bookmarkStart w:id="901" w:name="_Toc373478387"/>
      <w:bookmarkStart w:id="902" w:name="_Toc389065306"/>
      <w:bookmarkStart w:id="903" w:name="_Toc373227740"/>
      <w:bookmarkStart w:id="904" w:name="_Toc411143415"/>
      <w:r>
        <w:rPr>
          <w:rStyle w:val="19"/>
          <w:rFonts w:ascii="宋体" w:hAnsi="宋体" w:eastAsia="宋体" w:cs="Times New Roman"/>
          <w:b/>
          <w:bCs/>
          <w:color w:val="000000"/>
          <w:sz w:val="32"/>
          <w:szCs w:val="32"/>
          <w:highlight w:val="none"/>
          <w:lang w:val="zh-CN"/>
        </w:rPr>
        <w:t>1</w:t>
      </w:r>
      <w:bookmarkStart w:id="905" w:name="_Toc297120494"/>
      <w:bookmarkStart w:id="906" w:name="_Toc296891234"/>
      <w:bookmarkStart w:id="907" w:name="_Toc292559399"/>
      <w:bookmarkStart w:id="908" w:name="_Toc296347193"/>
      <w:bookmarkStart w:id="909" w:name="_Toc296944533"/>
      <w:bookmarkStart w:id="910" w:name="_Toc312677500"/>
      <w:bookmarkStart w:id="911" w:name="_Toc292559904"/>
      <w:bookmarkStart w:id="912" w:name="_Toc297123541"/>
      <w:bookmarkStart w:id="913" w:name="_Toc312678026"/>
      <w:bookmarkStart w:id="914" w:name="_Toc296891022"/>
      <w:bookmarkStart w:id="915" w:name="_Toc297048380"/>
      <w:bookmarkStart w:id="916" w:name="_Toc296346695"/>
      <w:bookmarkStart w:id="917" w:name="_Toc303539147"/>
      <w:bookmarkStart w:id="918" w:name="_Toc297216200"/>
      <w:bookmarkStart w:id="919" w:name="_Toc300934990"/>
      <w:bookmarkStart w:id="920" w:name="_Toc296503194"/>
      <w:bookmarkStart w:id="921" w:name="_Toc304295567"/>
      <w:r>
        <w:rPr>
          <w:rStyle w:val="19"/>
          <w:rFonts w:ascii="宋体" w:hAnsi="宋体" w:eastAsia="宋体" w:cs="Times New Roman"/>
          <w:b/>
          <w:bCs/>
          <w:color w:val="000000"/>
          <w:sz w:val="32"/>
          <w:szCs w:val="32"/>
          <w:highlight w:val="none"/>
          <w:lang w:val="zh-CN"/>
        </w:rPr>
        <w:t xml:space="preserve">0.1 </w:t>
      </w:r>
      <w:r>
        <w:rPr>
          <w:rStyle w:val="19"/>
          <w:rFonts w:hint="eastAsia" w:ascii="宋体" w:hAnsi="宋体" w:eastAsia="宋体" w:cs="黑体"/>
          <w:b/>
          <w:bCs/>
          <w:color w:val="000000"/>
          <w:sz w:val="32"/>
          <w:szCs w:val="32"/>
          <w:highlight w:val="none"/>
          <w:lang w:val="zh-CN"/>
        </w:rPr>
        <w:t>变更的范围</w:t>
      </w:r>
      <w:bookmarkEnd w:id="897"/>
      <w:bookmarkEnd w:id="898"/>
      <w:bookmarkEnd w:id="899"/>
      <w:bookmarkEnd w:id="900"/>
      <w:bookmarkEnd w:id="901"/>
      <w:bookmarkEnd w:id="902"/>
      <w:bookmarkEnd w:id="903"/>
      <w:bookmarkEnd w:id="904"/>
    </w:p>
    <w:p w14:paraId="515A395E">
      <w:pPr>
        <w:pStyle w:val="89"/>
        <w:pageBreakBefore w:val="0"/>
        <w:kinsoku/>
        <w:wordWrap/>
        <w:overflowPunct/>
        <w:topLinePunct w:val="0"/>
        <w:bidi w:val="0"/>
        <w:spacing w:line="360" w:lineRule="auto"/>
        <w:ind w:firstLine="426"/>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关于变更的范围的约定：</w:t>
      </w:r>
      <w:r>
        <w:rPr>
          <w:rStyle w:val="19"/>
          <w:rFonts w:hint="eastAsia" w:ascii="宋体" w:hAnsi="宋体" w:eastAsia="宋体" w:cs="Times New Roman"/>
          <w:color w:val="000000"/>
          <w:szCs w:val="21"/>
          <w:highlight w:val="none"/>
          <w:u w:val="single"/>
        </w:rPr>
        <w:t>按通用条款执行并经发包人书面批准确认</w:t>
      </w:r>
      <w:r>
        <w:rPr>
          <w:rStyle w:val="19"/>
          <w:rFonts w:hint="eastAsia" w:ascii="宋体" w:hAnsi="宋体" w:eastAsia="宋体" w:cs="宋体"/>
          <w:color w:val="000000"/>
          <w:highlight w:val="none"/>
        </w:rPr>
        <w:t>。</w:t>
      </w:r>
    </w:p>
    <w:p w14:paraId="49343AF6">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922" w:name="_Toc407135244"/>
      <w:bookmarkStart w:id="923" w:name="_Toc373227741"/>
      <w:bookmarkStart w:id="924" w:name="_Toc1641633295"/>
      <w:bookmarkStart w:id="925" w:name="_Toc389065307"/>
      <w:bookmarkStart w:id="926" w:name="_Toc78449830"/>
      <w:bookmarkStart w:id="927" w:name="_Toc373478388"/>
      <w:bookmarkStart w:id="928" w:name="_Toc32278"/>
      <w:bookmarkStart w:id="929" w:name="_Toc450749207"/>
      <w:r>
        <w:rPr>
          <w:rStyle w:val="19"/>
          <w:rFonts w:ascii="宋体" w:hAnsi="宋体" w:eastAsia="宋体" w:cs="Times New Roman"/>
          <w:b/>
          <w:bCs/>
          <w:color w:val="000000"/>
          <w:sz w:val="32"/>
          <w:szCs w:val="32"/>
          <w:highlight w:val="none"/>
          <w:lang w:val="zh-CN"/>
        </w:rPr>
        <w:t>10.</w:t>
      </w:r>
      <w:r>
        <w:rPr>
          <w:rStyle w:val="19"/>
          <w:rFonts w:hint="eastAsia" w:ascii="宋体" w:hAnsi="宋体" w:eastAsia="宋体" w:cs="Times New Roman"/>
          <w:b/>
          <w:bCs/>
          <w:color w:val="000000"/>
          <w:sz w:val="32"/>
          <w:szCs w:val="32"/>
          <w:highlight w:val="none"/>
          <w:lang w:val="en-US" w:eastAsia="zh-CN"/>
        </w:rPr>
        <w:t>3</w:t>
      </w:r>
      <w:r>
        <w:rPr>
          <w:rStyle w:val="19"/>
          <w:rFonts w:ascii="宋体" w:hAnsi="宋体" w:eastAsia="宋体" w:cs="Times New Roman"/>
          <w:b/>
          <w:bCs/>
          <w:color w:val="000000"/>
          <w:sz w:val="32"/>
          <w:szCs w:val="32"/>
          <w:highlight w:val="none"/>
          <w:lang w:val="zh-CN"/>
        </w:rPr>
        <w:t xml:space="preserve"> </w:t>
      </w:r>
      <w:r>
        <w:rPr>
          <w:rStyle w:val="19"/>
          <w:rFonts w:hint="eastAsia" w:ascii="宋体" w:hAnsi="宋体" w:eastAsia="宋体" w:cs="黑体"/>
          <w:b/>
          <w:bCs/>
          <w:color w:val="000000"/>
          <w:sz w:val="32"/>
          <w:szCs w:val="32"/>
          <w:highlight w:val="none"/>
          <w:lang w:val="zh-CN"/>
        </w:rPr>
        <w:t>变更程序</w:t>
      </w:r>
      <w:bookmarkEnd w:id="922"/>
      <w:bookmarkEnd w:id="923"/>
      <w:bookmarkEnd w:id="924"/>
      <w:bookmarkEnd w:id="925"/>
      <w:bookmarkEnd w:id="926"/>
      <w:bookmarkEnd w:id="927"/>
      <w:bookmarkEnd w:id="928"/>
      <w:bookmarkEnd w:id="929"/>
    </w:p>
    <w:p w14:paraId="0A519482">
      <w:pPr>
        <w:pStyle w:val="89"/>
        <w:pageBreakBefore w:val="0"/>
        <w:kinsoku/>
        <w:wordWrap/>
        <w:overflowPunct/>
        <w:topLinePunct w:val="0"/>
        <w:bidi w:val="0"/>
        <w:spacing w:line="360" w:lineRule="auto"/>
        <w:ind w:firstLine="426"/>
        <w:rPr>
          <w:rStyle w:val="19"/>
          <w:rFonts w:ascii="宋体" w:hAnsi="宋体" w:eastAsia="宋体" w:cs="宋体"/>
          <w:color w:val="000000"/>
          <w:szCs w:val="21"/>
          <w:highlight w:val="none"/>
        </w:rPr>
      </w:pPr>
      <w:bookmarkStart w:id="930" w:name="_Toc780640360"/>
      <w:bookmarkStart w:id="931" w:name="_Toc373227742"/>
      <w:bookmarkStart w:id="932" w:name="_Toc373478389"/>
      <w:bookmarkStart w:id="933" w:name="_Toc78449831"/>
      <w:bookmarkStart w:id="934" w:name="_Toc1645711468"/>
      <w:bookmarkStart w:id="935" w:name="_Toc407135245"/>
      <w:bookmarkStart w:id="936" w:name="_Toc389065308"/>
      <w:r>
        <w:rPr>
          <w:rStyle w:val="19"/>
          <w:rFonts w:ascii="宋体" w:hAnsi="宋体" w:eastAsia="宋体" w:cs="宋体"/>
          <w:color w:val="000000"/>
          <w:szCs w:val="21"/>
          <w:highlight w:val="none"/>
        </w:rPr>
        <w:t>1</w:t>
      </w:r>
      <w:r>
        <w:rPr>
          <w:rStyle w:val="19"/>
          <w:rFonts w:hint="eastAsia" w:ascii="宋体" w:hAnsi="宋体" w:eastAsia="宋体" w:cs="宋体"/>
          <w:color w:val="000000"/>
          <w:szCs w:val="21"/>
          <w:highlight w:val="none"/>
        </w:rPr>
        <w:t>.施工中发包人需对原工程设计进行变更，应提前14天以书面形式向承包人发出变更通知，并由原设计单位提供变更的相应图纸和说明；</w:t>
      </w:r>
    </w:p>
    <w:p w14:paraId="0DF01063">
      <w:pPr>
        <w:pStyle w:val="89"/>
        <w:pageBreakBefore w:val="0"/>
        <w:kinsoku/>
        <w:wordWrap/>
        <w:overflowPunct/>
        <w:topLinePunct w:val="0"/>
        <w:bidi w:val="0"/>
        <w:spacing w:line="360" w:lineRule="auto"/>
        <w:ind w:firstLine="426"/>
        <w:rPr>
          <w:rStyle w:val="19"/>
          <w:rFonts w:ascii="宋体" w:hAnsi="宋体" w:eastAsia="宋体" w:cs="宋体"/>
          <w:color w:val="000000"/>
          <w:szCs w:val="21"/>
          <w:highlight w:val="none"/>
        </w:rPr>
      </w:pPr>
      <w:r>
        <w:rPr>
          <w:rStyle w:val="19"/>
          <w:rFonts w:ascii="宋体" w:hAnsi="宋体" w:eastAsia="宋体" w:cs="宋体"/>
          <w:color w:val="000000"/>
          <w:szCs w:val="21"/>
          <w:highlight w:val="none"/>
        </w:rPr>
        <w:t>2</w:t>
      </w:r>
      <w:r>
        <w:rPr>
          <w:rStyle w:val="19"/>
          <w:rFonts w:hint="eastAsia" w:ascii="宋体" w:hAnsi="宋体" w:eastAsia="宋体" w:cs="宋体"/>
          <w:color w:val="000000"/>
          <w:szCs w:val="21"/>
          <w:highlight w:val="none"/>
        </w:rPr>
        <w:t>.施工中承包人原则上不得对原工程设计进行变更，但是在施工中承包人提出的合理化建议涉及到对设计图纸或施工组织涉及的更改及对材料、设备的换用，须经发包人书面同意，并由原设计单位提供变更的相应图纸和说明；由监理单位下达书面变更通知；</w:t>
      </w:r>
    </w:p>
    <w:p w14:paraId="7A46B3CD">
      <w:pPr>
        <w:pStyle w:val="89"/>
        <w:pageBreakBefore w:val="0"/>
        <w:kinsoku/>
        <w:wordWrap/>
        <w:overflowPunct/>
        <w:topLinePunct w:val="0"/>
        <w:bidi w:val="0"/>
        <w:spacing w:line="360" w:lineRule="auto"/>
        <w:ind w:firstLine="426"/>
        <w:rPr>
          <w:rStyle w:val="19"/>
          <w:rFonts w:ascii="宋体" w:hAnsi="宋体" w:eastAsia="宋体" w:cs="宋体"/>
          <w:color w:val="000000"/>
          <w:szCs w:val="21"/>
          <w:highlight w:val="none"/>
        </w:rPr>
      </w:pPr>
      <w:r>
        <w:rPr>
          <w:rStyle w:val="19"/>
          <w:rFonts w:ascii="宋体" w:hAnsi="宋体" w:eastAsia="宋体" w:cs="宋体"/>
          <w:color w:val="000000"/>
          <w:szCs w:val="21"/>
          <w:highlight w:val="none"/>
        </w:rPr>
        <w:t>3</w:t>
      </w:r>
      <w:r>
        <w:rPr>
          <w:rStyle w:val="19"/>
          <w:rFonts w:hint="eastAsia" w:ascii="宋体" w:hAnsi="宋体" w:eastAsia="宋体" w:cs="宋体"/>
          <w:color w:val="000000"/>
          <w:szCs w:val="21"/>
          <w:highlight w:val="none"/>
        </w:rPr>
        <w:t>.因设计变更而引起的工程量变化的，按原施工图纸与变更后的图纸的工程量之差进行增减计算；</w:t>
      </w:r>
    </w:p>
    <w:p w14:paraId="7D6186B3">
      <w:pPr>
        <w:pStyle w:val="89"/>
        <w:pageBreakBefore w:val="0"/>
        <w:kinsoku/>
        <w:wordWrap/>
        <w:overflowPunct/>
        <w:topLinePunct w:val="0"/>
        <w:bidi w:val="0"/>
        <w:spacing w:line="360" w:lineRule="auto"/>
        <w:ind w:firstLine="426"/>
        <w:rPr>
          <w:rStyle w:val="19"/>
          <w:rFonts w:ascii="宋体" w:hAnsi="宋体" w:eastAsia="宋体" w:cs="宋体"/>
          <w:color w:val="000000"/>
          <w:szCs w:val="21"/>
          <w:highlight w:val="none"/>
        </w:rPr>
      </w:pPr>
      <w:r>
        <w:rPr>
          <w:rStyle w:val="19"/>
          <w:rFonts w:ascii="宋体" w:hAnsi="宋体" w:eastAsia="宋体" w:cs="宋体"/>
          <w:color w:val="000000"/>
          <w:szCs w:val="21"/>
          <w:highlight w:val="none"/>
        </w:rPr>
        <w:t>4</w:t>
      </w:r>
      <w:r>
        <w:rPr>
          <w:rStyle w:val="19"/>
          <w:rFonts w:hint="eastAsia" w:ascii="宋体" w:hAnsi="宋体" w:eastAsia="宋体" w:cs="宋体"/>
          <w:color w:val="000000"/>
          <w:szCs w:val="21"/>
          <w:highlight w:val="none"/>
        </w:rPr>
        <w:t>.设计变更后确有影响进度的，由承包人提出，经监理人及发包人核准，工期相应顺延；</w:t>
      </w:r>
    </w:p>
    <w:p w14:paraId="5E91012C">
      <w:pPr>
        <w:pStyle w:val="89"/>
        <w:pageBreakBefore w:val="0"/>
        <w:kinsoku/>
        <w:wordWrap/>
        <w:overflowPunct/>
        <w:topLinePunct w:val="0"/>
        <w:bidi w:val="0"/>
        <w:spacing w:line="360" w:lineRule="auto"/>
        <w:ind w:firstLine="426"/>
        <w:rPr>
          <w:rStyle w:val="19"/>
          <w:rFonts w:ascii="宋体" w:hAnsi="宋体" w:eastAsia="宋体" w:cs="宋体"/>
          <w:color w:val="000000"/>
          <w:szCs w:val="21"/>
          <w:highlight w:val="none"/>
        </w:rPr>
      </w:pPr>
      <w:r>
        <w:rPr>
          <w:rStyle w:val="19"/>
          <w:rFonts w:ascii="宋体" w:hAnsi="宋体" w:eastAsia="宋体" w:cs="宋体"/>
          <w:color w:val="000000"/>
          <w:szCs w:val="21"/>
          <w:highlight w:val="none"/>
        </w:rPr>
        <w:t>5</w:t>
      </w:r>
      <w:r>
        <w:rPr>
          <w:rStyle w:val="19"/>
          <w:rFonts w:hint="eastAsia" w:ascii="宋体" w:hAnsi="宋体" w:eastAsia="宋体" w:cs="宋体"/>
          <w:color w:val="000000"/>
          <w:szCs w:val="21"/>
          <w:highlight w:val="none"/>
        </w:rPr>
        <w:t>.在施工中如发生地质、地形情况与施工设计不符时，承包人应及时书面通知设计、监理单位及有关工程师现场核对，共同研究决定，并以书面形式确认是否需要变更以及变更的处理办法；</w:t>
      </w:r>
    </w:p>
    <w:p w14:paraId="66ED5B3D">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6.</w:t>
      </w:r>
      <w:r>
        <w:rPr>
          <w:rStyle w:val="19"/>
          <w:rFonts w:hint="eastAsia" w:ascii="Calibri" w:hAnsi="宋体" w:eastAsia="宋体" w:cs="宋体"/>
          <w:color w:val="000000"/>
          <w:szCs w:val="21"/>
          <w:highlight w:val="none"/>
        </w:rPr>
        <w:t>当合同规定的合同价款调整情况发生后，承包人未在规定时间内通知发包人，或者未在规定时间内提出调整报告，发包人可以根据有关资料，决定是否调整和调整的金额，并书面通知承包人。</w:t>
      </w:r>
    </w:p>
    <w:p w14:paraId="6AB7E31A">
      <w:pPr>
        <w:pStyle w:val="89"/>
        <w:pageBreakBefore w:val="0"/>
        <w:kinsoku/>
        <w:wordWrap/>
        <w:overflowPunct/>
        <w:topLinePunct w:val="0"/>
        <w:bidi w:val="0"/>
        <w:spacing w:line="360" w:lineRule="auto"/>
        <w:ind w:firstLine="426"/>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7.工程量清单与图纸不一致时，施工前承包人需与发包人履行确认手续，否则，产生的费用由承包人承担。</w:t>
      </w:r>
    </w:p>
    <w:p w14:paraId="68B96FC7">
      <w:pPr>
        <w:pStyle w:val="89"/>
        <w:pageBreakBefore w:val="0"/>
        <w:kinsoku/>
        <w:wordWrap/>
        <w:overflowPunct/>
        <w:topLinePunct w:val="0"/>
        <w:bidi w:val="0"/>
        <w:spacing w:line="360" w:lineRule="auto"/>
        <w:ind w:firstLine="426"/>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8.承包人提交工程结算后，发包人不再补办承包人提出的任何变更审批手续。</w:t>
      </w:r>
    </w:p>
    <w:p w14:paraId="41B42821">
      <w:pPr>
        <w:pStyle w:val="89"/>
        <w:pageBreakBefore w:val="0"/>
        <w:kinsoku/>
        <w:wordWrap/>
        <w:overflowPunct/>
        <w:topLinePunct w:val="0"/>
        <w:bidi w:val="0"/>
        <w:spacing w:line="360" w:lineRule="auto"/>
        <w:ind w:firstLine="420" w:firstLineChars="200"/>
        <w:rPr>
          <w:rStyle w:val="19"/>
          <w:rFonts w:hint="eastAsia" w:ascii="宋体" w:hAnsi="宋体" w:eastAsia="宋体" w:cs="宋体"/>
          <w:color w:val="000000"/>
          <w:szCs w:val="21"/>
          <w:highlight w:val="none"/>
        </w:rPr>
      </w:pPr>
      <w:r>
        <w:rPr>
          <w:rStyle w:val="19"/>
          <w:rFonts w:hint="eastAsia" w:ascii="宋体" w:hAnsi="宋体" w:eastAsia="宋体" w:cs="宋体"/>
          <w:color w:val="000000"/>
          <w:szCs w:val="21"/>
          <w:highlight w:val="none"/>
        </w:rPr>
        <w:t>9.工程联系单、工程变更单、工程签证必须在事项发生之日起15个日历天内提报发包人进行审核，否则超过该时限的资料发包人有权拒绝签字，由此产生的费用和后果由承包人自行承担。</w:t>
      </w:r>
    </w:p>
    <w:p w14:paraId="6B600C48">
      <w:pPr>
        <w:pStyle w:val="89"/>
        <w:pageBreakBefore w:val="0"/>
        <w:kinsoku/>
        <w:wordWrap/>
        <w:overflowPunct/>
        <w:topLinePunct w:val="0"/>
        <w:bidi w:val="0"/>
        <w:spacing w:line="360" w:lineRule="auto"/>
        <w:ind w:firstLine="420" w:firstLineChars="200"/>
        <w:rPr>
          <w:rStyle w:val="19"/>
          <w:rFonts w:hint="eastAsia" w:ascii="宋体" w:hAnsi="宋体" w:eastAsia="宋体" w:cs="宋体"/>
          <w:color w:val="000000"/>
          <w:szCs w:val="21"/>
          <w:highlight w:val="none"/>
          <w:lang w:eastAsia="zh-CN"/>
        </w:rPr>
      </w:pPr>
      <w:r>
        <w:rPr>
          <w:rStyle w:val="19"/>
          <w:rFonts w:hint="eastAsia" w:ascii="宋体" w:hAnsi="宋体" w:eastAsia="宋体" w:cs="宋体"/>
          <w:color w:val="000000"/>
          <w:szCs w:val="21"/>
          <w:highlight w:val="none"/>
          <w:lang w:eastAsia="zh-CN"/>
        </w:rPr>
        <w:t>10.参与工程建设任何一方提出的变更，均应由发包人审查同意。涉及到图纸修改的，应由设计人提供设计变更图纸文件或说明。承包人应在变更后7天内编制变更报价书，经发包人、承包人、监理等有关单位人员审核后签字确认后，方作为工程结算依据。</w:t>
      </w:r>
    </w:p>
    <w:p w14:paraId="1E0155C4">
      <w:pPr>
        <w:pStyle w:val="89"/>
        <w:pageBreakBefore w:val="0"/>
        <w:kinsoku/>
        <w:wordWrap/>
        <w:overflowPunct/>
        <w:topLinePunct w:val="0"/>
        <w:bidi w:val="0"/>
        <w:spacing w:line="360" w:lineRule="auto"/>
        <w:ind w:firstLine="420" w:firstLineChars="200"/>
        <w:rPr>
          <w:rStyle w:val="19"/>
          <w:rFonts w:hint="eastAsia" w:ascii="宋体" w:hAnsi="宋体" w:eastAsia="宋体" w:cs="宋体"/>
          <w:color w:val="000000"/>
          <w:szCs w:val="21"/>
          <w:highlight w:val="none"/>
        </w:rPr>
      </w:pPr>
      <w:r>
        <w:rPr>
          <w:rStyle w:val="19"/>
          <w:rFonts w:hint="eastAsia" w:ascii="宋体" w:hAnsi="宋体" w:eastAsia="宋体" w:cs="宋体"/>
          <w:color w:val="000000"/>
          <w:szCs w:val="21"/>
          <w:highlight w:val="none"/>
          <w:lang w:eastAsia="zh-CN"/>
        </w:rPr>
        <w:t>11.发包人审</w:t>
      </w:r>
      <w:r>
        <w:rPr>
          <w:rStyle w:val="19"/>
          <w:rFonts w:hint="eastAsia" w:ascii="宋体" w:hAnsi="宋体" w:eastAsia="宋体" w:cs="宋体"/>
          <w:color w:val="000000"/>
          <w:szCs w:val="21"/>
          <w:highlight w:val="none"/>
          <w:lang w:val="en-US" w:eastAsia="zh-CN"/>
        </w:rPr>
        <w:t>核</w:t>
      </w:r>
      <w:r>
        <w:rPr>
          <w:rStyle w:val="19"/>
          <w:rFonts w:hint="eastAsia" w:ascii="宋体" w:hAnsi="宋体" w:eastAsia="宋体" w:cs="宋体"/>
          <w:color w:val="000000"/>
          <w:szCs w:val="21"/>
          <w:highlight w:val="none"/>
          <w:lang w:eastAsia="zh-CN"/>
        </w:rPr>
        <w:t>工程联系单、工程签证单的时限为：发包人在收到承包人提交的完整资料之日起30个工作日内。</w:t>
      </w:r>
    </w:p>
    <w:p w14:paraId="4BB6CEAD">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937" w:name="_Toc12776"/>
      <w:r>
        <w:rPr>
          <w:rStyle w:val="19"/>
          <w:rFonts w:ascii="宋体" w:hAnsi="宋体" w:eastAsia="宋体" w:cs="Times New Roman"/>
          <w:b/>
          <w:bCs/>
          <w:color w:val="000000"/>
          <w:sz w:val="32"/>
          <w:szCs w:val="32"/>
          <w:highlight w:val="none"/>
          <w:lang w:val="zh-CN"/>
        </w:rPr>
        <w:t>10.</w:t>
      </w:r>
      <w:r>
        <w:rPr>
          <w:rStyle w:val="19"/>
          <w:rFonts w:hint="eastAsia" w:ascii="宋体" w:hAnsi="宋体" w:eastAsia="宋体" w:cs="Times New Roman"/>
          <w:b/>
          <w:bCs/>
          <w:color w:val="000000"/>
          <w:sz w:val="32"/>
          <w:szCs w:val="32"/>
          <w:highlight w:val="none"/>
          <w:lang w:val="en-US" w:eastAsia="zh-CN"/>
        </w:rPr>
        <w:t>4</w:t>
      </w:r>
      <w:r>
        <w:rPr>
          <w:rStyle w:val="19"/>
          <w:rFonts w:ascii="宋体" w:hAnsi="宋体" w:eastAsia="宋体" w:cs="Times New Roman"/>
          <w:b/>
          <w:bCs/>
          <w:color w:val="000000"/>
          <w:sz w:val="32"/>
          <w:szCs w:val="32"/>
          <w:highlight w:val="none"/>
          <w:lang w:val="zh-CN"/>
        </w:rPr>
        <w:t xml:space="preserve"> </w:t>
      </w:r>
      <w:r>
        <w:rPr>
          <w:rStyle w:val="19"/>
          <w:rFonts w:hint="eastAsia" w:ascii="宋体" w:hAnsi="宋体" w:eastAsia="宋体" w:cs="黑体"/>
          <w:b/>
          <w:bCs/>
          <w:color w:val="000000"/>
          <w:sz w:val="32"/>
          <w:szCs w:val="32"/>
          <w:highlight w:val="none"/>
          <w:lang w:val="zh-CN"/>
        </w:rPr>
        <w:t>变更估价</w:t>
      </w:r>
      <w:bookmarkEnd w:id="930"/>
      <w:bookmarkEnd w:id="931"/>
      <w:bookmarkEnd w:id="932"/>
      <w:bookmarkEnd w:id="933"/>
      <w:bookmarkEnd w:id="934"/>
      <w:bookmarkEnd w:id="935"/>
      <w:bookmarkEnd w:id="936"/>
      <w:bookmarkEnd w:id="937"/>
    </w:p>
    <w:p w14:paraId="7390F30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10.</w:t>
      </w:r>
      <w:r>
        <w:rPr>
          <w:rStyle w:val="19"/>
          <w:rFonts w:hint="eastAsia" w:ascii="宋体" w:hAnsi="宋体" w:eastAsia="宋体" w:cs="Times New Roman"/>
          <w:color w:val="000000"/>
          <w:highlight w:val="none"/>
          <w:lang w:val="en-US" w:eastAsia="zh-CN"/>
        </w:rPr>
        <w:t>4</w:t>
      </w:r>
      <w:r>
        <w:rPr>
          <w:rStyle w:val="19"/>
          <w:rFonts w:ascii="宋体" w:hAnsi="宋体" w:eastAsia="宋体" w:cs="Times New Roman"/>
          <w:color w:val="000000"/>
          <w:highlight w:val="none"/>
        </w:rPr>
        <w:t xml:space="preserve">.1 </w:t>
      </w:r>
      <w:r>
        <w:rPr>
          <w:rStyle w:val="19"/>
          <w:rFonts w:hint="eastAsia" w:ascii="宋体" w:hAnsi="宋体" w:eastAsia="宋体" w:cs="宋体"/>
          <w:color w:val="000000"/>
          <w:highlight w:val="none"/>
        </w:rPr>
        <w:t>变更估价原则</w:t>
      </w:r>
    </w:p>
    <w:p w14:paraId="67BB3270">
      <w:pPr>
        <w:pStyle w:val="89"/>
        <w:pageBreakBefore w:val="0"/>
        <w:kinsoku/>
        <w:wordWrap/>
        <w:overflowPunct/>
        <w:topLinePunct w:val="0"/>
        <w:bidi w:val="0"/>
        <w:spacing w:line="360" w:lineRule="auto"/>
        <w:ind w:firstLine="420"/>
        <w:rPr>
          <w:rStyle w:val="19"/>
          <w:rFonts w:ascii="宋体" w:hAnsi="宋体" w:eastAsia="宋体" w:cs="宋体"/>
          <w:color w:val="000000"/>
          <w:szCs w:val="21"/>
          <w:highlight w:val="none"/>
        </w:rPr>
      </w:pPr>
      <w:bookmarkStart w:id="938" w:name="_Toc373227743"/>
      <w:bookmarkStart w:id="939" w:name="_Toc373478390"/>
      <w:bookmarkStart w:id="940" w:name="_Toc650800266"/>
      <w:bookmarkStart w:id="941" w:name="_Toc407135246"/>
      <w:bookmarkStart w:id="942" w:name="_Toc78449832"/>
      <w:bookmarkStart w:id="943" w:name="_Toc1342657745"/>
      <w:bookmarkStart w:id="944" w:name="_Toc389065309"/>
      <w:r>
        <w:rPr>
          <w:rStyle w:val="19"/>
          <w:rFonts w:hint="eastAsia" w:ascii="宋体" w:hAnsi="宋体" w:eastAsia="宋体" w:cs="Times New Roman"/>
          <w:color w:val="000000"/>
          <w:highlight w:val="none"/>
        </w:rPr>
        <w:t>关于变更估价的约定：</w:t>
      </w:r>
      <w:r>
        <w:rPr>
          <w:rStyle w:val="19"/>
          <w:rFonts w:hint="eastAsia" w:ascii="宋体" w:hAnsi="宋体" w:eastAsia="宋体" w:cs="宋体"/>
          <w:color w:val="000000"/>
          <w:szCs w:val="21"/>
          <w:highlight w:val="none"/>
          <w:u w:val="single"/>
        </w:rPr>
        <w:t>因分部分项工程量清单漏项、设计变更、签证等引起工程项目变化的，变更合同价款按下列方法进行：（1）合同中已有相同子目的，按合同该子目价格进行计算；（2）合同中只有类似子目的，参照该类似子目价格进行计算；（3）合同中没有适用或类似子目的价格计算方法：有定额的套定额（土石方工程除外），材料价格按施工期间的《南宁建设工程造价信息》相应信息价的算数平均值进行计算，《南宁建设工程造价信息》没有相应价格信息的按发包人审定的市场价计算，并乘以（1</w:t>
      </w:r>
      <w:r>
        <w:rPr>
          <w:rStyle w:val="19"/>
          <w:rFonts w:ascii="宋体" w:hAnsi="宋体" w:eastAsia="宋体" w:cs="宋体"/>
          <w:color w:val="000000"/>
          <w:szCs w:val="21"/>
          <w:highlight w:val="none"/>
          <w:u w:val="single"/>
        </w:rPr>
        <w:t>-</w:t>
      </w:r>
      <w:r>
        <w:rPr>
          <w:rStyle w:val="19"/>
          <w:rFonts w:hint="eastAsia" w:ascii="宋体" w:hAnsi="宋体" w:eastAsia="宋体" w:cs="宋体"/>
          <w:color w:val="000000"/>
          <w:szCs w:val="21"/>
          <w:highlight w:val="none"/>
          <w:u w:val="single"/>
        </w:rPr>
        <w:t>下浮系数）；无定额可套的，双方根据市场价格协商确定综合价格，并乘以（1-下浮系数）计算。新增项目的综合单价必须经发包人审定，并乘以（</w:t>
      </w:r>
      <w:r>
        <w:rPr>
          <w:rStyle w:val="19"/>
          <w:rFonts w:ascii="宋体" w:hAnsi="宋体" w:eastAsia="宋体" w:cs="宋体"/>
          <w:color w:val="000000"/>
          <w:szCs w:val="21"/>
          <w:highlight w:val="none"/>
          <w:u w:val="single"/>
        </w:rPr>
        <w:t>1</w:t>
      </w:r>
      <w:r>
        <w:rPr>
          <w:rStyle w:val="19"/>
          <w:rFonts w:hint="eastAsia" w:ascii="宋体" w:hAnsi="宋体" w:eastAsia="宋体" w:cs="宋体"/>
          <w:color w:val="000000"/>
          <w:szCs w:val="21"/>
          <w:highlight w:val="none"/>
          <w:u w:val="single"/>
        </w:rPr>
        <w:t>-下浮系数）计算。其中，下浮系数=</w:t>
      </w:r>
      <w:r>
        <w:rPr>
          <w:rStyle w:val="19"/>
          <w:rFonts w:ascii="宋体" w:hAnsi="宋体" w:eastAsia="宋体" w:cs="宋体"/>
          <w:color w:val="000000"/>
          <w:szCs w:val="21"/>
          <w:highlight w:val="none"/>
          <w:u w:val="single"/>
        </w:rPr>
        <w:t>1</w:t>
      </w:r>
      <w:r>
        <w:rPr>
          <w:rStyle w:val="19"/>
          <w:rFonts w:hint="eastAsia" w:ascii="宋体" w:hAnsi="宋体" w:eastAsia="宋体" w:cs="宋体"/>
          <w:color w:val="000000"/>
          <w:szCs w:val="21"/>
          <w:highlight w:val="none"/>
          <w:u w:val="single"/>
        </w:rPr>
        <w:t>-中标价/招标控制价。</w:t>
      </w:r>
      <w:r>
        <w:rPr>
          <w:rStyle w:val="19"/>
          <w:rFonts w:hint="eastAsia" w:ascii="宋体" w:hAnsi="宋体" w:eastAsia="宋体" w:cs="宋体;SimSun"/>
          <w:color w:val="000000"/>
          <w:highlight w:val="none"/>
          <w:u w:val="single"/>
        </w:rPr>
        <w:t>（4）</w:t>
      </w:r>
      <w:r>
        <w:rPr>
          <w:rStyle w:val="19"/>
          <w:rFonts w:ascii="宋体" w:hAnsi="宋体" w:eastAsia="宋体" w:cs="宋体;SimSun"/>
          <w:color w:val="000000"/>
          <w:highlight w:val="none"/>
          <w:u w:val="single"/>
        </w:rPr>
        <w:t>不适用上述条款的项，则由发包人和承包人协商签证确定；</w:t>
      </w:r>
      <w:r>
        <w:rPr>
          <w:rStyle w:val="19"/>
          <w:rFonts w:hint="eastAsia" w:ascii="宋体" w:hAnsi="宋体" w:eastAsia="宋体" w:cs="宋体;SimSun"/>
          <w:color w:val="000000"/>
          <w:highlight w:val="none"/>
          <w:u w:val="single"/>
        </w:rPr>
        <w:t>（5）</w:t>
      </w:r>
      <w:r>
        <w:rPr>
          <w:rStyle w:val="19"/>
          <w:rFonts w:ascii="宋体" w:hAnsi="宋体" w:eastAsia="宋体" w:cs="宋体;SimSun"/>
          <w:color w:val="000000"/>
          <w:highlight w:val="none"/>
          <w:u w:val="single"/>
        </w:rPr>
        <w:t>因不可抗力产生的费用由发包人及承包人双方协商分担</w:t>
      </w:r>
      <w:r>
        <w:rPr>
          <w:rStyle w:val="19"/>
          <w:rFonts w:ascii="宋体" w:hAnsi="宋体" w:eastAsia="宋体" w:cs="宋体;SimSun"/>
          <w:color w:val="000000"/>
          <w:highlight w:val="none"/>
        </w:rPr>
        <w:t>。</w:t>
      </w:r>
    </w:p>
    <w:p w14:paraId="73B6411A">
      <w:pPr>
        <w:pStyle w:val="89"/>
        <w:pageBreakBefore w:val="0"/>
        <w:kinsoku/>
        <w:wordWrap/>
        <w:overflowPunct/>
        <w:topLinePunct w:val="0"/>
        <w:bidi w:val="0"/>
        <w:spacing w:line="360" w:lineRule="auto"/>
        <w:ind w:firstLine="42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10.</w:t>
      </w:r>
      <w:r>
        <w:rPr>
          <w:rStyle w:val="19"/>
          <w:rFonts w:hint="eastAsia" w:ascii="宋体" w:hAnsi="宋体" w:eastAsia="宋体" w:cs="宋体"/>
          <w:color w:val="000000"/>
          <w:szCs w:val="21"/>
          <w:highlight w:val="none"/>
          <w:lang w:val="en-US" w:eastAsia="zh-CN"/>
        </w:rPr>
        <w:t>4</w:t>
      </w:r>
      <w:r>
        <w:rPr>
          <w:rStyle w:val="19"/>
          <w:rFonts w:hint="eastAsia" w:ascii="宋体" w:hAnsi="宋体" w:eastAsia="宋体" w:cs="宋体"/>
          <w:color w:val="000000"/>
          <w:szCs w:val="21"/>
          <w:highlight w:val="none"/>
        </w:rPr>
        <w:t>.2 变更估价程序</w:t>
      </w:r>
    </w:p>
    <w:p w14:paraId="4104A9E3">
      <w:pPr>
        <w:pStyle w:val="89"/>
        <w:pageBreakBefore w:val="0"/>
        <w:kinsoku/>
        <w:wordWrap/>
        <w:overflowPunct/>
        <w:topLinePunct w:val="0"/>
        <w:bidi w:val="0"/>
        <w:spacing w:line="360" w:lineRule="auto"/>
        <w:ind w:firstLine="42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1）承包人提出变更价款的时间是：承包人应当在设计变更发生后7天内提供书面变更价款的申请，将设计变更的原因、变更的金额以书面形式通知发包人，超过7天即视为承包人自动放弃变更价款索赔费用和工期的权利。</w:t>
      </w:r>
    </w:p>
    <w:p w14:paraId="0B2011BF">
      <w:pPr>
        <w:pStyle w:val="89"/>
        <w:pageBreakBefore w:val="0"/>
        <w:widowControl/>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(2)</w:t>
      </w:r>
      <w:r>
        <w:rPr>
          <w:rStyle w:val="19"/>
          <w:rFonts w:hint="eastAsia" w:ascii="宋体" w:hAnsi="宋体" w:eastAsia="宋体" w:cs="宋体"/>
          <w:color w:val="000000"/>
          <w:kern w:val="0"/>
          <w:szCs w:val="21"/>
          <w:highlight w:val="none"/>
        </w:rPr>
        <w:t>承包人认为该设计变更、工程变更、清单错漏项影响工期及合同价格的，应当在收到变更通知及发现错漏项之日起7天内书面提出相应索赔，否则认为该项变</w:t>
      </w:r>
      <w:r>
        <w:rPr>
          <w:rStyle w:val="19"/>
          <w:rFonts w:hint="eastAsia" w:ascii="宋体" w:hAnsi="宋体" w:eastAsia="宋体" w:cs="宋体"/>
          <w:color w:val="000000"/>
          <w:kern w:val="0"/>
          <w:sz w:val="24"/>
          <w:szCs w:val="21"/>
          <w:highlight w:val="none"/>
        </w:rPr>
        <w:t>更不涉及工期及合同价格调整。</w:t>
      </w:r>
    </w:p>
    <w:p w14:paraId="6D4962E3">
      <w:pPr>
        <w:pStyle w:val="89"/>
        <w:pageBreakBefore w:val="0"/>
        <w:widowControl/>
        <w:kinsoku/>
        <w:wordWrap/>
        <w:overflowPunct/>
        <w:topLinePunct w:val="0"/>
        <w:autoSpaceDE w:val="0"/>
        <w:autoSpaceDN w:val="0"/>
        <w:bidi w:val="0"/>
        <w:adjustRightInd w:val="0"/>
        <w:spacing w:line="360" w:lineRule="auto"/>
        <w:ind w:firstLine="210" w:firstLineChars="100"/>
        <w:jc w:val="left"/>
        <w:rPr>
          <w:rStyle w:val="19"/>
          <w:rFonts w:ascii="宋体" w:hAnsi="宋体" w:eastAsia="宋体" w:cs="宋体"/>
          <w:color w:val="000000"/>
          <w:szCs w:val="21"/>
          <w:highlight w:val="none"/>
          <w:u w:val="single"/>
        </w:rPr>
      </w:pPr>
      <w:r>
        <w:rPr>
          <w:rStyle w:val="19"/>
          <w:rFonts w:hint="eastAsia" w:ascii="宋体" w:hAnsi="宋体" w:eastAsia="宋体" w:cs="宋体"/>
          <w:color w:val="000000"/>
          <w:szCs w:val="21"/>
          <w:highlight w:val="none"/>
        </w:rPr>
        <w:t>（3）</w:t>
      </w:r>
      <w:r>
        <w:rPr>
          <w:rStyle w:val="19"/>
          <w:rFonts w:hint="eastAsia" w:ascii="宋体" w:hAnsi="宋体" w:eastAsia="宋体" w:cs="宋体"/>
          <w:color w:val="000000"/>
          <w:kern w:val="0"/>
          <w:szCs w:val="21"/>
          <w:highlight w:val="none"/>
        </w:rPr>
        <w:t>承包人发现工程量清单某分部工程漏项、工程量清单描述错误引起合同价款增减变化时，必须在该分部工程付款计量周期内，向监理人提出变更估价申请，监理人应在收到承包人提交的变更估价申请后3天内，审查完毕并报送发包人。监理人对变更估价申请有异议，通知承包人或发包人修改后重新提交。若承包人逾期未递交工程量漏项、清单描述错误变更估价申请，则视为承包人放弃该项变更索赔(反索赔)。结算时该部分工程漏项项目，不再另行列项计算，工程量清单描述错误的，该单项中标单价结算时不做调整。</w:t>
      </w:r>
    </w:p>
    <w:p w14:paraId="29DA0C7A">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945" w:name="_Toc7361"/>
      <w:r>
        <w:rPr>
          <w:rStyle w:val="19"/>
          <w:rFonts w:ascii="宋体" w:hAnsi="宋体" w:eastAsia="宋体" w:cs="Times New Roman"/>
          <w:b/>
          <w:bCs/>
          <w:color w:val="000000"/>
          <w:sz w:val="32"/>
          <w:szCs w:val="32"/>
          <w:highlight w:val="none"/>
          <w:lang w:val="zh-CN"/>
        </w:rPr>
        <w:t>1</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Start w:id="946" w:name="_Toc297123544"/>
      <w:bookmarkStart w:id="947" w:name="_Toc296891237"/>
      <w:bookmarkStart w:id="948" w:name="_Toc292559907"/>
      <w:bookmarkStart w:id="949" w:name="_Toc296347196"/>
      <w:bookmarkStart w:id="950" w:name="_Toc297216203"/>
      <w:bookmarkStart w:id="951" w:name="_Toc292559402"/>
      <w:bookmarkStart w:id="952" w:name="_Toc300934993"/>
      <w:bookmarkStart w:id="953" w:name="_Toc296891025"/>
      <w:bookmarkStart w:id="954" w:name="_Toc296503197"/>
      <w:bookmarkStart w:id="955" w:name="_Toc297120497"/>
      <w:bookmarkStart w:id="956" w:name="_Toc297048383"/>
      <w:bookmarkStart w:id="957" w:name="_Toc296944536"/>
      <w:bookmarkStart w:id="958" w:name="_Toc296346698"/>
      <w:bookmarkStart w:id="959" w:name="_Toc303539150"/>
      <w:bookmarkStart w:id="960" w:name="_Toc312677503"/>
      <w:bookmarkStart w:id="961" w:name="_Toc304295570"/>
      <w:bookmarkStart w:id="962" w:name="_Toc312678029"/>
      <w:r>
        <w:rPr>
          <w:rStyle w:val="19"/>
          <w:rFonts w:ascii="宋体" w:hAnsi="宋体" w:eastAsia="宋体" w:cs="Times New Roman"/>
          <w:b/>
          <w:bCs/>
          <w:color w:val="000000"/>
          <w:sz w:val="32"/>
          <w:szCs w:val="32"/>
          <w:highlight w:val="none"/>
          <w:lang w:val="zh-CN"/>
        </w:rPr>
        <w:t>0.</w:t>
      </w:r>
      <w:r>
        <w:rPr>
          <w:rStyle w:val="19"/>
          <w:rFonts w:hint="eastAsia" w:ascii="宋体" w:hAnsi="宋体" w:eastAsia="宋体" w:cs="Times New Roman"/>
          <w:b/>
          <w:bCs/>
          <w:color w:val="000000"/>
          <w:sz w:val="32"/>
          <w:szCs w:val="32"/>
          <w:highlight w:val="none"/>
          <w:lang w:val="en-US" w:eastAsia="zh-CN"/>
        </w:rPr>
        <w:t>5</w:t>
      </w:r>
      <w:r>
        <w:rPr>
          <w:rStyle w:val="19"/>
          <w:rFonts w:ascii="宋体" w:hAnsi="宋体" w:eastAsia="宋体" w:cs="Times New Roman"/>
          <w:b/>
          <w:bCs/>
          <w:color w:val="000000"/>
          <w:sz w:val="32"/>
          <w:szCs w:val="32"/>
          <w:highlight w:val="none"/>
          <w:lang w:val="zh-CN"/>
        </w:rPr>
        <w:t xml:space="preserve"> </w:t>
      </w:r>
      <w:r>
        <w:rPr>
          <w:rStyle w:val="19"/>
          <w:rFonts w:hint="eastAsia" w:ascii="宋体" w:hAnsi="宋体" w:eastAsia="宋体" w:cs="黑体"/>
          <w:b/>
          <w:bCs/>
          <w:color w:val="000000"/>
          <w:sz w:val="32"/>
          <w:szCs w:val="32"/>
          <w:highlight w:val="none"/>
          <w:lang w:val="zh-CN"/>
        </w:rPr>
        <w:t>承</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Start w:id="963" w:name="_Toc296944542"/>
      <w:bookmarkStart w:id="964" w:name="_Toc292559408"/>
      <w:bookmarkStart w:id="965" w:name="_Toc292559913"/>
      <w:bookmarkStart w:id="966" w:name="_Toc296891031"/>
      <w:bookmarkStart w:id="967" w:name="_Toc303539151"/>
      <w:bookmarkStart w:id="968" w:name="_Toc297048389"/>
      <w:bookmarkStart w:id="969" w:name="_Toc297123545"/>
      <w:bookmarkStart w:id="970" w:name="_Toc296346704"/>
      <w:bookmarkStart w:id="971" w:name="_Toc296503203"/>
      <w:bookmarkStart w:id="972" w:name="_Toc297120503"/>
      <w:bookmarkStart w:id="973" w:name="_Toc297216204"/>
      <w:bookmarkStart w:id="974" w:name="_Toc300934994"/>
      <w:bookmarkStart w:id="975" w:name="_Toc296891243"/>
      <w:bookmarkStart w:id="976" w:name="_Toc296347202"/>
      <w:r>
        <w:rPr>
          <w:rStyle w:val="19"/>
          <w:rFonts w:hint="eastAsia" w:ascii="宋体" w:hAnsi="宋体" w:eastAsia="宋体" w:cs="黑体"/>
          <w:b/>
          <w:bCs/>
          <w:color w:val="000000"/>
          <w:sz w:val="32"/>
          <w:szCs w:val="32"/>
          <w:highlight w:val="none"/>
          <w:lang w:val="zh-CN"/>
        </w:rPr>
        <w:t>包人的合理化建议</w:t>
      </w:r>
      <w:bookmarkEnd w:id="938"/>
      <w:bookmarkEnd w:id="939"/>
      <w:bookmarkEnd w:id="940"/>
      <w:bookmarkEnd w:id="941"/>
      <w:bookmarkEnd w:id="942"/>
      <w:bookmarkEnd w:id="943"/>
      <w:bookmarkEnd w:id="944"/>
      <w:bookmarkEnd w:id="945"/>
    </w:p>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14:paraId="6220107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监理人审查承包人合理化建议的期限：</w:t>
      </w:r>
      <w:r>
        <w:rPr>
          <w:rStyle w:val="19"/>
          <w:rFonts w:hint="eastAsia" w:ascii="宋体" w:hAnsi="宋体" w:eastAsia="宋体" w:cs="宋体"/>
          <w:color w:val="000000"/>
          <w:szCs w:val="21"/>
          <w:highlight w:val="none"/>
          <w:u w:val="single"/>
        </w:rPr>
        <w:t>按通用条款执行</w:t>
      </w:r>
      <w:r>
        <w:rPr>
          <w:rStyle w:val="19"/>
          <w:rFonts w:hint="eastAsia" w:ascii="宋体" w:hAnsi="宋体" w:eastAsia="宋体" w:cs="宋体"/>
          <w:color w:val="000000"/>
          <w:highlight w:val="none"/>
        </w:rPr>
        <w:t>。</w:t>
      </w:r>
    </w:p>
    <w:p w14:paraId="3334B743">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发包人审批承包人合理化建议的期限：</w:t>
      </w:r>
      <w:r>
        <w:rPr>
          <w:rStyle w:val="19"/>
          <w:rFonts w:hint="eastAsia" w:ascii="宋体" w:hAnsi="宋体" w:eastAsia="宋体" w:cs="宋体"/>
          <w:color w:val="000000"/>
          <w:szCs w:val="21"/>
          <w:highlight w:val="none"/>
          <w:u w:val="single"/>
        </w:rPr>
        <w:t>按通用条款执行</w:t>
      </w:r>
      <w:r>
        <w:rPr>
          <w:rStyle w:val="19"/>
          <w:rFonts w:hint="eastAsia" w:ascii="宋体" w:hAnsi="宋体" w:eastAsia="宋体" w:cs="宋体"/>
          <w:color w:val="000000"/>
          <w:highlight w:val="none"/>
        </w:rPr>
        <w:t>。</w:t>
      </w:r>
    </w:p>
    <w:p w14:paraId="2B7DC401">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承</w:t>
      </w:r>
      <w:bookmarkStart w:id="977" w:name="_Toc318581175"/>
      <w:bookmarkStart w:id="978" w:name="_Toc297216205"/>
      <w:bookmarkStart w:id="979" w:name="_Toc297120504"/>
      <w:bookmarkStart w:id="980" w:name="_Toc312678030"/>
      <w:bookmarkStart w:id="981" w:name="_Toc296891032"/>
      <w:bookmarkStart w:id="982" w:name="_Toc303539152"/>
      <w:bookmarkStart w:id="983" w:name="_Toc296503204"/>
      <w:bookmarkStart w:id="984" w:name="_Toc296346705"/>
      <w:bookmarkStart w:id="985" w:name="_Toc292559914"/>
      <w:bookmarkStart w:id="986" w:name="_Toc304295571"/>
      <w:bookmarkStart w:id="987" w:name="_Toc297048390"/>
      <w:bookmarkStart w:id="988" w:name="_Toc296891244"/>
      <w:bookmarkStart w:id="989" w:name="_Toc312677504"/>
      <w:bookmarkStart w:id="990" w:name="_Toc292559409"/>
      <w:bookmarkStart w:id="991" w:name="_Toc296944543"/>
      <w:bookmarkStart w:id="992" w:name="_Toc296347203"/>
      <w:bookmarkStart w:id="993" w:name="_Toc300934995"/>
      <w:bookmarkStart w:id="994" w:name="_Toc297123546"/>
      <w:r>
        <w:rPr>
          <w:rStyle w:val="19"/>
          <w:rFonts w:hint="eastAsia" w:ascii="宋体" w:hAnsi="宋体" w:eastAsia="宋体" w:cs="宋体"/>
          <w:color w:val="000000"/>
          <w:highlight w:val="none"/>
        </w:rPr>
        <w:t>包人提出的合理化建议降低了合同价格或者提高了工程经济效益的奖励的方法和金额为：</w:t>
      </w:r>
      <w:r>
        <w:rPr>
          <w:rStyle w:val="19"/>
          <w:rFonts w:ascii="宋体" w:hAnsi="宋体" w:eastAsia="宋体" w:cs="Times New Roman"/>
          <w:color w:val="000000"/>
          <w:highlight w:val="none"/>
          <w:u w:val="single"/>
        </w:rPr>
        <w:t xml:space="preserve"> 无</w:t>
      </w:r>
      <w:r>
        <w:rPr>
          <w:rStyle w:val="19"/>
          <w:rFonts w:hint="eastAsia" w:ascii="宋体" w:hAnsi="宋体" w:eastAsia="宋体" w:cs="宋体"/>
          <w:color w:val="000000"/>
          <w:highlight w:val="none"/>
        </w:rPr>
        <w:t>。</w:t>
      </w:r>
    </w:p>
    <w:p w14:paraId="2735C222">
      <w:pPr>
        <w:pStyle w:val="89"/>
        <w:pageBreakBefore w:val="0"/>
        <w:kinsoku/>
        <w:wordWrap/>
        <w:overflowPunct/>
        <w:topLinePunct w:val="0"/>
        <w:bidi w:val="0"/>
        <w:spacing w:line="360" w:lineRule="auto"/>
        <w:rPr>
          <w:rStyle w:val="19"/>
          <w:rFonts w:ascii="宋体" w:hAnsi="宋体" w:eastAsia="宋体" w:cs="Times New Roman"/>
          <w:b/>
          <w:color w:val="000000"/>
          <w:sz w:val="32"/>
          <w:szCs w:val="32"/>
          <w:highlight w:val="none"/>
        </w:rPr>
      </w:pPr>
      <w:r>
        <w:rPr>
          <w:rStyle w:val="19"/>
          <w:rFonts w:hint="eastAsia" w:ascii="宋体" w:hAnsi="宋体" w:eastAsia="宋体" w:cs="Times New Roman"/>
          <w:b/>
          <w:color w:val="000000"/>
          <w:sz w:val="32"/>
          <w:szCs w:val="32"/>
          <w:highlight w:val="none"/>
        </w:rPr>
        <w:t>10.</w:t>
      </w:r>
      <w:r>
        <w:rPr>
          <w:rStyle w:val="19"/>
          <w:rFonts w:hint="eastAsia" w:ascii="宋体" w:hAnsi="宋体" w:eastAsia="宋体" w:cs="Times New Roman"/>
          <w:b/>
          <w:color w:val="000000"/>
          <w:sz w:val="32"/>
          <w:szCs w:val="32"/>
          <w:highlight w:val="none"/>
          <w:lang w:val="en-US" w:eastAsia="zh-CN"/>
        </w:rPr>
        <w:t>6</w:t>
      </w:r>
      <w:r>
        <w:rPr>
          <w:rStyle w:val="19"/>
          <w:rFonts w:hint="eastAsia" w:ascii="宋体" w:hAnsi="宋体" w:eastAsia="宋体" w:cs="Times New Roman"/>
          <w:b/>
          <w:color w:val="000000"/>
          <w:sz w:val="32"/>
          <w:szCs w:val="32"/>
          <w:highlight w:val="none"/>
        </w:rPr>
        <w:t xml:space="preserve"> 变更引起的工期调整</w:t>
      </w:r>
    </w:p>
    <w:p w14:paraId="220ACCFF">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因变更引起的工期变化，承包人应在设计变更发生后14天内书面提出调整工期申请，超过14天即视为承包人自动放弃索赔工期的权利。监理人认为有必要时，可要求承包人提交要求提前或延长工期的施工进度计划及相应施工措施等详细材料。</w:t>
      </w:r>
    </w:p>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14:paraId="1A99F4A4">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995" w:name="_Toc78449833"/>
      <w:bookmarkStart w:id="996" w:name="_Toc373478391"/>
      <w:bookmarkStart w:id="997" w:name="_Toc389065310"/>
      <w:bookmarkStart w:id="998" w:name="_Toc5046"/>
      <w:bookmarkStart w:id="999" w:name="_Toc2045792355"/>
      <w:bookmarkStart w:id="1000" w:name="_Toc373227744"/>
      <w:bookmarkStart w:id="1001" w:name="_Toc407135247"/>
      <w:bookmarkStart w:id="1002" w:name="_Toc502454636"/>
      <w:r>
        <w:rPr>
          <w:rStyle w:val="19"/>
          <w:rFonts w:ascii="宋体" w:hAnsi="宋体" w:eastAsia="宋体" w:cs="Times New Roman"/>
          <w:b/>
          <w:bCs/>
          <w:color w:val="000000"/>
          <w:sz w:val="32"/>
          <w:szCs w:val="32"/>
          <w:highlight w:val="none"/>
          <w:lang w:val="zh-CN"/>
        </w:rPr>
        <w:t>1</w:t>
      </w:r>
      <w:bookmarkStart w:id="1003" w:name="_Toc297048385"/>
      <w:bookmarkStart w:id="1004" w:name="_Toc292559909"/>
      <w:bookmarkStart w:id="1005" w:name="_Toc296891027"/>
      <w:bookmarkStart w:id="1006" w:name="_Toc312677507"/>
      <w:bookmarkStart w:id="1007" w:name="_Toc300934997"/>
      <w:bookmarkStart w:id="1008" w:name="_Toc297123548"/>
      <w:bookmarkStart w:id="1009" w:name="_Toc296944538"/>
      <w:bookmarkStart w:id="1010" w:name="_Toc296891239"/>
      <w:bookmarkStart w:id="1011" w:name="_Toc292559404"/>
      <w:bookmarkStart w:id="1012" w:name="_Toc303539154"/>
      <w:bookmarkStart w:id="1013" w:name="_Toc304295574"/>
      <w:bookmarkStart w:id="1014" w:name="_Toc297216207"/>
      <w:bookmarkStart w:id="1015" w:name="_Toc296346700"/>
      <w:bookmarkStart w:id="1016" w:name="_Toc297120499"/>
      <w:bookmarkStart w:id="1017" w:name="_Toc312678033"/>
      <w:bookmarkStart w:id="1018" w:name="_Toc296503199"/>
      <w:bookmarkStart w:id="1019" w:name="_Toc296347198"/>
      <w:r>
        <w:rPr>
          <w:rStyle w:val="19"/>
          <w:rFonts w:ascii="宋体" w:hAnsi="宋体" w:eastAsia="宋体" w:cs="Times New Roman"/>
          <w:b/>
          <w:bCs/>
          <w:color w:val="000000"/>
          <w:sz w:val="32"/>
          <w:szCs w:val="32"/>
          <w:highlight w:val="none"/>
          <w:lang w:val="zh-CN"/>
        </w:rPr>
        <w:t>0.</w:t>
      </w:r>
      <w:r>
        <w:rPr>
          <w:rStyle w:val="19"/>
          <w:rFonts w:hint="eastAsia" w:ascii="宋体" w:hAnsi="宋体" w:eastAsia="宋体" w:cs="Times New Roman"/>
          <w:b/>
          <w:bCs/>
          <w:color w:val="000000"/>
          <w:sz w:val="32"/>
          <w:szCs w:val="32"/>
          <w:highlight w:val="none"/>
          <w:lang w:val="en-US" w:eastAsia="zh-CN"/>
        </w:rPr>
        <w:t>7</w:t>
      </w:r>
      <w:r>
        <w:rPr>
          <w:rStyle w:val="19"/>
          <w:rFonts w:ascii="宋体" w:hAnsi="宋体" w:eastAsia="宋体" w:cs="Times New Roman"/>
          <w:b/>
          <w:bCs/>
          <w:color w:val="000000"/>
          <w:sz w:val="32"/>
          <w:szCs w:val="32"/>
          <w:highlight w:val="none"/>
          <w:lang w:val="zh-CN"/>
        </w:rPr>
        <w:t xml:space="preserve"> </w:t>
      </w:r>
      <w:r>
        <w:rPr>
          <w:rStyle w:val="19"/>
          <w:rFonts w:hint="eastAsia" w:ascii="宋体" w:hAnsi="宋体" w:eastAsia="宋体" w:cs="黑体"/>
          <w:b/>
          <w:bCs/>
          <w:color w:val="000000"/>
          <w:sz w:val="32"/>
          <w:szCs w:val="32"/>
          <w:highlight w:val="none"/>
          <w:lang w:val="zh-CN"/>
        </w:rPr>
        <w:t>暂估价</w:t>
      </w:r>
      <w:bookmarkEnd w:id="995"/>
      <w:bookmarkEnd w:id="996"/>
      <w:bookmarkEnd w:id="997"/>
      <w:bookmarkEnd w:id="998"/>
      <w:bookmarkEnd w:id="999"/>
      <w:bookmarkEnd w:id="1000"/>
      <w:bookmarkEnd w:id="1001"/>
      <w:bookmarkEnd w:id="1002"/>
    </w:p>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14:paraId="7F5EBEB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kern w:val="0"/>
          <w:highlight w:val="none"/>
        </w:rPr>
        <w:t>暂</w:t>
      </w:r>
      <w:bookmarkStart w:id="1020" w:name="_Toc318581176"/>
      <w:bookmarkStart w:id="1021" w:name="_Toc312678034"/>
      <w:bookmarkStart w:id="1022" w:name="_Toc312677508"/>
      <w:r>
        <w:rPr>
          <w:rStyle w:val="19"/>
          <w:rFonts w:hint="eastAsia" w:ascii="宋体" w:hAnsi="宋体" w:eastAsia="宋体" w:cs="宋体"/>
          <w:color w:val="000000"/>
          <w:kern w:val="0"/>
          <w:highlight w:val="none"/>
        </w:rPr>
        <w:t>估价材料和工程设备的明细详见已标价工程量清单《</w:t>
      </w:r>
      <w:r>
        <w:rPr>
          <w:rStyle w:val="19"/>
          <w:rFonts w:hint="eastAsia" w:ascii="宋体" w:hAnsi="宋体" w:eastAsia="宋体" w:cs="宋体"/>
          <w:color w:val="000000"/>
          <w:highlight w:val="none"/>
        </w:rPr>
        <w:t>材料（工程设备）暂估价格及调整表》</w:t>
      </w:r>
      <w:r>
        <w:rPr>
          <w:rStyle w:val="19"/>
          <w:rFonts w:hint="eastAsia" w:ascii="宋体" w:hAnsi="宋体" w:eastAsia="宋体" w:cs="宋体"/>
          <w:color w:val="000000"/>
          <w:kern w:val="0"/>
          <w:highlight w:val="none"/>
        </w:rPr>
        <w:t>（表</w:t>
      </w:r>
      <w:r>
        <w:rPr>
          <w:rStyle w:val="19"/>
          <w:rFonts w:ascii="宋体" w:hAnsi="宋体" w:eastAsia="宋体" w:cs="Times New Roman"/>
          <w:color w:val="000000"/>
          <w:kern w:val="0"/>
          <w:highlight w:val="none"/>
        </w:rPr>
        <w:t>12-2</w:t>
      </w:r>
      <w:r>
        <w:rPr>
          <w:rStyle w:val="19"/>
          <w:rFonts w:hint="eastAsia" w:ascii="宋体" w:hAnsi="宋体" w:eastAsia="宋体" w:cs="宋体"/>
          <w:color w:val="000000"/>
          <w:kern w:val="0"/>
          <w:highlight w:val="none"/>
        </w:rPr>
        <w:t>）和《</w:t>
      </w:r>
      <w:r>
        <w:rPr>
          <w:rStyle w:val="19"/>
          <w:rFonts w:hint="eastAsia" w:ascii="宋体" w:hAnsi="宋体" w:eastAsia="宋体" w:cs="宋体"/>
          <w:color w:val="000000"/>
          <w:highlight w:val="none"/>
        </w:rPr>
        <w:t>专业工程暂估价表》（</w:t>
      </w:r>
      <w:r>
        <w:rPr>
          <w:rStyle w:val="19"/>
          <w:rFonts w:hint="eastAsia" w:ascii="宋体" w:hAnsi="宋体" w:eastAsia="宋体" w:cs="宋体"/>
          <w:color w:val="000000"/>
          <w:kern w:val="0"/>
          <w:highlight w:val="none"/>
        </w:rPr>
        <w:t>表</w:t>
      </w:r>
      <w:r>
        <w:rPr>
          <w:rStyle w:val="19"/>
          <w:rFonts w:ascii="宋体" w:hAnsi="宋体" w:eastAsia="宋体" w:cs="Times New Roman"/>
          <w:color w:val="000000"/>
          <w:kern w:val="0"/>
          <w:highlight w:val="none"/>
        </w:rPr>
        <w:t>12-3</w:t>
      </w:r>
      <w:r>
        <w:rPr>
          <w:rStyle w:val="19"/>
          <w:rFonts w:hint="eastAsia" w:ascii="宋体" w:hAnsi="宋体" w:eastAsia="宋体" w:cs="宋体"/>
          <w:color w:val="000000"/>
          <w:kern w:val="0"/>
          <w:highlight w:val="none"/>
        </w:rPr>
        <w:t>）。</w:t>
      </w:r>
    </w:p>
    <w:bookmarkEnd w:id="1020"/>
    <w:bookmarkEnd w:id="1021"/>
    <w:bookmarkEnd w:id="1022"/>
    <w:p w14:paraId="50CEB3E5">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1</w:t>
      </w:r>
      <w:bookmarkStart w:id="1023" w:name="_Toc312678035"/>
      <w:bookmarkStart w:id="1024" w:name="_Toc312677509"/>
      <w:bookmarkStart w:id="1025" w:name="_Toc318581177"/>
      <w:r>
        <w:rPr>
          <w:rStyle w:val="19"/>
          <w:rFonts w:ascii="宋体" w:hAnsi="宋体" w:eastAsia="宋体" w:cs="Times New Roman"/>
          <w:color w:val="000000"/>
          <w:highlight w:val="none"/>
        </w:rPr>
        <w:t xml:space="preserve">0.7.1 </w:t>
      </w:r>
      <w:r>
        <w:rPr>
          <w:rStyle w:val="19"/>
          <w:rFonts w:hint="eastAsia" w:ascii="宋体" w:hAnsi="宋体" w:eastAsia="宋体" w:cs="宋体"/>
          <w:color w:val="000000"/>
          <w:highlight w:val="none"/>
        </w:rPr>
        <w:t>依法必须招标的暂估价项目</w:t>
      </w:r>
    </w:p>
    <w:bookmarkEnd w:id="1023"/>
    <w:bookmarkEnd w:id="1024"/>
    <w:bookmarkEnd w:id="1025"/>
    <w:p w14:paraId="08D6CD48">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对于依法必须招标的暂估价项目的确认和批准采取</w:t>
      </w:r>
      <w:r>
        <w:rPr>
          <w:rStyle w:val="19"/>
          <w:rFonts w:hint="eastAsia" w:ascii="宋体" w:hAnsi="宋体" w:eastAsia="宋体" w:cs="宋体"/>
          <w:color w:val="000000"/>
          <w:szCs w:val="21"/>
          <w:highlight w:val="none"/>
          <w:u w:val="single"/>
        </w:rPr>
        <w:t>第</w:t>
      </w:r>
      <w:r>
        <w:rPr>
          <w:rStyle w:val="19"/>
          <w:rFonts w:ascii="宋体" w:hAnsi="宋体" w:eastAsia="宋体" w:cs="宋体"/>
          <w:color w:val="000000"/>
          <w:szCs w:val="21"/>
          <w:highlight w:val="none"/>
          <w:u w:val="single"/>
        </w:rPr>
        <w:t xml:space="preserve"> 1 </w:t>
      </w:r>
      <w:r>
        <w:rPr>
          <w:rStyle w:val="19"/>
          <w:rFonts w:hint="eastAsia" w:ascii="宋体" w:hAnsi="宋体" w:eastAsia="宋体" w:cs="宋体"/>
          <w:color w:val="000000"/>
          <w:szCs w:val="21"/>
          <w:highlight w:val="none"/>
          <w:u w:val="single"/>
        </w:rPr>
        <w:t>种</w:t>
      </w:r>
      <w:r>
        <w:rPr>
          <w:rStyle w:val="19"/>
          <w:rFonts w:hint="eastAsia" w:ascii="宋体" w:hAnsi="宋体" w:eastAsia="宋体" w:cs="宋体"/>
          <w:color w:val="000000"/>
          <w:highlight w:val="none"/>
        </w:rPr>
        <w:t>方式确定。</w:t>
      </w:r>
    </w:p>
    <w:p w14:paraId="6F255295">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第1种方式：对于依法必须招标的暂估价项目，由承包人招标，对该暂估价项目的确认和批准按照以下约定执行：</w:t>
      </w:r>
    </w:p>
    <w:p w14:paraId="6B039CA6">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27D7E349">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08B71875">
      <w:pPr>
        <w:pStyle w:val="89"/>
        <w:pageBreakBefore w:val="0"/>
        <w:kinsoku/>
        <w:wordWrap/>
        <w:overflowPunct/>
        <w:topLinePunct w:val="0"/>
        <w:bidi w:val="0"/>
        <w:spacing w:line="360" w:lineRule="auto"/>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5A3060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10.7.2 </w:t>
      </w:r>
      <w:r>
        <w:rPr>
          <w:rStyle w:val="19"/>
          <w:rFonts w:hint="eastAsia" w:ascii="宋体" w:hAnsi="宋体" w:eastAsia="宋体" w:cs="宋体"/>
          <w:color w:val="000000"/>
          <w:highlight w:val="none"/>
        </w:rPr>
        <w:t>不属于依法必须招标的暂估价项目</w:t>
      </w:r>
    </w:p>
    <w:p w14:paraId="267D5C38">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对于不属于依法必须招标的暂估价项目的确认和批准采取第</w:t>
      </w:r>
      <w:r>
        <w:rPr>
          <w:rStyle w:val="19"/>
          <w:rFonts w:ascii="宋体" w:hAnsi="宋体" w:eastAsia="宋体" w:cs="Times New Roman"/>
          <w:color w:val="000000"/>
          <w:highlight w:val="none"/>
          <w:u w:val="single"/>
        </w:rPr>
        <w:t xml:space="preserve"> 1 </w:t>
      </w:r>
      <w:r>
        <w:rPr>
          <w:rStyle w:val="19"/>
          <w:rFonts w:hint="eastAsia" w:ascii="宋体" w:hAnsi="宋体" w:eastAsia="宋体" w:cs="宋体"/>
          <w:color w:val="000000"/>
          <w:highlight w:val="none"/>
        </w:rPr>
        <w:t>种方式确定。</w:t>
      </w:r>
    </w:p>
    <w:p w14:paraId="4EB51D52">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第1种方式：对于不属于依法必须招标的暂估价项目，按本项约定确认和批准：</w:t>
      </w:r>
    </w:p>
    <w:p w14:paraId="0C809D96">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29D97765">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（2）发包人认为承包人确定的供应商、分包人无法满足工程质量或合同要求的，发包人可以要求承包人重新确定暂估价项目的供应商、分包人；</w:t>
      </w:r>
    </w:p>
    <w:p w14:paraId="12586E53">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（3）承包人应当在签订暂估价合同后7天内，将暂估价合同副本报送发包人留存。</w:t>
      </w:r>
    </w:p>
    <w:p w14:paraId="7D5510F3">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注：</w:t>
      </w:r>
      <w:r>
        <w:rPr>
          <w:rStyle w:val="19"/>
          <w:rFonts w:hint="eastAsia" w:ascii="Calibri" w:hAnsi="Calibri" w:eastAsia="宋体" w:cs="Times New Roman"/>
          <w:color w:val="000000"/>
          <w:szCs w:val="21"/>
          <w:highlight w:val="none"/>
        </w:rPr>
        <w:t>安全生产责任保险费按分部分项工程费及措施项目费(含单价及总价措施项目费)为计 算基数乘以 0.2%计入暂估价，工程结算时，由发承包双方根据工程实际情况确认的安全生产责 任保险费计入工程造价。</w:t>
      </w:r>
    </w:p>
    <w:p w14:paraId="73C419EC">
      <w:pPr>
        <w:pStyle w:val="89"/>
        <w:pageBreakBefore w:val="0"/>
        <w:kinsoku/>
        <w:wordWrap/>
        <w:overflowPunct/>
        <w:topLinePunct w:val="0"/>
        <w:bidi w:val="0"/>
        <w:spacing w:line="360" w:lineRule="auto"/>
        <w:jc w:val="left"/>
        <w:rPr>
          <w:rStyle w:val="19"/>
          <w:rFonts w:ascii="宋体" w:hAnsi="宋体" w:eastAsia="宋体" w:cs="Times New Roman"/>
          <w:b/>
          <w:color w:val="000000"/>
          <w:sz w:val="32"/>
          <w:szCs w:val="32"/>
          <w:highlight w:val="none"/>
        </w:rPr>
      </w:pPr>
      <w:bookmarkStart w:id="1026" w:name="_Toc2032108729"/>
      <w:bookmarkStart w:id="1027" w:name="_Toc373478392"/>
      <w:bookmarkStart w:id="1028" w:name="_Toc389065311"/>
      <w:bookmarkStart w:id="1029" w:name="_Toc407135248"/>
      <w:bookmarkStart w:id="1030" w:name="_Toc78449834"/>
      <w:bookmarkStart w:id="1031" w:name="_Toc2131098822"/>
      <w:bookmarkStart w:id="1032" w:name="_Toc373227745"/>
      <w:r>
        <w:rPr>
          <w:rStyle w:val="19"/>
          <w:rFonts w:ascii="宋体" w:hAnsi="宋体" w:eastAsia="宋体" w:cs="Times New Roman"/>
          <w:b/>
          <w:color w:val="000000"/>
          <w:sz w:val="32"/>
          <w:szCs w:val="32"/>
          <w:highlight w:val="none"/>
        </w:rPr>
        <w:t>10.</w:t>
      </w:r>
      <w:r>
        <w:rPr>
          <w:rStyle w:val="19"/>
          <w:rFonts w:hint="eastAsia" w:ascii="宋体" w:hAnsi="宋体" w:eastAsia="宋体" w:cs="Times New Roman"/>
          <w:b/>
          <w:color w:val="000000"/>
          <w:sz w:val="32"/>
          <w:szCs w:val="32"/>
          <w:highlight w:val="none"/>
          <w:lang w:val="en-US" w:eastAsia="zh-CN"/>
        </w:rPr>
        <w:t>8</w:t>
      </w:r>
      <w:r>
        <w:rPr>
          <w:rStyle w:val="19"/>
          <w:rFonts w:ascii="宋体" w:hAnsi="宋体" w:eastAsia="宋体" w:cs="Times New Roman"/>
          <w:b/>
          <w:color w:val="000000"/>
          <w:sz w:val="32"/>
          <w:szCs w:val="32"/>
          <w:highlight w:val="none"/>
        </w:rPr>
        <w:t xml:space="preserve"> </w:t>
      </w:r>
      <w:r>
        <w:rPr>
          <w:rStyle w:val="19"/>
          <w:rFonts w:hint="eastAsia" w:ascii="宋体" w:hAnsi="宋体" w:eastAsia="宋体" w:cs="黑体"/>
          <w:b/>
          <w:color w:val="000000"/>
          <w:sz w:val="32"/>
          <w:szCs w:val="32"/>
          <w:highlight w:val="none"/>
        </w:rPr>
        <w:t>暂列金额</w:t>
      </w:r>
      <w:bookmarkEnd w:id="1026"/>
      <w:bookmarkEnd w:id="1027"/>
      <w:bookmarkEnd w:id="1028"/>
      <w:bookmarkEnd w:id="1029"/>
      <w:bookmarkEnd w:id="1030"/>
      <w:bookmarkEnd w:id="1031"/>
      <w:bookmarkEnd w:id="1032"/>
    </w:p>
    <w:p w14:paraId="089F14F5">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合同当事人关于暂列金额使用的约定：</w:t>
      </w:r>
      <w:r>
        <w:rPr>
          <w:rStyle w:val="19"/>
          <w:rFonts w:hint="eastAsia" w:ascii="宋体" w:hAnsi="宋体" w:eastAsia="宋体" w:cs="宋体"/>
          <w:color w:val="000000"/>
          <w:szCs w:val="21"/>
          <w:highlight w:val="none"/>
          <w:u w:val="single"/>
        </w:rPr>
        <w:t>由承包人根据实际情况提出申请，监理人审核后，交发包人最终确认后使用</w:t>
      </w:r>
      <w:r>
        <w:rPr>
          <w:rStyle w:val="19"/>
          <w:rFonts w:hint="eastAsia" w:ascii="宋体" w:hAnsi="宋体" w:eastAsia="宋体" w:cs="宋体"/>
          <w:color w:val="000000"/>
          <w:kern w:val="0"/>
          <w:highlight w:val="none"/>
        </w:rPr>
        <w:t>。</w:t>
      </w:r>
    </w:p>
    <w:p w14:paraId="70F23B89">
      <w:pPr>
        <w:pStyle w:val="89"/>
        <w:pageBreakBefore w:val="0"/>
        <w:kinsoku/>
        <w:wordWrap/>
        <w:overflowPunct/>
        <w:topLinePunct w:val="0"/>
        <w:bidi w:val="0"/>
        <w:spacing w:line="360" w:lineRule="auto"/>
        <w:jc w:val="left"/>
        <w:rPr>
          <w:rStyle w:val="19"/>
          <w:rFonts w:ascii="宋体" w:hAnsi="宋体" w:eastAsia="宋体" w:cs="Times New Roman"/>
          <w:b/>
          <w:color w:val="000000"/>
          <w:sz w:val="32"/>
          <w:szCs w:val="32"/>
          <w:highlight w:val="none"/>
        </w:rPr>
      </w:pPr>
      <w:r>
        <w:rPr>
          <w:rStyle w:val="19"/>
          <w:rFonts w:hint="eastAsia" w:ascii="宋体" w:hAnsi="宋体" w:eastAsia="宋体" w:cs="Times New Roman"/>
          <w:b/>
          <w:color w:val="000000"/>
          <w:sz w:val="32"/>
          <w:szCs w:val="32"/>
          <w:highlight w:val="none"/>
        </w:rPr>
        <w:t>10.</w:t>
      </w:r>
      <w:r>
        <w:rPr>
          <w:rStyle w:val="19"/>
          <w:rFonts w:hint="eastAsia" w:ascii="宋体" w:hAnsi="宋体" w:cs="Times New Roman"/>
          <w:b/>
          <w:color w:val="000000"/>
          <w:sz w:val="32"/>
          <w:szCs w:val="32"/>
          <w:highlight w:val="none"/>
          <w:lang w:val="en-US" w:eastAsia="zh-CN"/>
        </w:rPr>
        <w:t>9</w:t>
      </w:r>
      <w:r>
        <w:rPr>
          <w:rStyle w:val="19"/>
          <w:rFonts w:hint="eastAsia" w:ascii="宋体" w:hAnsi="宋体" w:eastAsia="宋体" w:cs="Times New Roman"/>
          <w:b/>
          <w:color w:val="000000"/>
          <w:sz w:val="32"/>
          <w:szCs w:val="32"/>
          <w:highlight w:val="none"/>
        </w:rPr>
        <w:t>其他</w:t>
      </w:r>
    </w:p>
    <w:p w14:paraId="05BE80CD">
      <w:pPr>
        <w:pStyle w:val="89"/>
        <w:pageBreakBefore w:val="0"/>
        <w:kinsoku/>
        <w:wordWrap/>
        <w:overflowPunct/>
        <w:topLinePunct w:val="0"/>
        <w:bidi w:val="0"/>
        <w:spacing w:line="360" w:lineRule="auto"/>
        <w:ind w:firstLine="411" w:firstLineChars="196"/>
        <w:rPr>
          <w:rStyle w:val="19"/>
          <w:rFonts w:hint="eastAsia" w:ascii="宋体" w:hAnsi="宋体" w:eastAsia="宋体" w:cs="Times New Roman"/>
          <w:color w:val="000000"/>
          <w:highlight w:val="none"/>
          <w:u w:val="single"/>
        </w:rPr>
      </w:pPr>
      <w:r>
        <w:rPr>
          <w:rStyle w:val="19"/>
          <w:rFonts w:hint="eastAsia" w:ascii="宋体" w:hAnsi="宋体" w:eastAsia="宋体" w:cs="宋体"/>
          <w:color w:val="000000"/>
          <w:highlight w:val="none"/>
        </w:rPr>
        <w:t>承包人拒绝完成合同中部分施工内容或发包人书面下达的设计变更工程变更（在施工组织进度计划约定的部分施工内容启动期限过期5日即视为拒绝完成部分施工内容），发包人有权安排其他施工单位进行施工，所发生的全部费用外加10%管理费从承包人履约保证金或工程款中扣除，承包人不得有任何异议，造成发包人经济损失的，还应当承担赔偿发包人的全部损失及发包人为主张权利而支出的所有费用（包括发包人向第三方支付的赔偿金、补偿金、违约金等，为实现债权而支付的律师费、公证费、诉讼费、保全费、公告费、鉴定费、诉讼财产保全责任险保险费等一切费用）。承包人通过书面形式明确拒绝履行特定施工内容的，则自拒绝文件送达发包人之日起，视为承包人不可逆地放弃该部分施工权，不得以任何形式继续实施或主张完成相关工程。发包人有权即时将该部分工程另行委托第三方施工，原承包人须无条件配合移交工作面并提供必要技术资料，且不得以人员、设备未撤离等理由主张对已放弃的部分施工内容进行施工。</w:t>
      </w:r>
    </w:p>
    <w:p w14:paraId="4632F8E6">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1033" w:name="_Toc373227746"/>
      <w:bookmarkStart w:id="1034" w:name="_Toc407135249"/>
      <w:bookmarkStart w:id="1035" w:name="_Toc373478393"/>
      <w:bookmarkStart w:id="1036" w:name="_Toc136736539"/>
      <w:bookmarkStart w:id="1037" w:name="_Toc389065312"/>
      <w:bookmarkStart w:id="1038" w:name="_Toc78449835"/>
      <w:bookmarkStart w:id="1039" w:name="_Toc26886"/>
      <w:bookmarkStart w:id="1040" w:name="_Toc351203643"/>
      <w:bookmarkStart w:id="1041" w:name="_Toc1190723452"/>
      <w:r>
        <w:rPr>
          <w:rStyle w:val="19"/>
          <w:rFonts w:hint="eastAsia" w:ascii="宋体" w:hAnsi="宋体" w:eastAsia="宋体" w:cs="黑体"/>
          <w:b/>
          <w:bCs/>
          <w:color w:val="000000"/>
          <w:sz w:val="32"/>
          <w:szCs w:val="32"/>
          <w:highlight w:val="none"/>
          <w:lang w:val="zh-CN"/>
        </w:rPr>
        <w:t>11、价格调整</w:t>
      </w:r>
      <w:bookmarkEnd w:id="1033"/>
      <w:bookmarkEnd w:id="1034"/>
      <w:bookmarkEnd w:id="1035"/>
      <w:bookmarkEnd w:id="1036"/>
      <w:bookmarkEnd w:id="1037"/>
      <w:bookmarkEnd w:id="1038"/>
      <w:bookmarkEnd w:id="1039"/>
      <w:bookmarkEnd w:id="1040"/>
      <w:bookmarkEnd w:id="1041"/>
    </w:p>
    <w:p w14:paraId="5DF8BC74">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042" w:name="_Toc373478394"/>
      <w:bookmarkStart w:id="1043" w:name="_Toc1501386015"/>
      <w:bookmarkStart w:id="1044" w:name="_Toc78449836"/>
      <w:bookmarkStart w:id="1045" w:name="_Toc373227747"/>
      <w:bookmarkStart w:id="1046" w:name="_Toc22650"/>
      <w:bookmarkStart w:id="1047" w:name="_Toc389065313"/>
      <w:bookmarkStart w:id="1048" w:name="_Toc42268484"/>
      <w:bookmarkStart w:id="1049" w:name="_Toc407135250"/>
      <w:bookmarkStart w:id="1050" w:name="_Toc312678039"/>
      <w:bookmarkStart w:id="1051" w:name="_Toc296503201"/>
      <w:bookmarkStart w:id="1052" w:name="_Toc297216209"/>
      <w:bookmarkStart w:id="1053" w:name="_Toc303539157"/>
      <w:bookmarkStart w:id="1054" w:name="_Toc300935000"/>
      <w:bookmarkStart w:id="1055" w:name="_Toc292559911"/>
      <w:bookmarkStart w:id="1056" w:name="_Toc297048387"/>
      <w:bookmarkStart w:id="1057" w:name="_Toc296891241"/>
      <w:bookmarkStart w:id="1058" w:name="_Toc296347200"/>
      <w:bookmarkStart w:id="1059" w:name="_Toc296944540"/>
      <w:bookmarkStart w:id="1060" w:name="_Toc297123550"/>
      <w:bookmarkStart w:id="1061" w:name="_Toc297120501"/>
      <w:bookmarkStart w:id="1062" w:name="_Toc304295577"/>
      <w:bookmarkStart w:id="1063" w:name="_Toc292559406"/>
      <w:bookmarkStart w:id="1064" w:name="_Toc296346702"/>
      <w:bookmarkStart w:id="1065" w:name="_Toc296891029"/>
      <w:r>
        <w:rPr>
          <w:rStyle w:val="19"/>
          <w:rFonts w:ascii="宋体" w:hAnsi="宋体" w:eastAsia="宋体" w:cs="Times New Roman"/>
          <w:b/>
          <w:bCs/>
          <w:color w:val="000000"/>
          <w:sz w:val="32"/>
          <w:szCs w:val="32"/>
          <w:highlight w:val="none"/>
          <w:lang w:val="zh-CN"/>
        </w:rPr>
        <w:t xml:space="preserve">11.1 </w:t>
      </w:r>
      <w:r>
        <w:rPr>
          <w:rStyle w:val="19"/>
          <w:rFonts w:hint="eastAsia" w:ascii="宋体" w:hAnsi="宋体" w:eastAsia="宋体" w:cs="黑体"/>
          <w:b/>
          <w:bCs/>
          <w:color w:val="000000"/>
          <w:sz w:val="32"/>
          <w:szCs w:val="32"/>
          <w:highlight w:val="none"/>
          <w:lang w:val="zh-CN"/>
        </w:rPr>
        <w:t>市场价格波动引起的调整</w:t>
      </w:r>
      <w:bookmarkEnd w:id="1042"/>
      <w:bookmarkEnd w:id="1043"/>
      <w:bookmarkEnd w:id="1044"/>
      <w:bookmarkEnd w:id="1045"/>
      <w:bookmarkEnd w:id="1046"/>
      <w:bookmarkEnd w:id="1047"/>
      <w:bookmarkEnd w:id="1048"/>
      <w:bookmarkEnd w:id="1049"/>
    </w:p>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14:paraId="782C746F">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kern w:val="0"/>
          <w:highlight w:val="none"/>
        </w:rPr>
        <w:t>市场价格波动是否调整合同价格的约定：</w:t>
      </w:r>
      <w:r>
        <w:rPr>
          <w:rStyle w:val="19"/>
          <w:rFonts w:hint="eastAsia" w:ascii="宋体" w:hAnsi="宋体" w:eastAsia="宋体" w:cs="宋体"/>
          <w:color w:val="000000"/>
          <w:szCs w:val="21"/>
          <w:highlight w:val="none"/>
          <w:u w:val="single"/>
        </w:rPr>
        <w:t>是，但因承包人原因造成的工期拖延，延误期间的价格下跌时按下跌价格调整，价格上涨时按原价格</w:t>
      </w:r>
      <w:r>
        <w:rPr>
          <w:rStyle w:val="19"/>
          <w:rFonts w:hint="eastAsia" w:ascii="宋体" w:hAnsi="宋体" w:eastAsia="宋体" w:cs="宋体"/>
          <w:color w:val="000000"/>
          <w:szCs w:val="21"/>
          <w:highlight w:val="none"/>
        </w:rPr>
        <w:t>。按《建设工程工程量清单计价规范（GB50500-2013）广西壮族自治区实施细则》规定，本工程合同履行期间主要材料【仅指钢材、商品混凝土、电线电缆、砌块、水泥、砂】的材料价格调整幅度超过《南宁建设工程造价信息》</w:t>
      </w:r>
      <w:r>
        <w:rPr>
          <w:rStyle w:val="19"/>
          <w:rFonts w:hint="eastAsia" w:ascii="宋体" w:hAnsi="宋体" w:eastAsia="宋体" w:cs="宋体"/>
          <w:color w:val="000000"/>
          <w:szCs w:val="21"/>
          <w:highlight w:val="none"/>
          <w:u w:val="single"/>
        </w:rPr>
        <w:t>202</w:t>
      </w:r>
      <w:r>
        <w:rPr>
          <w:rStyle w:val="19"/>
          <w:rFonts w:hint="eastAsia" w:ascii="宋体" w:hAnsi="宋体" w:cs="宋体"/>
          <w:color w:val="000000"/>
          <w:szCs w:val="21"/>
          <w:highlight w:val="none"/>
          <w:u w:val="single"/>
          <w:lang w:val="en-US" w:eastAsia="zh-CN"/>
        </w:rPr>
        <w:t>5</w:t>
      </w:r>
      <w:r>
        <w:rPr>
          <w:rStyle w:val="19"/>
          <w:rFonts w:hint="eastAsia" w:ascii="宋体" w:hAnsi="宋体" w:eastAsia="宋体" w:cs="宋体"/>
          <w:color w:val="000000"/>
          <w:szCs w:val="21"/>
          <w:highlight w:val="none"/>
          <w:u w:val="single"/>
        </w:rPr>
        <w:t>年第12期</w:t>
      </w:r>
      <w:r>
        <w:rPr>
          <w:rStyle w:val="19"/>
          <w:rFonts w:hint="eastAsia" w:ascii="Calibri" w:hAnsi="Calibri" w:eastAsia="宋体" w:cs="Times New Roman"/>
          <w:color w:val="000000"/>
          <w:highlight w:val="none"/>
        </w:rPr>
        <w:t>下半月</w:t>
      </w:r>
      <w:r>
        <w:rPr>
          <w:rStyle w:val="19"/>
          <w:rFonts w:hint="eastAsia" w:ascii="宋体" w:hAnsi="宋体" w:eastAsia="宋体" w:cs="宋体"/>
          <w:color w:val="000000"/>
          <w:szCs w:val="21"/>
          <w:highlight w:val="none"/>
        </w:rPr>
        <w:t>公布的±10%，则超出部分按施工期间《南宁建设工程造价信息》公布价的算数平均值调整，调整部分仅计差额及相应的税金。要进行价格调整的材料，其单价和采购数应由监理人复核，发包人确认需调整的材料单价及数量，作为调整工程合同价格差额的依据。</w:t>
      </w:r>
    </w:p>
    <w:p w14:paraId="4A2258F8">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因市场价格波动调整合同价格，采用以下第</w:t>
      </w:r>
      <w:r>
        <w:rPr>
          <w:rStyle w:val="19"/>
          <w:rFonts w:hint="eastAsia" w:ascii="宋体" w:hAnsi="宋体" w:eastAsia="宋体" w:cs="Times New Roman"/>
          <w:color w:val="000000"/>
          <w:highlight w:val="none"/>
          <w:u w:val="single"/>
        </w:rPr>
        <w:t>3</w:t>
      </w:r>
      <w:r>
        <w:rPr>
          <w:rStyle w:val="19"/>
          <w:rFonts w:hint="eastAsia" w:ascii="宋体" w:hAnsi="宋体" w:eastAsia="宋体" w:cs="宋体"/>
          <w:color w:val="000000"/>
          <w:highlight w:val="none"/>
        </w:rPr>
        <w:t>种方式对合同价格进行调整：</w:t>
      </w:r>
    </w:p>
    <w:p w14:paraId="3BE81053">
      <w:pPr>
        <w:pStyle w:val="89"/>
        <w:pageBreakBefore w:val="0"/>
        <w:kinsoku/>
        <w:wordWrap/>
        <w:overflowPunct/>
        <w:topLinePunct w:val="0"/>
        <w:bidi w:val="0"/>
        <w:spacing w:line="360" w:lineRule="auto"/>
        <w:ind w:firstLine="420"/>
        <w:rPr>
          <w:rStyle w:val="19"/>
          <w:rFonts w:ascii="宋体" w:hAnsi="宋体" w:eastAsia="宋体" w:cs="宋体"/>
          <w:color w:val="000000"/>
          <w:szCs w:val="21"/>
          <w:highlight w:val="none"/>
        </w:rPr>
      </w:pPr>
      <w:r>
        <w:rPr>
          <w:rStyle w:val="19"/>
          <w:rFonts w:hint="eastAsia" w:ascii="宋体" w:hAnsi="宋体" w:eastAsia="宋体" w:cs="宋体"/>
          <w:b/>
          <w:color w:val="000000"/>
          <w:highlight w:val="none"/>
        </w:rPr>
        <w:t>第</w:t>
      </w:r>
      <w:r>
        <w:rPr>
          <w:rStyle w:val="19"/>
          <w:rFonts w:ascii="宋体" w:hAnsi="宋体" w:eastAsia="宋体" w:cs="Times New Roman"/>
          <w:b/>
          <w:color w:val="000000"/>
          <w:highlight w:val="none"/>
        </w:rPr>
        <w:t>3</w:t>
      </w:r>
      <w:r>
        <w:rPr>
          <w:rStyle w:val="19"/>
          <w:rFonts w:hint="eastAsia" w:ascii="宋体" w:hAnsi="宋体" w:eastAsia="宋体" w:cs="宋体"/>
          <w:b/>
          <w:color w:val="000000"/>
          <w:highlight w:val="none"/>
        </w:rPr>
        <w:t>种方式</w:t>
      </w:r>
      <w:r>
        <w:rPr>
          <w:rStyle w:val="19"/>
          <w:rFonts w:hint="eastAsia" w:ascii="宋体" w:hAnsi="宋体" w:eastAsia="宋体" w:cs="宋体"/>
          <w:color w:val="000000"/>
          <w:highlight w:val="none"/>
        </w:rPr>
        <w:t>：</w:t>
      </w:r>
      <w:r>
        <w:rPr>
          <w:rStyle w:val="19"/>
          <w:rFonts w:hint="eastAsia" w:ascii="宋体" w:hAnsi="宋体" w:eastAsia="宋体" w:cs="宋体"/>
          <w:color w:val="000000"/>
          <w:szCs w:val="21"/>
          <w:highlight w:val="none"/>
          <w:u w:val="single"/>
        </w:rPr>
        <w:t>关于基准价格的约定：按《南宁建设工程造价信息》 202</w:t>
      </w:r>
      <w:r>
        <w:rPr>
          <w:rStyle w:val="19"/>
          <w:rFonts w:hint="eastAsia" w:ascii="宋体" w:hAnsi="宋体" w:cs="宋体"/>
          <w:color w:val="000000"/>
          <w:szCs w:val="21"/>
          <w:highlight w:val="none"/>
          <w:u w:val="single"/>
          <w:lang w:val="en-US" w:eastAsia="zh-CN"/>
        </w:rPr>
        <w:t>5</w:t>
      </w:r>
      <w:r>
        <w:rPr>
          <w:rStyle w:val="19"/>
          <w:rFonts w:hint="eastAsia" w:ascii="宋体" w:hAnsi="宋体" w:eastAsia="宋体" w:cs="宋体"/>
          <w:color w:val="000000"/>
          <w:szCs w:val="21"/>
          <w:highlight w:val="none"/>
          <w:u w:val="single"/>
        </w:rPr>
        <w:t>年第12期</w:t>
      </w:r>
      <w:r>
        <w:rPr>
          <w:rStyle w:val="19"/>
          <w:rFonts w:hint="eastAsia" w:ascii="Calibri" w:hAnsi="Calibri" w:eastAsia="宋体" w:cs="Times New Roman"/>
          <w:color w:val="000000"/>
          <w:highlight w:val="none"/>
        </w:rPr>
        <w:t>下半月</w:t>
      </w:r>
      <w:r>
        <w:rPr>
          <w:rStyle w:val="19"/>
          <w:rFonts w:hint="eastAsia" w:ascii="宋体" w:hAnsi="宋体" w:eastAsia="宋体" w:cs="宋体"/>
          <w:color w:val="000000"/>
          <w:szCs w:val="21"/>
          <w:highlight w:val="none"/>
        </w:rPr>
        <w:t>。</w:t>
      </w:r>
    </w:p>
    <w:p w14:paraId="7ABB6686">
      <w:pPr>
        <w:pStyle w:val="89"/>
        <w:pageBreakBefore w:val="0"/>
        <w:kinsoku/>
        <w:wordWrap/>
        <w:overflowPunct/>
        <w:topLinePunct w:val="0"/>
        <w:bidi w:val="0"/>
        <w:spacing w:line="360" w:lineRule="auto"/>
        <w:ind w:firstLine="42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①承包人在已标价工程量清单或预算书中载明的材料单价低于基准价格的：合同履行期间材料单价涨幅以基准价格为基础超过</w:t>
      </w:r>
      <w:r>
        <w:rPr>
          <w:rStyle w:val="19"/>
          <w:rFonts w:hint="eastAsia" w:ascii="宋体" w:hAnsi="宋体" w:eastAsia="宋体" w:cs="宋体"/>
          <w:b/>
          <w:color w:val="000000"/>
          <w:szCs w:val="21"/>
          <w:highlight w:val="none"/>
          <w:u w:val="single"/>
        </w:rPr>
        <w:t>10</w:t>
      </w:r>
      <w:r>
        <w:rPr>
          <w:rStyle w:val="19"/>
          <w:rFonts w:hint="eastAsia" w:ascii="宋体" w:hAnsi="宋体" w:eastAsia="宋体" w:cs="宋体"/>
          <w:b/>
          <w:color w:val="000000"/>
          <w:szCs w:val="21"/>
          <w:highlight w:val="none"/>
        </w:rPr>
        <w:t>%</w:t>
      </w:r>
      <w:r>
        <w:rPr>
          <w:rStyle w:val="19"/>
          <w:rFonts w:hint="eastAsia" w:ascii="宋体" w:hAnsi="宋体" w:eastAsia="宋体" w:cs="宋体"/>
          <w:color w:val="000000"/>
          <w:szCs w:val="21"/>
          <w:highlight w:val="none"/>
        </w:rPr>
        <w:t>时，或材料单价跌幅以已标价工程量清单或预算书中载明材料单价为基础超过</w:t>
      </w:r>
      <w:r>
        <w:rPr>
          <w:rStyle w:val="19"/>
          <w:rFonts w:hint="eastAsia" w:ascii="宋体" w:hAnsi="宋体" w:eastAsia="宋体" w:cs="宋体"/>
          <w:b/>
          <w:color w:val="000000"/>
          <w:szCs w:val="21"/>
          <w:highlight w:val="none"/>
          <w:u w:val="single"/>
        </w:rPr>
        <w:t>10</w:t>
      </w:r>
      <w:r>
        <w:rPr>
          <w:rStyle w:val="19"/>
          <w:rFonts w:hint="eastAsia" w:ascii="宋体" w:hAnsi="宋体" w:eastAsia="宋体" w:cs="宋体"/>
          <w:b/>
          <w:color w:val="000000"/>
          <w:szCs w:val="21"/>
          <w:highlight w:val="none"/>
        </w:rPr>
        <w:t>%</w:t>
      </w:r>
      <w:r>
        <w:rPr>
          <w:rStyle w:val="19"/>
          <w:rFonts w:hint="eastAsia" w:ascii="宋体" w:hAnsi="宋体" w:eastAsia="宋体" w:cs="宋体"/>
          <w:color w:val="000000"/>
          <w:szCs w:val="21"/>
          <w:highlight w:val="none"/>
        </w:rPr>
        <w:t>时，其超过部分据实调整。</w:t>
      </w:r>
    </w:p>
    <w:p w14:paraId="103BC5FA">
      <w:pPr>
        <w:pStyle w:val="89"/>
        <w:pageBreakBefore w:val="0"/>
        <w:kinsoku/>
        <w:wordWrap/>
        <w:overflowPunct/>
        <w:topLinePunct w:val="0"/>
        <w:bidi w:val="0"/>
        <w:spacing w:line="360" w:lineRule="auto"/>
        <w:ind w:firstLine="42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②承包人在已标价工程量清单或预算书中载明的材料单价高于基准价格的：合同履行期间材料单价跌幅以基准价格为基础超过</w:t>
      </w:r>
      <w:r>
        <w:rPr>
          <w:rStyle w:val="19"/>
          <w:rFonts w:hint="eastAsia" w:ascii="宋体" w:hAnsi="宋体" w:eastAsia="宋体" w:cs="宋体"/>
          <w:b/>
          <w:color w:val="000000"/>
          <w:szCs w:val="21"/>
          <w:highlight w:val="none"/>
          <w:u w:val="single"/>
        </w:rPr>
        <w:t>10</w:t>
      </w:r>
      <w:r>
        <w:rPr>
          <w:rStyle w:val="19"/>
          <w:rFonts w:hint="eastAsia" w:ascii="宋体" w:hAnsi="宋体" w:eastAsia="宋体" w:cs="宋体"/>
          <w:b/>
          <w:color w:val="000000"/>
          <w:szCs w:val="21"/>
          <w:highlight w:val="none"/>
        </w:rPr>
        <w:t>%</w:t>
      </w:r>
      <w:r>
        <w:rPr>
          <w:rStyle w:val="19"/>
          <w:rFonts w:hint="eastAsia" w:ascii="宋体" w:hAnsi="宋体" w:eastAsia="宋体" w:cs="宋体"/>
          <w:color w:val="000000"/>
          <w:szCs w:val="21"/>
          <w:highlight w:val="none"/>
        </w:rPr>
        <w:t>时，材料单价涨幅以已标价工程量清单或预算书中载明材料单价为基础超过</w:t>
      </w:r>
      <w:r>
        <w:rPr>
          <w:rStyle w:val="19"/>
          <w:rFonts w:hint="eastAsia" w:ascii="宋体" w:hAnsi="宋体" w:eastAsia="宋体" w:cs="宋体"/>
          <w:b/>
          <w:color w:val="000000"/>
          <w:szCs w:val="21"/>
          <w:highlight w:val="none"/>
          <w:u w:val="single"/>
        </w:rPr>
        <w:t>10</w:t>
      </w:r>
      <w:r>
        <w:rPr>
          <w:rStyle w:val="19"/>
          <w:rFonts w:hint="eastAsia" w:ascii="宋体" w:hAnsi="宋体" w:eastAsia="宋体" w:cs="宋体"/>
          <w:b/>
          <w:color w:val="000000"/>
          <w:szCs w:val="21"/>
          <w:highlight w:val="none"/>
        </w:rPr>
        <w:t>%</w:t>
      </w:r>
      <w:r>
        <w:rPr>
          <w:rStyle w:val="19"/>
          <w:rFonts w:hint="eastAsia" w:ascii="宋体" w:hAnsi="宋体" w:eastAsia="宋体" w:cs="宋体"/>
          <w:color w:val="000000"/>
          <w:szCs w:val="21"/>
          <w:highlight w:val="none"/>
        </w:rPr>
        <w:t>时，其超过部分据实调整。</w:t>
      </w:r>
    </w:p>
    <w:p w14:paraId="4B9018D0">
      <w:pPr>
        <w:pStyle w:val="89"/>
        <w:pageBreakBefore w:val="0"/>
        <w:kinsoku/>
        <w:wordWrap/>
        <w:overflowPunct/>
        <w:topLinePunct w:val="0"/>
        <w:bidi w:val="0"/>
        <w:spacing w:line="360" w:lineRule="auto"/>
        <w:ind w:firstLine="42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③承包人在已标价工程量清单或预算书中载明的材料单价等于基准单价的：合同履行期间材料单价涨跌幅以基准单价为基础超过</w:t>
      </w:r>
      <w:r>
        <w:rPr>
          <w:rStyle w:val="19"/>
          <w:rFonts w:hint="eastAsia" w:ascii="宋体" w:hAnsi="宋体" w:eastAsia="宋体" w:cs="宋体"/>
          <w:b/>
          <w:color w:val="000000"/>
          <w:szCs w:val="21"/>
          <w:highlight w:val="none"/>
        </w:rPr>
        <w:t>±</w:t>
      </w:r>
      <w:r>
        <w:rPr>
          <w:rStyle w:val="19"/>
          <w:rFonts w:hint="eastAsia" w:ascii="宋体" w:hAnsi="宋体" w:eastAsia="宋体" w:cs="宋体"/>
          <w:b/>
          <w:color w:val="000000"/>
          <w:szCs w:val="21"/>
          <w:highlight w:val="none"/>
          <w:u w:val="single"/>
        </w:rPr>
        <w:t>10</w:t>
      </w:r>
      <w:r>
        <w:rPr>
          <w:rStyle w:val="19"/>
          <w:rFonts w:hint="eastAsia" w:ascii="宋体" w:hAnsi="宋体" w:eastAsia="宋体" w:cs="宋体"/>
          <w:b/>
          <w:color w:val="000000"/>
          <w:szCs w:val="21"/>
          <w:highlight w:val="none"/>
        </w:rPr>
        <w:t>%</w:t>
      </w:r>
      <w:r>
        <w:rPr>
          <w:rStyle w:val="19"/>
          <w:rFonts w:hint="eastAsia" w:ascii="宋体" w:hAnsi="宋体" w:eastAsia="宋体" w:cs="宋体"/>
          <w:color w:val="000000"/>
          <w:szCs w:val="21"/>
          <w:highlight w:val="none"/>
        </w:rPr>
        <w:t>时，其超过部分据实调整。</w:t>
      </w:r>
    </w:p>
    <w:bookmarkEnd w:id="890"/>
    <w:bookmarkEnd w:id="891"/>
    <w:bookmarkEnd w:id="892"/>
    <w:bookmarkEnd w:id="893"/>
    <w:bookmarkEnd w:id="894"/>
    <w:bookmarkEnd w:id="895"/>
    <w:p w14:paraId="67F219F2">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1066" w:name="_Toc297120505"/>
      <w:bookmarkStart w:id="1067" w:name="_Toc296346706"/>
      <w:bookmarkStart w:id="1068" w:name="_Toc296891245"/>
      <w:bookmarkStart w:id="1069" w:name="_Toc292559410"/>
      <w:bookmarkStart w:id="1070" w:name="_Toc296891033"/>
      <w:bookmarkStart w:id="1071" w:name="_Toc297048391"/>
      <w:bookmarkStart w:id="1072" w:name="_Toc296503205"/>
      <w:bookmarkStart w:id="1073" w:name="_Toc292559915"/>
      <w:bookmarkStart w:id="1074" w:name="_Toc296944544"/>
      <w:bookmarkStart w:id="1075" w:name="_Toc296347204"/>
      <w:bookmarkStart w:id="1076" w:name="_Toc373227748"/>
      <w:bookmarkStart w:id="1077" w:name="_Toc373478395"/>
      <w:bookmarkStart w:id="1078" w:name="_Toc78449837"/>
      <w:bookmarkStart w:id="1079" w:name="_Toc1935657796"/>
      <w:bookmarkStart w:id="1080" w:name="_Toc8740"/>
      <w:bookmarkStart w:id="1081" w:name="_Toc1720046426"/>
      <w:bookmarkStart w:id="1082" w:name="_Toc407135251"/>
      <w:bookmarkStart w:id="1083" w:name="_Toc351203644"/>
      <w:bookmarkStart w:id="1084" w:name="_Toc312678040"/>
      <w:bookmarkStart w:id="1085" w:name="_Toc297216211"/>
      <w:bookmarkStart w:id="1086" w:name="_Toc304295579"/>
      <w:bookmarkStart w:id="1087" w:name="_Toc297123552"/>
      <w:bookmarkStart w:id="1088" w:name="_Toc303539159"/>
      <w:bookmarkStart w:id="1089" w:name="_Toc300935002"/>
      <w:r>
        <w:rPr>
          <w:rStyle w:val="19"/>
          <w:rFonts w:ascii="宋体" w:hAnsi="宋体" w:eastAsia="宋体" w:cs="Times New Roman"/>
          <w:b/>
          <w:bCs/>
          <w:color w:val="000000"/>
          <w:sz w:val="32"/>
          <w:szCs w:val="32"/>
          <w:highlight w:val="none"/>
          <w:lang w:val="zh-CN"/>
        </w:rPr>
        <w:t xml:space="preserve">12. </w:t>
      </w:r>
      <w:bookmarkEnd w:id="1066"/>
      <w:bookmarkEnd w:id="1067"/>
      <w:bookmarkEnd w:id="1068"/>
      <w:bookmarkEnd w:id="1069"/>
      <w:bookmarkEnd w:id="1070"/>
      <w:bookmarkEnd w:id="1071"/>
      <w:bookmarkEnd w:id="1072"/>
      <w:bookmarkEnd w:id="1073"/>
      <w:bookmarkEnd w:id="1074"/>
      <w:bookmarkEnd w:id="1075"/>
      <w:r>
        <w:rPr>
          <w:rStyle w:val="19"/>
          <w:rFonts w:hint="eastAsia" w:ascii="宋体" w:hAnsi="宋体" w:eastAsia="宋体" w:cs="黑体"/>
          <w:b/>
          <w:bCs/>
          <w:color w:val="000000"/>
          <w:sz w:val="32"/>
          <w:szCs w:val="32"/>
          <w:highlight w:val="none"/>
          <w:lang w:val="zh-CN"/>
        </w:rPr>
        <w:t>合同价格、计量与支付</w:t>
      </w:r>
      <w:bookmarkEnd w:id="1076"/>
      <w:bookmarkEnd w:id="1077"/>
      <w:bookmarkEnd w:id="1078"/>
      <w:bookmarkEnd w:id="1079"/>
      <w:bookmarkEnd w:id="1080"/>
      <w:bookmarkEnd w:id="1081"/>
      <w:bookmarkEnd w:id="1082"/>
      <w:bookmarkEnd w:id="1083"/>
    </w:p>
    <w:bookmarkEnd w:id="1084"/>
    <w:bookmarkEnd w:id="1085"/>
    <w:bookmarkEnd w:id="1086"/>
    <w:bookmarkEnd w:id="1087"/>
    <w:bookmarkEnd w:id="1088"/>
    <w:bookmarkEnd w:id="1089"/>
    <w:p w14:paraId="5B90C270">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090" w:name="_Toc292559411"/>
      <w:bookmarkStart w:id="1091" w:name="_Toc292559916"/>
      <w:bookmarkStart w:id="1092" w:name="_Toc267251461"/>
      <w:bookmarkStart w:id="1093" w:name="_Toc297120506"/>
      <w:bookmarkStart w:id="1094" w:name="_Toc297048392"/>
      <w:bookmarkStart w:id="1095" w:name="_Toc296891246"/>
      <w:bookmarkStart w:id="1096" w:name="_Toc296503206"/>
      <w:bookmarkStart w:id="1097" w:name="_Toc296346707"/>
      <w:bookmarkStart w:id="1098" w:name="_Toc296944545"/>
      <w:bookmarkStart w:id="1099" w:name="_Toc296347205"/>
      <w:bookmarkStart w:id="1100" w:name="_Toc296891034"/>
      <w:bookmarkStart w:id="1101" w:name="_Toc1395756356"/>
      <w:bookmarkStart w:id="1102" w:name="_Toc78449838"/>
      <w:bookmarkStart w:id="1103" w:name="_Toc407135252"/>
      <w:bookmarkStart w:id="1104" w:name="_Toc373478396"/>
      <w:bookmarkStart w:id="1105" w:name="_Toc373227749"/>
      <w:bookmarkStart w:id="1106" w:name="_Toc389065314"/>
      <w:bookmarkStart w:id="1107" w:name="_Toc2697"/>
      <w:bookmarkStart w:id="1108" w:name="_Toc1894565429"/>
      <w:bookmarkStart w:id="1109" w:name="_Toc297123553"/>
      <w:bookmarkStart w:id="1110" w:name="_Toc297216212"/>
      <w:bookmarkStart w:id="1111" w:name="_Toc312678041"/>
      <w:bookmarkStart w:id="1112" w:name="_Toc303539160"/>
      <w:bookmarkStart w:id="1113" w:name="_Toc304295580"/>
      <w:bookmarkStart w:id="1114" w:name="_Toc300935003"/>
      <w:r>
        <w:rPr>
          <w:rStyle w:val="19"/>
          <w:rFonts w:ascii="宋体" w:hAnsi="宋体" w:eastAsia="宋体" w:cs="Times New Roman"/>
          <w:b/>
          <w:bCs/>
          <w:color w:val="000000"/>
          <w:sz w:val="32"/>
          <w:szCs w:val="32"/>
          <w:highlight w:val="none"/>
          <w:lang w:val="zh-CN"/>
        </w:rPr>
        <w:t xml:space="preserve">12.1 </w:t>
      </w:r>
      <w:r>
        <w:rPr>
          <w:rStyle w:val="19"/>
          <w:rFonts w:hint="eastAsia" w:ascii="宋体" w:hAnsi="宋体" w:eastAsia="宋体" w:cs="黑体"/>
          <w:b/>
          <w:bCs/>
          <w:color w:val="000000"/>
          <w:sz w:val="32"/>
          <w:szCs w:val="32"/>
          <w:highlight w:val="none"/>
          <w:lang w:val="zh-CN"/>
        </w:rPr>
        <w:t>合</w:t>
      </w:r>
      <w:bookmarkEnd w:id="1090"/>
      <w:bookmarkEnd w:id="1091"/>
      <w:bookmarkEnd w:id="1092"/>
      <w:r>
        <w:rPr>
          <w:rStyle w:val="19"/>
          <w:rFonts w:hint="eastAsia" w:ascii="宋体" w:hAnsi="宋体" w:eastAsia="宋体" w:cs="黑体"/>
          <w:b/>
          <w:bCs/>
          <w:color w:val="000000"/>
          <w:sz w:val="32"/>
          <w:szCs w:val="32"/>
          <w:highlight w:val="none"/>
          <w:lang w:val="zh-CN"/>
        </w:rPr>
        <w:t>同价</w:t>
      </w:r>
      <w:bookmarkEnd w:id="1093"/>
      <w:bookmarkEnd w:id="1094"/>
      <w:bookmarkEnd w:id="1095"/>
      <w:bookmarkEnd w:id="1096"/>
      <w:bookmarkEnd w:id="1097"/>
      <w:bookmarkEnd w:id="1098"/>
      <w:bookmarkEnd w:id="1099"/>
      <w:bookmarkEnd w:id="1100"/>
      <w:r>
        <w:rPr>
          <w:rStyle w:val="19"/>
          <w:rFonts w:hint="eastAsia" w:ascii="宋体" w:hAnsi="宋体" w:eastAsia="宋体" w:cs="黑体"/>
          <w:b/>
          <w:bCs/>
          <w:color w:val="000000"/>
          <w:sz w:val="32"/>
          <w:szCs w:val="32"/>
          <w:highlight w:val="none"/>
          <w:lang w:val="zh-CN"/>
        </w:rPr>
        <w:t>格形式</w:t>
      </w:r>
      <w:bookmarkEnd w:id="1101"/>
      <w:bookmarkEnd w:id="1102"/>
      <w:bookmarkEnd w:id="1103"/>
      <w:bookmarkEnd w:id="1104"/>
      <w:bookmarkEnd w:id="1105"/>
      <w:bookmarkEnd w:id="1106"/>
      <w:bookmarkEnd w:id="1107"/>
      <w:bookmarkEnd w:id="1108"/>
    </w:p>
    <w:bookmarkEnd w:id="1109"/>
    <w:bookmarkEnd w:id="1110"/>
    <w:bookmarkEnd w:id="1111"/>
    <w:bookmarkEnd w:id="1112"/>
    <w:bookmarkEnd w:id="1113"/>
    <w:bookmarkEnd w:id="1114"/>
    <w:p w14:paraId="09C84399">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szCs w:val="21"/>
          <w:highlight w:val="none"/>
        </w:rPr>
      </w:pPr>
      <w:bookmarkStart w:id="1115" w:name="_Toc373478397"/>
      <w:bookmarkStart w:id="1116" w:name="_Toc1681900246"/>
      <w:bookmarkStart w:id="1117" w:name="_Toc78449839"/>
      <w:bookmarkStart w:id="1118" w:name="_Toc407135253"/>
      <w:bookmarkStart w:id="1119" w:name="_Toc1338560546"/>
      <w:bookmarkStart w:id="1120" w:name="_Toc389065315"/>
      <w:bookmarkStart w:id="1121" w:name="_Toc373227750"/>
      <w:bookmarkStart w:id="1122" w:name="_Toc303539161"/>
      <w:bookmarkStart w:id="1123" w:name="_Toc300935004"/>
      <w:bookmarkStart w:id="1124" w:name="_Toc297123554"/>
      <w:bookmarkStart w:id="1125" w:name="_Toc297216213"/>
      <w:bookmarkStart w:id="1126" w:name="_Toc304295581"/>
      <w:bookmarkStart w:id="1127" w:name="_Toc312678042"/>
      <w:bookmarkStart w:id="1128" w:name="_Toc296891035"/>
      <w:bookmarkStart w:id="1129" w:name="_Toc297120507"/>
      <w:bookmarkStart w:id="1130" w:name="_Toc296346708"/>
      <w:bookmarkStart w:id="1131" w:name="_Toc296891247"/>
      <w:bookmarkStart w:id="1132" w:name="_Toc296944546"/>
      <w:bookmarkStart w:id="1133" w:name="_Toc292559917"/>
      <w:bookmarkStart w:id="1134" w:name="_Toc296347206"/>
      <w:bookmarkStart w:id="1135" w:name="_Toc296503207"/>
      <w:bookmarkStart w:id="1136" w:name="_Toc297048393"/>
      <w:bookmarkStart w:id="1137" w:name="_Toc292559412"/>
      <w:r>
        <w:rPr>
          <w:rStyle w:val="19"/>
          <w:rFonts w:hint="eastAsia" w:ascii="宋体" w:hAnsi="宋体" w:eastAsia="宋体" w:cs="Times New Roman"/>
          <w:color w:val="000000"/>
          <w:szCs w:val="21"/>
          <w:highlight w:val="none"/>
        </w:rPr>
        <w:t>本工程采用</w:t>
      </w:r>
      <w:r>
        <w:rPr>
          <w:rStyle w:val="19"/>
          <w:rFonts w:ascii="宋体" w:hAnsi="宋体" w:eastAsia="宋体" w:cs="Times New Roman"/>
          <w:color w:val="000000"/>
          <w:szCs w:val="21"/>
          <w:highlight w:val="none"/>
          <w:u w:val="single"/>
        </w:rPr>
        <w:t xml:space="preserve">  固定</w:t>
      </w:r>
      <w:r>
        <w:rPr>
          <w:rStyle w:val="19"/>
          <w:rFonts w:hint="eastAsia" w:ascii="宋体" w:hAnsi="宋体" w:eastAsia="宋体" w:cs="Times New Roman"/>
          <w:color w:val="000000"/>
          <w:szCs w:val="21"/>
          <w:highlight w:val="none"/>
          <w:u w:val="single"/>
        </w:rPr>
        <w:t>综合单价</w:t>
      </w:r>
      <w:r>
        <w:rPr>
          <w:rStyle w:val="19"/>
          <w:rFonts w:hint="eastAsia" w:ascii="宋体" w:hAnsi="宋体" w:eastAsia="宋体" w:cs="Times New Roman"/>
          <w:color w:val="000000"/>
          <w:szCs w:val="21"/>
          <w:highlight w:val="none"/>
        </w:rPr>
        <w:t>合同价格形式</w:t>
      </w:r>
      <w:r>
        <w:rPr>
          <w:rStyle w:val="19"/>
          <w:rFonts w:hint="eastAsia" w:ascii="宋体" w:hAnsi="宋体" w:eastAsia="宋体" w:cs="宋体"/>
          <w:color w:val="000000"/>
          <w:szCs w:val="21"/>
          <w:highlight w:val="none"/>
        </w:rPr>
        <w:t>，合同价格包含增值税，本工程计价时采用的增值税计税方法为：☑一般计税法□简易计税法</w:t>
      </w:r>
      <w:r>
        <w:rPr>
          <w:rStyle w:val="19"/>
          <w:rFonts w:hint="eastAsia" w:ascii="宋体" w:hAnsi="宋体" w:eastAsia="宋体" w:cs="Times New Roman"/>
          <w:color w:val="000000"/>
          <w:szCs w:val="21"/>
          <w:highlight w:val="none"/>
        </w:rPr>
        <w:t>。</w:t>
      </w:r>
    </w:p>
    <w:p w14:paraId="2EECA806">
      <w:pPr>
        <w:pStyle w:val="89"/>
        <w:pageBreakBefore w:val="0"/>
        <w:numPr>
          <w:ilvl w:val="0"/>
          <w:numId w:val="6"/>
        </w:numPr>
        <w:tabs>
          <w:tab w:val="left" w:pos="0"/>
        </w:tabs>
        <w:kinsoku/>
        <w:wordWrap/>
        <w:overflowPunct/>
        <w:topLinePunct w:val="0"/>
        <w:bidi w:val="0"/>
        <w:spacing w:line="360" w:lineRule="auto"/>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u w:val="single"/>
        </w:rPr>
        <w:t>采用综合单价合同方式时，工程量按建设单位、监理单位、施工单位三方确认的与实际相符的竣工图结算。如发现竣工图与实际不符，按不利于施工单位的原则结算</w:t>
      </w:r>
      <w:r>
        <w:rPr>
          <w:rStyle w:val="19"/>
          <w:rFonts w:hint="eastAsia" w:ascii="宋体" w:hAnsi="宋体" w:eastAsia="宋体" w:cs="宋体"/>
          <w:color w:val="000000"/>
          <w:szCs w:val="21"/>
          <w:highlight w:val="none"/>
        </w:rPr>
        <w:t>。</w:t>
      </w:r>
    </w:p>
    <w:p w14:paraId="5A1F2D69">
      <w:pPr>
        <w:pStyle w:val="89"/>
        <w:pageBreakBefore w:val="0"/>
        <w:numPr>
          <w:ilvl w:val="0"/>
          <w:numId w:val="6"/>
        </w:numPr>
        <w:tabs>
          <w:tab w:val="left" w:pos="0"/>
        </w:tabs>
        <w:kinsoku/>
        <w:wordWrap/>
        <w:overflowPunct/>
        <w:topLinePunct w:val="0"/>
        <w:bidi w:val="0"/>
        <w:spacing w:line="360" w:lineRule="auto"/>
        <w:jc w:val="left"/>
        <w:rPr>
          <w:rStyle w:val="19"/>
          <w:rFonts w:ascii="宋体" w:hAnsi="宋体" w:eastAsia="宋体" w:cs="宋体"/>
          <w:color w:val="000000"/>
          <w:szCs w:val="21"/>
          <w:highlight w:val="none"/>
        </w:rPr>
      </w:pPr>
      <w:r>
        <w:rPr>
          <w:rStyle w:val="19"/>
          <w:rFonts w:ascii="宋体" w:hAnsi="宋体" w:eastAsia="宋体" w:cs="宋体"/>
          <w:color w:val="000000"/>
          <w:szCs w:val="21"/>
          <w:highlight w:val="none"/>
        </w:rPr>
        <w:t xml:space="preserve">   固定</w:t>
      </w:r>
      <w:r>
        <w:rPr>
          <w:rStyle w:val="19"/>
          <w:rFonts w:hint="eastAsia" w:ascii="宋体" w:hAnsi="宋体" w:eastAsia="宋体" w:cs="宋体"/>
          <w:color w:val="000000"/>
          <w:szCs w:val="21"/>
          <w:highlight w:val="none"/>
        </w:rPr>
        <w:t>综合单价包含的风险范围：</w:t>
      </w:r>
      <w:r>
        <w:rPr>
          <w:rStyle w:val="19"/>
          <w:rFonts w:hint="eastAsia" w:ascii="宋体" w:hAnsi="宋体" w:eastAsia="宋体" w:cs="宋体"/>
          <w:color w:val="000000"/>
          <w:szCs w:val="21"/>
          <w:highlight w:val="none"/>
          <w:u w:val="single"/>
        </w:rPr>
        <w:t>除工程变更、项目特征不符、工程量清单缺项、工程量偏差、政策性调整、市场价格波动以外的其他风险</w:t>
      </w:r>
      <w:r>
        <w:rPr>
          <w:rStyle w:val="19"/>
          <w:rFonts w:hint="eastAsia" w:ascii="宋体" w:hAnsi="宋体" w:eastAsia="宋体" w:cs="宋体"/>
          <w:color w:val="000000"/>
          <w:szCs w:val="21"/>
          <w:highlight w:val="none"/>
        </w:rPr>
        <w:t>。</w:t>
      </w:r>
    </w:p>
    <w:p w14:paraId="1BA7C6FE">
      <w:pPr>
        <w:pStyle w:val="89"/>
        <w:pageBreakBefore w:val="0"/>
        <w:numPr>
          <w:ilvl w:val="0"/>
          <w:numId w:val="6"/>
        </w:numPr>
        <w:kinsoku/>
        <w:wordWrap/>
        <w:overflowPunct/>
        <w:topLinePunct w:val="0"/>
        <w:bidi w:val="0"/>
        <w:spacing w:line="360" w:lineRule="auto"/>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风险费用的计算方法：</w:t>
      </w:r>
      <w:r>
        <w:rPr>
          <w:rStyle w:val="19"/>
          <w:rFonts w:hint="eastAsia" w:ascii="宋体" w:hAnsi="宋体" w:eastAsia="宋体" w:cs="宋体"/>
          <w:color w:val="000000"/>
          <w:szCs w:val="21"/>
          <w:highlight w:val="none"/>
          <w:u w:val="single"/>
        </w:rPr>
        <w:t>单价采用固定综合单价，风险费用已综合考虑在单价中</w:t>
      </w:r>
      <w:r>
        <w:rPr>
          <w:rStyle w:val="19"/>
          <w:rFonts w:hint="eastAsia" w:ascii="宋体" w:hAnsi="宋体" w:eastAsia="宋体" w:cs="宋体"/>
          <w:color w:val="000000"/>
          <w:szCs w:val="21"/>
          <w:highlight w:val="none"/>
        </w:rPr>
        <w:t>。</w:t>
      </w:r>
    </w:p>
    <w:p w14:paraId="37B34E49">
      <w:pPr>
        <w:pStyle w:val="89"/>
        <w:pageBreakBefore w:val="0"/>
        <w:numPr>
          <w:ilvl w:val="0"/>
          <w:numId w:val="6"/>
        </w:numPr>
        <w:kinsoku/>
        <w:wordWrap/>
        <w:overflowPunct/>
        <w:topLinePunct w:val="0"/>
        <w:bidi w:val="0"/>
        <w:spacing w:line="360" w:lineRule="auto"/>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风险范围以外合同价款调整方法：</w:t>
      </w:r>
    </w:p>
    <w:p w14:paraId="6781A59D">
      <w:pPr>
        <w:pStyle w:val="89"/>
        <w:pageBreakBefore w:val="0"/>
        <w:tabs>
          <w:tab w:val="left" w:pos="-380"/>
        </w:tabs>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Calibri"/>
          <w:color w:val="000000"/>
          <w:szCs w:val="21"/>
          <w:highlight w:val="none"/>
        </w:rPr>
        <w:t>（1）</w:t>
      </w:r>
      <w:r>
        <w:rPr>
          <w:rStyle w:val="19"/>
          <w:rFonts w:hint="eastAsia" w:ascii="宋体" w:hAnsi="宋体" w:eastAsia="宋体" w:cs="宋体"/>
          <w:color w:val="000000"/>
          <w:highlight w:val="none"/>
        </w:rPr>
        <w:t>工程变更、项目特征不符、工程量清单缺项：按</w:t>
      </w:r>
      <w:r>
        <w:rPr>
          <w:rStyle w:val="19"/>
          <w:rFonts w:ascii="宋体" w:hAnsi="宋体" w:eastAsia="宋体" w:cs="宋体"/>
          <w:color w:val="000000"/>
          <w:highlight w:val="none"/>
        </w:rPr>
        <w:t>10.4.1</w:t>
      </w:r>
      <w:r>
        <w:rPr>
          <w:rStyle w:val="19"/>
          <w:rFonts w:hint="eastAsia" w:ascii="宋体" w:hAnsi="宋体" w:eastAsia="宋体" w:cs="宋体"/>
          <w:color w:val="000000"/>
          <w:highlight w:val="none"/>
        </w:rPr>
        <w:t>变更估价原则的约定调整。</w:t>
      </w:r>
    </w:p>
    <w:p w14:paraId="19403DB7">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Calibri"/>
          <w:color w:val="000000"/>
          <w:szCs w:val="21"/>
          <w:highlight w:val="none"/>
        </w:rPr>
        <w:t>（2）</w:t>
      </w:r>
      <w:r>
        <w:rPr>
          <w:rStyle w:val="19"/>
          <w:rFonts w:hint="eastAsia" w:ascii="宋体" w:hAnsi="宋体" w:eastAsia="宋体" w:cs="宋体"/>
          <w:color w:val="000000"/>
          <w:highlight w:val="none"/>
        </w:rPr>
        <w:t>工程量偏差：按1.13工程量清单错误修正的约定调整。</w:t>
      </w:r>
    </w:p>
    <w:p w14:paraId="1492D930">
      <w:pPr>
        <w:pStyle w:val="89"/>
        <w:pageBreakBefore w:val="0"/>
        <w:kinsoku/>
        <w:wordWrap/>
        <w:overflowPunct/>
        <w:topLinePunct w:val="0"/>
        <w:bidi w:val="0"/>
        <w:spacing w:line="360" w:lineRule="auto"/>
        <w:ind w:left="0" w:leftChars="0" w:firstLine="420" w:firstLineChars="200"/>
        <w:jc w:val="left"/>
        <w:rPr>
          <w:rStyle w:val="19"/>
          <w:rFonts w:ascii="宋体" w:hAnsi="宋体" w:eastAsia="宋体" w:cs="宋体"/>
          <w:color w:val="000000"/>
          <w:szCs w:val="21"/>
          <w:highlight w:val="none"/>
        </w:rPr>
      </w:pPr>
      <w:r>
        <w:rPr>
          <w:rStyle w:val="19"/>
          <w:rFonts w:hint="eastAsia" w:ascii="宋体" w:hAnsi="宋体" w:eastAsia="宋体" w:cs="Calibri"/>
          <w:color w:val="000000"/>
          <w:szCs w:val="21"/>
          <w:highlight w:val="none"/>
        </w:rPr>
        <w:t>（3）</w:t>
      </w:r>
      <w:r>
        <w:rPr>
          <w:rStyle w:val="19"/>
          <w:rFonts w:hint="eastAsia" w:ascii="宋体" w:hAnsi="宋体" w:eastAsia="宋体" w:cs="宋体"/>
          <w:color w:val="000000"/>
          <w:highlight w:val="none"/>
        </w:rPr>
        <w:t>政策性调整：</w:t>
      </w:r>
      <w:r>
        <w:rPr>
          <w:rStyle w:val="19"/>
          <w:rFonts w:hint="eastAsia" w:ascii="宋体" w:hAnsi="宋体" w:eastAsia="宋体" w:cs="Times New Roman"/>
          <w:color w:val="000000"/>
          <w:highlight w:val="none"/>
        </w:rPr>
        <w:t>本项目招标控制价执行2013《广西壮族自治区建筑装饰装修工程消耗量定额》、2015年《广西壮族自治区安装工程消耗量定额》、2014年《广西壮族自治区市政消耗量定额》、2013年《广西壮族自治区园林工程消耗量定额》及其配套费用定额。结算时不因国家和自治区政策性费用标准及消耗量定额进行调整</w:t>
      </w:r>
      <w:r>
        <w:rPr>
          <w:rStyle w:val="19"/>
          <w:rFonts w:hint="eastAsia" w:ascii="宋体" w:hAnsi="宋体" w:eastAsia="宋体" w:cs="宋体"/>
          <w:color w:val="000000"/>
          <w:highlight w:val="none"/>
        </w:rPr>
        <w:t>。</w:t>
      </w:r>
    </w:p>
    <w:p w14:paraId="710AC1A6">
      <w:pPr>
        <w:pStyle w:val="89"/>
        <w:pageBreakBefore w:val="0"/>
        <w:kinsoku/>
        <w:wordWrap/>
        <w:overflowPunct/>
        <w:topLinePunct w:val="0"/>
        <w:bidi w:val="0"/>
        <w:spacing w:line="360" w:lineRule="auto"/>
        <w:ind w:left="105"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（4）</w:t>
      </w:r>
      <w:r>
        <w:rPr>
          <w:rStyle w:val="19"/>
          <w:rFonts w:hint="eastAsia" w:ascii="宋体" w:hAnsi="宋体" w:eastAsia="宋体" w:cs="宋体"/>
          <w:color w:val="000000"/>
          <w:highlight w:val="none"/>
        </w:rPr>
        <w:t>市场波动引起的调整：按</w:t>
      </w:r>
      <w:r>
        <w:rPr>
          <w:rStyle w:val="19"/>
          <w:rFonts w:ascii="宋体" w:hAnsi="宋体" w:eastAsia="宋体" w:cs="宋体"/>
          <w:color w:val="000000"/>
          <w:highlight w:val="none"/>
        </w:rPr>
        <w:t>11.1</w:t>
      </w:r>
      <w:r>
        <w:rPr>
          <w:rStyle w:val="19"/>
          <w:rFonts w:hint="eastAsia" w:ascii="宋体" w:hAnsi="宋体" w:eastAsia="宋体" w:cs="宋体"/>
          <w:color w:val="000000"/>
          <w:highlight w:val="none"/>
        </w:rPr>
        <w:t>的约定调整。</w:t>
      </w:r>
    </w:p>
    <w:p w14:paraId="3C21E858">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138" w:name="_Toc6371"/>
      <w:r>
        <w:rPr>
          <w:rStyle w:val="19"/>
          <w:rFonts w:ascii="宋体" w:hAnsi="宋体" w:eastAsia="宋体" w:cs="Times New Roman"/>
          <w:b/>
          <w:bCs/>
          <w:color w:val="000000"/>
          <w:sz w:val="32"/>
          <w:szCs w:val="32"/>
          <w:highlight w:val="none"/>
          <w:lang w:val="zh-CN"/>
        </w:rPr>
        <w:t xml:space="preserve">12.2 </w:t>
      </w:r>
      <w:r>
        <w:rPr>
          <w:rStyle w:val="19"/>
          <w:rFonts w:hint="eastAsia" w:ascii="宋体" w:hAnsi="宋体" w:eastAsia="宋体" w:cs="黑体"/>
          <w:b/>
          <w:bCs/>
          <w:color w:val="000000"/>
          <w:sz w:val="32"/>
          <w:szCs w:val="32"/>
          <w:highlight w:val="none"/>
          <w:lang w:val="zh-CN"/>
        </w:rPr>
        <w:t>预付款</w:t>
      </w:r>
      <w:bookmarkEnd w:id="1115"/>
      <w:bookmarkEnd w:id="1116"/>
      <w:bookmarkEnd w:id="1117"/>
      <w:bookmarkEnd w:id="1118"/>
      <w:bookmarkEnd w:id="1119"/>
      <w:bookmarkEnd w:id="1120"/>
      <w:bookmarkEnd w:id="1121"/>
      <w:bookmarkEnd w:id="1138"/>
    </w:p>
    <w:bookmarkEnd w:id="1122"/>
    <w:bookmarkEnd w:id="1123"/>
    <w:bookmarkEnd w:id="1124"/>
    <w:bookmarkEnd w:id="1125"/>
    <w:bookmarkEnd w:id="1126"/>
    <w:bookmarkEnd w:id="1127"/>
    <w:p w14:paraId="00F1F15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12.2.1 </w:t>
      </w:r>
      <w:r>
        <w:rPr>
          <w:rStyle w:val="19"/>
          <w:rFonts w:hint="eastAsia" w:ascii="宋体" w:hAnsi="宋体" w:eastAsia="宋体" w:cs="宋体"/>
          <w:color w:val="000000"/>
          <w:highlight w:val="none"/>
        </w:rPr>
        <w:t>预付款的支付</w:t>
      </w:r>
    </w:p>
    <w:p w14:paraId="3D89A386">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预付款支付比例或金额：</w:t>
      </w:r>
      <w:r>
        <w:rPr>
          <w:rStyle w:val="19"/>
          <w:rFonts w:hint="eastAsia" w:ascii="宋体" w:hAnsi="宋体" w:cs="宋体"/>
          <w:color w:val="000000"/>
          <w:highlight w:val="none"/>
          <w:u w:val="single"/>
          <w:lang w:val="en-US" w:eastAsia="zh-CN"/>
        </w:rPr>
        <w:t xml:space="preserve">         </w:t>
      </w:r>
      <w:r>
        <w:rPr>
          <w:rStyle w:val="19"/>
          <w:rFonts w:hint="eastAsia" w:ascii="宋体" w:hAnsi="宋体" w:cs="宋体"/>
          <w:color w:val="000000"/>
          <w:highlight w:val="none"/>
          <w:u w:val="single"/>
          <w:lang w:eastAsia="zh-CN"/>
        </w:rPr>
        <w:t>无</w:t>
      </w:r>
      <w:r>
        <w:rPr>
          <w:rStyle w:val="19"/>
          <w:rFonts w:hint="eastAsia" w:ascii="宋体" w:hAnsi="宋体" w:cs="宋体"/>
          <w:color w:val="000000"/>
          <w:highlight w:val="none"/>
          <w:u w:val="single"/>
          <w:lang w:val="en-US" w:eastAsia="zh-CN"/>
        </w:rPr>
        <w:t xml:space="preserve">         </w:t>
      </w:r>
      <w:r>
        <w:rPr>
          <w:rStyle w:val="19"/>
          <w:rFonts w:hint="eastAsia" w:ascii="宋体" w:hAnsi="宋体" w:eastAsia="宋体" w:cs="宋体"/>
          <w:color w:val="000000"/>
          <w:highlight w:val="none"/>
          <w:u w:val="none"/>
        </w:rPr>
        <w:t>。</w:t>
      </w:r>
    </w:p>
    <w:p w14:paraId="5788D7A2">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预付款支付期限：</w:t>
      </w:r>
      <w:r>
        <w:rPr>
          <w:rStyle w:val="19"/>
          <w:rFonts w:hint="eastAsia" w:ascii="宋体" w:hAnsi="宋体" w:cs="宋体"/>
          <w:color w:val="000000"/>
          <w:highlight w:val="none"/>
          <w:u w:val="single"/>
          <w:lang w:val="en-US" w:eastAsia="zh-CN"/>
        </w:rPr>
        <w:t xml:space="preserve">         </w:t>
      </w:r>
      <w:r>
        <w:rPr>
          <w:rStyle w:val="19"/>
          <w:rFonts w:hint="eastAsia" w:ascii="宋体" w:hAnsi="宋体" w:cs="宋体"/>
          <w:color w:val="000000"/>
          <w:highlight w:val="none"/>
          <w:u w:val="single"/>
          <w:lang w:eastAsia="zh-CN"/>
        </w:rPr>
        <w:t>无</w:t>
      </w:r>
      <w:r>
        <w:rPr>
          <w:rStyle w:val="19"/>
          <w:rFonts w:hint="eastAsia" w:ascii="宋体" w:hAnsi="宋体" w:cs="宋体"/>
          <w:color w:val="000000"/>
          <w:highlight w:val="none"/>
          <w:u w:val="single"/>
          <w:lang w:val="en-US" w:eastAsia="zh-CN"/>
        </w:rPr>
        <w:t xml:space="preserve">         </w:t>
      </w:r>
      <w:r>
        <w:rPr>
          <w:rStyle w:val="19"/>
          <w:rFonts w:hint="eastAsia" w:ascii="宋体" w:hAnsi="宋体" w:eastAsia="宋体" w:cs="宋体"/>
          <w:color w:val="000000"/>
          <w:highlight w:val="none"/>
          <w:u w:val="none"/>
        </w:rPr>
        <w:t>。</w:t>
      </w:r>
    </w:p>
    <w:p w14:paraId="659AC764">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highlight w:val="none"/>
        </w:rPr>
        <w:t>预付款扣回的方式：</w:t>
      </w:r>
      <w:r>
        <w:rPr>
          <w:rStyle w:val="19"/>
          <w:rFonts w:hint="eastAsia" w:ascii="宋体" w:hAnsi="宋体" w:cs="宋体"/>
          <w:color w:val="000000"/>
          <w:highlight w:val="none"/>
          <w:u w:val="single"/>
          <w:lang w:val="en-US" w:eastAsia="zh-CN"/>
        </w:rPr>
        <w:t xml:space="preserve">         </w:t>
      </w:r>
      <w:r>
        <w:rPr>
          <w:rStyle w:val="19"/>
          <w:rFonts w:hint="eastAsia" w:ascii="宋体" w:hAnsi="宋体" w:cs="宋体"/>
          <w:color w:val="000000"/>
          <w:highlight w:val="none"/>
          <w:u w:val="single"/>
          <w:lang w:eastAsia="zh-CN"/>
        </w:rPr>
        <w:t>无</w:t>
      </w:r>
      <w:r>
        <w:rPr>
          <w:rStyle w:val="19"/>
          <w:rFonts w:hint="eastAsia" w:ascii="宋体" w:hAnsi="宋体" w:cs="宋体"/>
          <w:color w:val="000000"/>
          <w:highlight w:val="none"/>
          <w:u w:val="single"/>
          <w:lang w:val="en-US" w:eastAsia="zh-CN"/>
        </w:rPr>
        <w:t xml:space="preserve">         </w:t>
      </w:r>
      <w:r>
        <w:rPr>
          <w:rStyle w:val="19"/>
          <w:rFonts w:hint="eastAsia" w:ascii="宋体" w:hAnsi="宋体" w:eastAsia="宋体" w:cs="宋体"/>
          <w:color w:val="000000"/>
          <w:highlight w:val="none"/>
        </w:rPr>
        <w:t>。</w:t>
      </w:r>
    </w:p>
    <w:p w14:paraId="0859C0A8">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12.2.2 </w:t>
      </w:r>
      <w:r>
        <w:rPr>
          <w:rStyle w:val="19"/>
          <w:rFonts w:hint="eastAsia" w:ascii="宋体" w:hAnsi="宋体" w:eastAsia="宋体" w:cs="宋体"/>
          <w:color w:val="000000"/>
          <w:highlight w:val="none"/>
        </w:rPr>
        <w:t>预付款担保</w:t>
      </w:r>
    </w:p>
    <w:p w14:paraId="28711E76">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承包人提交预付款担保的期限：</w:t>
      </w:r>
      <w:r>
        <w:rPr>
          <w:rStyle w:val="19"/>
          <w:rFonts w:hint="eastAsia" w:ascii="宋体" w:hAnsi="宋体" w:cs="宋体"/>
          <w:color w:val="000000"/>
          <w:highlight w:val="none"/>
          <w:u w:val="single"/>
          <w:lang w:val="en-US" w:eastAsia="zh-CN"/>
        </w:rPr>
        <w:t xml:space="preserve">         </w:t>
      </w:r>
      <w:r>
        <w:rPr>
          <w:rStyle w:val="19"/>
          <w:rFonts w:hint="eastAsia" w:ascii="宋体" w:hAnsi="宋体" w:cs="宋体"/>
          <w:color w:val="000000"/>
          <w:highlight w:val="none"/>
          <w:u w:val="single"/>
          <w:lang w:eastAsia="zh-CN"/>
        </w:rPr>
        <w:t>无</w:t>
      </w:r>
      <w:r>
        <w:rPr>
          <w:rStyle w:val="19"/>
          <w:rFonts w:hint="eastAsia" w:ascii="宋体" w:hAnsi="宋体" w:cs="宋体"/>
          <w:color w:val="000000"/>
          <w:highlight w:val="none"/>
          <w:u w:val="single"/>
          <w:lang w:val="en-US" w:eastAsia="zh-CN"/>
        </w:rPr>
        <w:t xml:space="preserve">         </w:t>
      </w:r>
      <w:r>
        <w:rPr>
          <w:rStyle w:val="19"/>
          <w:rFonts w:hint="eastAsia" w:ascii="宋体" w:hAnsi="宋体" w:eastAsia="宋体" w:cs="宋体"/>
          <w:color w:val="000000"/>
          <w:highlight w:val="none"/>
        </w:rPr>
        <w:t>。</w:t>
      </w:r>
    </w:p>
    <w:p w14:paraId="568DD948">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预付款担保的形式为：</w:t>
      </w:r>
      <w:r>
        <w:rPr>
          <w:rStyle w:val="19"/>
          <w:rFonts w:hint="eastAsia" w:ascii="宋体" w:hAnsi="宋体" w:cs="宋体"/>
          <w:color w:val="000000"/>
          <w:highlight w:val="none"/>
          <w:u w:val="single"/>
          <w:lang w:val="en-US" w:eastAsia="zh-CN"/>
        </w:rPr>
        <w:t xml:space="preserve">         </w:t>
      </w:r>
      <w:r>
        <w:rPr>
          <w:rStyle w:val="19"/>
          <w:rFonts w:hint="eastAsia" w:ascii="宋体" w:hAnsi="宋体" w:cs="宋体"/>
          <w:color w:val="000000"/>
          <w:highlight w:val="none"/>
          <w:u w:val="single"/>
          <w:lang w:eastAsia="zh-CN"/>
        </w:rPr>
        <w:t>无</w:t>
      </w:r>
      <w:r>
        <w:rPr>
          <w:rStyle w:val="19"/>
          <w:rFonts w:hint="eastAsia" w:ascii="宋体" w:hAnsi="宋体" w:cs="宋体"/>
          <w:color w:val="000000"/>
          <w:highlight w:val="none"/>
          <w:u w:val="single"/>
          <w:lang w:val="en-US" w:eastAsia="zh-CN"/>
        </w:rPr>
        <w:t xml:space="preserve">         </w:t>
      </w:r>
      <w:r>
        <w:rPr>
          <w:rStyle w:val="19"/>
          <w:rFonts w:hint="eastAsia" w:ascii="宋体" w:hAnsi="宋体" w:eastAsia="宋体" w:cs="宋体"/>
          <w:color w:val="000000"/>
          <w:highlight w:val="none"/>
        </w:rPr>
        <w:t>。</w:t>
      </w:r>
    </w:p>
    <w:p w14:paraId="0D733A4D">
      <w:pPr>
        <w:pStyle w:val="89"/>
        <w:pageBreakBefore w:val="0"/>
        <w:kinsoku/>
        <w:wordWrap/>
        <w:overflowPunct/>
        <w:topLinePunct w:val="0"/>
        <w:bidi w:val="0"/>
        <w:spacing w:line="360" w:lineRule="auto"/>
        <w:ind w:firstLine="420" w:firstLineChars="200"/>
        <w:jc w:val="left"/>
        <w:rPr>
          <w:rStyle w:val="19"/>
          <w:rFonts w:hint="eastAsia" w:ascii="宋体" w:hAnsi="宋体" w:eastAsia="宋体" w:cs="Times New Roman"/>
          <w:color w:val="000000"/>
          <w:highlight w:val="none"/>
          <w:lang w:eastAsia="zh-CN"/>
        </w:rPr>
      </w:pPr>
      <w:r>
        <w:rPr>
          <w:rStyle w:val="19"/>
          <w:rFonts w:hint="eastAsia" w:ascii="宋体" w:hAnsi="宋体" w:eastAsia="宋体" w:cs="宋体"/>
          <w:color w:val="000000"/>
          <w:highlight w:val="none"/>
        </w:rPr>
        <w:t>预付款担保格式见合同附件。</w:t>
      </w:r>
    </w:p>
    <w:bookmarkEnd w:id="1128"/>
    <w:bookmarkEnd w:id="1129"/>
    <w:bookmarkEnd w:id="1130"/>
    <w:bookmarkEnd w:id="1131"/>
    <w:bookmarkEnd w:id="1132"/>
    <w:bookmarkEnd w:id="1133"/>
    <w:bookmarkEnd w:id="1134"/>
    <w:bookmarkEnd w:id="1135"/>
    <w:bookmarkEnd w:id="1136"/>
    <w:bookmarkEnd w:id="1137"/>
    <w:p w14:paraId="43556989">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139" w:name="_Toc1494831447"/>
      <w:bookmarkStart w:id="1140" w:name="_Toc407135254"/>
      <w:bookmarkStart w:id="1141" w:name="_Toc373227751"/>
      <w:bookmarkStart w:id="1142" w:name="_Toc78449840"/>
      <w:bookmarkStart w:id="1143" w:name="_Toc373478398"/>
      <w:bookmarkStart w:id="1144" w:name="_Toc1307224940"/>
      <w:bookmarkStart w:id="1145" w:name="_Toc389065316"/>
      <w:bookmarkStart w:id="1146" w:name="_Toc4135"/>
      <w:r>
        <w:rPr>
          <w:rStyle w:val="19"/>
          <w:rFonts w:ascii="宋体" w:hAnsi="宋体" w:eastAsia="宋体" w:cs="Times New Roman"/>
          <w:b/>
          <w:bCs/>
          <w:color w:val="000000"/>
          <w:sz w:val="32"/>
          <w:szCs w:val="32"/>
          <w:highlight w:val="none"/>
          <w:lang w:val="zh-CN"/>
        </w:rPr>
        <w:t xml:space="preserve">12.3 </w:t>
      </w:r>
      <w:r>
        <w:rPr>
          <w:rStyle w:val="19"/>
          <w:rFonts w:hint="eastAsia" w:ascii="宋体" w:hAnsi="宋体" w:eastAsia="宋体" w:cs="黑体"/>
          <w:b/>
          <w:bCs/>
          <w:color w:val="000000"/>
          <w:sz w:val="32"/>
          <w:szCs w:val="32"/>
          <w:highlight w:val="none"/>
          <w:lang w:val="zh-CN"/>
        </w:rPr>
        <w:t>计量</w:t>
      </w:r>
      <w:bookmarkEnd w:id="1139"/>
      <w:bookmarkEnd w:id="1140"/>
      <w:bookmarkEnd w:id="1141"/>
      <w:bookmarkEnd w:id="1142"/>
      <w:bookmarkEnd w:id="1143"/>
      <w:bookmarkEnd w:id="1144"/>
      <w:bookmarkEnd w:id="1145"/>
      <w:bookmarkEnd w:id="1146"/>
    </w:p>
    <w:p w14:paraId="65FCDA94">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12.3.1 </w:t>
      </w:r>
      <w:r>
        <w:rPr>
          <w:rStyle w:val="19"/>
          <w:rFonts w:hint="eastAsia" w:ascii="宋体" w:hAnsi="宋体" w:eastAsia="宋体" w:cs="宋体"/>
          <w:color w:val="000000"/>
          <w:highlight w:val="none"/>
        </w:rPr>
        <w:t>计量原则</w:t>
      </w:r>
    </w:p>
    <w:p w14:paraId="787117F7">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工程量计算规则：</w:t>
      </w:r>
      <w:r>
        <w:rPr>
          <w:rStyle w:val="19"/>
          <w:rFonts w:hint="eastAsia" w:ascii="宋体" w:hAnsi="宋体" w:eastAsia="宋体" w:cs="宋体"/>
          <w:color w:val="000000"/>
          <w:highlight w:val="none"/>
          <w:u w:val="single"/>
        </w:rPr>
        <w:t>工程的计量均以《建设工程工程量清单计价规范》（</w:t>
      </w:r>
      <w:r>
        <w:rPr>
          <w:rStyle w:val="19"/>
          <w:rFonts w:ascii="宋体" w:hAnsi="宋体" w:eastAsia="宋体" w:cs="Times New Roman"/>
          <w:color w:val="000000"/>
          <w:highlight w:val="none"/>
          <w:u w:val="single"/>
        </w:rPr>
        <w:t>GB50500</w:t>
      </w:r>
      <w:r>
        <w:rPr>
          <w:rStyle w:val="19"/>
          <w:rFonts w:hint="eastAsia" w:ascii="宋体" w:hAnsi="宋体" w:eastAsia="宋体" w:cs="宋体"/>
          <w:color w:val="000000"/>
          <w:highlight w:val="none"/>
          <w:u w:val="single"/>
        </w:rPr>
        <w:t>－</w:t>
      </w:r>
      <w:r>
        <w:rPr>
          <w:rStyle w:val="19"/>
          <w:rFonts w:ascii="宋体" w:hAnsi="宋体" w:eastAsia="宋体" w:cs="Times New Roman"/>
          <w:color w:val="000000"/>
          <w:highlight w:val="none"/>
          <w:u w:val="single"/>
        </w:rPr>
        <w:t>2013</w:t>
      </w:r>
      <w:r>
        <w:rPr>
          <w:rStyle w:val="19"/>
          <w:rFonts w:hint="eastAsia" w:ascii="宋体" w:hAnsi="宋体" w:eastAsia="宋体" w:cs="宋体"/>
          <w:color w:val="000000"/>
          <w:highlight w:val="none"/>
          <w:u w:val="single"/>
        </w:rPr>
        <w:t>）及广西壮族自治区实施细则、《建设工程工程量清单计算规范》（</w:t>
      </w:r>
      <w:r>
        <w:rPr>
          <w:rStyle w:val="19"/>
          <w:rFonts w:ascii="宋体" w:hAnsi="宋体" w:eastAsia="宋体" w:cs="Times New Roman"/>
          <w:color w:val="000000"/>
          <w:highlight w:val="none"/>
          <w:u w:val="single"/>
        </w:rPr>
        <w:t>GB50854~50862</w:t>
      </w:r>
      <w:r>
        <w:rPr>
          <w:rStyle w:val="19"/>
          <w:rFonts w:hint="eastAsia" w:ascii="宋体" w:hAnsi="宋体" w:eastAsia="宋体" w:cs="宋体"/>
          <w:color w:val="000000"/>
          <w:highlight w:val="none"/>
          <w:u w:val="single"/>
        </w:rPr>
        <w:t>－</w:t>
      </w:r>
      <w:r>
        <w:rPr>
          <w:rStyle w:val="19"/>
          <w:rFonts w:ascii="宋体" w:hAnsi="宋体" w:eastAsia="宋体" w:cs="Times New Roman"/>
          <w:color w:val="000000"/>
          <w:highlight w:val="none"/>
          <w:u w:val="single"/>
        </w:rPr>
        <w:t>2013</w:t>
      </w:r>
      <w:r>
        <w:rPr>
          <w:rStyle w:val="19"/>
          <w:rFonts w:hint="eastAsia" w:ascii="宋体" w:hAnsi="宋体" w:eastAsia="宋体" w:cs="宋体"/>
          <w:color w:val="000000"/>
          <w:highlight w:val="none"/>
          <w:u w:val="single"/>
        </w:rPr>
        <w:t>）及广西实施细则、本工程补充项目清单为准</w:t>
      </w:r>
      <w:r>
        <w:rPr>
          <w:rStyle w:val="19"/>
          <w:rFonts w:hint="eastAsia" w:ascii="宋体" w:hAnsi="宋体" w:eastAsia="宋体" w:cs="宋体"/>
          <w:color w:val="000000"/>
          <w:highlight w:val="none"/>
        </w:rPr>
        <w:t>。</w:t>
      </w:r>
    </w:p>
    <w:p w14:paraId="4543ECA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12.3.2 </w:t>
      </w:r>
      <w:r>
        <w:rPr>
          <w:rStyle w:val="19"/>
          <w:rFonts w:hint="eastAsia" w:ascii="宋体" w:hAnsi="宋体" w:eastAsia="宋体" w:cs="宋体"/>
          <w:color w:val="000000"/>
          <w:highlight w:val="none"/>
        </w:rPr>
        <w:t>计量周期</w:t>
      </w:r>
    </w:p>
    <w:p w14:paraId="38A58D48">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关于计量周期的约定：</w:t>
      </w:r>
      <w:r>
        <w:rPr>
          <w:rStyle w:val="19"/>
          <w:rFonts w:hint="eastAsia" w:ascii="宋体" w:hAnsi="宋体" w:eastAsia="宋体" w:cs="宋体"/>
          <w:color w:val="000000"/>
          <w:szCs w:val="21"/>
          <w:highlight w:val="none"/>
        </w:rPr>
        <w:t>按通用条款执行</w:t>
      </w:r>
      <w:r>
        <w:rPr>
          <w:rStyle w:val="19"/>
          <w:rFonts w:hint="eastAsia" w:ascii="宋体" w:hAnsi="宋体" w:eastAsia="宋体" w:cs="宋体"/>
          <w:color w:val="000000"/>
          <w:highlight w:val="none"/>
        </w:rPr>
        <w:t>。</w:t>
      </w:r>
    </w:p>
    <w:p w14:paraId="40118137">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12.3.3 </w:t>
      </w:r>
      <w:r>
        <w:rPr>
          <w:rStyle w:val="19"/>
          <w:rFonts w:hint="eastAsia" w:ascii="宋体" w:hAnsi="宋体" w:eastAsia="宋体" w:cs="宋体"/>
          <w:color w:val="000000"/>
          <w:highlight w:val="none"/>
        </w:rPr>
        <w:t>单价合同的计量</w:t>
      </w:r>
    </w:p>
    <w:p w14:paraId="08EBDE66">
      <w:pPr>
        <w:pStyle w:val="89"/>
        <w:pageBreakBefore w:val="0"/>
        <w:kinsoku/>
        <w:wordWrap/>
        <w:overflowPunct/>
        <w:topLinePunct w:val="0"/>
        <w:bidi w:val="0"/>
        <w:spacing w:line="360" w:lineRule="auto"/>
        <w:ind w:firstLine="42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关于单价合同计量的约定：按通用条款执行，但监理人未及时审核承包人提交的工程量报表时，可以暂按该报表计算工程价款，但监理人或发包人仍有权对报表中的工程量进行审核。</w:t>
      </w:r>
    </w:p>
    <w:p w14:paraId="047E4CBE">
      <w:pPr>
        <w:pStyle w:val="89"/>
        <w:pageBreakBefore w:val="0"/>
        <w:kinsoku/>
        <w:wordWrap/>
        <w:overflowPunct/>
        <w:topLinePunct w:val="0"/>
        <w:bidi w:val="0"/>
        <w:spacing w:line="360" w:lineRule="auto"/>
        <w:ind w:firstLine="441"/>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(1) 工程量按建设单位、监理单位、施工单位三方确认的与实际相符的竣工图结算。如发现竣工图与实际不符，按不利于施工单位的原则结算。</w:t>
      </w:r>
    </w:p>
    <w:p w14:paraId="027C27B8">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(2) 除另有规定外，工程师应按照合同通过计量来核实确定已完成的工程量和价值，承包人应得到该价值扣除保留金后的价款。当工程师要对已完工的工程量进行计量时，应适时地通知承包人参加。</w:t>
      </w:r>
    </w:p>
    <w:p w14:paraId="13757066">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12.3.4 </w:t>
      </w:r>
      <w:r>
        <w:rPr>
          <w:rStyle w:val="19"/>
          <w:rFonts w:hint="eastAsia" w:ascii="宋体" w:hAnsi="宋体" w:eastAsia="宋体" w:cs="宋体"/>
          <w:color w:val="000000"/>
          <w:highlight w:val="none"/>
        </w:rPr>
        <w:t>总价合同的计量</w:t>
      </w:r>
    </w:p>
    <w:p w14:paraId="323B572A">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（1）总价合同计量约定：进度款按支付分解表支付</w:t>
      </w:r>
      <w:r>
        <w:rPr>
          <w:rStyle w:val="19"/>
          <w:rFonts w:hint="eastAsia" w:ascii="宋体" w:hAnsi="宋体" w:eastAsia="宋体" w:cs="宋体"/>
          <w:color w:val="000000"/>
          <w:kern w:val="0"/>
          <w:highlight w:val="none"/>
        </w:rPr>
        <w:t>，</w:t>
      </w:r>
      <w:r>
        <w:rPr>
          <w:rStyle w:val="19"/>
          <w:rFonts w:hint="eastAsia" w:ascii="宋体" w:hAnsi="宋体" w:eastAsia="宋体" w:cs="宋体"/>
          <w:color w:val="000000"/>
          <w:highlight w:val="none"/>
        </w:rPr>
        <w:t>支付分解表在招标完成后签合同之前制定，具体详见本专用合同条款12.4.6。</w:t>
      </w:r>
    </w:p>
    <w:p w14:paraId="5D7F0429">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12.3.6 </w:t>
      </w:r>
      <w:r>
        <w:rPr>
          <w:rStyle w:val="19"/>
          <w:rFonts w:hint="eastAsia" w:ascii="宋体" w:hAnsi="宋体" w:eastAsia="宋体" w:cs="宋体"/>
          <w:color w:val="000000"/>
          <w:highlight w:val="none"/>
        </w:rPr>
        <w:t>其他价格形式合同的计量</w:t>
      </w:r>
    </w:p>
    <w:p w14:paraId="1A735011">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其他价格形式的计量方式和程序：</w:t>
      </w:r>
      <w:r>
        <w:rPr>
          <w:rStyle w:val="19"/>
          <w:rFonts w:ascii="宋体" w:hAnsi="宋体" w:eastAsia="宋体" w:cs="Times New Roman"/>
          <w:color w:val="000000"/>
          <w:highlight w:val="none"/>
          <w:u w:val="single"/>
        </w:rPr>
        <w:t xml:space="preserve">   /  </w:t>
      </w:r>
      <w:r>
        <w:rPr>
          <w:rStyle w:val="19"/>
          <w:rFonts w:hint="eastAsia" w:ascii="宋体" w:hAnsi="宋体" w:eastAsia="宋体" w:cs="宋体"/>
          <w:color w:val="000000"/>
          <w:highlight w:val="none"/>
        </w:rPr>
        <w:t>。</w:t>
      </w:r>
    </w:p>
    <w:p w14:paraId="0D66F909">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147" w:name="_Toc373478399"/>
      <w:bookmarkStart w:id="1148" w:name="_Toc78449841"/>
      <w:bookmarkStart w:id="1149" w:name="_Toc6289"/>
      <w:bookmarkStart w:id="1150" w:name="_Toc1711431123"/>
      <w:bookmarkStart w:id="1151" w:name="_Toc1155368667"/>
      <w:bookmarkStart w:id="1152" w:name="_Toc373227752"/>
      <w:bookmarkStart w:id="1153" w:name="_Toc389065317"/>
      <w:bookmarkStart w:id="1154" w:name="_Toc407135255"/>
      <w:r>
        <w:rPr>
          <w:rStyle w:val="19"/>
          <w:rFonts w:ascii="宋体" w:hAnsi="宋体" w:eastAsia="宋体" w:cs="Times New Roman"/>
          <w:b/>
          <w:bCs/>
          <w:color w:val="000000"/>
          <w:sz w:val="32"/>
          <w:szCs w:val="32"/>
          <w:highlight w:val="none"/>
          <w:lang w:val="zh-CN"/>
        </w:rPr>
        <w:t xml:space="preserve">12.4 </w:t>
      </w:r>
      <w:r>
        <w:rPr>
          <w:rStyle w:val="19"/>
          <w:rFonts w:hint="eastAsia" w:ascii="宋体" w:hAnsi="宋体" w:eastAsia="宋体" w:cs="黑体"/>
          <w:b/>
          <w:bCs/>
          <w:color w:val="000000"/>
          <w:sz w:val="32"/>
          <w:szCs w:val="32"/>
          <w:highlight w:val="none"/>
          <w:lang w:val="zh-CN"/>
        </w:rPr>
        <w:t>工程进度款支付</w:t>
      </w:r>
      <w:bookmarkEnd w:id="1147"/>
      <w:bookmarkEnd w:id="1148"/>
      <w:bookmarkEnd w:id="1149"/>
      <w:bookmarkEnd w:id="1150"/>
      <w:bookmarkEnd w:id="1151"/>
      <w:bookmarkEnd w:id="1152"/>
      <w:bookmarkEnd w:id="1153"/>
      <w:bookmarkEnd w:id="1154"/>
    </w:p>
    <w:p w14:paraId="4437311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bookmarkStart w:id="1155" w:name="_Toc296944550"/>
      <w:bookmarkStart w:id="1156" w:name="_Toc292559416"/>
      <w:bookmarkStart w:id="1157" w:name="_Toc297216215"/>
      <w:bookmarkStart w:id="1158" w:name="_Toc303539163"/>
      <w:bookmarkStart w:id="1159" w:name="_Toc297048397"/>
      <w:bookmarkStart w:id="1160" w:name="_Toc296503211"/>
      <w:bookmarkStart w:id="1161" w:name="_Toc296891039"/>
      <w:bookmarkStart w:id="1162" w:name="_Toc300935006"/>
      <w:bookmarkStart w:id="1163" w:name="_Toc297123556"/>
      <w:bookmarkStart w:id="1164" w:name="_Toc292559921"/>
      <w:bookmarkStart w:id="1165" w:name="_Toc296347210"/>
      <w:bookmarkStart w:id="1166" w:name="_Toc296346712"/>
      <w:bookmarkStart w:id="1167" w:name="_Toc297120511"/>
      <w:bookmarkStart w:id="1168" w:name="_Toc296891251"/>
      <w:r>
        <w:rPr>
          <w:rStyle w:val="19"/>
          <w:rFonts w:ascii="宋体" w:hAnsi="宋体" w:eastAsia="宋体" w:cs="Times New Roman"/>
          <w:color w:val="000000"/>
          <w:highlight w:val="none"/>
        </w:rPr>
        <w:t xml:space="preserve">12.4.1 </w:t>
      </w:r>
      <w:r>
        <w:rPr>
          <w:rStyle w:val="19"/>
          <w:rFonts w:hint="eastAsia" w:ascii="宋体" w:hAnsi="宋体" w:eastAsia="宋体" w:cs="宋体"/>
          <w:color w:val="000000"/>
          <w:highlight w:val="none"/>
        </w:rPr>
        <w:t>付款周期</w:t>
      </w:r>
    </w:p>
    <w:p w14:paraId="32597173">
      <w:pPr>
        <w:pStyle w:val="89"/>
        <w:pageBreakBefore w:val="0"/>
        <w:kinsoku/>
        <w:wordWrap/>
        <w:overflowPunct/>
        <w:topLinePunct w:val="0"/>
        <w:bidi w:val="0"/>
        <w:spacing w:line="360" w:lineRule="auto"/>
        <w:ind w:firstLine="525" w:firstLineChars="250"/>
        <w:jc w:val="left"/>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①</w:t>
      </w:r>
      <w:r>
        <w:rPr>
          <w:rStyle w:val="19"/>
          <w:rFonts w:hint="eastAsia" w:ascii="宋体" w:hAnsi="宋体" w:eastAsia="宋体" w:cs="宋体"/>
          <w:color w:val="000000"/>
          <w:kern w:val="0"/>
          <w:szCs w:val="21"/>
          <w:highlight w:val="none"/>
        </w:rPr>
        <w:t xml:space="preserve">工程款原则上按月支付，合同内按工程计量周期内完成工程量的 80%，合同外按工程计量周期完成工程量的60%。 </w:t>
      </w:r>
    </w:p>
    <w:p w14:paraId="72C15C3F">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 xml:space="preserve"> ②工程完工验收达到质量要求，按项目已完成工程量后支付至合同价80%，竣工验收通过后支付至合同价90%，合同外的变更签证工程量按工程计量当期完成、并经发包人核定的工程量的60%支付，审计结算后支付至项目审定结算价的97%，审定结算价的3%作为项目质量保证金。</w:t>
      </w:r>
    </w:p>
    <w:p w14:paraId="75027FD4">
      <w:pPr>
        <w:pStyle w:val="89"/>
        <w:pageBreakBefore w:val="0"/>
        <w:kinsoku/>
        <w:wordWrap/>
        <w:overflowPunct/>
        <w:topLinePunct w:val="0"/>
        <w:bidi w:val="0"/>
        <w:spacing w:line="360" w:lineRule="auto"/>
        <w:ind w:firstLine="525" w:firstLineChars="250"/>
        <w:jc w:val="left"/>
        <w:rPr>
          <w:rStyle w:val="19"/>
          <w:rFonts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③发包人向承包人支付每一笔工程款前，承包人需提前向发包人开具与当期待支付工程款 等额的增值税普通发票（发票载明的销售方应为承包人）。</w:t>
      </w:r>
    </w:p>
    <w:p w14:paraId="2171B2E6">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 xml:space="preserve"> ④</w:t>
      </w:r>
      <w:r>
        <w:rPr>
          <w:rStyle w:val="19"/>
          <w:rFonts w:ascii="Calibri" w:hAnsi="Calibri" w:eastAsia="宋体" w:cs="Times New Roman"/>
          <w:color w:val="000000"/>
          <w:highlight w:val="none"/>
        </w:rPr>
        <w:t>自第一期进度款起，预付款抵扣</w:t>
      </w:r>
      <w:r>
        <w:rPr>
          <w:rStyle w:val="19"/>
          <w:rFonts w:ascii="宋体" w:hAnsi="宋体" w:eastAsia="宋体" w:cs="宋体"/>
          <w:color w:val="000000"/>
          <w:highlight w:val="none"/>
        </w:rPr>
        <w:t>按每次支付工程进度款的50%扣回，直到扣回的金额达到合同约定的预付款金额为止。</w:t>
      </w:r>
    </w:p>
    <w:p w14:paraId="6E69C828">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 xml:space="preserve">发包人开票信息如下： 统一社会信用代码：12450000498500618J </w:t>
      </w:r>
    </w:p>
    <w:p w14:paraId="605D51C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 xml:space="preserve">单位名称：广西壮族自治区人民医院 </w:t>
      </w:r>
    </w:p>
    <w:p w14:paraId="361B81A8">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 xml:space="preserve">开户行：中国银行南宁市桃源支行 </w:t>
      </w:r>
    </w:p>
    <w:p w14:paraId="02C7A6D5">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 xml:space="preserve">账号：621057485137 </w:t>
      </w:r>
    </w:p>
    <w:p w14:paraId="63AC6257">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 xml:space="preserve">货物或应税劳务、服务名称：需要注明项目名称 </w:t>
      </w:r>
    </w:p>
    <w:p w14:paraId="15E34889">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 xml:space="preserve">地址：南宁市青秀区桃源路 6 号 </w:t>
      </w:r>
    </w:p>
    <w:p w14:paraId="50C1DEA5">
      <w:pPr>
        <w:pStyle w:val="89"/>
        <w:pageBreakBefore w:val="0"/>
        <w:kinsoku/>
        <w:wordWrap/>
        <w:overflowPunct/>
        <w:topLinePunct w:val="0"/>
        <w:bidi w:val="0"/>
        <w:spacing w:line="360" w:lineRule="auto"/>
        <w:ind w:firstLine="420" w:firstLineChars="200"/>
        <w:jc w:val="left"/>
        <w:rPr>
          <w:rStyle w:val="19"/>
          <w:rFonts w:hint="eastAsia" w:ascii="宋体" w:hAnsi="宋体" w:eastAsia="宋体" w:cs="Times New Roman"/>
          <w:color w:val="000000"/>
          <w:szCs w:val="21"/>
          <w:highlight w:val="none"/>
        </w:rPr>
      </w:pPr>
      <w:r>
        <w:rPr>
          <w:rStyle w:val="19"/>
          <w:rFonts w:hint="eastAsia" w:ascii="宋体" w:hAnsi="宋体" w:eastAsia="宋体" w:cs="Times New Roman"/>
          <w:color w:val="000000"/>
          <w:szCs w:val="21"/>
          <w:highlight w:val="none"/>
        </w:rPr>
        <w:t>电话：0771-2614012</w:t>
      </w:r>
    </w:p>
    <w:p w14:paraId="1703D8B8">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12.4.2 </w:t>
      </w:r>
      <w:r>
        <w:rPr>
          <w:rStyle w:val="19"/>
          <w:rFonts w:hint="eastAsia" w:ascii="宋体" w:hAnsi="宋体" w:eastAsia="宋体" w:cs="宋体"/>
          <w:color w:val="000000"/>
          <w:highlight w:val="none"/>
        </w:rPr>
        <w:t>进度付款申请单的编制</w:t>
      </w:r>
    </w:p>
    <w:p w14:paraId="2DCCB07D">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关于进度付款申请单编制的约定：按每月实际完成的施工进度提交已完工程量的月报表, 作为工程价款支付的依据。</w:t>
      </w:r>
      <w:r>
        <w:rPr>
          <w:rStyle w:val="19"/>
          <w:rFonts w:hint="eastAsia" w:ascii="宋体" w:hAnsi="宋体" w:eastAsia="宋体" w:cs="Times New Roman"/>
          <w:color w:val="000000"/>
          <w:highlight w:val="none"/>
          <w:u w:val="single"/>
        </w:rPr>
        <w:t>按发包人要求版本进行编制</w:t>
      </w:r>
      <w:r>
        <w:rPr>
          <w:rStyle w:val="19"/>
          <w:rFonts w:hint="eastAsia" w:ascii="宋体" w:hAnsi="宋体" w:eastAsia="宋体" w:cs="Times New Roman"/>
          <w:color w:val="000000"/>
          <w:highlight w:val="none"/>
        </w:rPr>
        <w:t>。</w:t>
      </w:r>
    </w:p>
    <w:p w14:paraId="6F1DAAB0">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1</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r>
        <w:rPr>
          <w:rStyle w:val="19"/>
          <w:rFonts w:ascii="宋体" w:hAnsi="宋体" w:eastAsia="宋体" w:cs="Times New Roman"/>
          <w:color w:val="000000"/>
          <w:highlight w:val="none"/>
        </w:rPr>
        <w:t xml:space="preserve">2.4.3 </w:t>
      </w:r>
      <w:r>
        <w:rPr>
          <w:rStyle w:val="19"/>
          <w:rFonts w:hint="eastAsia" w:ascii="宋体" w:hAnsi="宋体" w:eastAsia="宋体" w:cs="宋体"/>
          <w:color w:val="000000"/>
          <w:highlight w:val="none"/>
        </w:rPr>
        <w:t>进度付款申请单的提交</w:t>
      </w:r>
    </w:p>
    <w:p w14:paraId="30CB9A38">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b/>
          <w:bCs/>
          <w:color w:val="000000"/>
          <w:highlight w:val="none"/>
          <w:u w:val="single"/>
        </w:rPr>
      </w:pPr>
      <w:r>
        <w:rPr>
          <w:rStyle w:val="19"/>
          <w:rFonts w:hint="eastAsia" w:ascii="宋体" w:hAnsi="宋体" w:eastAsia="宋体" w:cs="宋体"/>
          <w:color w:val="000000"/>
          <w:highlight w:val="none"/>
        </w:rPr>
        <w:t>（</w:t>
      </w:r>
      <w:r>
        <w:rPr>
          <w:rStyle w:val="19"/>
          <w:rFonts w:ascii="宋体" w:hAnsi="宋体" w:eastAsia="宋体" w:cs="Times New Roman"/>
          <w:color w:val="000000"/>
          <w:highlight w:val="none"/>
        </w:rPr>
        <w:t>1</w:t>
      </w:r>
      <w:r>
        <w:rPr>
          <w:rStyle w:val="19"/>
          <w:rFonts w:hint="eastAsia" w:ascii="宋体" w:hAnsi="宋体" w:eastAsia="宋体" w:cs="宋体"/>
          <w:color w:val="000000"/>
          <w:highlight w:val="none"/>
        </w:rPr>
        <w:t>）单价合同进度付款申请单提交的约定：</w:t>
      </w:r>
    </w:p>
    <w:p w14:paraId="3865C012">
      <w:pPr>
        <w:pStyle w:val="89"/>
        <w:pageBreakBefore w:val="0"/>
        <w:kinsoku/>
        <w:wordWrap/>
        <w:overflowPunct/>
        <w:topLinePunct w:val="0"/>
        <w:bidi w:val="0"/>
        <w:spacing w:line="360" w:lineRule="auto"/>
        <w:ind w:firstLine="420"/>
        <w:jc w:val="left"/>
        <w:rPr>
          <w:rStyle w:val="19"/>
          <w:rFonts w:hint="eastAsia" w:ascii="宋体" w:hAnsi="宋体" w:eastAsia="宋体" w:cs="宋体"/>
          <w:color w:val="000000"/>
          <w:highlight w:val="none"/>
          <w:u w:val="single"/>
          <w:lang w:eastAsia="zh-CN"/>
        </w:rPr>
      </w:pPr>
      <w:r>
        <w:rPr>
          <w:rStyle w:val="19"/>
          <w:rFonts w:hint="eastAsia" w:ascii="宋体" w:hAnsi="宋体" w:eastAsia="宋体" w:cs="Times New Roman"/>
          <w:color w:val="000000"/>
          <w:highlight w:val="none"/>
          <w:u w:val="single"/>
        </w:rPr>
        <w:t>承包人应配合发包人提供以下资料：</w:t>
      </w:r>
      <w:r>
        <w:rPr>
          <w:rStyle w:val="19"/>
          <w:rFonts w:hint="eastAsia" w:ascii="宋体" w:hAnsi="宋体" w:eastAsia="宋体" w:cs="宋体"/>
          <w:color w:val="000000"/>
          <w:highlight w:val="none"/>
          <w:u w:val="single"/>
        </w:rPr>
        <w:t>①《工程款支付证书》；②工程量计量报表；③合同复印件；④形象进度说明等；</w:t>
      </w:r>
      <w:r>
        <w:rPr>
          <w:rStyle w:val="19"/>
          <w:rFonts w:hint="eastAsia" w:ascii="宋体" w:hAnsi="宋体" w:eastAsia="宋体" w:cs="宋体"/>
          <w:color w:val="000000"/>
          <w:highlight w:val="none"/>
          <w:u w:val="single"/>
          <w:lang w:eastAsia="zh-CN"/>
        </w:rPr>
        <w:t>⑥发包人财务部门出具的转款明细单；</w:t>
      </w:r>
      <w:r>
        <w:rPr>
          <w:rStyle w:val="19"/>
          <w:rFonts w:hint="eastAsia" w:ascii="宋体" w:hAnsi="宋体" w:eastAsia="宋体" w:cs="宋体"/>
          <w:color w:val="000000"/>
          <w:highlight w:val="none"/>
          <w:u w:val="single"/>
        </w:rPr>
        <w:t>⑤</w:t>
      </w:r>
      <w:r>
        <w:rPr>
          <w:rStyle w:val="19"/>
          <w:rFonts w:hint="eastAsia" w:ascii="宋体" w:hAnsi="宋体" w:eastAsia="宋体" w:cs="宋体"/>
          <w:color w:val="000000"/>
          <w:highlight w:val="none"/>
          <w:u w:val="single"/>
          <w:lang w:eastAsia="zh-CN"/>
        </w:rPr>
        <w:t>与当期待支付工程款等额</w:t>
      </w:r>
      <w:r>
        <w:rPr>
          <w:rStyle w:val="19"/>
          <w:rFonts w:hint="eastAsia" w:ascii="宋体" w:hAnsi="宋体" w:eastAsia="宋体" w:cs="宋体"/>
          <w:color w:val="000000"/>
          <w:highlight w:val="none"/>
          <w:u w:val="single"/>
        </w:rPr>
        <w:t>的</w:t>
      </w:r>
      <w:r>
        <w:rPr>
          <w:rFonts w:hint="eastAsia"/>
          <w:highlight w:val="none"/>
          <w:lang w:val="en-US" w:eastAsia="zh-CN"/>
        </w:rPr>
        <w:t>增值税普通发票</w:t>
      </w:r>
      <w:r>
        <w:rPr>
          <w:rStyle w:val="19"/>
          <w:rFonts w:hint="eastAsia" w:ascii="宋体" w:hAnsi="宋体" w:eastAsia="宋体" w:cs="宋体"/>
          <w:color w:val="000000"/>
          <w:highlight w:val="none"/>
          <w:u w:val="single"/>
          <w:lang w:eastAsia="zh-CN"/>
        </w:rPr>
        <w:t>。</w:t>
      </w:r>
    </w:p>
    <w:p w14:paraId="453DF156">
      <w:pPr>
        <w:pStyle w:val="89"/>
        <w:pageBreakBefore w:val="0"/>
        <w:kinsoku/>
        <w:wordWrap/>
        <w:overflowPunct/>
        <w:topLinePunct w:val="0"/>
        <w:bidi w:val="0"/>
        <w:spacing w:line="360" w:lineRule="auto"/>
        <w:ind w:firstLine="420"/>
        <w:jc w:val="left"/>
        <w:rPr>
          <w:rStyle w:val="19"/>
          <w:rFonts w:ascii="宋体" w:hAnsi="宋体" w:eastAsia="宋体" w:cs="宋体"/>
          <w:color w:val="000000"/>
          <w:highlight w:val="none"/>
          <w:u w:val="single"/>
        </w:rPr>
      </w:pPr>
      <w:r>
        <w:rPr>
          <w:rStyle w:val="19"/>
          <w:rFonts w:hint="eastAsia" w:ascii="宋体" w:hAnsi="宋体" w:eastAsia="宋体" w:cs="宋体"/>
          <w:color w:val="000000"/>
          <w:highlight w:val="none"/>
          <w:u w:val="single"/>
        </w:rPr>
        <w:t>以上资料不全时，承包人同意按计划继续施工并同意发包人暂不支付相应的工程款。</w:t>
      </w:r>
    </w:p>
    <w:p w14:paraId="2A1C72E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w:t>
      </w:r>
      <w:r>
        <w:rPr>
          <w:rStyle w:val="19"/>
          <w:rFonts w:ascii="宋体" w:hAnsi="宋体" w:eastAsia="宋体" w:cs="Times New Roman"/>
          <w:color w:val="000000"/>
          <w:highlight w:val="none"/>
        </w:rPr>
        <w:t>2</w:t>
      </w:r>
      <w:r>
        <w:rPr>
          <w:rStyle w:val="19"/>
          <w:rFonts w:hint="eastAsia" w:ascii="宋体" w:hAnsi="宋体" w:eastAsia="宋体" w:cs="宋体"/>
          <w:color w:val="000000"/>
          <w:highlight w:val="none"/>
        </w:rPr>
        <w:t>）总价合同进度付款申请单提交的约定：</w:t>
      </w:r>
      <w:r>
        <w:rPr>
          <w:rStyle w:val="19"/>
          <w:rFonts w:hint="eastAsia" w:ascii="宋体" w:hAnsi="宋体" w:eastAsia="宋体" w:cs="Times New Roman"/>
          <w:color w:val="000000"/>
          <w:highlight w:val="none"/>
          <w:u w:val="single"/>
        </w:rPr>
        <w:t>/</w:t>
      </w:r>
      <w:r>
        <w:rPr>
          <w:rStyle w:val="19"/>
          <w:rFonts w:hint="eastAsia" w:ascii="宋体" w:hAnsi="宋体" w:eastAsia="宋体" w:cs="宋体"/>
          <w:color w:val="000000"/>
          <w:highlight w:val="none"/>
        </w:rPr>
        <w:t>。</w:t>
      </w:r>
    </w:p>
    <w:p w14:paraId="2B1C8616">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w:t>
      </w:r>
      <w:r>
        <w:rPr>
          <w:rStyle w:val="19"/>
          <w:rFonts w:ascii="宋体" w:hAnsi="宋体" w:eastAsia="宋体" w:cs="Times New Roman"/>
          <w:color w:val="000000"/>
          <w:highlight w:val="none"/>
        </w:rPr>
        <w:t>3</w:t>
      </w:r>
      <w:r>
        <w:rPr>
          <w:rStyle w:val="19"/>
          <w:rFonts w:hint="eastAsia" w:ascii="宋体" w:hAnsi="宋体" w:eastAsia="宋体" w:cs="宋体"/>
          <w:color w:val="000000"/>
          <w:highlight w:val="none"/>
        </w:rPr>
        <w:t>）其他价格形式合同进度付款申请单提交的约定：</w:t>
      </w:r>
      <w:r>
        <w:rPr>
          <w:rStyle w:val="19"/>
          <w:rFonts w:ascii="宋体" w:hAnsi="宋体" w:eastAsia="宋体" w:cs="Times New Roman"/>
          <w:color w:val="000000"/>
          <w:highlight w:val="none"/>
          <w:u w:val="single"/>
        </w:rPr>
        <w:t xml:space="preserve">  /  </w:t>
      </w:r>
      <w:r>
        <w:rPr>
          <w:rStyle w:val="19"/>
          <w:rFonts w:hint="eastAsia" w:ascii="宋体" w:hAnsi="宋体" w:eastAsia="宋体" w:cs="宋体"/>
          <w:color w:val="000000"/>
          <w:highlight w:val="none"/>
        </w:rPr>
        <w:t>。</w:t>
      </w:r>
    </w:p>
    <w:p w14:paraId="2340016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12.4.4 </w:t>
      </w:r>
      <w:r>
        <w:rPr>
          <w:rStyle w:val="19"/>
          <w:rFonts w:hint="eastAsia" w:ascii="宋体" w:hAnsi="宋体" w:eastAsia="宋体" w:cs="宋体"/>
          <w:color w:val="000000"/>
          <w:highlight w:val="none"/>
        </w:rPr>
        <w:t>进度款审核和支付</w:t>
      </w:r>
    </w:p>
    <w:p w14:paraId="30FEB979">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u w:val="single"/>
        </w:rPr>
      </w:pPr>
      <w:r>
        <w:rPr>
          <w:rStyle w:val="19"/>
          <w:rFonts w:hint="eastAsia" w:ascii="宋体" w:hAnsi="宋体" w:eastAsia="宋体" w:cs="宋体"/>
          <w:color w:val="000000"/>
          <w:szCs w:val="21"/>
          <w:highlight w:val="none"/>
        </w:rPr>
        <w:t>（1）进度款支付方式：</w:t>
      </w:r>
      <w:r>
        <w:rPr>
          <w:rStyle w:val="19"/>
          <w:rFonts w:hint="eastAsia" w:ascii="宋体" w:hAnsi="宋体" w:eastAsia="宋体" w:cs="宋体"/>
          <w:color w:val="000000"/>
          <w:szCs w:val="21"/>
          <w:highlight w:val="none"/>
          <w:u w:val="single"/>
        </w:rPr>
        <w:t>银行转账至承包人指定账户。</w:t>
      </w:r>
    </w:p>
    <w:p w14:paraId="66D9071D">
      <w:pPr>
        <w:pStyle w:val="89"/>
        <w:pageBreakBefore w:val="0"/>
        <w:kinsoku/>
        <w:wordWrap/>
        <w:overflowPunct/>
        <w:topLinePunct w:val="0"/>
        <w:bidi w:val="0"/>
        <w:spacing w:line="360" w:lineRule="auto"/>
        <w:ind w:firstLine="420" w:firstLineChars="200"/>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2）在下次工程款拨付时，前一期发票未报账的，发包人有权拒绝支付。承包人向发包人提供的工程发票必须是有效的正式发票。若经发包人或相关主管部门发现承包人提交的发票为无效发票或假发票的，视为承包人同意发包人延迟支付当次工程款，直至承包人向发包人重新提交有效的正式发票后七个工作日止，同时承包人向发包人支付与发票面额等额的违约金，并承担由此造成的一切责任及损失。</w:t>
      </w:r>
    </w:p>
    <w:p w14:paraId="66724E4D">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（3） 农民工工资支付</w:t>
      </w:r>
    </w:p>
    <w:p w14:paraId="28528ABD">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kern w:val="0"/>
          <w:highlight w:val="none"/>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r>
        <w:rPr>
          <w:rStyle w:val="19"/>
          <w:rFonts w:hint="eastAsia" w:ascii="宋体" w:hAnsi="宋体" w:eastAsia="宋体" w:cs="Times New Roman"/>
          <w:color w:val="000000"/>
          <w:highlight w:val="none"/>
        </w:rPr>
        <w:t>承包人在中标后7个工作日内，按南宁市住房和城乡建设局（各市住房城乡建设行政主管部门）规定将农民工工资保证金存入</w:t>
      </w:r>
      <w:r>
        <w:rPr>
          <w:rStyle w:val="19"/>
          <w:rFonts w:hint="eastAsia" w:ascii="宋体" w:hAnsi="宋体" w:eastAsia="宋体" w:cs="Times New Roman"/>
          <w:color w:val="000000"/>
          <w:highlight w:val="none"/>
          <w:lang w:eastAsia="zh-CN"/>
        </w:rPr>
        <w:t>账户</w:t>
      </w:r>
      <w:r>
        <w:rPr>
          <w:rStyle w:val="19"/>
          <w:rFonts w:hint="eastAsia" w:ascii="宋体" w:hAnsi="宋体" w:eastAsia="宋体" w:cs="Times New Roman"/>
          <w:color w:val="000000"/>
          <w:highlight w:val="none"/>
        </w:rPr>
        <w:t>。工程竣工验收结算经审定后，按照规定程序，将农民工工资保证金没有使用或剩余的金额退还给承包人。</w:t>
      </w:r>
    </w:p>
    <w:p w14:paraId="1FA9A18A">
      <w:pPr>
        <w:pStyle w:val="89"/>
        <w:pageBreakBefore w:val="0"/>
        <w:kinsoku/>
        <w:wordWrap/>
        <w:overflowPunct/>
        <w:topLinePunct w:val="0"/>
        <w:bidi w:val="0"/>
        <w:spacing w:line="360" w:lineRule="auto"/>
        <w:ind w:firstLine="525" w:firstLineChars="25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2）人工费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5CEEA4EB">
      <w:pPr>
        <w:pStyle w:val="89"/>
        <w:pageBreakBefore w:val="0"/>
        <w:kinsoku/>
        <w:wordWrap/>
        <w:overflowPunct/>
        <w:topLinePunct w:val="0"/>
        <w:bidi w:val="0"/>
        <w:spacing w:line="360" w:lineRule="auto"/>
        <w:ind w:firstLine="525" w:firstLineChars="25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3）发包人依据工程进度，审核承包人申报的工程进度款，按照与承包人约定的人工费支付比例</w:t>
      </w:r>
      <w:r>
        <w:rPr>
          <w:rStyle w:val="19"/>
          <w:rFonts w:hint="eastAsia" w:ascii="宋体" w:hAnsi="宋体" w:eastAsia="宋体" w:cs="宋体"/>
          <w:color w:val="000000"/>
          <w:kern w:val="0"/>
          <w:highlight w:val="none"/>
          <w:u w:val="single"/>
        </w:rPr>
        <w:t>20%</w:t>
      </w:r>
      <w:r>
        <w:rPr>
          <w:rStyle w:val="19"/>
          <w:rFonts w:hint="eastAsia" w:ascii="宋体" w:hAnsi="宋体" w:eastAsia="宋体" w:cs="宋体"/>
          <w:color w:val="000000"/>
          <w:kern w:val="0"/>
          <w:highlight w:val="none"/>
        </w:rPr>
        <w:t>（房建项目不少于20%，市政项目不少于15%），将人工费及时足额拨付至承包人的农民工工资专用账户，其余工程进度款项由发包人支付到承包人的单位基本户。</w:t>
      </w:r>
    </w:p>
    <w:p w14:paraId="1D7B7075">
      <w:pPr>
        <w:pStyle w:val="89"/>
        <w:pageBreakBefore w:val="0"/>
        <w:kinsoku/>
        <w:wordWrap/>
        <w:overflowPunct/>
        <w:topLinePunct w:val="0"/>
        <w:bidi w:val="0"/>
        <w:spacing w:line="360" w:lineRule="auto"/>
        <w:ind w:firstLine="525" w:firstLineChars="25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39E80D0D">
      <w:pPr>
        <w:pStyle w:val="89"/>
        <w:pageBreakBefore w:val="0"/>
        <w:kinsoku/>
        <w:wordWrap/>
        <w:overflowPunct/>
        <w:topLinePunct w:val="0"/>
        <w:bidi w:val="0"/>
        <w:spacing w:line="360" w:lineRule="auto"/>
        <w:ind w:firstLine="525" w:firstLineChars="25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5）凡未向付款单位提供农民工工资专用账户的，或者请款单位在申请工程进度款时未将人工费单列的，付款单位有权拒绝支付工程进度款。</w:t>
      </w:r>
    </w:p>
    <w:p w14:paraId="0DF22BE9">
      <w:pPr>
        <w:pStyle w:val="89"/>
        <w:pageBreakBefore w:val="0"/>
        <w:kinsoku/>
        <w:wordWrap/>
        <w:overflowPunct/>
        <w:topLinePunct w:val="0"/>
        <w:bidi w:val="0"/>
        <w:spacing w:line="360" w:lineRule="auto"/>
        <w:ind w:firstLine="525" w:firstLineChars="25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6）人工费使用要求：专款专用，除发放农民工工资外，不得用于其他用途。</w:t>
      </w:r>
    </w:p>
    <w:p w14:paraId="4371D2EE">
      <w:pPr>
        <w:pStyle w:val="89"/>
        <w:pageBreakBefore w:val="0"/>
        <w:kinsoku/>
        <w:wordWrap/>
        <w:overflowPunct/>
        <w:topLinePunct w:val="0"/>
        <w:bidi w:val="0"/>
        <w:spacing w:line="360" w:lineRule="auto"/>
        <w:ind w:firstLine="525" w:firstLineChars="25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7）承包人将人工费支付情况定期报告发包人和监理单位，并提供相应的材料接受建设行政主管部门和劳动保障行政主管部门对此事项监管。</w:t>
      </w:r>
    </w:p>
    <w:p w14:paraId="52D3BA23">
      <w:pPr>
        <w:pStyle w:val="89"/>
        <w:pageBreakBefore w:val="0"/>
        <w:kinsoku/>
        <w:wordWrap/>
        <w:overflowPunct/>
        <w:topLinePunct w:val="0"/>
        <w:autoSpaceDE w:val="0"/>
        <w:autoSpaceDN w:val="0"/>
        <w:bidi w:val="0"/>
        <w:adjustRightInd w:val="0"/>
        <w:spacing w:line="360" w:lineRule="auto"/>
        <w:ind w:firstLine="420" w:firstLineChars="200"/>
        <w:jc w:val="left"/>
        <w:rPr>
          <w:rFonts w:hint="eastAsia" w:hAnsi="宋体" w:cs="宋体"/>
          <w:color w:val="auto"/>
          <w:kern w:val="0"/>
          <w:highlight w:val="none"/>
        </w:rPr>
      </w:pPr>
      <w:r>
        <w:rPr>
          <w:rStyle w:val="19"/>
          <w:rFonts w:hint="eastAsia" w:ascii="宋体" w:hAnsi="宋体" w:eastAsia="宋体" w:cs="宋体"/>
          <w:color w:val="000000"/>
          <w:kern w:val="0"/>
          <w:highlight w:val="none"/>
        </w:rPr>
        <w:t>8）人工费支付专用账户：</w:t>
      </w:r>
      <w:r>
        <w:rPr>
          <w:rFonts w:hint="eastAsia" w:hAnsi="宋体" w:cs="宋体"/>
          <w:color w:val="auto"/>
          <w:kern w:val="0"/>
          <w:szCs w:val="21"/>
          <w:highlight w:val="none"/>
          <w:u w:val="single"/>
          <w:lang w:val="en-US" w:eastAsia="zh-CN"/>
        </w:rPr>
        <w:t xml:space="preserve">   </w:t>
      </w:r>
      <w:r>
        <w:rPr>
          <w:rFonts w:hint="eastAsia" w:hAnsi="宋体" w:cs="宋体"/>
          <w:color w:val="auto"/>
          <w:kern w:val="0"/>
          <w:highlight w:val="none"/>
        </w:rPr>
        <w:t xml:space="preserve">。账号： </w:t>
      </w:r>
      <w:r>
        <w:rPr>
          <w:rFonts w:hint="eastAsia" w:hAnsi="宋体" w:cs="宋体"/>
          <w:color w:val="auto"/>
          <w:kern w:val="0"/>
          <w:szCs w:val="21"/>
          <w:highlight w:val="none"/>
          <w:u w:val="single"/>
          <w:lang w:val="en-US" w:eastAsia="zh-CN"/>
        </w:rPr>
        <w:t xml:space="preserve">  </w:t>
      </w:r>
      <w:r>
        <w:rPr>
          <w:rFonts w:hAnsi="宋体" w:cs="宋体"/>
          <w:color w:val="auto"/>
          <w:kern w:val="0"/>
          <w:highlight w:val="none"/>
        </w:rPr>
        <w:t>。</w:t>
      </w:r>
      <w:r>
        <w:rPr>
          <w:rFonts w:hint="eastAsia" w:hAnsi="宋体" w:cs="宋体"/>
          <w:color w:val="auto"/>
          <w:kern w:val="0"/>
          <w:highlight w:val="none"/>
        </w:rPr>
        <w:t>开户银行：</w:t>
      </w:r>
      <w:r>
        <w:rPr>
          <w:rFonts w:hint="eastAsia" w:hAnsi="宋体" w:cs="宋体"/>
          <w:color w:val="auto"/>
          <w:kern w:val="0"/>
          <w:highlight w:val="none"/>
          <w:u w:val="single"/>
        </w:rPr>
        <w:t xml:space="preserve"> </w:t>
      </w:r>
      <w:r>
        <w:rPr>
          <w:rFonts w:hint="eastAsia" w:hAnsi="宋体" w:cs="宋体"/>
          <w:color w:val="auto"/>
          <w:kern w:val="0"/>
          <w:highlight w:val="none"/>
          <w:u w:val="single"/>
          <w:lang w:val="en-US" w:eastAsia="zh-CN"/>
        </w:rPr>
        <w:t xml:space="preserve">  </w:t>
      </w:r>
      <w:r>
        <w:rPr>
          <w:rFonts w:hint="eastAsia" w:hAnsi="宋体" w:cs="宋体"/>
          <w:color w:val="auto"/>
          <w:kern w:val="0"/>
          <w:highlight w:val="none"/>
          <w:u w:val="single"/>
        </w:rPr>
        <w:t xml:space="preserve"> </w:t>
      </w:r>
      <w:r>
        <w:rPr>
          <w:rFonts w:hint="eastAsia" w:hAnsi="宋体" w:cs="宋体"/>
          <w:color w:val="auto"/>
          <w:kern w:val="0"/>
          <w:highlight w:val="none"/>
        </w:rPr>
        <w:t>。</w:t>
      </w:r>
    </w:p>
    <w:p w14:paraId="1D8E1689">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9）本项目不允许转包分包，发包人不向除承包人以外的任何分包人农民工工资账户支付任何款项，也不向任何分包人的任何账户支付任何款项。</w:t>
      </w:r>
    </w:p>
    <w:p w14:paraId="0042A374">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10）承包人必须与包括农民工在内的所有雇用人员签订劳动合同，为雇佣人员购买工伤保 险、医疗保险、意外伤害险等，并应及时足额支付劳动报酬，若发现承包人有非法用工或未及时足额支付雇用人员劳动报酬的，发包人有权拒绝支付承包人任何款项，并扣留承包人履约保证金至承包人整改完毕为止。</w:t>
      </w:r>
    </w:p>
    <w:p w14:paraId="18B61923">
      <w:pPr>
        <w:pStyle w:val="89"/>
        <w:pageBreakBefore w:val="0"/>
        <w:kinsoku/>
        <w:wordWrap/>
        <w:overflowPunct/>
        <w:topLinePunct w:val="0"/>
        <w:autoSpaceDE w:val="0"/>
        <w:autoSpaceDN w:val="0"/>
        <w:bidi w:val="0"/>
        <w:adjustRightInd w:val="0"/>
        <w:spacing w:line="360" w:lineRule="auto"/>
        <w:ind w:firstLine="420" w:firstLineChars="200"/>
        <w:jc w:val="left"/>
        <w:rPr>
          <w:rStyle w:val="19"/>
          <w:rFonts w:hint="eastAsia"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11）承包人与雇佣人员发生劳动纠纷、工伤等情形的，均由承包人负责处理并承担相应的责任，与发包人无关；承包人不得以劳动纠纷或工人纠集闹事等任何理由提前预支任何款项。</w:t>
      </w:r>
    </w:p>
    <w:p w14:paraId="551BFB01">
      <w:pPr>
        <w:pStyle w:val="89"/>
        <w:pageBreakBefore w:val="0"/>
        <w:kinsoku/>
        <w:wordWrap/>
        <w:overflowPunct/>
        <w:topLinePunct w:val="0"/>
        <w:bidi w:val="0"/>
        <w:spacing w:line="360" w:lineRule="auto"/>
        <w:ind w:firstLine="525" w:firstLineChars="25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12.4.6 </w:t>
      </w:r>
      <w:r>
        <w:rPr>
          <w:rStyle w:val="19"/>
          <w:rFonts w:hint="eastAsia" w:ascii="宋体" w:hAnsi="宋体" w:eastAsia="宋体" w:cs="宋体"/>
          <w:color w:val="000000"/>
          <w:highlight w:val="none"/>
        </w:rPr>
        <w:t>支付分解表的编制</w:t>
      </w:r>
    </w:p>
    <w:p w14:paraId="3457269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w:t>
      </w:r>
      <w:r>
        <w:rPr>
          <w:rStyle w:val="19"/>
          <w:rFonts w:ascii="宋体" w:hAnsi="宋体" w:eastAsia="宋体" w:cs="Times New Roman"/>
          <w:color w:val="000000"/>
          <w:highlight w:val="none"/>
        </w:rPr>
        <w:t>1</w:t>
      </w:r>
      <w:r>
        <w:rPr>
          <w:rStyle w:val="19"/>
          <w:rFonts w:hint="eastAsia" w:ascii="宋体" w:hAnsi="宋体" w:eastAsia="宋体" w:cs="Times New Roman"/>
          <w:color w:val="000000"/>
          <w:highlight w:val="none"/>
        </w:rPr>
        <w:t>）</w:t>
      </w:r>
      <w:r>
        <w:rPr>
          <w:rStyle w:val="19"/>
          <w:rFonts w:hint="eastAsia" w:ascii="宋体" w:hAnsi="宋体" w:eastAsia="宋体" w:cs="宋体"/>
          <w:color w:val="000000"/>
          <w:highlight w:val="none"/>
        </w:rPr>
        <w:t>总价合同支付分解表的编制与审批：</w:t>
      </w:r>
      <w:r>
        <w:rPr>
          <w:rStyle w:val="19"/>
          <w:rFonts w:hint="eastAsia" w:ascii="宋体" w:hAnsi="宋体" w:eastAsia="宋体" w:cs="Times New Roman"/>
          <w:color w:val="000000"/>
          <w:highlight w:val="none"/>
          <w:u w:val="single"/>
        </w:rPr>
        <w:t>总价合同支付分分解表在招标完成后由发包人和承包人共同编制，发包人审批，并作为本合同内容，具体详见合同附件14</w:t>
      </w:r>
      <w:r>
        <w:rPr>
          <w:rStyle w:val="19"/>
          <w:rFonts w:hint="eastAsia" w:ascii="宋体" w:hAnsi="宋体" w:eastAsia="宋体" w:cs="Times New Roman"/>
          <w:color w:val="000000"/>
          <w:highlight w:val="none"/>
        </w:rPr>
        <w:t>。</w:t>
      </w:r>
    </w:p>
    <w:p w14:paraId="4CAC883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（2）</w:t>
      </w:r>
      <w:r>
        <w:rPr>
          <w:rStyle w:val="19"/>
          <w:rFonts w:hint="eastAsia" w:ascii="宋体" w:hAnsi="宋体" w:eastAsia="宋体" w:cs="宋体"/>
          <w:color w:val="000000"/>
          <w:highlight w:val="none"/>
        </w:rPr>
        <w:t>单价合同的总价项目支付分解表的编制与审批：</w:t>
      </w:r>
      <w:r>
        <w:rPr>
          <w:rStyle w:val="19"/>
          <w:rFonts w:hint="eastAsia" w:ascii="宋体" w:hAnsi="宋体" w:eastAsia="宋体" w:cs="宋体"/>
          <w:color w:val="000000"/>
          <w:highlight w:val="none"/>
          <w:u w:val="single"/>
        </w:rPr>
        <w:t>总价项目不采用支付分解表的方式计算，而按《建设工程工程量清单计价规范（</w:t>
      </w:r>
      <w:r>
        <w:rPr>
          <w:rStyle w:val="19"/>
          <w:rFonts w:ascii="宋体" w:hAnsi="宋体" w:eastAsia="宋体" w:cs="Times New Roman"/>
          <w:color w:val="000000"/>
          <w:highlight w:val="none"/>
          <w:u w:val="single"/>
        </w:rPr>
        <w:t>GB50500-2013</w:t>
      </w:r>
      <w:r>
        <w:rPr>
          <w:rStyle w:val="19"/>
          <w:rFonts w:hint="eastAsia" w:ascii="宋体" w:hAnsi="宋体" w:eastAsia="宋体" w:cs="宋体"/>
          <w:color w:val="000000"/>
          <w:highlight w:val="none"/>
          <w:u w:val="single"/>
        </w:rPr>
        <w:t>）广西壮族自治区实施细则》的规定执行</w:t>
      </w:r>
      <w:r>
        <w:rPr>
          <w:rStyle w:val="19"/>
          <w:rFonts w:hint="eastAsia" w:ascii="宋体" w:hAnsi="宋体" w:eastAsia="宋体" w:cs="宋体"/>
          <w:color w:val="000000"/>
          <w:highlight w:val="none"/>
        </w:rPr>
        <w:t>。</w:t>
      </w:r>
    </w:p>
    <w:bookmarkEnd w:id="896"/>
    <w:p w14:paraId="4A928E30">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1169" w:name="_Toc78449842"/>
      <w:bookmarkStart w:id="1170" w:name="_Toc389065318"/>
      <w:bookmarkStart w:id="1171" w:name="_Toc351203645"/>
      <w:bookmarkStart w:id="1172" w:name="_Toc373227753"/>
      <w:bookmarkStart w:id="1173" w:name="_Toc728899116"/>
      <w:bookmarkStart w:id="1174" w:name="_Toc373478400"/>
      <w:bookmarkStart w:id="1175" w:name="_Toc407135256"/>
      <w:bookmarkStart w:id="1176" w:name="_Toc2003466256"/>
      <w:bookmarkStart w:id="1177" w:name="_Toc29988"/>
      <w:bookmarkStart w:id="1178" w:name="_Toc297216223"/>
      <w:bookmarkStart w:id="1179" w:name="_Toc303539172"/>
      <w:bookmarkStart w:id="1180" w:name="_Toc304295593"/>
      <w:bookmarkStart w:id="1181" w:name="_Toc297048405"/>
      <w:bookmarkStart w:id="1182" w:name="_Toc296891259"/>
      <w:bookmarkStart w:id="1183" w:name="_Toc292559929"/>
      <w:bookmarkStart w:id="1184" w:name="_Toc296944558"/>
      <w:bookmarkStart w:id="1185" w:name="_Toc297123564"/>
      <w:bookmarkStart w:id="1186" w:name="_Toc292559424"/>
      <w:bookmarkStart w:id="1187" w:name="_Toc296347218"/>
      <w:bookmarkStart w:id="1188" w:name="_Toc300935015"/>
      <w:bookmarkStart w:id="1189" w:name="_Toc296346720"/>
      <w:bookmarkStart w:id="1190" w:name="_Toc312678053"/>
      <w:bookmarkStart w:id="1191" w:name="_Toc297120519"/>
      <w:bookmarkStart w:id="1192" w:name="_Toc296891047"/>
      <w:bookmarkStart w:id="1193" w:name="_Toc296503219"/>
      <w:r>
        <w:rPr>
          <w:rStyle w:val="19"/>
          <w:rFonts w:ascii="宋体" w:hAnsi="宋体" w:eastAsia="宋体" w:cs="Times New Roman"/>
          <w:b/>
          <w:bCs/>
          <w:color w:val="000000"/>
          <w:sz w:val="32"/>
          <w:szCs w:val="32"/>
          <w:highlight w:val="none"/>
          <w:lang w:val="zh-CN"/>
        </w:rPr>
        <w:t xml:space="preserve">13. </w:t>
      </w:r>
      <w:r>
        <w:rPr>
          <w:rStyle w:val="19"/>
          <w:rFonts w:hint="eastAsia" w:ascii="宋体" w:hAnsi="宋体" w:eastAsia="宋体" w:cs="黑体"/>
          <w:b/>
          <w:bCs/>
          <w:color w:val="000000"/>
          <w:sz w:val="32"/>
          <w:szCs w:val="32"/>
          <w:highlight w:val="none"/>
          <w:lang w:val="zh-CN"/>
        </w:rPr>
        <w:t>验收和工程试车</w:t>
      </w:r>
      <w:bookmarkEnd w:id="1169"/>
      <w:bookmarkEnd w:id="1170"/>
      <w:bookmarkEnd w:id="1171"/>
      <w:bookmarkEnd w:id="1172"/>
      <w:bookmarkEnd w:id="1173"/>
      <w:bookmarkEnd w:id="1174"/>
      <w:bookmarkEnd w:id="1175"/>
      <w:bookmarkEnd w:id="1176"/>
      <w:bookmarkEnd w:id="1177"/>
    </w:p>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14:paraId="77F9CF71">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194" w:name="_Toc31914"/>
      <w:bookmarkStart w:id="1195" w:name="_Toc407135258"/>
      <w:bookmarkStart w:id="1196" w:name="_Toc389065320"/>
      <w:bookmarkStart w:id="1197" w:name="_Toc1062221039"/>
      <w:bookmarkStart w:id="1198" w:name="_Toc78449844"/>
      <w:bookmarkStart w:id="1199" w:name="_Toc1578431234"/>
      <w:bookmarkStart w:id="1200" w:name="_Toc373478402"/>
      <w:bookmarkStart w:id="1201" w:name="_Toc373227755"/>
      <w:bookmarkStart w:id="1202" w:name="_Toc296503223"/>
      <w:bookmarkStart w:id="1203" w:name="_Toc292559933"/>
      <w:bookmarkStart w:id="1204" w:name="_Toc296346724"/>
      <w:bookmarkStart w:id="1205" w:name="_Toc296944562"/>
      <w:bookmarkStart w:id="1206" w:name="_Toc296891051"/>
      <w:bookmarkStart w:id="1207" w:name="_Toc296891263"/>
      <w:bookmarkStart w:id="1208" w:name="_Toc297048409"/>
      <w:bookmarkStart w:id="1209" w:name="_Toc292559428"/>
      <w:bookmarkStart w:id="1210" w:name="_Toc297216224"/>
      <w:bookmarkStart w:id="1211" w:name="_Toc304295596"/>
      <w:bookmarkStart w:id="1212" w:name="_Toc296347222"/>
      <w:bookmarkStart w:id="1213" w:name="_Toc312678056"/>
      <w:bookmarkStart w:id="1214" w:name="_Toc303539173"/>
      <w:bookmarkStart w:id="1215" w:name="_Toc300935016"/>
      <w:bookmarkStart w:id="1216" w:name="_Toc297123565"/>
      <w:bookmarkStart w:id="1217" w:name="_Toc297120523"/>
      <w:bookmarkStart w:id="1218" w:name="_Toc267251473"/>
      <w:bookmarkStart w:id="1219" w:name="_Toc267251476"/>
      <w:bookmarkStart w:id="1220" w:name="_Toc267251471"/>
      <w:bookmarkStart w:id="1221" w:name="_Toc267251475"/>
      <w:bookmarkStart w:id="1222" w:name="_Toc267251472"/>
      <w:bookmarkStart w:id="1223" w:name="_Toc267251474"/>
      <w:bookmarkStart w:id="1224" w:name="_Toc267251470"/>
      <w:r>
        <w:rPr>
          <w:rStyle w:val="19"/>
          <w:rFonts w:ascii="宋体" w:hAnsi="宋体" w:eastAsia="宋体" w:cs="Times New Roman"/>
          <w:b/>
          <w:bCs/>
          <w:color w:val="000000"/>
          <w:sz w:val="32"/>
          <w:szCs w:val="32"/>
          <w:highlight w:val="none"/>
          <w:lang w:val="zh-CN"/>
        </w:rPr>
        <w:t xml:space="preserve">13.2 </w:t>
      </w:r>
      <w:r>
        <w:rPr>
          <w:rStyle w:val="19"/>
          <w:rFonts w:hint="eastAsia" w:ascii="宋体" w:hAnsi="宋体" w:eastAsia="宋体" w:cs="黑体"/>
          <w:b/>
          <w:bCs/>
          <w:color w:val="000000"/>
          <w:sz w:val="32"/>
          <w:szCs w:val="32"/>
          <w:highlight w:val="none"/>
          <w:lang w:val="zh-CN"/>
        </w:rPr>
        <w:t>竣工验收</w:t>
      </w:r>
      <w:bookmarkEnd w:id="1194"/>
      <w:bookmarkEnd w:id="1195"/>
      <w:bookmarkEnd w:id="1196"/>
      <w:bookmarkEnd w:id="1197"/>
      <w:bookmarkEnd w:id="1198"/>
      <w:bookmarkEnd w:id="1199"/>
      <w:bookmarkEnd w:id="1200"/>
      <w:bookmarkEnd w:id="1201"/>
    </w:p>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14:paraId="21E03E43">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bookmarkStart w:id="1225" w:name="_Toc280868704"/>
      <w:bookmarkStart w:id="1226" w:name="_Toc280868705"/>
      <w:bookmarkStart w:id="1227" w:name="_Toc280868706"/>
      <w:bookmarkStart w:id="1228" w:name="_Toc280868707"/>
      <w:bookmarkStart w:id="1229" w:name="_Toc280868708"/>
      <w:bookmarkStart w:id="1230" w:name="_Toc280868709"/>
      <w:r>
        <w:rPr>
          <w:rStyle w:val="19"/>
          <w:rFonts w:ascii="宋体" w:hAnsi="宋体" w:eastAsia="宋体" w:cs="Times New Roman"/>
          <w:color w:val="000000"/>
          <w:highlight w:val="none"/>
        </w:rPr>
        <w:t>13.2.1</w:t>
      </w:r>
      <w:r>
        <w:rPr>
          <w:rStyle w:val="19"/>
          <w:rFonts w:hint="eastAsia" w:ascii="宋体" w:hAnsi="宋体" w:eastAsia="宋体" w:cs="宋体"/>
          <w:color w:val="000000"/>
          <w:highlight w:val="none"/>
        </w:rPr>
        <w:t>竣工验收条件</w:t>
      </w:r>
    </w:p>
    <w:p w14:paraId="283EE508">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u w:val="single"/>
        </w:rPr>
        <w:t>（</w:t>
      </w:r>
      <w:r>
        <w:rPr>
          <w:rStyle w:val="19"/>
          <w:rFonts w:hint="eastAsia" w:ascii="宋体" w:hAnsi="宋体" w:eastAsia="宋体" w:cs="Times New Roman"/>
          <w:color w:val="000000"/>
          <w:highlight w:val="none"/>
          <w:u w:val="single"/>
        </w:rPr>
        <w:t>1</w:t>
      </w:r>
      <w:r>
        <w:rPr>
          <w:rStyle w:val="19"/>
          <w:rFonts w:hint="eastAsia" w:ascii="宋体" w:hAnsi="宋体" w:eastAsia="宋体" w:cs="宋体"/>
          <w:color w:val="000000"/>
          <w:highlight w:val="none"/>
          <w:u w:val="single"/>
        </w:rPr>
        <w:t>）承包人负责整理和提交的竣工验收资料应当符合工程所在地建设行政主管部门和</w:t>
      </w:r>
      <w:r>
        <w:rPr>
          <w:rStyle w:val="19"/>
          <w:rFonts w:ascii="宋体" w:hAnsi="宋体" w:eastAsia="宋体" w:cs="Times New Roman"/>
          <w:color w:val="000000"/>
          <w:highlight w:val="none"/>
          <w:u w:val="single"/>
        </w:rPr>
        <w:t>(</w:t>
      </w:r>
      <w:r>
        <w:rPr>
          <w:rStyle w:val="19"/>
          <w:rFonts w:hint="eastAsia" w:ascii="宋体" w:hAnsi="宋体" w:eastAsia="宋体" w:cs="宋体"/>
          <w:color w:val="000000"/>
          <w:highlight w:val="none"/>
          <w:u w:val="single"/>
        </w:rPr>
        <w:t>或</w:t>
      </w:r>
      <w:r>
        <w:rPr>
          <w:rStyle w:val="19"/>
          <w:rFonts w:ascii="宋体" w:hAnsi="宋体" w:eastAsia="宋体" w:cs="Times New Roman"/>
          <w:color w:val="000000"/>
          <w:highlight w:val="none"/>
          <w:u w:val="single"/>
        </w:rPr>
        <w:t>)</w:t>
      </w:r>
      <w:r>
        <w:rPr>
          <w:rStyle w:val="19"/>
          <w:rFonts w:hint="eastAsia" w:ascii="宋体" w:hAnsi="宋体" w:eastAsia="宋体" w:cs="宋体"/>
          <w:color w:val="000000"/>
          <w:highlight w:val="none"/>
          <w:u w:val="single"/>
        </w:rPr>
        <w:t>城市建设档案管理机构有关施工资料的要求，具体内容包括：</w:t>
      </w:r>
      <w:r>
        <w:rPr>
          <w:rStyle w:val="19"/>
          <w:rFonts w:hint="eastAsia" w:ascii="宋体" w:hAnsi="宋体" w:eastAsia="宋体" w:cs="宋体"/>
          <w:color w:val="000000"/>
          <w:szCs w:val="21"/>
          <w:highlight w:val="none"/>
          <w:u w:val="single"/>
        </w:rPr>
        <w:t>符合要求的完整施工资料</w:t>
      </w:r>
      <w:r>
        <w:rPr>
          <w:rStyle w:val="19"/>
          <w:rFonts w:hint="eastAsia" w:ascii="宋体" w:hAnsi="宋体" w:eastAsia="宋体" w:cs="宋体"/>
          <w:color w:val="000000"/>
          <w:highlight w:val="none"/>
          <w:u w:val="single"/>
        </w:rPr>
        <w:t>。</w:t>
      </w:r>
    </w:p>
    <w:p w14:paraId="1FD6F184">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u w:val="single"/>
        </w:rPr>
        <w:t>竣工验收资料的份数：</w:t>
      </w:r>
      <w:r>
        <w:rPr>
          <w:rStyle w:val="19"/>
          <w:rFonts w:ascii="宋体" w:hAnsi="宋体" w:eastAsia="宋体" w:cs="宋体"/>
          <w:color w:val="000000"/>
          <w:szCs w:val="21"/>
          <w:highlight w:val="none"/>
          <w:u w:val="single"/>
        </w:rPr>
        <w:t>一式</w:t>
      </w:r>
      <w:r>
        <w:rPr>
          <w:rStyle w:val="19"/>
          <w:rFonts w:hint="eastAsia" w:ascii="宋体" w:hAnsi="宋体" w:eastAsia="宋体" w:cs="宋体"/>
          <w:color w:val="000000"/>
          <w:szCs w:val="21"/>
          <w:highlight w:val="none"/>
          <w:u w:val="single"/>
        </w:rPr>
        <w:t>肆份</w:t>
      </w:r>
      <w:r>
        <w:rPr>
          <w:rStyle w:val="19"/>
          <w:rFonts w:hint="eastAsia" w:ascii="宋体" w:hAnsi="宋体" w:eastAsia="宋体" w:cs="宋体"/>
          <w:color w:val="000000"/>
          <w:highlight w:val="none"/>
          <w:u w:val="single"/>
        </w:rPr>
        <w:t>。</w:t>
      </w:r>
    </w:p>
    <w:p w14:paraId="2FD5EE76">
      <w:pPr>
        <w:pStyle w:val="89"/>
        <w:pageBreakBefore w:val="0"/>
        <w:kinsoku/>
        <w:wordWrap/>
        <w:overflowPunct/>
        <w:topLinePunct w:val="0"/>
        <w:bidi w:val="0"/>
        <w:spacing w:line="360" w:lineRule="auto"/>
        <w:ind w:firstLine="420" w:firstLineChars="200"/>
        <w:jc w:val="left"/>
        <w:rPr>
          <w:rStyle w:val="19"/>
          <w:rFonts w:hint="eastAsia" w:ascii="宋体" w:hAnsi="宋体" w:eastAsia="宋体" w:cs="宋体"/>
          <w:color w:val="000000"/>
          <w:highlight w:val="none"/>
          <w:u w:val="single"/>
        </w:rPr>
      </w:pPr>
      <w:r>
        <w:rPr>
          <w:rStyle w:val="19"/>
          <w:rFonts w:hint="eastAsia" w:ascii="宋体" w:hAnsi="宋体" w:eastAsia="宋体" w:cs="宋体"/>
          <w:color w:val="000000"/>
          <w:highlight w:val="none"/>
          <w:u w:val="single"/>
        </w:rPr>
        <w:t>承包人提供竣工图的约定：竣工验收正式通过后</w:t>
      </w:r>
      <w:r>
        <w:rPr>
          <w:rStyle w:val="19"/>
          <w:rFonts w:ascii="宋体" w:hAnsi="宋体" w:eastAsia="宋体" w:cs="Times New Roman"/>
          <w:color w:val="000000"/>
          <w:highlight w:val="none"/>
          <w:u w:val="single"/>
        </w:rPr>
        <w:t>5</w:t>
      </w:r>
      <w:r>
        <w:rPr>
          <w:rStyle w:val="19"/>
          <w:rFonts w:hint="eastAsia" w:ascii="宋体" w:hAnsi="宋体" w:eastAsia="宋体" w:cs="宋体"/>
          <w:color w:val="000000"/>
          <w:highlight w:val="none"/>
          <w:u w:val="single"/>
        </w:rPr>
        <w:t>天，提供竣工图</w:t>
      </w:r>
      <w:r>
        <w:rPr>
          <w:rStyle w:val="19"/>
          <w:rFonts w:hint="eastAsia" w:ascii="Calibri" w:hAnsi="Calibri" w:eastAsia="宋体" w:cs="Times New Roman"/>
          <w:color w:val="000000"/>
          <w:highlight w:val="none"/>
          <w:u w:val="single"/>
        </w:rPr>
        <w:t>肆</w:t>
      </w:r>
      <w:r>
        <w:rPr>
          <w:rStyle w:val="19"/>
          <w:rFonts w:hint="eastAsia" w:ascii="宋体" w:hAnsi="宋体" w:eastAsia="宋体" w:cs="宋体"/>
          <w:color w:val="000000"/>
          <w:highlight w:val="none"/>
          <w:u w:val="single"/>
        </w:rPr>
        <w:t>套。</w:t>
      </w:r>
    </w:p>
    <w:p w14:paraId="0ED37DB1">
      <w:pPr>
        <w:pStyle w:val="89"/>
        <w:pageBreakBefore w:val="0"/>
        <w:kinsoku/>
        <w:wordWrap/>
        <w:overflowPunct/>
        <w:topLinePunct w:val="0"/>
        <w:bidi w:val="0"/>
        <w:spacing w:line="360" w:lineRule="auto"/>
        <w:ind w:firstLine="420" w:firstLineChars="200"/>
        <w:jc w:val="left"/>
        <w:rPr>
          <w:rStyle w:val="19"/>
          <w:rFonts w:hint="eastAsia" w:ascii="宋体" w:hAnsi="宋体" w:eastAsia="宋体" w:cs="宋体"/>
          <w:color w:val="000000"/>
          <w:highlight w:val="none"/>
          <w:u w:val="single"/>
        </w:rPr>
      </w:pPr>
      <w:r>
        <w:rPr>
          <w:rStyle w:val="19"/>
          <w:rFonts w:hint="eastAsia" w:ascii="宋体" w:hAnsi="宋体" w:eastAsia="宋体" w:cs="宋体"/>
          <w:color w:val="000000"/>
          <w:highlight w:val="none"/>
          <w:u w:val="single"/>
        </w:rPr>
        <w:t>（</w:t>
      </w:r>
      <w:r>
        <w:rPr>
          <w:rStyle w:val="19"/>
          <w:rFonts w:hint="eastAsia" w:ascii="宋体" w:hAnsi="宋体" w:eastAsia="宋体" w:cs="Times New Roman"/>
          <w:color w:val="000000"/>
          <w:highlight w:val="none"/>
          <w:u w:val="single"/>
        </w:rPr>
        <w:t>2</w:t>
      </w:r>
      <w:r>
        <w:rPr>
          <w:rStyle w:val="19"/>
          <w:rFonts w:hint="eastAsia" w:ascii="宋体" w:hAnsi="宋体" w:eastAsia="宋体" w:cs="宋体"/>
          <w:color w:val="000000"/>
          <w:highlight w:val="none"/>
          <w:u w:val="single"/>
        </w:rPr>
        <w:t>）如承包人报送的工程结算总价过高，造成该结算审减率超过6%以上的，则超出6%以上部分的审核费由承包人承担，费用由发包人从承包人工程结算款中扣除。其中:审减率=(送审造价-审定造价)/送审造价*100%;当审减率大于6%时，承包人应承担的审核费=(净审减额-送审额*6%)*3.5%。</w:t>
      </w:r>
    </w:p>
    <w:p w14:paraId="690618B4">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13.2.2</w:t>
      </w:r>
      <w:r>
        <w:rPr>
          <w:rStyle w:val="19"/>
          <w:rFonts w:hint="eastAsia" w:ascii="宋体" w:hAnsi="宋体" w:eastAsia="宋体" w:cs="宋体"/>
          <w:color w:val="000000"/>
          <w:highlight w:val="none"/>
        </w:rPr>
        <w:t>竣工验收程序</w:t>
      </w:r>
    </w:p>
    <w:bookmarkEnd w:id="1225"/>
    <w:p w14:paraId="53E7F514">
      <w:pPr>
        <w:pStyle w:val="89"/>
        <w:pageBreakBefore w:val="0"/>
        <w:kinsoku/>
        <w:wordWrap/>
        <w:overflowPunct/>
        <w:topLinePunct w:val="0"/>
        <w:bidi w:val="0"/>
        <w:spacing w:line="360" w:lineRule="auto"/>
        <w:ind w:firstLine="420" w:firstLineChars="200"/>
        <w:rPr>
          <w:rStyle w:val="19"/>
          <w:rFonts w:ascii="宋体" w:hAnsi="Calibri" w:eastAsia="宋体" w:cs="宋体"/>
          <w:color w:val="000000"/>
          <w:szCs w:val="21"/>
          <w:highlight w:val="none"/>
        </w:rPr>
      </w:pPr>
      <w:r>
        <w:rPr>
          <w:rStyle w:val="19"/>
          <w:rFonts w:hint="eastAsia" w:ascii="宋体" w:hAnsi="宋体" w:eastAsia="宋体" w:cs="宋体"/>
          <w:color w:val="000000"/>
          <w:kern w:val="0"/>
          <w:highlight w:val="none"/>
        </w:rPr>
        <w:t>关于竣工验收程序的约定：</w:t>
      </w:r>
      <w:r>
        <w:rPr>
          <w:rStyle w:val="19"/>
          <w:rFonts w:hint="eastAsia" w:ascii="宋体" w:hAnsi="宋体" w:eastAsia="宋体" w:cs="宋体"/>
          <w:color w:val="000000"/>
          <w:szCs w:val="21"/>
          <w:highlight w:val="none"/>
        </w:rPr>
        <w:t>因承包人原因使工程竣工验收不能通过的，承包人应按要求整改直至合格为止，并承担相应费用。工程竣工验收质量达不到合格，承包人还必须承担因工程不能按时投入使用造成发包人的一切损失。</w:t>
      </w:r>
    </w:p>
    <w:p w14:paraId="718A5ACE">
      <w:pPr>
        <w:pStyle w:val="89"/>
        <w:pageBreakBefore w:val="0"/>
        <w:kinsoku/>
        <w:wordWrap/>
        <w:overflowPunct/>
        <w:topLinePunct w:val="0"/>
        <w:bidi w:val="0"/>
        <w:spacing w:line="360" w:lineRule="auto"/>
        <w:ind w:firstLine="420" w:firstLineChars="200"/>
        <w:rPr>
          <w:rStyle w:val="19"/>
          <w:rFonts w:ascii="宋体" w:hAnsi="Calibri" w:eastAsia="宋体" w:cs="宋体"/>
          <w:color w:val="000000"/>
          <w:szCs w:val="21"/>
          <w:highlight w:val="none"/>
        </w:rPr>
      </w:pPr>
      <w:r>
        <w:rPr>
          <w:rStyle w:val="19"/>
          <w:rFonts w:hint="eastAsia" w:ascii="宋体" w:hAnsi="宋体" w:eastAsia="宋体" w:cs="宋体"/>
          <w:color w:val="000000"/>
          <w:szCs w:val="21"/>
          <w:highlight w:val="none"/>
        </w:rPr>
        <w:t>发包人组织竣工初验收前承包人须完成的工作：</w:t>
      </w:r>
    </w:p>
    <w:p w14:paraId="46EE7043">
      <w:pPr>
        <w:pStyle w:val="89"/>
        <w:pageBreakBefore w:val="0"/>
        <w:kinsoku/>
        <w:wordWrap/>
        <w:overflowPunct/>
        <w:topLinePunct w:val="0"/>
        <w:bidi w:val="0"/>
        <w:spacing w:line="360" w:lineRule="auto"/>
        <w:ind w:firstLine="420" w:firstLineChars="200"/>
        <w:rPr>
          <w:rStyle w:val="19"/>
          <w:rFonts w:ascii="宋体" w:hAnsi="Calibri" w:eastAsia="宋体" w:cs="宋体"/>
          <w:color w:val="000000"/>
          <w:szCs w:val="21"/>
          <w:highlight w:val="none"/>
        </w:rPr>
      </w:pPr>
      <w:r>
        <w:rPr>
          <w:rStyle w:val="19"/>
          <w:rFonts w:hint="eastAsia" w:ascii="宋体" w:hAnsi="宋体" w:eastAsia="宋体" w:cs="宋体"/>
          <w:color w:val="000000"/>
          <w:szCs w:val="21"/>
          <w:highlight w:val="none"/>
        </w:rPr>
        <w:t>拆除施工场内所有临时设施、临时道路、清除场内所有建筑垃圾(包括栋号室内外及周边环境清洁卫生)。</w:t>
      </w:r>
    </w:p>
    <w:p w14:paraId="470724BF">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kern w:val="0"/>
          <w:highlight w:val="none"/>
        </w:rPr>
        <w:t>发包人不按照本项约定组织竣工验收、颁发工程接收证书的违约金的计算方法：</w:t>
      </w:r>
      <w:r>
        <w:rPr>
          <w:rStyle w:val="19"/>
          <w:rFonts w:hint="eastAsia" w:ascii="宋体" w:hAnsi="宋体" w:eastAsia="宋体" w:cs="Times New Roman"/>
          <w:color w:val="000000"/>
          <w:highlight w:val="none"/>
          <w:u w:val="single"/>
        </w:rPr>
        <w:t>无</w:t>
      </w:r>
      <w:r>
        <w:rPr>
          <w:rStyle w:val="19"/>
          <w:rFonts w:hint="eastAsia" w:ascii="宋体" w:hAnsi="宋体" w:eastAsia="宋体" w:cs="宋体"/>
          <w:color w:val="000000"/>
          <w:highlight w:val="none"/>
        </w:rPr>
        <w:t>。</w:t>
      </w:r>
    </w:p>
    <w:bookmarkEnd w:id="1226"/>
    <w:p w14:paraId="73FB1D9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13.2.5</w:t>
      </w:r>
      <w:r>
        <w:rPr>
          <w:rStyle w:val="19"/>
          <w:rFonts w:hint="eastAsia" w:ascii="宋体" w:hAnsi="宋体" w:eastAsia="宋体" w:cs="宋体"/>
          <w:color w:val="000000"/>
          <w:highlight w:val="none"/>
        </w:rPr>
        <w:t>移交、接收全部与部分工程</w:t>
      </w:r>
    </w:p>
    <w:bookmarkEnd w:id="1227"/>
    <w:p w14:paraId="7A368F5E">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承包人向发包人移交工程的期限：</w:t>
      </w:r>
      <w:r>
        <w:rPr>
          <w:rStyle w:val="19"/>
          <w:rFonts w:hint="eastAsia" w:ascii="宋体" w:hAnsi="宋体" w:eastAsia="宋体" w:cs="Times New Roman"/>
          <w:color w:val="000000"/>
          <w:highlight w:val="none"/>
          <w:u w:val="single"/>
        </w:rPr>
        <w:t xml:space="preserve">颁发工程接收合格证书后7天内 </w:t>
      </w:r>
      <w:r>
        <w:rPr>
          <w:rStyle w:val="19"/>
          <w:rFonts w:hint="eastAsia" w:ascii="宋体" w:hAnsi="宋体" w:eastAsia="宋体" w:cs="Times New Roman"/>
          <w:color w:val="000000"/>
          <w:highlight w:val="none"/>
        </w:rPr>
        <w:t>。</w:t>
      </w:r>
    </w:p>
    <w:p w14:paraId="6BA8094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kern w:val="0"/>
          <w:highlight w:val="none"/>
        </w:rPr>
        <w:t>发包人未按本合同约定接收全部或部分工程的，违约金的计算方法为：</w:t>
      </w:r>
      <w:r>
        <w:rPr>
          <w:rStyle w:val="19"/>
          <w:rFonts w:hint="eastAsia" w:ascii="宋体" w:hAnsi="宋体" w:eastAsia="宋体" w:cs="Times New Roman"/>
          <w:color w:val="000000"/>
          <w:highlight w:val="none"/>
          <w:u w:val="single"/>
        </w:rPr>
        <w:t>无</w:t>
      </w:r>
      <w:r>
        <w:rPr>
          <w:rStyle w:val="19"/>
          <w:rFonts w:hint="eastAsia" w:ascii="宋体" w:hAnsi="宋体" w:eastAsia="宋体" w:cs="宋体"/>
          <w:color w:val="000000"/>
          <w:highlight w:val="none"/>
        </w:rPr>
        <w:t>。</w:t>
      </w:r>
    </w:p>
    <w:bookmarkEnd w:id="1228"/>
    <w:p w14:paraId="031F5D8D">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szCs w:val="21"/>
          <w:highlight w:val="none"/>
        </w:rPr>
      </w:pPr>
      <w:r>
        <w:rPr>
          <w:rStyle w:val="19"/>
          <w:rFonts w:hint="eastAsia" w:ascii="宋体" w:hAnsi="宋体" w:eastAsia="宋体" w:cs="宋体"/>
          <w:color w:val="000000"/>
          <w:highlight w:val="none"/>
        </w:rPr>
        <w:t>承包人未按时移交工程的，违约金的计算方法为：</w:t>
      </w:r>
      <w:r>
        <w:rPr>
          <w:rStyle w:val="19"/>
          <w:rFonts w:hint="eastAsia" w:ascii="宋体" w:hAnsi="宋体" w:eastAsia="宋体" w:cs="宋体"/>
          <w:color w:val="000000"/>
          <w:szCs w:val="21"/>
          <w:highlight w:val="none"/>
          <w:u w:val="single"/>
        </w:rPr>
        <w:t>承包人承担工程照管、成品保护、保管等与工程有关的各项费用，每逾期1天，承包人还应按合同</w:t>
      </w:r>
      <w:r>
        <w:rPr>
          <w:rStyle w:val="19"/>
          <w:rFonts w:hint="eastAsia" w:ascii="宋体" w:hAnsi="宋体" w:eastAsia="宋体" w:cs="宋体"/>
          <w:color w:val="000000"/>
          <w:szCs w:val="21"/>
          <w:highlight w:val="none"/>
          <w:u w:val="single"/>
          <w:lang w:val="en-US" w:eastAsia="zh-CN"/>
        </w:rPr>
        <w:t>签约价</w:t>
      </w:r>
      <w:r>
        <w:rPr>
          <w:rStyle w:val="19"/>
          <w:rFonts w:hint="eastAsia" w:ascii="宋体" w:hAnsi="宋体" w:eastAsia="宋体" w:cs="宋体"/>
          <w:color w:val="000000"/>
          <w:szCs w:val="21"/>
          <w:highlight w:val="none"/>
          <w:u w:val="single"/>
        </w:rPr>
        <w:t>的2‰/日向发包人支付违约金</w:t>
      </w:r>
      <w:r>
        <w:rPr>
          <w:rStyle w:val="19"/>
          <w:rFonts w:hint="eastAsia" w:ascii="宋体" w:hAnsi="宋体" w:eastAsia="宋体" w:cs="宋体"/>
          <w:color w:val="000000"/>
          <w:szCs w:val="21"/>
          <w:highlight w:val="none"/>
        </w:rPr>
        <w:t>。</w:t>
      </w:r>
      <w:bookmarkStart w:id="1231" w:name="_Toc373227756"/>
      <w:bookmarkStart w:id="1232" w:name="_Toc1470255881"/>
      <w:bookmarkStart w:id="1233" w:name="_Toc373478403"/>
      <w:bookmarkStart w:id="1234" w:name="_Toc389065321"/>
      <w:bookmarkStart w:id="1235" w:name="_Toc78449845"/>
      <w:bookmarkStart w:id="1236" w:name="_Toc407135259"/>
      <w:bookmarkStart w:id="1237" w:name="_Toc2090321864"/>
    </w:p>
    <w:p w14:paraId="1862B301">
      <w:pPr>
        <w:pStyle w:val="89"/>
        <w:pageBreakBefore w:val="0"/>
        <w:kinsoku/>
        <w:wordWrap/>
        <w:overflowPunct/>
        <w:topLinePunct w:val="0"/>
        <w:bidi w:val="0"/>
        <w:spacing w:line="360" w:lineRule="auto"/>
        <w:jc w:val="left"/>
        <w:rPr>
          <w:rStyle w:val="19"/>
          <w:rFonts w:ascii="宋体" w:hAnsi="宋体" w:eastAsia="宋体" w:cs="Times New Roman"/>
          <w:b/>
          <w:bCs/>
          <w:color w:val="000000"/>
          <w:sz w:val="32"/>
          <w:szCs w:val="32"/>
          <w:highlight w:val="none"/>
          <w:lang w:val="zh-CN"/>
        </w:rPr>
      </w:pPr>
      <w:r>
        <w:rPr>
          <w:rStyle w:val="19"/>
          <w:rFonts w:ascii="宋体" w:hAnsi="宋体" w:eastAsia="宋体" w:cs="Times New Roman"/>
          <w:b/>
          <w:bCs/>
          <w:color w:val="000000"/>
          <w:sz w:val="32"/>
          <w:szCs w:val="32"/>
          <w:highlight w:val="none"/>
          <w:lang w:val="zh-CN"/>
        </w:rPr>
        <w:t xml:space="preserve">13.3 </w:t>
      </w:r>
      <w:r>
        <w:rPr>
          <w:rStyle w:val="19"/>
          <w:rFonts w:hint="eastAsia" w:ascii="宋体" w:hAnsi="宋体" w:eastAsia="宋体" w:cs="黑体"/>
          <w:b/>
          <w:bCs/>
          <w:color w:val="000000"/>
          <w:sz w:val="32"/>
          <w:szCs w:val="32"/>
          <w:highlight w:val="none"/>
          <w:lang w:val="zh-CN"/>
        </w:rPr>
        <w:t>工程试车</w:t>
      </w:r>
      <w:bookmarkEnd w:id="1231"/>
      <w:bookmarkEnd w:id="1232"/>
      <w:bookmarkEnd w:id="1233"/>
      <w:bookmarkEnd w:id="1234"/>
      <w:bookmarkEnd w:id="1235"/>
      <w:bookmarkEnd w:id="1236"/>
      <w:bookmarkEnd w:id="1237"/>
    </w:p>
    <w:bookmarkEnd w:id="1229"/>
    <w:p w14:paraId="4AB2C81E">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13.3.1 </w:t>
      </w:r>
      <w:r>
        <w:rPr>
          <w:rStyle w:val="19"/>
          <w:rFonts w:hint="eastAsia" w:ascii="宋体" w:hAnsi="宋体" w:eastAsia="宋体" w:cs="宋体"/>
          <w:color w:val="000000"/>
          <w:kern w:val="0"/>
          <w:highlight w:val="none"/>
        </w:rPr>
        <w:t>试车程序</w:t>
      </w:r>
    </w:p>
    <w:p w14:paraId="6E26C0FF">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kern w:val="0"/>
          <w:highlight w:val="none"/>
        </w:rPr>
        <w:t>工程试车内容：</w:t>
      </w:r>
      <w:r>
        <w:rPr>
          <w:rStyle w:val="19"/>
          <w:rFonts w:hint="eastAsia" w:ascii="宋体" w:hAnsi="宋体" w:eastAsia="宋体" w:cs="Times New Roman"/>
          <w:color w:val="000000"/>
          <w:highlight w:val="none"/>
          <w:u w:val="single"/>
        </w:rPr>
        <w:t>按通用合同条款执行</w:t>
      </w:r>
      <w:r>
        <w:rPr>
          <w:rStyle w:val="19"/>
          <w:rFonts w:hint="eastAsia" w:ascii="宋体" w:hAnsi="宋体" w:eastAsia="宋体" w:cs="宋体"/>
          <w:color w:val="000000"/>
          <w:highlight w:val="none"/>
        </w:rPr>
        <w:t>。</w:t>
      </w:r>
    </w:p>
    <w:p w14:paraId="30E2C4F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1</w:t>
      </w:r>
      <w:r>
        <w:rPr>
          <w:rStyle w:val="19"/>
          <w:rFonts w:hint="eastAsia" w:ascii="宋体" w:hAnsi="宋体" w:eastAsia="宋体" w:cs="宋体"/>
          <w:color w:val="000000"/>
          <w:kern w:val="0"/>
          <w:highlight w:val="none"/>
        </w:rPr>
        <w:t>）单机无负荷试车费用由</w:t>
      </w:r>
      <w:r>
        <w:rPr>
          <w:rStyle w:val="19"/>
          <w:rFonts w:hint="eastAsia" w:ascii="宋体" w:hAnsi="宋体" w:eastAsia="宋体" w:cs="Times New Roman"/>
          <w:color w:val="000000"/>
          <w:highlight w:val="none"/>
          <w:u w:val="single"/>
        </w:rPr>
        <w:t>承包人</w:t>
      </w:r>
      <w:r>
        <w:rPr>
          <w:rStyle w:val="19"/>
          <w:rFonts w:hint="eastAsia" w:ascii="宋体" w:hAnsi="宋体" w:eastAsia="宋体" w:cs="宋体"/>
          <w:color w:val="000000"/>
          <w:kern w:val="0"/>
          <w:highlight w:val="none"/>
        </w:rPr>
        <w:t>承担；</w:t>
      </w:r>
    </w:p>
    <w:p w14:paraId="7FDE6CFD">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2</w:t>
      </w:r>
      <w:r>
        <w:rPr>
          <w:rStyle w:val="19"/>
          <w:rFonts w:hint="eastAsia" w:ascii="宋体" w:hAnsi="宋体" w:eastAsia="宋体" w:cs="宋体"/>
          <w:color w:val="000000"/>
          <w:kern w:val="0"/>
          <w:highlight w:val="none"/>
        </w:rPr>
        <w:t>）无负荷联动试车费用由</w:t>
      </w:r>
      <w:r>
        <w:rPr>
          <w:rStyle w:val="19"/>
          <w:rFonts w:hint="eastAsia" w:ascii="宋体" w:hAnsi="宋体" w:eastAsia="宋体" w:cs="Times New Roman"/>
          <w:color w:val="000000"/>
          <w:highlight w:val="none"/>
          <w:u w:val="single"/>
        </w:rPr>
        <w:t>承包人</w:t>
      </w:r>
      <w:r>
        <w:rPr>
          <w:rStyle w:val="19"/>
          <w:rFonts w:hint="eastAsia" w:ascii="宋体" w:hAnsi="宋体" w:eastAsia="宋体" w:cs="宋体"/>
          <w:color w:val="000000"/>
          <w:kern w:val="0"/>
          <w:highlight w:val="none"/>
        </w:rPr>
        <w:t>承担。</w:t>
      </w:r>
    </w:p>
    <w:p w14:paraId="12A97DE0">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13.3.3 </w:t>
      </w:r>
      <w:r>
        <w:rPr>
          <w:rStyle w:val="19"/>
          <w:rFonts w:hint="eastAsia" w:ascii="宋体" w:hAnsi="宋体" w:eastAsia="宋体" w:cs="宋体"/>
          <w:color w:val="000000"/>
          <w:kern w:val="0"/>
          <w:highlight w:val="none"/>
        </w:rPr>
        <w:t>投料试车</w:t>
      </w:r>
    </w:p>
    <w:p w14:paraId="237E18CE">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kern w:val="0"/>
          <w:highlight w:val="none"/>
        </w:rPr>
        <w:t>关于投料试车相关事项的约定：</w:t>
      </w:r>
      <w:r>
        <w:rPr>
          <w:rStyle w:val="19"/>
          <w:rFonts w:hint="eastAsia" w:ascii="宋体" w:hAnsi="宋体" w:eastAsia="宋体" w:cs="Times New Roman"/>
          <w:color w:val="000000"/>
          <w:highlight w:val="none"/>
          <w:u w:val="single"/>
        </w:rPr>
        <w:t>按通用合同条款</w:t>
      </w:r>
      <w:r>
        <w:rPr>
          <w:rStyle w:val="19"/>
          <w:rFonts w:hint="eastAsia" w:ascii="宋体" w:hAnsi="宋体" w:eastAsia="宋体" w:cs="宋体"/>
          <w:color w:val="000000"/>
          <w:highlight w:val="none"/>
        </w:rPr>
        <w:t>。</w:t>
      </w:r>
    </w:p>
    <w:p w14:paraId="4A867B2D">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238" w:name="_Toc78449846"/>
      <w:bookmarkStart w:id="1239" w:name="_Toc10307455"/>
      <w:bookmarkStart w:id="1240" w:name="_Toc373227757"/>
      <w:bookmarkStart w:id="1241" w:name="_Toc389065322"/>
      <w:bookmarkStart w:id="1242" w:name="_Toc21064"/>
      <w:bookmarkStart w:id="1243" w:name="_Toc373478404"/>
      <w:bookmarkStart w:id="1244" w:name="_Toc550030550"/>
      <w:bookmarkStart w:id="1245" w:name="_Toc407135260"/>
      <w:r>
        <w:rPr>
          <w:rStyle w:val="19"/>
          <w:rFonts w:ascii="宋体" w:hAnsi="宋体" w:eastAsia="宋体" w:cs="Times New Roman"/>
          <w:b/>
          <w:bCs/>
          <w:color w:val="000000"/>
          <w:sz w:val="32"/>
          <w:szCs w:val="32"/>
          <w:highlight w:val="none"/>
          <w:lang w:val="zh-CN"/>
        </w:rPr>
        <w:t xml:space="preserve">13.6 </w:t>
      </w:r>
      <w:r>
        <w:rPr>
          <w:rStyle w:val="19"/>
          <w:rFonts w:hint="eastAsia" w:ascii="宋体" w:hAnsi="宋体" w:eastAsia="宋体" w:cs="黑体"/>
          <w:b/>
          <w:bCs/>
          <w:color w:val="000000"/>
          <w:sz w:val="32"/>
          <w:szCs w:val="32"/>
          <w:highlight w:val="none"/>
          <w:lang w:val="zh-CN"/>
        </w:rPr>
        <w:t>竣工退场</w:t>
      </w:r>
      <w:bookmarkEnd w:id="1238"/>
      <w:bookmarkEnd w:id="1239"/>
      <w:bookmarkEnd w:id="1240"/>
      <w:bookmarkEnd w:id="1241"/>
      <w:bookmarkEnd w:id="1242"/>
      <w:bookmarkEnd w:id="1243"/>
      <w:bookmarkEnd w:id="1244"/>
      <w:bookmarkEnd w:id="1245"/>
    </w:p>
    <w:p w14:paraId="36B9E1BA">
      <w:pPr>
        <w:pStyle w:val="89"/>
        <w:keepNext/>
        <w:keepLines/>
        <w:pageBreakBefore w:val="0"/>
        <w:kinsoku/>
        <w:wordWrap/>
        <w:overflowPunct/>
        <w:topLinePunct w:val="0"/>
        <w:bidi w:val="0"/>
        <w:spacing w:line="360" w:lineRule="auto"/>
        <w:outlineLvl w:val="2"/>
        <w:rPr>
          <w:rStyle w:val="19"/>
          <w:rFonts w:hint="eastAsia" w:ascii="宋体" w:hAnsi="宋体" w:eastAsia="宋体" w:cs="黑体"/>
          <w:b/>
          <w:bCs/>
          <w:color w:val="000000"/>
          <w:sz w:val="32"/>
          <w:szCs w:val="32"/>
          <w:highlight w:val="none"/>
        </w:rPr>
      </w:pPr>
      <w:bookmarkStart w:id="1246" w:name="_Toc272"/>
      <w:r>
        <w:rPr>
          <w:rStyle w:val="19"/>
          <w:rFonts w:hint="eastAsia" w:ascii="宋体" w:hAnsi="宋体" w:eastAsia="宋体" w:cs="黑体"/>
          <w:b/>
          <w:bCs/>
          <w:color w:val="000000"/>
          <w:sz w:val="32"/>
          <w:szCs w:val="32"/>
          <w:highlight w:val="none"/>
        </w:rPr>
        <w:t>13.6.1 竣工退场</w:t>
      </w:r>
      <w:bookmarkEnd w:id="1246"/>
    </w:p>
    <w:p w14:paraId="5B46DD4C">
      <w:pPr>
        <w:pStyle w:val="89"/>
        <w:pageBreakBefore w:val="0"/>
        <w:widowControl/>
        <w:kinsoku/>
        <w:wordWrap/>
        <w:overflowPunct/>
        <w:topLinePunct w:val="0"/>
        <w:bidi w:val="0"/>
        <w:spacing w:before="100" w:beforeAutospacing="1" w:after="100" w:afterAutospacing="1" w:line="360" w:lineRule="auto"/>
        <w:ind w:firstLine="480" w:firstLineChars="200"/>
        <w:jc w:val="left"/>
        <w:rPr>
          <w:rStyle w:val="19"/>
          <w:rFonts w:ascii="宋体" w:hAnsi="宋体" w:eastAsia="宋体" w:cs="宋体"/>
          <w:color w:val="000000"/>
          <w:kern w:val="0"/>
          <w:highlight w:val="none"/>
        </w:rPr>
      </w:pPr>
      <w:r>
        <w:rPr>
          <w:rStyle w:val="19"/>
          <w:rFonts w:hint="eastAsia" w:ascii="宋体" w:hAnsi="宋体" w:eastAsia="宋体" w:cs="宋体"/>
          <w:color w:val="000000"/>
          <w:kern w:val="0"/>
          <w:sz w:val="24"/>
          <w:szCs w:val="24"/>
          <w:highlight w:val="none"/>
        </w:rPr>
        <w:t>承包人完成竣工退场的期限</w:t>
      </w:r>
      <w:bookmarkStart w:id="1247" w:name="_Toc1950258056"/>
      <w:bookmarkStart w:id="1248" w:name="_Toc1385490858"/>
      <w:bookmarkStart w:id="1249" w:name="_Toc407135261"/>
      <w:bookmarkStart w:id="1250" w:name="_Toc373478405"/>
      <w:bookmarkStart w:id="1251" w:name="_Toc78449847"/>
      <w:bookmarkStart w:id="1252" w:name="_Toc351203646"/>
      <w:bookmarkStart w:id="1253" w:name="_Toc373227758"/>
      <w:bookmarkStart w:id="1254" w:name="_Toc389065323"/>
      <w:r>
        <w:rPr>
          <w:rStyle w:val="19"/>
          <w:rFonts w:hint="eastAsia" w:ascii="宋体" w:hAnsi="宋体" w:eastAsia="宋体" w:cs="宋体"/>
          <w:color w:val="000000"/>
          <w:kern w:val="0"/>
          <w:sz w:val="24"/>
          <w:szCs w:val="24"/>
          <w:highlight w:val="none"/>
        </w:rPr>
        <w:t>：</w:t>
      </w:r>
      <w:r>
        <w:rPr>
          <w:rStyle w:val="19"/>
          <w:rFonts w:hint="eastAsia" w:ascii="宋体" w:hAnsi="宋体" w:eastAsia="宋体" w:cs="宋体"/>
          <w:color w:val="000000"/>
          <w:highlight w:val="none"/>
          <w:u w:val="single"/>
        </w:rPr>
        <w:t>监理人颁发（出具）工程接收证书后7日内</w:t>
      </w:r>
      <w:r>
        <w:rPr>
          <w:rStyle w:val="19"/>
          <w:rFonts w:hint="eastAsia" w:ascii="宋体" w:hAnsi="宋体" w:eastAsia="宋体" w:cs="宋体"/>
          <w:color w:val="000000"/>
          <w:highlight w:val="none"/>
          <w:u w:val="single"/>
          <w:lang w:eastAsia="zh-CN"/>
        </w:rPr>
        <w:t>。</w:t>
      </w:r>
      <w:r>
        <w:rPr>
          <w:rStyle w:val="19"/>
          <w:rFonts w:hint="eastAsia" w:ascii="宋体" w:hAnsi="宋体" w:eastAsia="宋体" w:cs="宋体"/>
          <w:color w:val="000000"/>
          <w:highlight w:val="none"/>
          <w:u w:val="single"/>
          <w:lang w:val="en-US" w:eastAsia="zh-CN"/>
        </w:rPr>
        <w:t>竣工退场前，</w:t>
      </w:r>
      <w:r>
        <w:rPr>
          <w:rStyle w:val="19"/>
          <w:rFonts w:hint="eastAsia" w:ascii="宋体" w:hAnsi="宋体" w:eastAsia="宋体" w:cs="宋体"/>
          <w:color w:val="000000"/>
          <w:highlight w:val="none"/>
          <w:u w:val="single"/>
        </w:rPr>
        <w:t>承包人负责按照通用合同条款本项约定的要求对施工场地进行清理并承担相关费用</w:t>
      </w:r>
      <w:r>
        <w:rPr>
          <w:rStyle w:val="19"/>
          <w:rFonts w:hint="eastAsia" w:ascii="宋体" w:hAnsi="宋体" w:eastAsia="宋体" w:cs="宋体"/>
          <w:color w:val="000000"/>
          <w:highlight w:val="none"/>
          <w:u w:val="single"/>
          <w:lang w:eastAsia="zh-CN"/>
        </w:rPr>
        <w:t>。</w:t>
      </w:r>
      <w:r>
        <w:rPr>
          <w:rStyle w:val="19"/>
          <w:rFonts w:hint="eastAsia" w:ascii="宋体" w:hAnsi="宋体" w:eastAsia="宋体" w:cs="宋体"/>
          <w:color w:val="000000"/>
          <w:highlight w:val="none"/>
          <w:u w:val="single"/>
        </w:rPr>
        <w:t>如承包人到期后不退场</w:t>
      </w:r>
      <w:r>
        <w:rPr>
          <w:rStyle w:val="19"/>
          <w:rFonts w:hint="eastAsia" w:ascii="宋体" w:hAnsi="宋体" w:eastAsia="宋体" w:cs="宋体"/>
          <w:color w:val="000000"/>
          <w:highlight w:val="none"/>
          <w:u w:val="single"/>
          <w:lang w:val="en-US" w:eastAsia="zh-CN"/>
        </w:rPr>
        <w:t>或未</w:t>
      </w:r>
      <w:r>
        <w:rPr>
          <w:rStyle w:val="19"/>
          <w:rFonts w:hint="eastAsia" w:ascii="宋体" w:hAnsi="宋体" w:eastAsia="宋体" w:cs="宋体"/>
          <w:color w:val="000000"/>
          <w:highlight w:val="none"/>
          <w:u w:val="single"/>
          <w:lang w:eastAsia="zh-CN"/>
        </w:rPr>
        <w:t>按照通用合同条款本项约定的要求对施工场地</w:t>
      </w:r>
      <w:r>
        <w:rPr>
          <w:rStyle w:val="19"/>
          <w:rFonts w:hint="eastAsia" w:ascii="宋体" w:hAnsi="宋体" w:eastAsia="宋体" w:cs="宋体"/>
          <w:color w:val="000000"/>
          <w:highlight w:val="none"/>
          <w:u w:val="single"/>
          <w:lang w:val="en-US" w:eastAsia="zh-CN"/>
        </w:rPr>
        <w:t>完成</w:t>
      </w:r>
      <w:r>
        <w:rPr>
          <w:rStyle w:val="19"/>
          <w:rFonts w:hint="eastAsia" w:ascii="宋体" w:hAnsi="宋体" w:eastAsia="宋体" w:cs="宋体"/>
          <w:color w:val="000000"/>
          <w:highlight w:val="none"/>
          <w:u w:val="single"/>
          <w:lang w:eastAsia="zh-CN"/>
        </w:rPr>
        <w:t>清理</w:t>
      </w:r>
      <w:r>
        <w:rPr>
          <w:rStyle w:val="19"/>
          <w:rFonts w:hint="eastAsia" w:ascii="宋体" w:hAnsi="宋体" w:eastAsia="宋体" w:cs="宋体"/>
          <w:color w:val="000000"/>
          <w:highlight w:val="none"/>
          <w:u w:val="single"/>
        </w:rPr>
        <w:t>，发包人处承包人5万元的违约金，同时发包人将直接委托第三方强行拆除并清理，由此产生的费用（发包人仅需书面告知且加收20%的管理费）及造成承包人的损失由承包人承担</w:t>
      </w:r>
      <w:r>
        <w:rPr>
          <w:rStyle w:val="19"/>
          <w:rFonts w:hint="eastAsia" w:ascii="宋体" w:hAnsi="宋体" w:eastAsia="宋体" w:cs="宋体"/>
          <w:color w:val="000000"/>
          <w:szCs w:val="21"/>
          <w:highlight w:val="none"/>
          <w:u w:val="single"/>
        </w:rPr>
        <w:t>。</w:t>
      </w:r>
    </w:p>
    <w:p w14:paraId="22816C82">
      <w:pPr>
        <w:pStyle w:val="89"/>
        <w:pageBreakBefore w:val="0"/>
        <w:kinsoku/>
        <w:wordWrap/>
        <w:overflowPunct/>
        <w:topLinePunct w:val="0"/>
        <w:bidi w:val="0"/>
        <w:spacing w:line="360" w:lineRule="auto"/>
        <w:jc w:val="left"/>
        <w:outlineLvl w:val="1"/>
        <w:rPr>
          <w:rStyle w:val="19"/>
          <w:rFonts w:ascii="宋体" w:hAnsi="宋体" w:eastAsia="宋体" w:cs="Times New Roman"/>
          <w:b/>
          <w:color w:val="000000"/>
          <w:sz w:val="32"/>
          <w:szCs w:val="32"/>
          <w:highlight w:val="none"/>
        </w:rPr>
      </w:pPr>
      <w:bookmarkStart w:id="1255" w:name="_Toc18753"/>
      <w:r>
        <w:rPr>
          <w:rStyle w:val="19"/>
          <w:rFonts w:ascii="宋体" w:hAnsi="宋体" w:eastAsia="宋体" w:cs="Times New Roman"/>
          <w:b/>
          <w:color w:val="000000"/>
          <w:sz w:val="32"/>
          <w:szCs w:val="32"/>
          <w:highlight w:val="none"/>
        </w:rPr>
        <w:t xml:space="preserve">14. </w:t>
      </w:r>
      <w:r>
        <w:rPr>
          <w:rStyle w:val="19"/>
          <w:rFonts w:hint="eastAsia" w:ascii="宋体" w:hAnsi="宋体" w:eastAsia="宋体" w:cs="黑体"/>
          <w:b/>
          <w:color w:val="000000"/>
          <w:sz w:val="32"/>
          <w:szCs w:val="32"/>
          <w:highlight w:val="none"/>
        </w:rPr>
        <w:t>竣工结算</w:t>
      </w:r>
      <w:bookmarkEnd w:id="1247"/>
      <w:bookmarkEnd w:id="1248"/>
      <w:bookmarkEnd w:id="1249"/>
      <w:bookmarkEnd w:id="1250"/>
      <w:bookmarkEnd w:id="1251"/>
      <w:bookmarkEnd w:id="1252"/>
      <w:bookmarkEnd w:id="1253"/>
      <w:bookmarkEnd w:id="1254"/>
      <w:bookmarkEnd w:id="1255"/>
    </w:p>
    <w:p w14:paraId="7A49D398">
      <w:pPr>
        <w:pStyle w:val="89"/>
        <w:keepNext/>
        <w:keepLines/>
        <w:pageBreakBefore w:val="0"/>
        <w:kinsoku/>
        <w:wordWrap/>
        <w:overflowPunct/>
        <w:topLinePunct w:val="0"/>
        <w:bidi w:val="0"/>
        <w:spacing w:line="360" w:lineRule="auto"/>
        <w:outlineLvl w:val="2"/>
        <w:rPr>
          <w:rStyle w:val="19"/>
          <w:rFonts w:ascii="宋体" w:hAnsi="宋体" w:eastAsia="宋体" w:cs="黑体"/>
          <w:b/>
          <w:bCs/>
          <w:color w:val="000000"/>
          <w:sz w:val="32"/>
          <w:szCs w:val="32"/>
          <w:highlight w:val="none"/>
        </w:rPr>
      </w:pPr>
      <w:bookmarkStart w:id="1256" w:name="_Toc2242"/>
      <w:bookmarkStart w:id="1257" w:name="_Toc1973954660"/>
      <w:bookmarkStart w:id="1258" w:name="_Toc174652718"/>
      <w:bookmarkStart w:id="1259" w:name="_Toc407135262"/>
      <w:bookmarkStart w:id="1260" w:name="_Toc78449848"/>
      <w:bookmarkStart w:id="1261" w:name="_Toc373478406"/>
      <w:bookmarkStart w:id="1262" w:name="_Toc389065324"/>
      <w:bookmarkStart w:id="1263" w:name="_Toc373227759"/>
      <w:r>
        <w:rPr>
          <w:rStyle w:val="19"/>
          <w:rFonts w:ascii="宋体" w:hAnsi="宋体" w:eastAsia="宋体" w:cs="Times New Roman"/>
          <w:b/>
          <w:bCs/>
          <w:color w:val="000000"/>
          <w:sz w:val="32"/>
          <w:szCs w:val="32"/>
          <w:highlight w:val="none"/>
          <w:lang w:val="zh-CN"/>
        </w:rPr>
        <w:t xml:space="preserve">14.1 </w:t>
      </w:r>
      <w:r>
        <w:rPr>
          <w:rStyle w:val="19"/>
          <w:rFonts w:hint="eastAsia" w:ascii="宋体" w:hAnsi="宋体" w:eastAsia="宋体" w:cs="黑体"/>
          <w:b/>
          <w:bCs/>
          <w:color w:val="000000"/>
          <w:sz w:val="32"/>
          <w:szCs w:val="32"/>
          <w:highlight w:val="none"/>
        </w:rPr>
        <w:t>竣工结算及竣工付款申请</w:t>
      </w:r>
      <w:bookmarkEnd w:id="1256"/>
    </w:p>
    <w:p w14:paraId="483A0E50">
      <w:pPr>
        <w:pStyle w:val="89"/>
        <w:pageBreakBefore w:val="0"/>
        <w:kinsoku/>
        <w:wordWrap/>
        <w:overflowPunct/>
        <w:topLinePunct w:val="0"/>
        <w:bidi w:val="0"/>
        <w:snapToGrid w:val="0"/>
        <w:spacing w:line="360" w:lineRule="auto"/>
        <w:ind w:firstLine="420"/>
        <w:rPr>
          <w:rStyle w:val="19"/>
          <w:rFonts w:ascii="宋体" w:hAnsi="宋体" w:eastAsia="宋体" w:cs="Times New Roman"/>
          <w:color w:val="000000"/>
          <w:highlight w:val="none"/>
        </w:rPr>
      </w:pPr>
      <w:r>
        <w:rPr>
          <w:rStyle w:val="19"/>
          <w:rFonts w:ascii="宋体" w:hAnsi="宋体" w:eastAsia="宋体" w:cs="宋体;SimSun"/>
          <w:color w:val="000000"/>
          <w:highlight w:val="none"/>
        </w:rPr>
        <w:t>承包人提交竣工结算申请单的期限：</w:t>
      </w:r>
      <w:r>
        <w:rPr>
          <w:rStyle w:val="19"/>
          <w:rFonts w:hint="eastAsia" w:ascii="宋体" w:hAnsi="宋体" w:eastAsia="宋体" w:cs="宋体"/>
          <w:color w:val="000000"/>
          <w:highlight w:val="none"/>
          <w:u w:val="single"/>
        </w:rPr>
        <w:t>工程竣工验收报告经发包人认可后</w:t>
      </w:r>
      <w:r>
        <w:rPr>
          <w:rStyle w:val="19"/>
          <w:rFonts w:hint="eastAsia" w:ascii="宋体" w:hAnsi="宋体" w:eastAsia="宋体" w:cs="Times New Roman"/>
          <w:color w:val="000000"/>
          <w:highlight w:val="none"/>
          <w:u w:val="single"/>
        </w:rPr>
        <w:t>25天</w:t>
      </w:r>
      <w:r>
        <w:rPr>
          <w:rStyle w:val="19"/>
          <w:rFonts w:hint="eastAsia" w:ascii="宋体" w:hAnsi="宋体" w:eastAsia="宋体" w:cs="宋体"/>
          <w:color w:val="000000"/>
          <w:highlight w:val="none"/>
          <w:u w:val="single"/>
        </w:rPr>
        <w:t>内，承包人向发包人递交竣工验收合格资料及完整的结算资料和报告，双方按照本工程合同约定的价格形式及价款调整办法进行工程竣工结算。如承包人逾期递交竣工验收合格资料及完整的结算资料和报告，每延误一天，按签约合同价的万分之二计算逾期违约金，违约金直接从结算款中扣除。</w:t>
      </w:r>
    </w:p>
    <w:p w14:paraId="333E43D0">
      <w:pPr>
        <w:pStyle w:val="89"/>
        <w:pageBreakBefore w:val="0"/>
        <w:kinsoku/>
        <w:wordWrap/>
        <w:overflowPunct/>
        <w:topLinePunct w:val="0"/>
        <w:bidi w:val="0"/>
        <w:snapToGrid w:val="0"/>
        <w:spacing w:line="360" w:lineRule="auto"/>
        <w:ind w:firstLine="420"/>
        <w:rPr>
          <w:rStyle w:val="19"/>
          <w:rFonts w:ascii="宋体" w:hAnsi="宋体" w:eastAsia="宋体" w:cs="宋体;SimSun"/>
          <w:color w:val="000000"/>
          <w:highlight w:val="none"/>
        </w:rPr>
      </w:pPr>
      <w:r>
        <w:rPr>
          <w:rStyle w:val="19"/>
          <w:rFonts w:ascii="宋体" w:hAnsi="宋体" w:eastAsia="宋体" w:cs="宋体;SimSun"/>
          <w:color w:val="000000"/>
          <w:highlight w:val="none"/>
        </w:rPr>
        <w:t>竣工结算申请单应包括的内容：</w:t>
      </w:r>
    </w:p>
    <w:p w14:paraId="1891715A">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1.施工合同协议书；</w:t>
      </w:r>
    </w:p>
    <w:p w14:paraId="7360705E">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2.竣工图（须盖竣工图章并附电子版）；</w:t>
      </w:r>
    </w:p>
    <w:p w14:paraId="6F3378CC">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3.工程结算书（须承包方盖章、发包方、监理签字确认并附电子版）；</w:t>
      </w:r>
    </w:p>
    <w:p w14:paraId="50C0A312">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4.工程量计算式（附电子版）</w:t>
      </w:r>
    </w:p>
    <w:p w14:paraId="61B87206">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5.设计变更通知单及变更洽谈记录；</w:t>
      </w:r>
    </w:p>
    <w:p w14:paraId="349FF720">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6.设计变更图纸(须设计院、发包方签字确认）；</w:t>
      </w:r>
    </w:p>
    <w:p w14:paraId="7C997357">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7.工作联系函、现场签证单及工程量核定单；</w:t>
      </w:r>
    </w:p>
    <w:p w14:paraId="514758F1">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8.变更后采用的主要材料价格信息；</w:t>
      </w:r>
    </w:p>
    <w:p w14:paraId="52776EB0">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9.技术资料和技术设备说明书；</w:t>
      </w:r>
    </w:p>
    <w:p w14:paraId="7F13ACB2">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10.隐蔽工程记录；</w:t>
      </w:r>
    </w:p>
    <w:p w14:paraId="2BF7E77C">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11.经监理（发包方）批准的开工报告、工期延误联系单；</w:t>
      </w:r>
    </w:p>
    <w:p w14:paraId="747DBB80">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12.院内组织工程竣工验收资料（附发包方、监理签字）；</w:t>
      </w:r>
    </w:p>
    <w:p w14:paraId="48854958">
      <w:pPr>
        <w:pStyle w:val="89"/>
        <w:pageBreakBefore w:val="0"/>
        <w:kinsoku/>
        <w:wordWrap/>
        <w:overflowPunct/>
        <w:topLinePunct w:val="0"/>
        <w:bidi w:val="0"/>
        <w:snapToGrid w:val="0"/>
        <w:spacing w:line="360" w:lineRule="auto"/>
        <w:ind w:firstLine="420"/>
        <w:rPr>
          <w:rStyle w:val="19"/>
          <w:rFonts w:ascii="宋体" w:hAnsi="宋体" w:eastAsia="宋体" w:cs="宋体"/>
          <w:color w:val="000000"/>
          <w:highlight w:val="none"/>
        </w:rPr>
      </w:pPr>
      <w:r>
        <w:rPr>
          <w:rStyle w:val="19"/>
          <w:rFonts w:hint="eastAsia" w:ascii="宋体" w:hAnsi="宋体" w:eastAsia="宋体" w:cs="宋体"/>
          <w:color w:val="000000"/>
          <w:highlight w:val="none"/>
        </w:rPr>
        <w:t>13.报送资料清单（移交清单）。</w:t>
      </w:r>
    </w:p>
    <w:bookmarkEnd w:id="1257"/>
    <w:bookmarkEnd w:id="1258"/>
    <w:bookmarkEnd w:id="1259"/>
    <w:bookmarkEnd w:id="1260"/>
    <w:bookmarkEnd w:id="1261"/>
    <w:bookmarkEnd w:id="1262"/>
    <w:bookmarkEnd w:id="1263"/>
    <w:p w14:paraId="107EAF5A">
      <w:pPr>
        <w:pStyle w:val="89"/>
        <w:keepNext/>
        <w:keepLines/>
        <w:pageBreakBefore w:val="0"/>
        <w:kinsoku/>
        <w:wordWrap/>
        <w:overflowPunct/>
        <w:topLinePunct w:val="0"/>
        <w:bidi w:val="0"/>
        <w:spacing w:line="360" w:lineRule="auto"/>
        <w:outlineLvl w:val="2"/>
        <w:rPr>
          <w:rStyle w:val="19"/>
          <w:rFonts w:ascii="宋体" w:hAnsi="宋体" w:eastAsia="宋体" w:cs="黑体"/>
          <w:b/>
          <w:bCs/>
          <w:color w:val="000000"/>
          <w:sz w:val="32"/>
          <w:szCs w:val="32"/>
          <w:highlight w:val="none"/>
          <w:lang w:val="zh-CN"/>
        </w:rPr>
      </w:pPr>
      <w:bookmarkStart w:id="1264" w:name="_Toc373227760"/>
      <w:bookmarkStart w:id="1265" w:name="_Toc407135263"/>
      <w:bookmarkStart w:id="1266" w:name="_Toc78449849"/>
      <w:bookmarkStart w:id="1267" w:name="_Toc373478407"/>
      <w:bookmarkStart w:id="1268" w:name="_Toc667492935"/>
      <w:bookmarkStart w:id="1269" w:name="_Toc489920513"/>
      <w:bookmarkStart w:id="1270" w:name="_Toc245"/>
      <w:bookmarkStart w:id="1271" w:name="_Toc389065325"/>
      <w:r>
        <w:rPr>
          <w:rStyle w:val="19"/>
          <w:rFonts w:ascii="宋体" w:hAnsi="宋体" w:eastAsia="宋体" w:cs="Times New Roman"/>
          <w:b/>
          <w:bCs/>
          <w:color w:val="000000"/>
          <w:sz w:val="32"/>
          <w:szCs w:val="32"/>
          <w:highlight w:val="none"/>
          <w:lang w:val="zh-CN"/>
        </w:rPr>
        <w:t xml:space="preserve">14.2 </w:t>
      </w:r>
      <w:r>
        <w:rPr>
          <w:rStyle w:val="19"/>
          <w:rFonts w:hint="eastAsia" w:ascii="宋体" w:hAnsi="宋体" w:eastAsia="宋体" w:cs="黑体"/>
          <w:b/>
          <w:bCs/>
          <w:color w:val="000000"/>
          <w:sz w:val="32"/>
          <w:szCs w:val="32"/>
          <w:highlight w:val="none"/>
          <w:lang w:val="zh-CN"/>
        </w:rPr>
        <w:t>竣工结算审核</w:t>
      </w:r>
      <w:bookmarkEnd w:id="1264"/>
      <w:bookmarkEnd w:id="1265"/>
      <w:bookmarkEnd w:id="1266"/>
      <w:bookmarkEnd w:id="1267"/>
      <w:bookmarkEnd w:id="1268"/>
      <w:bookmarkEnd w:id="1269"/>
      <w:bookmarkEnd w:id="1270"/>
      <w:bookmarkEnd w:id="1271"/>
    </w:p>
    <w:p w14:paraId="6EBA0048">
      <w:pPr>
        <w:pStyle w:val="89"/>
        <w:pageBreakBefore w:val="0"/>
        <w:kinsoku/>
        <w:wordWrap/>
        <w:overflowPunct/>
        <w:topLinePunct w:val="0"/>
        <w:bidi w:val="0"/>
        <w:spacing w:line="360" w:lineRule="auto"/>
        <w:ind w:firstLine="368"/>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为了保证工程结算的严肃性，承包人必须在递交竣工结算资料前做好充分的准备：</w:t>
      </w:r>
    </w:p>
    <w:p w14:paraId="7302B3B2">
      <w:pPr>
        <w:pStyle w:val="89"/>
        <w:pageBreakBefore w:val="0"/>
        <w:kinsoku/>
        <w:wordWrap/>
        <w:overflowPunct/>
        <w:topLinePunct w:val="0"/>
        <w:bidi w:val="0"/>
        <w:spacing w:line="360" w:lineRule="auto"/>
        <w:ind w:firstLine="368"/>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（1）保证一次性将完整的竣工结算资料（包括所有的签证单、联系单等）递交给发包人，在结算审核过程中，发包人将不再接受承包人补充的资料。</w:t>
      </w:r>
      <w:r>
        <w:rPr>
          <w:rStyle w:val="19"/>
          <w:rFonts w:hint="eastAsia" w:ascii="宋体" w:hAnsi="宋体" w:eastAsia="宋体" w:cs="Times New Roman"/>
          <w:color w:val="000000"/>
          <w:szCs w:val="21"/>
          <w:highlight w:val="none"/>
        </w:rPr>
        <w:t>否则，承包人必须按补充资料送审价的1</w:t>
      </w:r>
      <w:r>
        <w:rPr>
          <w:rStyle w:val="19"/>
          <w:rFonts w:ascii="宋体" w:hAnsi="宋体" w:eastAsia="宋体" w:cs="Times New Roman"/>
          <w:color w:val="000000"/>
          <w:szCs w:val="21"/>
          <w:highlight w:val="none"/>
        </w:rPr>
        <w:t>0</w:t>
      </w:r>
      <w:r>
        <w:rPr>
          <w:rStyle w:val="19"/>
          <w:rFonts w:hint="eastAsia" w:ascii="宋体" w:hAnsi="宋体" w:eastAsia="宋体" w:cs="Times New Roman"/>
          <w:color w:val="000000"/>
          <w:szCs w:val="21"/>
          <w:highlight w:val="none"/>
        </w:rPr>
        <w:t>%支付违约金。</w:t>
      </w:r>
      <w:r>
        <w:rPr>
          <w:rStyle w:val="19"/>
          <w:rFonts w:hint="eastAsia" w:ascii="宋体" w:hAnsi="宋体" w:eastAsia="宋体" w:cs="宋体"/>
          <w:color w:val="000000"/>
          <w:szCs w:val="21"/>
          <w:highlight w:val="none"/>
        </w:rPr>
        <w:t>结算资料中不合格（变更内容不明确、签字单位不齐全等）的变更签证，承包人同意按无效签证处理。</w:t>
      </w:r>
    </w:p>
    <w:p w14:paraId="1939D94B">
      <w:pPr>
        <w:pStyle w:val="89"/>
        <w:pageBreakBefore w:val="0"/>
        <w:kinsoku/>
        <w:wordWrap/>
        <w:overflowPunct/>
        <w:topLinePunct w:val="0"/>
        <w:bidi w:val="0"/>
        <w:spacing w:line="360" w:lineRule="auto"/>
        <w:ind w:firstLine="368"/>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（2）承包人报送的工程结算价（以下简称送审价），与发包人最终审定的工程结算价（以下简称审定价）相比，其误差率=（送审价/审定价－1）×100%＜6%以内，否则承包人应当承担违约责任。</w:t>
      </w:r>
    </w:p>
    <w:p w14:paraId="5A996249">
      <w:pPr>
        <w:pStyle w:val="89"/>
        <w:pageBreakBefore w:val="0"/>
        <w:kinsoku/>
        <w:wordWrap/>
        <w:overflowPunct/>
        <w:topLinePunct w:val="0"/>
        <w:bidi w:val="0"/>
        <w:spacing w:line="360" w:lineRule="auto"/>
        <w:ind w:firstLine="368"/>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3）承包人应当对提交的工程竣工结算价的准确性、真实性负责，按以上第（2）如送审价≥审定价的1.06倍，承包人承担违约责任并支付违约金，违约金＝（送审价－1.06×审定价）×10%＋（送审价－1.06×审定价）×3</w:t>
      </w:r>
      <w:r>
        <w:rPr>
          <w:rStyle w:val="19"/>
          <w:rFonts w:ascii="宋体" w:hAnsi="宋体" w:eastAsia="宋体" w:cs="宋体"/>
          <w:color w:val="000000"/>
          <w:szCs w:val="21"/>
          <w:highlight w:val="none"/>
        </w:rPr>
        <w:t>.5</w:t>
      </w:r>
      <w:r>
        <w:rPr>
          <w:rStyle w:val="19"/>
          <w:rFonts w:hint="eastAsia" w:ascii="宋体" w:hAnsi="宋体" w:eastAsia="宋体" w:cs="宋体"/>
          <w:color w:val="000000"/>
          <w:szCs w:val="21"/>
          <w:highlight w:val="none"/>
        </w:rPr>
        <w:t>%。违约金由发包人从承包人工程结算款中扣除。</w:t>
      </w:r>
    </w:p>
    <w:p w14:paraId="6BD4DC2A">
      <w:pPr>
        <w:pStyle w:val="89"/>
        <w:pageBreakBefore w:val="0"/>
        <w:kinsoku/>
        <w:wordWrap/>
        <w:overflowPunct/>
        <w:topLinePunct w:val="0"/>
        <w:bidi w:val="0"/>
        <w:spacing w:line="360" w:lineRule="auto"/>
        <w:ind w:firstLine="368"/>
        <w:rPr>
          <w:rStyle w:val="19"/>
          <w:rFonts w:ascii="宋体" w:hAnsi="宋体" w:eastAsia="宋体" w:cs="宋体"/>
          <w:color w:val="000000"/>
          <w:szCs w:val="21"/>
          <w:highlight w:val="none"/>
        </w:rPr>
      </w:pPr>
      <w:r>
        <w:rPr>
          <w:rStyle w:val="19"/>
          <w:rFonts w:hint="eastAsia" w:ascii="宋体" w:hAnsi="宋体" w:eastAsia="宋体" w:cs="宋体"/>
          <w:color w:val="000000"/>
          <w:szCs w:val="21"/>
          <w:highlight w:val="none"/>
        </w:rPr>
        <w:t>（4）发包人竣工结算报告审查时间：发包人收到完整齐全的结算资料后 90 工作日内审核完毕，给予确认或者提出修改意见。双方对结算金额确认无误后，应制作书面结算单并由双方盖章确认。承包人必须及时向发包人递交竣工结算报告及完整合格的结算资料，因承包人提供的结算资料不完整或不合格而需要补充或承包人不按时对账耽误时间时，审查时间应相应顺延；承包人必须跟发包人委托的审计单位核对结算价。</w:t>
      </w:r>
    </w:p>
    <w:p w14:paraId="6171F956">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因承包人提供的结算资料不完整而需要补充或承包人不按时对账耽误时间时，审查时间应相应顺延。</w:t>
      </w:r>
    </w:p>
    <w:p w14:paraId="502AED61">
      <w:pPr>
        <w:pStyle w:val="89"/>
        <w:pageBreakBefore w:val="0"/>
        <w:kinsoku/>
        <w:wordWrap/>
        <w:overflowPunct/>
        <w:topLinePunct w:val="0"/>
        <w:bidi w:val="0"/>
        <w:spacing w:line="360" w:lineRule="auto"/>
        <w:ind w:firstLine="411" w:firstLineChars="196"/>
        <w:rPr>
          <w:rStyle w:val="19"/>
          <w:rFonts w:ascii="宋体" w:hAnsi="宋体" w:eastAsia="宋体" w:cs="宋体"/>
          <w:color w:val="000000"/>
          <w:highlight w:val="none"/>
        </w:rPr>
      </w:pPr>
      <w:r>
        <w:rPr>
          <w:rStyle w:val="19"/>
          <w:rFonts w:hint="eastAsia" w:ascii="宋体" w:hAnsi="宋体" w:eastAsia="宋体" w:cs="宋体"/>
          <w:color w:val="000000"/>
          <w:highlight w:val="none"/>
        </w:rPr>
        <w:t>（5）对符合财政投资评审范围内的项目，按财政评审有关文件规定执行，竣工结算</w:t>
      </w:r>
      <w:r>
        <w:rPr>
          <w:rStyle w:val="19"/>
          <w:rFonts w:hint="eastAsia" w:ascii="宋体" w:hAnsi="宋体" w:eastAsia="宋体" w:cs="宋体"/>
          <w:color w:val="000000"/>
          <w:highlight w:val="none"/>
          <w:lang w:val="en-US" w:eastAsia="zh-CN"/>
        </w:rPr>
        <w:t>金额</w:t>
      </w:r>
      <w:r>
        <w:rPr>
          <w:rStyle w:val="19"/>
          <w:rFonts w:hint="eastAsia" w:ascii="宋体" w:hAnsi="宋体" w:eastAsia="宋体" w:cs="宋体"/>
          <w:color w:val="000000"/>
          <w:highlight w:val="none"/>
        </w:rPr>
        <w:t>以财政</w:t>
      </w:r>
      <w:r>
        <w:rPr>
          <w:rStyle w:val="19"/>
          <w:rFonts w:hint="eastAsia" w:ascii="宋体" w:hAnsi="宋体" w:eastAsia="宋体" w:cs="宋体"/>
          <w:color w:val="000000"/>
          <w:highlight w:val="none"/>
          <w:lang w:val="en-US" w:eastAsia="zh-CN"/>
        </w:rPr>
        <w:t>投资</w:t>
      </w:r>
      <w:r>
        <w:rPr>
          <w:rStyle w:val="19"/>
          <w:rFonts w:hint="eastAsia" w:ascii="宋体" w:hAnsi="宋体" w:eastAsia="宋体" w:cs="宋体"/>
          <w:color w:val="000000"/>
          <w:highlight w:val="none"/>
        </w:rPr>
        <w:t>评审</w:t>
      </w:r>
      <w:r>
        <w:rPr>
          <w:rStyle w:val="19"/>
          <w:rFonts w:hint="eastAsia" w:ascii="宋体" w:hAnsi="宋体" w:eastAsia="宋体" w:cs="宋体"/>
          <w:color w:val="000000"/>
          <w:highlight w:val="none"/>
          <w:lang w:val="en-US" w:eastAsia="zh-CN"/>
        </w:rPr>
        <w:t>中心评审结果</w:t>
      </w:r>
      <w:r>
        <w:rPr>
          <w:rStyle w:val="19"/>
          <w:rFonts w:hint="eastAsia" w:ascii="宋体" w:hAnsi="宋体" w:eastAsia="宋体" w:cs="宋体"/>
          <w:color w:val="000000"/>
          <w:highlight w:val="none"/>
        </w:rPr>
        <w:t>为准。</w:t>
      </w:r>
    </w:p>
    <w:p w14:paraId="69F8DF28">
      <w:pPr>
        <w:pStyle w:val="89"/>
        <w:pageBreakBefore w:val="0"/>
        <w:kinsoku/>
        <w:wordWrap/>
        <w:overflowPunct/>
        <w:topLinePunct w:val="0"/>
        <w:bidi w:val="0"/>
        <w:spacing w:line="360" w:lineRule="auto"/>
        <w:ind w:firstLine="411" w:firstLineChars="196"/>
        <w:rPr>
          <w:rStyle w:val="19"/>
          <w:rFonts w:ascii="宋体" w:hAnsi="宋体" w:eastAsia="宋体" w:cs="宋体"/>
          <w:color w:val="000000"/>
          <w:highlight w:val="none"/>
        </w:rPr>
      </w:pPr>
      <w:r>
        <w:rPr>
          <w:rStyle w:val="19"/>
          <w:rFonts w:hint="eastAsia" w:ascii="宋体" w:hAnsi="宋体" w:eastAsia="宋体" w:cs="宋体"/>
          <w:color w:val="000000"/>
          <w:highlight w:val="none"/>
        </w:rPr>
        <w:t>（</w:t>
      </w:r>
      <w:r>
        <w:rPr>
          <w:rStyle w:val="19"/>
          <w:rFonts w:ascii="宋体" w:hAnsi="宋体" w:eastAsia="宋体" w:cs="宋体"/>
          <w:color w:val="000000"/>
          <w:highlight w:val="none"/>
        </w:rPr>
        <w:t>6</w:t>
      </w:r>
      <w:r>
        <w:rPr>
          <w:rStyle w:val="19"/>
          <w:rFonts w:hint="eastAsia" w:ascii="宋体" w:hAnsi="宋体" w:eastAsia="宋体" w:cs="宋体"/>
          <w:color w:val="000000"/>
          <w:highlight w:val="none"/>
        </w:rPr>
        <w:t>）承包人对发包人确认的结算价款或审核意见有异议的，应在收到发包人确认的价款或审核意见之日起</w:t>
      </w:r>
      <w:r>
        <w:rPr>
          <w:rStyle w:val="19"/>
          <w:rFonts w:ascii="宋体" w:hAnsi="宋体" w:eastAsia="宋体" w:cs="宋体"/>
          <w:color w:val="000000"/>
          <w:highlight w:val="none"/>
        </w:rPr>
        <w:t xml:space="preserve"> 30 </w:t>
      </w:r>
      <w:r>
        <w:rPr>
          <w:rStyle w:val="19"/>
          <w:rFonts w:hint="eastAsia" w:ascii="宋体" w:hAnsi="宋体" w:eastAsia="宋体" w:cs="宋体"/>
          <w:color w:val="000000"/>
          <w:highlight w:val="none"/>
        </w:rPr>
        <w:t>天内提出异议，必要时合同当事人要当面核对，直至完成工程竣工结算。</w:t>
      </w:r>
    </w:p>
    <w:p w14:paraId="178CDE39">
      <w:pPr>
        <w:pStyle w:val="89"/>
        <w:pageBreakBefore w:val="0"/>
        <w:kinsoku/>
        <w:wordWrap/>
        <w:overflowPunct/>
        <w:topLinePunct w:val="0"/>
        <w:bidi w:val="0"/>
        <w:spacing w:line="360" w:lineRule="auto"/>
        <w:ind w:firstLine="411" w:firstLineChars="196"/>
        <w:rPr>
          <w:rStyle w:val="19"/>
          <w:rFonts w:ascii="宋体" w:hAnsi="宋体" w:eastAsia="宋体" w:cs="宋体"/>
          <w:color w:val="000000"/>
          <w:highlight w:val="none"/>
        </w:rPr>
      </w:pPr>
      <w:r>
        <w:rPr>
          <w:rStyle w:val="19"/>
          <w:rFonts w:hint="eastAsia" w:ascii="宋体" w:hAnsi="宋体" w:eastAsia="宋体" w:cs="宋体"/>
          <w:color w:val="000000"/>
          <w:highlight w:val="none"/>
        </w:rPr>
        <w:t>（</w:t>
      </w:r>
      <w:r>
        <w:rPr>
          <w:rStyle w:val="19"/>
          <w:rFonts w:ascii="宋体" w:hAnsi="宋体" w:eastAsia="宋体" w:cs="宋体"/>
          <w:color w:val="000000"/>
          <w:highlight w:val="none"/>
        </w:rPr>
        <w:t>7</w:t>
      </w:r>
      <w:r>
        <w:rPr>
          <w:rStyle w:val="19"/>
          <w:rFonts w:hint="eastAsia" w:ascii="宋体" w:hAnsi="宋体" w:eastAsia="宋体" w:cs="宋体"/>
          <w:color w:val="000000"/>
          <w:highlight w:val="none"/>
        </w:rPr>
        <w:t>）承包人所编制的工程竣工资料经发包人审核后，送到财政部门之日起，承包人所遗漏的与工程造价有关的签证不再作为结算审核依据，按自动放弃处理。</w:t>
      </w:r>
    </w:p>
    <w:p w14:paraId="6FCFF7A0">
      <w:pPr>
        <w:pStyle w:val="89"/>
        <w:pageBreakBefore w:val="0"/>
        <w:kinsoku/>
        <w:wordWrap/>
        <w:overflowPunct/>
        <w:topLinePunct w:val="0"/>
        <w:bidi w:val="0"/>
        <w:spacing w:line="360" w:lineRule="auto"/>
        <w:ind w:firstLine="411" w:firstLineChars="196"/>
        <w:rPr>
          <w:rStyle w:val="19"/>
          <w:rFonts w:ascii="宋体" w:hAnsi="宋体" w:eastAsia="宋体" w:cs="宋体"/>
          <w:color w:val="000000"/>
          <w:highlight w:val="none"/>
        </w:rPr>
      </w:pPr>
      <w:r>
        <w:rPr>
          <w:rStyle w:val="19"/>
          <w:rFonts w:hint="eastAsia" w:ascii="宋体" w:hAnsi="宋体" w:eastAsia="宋体" w:cs="宋体"/>
          <w:color w:val="000000"/>
          <w:highlight w:val="none"/>
        </w:rPr>
        <w:t>（</w:t>
      </w:r>
      <w:r>
        <w:rPr>
          <w:rStyle w:val="19"/>
          <w:rFonts w:ascii="宋体" w:hAnsi="宋体" w:eastAsia="宋体" w:cs="宋体"/>
          <w:color w:val="000000"/>
          <w:highlight w:val="none"/>
        </w:rPr>
        <w:t>8</w:t>
      </w:r>
      <w:r>
        <w:rPr>
          <w:rStyle w:val="19"/>
          <w:rFonts w:hint="eastAsia" w:ascii="宋体" w:hAnsi="宋体" w:eastAsia="宋体" w:cs="宋体"/>
          <w:color w:val="000000"/>
          <w:highlight w:val="none"/>
        </w:rPr>
        <w:t>）承包人必须提供完整、真实的隐蔽工程原始施工、验收记录。如发现施工单位提供的隐蔽工程资料与实际不符时，按不利于施工单位原则结算。</w:t>
      </w:r>
    </w:p>
    <w:p w14:paraId="499046CE">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（9）</w:t>
      </w:r>
      <w:r>
        <w:rPr>
          <w:rStyle w:val="19"/>
          <w:rFonts w:hint="eastAsia" w:ascii="宋体" w:hAnsi="宋体" w:eastAsia="宋体" w:cs="Times New Roman"/>
          <w:color w:val="000000"/>
          <w:highlight w:val="none"/>
        </w:rPr>
        <w:t>安全生产责任保险费按《自治区住房城乡建设厅关于印发广西壮族自治区房屋建筑和市政基础设施工程安全生产责任保险计价规定的通知》（桂建发〔2023〕6号）计算，工程结算时，由发承包双方根据工程实际情况确认的安全生产责任保险费进行结算。</w:t>
      </w:r>
    </w:p>
    <w:p w14:paraId="490D65E7">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272" w:name="_Toc540165641"/>
      <w:bookmarkStart w:id="1273" w:name="_Toc14182"/>
      <w:bookmarkStart w:id="1274" w:name="_Toc373227761"/>
      <w:bookmarkStart w:id="1275" w:name="_Toc1203653078"/>
      <w:bookmarkStart w:id="1276" w:name="_Toc373478408"/>
      <w:bookmarkStart w:id="1277" w:name="_Toc78449850"/>
      <w:bookmarkStart w:id="1278" w:name="_Toc389065326"/>
      <w:bookmarkStart w:id="1279" w:name="_Toc407135264"/>
      <w:r>
        <w:rPr>
          <w:rStyle w:val="19"/>
          <w:rFonts w:ascii="宋体" w:hAnsi="宋体" w:eastAsia="宋体" w:cs="Times New Roman"/>
          <w:b/>
          <w:bCs/>
          <w:color w:val="000000"/>
          <w:sz w:val="32"/>
          <w:szCs w:val="32"/>
          <w:highlight w:val="none"/>
          <w:lang w:val="zh-CN"/>
        </w:rPr>
        <w:t xml:space="preserve">14.4 </w:t>
      </w:r>
      <w:r>
        <w:rPr>
          <w:rStyle w:val="19"/>
          <w:rFonts w:hint="eastAsia" w:ascii="宋体" w:hAnsi="宋体" w:eastAsia="宋体" w:cs="黑体"/>
          <w:b/>
          <w:bCs/>
          <w:color w:val="000000"/>
          <w:sz w:val="32"/>
          <w:szCs w:val="32"/>
          <w:highlight w:val="none"/>
          <w:lang w:val="zh-CN"/>
        </w:rPr>
        <w:t>最终结清</w:t>
      </w:r>
      <w:bookmarkEnd w:id="1272"/>
      <w:bookmarkEnd w:id="1273"/>
      <w:bookmarkEnd w:id="1274"/>
      <w:bookmarkEnd w:id="1275"/>
      <w:bookmarkEnd w:id="1276"/>
      <w:bookmarkEnd w:id="1277"/>
      <w:bookmarkEnd w:id="1278"/>
      <w:bookmarkEnd w:id="1279"/>
    </w:p>
    <w:p w14:paraId="682BC131">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14.4.1 </w:t>
      </w:r>
      <w:r>
        <w:rPr>
          <w:rStyle w:val="19"/>
          <w:rFonts w:hint="eastAsia" w:ascii="宋体" w:hAnsi="宋体" w:eastAsia="宋体" w:cs="宋体"/>
          <w:color w:val="000000"/>
          <w:kern w:val="0"/>
          <w:highlight w:val="none"/>
        </w:rPr>
        <w:t>最终结清申请单</w:t>
      </w:r>
    </w:p>
    <w:p w14:paraId="7B29963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kern w:val="0"/>
          <w:highlight w:val="none"/>
        </w:rPr>
        <w:t>承包人提交最终结清申请单的份数：</w:t>
      </w:r>
      <w:r>
        <w:rPr>
          <w:rStyle w:val="19"/>
          <w:rFonts w:hint="eastAsia" w:ascii="宋体" w:hAnsi="宋体" w:eastAsia="宋体" w:cs="Times New Roman"/>
          <w:color w:val="000000"/>
          <w:highlight w:val="none"/>
          <w:u w:val="single"/>
        </w:rPr>
        <w:t>一式肆份</w:t>
      </w:r>
      <w:r>
        <w:rPr>
          <w:rStyle w:val="19"/>
          <w:rFonts w:hint="eastAsia" w:ascii="宋体" w:hAnsi="宋体" w:eastAsia="宋体" w:cs="Times New Roman"/>
          <w:color w:val="000000"/>
          <w:highlight w:val="none"/>
        </w:rPr>
        <w:t>。</w:t>
      </w:r>
    </w:p>
    <w:p w14:paraId="674CE734">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kern w:val="0"/>
          <w:highlight w:val="none"/>
        </w:rPr>
        <w:t>承包人提交最终结算申请单的期限：</w:t>
      </w:r>
      <w:r>
        <w:rPr>
          <w:rStyle w:val="19"/>
          <w:rFonts w:hint="eastAsia" w:ascii="宋体" w:hAnsi="宋体" w:eastAsia="宋体" w:cs="Times New Roman"/>
          <w:color w:val="000000"/>
          <w:highlight w:val="none"/>
        </w:rPr>
        <w:t>按照通用合同条款。</w:t>
      </w:r>
    </w:p>
    <w:p w14:paraId="0E733764">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Times New Roman"/>
          <w:color w:val="000000"/>
          <w:highlight w:val="none"/>
        </w:rPr>
        <w:t>最终结算款支付申请（核准）表见合同附件13。</w:t>
      </w:r>
    </w:p>
    <w:bookmarkEnd w:id="1218"/>
    <w:bookmarkEnd w:id="1219"/>
    <w:bookmarkEnd w:id="1220"/>
    <w:bookmarkEnd w:id="1221"/>
    <w:bookmarkEnd w:id="1222"/>
    <w:bookmarkEnd w:id="1223"/>
    <w:bookmarkEnd w:id="1224"/>
    <w:bookmarkEnd w:id="1230"/>
    <w:p w14:paraId="042AF32A">
      <w:pPr>
        <w:pStyle w:val="89"/>
        <w:pageBreakBefore w:val="0"/>
        <w:kinsoku/>
        <w:wordWrap/>
        <w:overflowPunct/>
        <w:topLinePunct w:val="0"/>
        <w:bidi w:val="0"/>
        <w:spacing w:line="360" w:lineRule="auto"/>
        <w:jc w:val="left"/>
        <w:rPr>
          <w:rStyle w:val="19"/>
          <w:rFonts w:ascii="宋体" w:hAnsi="宋体" w:eastAsia="宋体" w:cs="Times New Roman"/>
          <w:b/>
          <w:color w:val="000000"/>
          <w:sz w:val="32"/>
          <w:szCs w:val="32"/>
          <w:highlight w:val="none"/>
          <w:lang w:val="zh-CN"/>
        </w:rPr>
      </w:pPr>
      <w:bookmarkStart w:id="1280" w:name="_Toc905081407"/>
      <w:bookmarkStart w:id="1281" w:name="_Toc78449851"/>
      <w:bookmarkStart w:id="1282" w:name="_Toc373227762"/>
      <w:bookmarkStart w:id="1283" w:name="_Toc1294213766"/>
      <w:bookmarkStart w:id="1284" w:name="_Toc373478409"/>
      <w:bookmarkStart w:id="1285" w:name="_Toc351203647"/>
      <w:bookmarkStart w:id="1286" w:name="_Toc407135265"/>
      <w:bookmarkStart w:id="1287" w:name="_Toc389065327"/>
      <w:bookmarkStart w:id="1288" w:name="_Toc267251483"/>
      <w:bookmarkStart w:id="1289" w:name="_Toc267251484"/>
      <w:bookmarkStart w:id="1290" w:name="_Toc267251482"/>
      <w:bookmarkStart w:id="1291" w:name="_Toc267251485"/>
      <w:bookmarkStart w:id="1292" w:name="_Toc267251490"/>
      <w:bookmarkStart w:id="1293" w:name="_Toc267251489"/>
      <w:bookmarkStart w:id="1294" w:name="_Toc267251488"/>
      <w:bookmarkStart w:id="1295" w:name="_Toc267251486"/>
      <w:bookmarkStart w:id="1296" w:name="_Toc267251498"/>
      <w:bookmarkStart w:id="1297" w:name="_Toc267251491"/>
      <w:bookmarkStart w:id="1298" w:name="_Toc267251503"/>
      <w:bookmarkStart w:id="1299" w:name="_Toc267251502"/>
      <w:bookmarkStart w:id="1300" w:name="_Toc267251493"/>
      <w:bookmarkStart w:id="1301" w:name="_Toc267251501"/>
      <w:bookmarkStart w:id="1302" w:name="_Toc267251492"/>
      <w:bookmarkStart w:id="1303" w:name="_Toc267251497"/>
      <w:bookmarkStart w:id="1304" w:name="_Toc267251499"/>
      <w:bookmarkStart w:id="1305" w:name="_Toc267251496"/>
      <w:bookmarkStart w:id="1306" w:name="_Toc267251494"/>
      <w:bookmarkStart w:id="1307" w:name="_Toc267251495"/>
      <w:bookmarkStart w:id="1308" w:name="_Toc267251504"/>
      <w:bookmarkStart w:id="1309" w:name="_Toc267251506"/>
      <w:bookmarkStart w:id="1310" w:name="_Toc267251507"/>
      <w:bookmarkStart w:id="1311" w:name="_Toc267251508"/>
      <w:r>
        <w:rPr>
          <w:rStyle w:val="19"/>
          <w:rFonts w:ascii="宋体" w:hAnsi="宋体" w:eastAsia="宋体" w:cs="Times New Roman"/>
          <w:b/>
          <w:color w:val="000000"/>
          <w:sz w:val="32"/>
          <w:szCs w:val="32"/>
          <w:highlight w:val="none"/>
          <w:lang w:val="zh-CN"/>
        </w:rPr>
        <w:t xml:space="preserve">15. </w:t>
      </w:r>
      <w:r>
        <w:rPr>
          <w:rStyle w:val="19"/>
          <w:rFonts w:hint="eastAsia" w:ascii="宋体" w:hAnsi="宋体" w:eastAsia="宋体" w:cs="Times New Roman"/>
          <w:b/>
          <w:color w:val="000000"/>
          <w:sz w:val="32"/>
          <w:szCs w:val="32"/>
          <w:highlight w:val="none"/>
          <w:lang w:val="zh-CN"/>
        </w:rPr>
        <w:t>缺陷责任期与保修</w:t>
      </w:r>
      <w:bookmarkEnd w:id="1280"/>
      <w:bookmarkEnd w:id="1281"/>
      <w:bookmarkEnd w:id="1282"/>
      <w:bookmarkEnd w:id="1283"/>
      <w:bookmarkEnd w:id="1284"/>
      <w:bookmarkEnd w:id="1285"/>
      <w:bookmarkEnd w:id="1286"/>
      <w:bookmarkEnd w:id="1287"/>
    </w:p>
    <w:p w14:paraId="7169CAF6">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312" w:name="_Toc389065328"/>
      <w:bookmarkStart w:id="1313" w:name="_Toc1468458868"/>
      <w:bookmarkStart w:id="1314" w:name="_Toc373227763"/>
      <w:bookmarkStart w:id="1315" w:name="_Toc11618"/>
      <w:bookmarkStart w:id="1316" w:name="_Toc78449852"/>
      <w:bookmarkStart w:id="1317" w:name="_Toc407135266"/>
      <w:bookmarkStart w:id="1318" w:name="_Toc373478410"/>
      <w:bookmarkStart w:id="1319" w:name="_Toc1845278067"/>
      <w:r>
        <w:rPr>
          <w:rStyle w:val="19"/>
          <w:rFonts w:ascii="宋体" w:hAnsi="宋体" w:eastAsia="宋体" w:cs="Times New Roman"/>
          <w:b/>
          <w:bCs/>
          <w:color w:val="000000"/>
          <w:sz w:val="32"/>
          <w:szCs w:val="32"/>
          <w:highlight w:val="none"/>
          <w:lang w:val="zh-CN"/>
        </w:rPr>
        <w:t xml:space="preserve">15.2 </w:t>
      </w:r>
      <w:r>
        <w:rPr>
          <w:rStyle w:val="19"/>
          <w:rFonts w:hint="eastAsia" w:ascii="宋体" w:hAnsi="宋体" w:eastAsia="宋体" w:cs="黑体"/>
          <w:b/>
          <w:bCs/>
          <w:color w:val="000000"/>
          <w:sz w:val="32"/>
          <w:szCs w:val="32"/>
          <w:highlight w:val="none"/>
          <w:lang w:val="zh-CN"/>
        </w:rPr>
        <w:t>缺陷责任期</w:t>
      </w:r>
      <w:bookmarkEnd w:id="1288"/>
      <w:bookmarkEnd w:id="1312"/>
      <w:bookmarkEnd w:id="1313"/>
      <w:bookmarkEnd w:id="1314"/>
      <w:bookmarkEnd w:id="1315"/>
      <w:bookmarkEnd w:id="1316"/>
      <w:bookmarkEnd w:id="1317"/>
      <w:bookmarkEnd w:id="1318"/>
      <w:bookmarkEnd w:id="1319"/>
    </w:p>
    <w:p w14:paraId="3753806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缺陷责任期的具体期限：</w:t>
      </w:r>
      <w:r>
        <w:rPr>
          <w:rStyle w:val="19"/>
          <w:rFonts w:hint="eastAsia" w:ascii="宋体" w:hAnsi="宋体" w:eastAsia="宋体" w:cs="宋体"/>
          <w:color w:val="000000"/>
          <w:szCs w:val="21"/>
          <w:highlight w:val="none"/>
          <w:u w:val="single"/>
        </w:rPr>
        <w:t>24个月</w:t>
      </w:r>
      <w:r>
        <w:rPr>
          <w:rStyle w:val="19"/>
          <w:rFonts w:hint="eastAsia" w:ascii="宋体" w:hAnsi="宋体" w:eastAsia="宋体" w:cs="宋体"/>
          <w:color w:val="000000"/>
          <w:highlight w:val="none"/>
        </w:rPr>
        <w:t>。</w:t>
      </w:r>
    </w:p>
    <w:p w14:paraId="5F645DE3">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320" w:name="_Toc373478411"/>
      <w:bookmarkStart w:id="1321" w:name="_Toc389065329"/>
      <w:bookmarkStart w:id="1322" w:name="_Toc373227764"/>
      <w:bookmarkStart w:id="1323" w:name="_Toc407135267"/>
      <w:bookmarkStart w:id="1324" w:name="_Toc78449853"/>
      <w:bookmarkStart w:id="1325" w:name="_Toc23601"/>
      <w:bookmarkStart w:id="1326" w:name="_Toc1004692311"/>
      <w:bookmarkStart w:id="1327" w:name="_Toc666080472"/>
      <w:r>
        <w:rPr>
          <w:rStyle w:val="19"/>
          <w:rFonts w:ascii="宋体" w:hAnsi="宋体" w:eastAsia="宋体" w:cs="Times New Roman"/>
          <w:b/>
          <w:bCs/>
          <w:color w:val="000000"/>
          <w:sz w:val="32"/>
          <w:szCs w:val="32"/>
          <w:highlight w:val="none"/>
          <w:lang w:val="zh-CN"/>
        </w:rPr>
        <w:t xml:space="preserve">15.3 </w:t>
      </w:r>
      <w:r>
        <w:rPr>
          <w:rStyle w:val="19"/>
          <w:rFonts w:hint="eastAsia" w:ascii="宋体" w:hAnsi="宋体" w:eastAsia="宋体" w:cs="黑体"/>
          <w:b/>
          <w:bCs/>
          <w:color w:val="000000"/>
          <w:sz w:val="32"/>
          <w:szCs w:val="32"/>
          <w:highlight w:val="none"/>
          <w:lang w:val="zh-CN"/>
        </w:rPr>
        <w:t>质量保证金</w:t>
      </w:r>
      <w:bookmarkEnd w:id="1320"/>
      <w:bookmarkEnd w:id="1321"/>
      <w:bookmarkEnd w:id="1322"/>
      <w:bookmarkEnd w:id="1323"/>
      <w:bookmarkEnd w:id="1324"/>
      <w:bookmarkEnd w:id="1325"/>
      <w:bookmarkEnd w:id="1326"/>
      <w:bookmarkEnd w:id="1327"/>
    </w:p>
    <w:p w14:paraId="51F3AA0C">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highlight w:val="none"/>
        </w:rPr>
      </w:pPr>
      <w:r>
        <w:rPr>
          <w:rStyle w:val="19"/>
          <w:rFonts w:hint="eastAsia" w:ascii="宋体" w:hAnsi="宋体" w:eastAsia="宋体" w:cs="宋体"/>
          <w:color w:val="000000"/>
          <w:highlight w:val="none"/>
        </w:rPr>
        <w:t>关于是否扣留质量保证金的约定：</w:t>
      </w:r>
      <w:r>
        <w:rPr>
          <w:rStyle w:val="19"/>
          <w:rFonts w:hint="eastAsia" w:ascii="宋体" w:hAnsi="宋体" w:eastAsia="宋体" w:cs="宋体"/>
          <w:color w:val="000000"/>
          <w:szCs w:val="21"/>
          <w:highlight w:val="none"/>
          <w:u w:val="single"/>
        </w:rPr>
        <w:t>是</w:t>
      </w:r>
      <w:r>
        <w:rPr>
          <w:rStyle w:val="19"/>
          <w:rFonts w:hint="eastAsia" w:ascii="宋体" w:hAnsi="宋体" w:eastAsia="宋体" w:cs="宋体"/>
          <w:color w:val="000000"/>
          <w:highlight w:val="none"/>
        </w:rPr>
        <w:t>。</w:t>
      </w:r>
    </w:p>
    <w:p w14:paraId="318EB8DD">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在工程项目竣工前，承包人按专用合同条款第3.7条提供履约担保的，发包人不得同时预留工程质量保证金。</w:t>
      </w:r>
    </w:p>
    <w:p w14:paraId="51006ADA">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15.3.1 </w:t>
      </w:r>
      <w:r>
        <w:rPr>
          <w:rStyle w:val="19"/>
          <w:rFonts w:hint="eastAsia" w:ascii="宋体" w:hAnsi="宋体" w:eastAsia="宋体" w:cs="宋体"/>
          <w:color w:val="000000"/>
          <w:highlight w:val="none"/>
        </w:rPr>
        <w:t>承包人提供质量保证金的方式</w:t>
      </w:r>
    </w:p>
    <w:p w14:paraId="3BFB3B10">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质量保证金采用以下第</w:t>
      </w:r>
      <w:r>
        <w:rPr>
          <w:rStyle w:val="19"/>
          <w:rFonts w:hint="eastAsia" w:ascii="宋体" w:hAnsi="宋体" w:eastAsia="宋体" w:cs="Times New Roman"/>
          <w:color w:val="000000"/>
          <w:highlight w:val="none"/>
          <w:u w:val="single"/>
        </w:rPr>
        <w:t>（2）</w:t>
      </w:r>
      <w:r>
        <w:rPr>
          <w:rStyle w:val="19"/>
          <w:rFonts w:hint="eastAsia" w:ascii="宋体" w:hAnsi="宋体" w:eastAsia="宋体" w:cs="宋体"/>
          <w:color w:val="000000"/>
          <w:highlight w:val="none"/>
        </w:rPr>
        <w:t>种方式：</w:t>
      </w:r>
    </w:p>
    <w:p w14:paraId="1C335000">
      <w:pPr>
        <w:pStyle w:val="89"/>
        <w:pageBreakBefore w:val="0"/>
        <w:kinsoku/>
        <w:wordWrap/>
        <w:overflowPunct/>
        <w:topLinePunct w:val="0"/>
        <w:autoSpaceDE w:val="0"/>
        <w:autoSpaceDN w:val="0"/>
        <w:bidi w:val="0"/>
        <w:adjustRightInd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1</w:t>
      </w:r>
      <w:r>
        <w:rPr>
          <w:rStyle w:val="19"/>
          <w:rFonts w:hint="eastAsia" w:ascii="宋体" w:hAnsi="宋体" w:eastAsia="宋体" w:cs="宋体"/>
          <w:color w:val="000000"/>
          <w:kern w:val="0"/>
          <w:highlight w:val="none"/>
        </w:rPr>
        <w:t>）质量保证金保函</w:t>
      </w:r>
      <w:r>
        <w:rPr>
          <w:rStyle w:val="19"/>
          <w:rFonts w:hint="eastAsia" w:ascii="宋体" w:hAnsi="宋体" w:eastAsia="宋体" w:cs="宋体"/>
          <w:color w:val="000000"/>
          <w:highlight w:val="none"/>
        </w:rPr>
        <w:t>（银行保函、电子保函、保证保险保函、工程担保保函，</w:t>
      </w:r>
      <w:r>
        <w:rPr>
          <w:rStyle w:val="19"/>
          <w:rFonts w:hint="eastAsia" w:ascii="宋体" w:hAnsi="宋体" w:eastAsia="宋体" w:cs="宋体"/>
          <w:color w:val="000000"/>
          <w:kern w:val="0"/>
          <w:highlight w:val="none"/>
        </w:rPr>
        <w:t>工程担保保证人应将出具的保函相关信息录入“广西建筑市场监管云”平台（http://gxjzsc.caihcloud.com），以实现保函查询及验真功能。</w:t>
      </w:r>
      <w:r>
        <w:rPr>
          <w:rStyle w:val="19"/>
          <w:rFonts w:hint="eastAsia" w:ascii="宋体" w:hAnsi="宋体" w:eastAsia="宋体" w:cs="宋体"/>
          <w:color w:val="000000"/>
          <w:highlight w:val="none"/>
        </w:rPr>
        <w:t>）</w:t>
      </w:r>
      <w:r>
        <w:rPr>
          <w:rStyle w:val="19"/>
          <w:rFonts w:hint="eastAsia" w:ascii="宋体" w:hAnsi="宋体" w:eastAsia="宋体" w:cs="宋体"/>
          <w:color w:val="000000"/>
          <w:kern w:val="0"/>
          <w:highlight w:val="none"/>
        </w:rPr>
        <w:t>，保证金额为：</w:t>
      </w:r>
      <w:r>
        <w:rPr>
          <w:rStyle w:val="19"/>
          <w:rFonts w:ascii="宋体" w:hAnsi="宋体" w:eastAsia="宋体" w:cs="Times New Roman"/>
          <w:color w:val="000000"/>
          <w:kern w:val="0"/>
          <w:highlight w:val="none"/>
          <w:u w:val="single"/>
        </w:rPr>
        <w:t xml:space="preserve">   /  </w:t>
      </w:r>
      <w:r>
        <w:rPr>
          <w:rStyle w:val="19"/>
          <w:rFonts w:hint="eastAsia" w:ascii="宋体" w:hAnsi="宋体" w:eastAsia="宋体" w:cs="宋体"/>
          <w:color w:val="000000"/>
          <w:kern w:val="0"/>
          <w:highlight w:val="none"/>
        </w:rPr>
        <w:t>；</w:t>
      </w:r>
    </w:p>
    <w:p w14:paraId="60F75B2A">
      <w:pPr>
        <w:pStyle w:val="89"/>
        <w:pageBreakBefore w:val="0"/>
        <w:kinsoku/>
        <w:wordWrap/>
        <w:overflowPunct/>
        <w:topLinePunct w:val="0"/>
        <w:autoSpaceDE w:val="0"/>
        <w:autoSpaceDN w:val="0"/>
        <w:bidi w:val="0"/>
        <w:adjustRightInd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2</w:t>
      </w:r>
      <w:r>
        <w:rPr>
          <w:rStyle w:val="19"/>
          <w:rFonts w:hint="eastAsia" w:ascii="宋体" w:hAnsi="宋体" w:eastAsia="宋体" w:cs="宋体"/>
          <w:color w:val="000000"/>
          <w:kern w:val="0"/>
          <w:highlight w:val="none"/>
        </w:rPr>
        <w:t>）</w:t>
      </w:r>
      <w:r>
        <w:rPr>
          <w:rStyle w:val="19"/>
          <w:rFonts w:hint="eastAsia" w:ascii="宋体" w:hAnsi="宋体" w:eastAsia="宋体" w:cs="宋体"/>
          <w:color w:val="000000"/>
          <w:highlight w:val="none"/>
        </w:rPr>
        <w:t>发包人按工程价款结算总额的</w:t>
      </w:r>
      <w:r>
        <w:rPr>
          <w:rStyle w:val="19"/>
          <w:rFonts w:hint="eastAsia" w:ascii="宋体" w:hAnsi="宋体" w:eastAsia="宋体" w:cs="Times New Roman"/>
          <w:color w:val="000000"/>
          <w:highlight w:val="none"/>
          <w:u w:val="single"/>
        </w:rPr>
        <w:t>3</w:t>
      </w:r>
      <w:r>
        <w:rPr>
          <w:rStyle w:val="19"/>
          <w:rFonts w:ascii="宋体" w:hAnsi="宋体" w:eastAsia="宋体" w:cs="Times New Roman"/>
          <w:color w:val="000000"/>
          <w:highlight w:val="none"/>
        </w:rPr>
        <w:t>%</w:t>
      </w:r>
      <w:r>
        <w:rPr>
          <w:rStyle w:val="19"/>
          <w:rFonts w:hint="eastAsia" w:ascii="宋体" w:hAnsi="宋体" w:eastAsia="宋体" w:cs="宋体"/>
          <w:color w:val="000000"/>
          <w:highlight w:val="none"/>
        </w:rPr>
        <w:t>（不得超过</w:t>
      </w:r>
      <w:r>
        <w:rPr>
          <w:rStyle w:val="19"/>
          <w:rFonts w:ascii="宋体" w:hAnsi="宋体" w:eastAsia="宋体" w:cs="Times New Roman"/>
          <w:color w:val="000000"/>
          <w:highlight w:val="none"/>
        </w:rPr>
        <w:t>3%</w:t>
      </w:r>
      <w:r>
        <w:rPr>
          <w:rStyle w:val="19"/>
          <w:rFonts w:hint="eastAsia" w:ascii="宋体" w:hAnsi="宋体" w:eastAsia="宋体" w:cs="宋体"/>
          <w:color w:val="000000"/>
          <w:highlight w:val="none"/>
        </w:rPr>
        <w:t>）预留工程质量保证金，待缺陷责任期满后，发包人在接到承包人的请款申请并扣除承包人应承担的违约金等费用后将余额返还，是否付息及利息计算方式为：</w:t>
      </w:r>
      <w:r>
        <w:rPr>
          <w:rStyle w:val="19"/>
          <w:rFonts w:hint="eastAsia" w:ascii="宋体" w:hAnsi="宋体" w:eastAsia="宋体" w:cs="宋体"/>
          <w:color w:val="000000"/>
          <w:highlight w:val="none"/>
          <w:u w:val="single"/>
        </w:rPr>
        <w:t>不付利息</w:t>
      </w:r>
      <w:r>
        <w:rPr>
          <w:rStyle w:val="19"/>
          <w:rFonts w:hint="eastAsia" w:ascii="宋体" w:hAnsi="宋体" w:eastAsia="宋体" w:cs="宋体"/>
          <w:color w:val="000000"/>
          <w:kern w:val="0"/>
          <w:highlight w:val="none"/>
        </w:rPr>
        <w:t>；</w:t>
      </w:r>
    </w:p>
    <w:p w14:paraId="242B3BA5">
      <w:pPr>
        <w:pStyle w:val="89"/>
        <w:pageBreakBefore w:val="0"/>
        <w:kinsoku/>
        <w:wordWrap/>
        <w:overflowPunct/>
        <w:topLinePunct w:val="0"/>
        <w:autoSpaceDE w:val="0"/>
        <w:autoSpaceDN w:val="0"/>
        <w:bidi w:val="0"/>
        <w:adjustRightInd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3</w:t>
      </w:r>
      <w:r>
        <w:rPr>
          <w:rStyle w:val="19"/>
          <w:rFonts w:hint="eastAsia" w:ascii="宋体" w:hAnsi="宋体" w:eastAsia="宋体" w:cs="宋体"/>
          <w:color w:val="000000"/>
          <w:kern w:val="0"/>
          <w:highlight w:val="none"/>
        </w:rPr>
        <w:t>）其他方式：</w:t>
      </w:r>
      <w:r>
        <w:rPr>
          <w:rStyle w:val="19"/>
          <w:rFonts w:hint="eastAsia" w:ascii="宋体" w:hAnsi="宋体" w:eastAsia="宋体" w:cs="宋体"/>
          <w:color w:val="000000"/>
          <w:highlight w:val="none"/>
        </w:rPr>
        <w:t>银行转账、电汇或网上支付等形式。</w:t>
      </w:r>
    </w:p>
    <w:p w14:paraId="537FEE4C">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15.3.2 </w:t>
      </w:r>
      <w:r>
        <w:rPr>
          <w:rStyle w:val="19"/>
          <w:rFonts w:hint="eastAsia" w:ascii="宋体" w:hAnsi="宋体" w:eastAsia="宋体" w:cs="宋体"/>
          <w:color w:val="000000"/>
          <w:highlight w:val="none"/>
        </w:rPr>
        <w:t>质量保证金的扣留</w:t>
      </w:r>
    </w:p>
    <w:p w14:paraId="0B24ED56">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质量保证金的扣留采取以下第</w:t>
      </w:r>
      <w:r>
        <w:rPr>
          <w:rStyle w:val="19"/>
          <w:rFonts w:hint="eastAsia" w:ascii="宋体" w:hAnsi="宋体" w:eastAsia="宋体" w:cs="Times New Roman"/>
          <w:color w:val="000000"/>
          <w:highlight w:val="none"/>
          <w:u w:val="single"/>
        </w:rPr>
        <w:t>（2</w:t>
      </w:r>
      <w:r>
        <w:rPr>
          <w:rStyle w:val="19"/>
          <w:rFonts w:ascii="宋体" w:hAnsi="宋体" w:eastAsia="宋体" w:cs="Times New Roman"/>
          <w:color w:val="000000"/>
          <w:highlight w:val="none"/>
          <w:u w:val="single"/>
        </w:rPr>
        <w:t>）</w:t>
      </w:r>
      <w:r>
        <w:rPr>
          <w:rStyle w:val="19"/>
          <w:rFonts w:hint="eastAsia" w:ascii="宋体" w:hAnsi="宋体" w:eastAsia="宋体" w:cs="宋体"/>
          <w:color w:val="000000"/>
          <w:highlight w:val="none"/>
        </w:rPr>
        <w:t>种方式：</w:t>
      </w:r>
    </w:p>
    <w:p w14:paraId="2152897E">
      <w:pPr>
        <w:pStyle w:val="89"/>
        <w:pageBreakBefore w:val="0"/>
        <w:kinsoku/>
        <w:wordWrap/>
        <w:overflowPunct/>
        <w:topLinePunct w:val="0"/>
        <w:autoSpaceDE w:val="0"/>
        <w:autoSpaceDN w:val="0"/>
        <w:bidi w:val="0"/>
        <w:adjustRightInd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1</w:t>
      </w:r>
      <w:r>
        <w:rPr>
          <w:rStyle w:val="19"/>
          <w:rFonts w:hint="eastAsia" w:ascii="宋体" w:hAnsi="宋体" w:eastAsia="宋体" w:cs="宋体"/>
          <w:color w:val="000000"/>
          <w:kern w:val="0"/>
          <w:highlight w:val="none"/>
        </w:rPr>
        <w:t>）在</w:t>
      </w:r>
      <w:r>
        <w:rPr>
          <w:rStyle w:val="19"/>
          <w:rFonts w:ascii="宋体" w:hAnsi="宋体" w:eastAsia="宋体" w:cs="宋体"/>
          <w:color w:val="000000"/>
          <w:kern w:val="0"/>
          <w:highlight w:val="none"/>
        </w:rPr>
        <w:t>不缴纳履</w:t>
      </w:r>
      <w:r>
        <w:rPr>
          <w:rStyle w:val="19"/>
          <w:rFonts w:hint="eastAsia" w:ascii="宋体" w:hAnsi="宋体" w:eastAsia="宋体" w:cs="宋体"/>
          <w:color w:val="000000"/>
          <w:kern w:val="0"/>
          <w:highlight w:val="none"/>
        </w:rPr>
        <w:t>保</w:t>
      </w:r>
      <w:r>
        <w:rPr>
          <w:rStyle w:val="19"/>
          <w:rFonts w:ascii="宋体" w:hAnsi="宋体" w:eastAsia="宋体" w:cs="宋体"/>
          <w:color w:val="000000"/>
          <w:kern w:val="0"/>
          <w:highlight w:val="none"/>
        </w:rPr>
        <w:t>证金情况下</w:t>
      </w:r>
      <w:r>
        <w:rPr>
          <w:rStyle w:val="19"/>
          <w:rFonts w:hint="eastAsia" w:ascii="宋体" w:hAnsi="宋体" w:eastAsia="宋体" w:cs="宋体"/>
          <w:color w:val="000000"/>
          <w:kern w:val="0"/>
          <w:highlight w:val="none"/>
        </w:rPr>
        <w:t>，按支付工程进度款时逐次扣留，质量保证金的计算基数不包括预付款的支付、扣回以及价格调整的金额；</w:t>
      </w:r>
    </w:p>
    <w:p w14:paraId="67ED30EF">
      <w:pPr>
        <w:pStyle w:val="89"/>
        <w:pageBreakBefore w:val="0"/>
        <w:kinsoku/>
        <w:wordWrap/>
        <w:overflowPunct/>
        <w:topLinePunct w:val="0"/>
        <w:autoSpaceDE w:val="0"/>
        <w:autoSpaceDN w:val="0"/>
        <w:bidi w:val="0"/>
        <w:adjustRightInd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2</w:t>
      </w:r>
      <w:r>
        <w:rPr>
          <w:rStyle w:val="19"/>
          <w:rFonts w:hint="eastAsia" w:ascii="宋体" w:hAnsi="宋体" w:eastAsia="宋体" w:cs="宋体"/>
          <w:color w:val="000000"/>
          <w:kern w:val="0"/>
          <w:highlight w:val="none"/>
        </w:rPr>
        <w:t>）工程竣工结算时，一次性扣留质量保证金，</w:t>
      </w:r>
      <w:r>
        <w:rPr>
          <w:rStyle w:val="19"/>
          <w:rFonts w:ascii="宋体" w:hAnsi="宋体" w:eastAsia="宋体" w:cs="宋体"/>
          <w:color w:val="000000"/>
          <w:kern w:val="0"/>
          <w:highlight w:val="none"/>
        </w:rPr>
        <w:t>由承包人以银行保函</w:t>
      </w:r>
      <w:r>
        <w:rPr>
          <w:rStyle w:val="19"/>
          <w:rFonts w:hint="eastAsia" w:ascii="宋体" w:hAnsi="宋体" w:eastAsia="宋体" w:cs="宋体"/>
          <w:color w:val="000000"/>
          <w:kern w:val="0"/>
          <w:highlight w:val="none"/>
        </w:rPr>
        <w:t>、保证保险</w:t>
      </w:r>
      <w:r>
        <w:rPr>
          <w:rStyle w:val="19"/>
          <w:rFonts w:ascii="宋体" w:hAnsi="宋体" w:eastAsia="宋体" w:cs="宋体"/>
          <w:color w:val="000000"/>
          <w:kern w:val="0"/>
          <w:highlight w:val="none"/>
        </w:rPr>
        <w:t>替代预留</w:t>
      </w:r>
      <w:r>
        <w:rPr>
          <w:rStyle w:val="19"/>
          <w:rFonts w:hint="eastAsia" w:ascii="宋体" w:hAnsi="宋体" w:eastAsia="宋体" w:cs="宋体"/>
          <w:color w:val="000000"/>
          <w:kern w:val="0"/>
          <w:highlight w:val="none"/>
        </w:rPr>
        <w:t>质量</w:t>
      </w:r>
      <w:r>
        <w:rPr>
          <w:rStyle w:val="19"/>
          <w:rFonts w:ascii="宋体" w:hAnsi="宋体" w:eastAsia="宋体" w:cs="宋体"/>
          <w:color w:val="000000"/>
          <w:kern w:val="0"/>
          <w:highlight w:val="none"/>
        </w:rPr>
        <w:t>保证金</w:t>
      </w:r>
      <w:r>
        <w:rPr>
          <w:rStyle w:val="19"/>
          <w:rFonts w:hint="eastAsia" w:ascii="宋体" w:hAnsi="宋体" w:eastAsia="宋体" w:cs="宋体"/>
          <w:color w:val="000000"/>
          <w:kern w:val="0"/>
          <w:highlight w:val="none"/>
        </w:rPr>
        <w:t>，</w:t>
      </w:r>
      <w:r>
        <w:rPr>
          <w:rStyle w:val="19"/>
          <w:rFonts w:ascii="宋体" w:hAnsi="宋体" w:eastAsia="宋体" w:cs="宋体"/>
          <w:color w:val="000000"/>
          <w:kern w:val="0"/>
          <w:highlight w:val="none"/>
        </w:rPr>
        <w:t>保函金额不得高</w:t>
      </w:r>
      <w:r>
        <w:rPr>
          <w:rStyle w:val="19"/>
          <w:rFonts w:hint="eastAsia" w:ascii="宋体" w:hAnsi="宋体" w:eastAsia="宋体" w:cs="宋体"/>
          <w:color w:val="000000"/>
          <w:kern w:val="0"/>
          <w:highlight w:val="none"/>
        </w:rPr>
        <w:t>于</w:t>
      </w:r>
      <w:r>
        <w:rPr>
          <w:rStyle w:val="19"/>
          <w:rFonts w:ascii="宋体" w:hAnsi="宋体" w:eastAsia="宋体" w:cs="宋体"/>
          <w:color w:val="000000"/>
          <w:kern w:val="0"/>
          <w:highlight w:val="none"/>
        </w:rPr>
        <w:t>工程价款结算总额的</w:t>
      </w:r>
      <w:r>
        <w:rPr>
          <w:rStyle w:val="19"/>
          <w:rFonts w:hint="eastAsia" w:ascii="宋体" w:hAnsi="宋体" w:eastAsia="宋体" w:cs="宋体"/>
          <w:color w:val="000000"/>
          <w:kern w:val="0"/>
          <w:highlight w:val="none"/>
        </w:rPr>
        <w:t>3</w:t>
      </w:r>
      <w:r>
        <w:rPr>
          <w:rStyle w:val="19"/>
          <w:rFonts w:ascii="宋体" w:hAnsi="宋体" w:eastAsia="宋体" w:cs="宋体"/>
          <w:color w:val="000000"/>
          <w:kern w:val="0"/>
          <w:highlight w:val="none"/>
        </w:rPr>
        <w:t>%</w:t>
      </w:r>
      <w:r>
        <w:rPr>
          <w:rStyle w:val="19"/>
          <w:rFonts w:hint="eastAsia" w:ascii="宋体" w:hAnsi="宋体" w:eastAsia="宋体" w:cs="宋体"/>
          <w:color w:val="000000"/>
          <w:kern w:val="0"/>
          <w:highlight w:val="none"/>
        </w:rPr>
        <w:t>；</w:t>
      </w:r>
    </w:p>
    <w:p w14:paraId="6C976749">
      <w:pPr>
        <w:pStyle w:val="89"/>
        <w:pageBreakBefore w:val="0"/>
        <w:kinsoku/>
        <w:wordWrap/>
        <w:overflowPunct/>
        <w:topLinePunct w:val="0"/>
        <w:autoSpaceDE w:val="0"/>
        <w:autoSpaceDN w:val="0"/>
        <w:bidi w:val="0"/>
        <w:adjustRightInd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3</w:t>
      </w:r>
      <w:r>
        <w:rPr>
          <w:rStyle w:val="19"/>
          <w:rFonts w:hint="eastAsia" w:ascii="宋体" w:hAnsi="宋体" w:eastAsia="宋体" w:cs="宋体"/>
          <w:color w:val="000000"/>
          <w:kern w:val="0"/>
          <w:highlight w:val="none"/>
        </w:rPr>
        <w:t>）其他扣留方式</w:t>
      </w:r>
      <w:r>
        <w:rPr>
          <w:rStyle w:val="19"/>
          <w:rFonts w:ascii="宋体" w:hAnsi="宋体" w:eastAsia="宋体" w:cs="Times New Roman"/>
          <w:color w:val="000000"/>
          <w:kern w:val="0"/>
          <w:highlight w:val="none"/>
        </w:rPr>
        <w:t>:</w:t>
      </w:r>
      <w:r>
        <w:rPr>
          <w:rStyle w:val="19"/>
          <w:rFonts w:hint="eastAsia" w:ascii="宋体" w:hAnsi="宋体" w:eastAsia="宋体" w:cs="宋体"/>
          <w:color w:val="000000"/>
          <w:highlight w:val="none"/>
        </w:rPr>
        <w:t>银行转账、电汇或网上支付、保函（银行保函、电子保函、保证保险保函、工程担保保函）等形式</w:t>
      </w:r>
      <w:r>
        <w:rPr>
          <w:rStyle w:val="19"/>
          <w:rFonts w:hint="eastAsia" w:ascii="宋体" w:hAnsi="宋体" w:eastAsia="宋体" w:cs="宋体"/>
          <w:color w:val="000000"/>
          <w:kern w:val="0"/>
          <w:highlight w:val="none"/>
        </w:rPr>
        <w:t>。</w:t>
      </w:r>
    </w:p>
    <w:p w14:paraId="1AFD02AC">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highlight w:val="none"/>
        </w:rPr>
      </w:pPr>
      <w:r>
        <w:rPr>
          <w:rStyle w:val="19"/>
          <w:rFonts w:hint="eastAsia" w:ascii="宋体" w:hAnsi="宋体" w:eastAsia="宋体" w:cs="宋体"/>
          <w:color w:val="000000"/>
          <w:highlight w:val="none"/>
        </w:rPr>
        <w:t>关于质量保证金的补充约定：</w:t>
      </w:r>
      <w:bookmarkEnd w:id="1289"/>
      <w:bookmarkEnd w:id="1290"/>
      <w:bookmarkStart w:id="1328" w:name="_Toc407135268"/>
      <w:bookmarkStart w:id="1329" w:name="_Toc1902722111"/>
      <w:bookmarkStart w:id="1330" w:name="_Toc78449854"/>
      <w:bookmarkStart w:id="1331" w:name="_Toc196306762"/>
      <w:bookmarkStart w:id="1332" w:name="_Toc389065330"/>
      <w:bookmarkStart w:id="1333" w:name="_Toc373478412"/>
      <w:bookmarkStart w:id="1334" w:name="_Toc373227765"/>
      <w:r>
        <w:rPr>
          <w:rStyle w:val="19"/>
          <w:rFonts w:hint="eastAsia" w:ascii="宋体" w:hAnsi="宋体" w:eastAsia="宋体" w:cs="宋体"/>
          <w:color w:val="000000"/>
          <w:highlight w:val="none"/>
          <w:u w:val="single"/>
        </w:rPr>
        <w:t>承包人先将工程价款结算总额的3%工程质量保证金缴纳至发包人的指定账户，发包人再将工程款支付至结算总价的100%（含已支付的工程进度款）</w:t>
      </w:r>
      <w:r>
        <w:rPr>
          <w:rStyle w:val="19"/>
          <w:rFonts w:hint="eastAsia" w:ascii="宋体" w:hAnsi="宋体" w:eastAsia="宋体" w:cs="宋体"/>
          <w:color w:val="000000"/>
          <w:highlight w:val="none"/>
        </w:rPr>
        <w:t>。缺陷责任期内，如发生属承包人责任的质量问题，按工程质量保修书约定执行。承包人未按照法律法规有关规定和合同约定履行质量保修义务的，发包人有权从质量保证金中扣留用于质量保修的各项支出；若质量保证金不足以抵扣实际支出费用，发包人有权要求承包人补足差额，并追究承包人的违约责任。</w:t>
      </w:r>
    </w:p>
    <w:p w14:paraId="3B2105E3">
      <w:pPr>
        <w:pStyle w:val="89"/>
        <w:pageBreakBefore w:val="0"/>
        <w:kinsoku/>
        <w:wordWrap/>
        <w:overflowPunct/>
        <w:topLinePunct w:val="0"/>
        <w:bidi w:val="0"/>
        <w:spacing w:line="360" w:lineRule="auto"/>
        <w:jc w:val="left"/>
        <w:outlineLvl w:val="2"/>
        <w:rPr>
          <w:rStyle w:val="19"/>
          <w:rFonts w:ascii="宋体" w:hAnsi="宋体" w:eastAsia="宋体" w:cs="Times New Roman"/>
          <w:b/>
          <w:bCs/>
          <w:color w:val="000000"/>
          <w:sz w:val="32"/>
          <w:szCs w:val="32"/>
          <w:highlight w:val="none"/>
          <w:lang w:val="zh-CN"/>
        </w:rPr>
      </w:pPr>
      <w:bookmarkStart w:id="1335" w:name="_Toc18286"/>
      <w:r>
        <w:rPr>
          <w:rStyle w:val="19"/>
          <w:rFonts w:ascii="宋体" w:hAnsi="宋体" w:eastAsia="宋体" w:cs="Times New Roman"/>
          <w:b/>
          <w:bCs/>
          <w:color w:val="000000"/>
          <w:sz w:val="32"/>
          <w:szCs w:val="32"/>
          <w:highlight w:val="none"/>
          <w:lang w:val="zh-CN"/>
        </w:rPr>
        <w:t xml:space="preserve">15.4 </w:t>
      </w:r>
      <w:r>
        <w:rPr>
          <w:rStyle w:val="19"/>
          <w:rFonts w:hint="eastAsia" w:ascii="宋体" w:hAnsi="宋体" w:eastAsia="宋体" w:cs="黑体"/>
          <w:b/>
          <w:bCs/>
          <w:color w:val="000000"/>
          <w:sz w:val="32"/>
          <w:szCs w:val="32"/>
          <w:highlight w:val="none"/>
          <w:lang w:val="zh-CN"/>
        </w:rPr>
        <w:t>保修</w:t>
      </w:r>
      <w:bookmarkEnd w:id="1328"/>
      <w:bookmarkEnd w:id="1329"/>
      <w:bookmarkEnd w:id="1330"/>
      <w:bookmarkEnd w:id="1331"/>
      <w:bookmarkEnd w:id="1332"/>
      <w:bookmarkEnd w:id="1333"/>
      <w:bookmarkEnd w:id="1334"/>
      <w:bookmarkEnd w:id="1335"/>
    </w:p>
    <w:bookmarkEnd w:id="1291"/>
    <w:p w14:paraId="0136919F">
      <w:pPr>
        <w:pStyle w:val="89"/>
        <w:pageBreakBefore w:val="0"/>
        <w:kinsoku/>
        <w:wordWrap/>
        <w:overflowPunct/>
        <w:topLinePunct w:val="0"/>
        <w:bidi w:val="0"/>
        <w:spacing w:line="360" w:lineRule="auto"/>
        <w:ind w:firstLine="409" w:firstLineChars="195"/>
        <w:jc w:val="left"/>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15.4.1 </w:t>
      </w:r>
      <w:r>
        <w:rPr>
          <w:rStyle w:val="19"/>
          <w:rFonts w:hint="eastAsia" w:ascii="宋体" w:hAnsi="宋体" w:eastAsia="宋体" w:cs="宋体"/>
          <w:color w:val="000000"/>
          <w:highlight w:val="none"/>
        </w:rPr>
        <w:t>保修责任</w:t>
      </w:r>
    </w:p>
    <w:p w14:paraId="2B4DC1DE">
      <w:pPr>
        <w:pStyle w:val="89"/>
        <w:pageBreakBefore w:val="0"/>
        <w:kinsoku/>
        <w:wordWrap/>
        <w:overflowPunct/>
        <w:topLinePunct w:val="0"/>
        <w:bidi w:val="0"/>
        <w:spacing w:line="360" w:lineRule="auto"/>
        <w:ind w:firstLine="409" w:firstLineChars="195"/>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highlight w:val="none"/>
        </w:rPr>
        <w:t>工程保修期为：</w:t>
      </w:r>
      <w:r>
        <w:rPr>
          <w:rStyle w:val="19"/>
          <w:rFonts w:hint="eastAsia" w:ascii="宋体" w:hAnsi="宋体" w:eastAsia="宋体" w:cs="宋体"/>
          <w:color w:val="000000"/>
          <w:szCs w:val="21"/>
          <w:highlight w:val="none"/>
          <w:u w:val="single"/>
        </w:rPr>
        <w:t>按合同附件工程质量保修书规定执行</w:t>
      </w:r>
      <w:r>
        <w:rPr>
          <w:rStyle w:val="19"/>
          <w:rFonts w:hint="eastAsia" w:ascii="宋体" w:hAnsi="宋体" w:eastAsia="宋体" w:cs="宋体"/>
          <w:color w:val="000000"/>
          <w:kern w:val="0"/>
          <w:highlight w:val="none"/>
        </w:rPr>
        <w:t>。</w:t>
      </w:r>
    </w:p>
    <w:p w14:paraId="3BB81696">
      <w:pPr>
        <w:pStyle w:val="89"/>
        <w:pageBreakBefore w:val="0"/>
        <w:kinsoku/>
        <w:wordWrap/>
        <w:overflowPunct/>
        <w:topLinePunct w:val="0"/>
        <w:bidi w:val="0"/>
        <w:spacing w:line="360" w:lineRule="auto"/>
        <w:ind w:firstLine="409" w:firstLineChars="195"/>
        <w:jc w:val="left"/>
        <w:outlineLvl w:val="9"/>
        <w:rPr>
          <w:rStyle w:val="19"/>
          <w:rFonts w:ascii="宋体" w:hAnsi="宋体" w:eastAsia="宋体" w:cs="Times New Roman"/>
          <w:color w:val="000000"/>
          <w:kern w:val="0"/>
          <w:highlight w:val="none"/>
          <w:u w:val="single"/>
        </w:rPr>
      </w:pPr>
      <w:r>
        <w:rPr>
          <w:rStyle w:val="19"/>
          <w:rFonts w:hint="eastAsia" w:ascii="宋体" w:hAnsi="宋体" w:eastAsia="宋体" w:cs="宋体"/>
          <w:color w:val="000000"/>
          <w:highlight w:val="none"/>
        </w:rPr>
        <w:t>工程保修书具体内容见合同附件2。</w:t>
      </w:r>
    </w:p>
    <w:p w14:paraId="4E2AC468">
      <w:pPr>
        <w:pStyle w:val="89"/>
        <w:pageBreakBefore w:val="0"/>
        <w:kinsoku/>
        <w:wordWrap/>
        <w:overflowPunct/>
        <w:topLinePunct w:val="0"/>
        <w:bidi w:val="0"/>
        <w:spacing w:line="360" w:lineRule="auto"/>
        <w:ind w:firstLine="409" w:firstLineChars="195"/>
        <w:jc w:val="left"/>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15.4.3 </w:t>
      </w:r>
      <w:r>
        <w:rPr>
          <w:rStyle w:val="19"/>
          <w:rFonts w:hint="eastAsia" w:ascii="宋体" w:hAnsi="宋体" w:eastAsia="宋体" w:cs="宋体"/>
          <w:color w:val="000000"/>
          <w:highlight w:val="none"/>
        </w:rPr>
        <w:t>修复通知</w:t>
      </w:r>
    </w:p>
    <w:p w14:paraId="1DDB09F9">
      <w:pPr>
        <w:pStyle w:val="89"/>
        <w:pageBreakBefore w:val="0"/>
        <w:kinsoku/>
        <w:wordWrap/>
        <w:overflowPunct/>
        <w:topLinePunct w:val="0"/>
        <w:bidi w:val="0"/>
        <w:spacing w:line="360" w:lineRule="auto"/>
        <w:ind w:firstLine="409" w:firstLineChars="195"/>
        <w:jc w:val="left"/>
        <w:outlineLvl w:val="9"/>
        <w:rPr>
          <w:rStyle w:val="19"/>
          <w:rFonts w:ascii="宋体" w:hAnsi="宋体" w:eastAsia="宋体" w:cs="Times New Roman"/>
          <w:color w:val="000000"/>
          <w:kern w:val="0"/>
          <w:highlight w:val="none"/>
          <w:u w:val="single"/>
        </w:rPr>
      </w:pPr>
      <w:r>
        <w:rPr>
          <w:rStyle w:val="19"/>
          <w:rFonts w:hint="eastAsia" w:ascii="宋体" w:hAnsi="宋体" w:eastAsia="宋体" w:cs="宋体"/>
          <w:color w:val="000000"/>
          <w:kern w:val="0"/>
          <w:highlight w:val="none"/>
        </w:rPr>
        <w:t>承包人收到保修通知并到达工程现场的合理时间：</w:t>
      </w:r>
      <w:r>
        <w:rPr>
          <w:rStyle w:val="19"/>
          <w:rFonts w:hint="eastAsia" w:ascii="Calibri" w:hAnsi="Calibri" w:eastAsia="宋体" w:cs="Times New Roman"/>
          <w:color w:val="000000"/>
          <w:szCs w:val="21"/>
          <w:highlight w:val="none"/>
          <w:u w:val="single"/>
        </w:rPr>
        <w:t>24小时内，紧急抢修应以最快速度到达并立即抢修。在接到发包人书面或电话通知 24 小时内未能进行修补的，发包人有权直接委托他人进行抢修，费用直接从承包人的质保金中扣除，质量保证金不足以支付的，费用仍由承包人承担</w:t>
      </w:r>
      <w:r>
        <w:rPr>
          <w:rStyle w:val="19"/>
          <w:rFonts w:hint="eastAsia" w:ascii="宋体" w:hAnsi="宋体" w:eastAsia="宋体" w:cs="宋体"/>
          <w:color w:val="000000"/>
          <w:kern w:val="0"/>
          <w:highlight w:val="none"/>
          <w:u w:val="single"/>
        </w:rPr>
        <w:t>。</w:t>
      </w:r>
    </w:p>
    <w:bookmarkEnd w:id="1292"/>
    <w:bookmarkEnd w:id="1293"/>
    <w:bookmarkEnd w:id="1294"/>
    <w:bookmarkEnd w:id="1295"/>
    <w:p w14:paraId="3B9C526B">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1336" w:name="_Toc351203648"/>
      <w:bookmarkStart w:id="1337" w:name="_Toc373478413"/>
      <w:bookmarkStart w:id="1338" w:name="_Toc1725581915"/>
      <w:bookmarkStart w:id="1339" w:name="_Toc1360137061"/>
      <w:bookmarkStart w:id="1340" w:name="_Toc389065331"/>
      <w:bookmarkStart w:id="1341" w:name="_Toc78449855"/>
      <w:bookmarkStart w:id="1342" w:name="_Toc407135269"/>
      <w:bookmarkStart w:id="1343" w:name="_Toc24808"/>
      <w:bookmarkStart w:id="1344" w:name="_Toc373227766"/>
      <w:bookmarkStart w:id="1345" w:name="_Toc280868717"/>
      <w:bookmarkStart w:id="1346" w:name="_Toc280868718"/>
      <w:r>
        <w:rPr>
          <w:rStyle w:val="19"/>
          <w:rFonts w:ascii="宋体" w:hAnsi="宋体" w:eastAsia="宋体" w:cs="Times New Roman"/>
          <w:b/>
          <w:bCs/>
          <w:color w:val="000000"/>
          <w:sz w:val="32"/>
          <w:szCs w:val="32"/>
          <w:highlight w:val="none"/>
          <w:lang w:val="zh-CN"/>
        </w:rPr>
        <w:t xml:space="preserve">16. </w:t>
      </w:r>
      <w:r>
        <w:rPr>
          <w:rStyle w:val="19"/>
          <w:rFonts w:hint="eastAsia" w:ascii="宋体" w:hAnsi="宋体" w:eastAsia="宋体" w:cs="黑体"/>
          <w:b/>
          <w:bCs/>
          <w:color w:val="000000"/>
          <w:sz w:val="32"/>
          <w:szCs w:val="32"/>
          <w:highlight w:val="none"/>
          <w:lang w:val="zh-CN"/>
        </w:rPr>
        <w:t>违约</w:t>
      </w:r>
      <w:bookmarkEnd w:id="1336"/>
      <w:bookmarkEnd w:id="1337"/>
      <w:bookmarkEnd w:id="1338"/>
      <w:bookmarkEnd w:id="1339"/>
      <w:bookmarkEnd w:id="1340"/>
      <w:bookmarkEnd w:id="1341"/>
      <w:bookmarkEnd w:id="1342"/>
      <w:bookmarkEnd w:id="1343"/>
      <w:bookmarkEnd w:id="1344"/>
    </w:p>
    <w:p w14:paraId="4FD88441">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347" w:name="_Toc1973395665"/>
      <w:bookmarkStart w:id="1348" w:name="_Toc31834"/>
      <w:bookmarkStart w:id="1349" w:name="_Toc407135270"/>
      <w:bookmarkStart w:id="1350" w:name="_Toc389065332"/>
      <w:bookmarkStart w:id="1351" w:name="_Toc373227767"/>
      <w:bookmarkStart w:id="1352" w:name="_Toc373478414"/>
      <w:bookmarkStart w:id="1353" w:name="_Toc78449856"/>
      <w:bookmarkStart w:id="1354" w:name="_Toc1535389315"/>
      <w:r>
        <w:rPr>
          <w:rStyle w:val="19"/>
          <w:rFonts w:ascii="宋体" w:hAnsi="宋体" w:eastAsia="宋体" w:cs="Times New Roman"/>
          <w:b/>
          <w:bCs/>
          <w:color w:val="000000"/>
          <w:sz w:val="32"/>
          <w:szCs w:val="32"/>
          <w:highlight w:val="none"/>
          <w:lang w:val="zh-CN"/>
        </w:rPr>
        <w:t xml:space="preserve">16.1 </w:t>
      </w:r>
      <w:r>
        <w:rPr>
          <w:rStyle w:val="19"/>
          <w:rFonts w:hint="eastAsia" w:ascii="宋体" w:hAnsi="宋体" w:eastAsia="宋体" w:cs="黑体"/>
          <w:b/>
          <w:bCs/>
          <w:color w:val="000000"/>
          <w:sz w:val="32"/>
          <w:szCs w:val="32"/>
          <w:highlight w:val="none"/>
          <w:lang w:val="zh-CN"/>
        </w:rPr>
        <w:t>发包人违约</w:t>
      </w:r>
      <w:bookmarkEnd w:id="1347"/>
      <w:bookmarkEnd w:id="1348"/>
      <w:bookmarkEnd w:id="1349"/>
      <w:bookmarkEnd w:id="1350"/>
      <w:bookmarkEnd w:id="1351"/>
      <w:bookmarkEnd w:id="1352"/>
      <w:bookmarkEnd w:id="1353"/>
      <w:bookmarkEnd w:id="1354"/>
    </w:p>
    <w:p w14:paraId="4CC2E268">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16.1.1</w:t>
      </w:r>
      <w:r>
        <w:rPr>
          <w:rStyle w:val="19"/>
          <w:rFonts w:hint="eastAsia" w:ascii="宋体" w:hAnsi="宋体" w:eastAsia="宋体" w:cs="宋体"/>
          <w:color w:val="000000"/>
          <w:highlight w:val="none"/>
        </w:rPr>
        <w:t>发包人违约的情形</w:t>
      </w:r>
    </w:p>
    <w:p w14:paraId="265C79E4">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发包人违约的其他情形：</w:t>
      </w:r>
      <w:r>
        <w:rPr>
          <w:rStyle w:val="19"/>
          <w:rFonts w:hint="eastAsia" w:ascii="宋体" w:hAnsi="宋体" w:eastAsia="宋体" w:cs="宋体"/>
          <w:color w:val="000000"/>
          <w:szCs w:val="21"/>
          <w:highlight w:val="none"/>
          <w:u w:val="single"/>
        </w:rPr>
        <w:t>按本合同通用条款</w:t>
      </w:r>
      <w:r>
        <w:rPr>
          <w:rStyle w:val="19"/>
          <w:rFonts w:hint="eastAsia" w:ascii="宋体" w:hAnsi="宋体" w:eastAsia="宋体" w:cs="宋体"/>
          <w:color w:val="000000"/>
          <w:kern w:val="0"/>
          <w:highlight w:val="none"/>
        </w:rPr>
        <w:t>。</w:t>
      </w:r>
    </w:p>
    <w:p w14:paraId="24FF1B0F">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16.1.2 </w:t>
      </w:r>
      <w:r>
        <w:rPr>
          <w:rStyle w:val="19"/>
          <w:rFonts w:hint="eastAsia" w:ascii="宋体" w:hAnsi="宋体" w:eastAsia="宋体" w:cs="宋体"/>
          <w:color w:val="000000"/>
          <w:kern w:val="0"/>
          <w:highlight w:val="none"/>
        </w:rPr>
        <w:t>发包人违约的责任</w:t>
      </w:r>
    </w:p>
    <w:p w14:paraId="73C98502">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发包人违约责任的承担方式和计算方法：</w:t>
      </w:r>
    </w:p>
    <w:p w14:paraId="3BFB1CA5">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u w:val="singl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1</w:t>
      </w:r>
      <w:r>
        <w:rPr>
          <w:rStyle w:val="19"/>
          <w:rFonts w:hint="eastAsia" w:ascii="宋体" w:hAnsi="宋体" w:eastAsia="宋体" w:cs="宋体"/>
          <w:color w:val="000000"/>
          <w:kern w:val="0"/>
          <w:highlight w:val="none"/>
        </w:rPr>
        <w:t>）因发包人原因未能在计划开工日期前</w:t>
      </w:r>
      <w:r>
        <w:rPr>
          <w:rStyle w:val="19"/>
          <w:rFonts w:ascii="宋体" w:hAnsi="宋体" w:eastAsia="宋体" w:cs="Times New Roman"/>
          <w:color w:val="000000"/>
          <w:kern w:val="0"/>
          <w:highlight w:val="none"/>
        </w:rPr>
        <w:t>7</w:t>
      </w:r>
      <w:r>
        <w:rPr>
          <w:rStyle w:val="19"/>
          <w:rFonts w:hint="eastAsia" w:ascii="宋体" w:hAnsi="宋体" w:eastAsia="宋体" w:cs="宋体"/>
          <w:color w:val="000000"/>
          <w:kern w:val="0"/>
          <w:highlight w:val="none"/>
        </w:rPr>
        <w:t>天内下达开工通知的违约责任：</w:t>
      </w:r>
      <w:r>
        <w:rPr>
          <w:rStyle w:val="19"/>
          <w:rFonts w:hint="eastAsia" w:ascii="宋体" w:hAnsi="宋体" w:eastAsia="宋体" w:cs="Times New Roman"/>
          <w:color w:val="000000"/>
          <w:kern w:val="0"/>
          <w:highlight w:val="none"/>
          <w:u w:val="single"/>
        </w:rPr>
        <w:t>无</w:t>
      </w:r>
      <w:r>
        <w:rPr>
          <w:rStyle w:val="19"/>
          <w:rFonts w:hint="eastAsia" w:ascii="宋体" w:hAnsi="宋体" w:eastAsia="宋体" w:cs="宋体"/>
          <w:color w:val="000000"/>
          <w:kern w:val="0"/>
          <w:highlight w:val="none"/>
        </w:rPr>
        <w:t>。</w:t>
      </w:r>
    </w:p>
    <w:p w14:paraId="5393D4E1">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2</w:t>
      </w:r>
      <w:r>
        <w:rPr>
          <w:rStyle w:val="19"/>
          <w:rFonts w:hint="eastAsia" w:ascii="宋体" w:hAnsi="宋体" w:eastAsia="宋体" w:cs="宋体"/>
          <w:color w:val="000000"/>
          <w:kern w:val="0"/>
          <w:highlight w:val="none"/>
        </w:rPr>
        <w:t>）因发包人原因未能按合同约定支付合同价款的违约责任：</w:t>
      </w:r>
      <w:r>
        <w:rPr>
          <w:rStyle w:val="19"/>
          <w:rFonts w:hint="eastAsia" w:ascii="宋体" w:hAnsi="宋体" w:eastAsia="宋体" w:cs="宋体"/>
          <w:color w:val="000000"/>
          <w:szCs w:val="21"/>
          <w:highlight w:val="none"/>
          <w:u w:val="single"/>
        </w:rPr>
        <w:t>承包人与发包人签订延期付款协议</w:t>
      </w:r>
      <w:r>
        <w:rPr>
          <w:rStyle w:val="19"/>
          <w:rFonts w:hint="eastAsia" w:ascii="宋体" w:hAnsi="宋体" w:eastAsia="宋体" w:cs="宋体"/>
          <w:color w:val="000000"/>
          <w:kern w:val="0"/>
          <w:highlight w:val="none"/>
        </w:rPr>
        <w:t>。</w:t>
      </w:r>
    </w:p>
    <w:p w14:paraId="3BD52192">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3</w:t>
      </w:r>
      <w:r>
        <w:rPr>
          <w:rStyle w:val="19"/>
          <w:rFonts w:hint="eastAsia" w:ascii="宋体" w:hAnsi="宋体" w:eastAsia="宋体" w:cs="宋体"/>
          <w:color w:val="000000"/>
          <w:kern w:val="0"/>
          <w:highlight w:val="none"/>
        </w:rPr>
        <w:t>）发包人违反第</w:t>
      </w:r>
      <w:r>
        <w:rPr>
          <w:rStyle w:val="19"/>
          <w:rFonts w:ascii="宋体" w:hAnsi="宋体" w:eastAsia="宋体" w:cs="Times New Roman"/>
          <w:color w:val="000000"/>
          <w:kern w:val="0"/>
          <w:highlight w:val="none"/>
        </w:rPr>
        <w:t>10.1</w:t>
      </w:r>
      <w:r>
        <w:rPr>
          <w:rStyle w:val="19"/>
          <w:rFonts w:hint="eastAsia" w:ascii="宋体" w:hAnsi="宋体" w:eastAsia="宋体" w:cs="宋体"/>
          <w:color w:val="000000"/>
          <w:kern w:val="0"/>
          <w:highlight w:val="none"/>
        </w:rPr>
        <w:t>款〔变更的范围〕第（</w:t>
      </w:r>
      <w:r>
        <w:rPr>
          <w:rStyle w:val="19"/>
          <w:rFonts w:ascii="宋体" w:hAnsi="宋体" w:eastAsia="宋体" w:cs="Times New Roman"/>
          <w:color w:val="000000"/>
          <w:kern w:val="0"/>
          <w:highlight w:val="none"/>
        </w:rPr>
        <w:t>2</w:t>
      </w:r>
      <w:r>
        <w:rPr>
          <w:rStyle w:val="19"/>
          <w:rFonts w:hint="eastAsia" w:ascii="宋体" w:hAnsi="宋体" w:eastAsia="宋体" w:cs="宋体"/>
          <w:color w:val="000000"/>
          <w:kern w:val="0"/>
          <w:highlight w:val="none"/>
        </w:rPr>
        <w:t>）项约定，自行实施被取消的工作或转由他人实施的违约责任：</w:t>
      </w:r>
      <w:r>
        <w:rPr>
          <w:rStyle w:val="19"/>
          <w:rFonts w:hint="eastAsia" w:ascii="宋体" w:hAnsi="宋体" w:eastAsia="宋体" w:cs="宋体"/>
          <w:color w:val="000000"/>
          <w:szCs w:val="21"/>
          <w:highlight w:val="none"/>
          <w:u w:val="single"/>
        </w:rPr>
        <w:t>发包人只赔偿承包人因准备该部分工作而发生的合理费用，但不给予其它赔偿或补偿</w:t>
      </w:r>
      <w:r>
        <w:rPr>
          <w:rStyle w:val="19"/>
          <w:rFonts w:hint="eastAsia" w:ascii="宋体" w:hAnsi="宋体" w:eastAsia="宋体" w:cs="宋体"/>
          <w:color w:val="000000"/>
          <w:kern w:val="0"/>
          <w:highlight w:val="none"/>
        </w:rPr>
        <w:t>。</w:t>
      </w:r>
    </w:p>
    <w:p w14:paraId="77C85F6E">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4</w:t>
      </w:r>
      <w:r>
        <w:rPr>
          <w:rStyle w:val="19"/>
          <w:rFonts w:hint="eastAsia" w:ascii="宋体" w:hAnsi="宋体" w:eastAsia="宋体" w:cs="宋体"/>
          <w:color w:val="000000"/>
          <w:kern w:val="0"/>
          <w:highlight w:val="none"/>
        </w:rPr>
        <w:t>）发包人提供的材料、工程设备的规格、数量或质量不符合合同约定，或因发包人原因导致交货日期延误或交货地点变更等情况的违约责任：</w:t>
      </w:r>
      <w:r>
        <w:rPr>
          <w:rStyle w:val="19"/>
          <w:rFonts w:hint="eastAsia" w:ascii="宋体" w:hAnsi="宋体" w:eastAsia="宋体" w:cs="宋体"/>
          <w:color w:val="000000"/>
          <w:szCs w:val="21"/>
          <w:highlight w:val="none"/>
          <w:u w:val="single"/>
        </w:rPr>
        <w:t>按本合同通用条款执行</w:t>
      </w:r>
      <w:r>
        <w:rPr>
          <w:rStyle w:val="19"/>
          <w:rFonts w:hint="eastAsia" w:ascii="宋体" w:hAnsi="宋体" w:eastAsia="宋体" w:cs="宋体"/>
          <w:color w:val="000000"/>
          <w:kern w:val="0"/>
          <w:highlight w:val="none"/>
        </w:rPr>
        <w:t>。</w:t>
      </w:r>
    </w:p>
    <w:p w14:paraId="426DD13F">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u w:val="singl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5</w:t>
      </w:r>
      <w:r>
        <w:rPr>
          <w:rStyle w:val="19"/>
          <w:rFonts w:hint="eastAsia" w:ascii="宋体" w:hAnsi="宋体" w:eastAsia="宋体" w:cs="宋体"/>
          <w:color w:val="000000"/>
          <w:kern w:val="0"/>
          <w:highlight w:val="none"/>
        </w:rPr>
        <w:t>）因发包人违反合同约定造成暂停施工的违约责任：</w:t>
      </w:r>
      <w:r>
        <w:rPr>
          <w:rStyle w:val="19"/>
          <w:rFonts w:hint="eastAsia" w:ascii="宋体" w:hAnsi="宋体" w:eastAsia="宋体" w:cs="宋体"/>
          <w:color w:val="000000"/>
          <w:szCs w:val="21"/>
          <w:highlight w:val="none"/>
          <w:u w:val="single"/>
        </w:rPr>
        <w:t>可顺延工期</w:t>
      </w:r>
      <w:r>
        <w:rPr>
          <w:rStyle w:val="19"/>
          <w:rFonts w:hint="eastAsia" w:ascii="宋体" w:hAnsi="宋体" w:eastAsia="宋体" w:cs="宋体"/>
          <w:color w:val="000000"/>
          <w:kern w:val="0"/>
          <w:highlight w:val="none"/>
        </w:rPr>
        <w:t>。</w:t>
      </w:r>
    </w:p>
    <w:p w14:paraId="66DE8620">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6</w:t>
      </w:r>
      <w:r>
        <w:rPr>
          <w:rStyle w:val="19"/>
          <w:rFonts w:hint="eastAsia" w:ascii="宋体" w:hAnsi="宋体" w:eastAsia="宋体" w:cs="宋体"/>
          <w:color w:val="000000"/>
          <w:kern w:val="0"/>
          <w:highlight w:val="none"/>
        </w:rPr>
        <w:t>）发包人无正当理由没有在约定期限内发出复工指示，导致承包人无法复工的违约责任：</w:t>
      </w:r>
      <w:r>
        <w:rPr>
          <w:rStyle w:val="19"/>
          <w:rFonts w:hint="eastAsia" w:ascii="宋体" w:hAnsi="宋体" w:eastAsia="宋体" w:cs="宋体"/>
          <w:color w:val="000000"/>
          <w:szCs w:val="21"/>
          <w:highlight w:val="none"/>
          <w:u w:val="single"/>
        </w:rPr>
        <w:t>可顺延工期，但发包人不赔偿其它损失</w:t>
      </w:r>
      <w:r>
        <w:rPr>
          <w:rStyle w:val="19"/>
          <w:rFonts w:hint="eastAsia" w:ascii="宋体" w:hAnsi="宋体" w:eastAsia="宋体" w:cs="宋体"/>
          <w:color w:val="000000"/>
          <w:kern w:val="0"/>
          <w:highlight w:val="none"/>
        </w:rPr>
        <w:t>。</w:t>
      </w:r>
    </w:p>
    <w:p w14:paraId="2DC4F5C6">
      <w:pPr>
        <w:pStyle w:val="89"/>
        <w:pageBreakBefore w:val="0"/>
        <w:kinsoku/>
        <w:wordWrap/>
        <w:overflowPunct/>
        <w:topLinePunct w:val="0"/>
        <w:bidi w:val="0"/>
        <w:spacing w:line="360" w:lineRule="auto"/>
        <w:ind w:firstLine="420" w:firstLineChars="200"/>
        <w:jc w:val="left"/>
        <w:outlineLvl w:val="9"/>
        <w:rPr>
          <w:rStyle w:val="19"/>
          <w:rFonts w:hint="eastAsia" w:ascii="宋体" w:hAnsi="宋体" w:eastAsia="宋体" w:cs="宋体"/>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7</w:t>
      </w:r>
      <w:r>
        <w:rPr>
          <w:rStyle w:val="19"/>
          <w:rFonts w:hint="eastAsia" w:ascii="宋体" w:hAnsi="宋体" w:eastAsia="宋体" w:cs="宋体"/>
          <w:color w:val="000000"/>
          <w:kern w:val="0"/>
          <w:highlight w:val="none"/>
        </w:rPr>
        <w:t>）其他：</w:t>
      </w:r>
      <w:r>
        <w:rPr>
          <w:rStyle w:val="19"/>
          <w:rFonts w:hint="eastAsia" w:ascii="宋体" w:hAnsi="宋体" w:eastAsia="宋体" w:cs="宋体"/>
          <w:color w:val="000000"/>
          <w:szCs w:val="21"/>
          <w:highlight w:val="none"/>
          <w:u w:val="single"/>
        </w:rPr>
        <w:t>无</w:t>
      </w:r>
      <w:r>
        <w:rPr>
          <w:rStyle w:val="19"/>
          <w:rFonts w:hint="eastAsia" w:ascii="宋体" w:hAnsi="宋体" w:eastAsia="宋体" w:cs="宋体"/>
          <w:color w:val="000000"/>
          <w:kern w:val="0"/>
          <w:highlight w:val="none"/>
        </w:rPr>
        <w:t>。</w:t>
      </w:r>
    </w:p>
    <w:p w14:paraId="5108B605">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16.1.3 </w:t>
      </w:r>
      <w:r>
        <w:rPr>
          <w:rStyle w:val="19"/>
          <w:rFonts w:hint="eastAsia" w:ascii="宋体" w:hAnsi="宋体" w:eastAsia="宋体" w:cs="宋体"/>
          <w:color w:val="000000"/>
          <w:highlight w:val="none"/>
        </w:rPr>
        <w:t>因发包人违约解除合同</w:t>
      </w:r>
    </w:p>
    <w:p w14:paraId="6A06322D">
      <w:pPr>
        <w:pStyle w:val="89"/>
        <w:pageBreakBefore w:val="0"/>
        <w:kinsoku/>
        <w:wordWrap/>
        <w:overflowPunct/>
        <w:topLinePunct w:val="0"/>
        <w:autoSpaceDE w:val="0"/>
        <w:autoSpaceDN w:val="0"/>
        <w:bidi w:val="0"/>
        <w:adjustRightInd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承包人按</w:t>
      </w:r>
      <w:r>
        <w:rPr>
          <w:rStyle w:val="19"/>
          <w:rFonts w:ascii="宋体" w:hAnsi="宋体" w:eastAsia="宋体" w:cs="Times New Roman"/>
          <w:color w:val="000000"/>
          <w:kern w:val="0"/>
          <w:highlight w:val="none"/>
        </w:rPr>
        <w:t>16.1.1</w:t>
      </w:r>
      <w:r>
        <w:rPr>
          <w:rStyle w:val="19"/>
          <w:rFonts w:hint="eastAsia" w:ascii="宋体" w:hAnsi="宋体" w:eastAsia="宋体" w:cs="宋体"/>
          <w:color w:val="000000"/>
          <w:kern w:val="0"/>
          <w:highlight w:val="none"/>
        </w:rPr>
        <w:t>项〔发包人违约的情形〕约定暂停施工满</w:t>
      </w:r>
      <w:r>
        <w:rPr>
          <w:rStyle w:val="19"/>
          <w:rFonts w:hint="eastAsia" w:ascii="宋体" w:hAnsi="宋体" w:eastAsia="宋体" w:cs="Times New Roman"/>
          <w:color w:val="000000"/>
          <w:kern w:val="0"/>
          <w:highlight w:val="none"/>
          <w:u w:val="single"/>
        </w:rPr>
        <w:t>60</w:t>
      </w:r>
      <w:r>
        <w:rPr>
          <w:rStyle w:val="19"/>
          <w:rFonts w:hint="eastAsia" w:ascii="宋体" w:hAnsi="宋体" w:eastAsia="宋体" w:cs="宋体"/>
          <w:color w:val="000000"/>
          <w:kern w:val="0"/>
          <w:highlight w:val="none"/>
        </w:rPr>
        <w:t>天后发包人仍不纠正其违约行为并致使合同目的不能实现的，承包人有权解除合同。</w:t>
      </w:r>
    </w:p>
    <w:p w14:paraId="7E795074">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355" w:name="_Toc373227768"/>
      <w:bookmarkStart w:id="1356" w:name="_Toc247586342"/>
      <w:bookmarkStart w:id="1357" w:name="_Toc407135271"/>
      <w:bookmarkStart w:id="1358" w:name="_Toc373478415"/>
      <w:bookmarkStart w:id="1359" w:name="_Toc389065333"/>
      <w:bookmarkStart w:id="1360" w:name="_Toc78449857"/>
      <w:bookmarkStart w:id="1361" w:name="_Toc17936"/>
      <w:bookmarkStart w:id="1362" w:name="_Toc61078193"/>
      <w:r>
        <w:rPr>
          <w:rStyle w:val="19"/>
          <w:rFonts w:ascii="宋体" w:hAnsi="宋体" w:eastAsia="宋体" w:cs="Times New Roman"/>
          <w:b/>
          <w:bCs/>
          <w:color w:val="000000"/>
          <w:sz w:val="32"/>
          <w:szCs w:val="32"/>
          <w:highlight w:val="none"/>
          <w:lang w:val="zh-CN"/>
        </w:rPr>
        <w:t xml:space="preserve">16.2 </w:t>
      </w:r>
      <w:r>
        <w:rPr>
          <w:rStyle w:val="19"/>
          <w:rFonts w:hint="eastAsia" w:ascii="宋体" w:hAnsi="宋体" w:eastAsia="宋体" w:cs="黑体"/>
          <w:b/>
          <w:bCs/>
          <w:color w:val="000000"/>
          <w:sz w:val="32"/>
          <w:szCs w:val="32"/>
          <w:highlight w:val="none"/>
          <w:lang w:val="zh-CN"/>
        </w:rPr>
        <w:t>承包人违约</w:t>
      </w:r>
      <w:bookmarkEnd w:id="1355"/>
      <w:bookmarkEnd w:id="1356"/>
      <w:bookmarkEnd w:id="1357"/>
      <w:bookmarkEnd w:id="1358"/>
      <w:bookmarkEnd w:id="1359"/>
      <w:bookmarkEnd w:id="1360"/>
      <w:bookmarkEnd w:id="1361"/>
      <w:bookmarkEnd w:id="1362"/>
    </w:p>
    <w:p w14:paraId="5842C17E">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16.2.1 </w:t>
      </w:r>
      <w:r>
        <w:rPr>
          <w:rStyle w:val="19"/>
          <w:rFonts w:hint="eastAsia" w:ascii="宋体" w:hAnsi="宋体" w:eastAsia="宋体" w:cs="宋体"/>
          <w:color w:val="000000"/>
          <w:kern w:val="0"/>
          <w:highlight w:val="none"/>
        </w:rPr>
        <w:t>承包人违约的情形</w:t>
      </w:r>
    </w:p>
    <w:p w14:paraId="555F287B">
      <w:pPr>
        <w:pStyle w:val="89"/>
        <w:pageBreakBefore w:val="0"/>
        <w:numPr>
          <w:ilvl w:val="0"/>
          <w:numId w:val="0"/>
        </w:numPr>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lang w:eastAsia="zh-CN"/>
        </w:rPr>
        <w:t>（</w:t>
      </w:r>
      <w:r>
        <w:rPr>
          <w:rStyle w:val="19"/>
          <w:rFonts w:hint="eastAsia" w:ascii="宋体" w:hAnsi="宋体" w:eastAsia="宋体" w:cs="Times New Roman"/>
          <w:color w:val="000000"/>
          <w:kern w:val="0"/>
          <w:highlight w:val="none"/>
          <w:lang w:val="en-US" w:eastAsia="zh-CN"/>
        </w:rPr>
        <w:t>1</w:t>
      </w:r>
      <w:r>
        <w:rPr>
          <w:rStyle w:val="19"/>
          <w:rFonts w:hint="eastAsia" w:ascii="宋体" w:hAnsi="宋体" w:eastAsia="宋体" w:cs="Times New Roman"/>
          <w:color w:val="000000"/>
          <w:kern w:val="0"/>
          <w:highlight w:val="none"/>
          <w:lang w:eastAsia="zh-CN"/>
        </w:rPr>
        <w:t>）</w:t>
      </w:r>
      <w:r>
        <w:rPr>
          <w:rStyle w:val="19"/>
          <w:rFonts w:hint="eastAsia" w:ascii="宋体" w:hAnsi="宋体" w:eastAsia="宋体" w:cs="Times New Roman"/>
          <w:color w:val="000000"/>
          <w:kern w:val="0"/>
          <w:highlight w:val="none"/>
        </w:rPr>
        <w:t>承包人违反合同约定进行转包或违法分包的或承包人未按合同约定配合发包人对发包人支付给承包人的工程款的流向进行跟踪的；</w:t>
      </w:r>
    </w:p>
    <w:p w14:paraId="759D218F">
      <w:pPr>
        <w:pStyle w:val="89"/>
        <w:pageBreakBefore w:val="0"/>
        <w:numPr>
          <w:ilvl w:val="0"/>
          <w:numId w:val="0"/>
        </w:numPr>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lang w:eastAsia="zh-CN"/>
        </w:rPr>
        <w:t>（</w:t>
      </w:r>
      <w:r>
        <w:rPr>
          <w:rStyle w:val="19"/>
          <w:rFonts w:hint="eastAsia" w:ascii="宋体" w:hAnsi="宋体" w:eastAsia="宋体" w:cs="Times New Roman"/>
          <w:color w:val="000000"/>
          <w:kern w:val="0"/>
          <w:highlight w:val="none"/>
          <w:lang w:val="en-US" w:eastAsia="zh-CN"/>
        </w:rPr>
        <w:t>2</w:t>
      </w:r>
      <w:r>
        <w:rPr>
          <w:rStyle w:val="19"/>
          <w:rFonts w:hint="eastAsia" w:ascii="宋体" w:hAnsi="宋体" w:eastAsia="宋体" w:cs="Times New Roman"/>
          <w:color w:val="000000"/>
          <w:kern w:val="0"/>
          <w:highlight w:val="none"/>
          <w:lang w:eastAsia="zh-CN"/>
        </w:rPr>
        <w:t>）</w:t>
      </w:r>
      <w:r>
        <w:rPr>
          <w:rStyle w:val="19"/>
          <w:rFonts w:hint="eastAsia" w:ascii="宋体" w:hAnsi="宋体" w:eastAsia="宋体" w:cs="Times New Roman"/>
          <w:color w:val="000000"/>
          <w:kern w:val="0"/>
          <w:highlight w:val="none"/>
        </w:rPr>
        <w:t>承包人违反合同约定采购和使用不合格的材料和工程设备的；</w:t>
      </w:r>
    </w:p>
    <w:p w14:paraId="658F3FBF">
      <w:pPr>
        <w:pStyle w:val="89"/>
        <w:pageBreakBefore w:val="0"/>
        <w:numPr>
          <w:ilvl w:val="0"/>
          <w:numId w:val="0"/>
        </w:numPr>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lang w:eastAsia="zh-CN"/>
        </w:rPr>
        <w:t>（</w:t>
      </w:r>
      <w:r>
        <w:rPr>
          <w:rStyle w:val="19"/>
          <w:rFonts w:hint="eastAsia" w:ascii="宋体" w:hAnsi="宋体" w:eastAsia="宋体" w:cs="Times New Roman"/>
          <w:color w:val="000000"/>
          <w:kern w:val="0"/>
          <w:highlight w:val="none"/>
          <w:lang w:val="en-US" w:eastAsia="zh-CN"/>
        </w:rPr>
        <w:t>3</w:t>
      </w:r>
      <w:r>
        <w:rPr>
          <w:rStyle w:val="19"/>
          <w:rFonts w:hint="eastAsia" w:ascii="宋体" w:hAnsi="宋体" w:eastAsia="宋体" w:cs="Times New Roman"/>
          <w:color w:val="000000"/>
          <w:kern w:val="0"/>
          <w:highlight w:val="none"/>
          <w:lang w:eastAsia="zh-CN"/>
        </w:rPr>
        <w:t>）</w:t>
      </w:r>
      <w:r>
        <w:rPr>
          <w:rStyle w:val="19"/>
          <w:rFonts w:hint="eastAsia" w:ascii="宋体" w:hAnsi="宋体" w:eastAsia="宋体" w:cs="Times New Roman"/>
          <w:color w:val="000000"/>
          <w:kern w:val="0"/>
          <w:highlight w:val="none"/>
        </w:rPr>
        <w:t>因承包人原因导致工程质量不符合合同要求的；</w:t>
      </w:r>
    </w:p>
    <w:p w14:paraId="54EC3474">
      <w:pPr>
        <w:pStyle w:val="89"/>
        <w:pageBreakBefore w:val="0"/>
        <w:kinsoku/>
        <w:wordWrap/>
        <w:overflowPunct/>
        <w:topLinePunct w:val="0"/>
        <w:bidi w:val="0"/>
        <w:spacing w:line="360" w:lineRule="auto"/>
        <w:ind w:left="420" w:leftChars="200"/>
        <w:jc w:val="left"/>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（4）承包人违反第8款〔材料与设备专用要求〕的约定，未经批准，私自将已按照合同约定进入施工现场的材料或设备撤离施工现场的；</w:t>
      </w:r>
    </w:p>
    <w:p w14:paraId="15E0DC7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（5）承包人未能按施工进度计划及时完成合同约定的工作，造成工期延误的；</w:t>
      </w:r>
    </w:p>
    <w:p w14:paraId="3B5217B1">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（6）承包人在缺陷责任期及保修期内，未能在合理期限对工程缺陷进行修复，或拒绝按发包人要求进行修复的；</w:t>
      </w:r>
    </w:p>
    <w:p w14:paraId="70B80F8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（7）承包人明确表示或者以其行为表明不履行合同主要义务的；</w:t>
      </w:r>
    </w:p>
    <w:p w14:paraId="2B817118">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（8）承包人未按联合体的协议的职责分工约定履行合同的（如承包人为联合体时）；</w:t>
      </w:r>
    </w:p>
    <w:p w14:paraId="569675C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（9）承包人未能按照合同约定履行其他义务的。</w:t>
      </w:r>
    </w:p>
    <w:p w14:paraId="396096FC">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承包人发生除本项第（7）目约定以外的其他违约情况时，监理人可向承包人发出整改通知，要求其在指定的期限内改正。</w:t>
      </w:r>
    </w:p>
    <w:p w14:paraId="6FE51A7B">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承包人违约的其他情形：承包人有违反《南宁市建设工程造价管理办法》（南宁市人民政府令2007年第5号）规定的，按规定给予处罚。</w:t>
      </w:r>
    </w:p>
    <w:p w14:paraId="2E7C2821">
      <w:pPr>
        <w:pStyle w:val="89"/>
        <w:pageBreakBefore w:val="0"/>
        <w:kinsoku/>
        <w:wordWrap/>
        <w:overflowPunct/>
        <w:topLinePunct w:val="0"/>
        <w:bidi w:val="0"/>
        <w:spacing w:line="360" w:lineRule="auto"/>
        <w:ind w:firstLine="420"/>
        <w:outlineLvl w:val="9"/>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1）承包人有违反南宁市建设主管部门相关规定的，承包人应向发包人支付5万元/次违约金，承包人有结算资料和竣工验收资料不全、不及时、不按约定清场、不给予或不配合分包管理等其他事项的，应按每违反一项5000元/日的标准向发包人支付违约金，直至</w:t>
      </w:r>
      <w:r>
        <w:rPr>
          <w:rStyle w:val="19"/>
          <w:rFonts w:hint="eastAsia" w:ascii="宋体" w:hAnsi="宋体" w:eastAsia="宋体" w:cs="Times New Roman"/>
          <w:color w:val="000000"/>
          <w:kern w:val="0"/>
          <w:highlight w:val="none"/>
          <w:lang w:val="en-US" w:eastAsia="zh-CN"/>
        </w:rPr>
        <w:t>按照合同约定</w:t>
      </w:r>
      <w:r>
        <w:rPr>
          <w:rStyle w:val="19"/>
          <w:rFonts w:hint="eastAsia" w:ascii="宋体" w:hAnsi="宋体" w:eastAsia="宋体" w:cs="Times New Roman"/>
          <w:color w:val="000000"/>
          <w:kern w:val="0"/>
          <w:highlight w:val="none"/>
        </w:rPr>
        <w:t>完成所有工作。</w:t>
      </w:r>
    </w:p>
    <w:p w14:paraId="118AF776">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 xml:space="preserve">（2）承包人未按上报的进度计划要求取得特种设备监督管理部门的验收证书的，应以每延误一天5000元/日的标准向发包人支付违约金，直至完成验收取证。   </w:t>
      </w:r>
    </w:p>
    <w:p w14:paraId="776E28ED">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16.2.2</w:t>
      </w:r>
      <w:r>
        <w:rPr>
          <w:rStyle w:val="19"/>
          <w:rFonts w:hint="eastAsia" w:ascii="宋体" w:hAnsi="宋体" w:eastAsia="宋体" w:cs="宋体"/>
          <w:color w:val="000000"/>
          <w:kern w:val="0"/>
          <w:highlight w:val="none"/>
        </w:rPr>
        <w:t>承包人违约的责任</w:t>
      </w:r>
    </w:p>
    <w:p w14:paraId="189DFF13">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承包人违约责任的承担方式和计算方法：</w:t>
      </w:r>
    </w:p>
    <w:p w14:paraId="1C5CE336">
      <w:pPr>
        <w:pStyle w:val="89"/>
        <w:pageBreakBefore w:val="0"/>
        <w:kinsoku/>
        <w:wordWrap/>
        <w:overflowPunct/>
        <w:topLinePunct w:val="0"/>
        <w:bidi w:val="0"/>
        <w:snapToGrid w:val="0"/>
        <w:spacing w:line="360" w:lineRule="auto"/>
        <w:ind w:firstLine="420" w:firstLineChars="200"/>
        <w:outlineLvl w:val="9"/>
        <w:rPr>
          <w:rStyle w:val="19"/>
          <w:rFonts w:ascii="宋体" w:hAnsi="宋体" w:eastAsia="宋体" w:cs="宋体;SimSun"/>
          <w:bCs/>
          <w:color w:val="000000"/>
          <w:highlight w:val="none"/>
        </w:rPr>
      </w:pPr>
      <w:r>
        <w:rPr>
          <w:rStyle w:val="19"/>
          <w:rFonts w:ascii="宋体" w:hAnsi="宋体" w:eastAsia="宋体" w:cs="宋体;SimSun"/>
          <w:color w:val="000000"/>
          <w:highlight w:val="none"/>
        </w:rPr>
        <w:t>（1）承包人出现本合同通用条款第16.2.1项第（2）目 约定的违约情形，按本合同通用条款第</w:t>
      </w:r>
      <w:r>
        <w:rPr>
          <w:rStyle w:val="19"/>
          <w:rFonts w:ascii="宋体" w:hAnsi="宋体" w:eastAsia="宋体" w:cs="Times New Roman"/>
          <w:color w:val="000000"/>
          <w:highlight w:val="none"/>
        </w:rPr>
        <w:t>8.5.1、8.5.2项处理。违约情形</w:t>
      </w:r>
      <w:r>
        <w:rPr>
          <w:rStyle w:val="19"/>
          <w:rFonts w:ascii="宋体" w:hAnsi="宋体" w:eastAsia="宋体" w:cs="宋体;SimSun"/>
          <w:bCs/>
          <w:color w:val="000000"/>
          <w:highlight w:val="none"/>
        </w:rPr>
        <w:t>还包括：施工现场堆放或正在使用的建筑、装修、水电等材料必须为招标清单中明确的参考品牌之一，如发现其品牌、品种、规格、型号不是合同、清单约定的参考品牌及等级，或其性能参数指标不符合国家及有关规范、标准的要求，或被相关部门认定为假冒伪劣产品，</w:t>
      </w:r>
      <w:r>
        <w:rPr>
          <w:rStyle w:val="19"/>
          <w:rFonts w:hint="eastAsia" w:ascii="宋体" w:hAnsi="宋体" w:eastAsia="宋体" w:cs="宋体;SimSun"/>
          <w:bCs/>
          <w:color w:val="000000"/>
          <w:highlight w:val="none"/>
        </w:rPr>
        <w:t>每发现一次处违约金10000元/次（人民币），且</w:t>
      </w:r>
      <w:r>
        <w:rPr>
          <w:rStyle w:val="19"/>
          <w:rFonts w:ascii="宋体" w:hAnsi="宋体" w:eastAsia="宋体" w:cs="宋体;SimSun"/>
          <w:bCs/>
          <w:color w:val="000000"/>
          <w:highlight w:val="none"/>
        </w:rPr>
        <w:t>承包人必须将相应材料清退出场。如不退场，发包人将在付款和结算时扣除涉及此材料的相应清单项目的全部费用，承包人还须承担由此产生的相应后果。</w:t>
      </w:r>
    </w:p>
    <w:p w14:paraId="5B22F0C0">
      <w:pPr>
        <w:pStyle w:val="89"/>
        <w:pageBreakBefore w:val="0"/>
        <w:kinsoku/>
        <w:wordWrap/>
        <w:overflowPunct/>
        <w:topLinePunct w:val="0"/>
        <w:bidi w:val="0"/>
        <w:snapToGrid w:val="0"/>
        <w:spacing w:line="360" w:lineRule="auto"/>
        <w:ind w:firstLine="420" w:firstLineChars="200"/>
        <w:outlineLvl w:val="9"/>
        <w:rPr>
          <w:rStyle w:val="19"/>
          <w:rFonts w:ascii="宋体" w:hAnsi="宋体" w:eastAsia="宋体" w:cs="宋体;SimSun"/>
          <w:bCs/>
          <w:color w:val="000000"/>
          <w:highlight w:val="none"/>
        </w:rPr>
      </w:pPr>
      <w:r>
        <w:rPr>
          <w:rStyle w:val="19"/>
          <w:rFonts w:hint="eastAsia" w:ascii="宋体" w:hAnsi="宋体" w:eastAsia="宋体" w:cs="宋体;SimSun"/>
          <w:bCs/>
          <w:color w:val="000000"/>
          <w:highlight w:val="none"/>
        </w:rPr>
        <w:t>（2）承包人出现本合同通用条款第16.2.1项第（3）目约定的违约情形，承包人无条件在发包人（含监理人）规定的时间内返工整改至工程质量符合合同要求，并承担相关费用，逾期未完成的，每延期一天，处违约金1000元/天•次（人民币）；同一整改内容出现2次以上的，处违约金2000-5000元/•次（人民币）。如承包人拒不整改，发包人将在付款和结算时扣除涉及未整改的相应清单项目的全部费用，承包人还须承担由此产生的后果。</w:t>
      </w:r>
    </w:p>
    <w:p w14:paraId="2D03874B">
      <w:pPr>
        <w:pStyle w:val="89"/>
        <w:pageBreakBefore w:val="0"/>
        <w:kinsoku/>
        <w:wordWrap/>
        <w:overflowPunct/>
        <w:topLinePunct w:val="0"/>
        <w:bidi w:val="0"/>
        <w:snapToGrid w:val="0"/>
        <w:spacing w:line="360" w:lineRule="auto"/>
        <w:ind w:firstLine="420"/>
        <w:outlineLvl w:val="9"/>
        <w:rPr>
          <w:rStyle w:val="19"/>
          <w:rFonts w:ascii="宋体" w:hAnsi="宋体" w:eastAsia="宋体" w:cs="宋体;SimSun"/>
          <w:bCs/>
          <w:color w:val="000000"/>
          <w:highlight w:val="none"/>
        </w:rPr>
      </w:pPr>
      <w:r>
        <w:rPr>
          <w:rStyle w:val="19"/>
          <w:rFonts w:hint="eastAsia" w:ascii="宋体" w:hAnsi="宋体" w:eastAsia="宋体" w:cs="宋体;SimSun"/>
          <w:bCs/>
          <w:color w:val="000000"/>
          <w:highlight w:val="none"/>
        </w:rPr>
        <w:t>（3）承包人不按设计图纸和施工规范施工的每被发现一次，处违约金5000-20000元/次（人民币）；存在明显的施工质量问题的每被发现一次，处违约金5000-100000元/次（人民币），并由承包人负责相关整改工作；工程存在明显的施工质量缺陷的，发包人视情况对承包人处</w:t>
      </w:r>
      <w:r>
        <w:rPr>
          <w:rStyle w:val="19"/>
          <w:rFonts w:hint="eastAsia" w:ascii="宋体" w:hAnsi="宋体" w:eastAsia="宋体" w:cs="宋体;SimSun"/>
          <w:bCs/>
          <w:color w:val="000000"/>
          <w:highlight w:val="none"/>
          <w:lang w:val="en-US" w:eastAsia="zh-CN"/>
        </w:rPr>
        <w:t>违约</w:t>
      </w:r>
      <w:r>
        <w:rPr>
          <w:rStyle w:val="19"/>
          <w:rFonts w:hint="eastAsia" w:ascii="宋体" w:hAnsi="宋体" w:eastAsia="宋体" w:cs="宋体;SimSun"/>
          <w:bCs/>
          <w:color w:val="000000"/>
          <w:highlight w:val="none"/>
        </w:rPr>
        <w:t>金1000-5000元/处（人民币），并由承包人负责相关整改工作。</w:t>
      </w:r>
    </w:p>
    <w:p w14:paraId="1BAAA4C3">
      <w:pPr>
        <w:pStyle w:val="89"/>
        <w:pageBreakBefore w:val="0"/>
        <w:kinsoku/>
        <w:wordWrap/>
        <w:overflowPunct/>
        <w:topLinePunct w:val="0"/>
        <w:bidi w:val="0"/>
        <w:snapToGrid w:val="0"/>
        <w:spacing w:line="360" w:lineRule="auto"/>
        <w:ind w:firstLine="420"/>
        <w:outlineLvl w:val="9"/>
        <w:rPr>
          <w:rStyle w:val="19"/>
          <w:rFonts w:ascii="宋体" w:hAnsi="宋体" w:eastAsia="宋体" w:cs="宋体;SimSun"/>
          <w:bCs/>
          <w:color w:val="000000"/>
          <w:highlight w:val="none"/>
        </w:rPr>
      </w:pPr>
      <w:r>
        <w:rPr>
          <w:rStyle w:val="19"/>
          <w:rFonts w:hint="eastAsia" w:ascii="宋体" w:hAnsi="宋体" w:eastAsia="宋体" w:cs="宋体;SimSun"/>
          <w:bCs/>
          <w:color w:val="000000"/>
          <w:highlight w:val="none"/>
        </w:rPr>
        <w:t xml:space="preserve">（4）前道工序未经监理人、发包人检查验收确认，承包人擅自进入下一道工序施工的，处违约金1000元/次（人民币）。 </w:t>
      </w:r>
    </w:p>
    <w:p w14:paraId="66467947">
      <w:pPr>
        <w:pStyle w:val="89"/>
        <w:pageBreakBefore w:val="0"/>
        <w:kinsoku/>
        <w:wordWrap/>
        <w:overflowPunct/>
        <w:topLinePunct w:val="0"/>
        <w:bidi w:val="0"/>
        <w:snapToGrid w:val="0"/>
        <w:spacing w:line="360" w:lineRule="auto"/>
        <w:ind w:firstLine="420"/>
        <w:outlineLvl w:val="9"/>
        <w:rPr>
          <w:rStyle w:val="19"/>
          <w:rFonts w:ascii="宋体" w:hAnsi="宋体" w:eastAsia="宋体" w:cs="宋体;SimSun"/>
          <w:bCs/>
          <w:color w:val="000000"/>
          <w:highlight w:val="none"/>
        </w:rPr>
      </w:pPr>
      <w:r>
        <w:rPr>
          <w:rStyle w:val="19"/>
          <w:rFonts w:hint="eastAsia" w:ascii="宋体" w:hAnsi="宋体" w:eastAsia="宋体" w:cs="宋体;SimSun"/>
          <w:bCs/>
          <w:color w:val="000000"/>
          <w:highlight w:val="none"/>
        </w:rPr>
        <w:t>（5）分部分项工程施工时，无专项施工方案，无书面技术交底，处违约金500元/次（人民币）。</w:t>
      </w:r>
    </w:p>
    <w:p w14:paraId="4C6470E7">
      <w:pPr>
        <w:pStyle w:val="89"/>
        <w:pageBreakBefore w:val="0"/>
        <w:kinsoku/>
        <w:wordWrap/>
        <w:overflowPunct/>
        <w:topLinePunct w:val="0"/>
        <w:bidi w:val="0"/>
        <w:snapToGrid w:val="0"/>
        <w:spacing w:line="360" w:lineRule="auto"/>
        <w:ind w:firstLine="420"/>
        <w:outlineLvl w:val="9"/>
        <w:rPr>
          <w:rStyle w:val="19"/>
          <w:rFonts w:ascii="宋体" w:hAnsi="宋体" w:eastAsia="宋体" w:cs="宋体;SimSun"/>
          <w:bCs/>
          <w:color w:val="000000"/>
          <w:highlight w:val="none"/>
        </w:rPr>
      </w:pPr>
      <w:r>
        <w:rPr>
          <w:rStyle w:val="19"/>
          <w:rFonts w:hint="eastAsia" w:ascii="宋体" w:hAnsi="宋体" w:eastAsia="宋体" w:cs="宋体;SimSun"/>
          <w:bCs/>
          <w:color w:val="000000"/>
          <w:highlight w:val="none"/>
        </w:rPr>
        <w:t>（6）不按交底要求施工，处违约金500元/次（人民币）。</w:t>
      </w:r>
    </w:p>
    <w:p w14:paraId="5BA2ACC0">
      <w:pPr>
        <w:pStyle w:val="89"/>
        <w:pageBreakBefore w:val="0"/>
        <w:kinsoku/>
        <w:wordWrap/>
        <w:overflowPunct/>
        <w:topLinePunct w:val="0"/>
        <w:bidi w:val="0"/>
        <w:snapToGrid w:val="0"/>
        <w:spacing w:line="360" w:lineRule="auto"/>
        <w:ind w:firstLine="420"/>
        <w:outlineLvl w:val="9"/>
        <w:rPr>
          <w:rStyle w:val="19"/>
          <w:rFonts w:ascii="宋体" w:hAnsi="宋体" w:eastAsia="宋体" w:cs="宋体;SimSun"/>
          <w:bCs/>
          <w:color w:val="000000"/>
          <w:highlight w:val="none"/>
        </w:rPr>
      </w:pPr>
      <w:r>
        <w:rPr>
          <w:rStyle w:val="19"/>
          <w:rFonts w:hint="eastAsia" w:ascii="宋体" w:hAnsi="宋体" w:eastAsia="宋体" w:cs="宋体;SimSun"/>
          <w:bCs/>
          <w:color w:val="000000"/>
          <w:highlight w:val="none"/>
        </w:rPr>
        <w:t>（7）交底错误，未造成后果，处违约金500元/次；造成后果的视其严重程度处违约金1000-5000元/次（人民币）。</w:t>
      </w:r>
    </w:p>
    <w:p w14:paraId="182CE3B8">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w:t>
      </w:r>
      <w:r>
        <w:rPr>
          <w:rStyle w:val="19"/>
          <w:rFonts w:hint="eastAsia" w:ascii="宋体" w:hAnsi="宋体" w:eastAsia="宋体" w:cs="Times New Roman"/>
          <w:color w:val="000000"/>
          <w:kern w:val="0"/>
          <w:highlight w:val="none"/>
        </w:rPr>
        <w:t>8</w:t>
      </w:r>
      <w:r>
        <w:rPr>
          <w:rStyle w:val="19"/>
          <w:rFonts w:hint="eastAsia" w:ascii="宋体" w:hAnsi="宋体" w:eastAsia="宋体" w:cs="宋体"/>
          <w:color w:val="000000"/>
          <w:kern w:val="0"/>
          <w:highlight w:val="none"/>
        </w:rPr>
        <w:t>）承包人有本合同通用条款第</w:t>
      </w:r>
      <w:r>
        <w:rPr>
          <w:rStyle w:val="19"/>
          <w:rFonts w:ascii="宋体" w:hAnsi="宋体" w:eastAsia="宋体" w:cs="Times New Roman"/>
          <w:color w:val="000000"/>
          <w:kern w:val="0"/>
          <w:highlight w:val="none"/>
        </w:rPr>
        <w:t>16.2.1</w:t>
      </w: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6</w:t>
      </w:r>
      <w:r>
        <w:rPr>
          <w:rStyle w:val="19"/>
          <w:rFonts w:hint="eastAsia" w:ascii="宋体" w:hAnsi="宋体" w:eastAsia="宋体" w:cs="宋体"/>
          <w:color w:val="000000"/>
          <w:kern w:val="0"/>
          <w:highlight w:val="none"/>
        </w:rPr>
        <w:t>）条情形的，或经监理人检验认为修复质量不合格而承包人拒绝再进行修补的，发包人将扣除承包人全部质量保证金</w:t>
      </w:r>
      <w:r>
        <w:rPr>
          <w:rStyle w:val="19"/>
          <w:rFonts w:hint="eastAsia" w:ascii="宋体" w:hAnsi="宋体" w:eastAsia="宋体" w:cs="宋体"/>
          <w:color w:val="000000"/>
          <w:kern w:val="0"/>
          <w:highlight w:val="none"/>
          <w:lang w:eastAsia="zh-CN"/>
        </w:rPr>
        <w:t>，并有权委托第三方进行修复，因此产生的全部费用由承包人承担</w:t>
      </w:r>
      <w:r>
        <w:rPr>
          <w:rStyle w:val="19"/>
          <w:rFonts w:hint="eastAsia" w:ascii="宋体" w:hAnsi="宋体" w:eastAsia="宋体" w:cs="宋体"/>
          <w:color w:val="000000"/>
          <w:kern w:val="0"/>
          <w:highlight w:val="none"/>
        </w:rPr>
        <w:t>。</w:t>
      </w:r>
    </w:p>
    <w:p w14:paraId="63C67A55">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w:t>
      </w:r>
      <w:r>
        <w:rPr>
          <w:rStyle w:val="19"/>
          <w:rFonts w:hint="eastAsia" w:ascii="宋体" w:hAnsi="宋体" w:eastAsia="宋体" w:cs="Times New Roman"/>
          <w:color w:val="000000"/>
          <w:kern w:val="0"/>
          <w:highlight w:val="none"/>
        </w:rPr>
        <w:t>9</w:t>
      </w:r>
      <w:r>
        <w:rPr>
          <w:rStyle w:val="19"/>
          <w:rFonts w:hint="eastAsia" w:ascii="宋体" w:hAnsi="宋体" w:eastAsia="宋体" w:cs="宋体"/>
          <w:color w:val="000000"/>
          <w:kern w:val="0"/>
          <w:highlight w:val="none"/>
        </w:rPr>
        <w:t>）承包人有本专用合同条款</w:t>
      </w:r>
      <w:r>
        <w:rPr>
          <w:rStyle w:val="19"/>
          <w:rFonts w:ascii="宋体" w:hAnsi="宋体" w:eastAsia="宋体" w:cs="Times New Roman"/>
          <w:color w:val="000000"/>
          <w:kern w:val="0"/>
          <w:highlight w:val="none"/>
        </w:rPr>
        <w:t>3.2</w:t>
      </w:r>
      <w:r>
        <w:rPr>
          <w:rStyle w:val="19"/>
          <w:rFonts w:hint="eastAsia" w:ascii="宋体" w:hAnsi="宋体" w:eastAsia="宋体" w:cs="宋体"/>
          <w:color w:val="000000"/>
          <w:kern w:val="0"/>
          <w:highlight w:val="none"/>
        </w:rPr>
        <w:t>、</w:t>
      </w:r>
      <w:r>
        <w:rPr>
          <w:rStyle w:val="19"/>
          <w:rFonts w:ascii="宋体" w:hAnsi="宋体" w:eastAsia="宋体" w:cs="Times New Roman"/>
          <w:color w:val="000000"/>
          <w:kern w:val="0"/>
          <w:highlight w:val="none"/>
        </w:rPr>
        <w:t>3.3</w:t>
      </w:r>
      <w:r>
        <w:rPr>
          <w:rStyle w:val="19"/>
          <w:rFonts w:hint="eastAsia" w:ascii="宋体" w:hAnsi="宋体" w:eastAsia="宋体" w:cs="宋体"/>
          <w:color w:val="000000"/>
          <w:kern w:val="0"/>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w:t>
      </w:r>
    </w:p>
    <w:p w14:paraId="5FFE5367">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10）承包人没有按照广西壮族自治区建筑工程安全文明施工措施项目清单内容（见桂建质〔2015〕16号文附件一）中规定的文明施工与环境保护、临时设施、安全施工、其他类别等要求执行，按1000元/项（人民币）从安全文明施工费中扣除。现场围挡封闭项目不符合规定要求，按2000元/项（人民币）从安全文明施工费中扣除。</w:t>
      </w:r>
    </w:p>
    <w:p w14:paraId="3E8228F8">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（11）严禁施工人员酒后上岗，违者按3000元/次•人（人民币）从安全文明施工费中扣除，并停止作业。</w:t>
      </w:r>
    </w:p>
    <w:p w14:paraId="3D0A42F7">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（12）特殊作业工种必须持证上岗，违者按10000元/人•次（人民币）从安全文明施工费中扣除。</w:t>
      </w:r>
    </w:p>
    <w:p w14:paraId="207F66AC">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（13）严禁从高处往下抛物或倒垃圾，违者按5000元/次（人民币）从安全文明施工费中扣除。</w:t>
      </w:r>
    </w:p>
    <w:p w14:paraId="1DB0D079">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（14）承包人施工现场必须听从发包人代表正确的劝阻、指正，违者按1000元/次（人民币）从安全文明施工费中扣除。</w:t>
      </w:r>
    </w:p>
    <w:p w14:paraId="1344685C">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15）塔吊、物料提升机、施工电梯等未按规定完成备案擅自使用的，违者按10000元/项（人民币）从安全文明施工费中扣除。未能限期完成备案，影响施工进度，违者按500元/项•天（人民币）从安全文明施工费中扣除。</w:t>
      </w:r>
    </w:p>
    <w:p w14:paraId="71EB8006">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（16）物料平台、脚手架、支撑架体等搭设不符合规定要求的，按2000元/次（人民币）从安全文明施工费中扣除。</w:t>
      </w:r>
    </w:p>
    <w:p w14:paraId="0BB90019">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（17）施工现场内严禁随地大小便，违者按200元/次（人民币）从安全文明施工费中扣除。</w:t>
      </w:r>
    </w:p>
    <w:p w14:paraId="7EBBAE61">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（18）严禁小孩进入施工现场，违者按1000元/次（人民币）从安全文明施工费中扣除。</w:t>
      </w:r>
    </w:p>
    <w:p w14:paraId="4CF9D2F0">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（19）承包人在收到发包人书面整改通知后3天内没有整改完毕的，每延期一天按10000元（人民币）从安全文明施工费中扣除，并扣减相关的安全文明施工与环境保护措施费。</w:t>
      </w:r>
    </w:p>
    <w:p w14:paraId="22720C55">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（20）承包人拒收或拖延执行“安全隐患整改通知书”内容，按5000元/次（人民币）从安全文明施工费中扣除。</w:t>
      </w:r>
    </w:p>
    <w:p w14:paraId="68F0A1C7">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（21）因承包人原因发生人身、火灾等安全事故，视情节发包人按10000元—300000元/次（人民币）从安全文明施工费中扣除</w:t>
      </w:r>
      <w:r>
        <w:rPr>
          <w:rStyle w:val="19"/>
          <w:rFonts w:hint="eastAsia" w:ascii="宋体" w:hAnsi="宋体" w:eastAsia="宋体" w:cs="宋体"/>
          <w:color w:val="000000"/>
          <w:kern w:val="0"/>
          <w:highlight w:val="none"/>
          <w:lang w:eastAsia="zh-CN"/>
        </w:rPr>
        <w:t>；前述事故此引起的人身财产赔偿责任由承包人负责，因此导致发包人承担责任的，发包人承担责任后有权向承包人追偿，发包人因此向第三人应诉或追偿产生的诉讼费、律师费、保全费、诉讼财产保全责任险保险费、鉴定费、交通费等均由承包人承担</w:t>
      </w:r>
      <w:r>
        <w:rPr>
          <w:rStyle w:val="19"/>
          <w:rFonts w:hint="eastAsia" w:ascii="宋体" w:hAnsi="宋体" w:eastAsia="宋体" w:cs="宋体"/>
          <w:color w:val="000000"/>
          <w:kern w:val="0"/>
          <w:highlight w:val="none"/>
        </w:rPr>
        <w:t>。</w:t>
      </w:r>
    </w:p>
    <w:p w14:paraId="22E4DDED">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宋体"/>
          <w:color w:val="000000"/>
          <w:kern w:val="0"/>
          <w:highlight w:val="none"/>
        </w:rPr>
      </w:pPr>
      <w:r>
        <w:rPr>
          <w:rStyle w:val="19"/>
          <w:rFonts w:hint="eastAsia" w:ascii="宋体" w:hAnsi="宋体" w:eastAsia="宋体" w:cs="宋体"/>
          <w:color w:val="000000"/>
          <w:kern w:val="0"/>
          <w:highlight w:val="none"/>
        </w:rPr>
        <w:t>（22）承包人扬尘防治达不到《南宁市扬尘污染防治条例》要求的，每次扣除扬尘防治费的20%。</w:t>
      </w:r>
    </w:p>
    <w:p w14:paraId="1BF37D9D">
      <w:pPr>
        <w:pStyle w:val="89"/>
        <w:pageBreakBefore w:val="0"/>
        <w:kinsoku/>
        <w:wordWrap/>
        <w:overflowPunct/>
        <w:topLinePunct w:val="0"/>
        <w:bidi w:val="0"/>
        <w:spacing w:line="360" w:lineRule="auto"/>
        <w:ind w:firstLine="420" w:firstLineChars="200"/>
        <w:jc w:val="left"/>
        <w:outlineLvl w:val="9"/>
        <w:rPr>
          <w:rStyle w:val="19"/>
          <w:rFonts w:hint="eastAsia" w:ascii="宋体" w:hAnsi="宋体" w:eastAsia="宋体" w:cs="宋体"/>
          <w:color w:val="000000"/>
          <w:kern w:val="0"/>
          <w:highlight w:val="none"/>
        </w:rPr>
      </w:pPr>
      <w:r>
        <w:rPr>
          <w:rStyle w:val="19"/>
          <w:rFonts w:hint="eastAsia" w:ascii="宋体" w:hAnsi="宋体" w:eastAsia="宋体" w:cs="宋体"/>
          <w:color w:val="000000"/>
          <w:kern w:val="0"/>
          <w:highlight w:val="none"/>
        </w:rPr>
        <w:t>（</w:t>
      </w:r>
      <w:r>
        <w:rPr>
          <w:rStyle w:val="19"/>
          <w:rFonts w:ascii="宋体" w:hAnsi="宋体" w:eastAsia="宋体" w:cs="宋体"/>
          <w:color w:val="000000"/>
          <w:kern w:val="0"/>
          <w:highlight w:val="none"/>
        </w:rPr>
        <w:t>23</w:t>
      </w:r>
      <w:r>
        <w:rPr>
          <w:rStyle w:val="19"/>
          <w:rFonts w:hint="eastAsia" w:ascii="宋体" w:hAnsi="宋体" w:eastAsia="宋体" w:cs="宋体"/>
          <w:color w:val="000000"/>
          <w:kern w:val="0"/>
          <w:highlight w:val="none"/>
        </w:rPr>
        <w:t>）在项目施工过程中，监理人、发包人有权对实际施工进度与施工进度计划进行比对，如因承包人原因导致未能按施工进度计划及时完成合同约定的工作，造成该分部工程工期延误的，监理人可向承包人发出整改通知，要求其在指定期限内改正，所涉及的赶工费由承包人承担。如发现在桩基工程、地下主体结构、地上主体结构等关键工作节点出现工期延误的，发包人有权暂扣当期实际应支付的工程价款的10%，待实际进度与计划进度相符后再支付，最终因承包人原因造成工期延误的，逾期竣工违约金的上限按照专用条款第7.5.2 执行。</w:t>
      </w:r>
    </w:p>
    <w:p w14:paraId="36F12793">
      <w:pPr>
        <w:pStyle w:val="89"/>
        <w:pageBreakBefore w:val="0"/>
        <w:kinsoku/>
        <w:wordWrap/>
        <w:overflowPunct/>
        <w:topLinePunct w:val="0"/>
        <w:bidi w:val="0"/>
        <w:spacing w:line="360" w:lineRule="auto"/>
        <w:ind w:firstLine="420" w:firstLineChars="200"/>
        <w:jc w:val="left"/>
        <w:outlineLvl w:val="9"/>
        <w:rPr>
          <w:rStyle w:val="19"/>
          <w:rFonts w:hint="eastAsia" w:ascii="宋体" w:hAnsi="宋体" w:eastAsia="宋体" w:cs="宋体"/>
          <w:color w:val="000000"/>
          <w:kern w:val="0"/>
          <w:highlight w:val="none"/>
        </w:rPr>
      </w:pPr>
      <w:r>
        <w:rPr>
          <w:rStyle w:val="19"/>
          <w:rFonts w:hint="eastAsia" w:ascii="宋体" w:hAnsi="宋体" w:eastAsia="宋体" w:cs="宋体"/>
          <w:color w:val="000000"/>
          <w:kern w:val="0"/>
          <w:highlight w:val="none"/>
        </w:rPr>
        <w:t>（24）若承包人、分包人在消防控制系统、停车场管理系统、医院收费系统等工程配套设施设备系统等工程使用必备系统中，设置了相关限制条件或系统bug，导致发包人不能正常使用相关设施设备的，视为承包人违约，发包人可以视情节严重程度，按100000元-300000元/次要求承包人支付违约金，并可在工程款支付时直接扣除该违约金。</w:t>
      </w:r>
    </w:p>
    <w:p w14:paraId="45B77F0D">
      <w:pPr>
        <w:pStyle w:val="89"/>
        <w:pageBreakBefore w:val="0"/>
        <w:kinsoku/>
        <w:wordWrap/>
        <w:overflowPunct/>
        <w:topLinePunct w:val="0"/>
        <w:bidi w:val="0"/>
        <w:spacing w:line="360" w:lineRule="auto"/>
        <w:ind w:firstLine="420" w:firstLineChars="200"/>
        <w:jc w:val="left"/>
        <w:outlineLvl w:val="9"/>
        <w:rPr>
          <w:rStyle w:val="19"/>
          <w:rFonts w:hint="eastAsia" w:ascii="宋体" w:hAnsi="宋体" w:eastAsia="宋体" w:cs="宋体"/>
          <w:color w:val="000000"/>
          <w:kern w:val="0"/>
          <w:highlight w:val="none"/>
        </w:rPr>
      </w:pPr>
      <w:r>
        <w:rPr>
          <w:rStyle w:val="19"/>
          <w:rFonts w:hint="eastAsia" w:ascii="宋体" w:hAnsi="宋体" w:eastAsia="宋体" w:cs="宋体"/>
          <w:color w:val="000000"/>
          <w:kern w:val="0"/>
          <w:highlight w:val="none"/>
        </w:rPr>
        <w:t>（25）承包人应承担施工安全保卫工作及非夜间施工照明的责任，承包人应采取一切合理的预防措施，防止人员伤亡、财产损失事故，费用由承包人承担。承包人生活设施及施工场应自费配备消防设备，禁止将火种带入施工现场,禁止将烟卷带入施工区域,防止火灾发生。甲方有权视严重程度处违约金，第一次检查发现烟头</w:t>
      </w:r>
      <w:r>
        <w:rPr>
          <w:rStyle w:val="19"/>
          <w:rFonts w:hint="eastAsia" w:ascii="宋体" w:hAnsi="宋体" w:eastAsia="宋体" w:cs="宋体"/>
          <w:color w:val="000000"/>
          <w:kern w:val="0"/>
          <w:highlight w:val="none"/>
          <w:lang w:val="en-US" w:eastAsia="zh-CN"/>
        </w:rPr>
        <w:t>处违约金</w:t>
      </w:r>
      <w:r>
        <w:rPr>
          <w:rStyle w:val="19"/>
          <w:rFonts w:hint="eastAsia" w:ascii="宋体" w:hAnsi="宋体" w:eastAsia="宋体" w:cs="宋体"/>
          <w:color w:val="000000"/>
          <w:kern w:val="0"/>
          <w:highlight w:val="none"/>
        </w:rPr>
        <w:t>500元/个，第二次检查发现烟头</w:t>
      </w:r>
      <w:r>
        <w:rPr>
          <w:rStyle w:val="19"/>
          <w:rFonts w:hint="eastAsia" w:ascii="宋体" w:hAnsi="宋体" w:eastAsia="宋体" w:cs="宋体"/>
          <w:color w:val="000000"/>
          <w:kern w:val="0"/>
          <w:highlight w:val="none"/>
          <w:lang w:val="en-US" w:eastAsia="zh-CN"/>
        </w:rPr>
        <w:t>处违约金</w:t>
      </w:r>
      <w:r>
        <w:rPr>
          <w:rStyle w:val="19"/>
          <w:rFonts w:hint="eastAsia" w:ascii="宋体" w:hAnsi="宋体" w:eastAsia="宋体" w:cs="宋体"/>
          <w:color w:val="000000"/>
          <w:kern w:val="0"/>
          <w:highlight w:val="none"/>
        </w:rPr>
        <w:t>1000元/个，第三次检查发现烟头</w:t>
      </w:r>
      <w:r>
        <w:rPr>
          <w:rStyle w:val="19"/>
          <w:rFonts w:hint="eastAsia" w:ascii="宋体" w:hAnsi="宋体" w:eastAsia="宋体" w:cs="宋体"/>
          <w:color w:val="000000"/>
          <w:kern w:val="0"/>
          <w:highlight w:val="none"/>
          <w:lang w:val="en-US" w:eastAsia="zh-CN"/>
        </w:rPr>
        <w:t>处违约金</w:t>
      </w:r>
      <w:r>
        <w:rPr>
          <w:rStyle w:val="19"/>
          <w:rFonts w:hint="eastAsia" w:ascii="宋体" w:hAnsi="宋体" w:eastAsia="宋体" w:cs="宋体"/>
          <w:color w:val="000000"/>
          <w:kern w:val="0"/>
          <w:highlight w:val="none"/>
        </w:rPr>
        <w:t>2000元/个。</w:t>
      </w:r>
    </w:p>
    <w:p w14:paraId="15316943">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16.2.3 </w:t>
      </w:r>
      <w:r>
        <w:rPr>
          <w:rStyle w:val="19"/>
          <w:rFonts w:hint="eastAsia" w:ascii="宋体" w:hAnsi="宋体" w:eastAsia="宋体" w:cs="宋体"/>
          <w:color w:val="000000"/>
          <w:highlight w:val="none"/>
        </w:rPr>
        <w:t>因承包人违约解除合同</w:t>
      </w:r>
    </w:p>
    <w:p w14:paraId="4CB3F44F">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宋体"/>
          <w:color w:val="000000"/>
          <w:kern w:val="0"/>
          <w:highlight w:val="none"/>
        </w:rPr>
        <w:t>关于承包人违约解除合同的特别约定：</w:t>
      </w:r>
      <w:r>
        <w:rPr>
          <w:rStyle w:val="19"/>
          <w:rFonts w:hint="eastAsia" w:ascii="宋体" w:hAnsi="宋体" w:eastAsia="宋体" w:cs="宋体"/>
          <w:color w:val="000000"/>
          <w:kern w:val="0"/>
          <w:highlight w:val="none"/>
          <w:u w:val="single"/>
        </w:rPr>
        <w:t>承包人有违反以下情况之一的，发包人有权解除合同，并没收其全部履约保证金</w:t>
      </w:r>
      <w:r>
        <w:rPr>
          <w:rStyle w:val="19"/>
          <w:rFonts w:hint="eastAsia" w:ascii="宋体" w:hAnsi="宋体" w:eastAsia="宋体" w:cs="宋体"/>
          <w:color w:val="000000"/>
          <w:kern w:val="0"/>
          <w:highlight w:val="none"/>
        </w:rPr>
        <w:t>。</w:t>
      </w:r>
    </w:p>
    <w:p w14:paraId="6A326088">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（1）</w:t>
      </w:r>
      <w:r>
        <w:rPr>
          <w:rStyle w:val="19"/>
          <w:rFonts w:hint="eastAsia" w:ascii="宋体" w:hAnsi="宋体" w:eastAsia="宋体" w:cs="宋体"/>
          <w:color w:val="000000"/>
          <w:kern w:val="0"/>
          <w:highlight w:val="none"/>
        </w:rPr>
        <w:t>承包人无正当理由不按开工通知的要求及时进场组织施工和不按签订协议书时商定的进度计划有效地开展施工准备，造成工期延误的；</w:t>
      </w:r>
    </w:p>
    <w:p w14:paraId="0C339741">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（2）</w:t>
      </w:r>
      <w:r>
        <w:rPr>
          <w:rStyle w:val="19"/>
          <w:rFonts w:hint="eastAsia" w:ascii="宋体" w:hAnsi="宋体" w:eastAsia="宋体" w:cs="宋体"/>
          <w:color w:val="000000"/>
          <w:kern w:val="0"/>
          <w:highlight w:val="none"/>
        </w:rPr>
        <w:t>承包人违反本合同通用条款第</w:t>
      </w:r>
      <w:r>
        <w:rPr>
          <w:rStyle w:val="19"/>
          <w:rFonts w:ascii="宋体" w:hAnsi="宋体" w:eastAsia="宋体" w:cs="Times New Roman"/>
          <w:color w:val="000000"/>
          <w:kern w:val="0"/>
          <w:highlight w:val="none"/>
        </w:rPr>
        <w:t>3.5</w:t>
      </w:r>
      <w:r>
        <w:rPr>
          <w:rStyle w:val="19"/>
          <w:rFonts w:hint="eastAsia" w:ascii="宋体" w:hAnsi="宋体" w:eastAsia="宋体" w:cs="宋体"/>
          <w:color w:val="000000"/>
          <w:kern w:val="0"/>
          <w:highlight w:val="none"/>
        </w:rPr>
        <w:t>条规定私自将合同或合同的任何部分或任何权利转让给其他人，或私自将工程或工程的一部分分包出去的；</w:t>
      </w:r>
    </w:p>
    <w:p w14:paraId="0F26E2A0">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（3）</w:t>
      </w:r>
      <w:r>
        <w:rPr>
          <w:rStyle w:val="19"/>
          <w:rFonts w:hint="eastAsia" w:ascii="宋体" w:hAnsi="宋体" w:eastAsia="宋体" w:cs="宋体"/>
          <w:color w:val="000000"/>
          <w:kern w:val="0"/>
          <w:highlight w:val="none"/>
        </w:rPr>
        <w:t>未经监理人批准，承包人私自将已按投标文件承诺进入工地的工程设备、施工设备、临时工程或材料撤离工地的；</w:t>
      </w:r>
    </w:p>
    <w:p w14:paraId="2823A3A9">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（4）</w:t>
      </w:r>
      <w:r>
        <w:rPr>
          <w:rStyle w:val="19"/>
          <w:rFonts w:hint="eastAsia" w:ascii="宋体" w:hAnsi="宋体" w:eastAsia="宋体" w:cs="宋体"/>
          <w:color w:val="000000"/>
          <w:kern w:val="0"/>
          <w:highlight w:val="none"/>
        </w:rPr>
        <w:t>由于承包人原因拒绝按合同进度计划及时完成合同规定的工程，而又未采取有效措施赶上进度，造成工期严重延误的；</w:t>
      </w:r>
    </w:p>
    <w:p w14:paraId="3B1942BE">
      <w:pPr>
        <w:pStyle w:val="89"/>
        <w:pageBreakBefore w:val="0"/>
        <w:kinsoku/>
        <w:wordWrap/>
        <w:overflowPunct/>
        <w:topLinePunct w:val="0"/>
        <w:bidi w:val="0"/>
        <w:spacing w:line="360" w:lineRule="auto"/>
        <w:ind w:firstLine="420" w:firstLineChars="200"/>
        <w:outlineLvl w:val="9"/>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（5）</w:t>
      </w:r>
      <w:r>
        <w:rPr>
          <w:rStyle w:val="19"/>
          <w:rFonts w:hint="eastAsia" w:ascii="宋体" w:hAnsi="宋体" w:eastAsia="宋体" w:cs="宋体"/>
          <w:color w:val="000000"/>
          <w:kern w:val="0"/>
          <w:highlight w:val="none"/>
        </w:rPr>
        <w:t>承包人否认合同有效或拒绝履行合同规定的承包人义务，或由于法律、财务等原因导致承包人无法继续履行或实质上已停止履行合同的义务的；</w:t>
      </w:r>
    </w:p>
    <w:p w14:paraId="01E52028">
      <w:pPr>
        <w:pStyle w:val="89"/>
        <w:pageBreakBefore w:val="0"/>
        <w:kinsoku/>
        <w:wordWrap/>
        <w:overflowPunct/>
        <w:topLinePunct w:val="0"/>
        <w:bidi w:val="0"/>
        <w:spacing w:line="360" w:lineRule="auto"/>
        <w:ind w:firstLine="420" w:firstLineChars="200"/>
        <w:outlineLvl w:val="9"/>
        <w:rPr>
          <w:rStyle w:val="19"/>
          <w:rFonts w:ascii="宋体" w:hAnsi="宋体" w:eastAsia="宋体" w:cs="Times New Roman"/>
          <w:color w:val="000000"/>
          <w:kern w:val="0"/>
          <w:highlight w:val="none"/>
        </w:rPr>
      </w:pPr>
      <w:r>
        <w:rPr>
          <w:rStyle w:val="19"/>
          <w:rFonts w:hint="eastAsia" w:ascii="宋体" w:hAnsi="宋体" w:eastAsia="宋体" w:cs="Times New Roman"/>
          <w:color w:val="000000"/>
          <w:kern w:val="0"/>
          <w:highlight w:val="none"/>
        </w:rPr>
        <w:t>（6）</w:t>
      </w:r>
      <w:r>
        <w:rPr>
          <w:rStyle w:val="19"/>
          <w:rFonts w:hint="eastAsia" w:ascii="宋体" w:hAnsi="宋体" w:eastAsia="宋体" w:cs="宋体"/>
          <w:color w:val="000000"/>
          <w:kern w:val="0"/>
          <w:highlight w:val="none"/>
        </w:rPr>
        <w:t>合同签订</w:t>
      </w:r>
      <w:r>
        <w:rPr>
          <w:rStyle w:val="19"/>
          <w:rFonts w:hint="eastAsia" w:ascii="宋体" w:hAnsi="宋体" w:eastAsia="宋体" w:cs="宋体"/>
          <w:color w:val="000000"/>
          <w:highlight w:val="none"/>
        </w:rPr>
        <w:t>且具备法定开工条件后</w:t>
      </w:r>
      <w:r>
        <w:rPr>
          <w:rStyle w:val="19"/>
          <w:rFonts w:hint="eastAsia" w:ascii="宋体" w:hAnsi="宋体" w:eastAsia="宋体" w:cs="宋体"/>
          <w:color w:val="000000"/>
          <w:kern w:val="0"/>
          <w:highlight w:val="none"/>
        </w:rPr>
        <w:t>之日起十五日内，承包人无法按合同规定及投标文件的承诺进场经监理工程师认可的该</w:t>
      </w:r>
      <w:r>
        <w:rPr>
          <w:rStyle w:val="19"/>
          <w:rFonts w:ascii="宋体" w:hAnsi="宋体" w:eastAsia="宋体" w:cs="宋体"/>
          <w:color w:val="000000"/>
          <w:kern w:val="0"/>
          <w:highlight w:val="none"/>
        </w:rPr>
        <w:t>施工</w:t>
      </w:r>
      <w:r>
        <w:rPr>
          <w:rStyle w:val="19"/>
          <w:rFonts w:hint="eastAsia" w:ascii="宋体" w:hAnsi="宋体" w:eastAsia="宋体" w:cs="宋体"/>
          <w:color w:val="000000"/>
          <w:kern w:val="0"/>
          <w:highlight w:val="none"/>
        </w:rPr>
        <w:t>阶段</w:t>
      </w:r>
      <w:r>
        <w:rPr>
          <w:rStyle w:val="19"/>
          <w:rFonts w:ascii="宋体" w:hAnsi="宋体" w:eastAsia="宋体" w:cs="宋体"/>
          <w:color w:val="000000"/>
          <w:kern w:val="0"/>
          <w:highlight w:val="none"/>
        </w:rPr>
        <w:t>应有的</w:t>
      </w:r>
      <w:r>
        <w:rPr>
          <w:rStyle w:val="19"/>
          <w:rFonts w:hint="eastAsia" w:ascii="宋体" w:hAnsi="宋体" w:eastAsia="宋体" w:cs="宋体"/>
          <w:color w:val="000000"/>
          <w:kern w:val="0"/>
          <w:highlight w:val="none"/>
        </w:rPr>
        <w:t>全部人员和机械的；</w:t>
      </w:r>
    </w:p>
    <w:p w14:paraId="0D36C36D">
      <w:pPr>
        <w:pStyle w:val="89"/>
        <w:pageBreakBefore w:val="0"/>
        <w:kinsoku/>
        <w:wordWrap/>
        <w:overflowPunct/>
        <w:topLinePunct w:val="0"/>
        <w:bidi w:val="0"/>
        <w:spacing w:line="360" w:lineRule="auto"/>
        <w:ind w:firstLine="420" w:firstLineChars="200"/>
        <w:outlineLvl w:val="9"/>
        <w:rPr>
          <w:rStyle w:val="19"/>
          <w:rFonts w:hint="eastAsia" w:ascii="宋体" w:hAnsi="宋体" w:cs="Times New Roman"/>
          <w:color w:val="000000"/>
          <w:highlight w:val="none"/>
          <w:lang w:eastAsia="zh-CN"/>
        </w:rPr>
      </w:pPr>
      <w:r>
        <w:rPr>
          <w:rStyle w:val="19"/>
          <w:rFonts w:hint="eastAsia" w:ascii="宋体" w:hAnsi="宋体" w:eastAsia="宋体" w:cs="Times New Roman"/>
          <w:color w:val="000000"/>
          <w:highlight w:val="none"/>
        </w:rPr>
        <w:t>（7）承包人为联合体中标的，在施工过程中，未按联合体协议书约定进行分工实施本工程的</w:t>
      </w:r>
      <w:r>
        <w:rPr>
          <w:rStyle w:val="19"/>
          <w:rFonts w:hint="eastAsia" w:ascii="宋体" w:hAnsi="宋体" w:cs="Times New Roman"/>
          <w:color w:val="000000"/>
          <w:highlight w:val="none"/>
          <w:lang w:eastAsia="zh-CN"/>
        </w:rPr>
        <w:t>；</w:t>
      </w:r>
    </w:p>
    <w:p w14:paraId="07C3FC21">
      <w:pPr>
        <w:pStyle w:val="89"/>
        <w:pageBreakBefore w:val="0"/>
        <w:kinsoku/>
        <w:wordWrap/>
        <w:overflowPunct/>
        <w:topLinePunct w:val="0"/>
        <w:bidi w:val="0"/>
        <w:spacing w:line="360" w:lineRule="auto"/>
        <w:ind w:firstLine="420" w:firstLineChars="200"/>
        <w:outlineLvl w:val="9"/>
        <w:rPr>
          <w:rStyle w:val="19"/>
          <w:rFonts w:hint="eastAsia" w:ascii="宋体" w:hAnsi="宋体" w:cs="Times New Roman"/>
          <w:color w:val="000000"/>
          <w:highlight w:val="none"/>
          <w:lang w:eastAsia="zh-CN"/>
        </w:rPr>
      </w:pPr>
      <w:r>
        <w:rPr>
          <w:rStyle w:val="19"/>
          <w:rFonts w:hint="eastAsia" w:ascii="宋体" w:hAnsi="宋体" w:eastAsia="宋体" w:cs="Times New Roman"/>
          <w:color w:val="000000"/>
          <w:highlight w:val="none"/>
        </w:rPr>
        <w:t>（8）本合同合同协议书、通用条款及专用条款约定的其他情形。</w:t>
      </w:r>
    </w:p>
    <w:p w14:paraId="3A2AEF14">
      <w:pPr>
        <w:pStyle w:val="89"/>
        <w:pageBreakBefore w:val="0"/>
        <w:kinsoku/>
        <w:wordWrap/>
        <w:overflowPunct/>
        <w:topLinePunct w:val="0"/>
        <w:bidi w:val="0"/>
        <w:spacing w:line="360" w:lineRule="auto"/>
        <w:ind w:firstLine="420" w:firstLineChars="200"/>
        <w:outlineLvl w:val="9"/>
        <w:rPr>
          <w:rStyle w:val="19"/>
          <w:rFonts w:ascii="Calibri" w:hAnsi="Calibri" w:eastAsia="宋体" w:cs="Times New Roman"/>
          <w:color w:val="000000"/>
          <w:highlight w:val="none"/>
        </w:rPr>
      </w:pPr>
      <w:r>
        <w:rPr>
          <w:rStyle w:val="19"/>
          <w:rFonts w:hint="eastAsia" w:ascii="宋体" w:hAnsi="宋体" w:eastAsia="宋体" w:cs="宋体"/>
          <w:color w:val="000000"/>
          <w:kern w:val="0"/>
          <w:highlight w:val="none"/>
        </w:rPr>
        <w:t>发包人继续使用承包人在施工现场的材料、设备、临时工程、承包人文件和由承包人或以其名义编制的其他文件的费用承担方式：</w:t>
      </w:r>
      <w:r>
        <w:rPr>
          <w:rStyle w:val="19"/>
          <w:rFonts w:hint="eastAsia" w:ascii="宋体" w:hAnsi="宋体" w:eastAsia="宋体" w:cs="宋体"/>
          <w:color w:val="000000"/>
          <w:kern w:val="0"/>
          <w:highlight w:val="none"/>
          <w:u w:val="single"/>
        </w:rPr>
        <w:t>发包人和承包人可协商解决费用承担问题，无法协商一致的，发包人发出清场通知之日起十日内，承包人应将施工现场的材料、设备无条件搬离，不得以任何理由拒不清场搬离，否则每延误一天承包人按工程总价款的千分之三向发包人支付逾期清场违约金</w:t>
      </w:r>
      <w:r>
        <w:rPr>
          <w:rStyle w:val="19"/>
          <w:rFonts w:hint="eastAsia" w:ascii="宋体" w:hAnsi="宋体" w:eastAsia="宋体" w:cs="宋体"/>
          <w:color w:val="000000"/>
          <w:kern w:val="0"/>
          <w:highlight w:val="none"/>
        </w:rPr>
        <w:t>。</w:t>
      </w:r>
    </w:p>
    <w:p w14:paraId="4BB16C25">
      <w:pPr>
        <w:pStyle w:val="89"/>
        <w:pageBreakBefore w:val="0"/>
        <w:widowControl/>
        <w:kinsoku/>
        <w:wordWrap/>
        <w:overflowPunct/>
        <w:topLinePunct w:val="0"/>
        <w:bidi w:val="0"/>
        <w:spacing w:before="100" w:beforeAutospacing="1" w:after="100" w:afterAutospacing="1"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16.2.4 因承包人违约解除合同后的处理</w:t>
      </w:r>
    </w:p>
    <w:p w14:paraId="35E106E5">
      <w:pPr>
        <w:pStyle w:val="89"/>
        <w:pageBreakBefore w:val="0"/>
        <w:widowControl/>
        <w:kinsoku/>
        <w:wordWrap/>
        <w:overflowPunct/>
        <w:topLinePunct w:val="0"/>
        <w:bidi w:val="0"/>
        <w:spacing w:line="360" w:lineRule="auto"/>
        <w:ind w:firstLine="420" w:firstLineChars="200"/>
        <w:jc w:val="left"/>
        <w:outlineLvl w:val="9"/>
        <w:rPr>
          <w:rStyle w:val="19"/>
          <w:rFonts w:hint="eastAsia" w:ascii="宋体" w:hAnsi="宋体" w:eastAsia="宋体" w:cs="宋体"/>
          <w:color w:val="000000"/>
          <w:kern w:val="0"/>
          <w:szCs w:val="21"/>
          <w:highlight w:val="none"/>
          <w:lang w:eastAsia="zh-CN"/>
        </w:rPr>
      </w:pPr>
      <w:r>
        <w:rPr>
          <w:rStyle w:val="19"/>
          <w:rFonts w:hint="eastAsia" w:ascii="宋体" w:hAnsi="宋体" w:eastAsia="宋体" w:cs="宋体"/>
          <w:color w:val="000000"/>
          <w:kern w:val="0"/>
          <w:szCs w:val="21"/>
          <w:highlight w:val="none"/>
        </w:rPr>
        <w:t>除通用条款第16.2.4条的约定外，当发包人根据本合同约定或法定事由要求解除合同时，承包人应在接到发包人解除合同的通知之日起10天内将人员、设备无条件撤离工地，并将施工现场、在建工程及工程资料完整地交给发包人。</w:t>
      </w:r>
      <w:r>
        <w:rPr>
          <w:rStyle w:val="19"/>
          <w:rFonts w:hint="eastAsia" w:ascii="宋体" w:hAnsi="宋体" w:eastAsia="宋体" w:cs="宋体"/>
          <w:color w:val="000000"/>
          <w:kern w:val="0"/>
          <w:szCs w:val="21"/>
          <w:highlight w:val="none"/>
          <w:lang w:val="en-US" w:eastAsia="zh-CN"/>
        </w:rPr>
        <w:t>如</w:t>
      </w:r>
      <w:r>
        <w:rPr>
          <w:rStyle w:val="19"/>
          <w:rFonts w:hint="eastAsia" w:ascii="宋体" w:hAnsi="宋体" w:eastAsia="宋体" w:cs="宋体"/>
          <w:color w:val="000000"/>
          <w:kern w:val="0"/>
          <w:szCs w:val="21"/>
          <w:highlight w:val="none"/>
          <w:lang w:eastAsia="zh-CN"/>
        </w:rPr>
        <w:t>发包人</w:t>
      </w:r>
      <w:r>
        <w:rPr>
          <w:rStyle w:val="19"/>
          <w:rFonts w:hint="eastAsia" w:ascii="宋体" w:hAnsi="宋体" w:eastAsia="宋体" w:cs="宋体"/>
          <w:color w:val="000000"/>
          <w:kern w:val="0"/>
          <w:szCs w:val="21"/>
          <w:highlight w:val="none"/>
          <w:lang w:val="en-US" w:eastAsia="zh-CN"/>
        </w:rPr>
        <w:t>拟</w:t>
      </w:r>
      <w:r>
        <w:rPr>
          <w:rStyle w:val="19"/>
          <w:rFonts w:hint="eastAsia" w:ascii="宋体" w:hAnsi="宋体" w:eastAsia="宋体" w:cs="宋体"/>
          <w:color w:val="000000"/>
          <w:kern w:val="0"/>
          <w:szCs w:val="21"/>
          <w:highlight w:val="none"/>
          <w:lang w:eastAsia="zh-CN"/>
        </w:rPr>
        <w:t>继续使用承包人在施工现场的材料、设备、临时工程、承包人文件和由承包人或以其名义编制的其他文件的，</w:t>
      </w:r>
      <w:r>
        <w:rPr>
          <w:rStyle w:val="19"/>
          <w:rFonts w:hint="eastAsia" w:ascii="宋体" w:hAnsi="宋体" w:eastAsia="宋体" w:cs="宋体"/>
          <w:color w:val="000000"/>
          <w:kern w:val="0"/>
          <w:szCs w:val="21"/>
          <w:highlight w:val="none"/>
          <w:lang w:val="en-US" w:eastAsia="zh-CN"/>
        </w:rPr>
        <w:t>发包人应当承担部分费用，具体金额由</w:t>
      </w:r>
      <w:r>
        <w:rPr>
          <w:rStyle w:val="19"/>
          <w:rFonts w:hint="eastAsia" w:ascii="宋体" w:hAnsi="宋体" w:eastAsia="宋体" w:cs="宋体"/>
          <w:color w:val="000000"/>
          <w:kern w:val="0"/>
          <w:szCs w:val="21"/>
          <w:highlight w:val="none"/>
          <w:lang w:eastAsia="zh-CN"/>
        </w:rPr>
        <w:t>发包人和承包人协商解决；</w:t>
      </w:r>
      <w:r>
        <w:rPr>
          <w:rStyle w:val="19"/>
          <w:rFonts w:hint="eastAsia" w:ascii="宋体" w:hAnsi="宋体" w:eastAsia="宋体" w:cs="宋体"/>
          <w:color w:val="000000"/>
          <w:kern w:val="0"/>
          <w:szCs w:val="21"/>
          <w:highlight w:val="none"/>
          <w:lang w:val="en-US" w:eastAsia="zh-CN"/>
        </w:rPr>
        <w:t>如</w:t>
      </w:r>
      <w:r>
        <w:rPr>
          <w:rStyle w:val="19"/>
          <w:rFonts w:hint="eastAsia" w:ascii="宋体" w:hAnsi="宋体" w:eastAsia="宋体" w:cs="宋体"/>
          <w:color w:val="000000"/>
          <w:kern w:val="0"/>
          <w:szCs w:val="21"/>
          <w:highlight w:val="none"/>
          <w:lang w:eastAsia="zh-CN"/>
        </w:rPr>
        <w:t>无法协商一致的，</w:t>
      </w:r>
      <w:r>
        <w:rPr>
          <w:rStyle w:val="19"/>
          <w:rFonts w:hint="eastAsia" w:ascii="宋体" w:hAnsi="宋体" w:eastAsia="宋体" w:cs="宋体"/>
          <w:color w:val="000000"/>
          <w:kern w:val="0"/>
          <w:szCs w:val="21"/>
          <w:highlight w:val="none"/>
          <w:lang w:val="en-US" w:eastAsia="zh-CN"/>
        </w:rPr>
        <w:t>承包人应在</w:t>
      </w:r>
      <w:r>
        <w:rPr>
          <w:rStyle w:val="19"/>
          <w:rFonts w:hint="eastAsia" w:ascii="宋体" w:hAnsi="宋体" w:eastAsia="宋体" w:cs="宋体"/>
          <w:color w:val="000000"/>
          <w:kern w:val="0"/>
          <w:szCs w:val="21"/>
          <w:highlight w:val="none"/>
          <w:lang w:eastAsia="zh-CN"/>
        </w:rPr>
        <w:t>发包人发出清场通知之日起十日内将施工现场的</w:t>
      </w:r>
      <w:r>
        <w:rPr>
          <w:rStyle w:val="19"/>
          <w:rFonts w:hint="eastAsia" w:ascii="宋体" w:hAnsi="宋体" w:eastAsia="宋体" w:cs="宋体"/>
          <w:color w:val="000000"/>
          <w:kern w:val="0"/>
          <w:szCs w:val="21"/>
          <w:highlight w:val="none"/>
          <w:lang w:val="en-US" w:eastAsia="zh-CN"/>
        </w:rPr>
        <w:t>人员、</w:t>
      </w:r>
      <w:r>
        <w:rPr>
          <w:rStyle w:val="19"/>
          <w:rFonts w:hint="eastAsia" w:ascii="宋体" w:hAnsi="宋体" w:eastAsia="宋体" w:cs="宋体"/>
          <w:color w:val="000000"/>
          <w:kern w:val="0"/>
          <w:szCs w:val="21"/>
          <w:highlight w:val="none"/>
          <w:lang w:eastAsia="zh-CN"/>
        </w:rPr>
        <w:t>材料、设备无条件</w:t>
      </w:r>
      <w:r>
        <w:rPr>
          <w:rStyle w:val="19"/>
          <w:rFonts w:hint="eastAsia" w:ascii="宋体" w:hAnsi="宋体" w:eastAsia="宋体" w:cs="宋体"/>
          <w:color w:val="000000"/>
          <w:kern w:val="0"/>
          <w:szCs w:val="21"/>
          <w:highlight w:val="none"/>
          <w:lang w:val="en-US" w:eastAsia="zh-CN"/>
        </w:rPr>
        <w:t>撤离公司并</w:t>
      </w:r>
      <w:r>
        <w:rPr>
          <w:rStyle w:val="19"/>
          <w:rFonts w:hint="eastAsia" w:ascii="宋体" w:hAnsi="宋体" w:eastAsia="宋体" w:cs="宋体"/>
          <w:color w:val="000000"/>
          <w:kern w:val="0"/>
          <w:szCs w:val="21"/>
          <w:highlight w:val="none"/>
          <w:lang w:eastAsia="zh-CN"/>
        </w:rPr>
        <w:t>将施工现场、在建工程及工程资料完整地交给发包人。</w:t>
      </w:r>
    </w:p>
    <w:p w14:paraId="0AC1A7AF">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发包人在接收场地及施工资料后，双方进行已完工程的质量检验、工程量认定及工程价款的结算。</w:t>
      </w:r>
    </w:p>
    <w:p w14:paraId="41F41E91">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承包人不积极配合进行质量检验、工程量认定及结算或者双方在合同解除后30日内未能就上述达成一致的，视为承包人同意发包人委托有资质的中介机构进行质量检验、工程量鉴定及工程价款的结算</w:t>
      </w:r>
      <w:r>
        <w:rPr>
          <w:rStyle w:val="19"/>
          <w:rFonts w:hint="eastAsia" w:ascii="宋体" w:hAnsi="宋体" w:eastAsia="宋体" w:cs="宋体"/>
          <w:color w:val="000000"/>
          <w:kern w:val="0"/>
          <w:szCs w:val="21"/>
          <w:highlight w:val="none"/>
          <w:lang w:eastAsia="zh-CN"/>
        </w:rPr>
        <w:t>（</w:t>
      </w:r>
      <w:r>
        <w:rPr>
          <w:rStyle w:val="19"/>
          <w:rFonts w:hint="eastAsia" w:ascii="宋体" w:hAnsi="宋体" w:eastAsia="宋体" w:cs="宋体"/>
          <w:color w:val="000000"/>
          <w:kern w:val="0"/>
          <w:szCs w:val="21"/>
          <w:highlight w:val="none"/>
          <w:lang w:val="en-US" w:eastAsia="zh-CN"/>
        </w:rPr>
        <w:t>如按财政评审有关文件规定项目需要进行财政投资评审的，则视为承包人同意发包人提交财政投资评审中心进行评审，工程量、工程价款最终以财政投资评审中心评审结果为准</w:t>
      </w:r>
      <w:r>
        <w:rPr>
          <w:rStyle w:val="19"/>
          <w:rFonts w:hint="eastAsia" w:ascii="宋体" w:hAnsi="宋体" w:eastAsia="宋体" w:cs="宋体"/>
          <w:color w:val="000000"/>
          <w:kern w:val="0"/>
          <w:szCs w:val="21"/>
          <w:highlight w:val="none"/>
          <w:lang w:eastAsia="zh-CN"/>
        </w:rPr>
        <w:t>）</w:t>
      </w:r>
      <w:r>
        <w:rPr>
          <w:rStyle w:val="19"/>
          <w:rFonts w:hint="eastAsia" w:ascii="宋体" w:hAnsi="宋体" w:eastAsia="宋体" w:cs="宋体"/>
          <w:color w:val="000000"/>
          <w:kern w:val="0"/>
          <w:szCs w:val="21"/>
          <w:highlight w:val="none"/>
        </w:rPr>
        <w:t>，及视为放弃对检验、鉴定</w:t>
      </w:r>
      <w:r>
        <w:rPr>
          <w:rStyle w:val="19"/>
          <w:rFonts w:hint="eastAsia" w:ascii="宋体" w:hAnsi="宋体" w:eastAsia="宋体" w:cs="宋体"/>
          <w:color w:val="000000"/>
          <w:kern w:val="0"/>
          <w:szCs w:val="21"/>
          <w:highlight w:val="none"/>
          <w:lang w:eastAsia="zh-CN"/>
        </w:rPr>
        <w:t>、</w:t>
      </w:r>
      <w:r>
        <w:rPr>
          <w:rStyle w:val="19"/>
          <w:rFonts w:hint="eastAsia" w:ascii="宋体" w:hAnsi="宋体" w:eastAsia="宋体" w:cs="宋体"/>
          <w:color w:val="000000"/>
          <w:kern w:val="0"/>
          <w:szCs w:val="21"/>
          <w:highlight w:val="none"/>
        </w:rPr>
        <w:t>结算</w:t>
      </w:r>
      <w:r>
        <w:rPr>
          <w:rStyle w:val="19"/>
          <w:rFonts w:hint="eastAsia" w:ascii="宋体" w:hAnsi="宋体" w:eastAsia="宋体" w:cs="宋体"/>
          <w:color w:val="000000"/>
          <w:kern w:val="0"/>
          <w:szCs w:val="21"/>
          <w:highlight w:val="none"/>
          <w:lang w:val="en-US" w:eastAsia="zh-CN"/>
        </w:rPr>
        <w:t>或评审</w:t>
      </w:r>
      <w:r>
        <w:rPr>
          <w:rStyle w:val="19"/>
          <w:rFonts w:hint="eastAsia" w:ascii="宋体" w:hAnsi="宋体" w:eastAsia="宋体" w:cs="宋体"/>
          <w:color w:val="000000"/>
          <w:kern w:val="0"/>
          <w:szCs w:val="21"/>
          <w:highlight w:val="none"/>
        </w:rPr>
        <w:t>结果提出异议的权力，鉴定费</w:t>
      </w:r>
      <w:r>
        <w:rPr>
          <w:rStyle w:val="19"/>
          <w:rFonts w:hint="eastAsia" w:ascii="宋体" w:hAnsi="宋体" w:eastAsia="宋体" w:cs="宋体"/>
          <w:color w:val="000000"/>
          <w:kern w:val="0"/>
          <w:szCs w:val="21"/>
          <w:highlight w:val="none"/>
          <w:lang w:eastAsia="zh-CN"/>
        </w:rPr>
        <w:t>（</w:t>
      </w:r>
      <w:r>
        <w:rPr>
          <w:rStyle w:val="19"/>
          <w:rFonts w:hint="eastAsia" w:ascii="宋体" w:hAnsi="宋体" w:eastAsia="宋体" w:cs="宋体"/>
          <w:color w:val="000000"/>
          <w:kern w:val="0"/>
          <w:szCs w:val="21"/>
          <w:highlight w:val="none"/>
          <w:lang w:val="en-US" w:eastAsia="zh-CN"/>
        </w:rPr>
        <w:t>评审费</w:t>
      </w:r>
      <w:r>
        <w:rPr>
          <w:rStyle w:val="19"/>
          <w:rFonts w:hint="eastAsia" w:ascii="宋体" w:hAnsi="宋体" w:eastAsia="宋体" w:cs="宋体"/>
          <w:color w:val="000000"/>
          <w:kern w:val="0"/>
          <w:szCs w:val="21"/>
          <w:highlight w:val="none"/>
          <w:lang w:eastAsia="zh-CN"/>
        </w:rPr>
        <w:t>）</w:t>
      </w:r>
      <w:r>
        <w:rPr>
          <w:rStyle w:val="19"/>
          <w:rFonts w:hint="eastAsia" w:ascii="宋体" w:hAnsi="宋体" w:eastAsia="宋体" w:cs="宋体"/>
          <w:color w:val="000000"/>
          <w:kern w:val="0"/>
          <w:szCs w:val="21"/>
          <w:highlight w:val="none"/>
        </w:rPr>
        <w:t>亦由承包人全额承担，并由发包人在应付款中抵扣。</w:t>
      </w:r>
    </w:p>
    <w:p w14:paraId="6066A1C1">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同时，发包人有权组织其他施工单位进场施工，承包人不得以任何方式阻挠。</w:t>
      </w:r>
    </w:p>
    <w:p w14:paraId="698BEE6E">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施工合同解除后，对于承包人已完成的合格工程量，按工程造价的70%结算工程款，对于承包人已完成但质量不合格的工程量，发包人不予以支付工程款。发包人有权以任何方式将全部或一部分工程改交他人承揽或施工，对此承包人不得异议，且应积极配合发包人办理工程报建等相关项目的变更登记手续。</w:t>
      </w:r>
    </w:p>
    <w:p w14:paraId="4288E1DA">
      <w:pPr>
        <w:pStyle w:val="89"/>
        <w:pageBreakBefore w:val="0"/>
        <w:widowControl/>
        <w:kinsoku/>
        <w:wordWrap/>
        <w:overflowPunct/>
        <w:topLinePunct w:val="0"/>
        <w:bidi w:val="0"/>
        <w:spacing w:before="100" w:beforeAutospacing="1" w:after="100" w:afterAutospacing="1"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16.2.</w:t>
      </w:r>
      <w:r>
        <w:rPr>
          <w:rStyle w:val="19"/>
          <w:rFonts w:hint="eastAsia" w:ascii="宋体" w:hAnsi="宋体" w:eastAsia="宋体" w:cs="宋体"/>
          <w:color w:val="000000"/>
          <w:kern w:val="0"/>
          <w:szCs w:val="21"/>
          <w:highlight w:val="none"/>
          <w:lang w:val="en-US" w:eastAsia="zh-CN"/>
        </w:rPr>
        <w:t>6</w:t>
      </w:r>
      <w:r>
        <w:rPr>
          <w:rStyle w:val="19"/>
          <w:rFonts w:hint="eastAsia" w:ascii="宋体" w:hAnsi="宋体" w:eastAsia="宋体" w:cs="宋体"/>
          <w:color w:val="000000"/>
          <w:kern w:val="0"/>
          <w:szCs w:val="21"/>
          <w:highlight w:val="none"/>
        </w:rPr>
        <w:t xml:space="preserve"> 其他</w:t>
      </w:r>
    </w:p>
    <w:p w14:paraId="0DFA0299">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w:t>
      </w:r>
      <w:r>
        <w:rPr>
          <w:rStyle w:val="19"/>
          <w:rFonts w:ascii="宋体" w:hAnsi="宋体" w:eastAsia="宋体" w:cs="宋体"/>
          <w:color w:val="000000"/>
          <w:kern w:val="0"/>
          <w:szCs w:val="21"/>
          <w:highlight w:val="none"/>
        </w:rPr>
        <w:t>1</w:t>
      </w:r>
      <w:r>
        <w:rPr>
          <w:rStyle w:val="19"/>
          <w:rFonts w:hint="eastAsia" w:ascii="宋体" w:hAnsi="宋体" w:eastAsia="宋体" w:cs="宋体"/>
          <w:color w:val="000000"/>
          <w:kern w:val="0"/>
          <w:szCs w:val="21"/>
          <w:highlight w:val="none"/>
        </w:rPr>
        <w:t>）如发现承包人提供不合格材料或未按图进行施工的，承包人需无偿更换不合格材料、无偿按施工图返工，并赔偿发包人因此而遭受的损失。如因此造成质量事故的，使发包人或第三方遭受损失，承包人应赔偿因此而遭受的损失，并承担相应的法律责任。</w:t>
      </w:r>
    </w:p>
    <w:p w14:paraId="01E43C9A">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w:t>
      </w:r>
      <w:r>
        <w:rPr>
          <w:rStyle w:val="19"/>
          <w:rFonts w:ascii="宋体" w:hAnsi="宋体" w:eastAsia="宋体" w:cs="宋体"/>
          <w:color w:val="000000"/>
          <w:kern w:val="0"/>
          <w:szCs w:val="21"/>
          <w:highlight w:val="none"/>
        </w:rPr>
        <w:t>2</w:t>
      </w:r>
      <w:r>
        <w:rPr>
          <w:rStyle w:val="19"/>
          <w:rFonts w:hint="eastAsia" w:ascii="宋体" w:hAnsi="宋体" w:eastAsia="宋体" w:cs="宋体"/>
          <w:color w:val="000000"/>
          <w:kern w:val="0"/>
          <w:szCs w:val="21"/>
          <w:highlight w:val="none"/>
        </w:rPr>
        <w:t>）承包人将未经报审或不合格的材料用于工程上，发包人有权视严重程度处罚5000～</w:t>
      </w:r>
      <w:r>
        <w:rPr>
          <w:rStyle w:val="19"/>
          <w:rFonts w:ascii="宋体" w:hAnsi="宋体" w:eastAsia="宋体" w:cs="宋体"/>
          <w:color w:val="000000"/>
          <w:kern w:val="0"/>
          <w:szCs w:val="21"/>
          <w:highlight w:val="none"/>
        </w:rPr>
        <w:t>1</w:t>
      </w:r>
      <w:r>
        <w:rPr>
          <w:rStyle w:val="19"/>
          <w:rFonts w:hint="eastAsia" w:ascii="宋体" w:hAnsi="宋体" w:eastAsia="宋体" w:cs="宋体"/>
          <w:color w:val="000000"/>
          <w:kern w:val="0"/>
          <w:szCs w:val="21"/>
          <w:highlight w:val="none"/>
        </w:rPr>
        <w:t>0000元/次。</w:t>
      </w:r>
    </w:p>
    <w:p w14:paraId="1F776ABE">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w:t>
      </w:r>
      <w:r>
        <w:rPr>
          <w:rStyle w:val="19"/>
          <w:rFonts w:ascii="宋体" w:hAnsi="宋体" w:eastAsia="宋体" w:cs="宋体"/>
          <w:color w:val="000000"/>
          <w:kern w:val="0"/>
          <w:szCs w:val="21"/>
          <w:highlight w:val="none"/>
        </w:rPr>
        <w:t>3</w:t>
      </w:r>
      <w:r>
        <w:rPr>
          <w:rStyle w:val="19"/>
          <w:rFonts w:hint="eastAsia" w:ascii="宋体" w:hAnsi="宋体" w:eastAsia="宋体" w:cs="宋体"/>
          <w:color w:val="000000"/>
          <w:kern w:val="0"/>
          <w:szCs w:val="21"/>
          <w:highlight w:val="none"/>
        </w:rPr>
        <w:t>）承包人未按要求及规范施工，造成工程质量缺陷或质量事故，发包人有权视严重程度处罚20000～50000元/次。</w:t>
      </w:r>
    </w:p>
    <w:p w14:paraId="76948347">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w:t>
      </w:r>
      <w:r>
        <w:rPr>
          <w:rStyle w:val="19"/>
          <w:rFonts w:ascii="宋体" w:hAnsi="宋体" w:eastAsia="宋体" w:cs="宋体"/>
          <w:color w:val="000000"/>
          <w:kern w:val="0"/>
          <w:szCs w:val="21"/>
          <w:highlight w:val="none"/>
        </w:rPr>
        <w:t>4</w:t>
      </w:r>
      <w:r>
        <w:rPr>
          <w:rStyle w:val="19"/>
          <w:rFonts w:hint="eastAsia" w:ascii="宋体" w:hAnsi="宋体" w:eastAsia="宋体" w:cs="宋体"/>
          <w:color w:val="000000"/>
          <w:kern w:val="0"/>
          <w:szCs w:val="21"/>
          <w:highlight w:val="none"/>
        </w:rPr>
        <w:t xml:space="preserve">）施工过程中，关键工序和隐蔽部位未经过报验就进行下道工序施工的，发包人有权视严重程度处罚2000～5000元/次。 </w:t>
      </w:r>
    </w:p>
    <w:p w14:paraId="7E446112">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w:t>
      </w:r>
      <w:r>
        <w:rPr>
          <w:rStyle w:val="19"/>
          <w:rFonts w:ascii="宋体" w:hAnsi="宋体" w:eastAsia="宋体" w:cs="宋体"/>
          <w:color w:val="000000"/>
          <w:kern w:val="0"/>
          <w:szCs w:val="21"/>
          <w:highlight w:val="none"/>
        </w:rPr>
        <w:t>5</w:t>
      </w:r>
      <w:r>
        <w:rPr>
          <w:rStyle w:val="19"/>
          <w:rFonts w:hint="eastAsia" w:ascii="宋体" w:hAnsi="宋体" w:eastAsia="宋体" w:cs="宋体"/>
          <w:color w:val="000000"/>
          <w:kern w:val="0"/>
          <w:szCs w:val="21"/>
          <w:highlight w:val="none"/>
        </w:rPr>
        <w:t>）承包人存在违反安全生产法律法规、标准规范及发包人的安全生产管理规定的行为、现象，经监理、发包人指出仍不按要求落实整改的，发包人有权视严重程度处罚2000～5000元/次。</w:t>
      </w:r>
    </w:p>
    <w:p w14:paraId="3855918B">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（7）周进度、月进度计划由于承包人自身原因未完成，且承包人未采取有效的赶工措施，发包人有权视严重程度处罚1000～5000元/次。</w:t>
      </w:r>
    </w:p>
    <w:p w14:paraId="26A950C2">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w:t>
      </w:r>
      <w:r>
        <w:rPr>
          <w:rStyle w:val="19"/>
          <w:rFonts w:ascii="宋体" w:hAnsi="宋体" w:eastAsia="宋体" w:cs="宋体"/>
          <w:color w:val="000000"/>
          <w:kern w:val="0"/>
          <w:szCs w:val="21"/>
          <w:highlight w:val="none"/>
        </w:rPr>
        <w:t>8</w:t>
      </w:r>
      <w:r>
        <w:rPr>
          <w:rStyle w:val="19"/>
          <w:rFonts w:hint="eastAsia" w:ascii="宋体" w:hAnsi="宋体" w:eastAsia="宋体" w:cs="宋体"/>
          <w:color w:val="000000"/>
          <w:kern w:val="0"/>
          <w:szCs w:val="21"/>
          <w:highlight w:val="none"/>
        </w:rPr>
        <w:t>）若因承包人自身管理不善、未及时支付农民工工资导致农民工围堵、投诉、上访、散步不良信息至电视等新闻媒体，对发包人社会形象造成不良影响，发包人有权视严重程度处罚</w:t>
      </w:r>
      <w:r>
        <w:rPr>
          <w:rStyle w:val="19"/>
          <w:rFonts w:ascii="宋体" w:hAnsi="宋体" w:eastAsia="宋体" w:cs="宋体"/>
          <w:color w:val="000000"/>
          <w:kern w:val="0"/>
          <w:szCs w:val="21"/>
          <w:highlight w:val="none"/>
        </w:rPr>
        <w:t>20000～50000</w:t>
      </w:r>
      <w:r>
        <w:rPr>
          <w:rStyle w:val="19"/>
          <w:rFonts w:hint="eastAsia" w:ascii="宋体" w:hAnsi="宋体" w:eastAsia="宋体" w:cs="宋体"/>
          <w:color w:val="000000"/>
          <w:kern w:val="0"/>
          <w:szCs w:val="21"/>
          <w:highlight w:val="none"/>
        </w:rPr>
        <w:t>元/次；性质恶劣的情况下，发包人有权按照本合同16.2.3约定解除合同。</w:t>
      </w:r>
    </w:p>
    <w:p w14:paraId="4C2BB7EC">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（9）承包人未按专用条款3.1款规定按时移交竣工资料的，</w:t>
      </w:r>
      <w:r>
        <w:rPr>
          <w:rStyle w:val="19"/>
          <w:rFonts w:hint="eastAsia" w:ascii="宋体" w:hAnsi="宋体" w:eastAsia="宋体" w:cs="宋体"/>
          <w:color w:val="000000"/>
          <w:kern w:val="0"/>
          <w:szCs w:val="21"/>
          <w:highlight w:val="none"/>
          <w:lang w:val="en-US" w:eastAsia="zh-CN"/>
        </w:rPr>
        <w:t>应按相关合同约定支付</w:t>
      </w:r>
      <w:r>
        <w:rPr>
          <w:rStyle w:val="19"/>
          <w:rFonts w:hint="eastAsia" w:ascii="宋体" w:hAnsi="宋体" w:eastAsia="宋体" w:cs="宋体"/>
          <w:color w:val="000000"/>
          <w:kern w:val="0"/>
          <w:szCs w:val="21"/>
          <w:highlight w:val="none"/>
        </w:rPr>
        <w:t>违约金；逾期超过20个工作日的，发包人有权另行采购工程资料整档服务，所产生的整档服务费由承包人承担。</w:t>
      </w:r>
    </w:p>
    <w:p w14:paraId="41DACC4E">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w:t>
      </w:r>
      <w:r>
        <w:rPr>
          <w:rStyle w:val="19"/>
          <w:rFonts w:ascii="宋体" w:hAnsi="宋体" w:eastAsia="宋体" w:cs="宋体"/>
          <w:color w:val="000000"/>
          <w:kern w:val="0"/>
          <w:szCs w:val="21"/>
          <w:highlight w:val="none"/>
        </w:rPr>
        <w:t>10</w:t>
      </w:r>
      <w:r>
        <w:rPr>
          <w:rStyle w:val="19"/>
          <w:rFonts w:hint="eastAsia" w:ascii="宋体" w:hAnsi="宋体" w:eastAsia="宋体" w:cs="宋体"/>
          <w:color w:val="000000"/>
          <w:kern w:val="0"/>
          <w:szCs w:val="21"/>
          <w:highlight w:val="none"/>
        </w:rPr>
        <w:t>）承包人负责所有新建与旧结构收边收口工作，须在拆除旧结构和新建结构前做好相应的保护措施，施工前需报施工方案呈监理、业主审批，经同意后方可开始施工，所产生的相关费用商务标中不论是否表明，包含于商务报价中。</w:t>
      </w:r>
    </w:p>
    <w:p w14:paraId="7BE12336">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w:t>
      </w:r>
      <w:r>
        <w:rPr>
          <w:rStyle w:val="19"/>
          <w:rFonts w:ascii="宋体" w:hAnsi="宋体" w:eastAsia="宋体" w:cs="宋体"/>
          <w:color w:val="000000"/>
          <w:kern w:val="0"/>
          <w:szCs w:val="21"/>
          <w:highlight w:val="none"/>
        </w:rPr>
        <w:t>11</w:t>
      </w:r>
      <w:r>
        <w:rPr>
          <w:rStyle w:val="19"/>
          <w:rFonts w:hint="eastAsia" w:ascii="宋体" w:hAnsi="宋体" w:eastAsia="宋体" w:cs="宋体"/>
          <w:color w:val="000000"/>
          <w:kern w:val="0"/>
          <w:szCs w:val="21"/>
          <w:highlight w:val="none"/>
        </w:rPr>
        <w:t>）本工程为正在运营的医院院区内的改造施工，承包人需要充分考虑材料运输路线及施工范围周边等一切相关区域的成品保护措施、院区内其他人员的安全保障措施，需充分考虑夜间施工带来的一切因果，需充分考虑院区内的材料运输和施工效率，所产生的相关费用商务标中不论是否表明，包含于商务报价中。</w:t>
      </w:r>
    </w:p>
    <w:p w14:paraId="645262EA">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12）承包人须按照医院总务、保卫科、宣传科等科室的要求做好相关配合工作，包括但不限于施工围挡需符合医院管理标准、施工场地的消防管理、施工人员的进出管理、施工机械及材料的堆放管理、建筑垃圾堆放和清运管理等，所产生的相关费用商务标中不论是否表明，包含于商务报价中。</w:t>
      </w:r>
    </w:p>
    <w:p w14:paraId="7E1E9950">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（13）施工现场未按要求做到工完场清，施工现场除集中堆放点外建筑垃圾未清理或通知后当天内仍不处理，甲方有权视严重程度处罚300～500元/处。</w:t>
      </w:r>
    </w:p>
    <w:p w14:paraId="48751441">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14）承包人对施工现场的安全生产负全责，凡在施工现场内（含生产现场和生活区）发生的高空坠落、物体打击、机械事故、触电、土方坍塌、管线折断、管线破裂、管线泄漏、消防火灾及其他类型的人员伤亡事故，以及民生政治、刑事、治安案件和食物中毒、疫情、职业危害、交通事故等非正常死亡，除依法追究肇事者和有关管理人员的责任外，一切由此引起的经济损失，及所造成的不良影响和后果均由承包人承担（发生不可抗力的灾害除外）。</w:t>
      </w:r>
      <w:r>
        <w:rPr>
          <w:rFonts w:hint="eastAsia" w:ascii="宋体" w:hAnsi="宋体" w:eastAsia="宋体" w:cs="宋体"/>
          <w:color w:val="000000"/>
          <w:highlight w:val="none"/>
          <w:lang w:eastAsia="zh-CN" w:bidi="ar-SA"/>
        </w:rPr>
        <w:t>承包人应保证发包人免于遭受与此有关的索赔、损害、赔偿及诉讼，若导致发包人需要承担责任，发包人有权向承包人追偿。</w:t>
      </w:r>
    </w:p>
    <w:p w14:paraId="7C1D8BF1">
      <w:pPr>
        <w:pStyle w:val="89"/>
        <w:pageBreakBefore w:val="0"/>
        <w:widowControl/>
        <w:kinsoku/>
        <w:wordWrap/>
        <w:overflowPunct/>
        <w:topLinePunct w:val="0"/>
        <w:bidi w:val="0"/>
        <w:spacing w:line="360" w:lineRule="auto"/>
        <w:ind w:firstLine="420" w:firstLineChars="200"/>
        <w:jc w:val="left"/>
        <w:outlineLvl w:val="9"/>
        <w:rPr>
          <w:rStyle w:val="19"/>
          <w:rFonts w:hint="eastAsia"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承包人作为施工现场安全生产责任主体，对施工范围内（含生产区、生活区）发生的安全生产事故、治安事件、公共卫生事件等承担全部法律责任及经济赔偿责任。包括但不限于：应急处理责任（事故响应、现场保护、医疗救助）、经济赔偿责任（伤亡赔偿、连带损失）、安全文明施工条款规定的违约金支付责任、家属善后义务、投保义务。</w:t>
      </w:r>
    </w:p>
    <w:p w14:paraId="3054B993">
      <w:pPr>
        <w:pStyle w:val="89"/>
        <w:pageBreakBefore w:val="0"/>
        <w:widowControl/>
        <w:kinsoku/>
        <w:wordWrap/>
        <w:overflowPunct/>
        <w:topLinePunct w:val="0"/>
        <w:bidi w:val="0"/>
        <w:spacing w:line="360" w:lineRule="auto"/>
        <w:ind w:firstLine="420" w:firstLineChars="200"/>
        <w:jc w:val="left"/>
        <w:outlineLvl w:val="9"/>
        <w:rPr>
          <w:rStyle w:val="19"/>
          <w:rFonts w:hint="eastAsia" w:ascii="宋体" w:hAnsi="宋体" w:eastAsia="宋体" w:cs="宋体"/>
          <w:color w:val="000000"/>
          <w:kern w:val="0"/>
          <w:szCs w:val="21"/>
          <w:highlight w:val="none"/>
          <w:lang w:eastAsia="zh-CN"/>
        </w:rPr>
      </w:pPr>
      <w:r>
        <w:rPr>
          <w:rStyle w:val="19"/>
          <w:rFonts w:hint="eastAsia" w:ascii="宋体" w:hAnsi="宋体" w:eastAsia="宋体" w:cs="宋体"/>
          <w:color w:val="000000"/>
          <w:kern w:val="0"/>
          <w:szCs w:val="21"/>
          <w:highlight w:val="none"/>
          <w:lang w:eastAsia="zh-CN"/>
        </w:rPr>
        <w:t>（16）发包人与承包人在本合同履行过程中发生纠纷的，承包人承诺合法维权，不得采用到发包人院区任何位置静坐、拉横幅、堵门等一切滋事行为，承包人每出现滋事事件一次，应向发包人支付违约金50000元。</w:t>
      </w:r>
    </w:p>
    <w:p w14:paraId="3B8DC901">
      <w:pPr>
        <w:pStyle w:val="89"/>
        <w:pageBreakBefore w:val="0"/>
        <w:widowControl/>
        <w:kinsoku/>
        <w:wordWrap/>
        <w:overflowPunct/>
        <w:topLinePunct w:val="0"/>
        <w:bidi w:val="0"/>
        <w:spacing w:line="360" w:lineRule="auto"/>
        <w:ind w:firstLine="420" w:firstLineChars="200"/>
        <w:jc w:val="left"/>
        <w:outlineLvl w:val="9"/>
        <w:rPr>
          <w:rStyle w:val="19"/>
          <w:rFonts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存在以上其他违约情形的，发包人有权要求承包人承担相应条款约定的责任外，发包人还有权没收全部履约保证金，没收全部履约保证金后承包人应当在发包人指定的期限内重新补足履约保证金。</w:t>
      </w:r>
    </w:p>
    <w:p w14:paraId="40A30203">
      <w:pPr>
        <w:pStyle w:val="89"/>
        <w:pageBreakBefore w:val="0"/>
        <w:widowControl/>
        <w:kinsoku/>
        <w:wordWrap/>
        <w:overflowPunct/>
        <w:topLinePunct w:val="0"/>
        <w:bidi w:val="0"/>
        <w:spacing w:line="360" w:lineRule="auto"/>
        <w:ind w:firstLine="420" w:firstLineChars="200"/>
        <w:jc w:val="left"/>
        <w:outlineLvl w:val="9"/>
        <w:rPr>
          <w:rStyle w:val="19"/>
          <w:rFonts w:hint="eastAsia"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16.2.5本合同履行过程中，因承包人存在任何违约行为的，除按合同约定承担责任外，还应赔偿</w:t>
      </w:r>
      <w:r>
        <w:rPr>
          <w:rStyle w:val="19"/>
          <w:rFonts w:hint="eastAsia" w:ascii="宋体" w:hAnsi="宋体" w:eastAsia="宋体" w:cs="宋体"/>
          <w:color w:val="000000"/>
          <w:kern w:val="0"/>
          <w:szCs w:val="21"/>
          <w:highlight w:val="none"/>
          <w:lang w:val="en-US" w:eastAsia="zh-CN"/>
        </w:rPr>
        <w:t>发包人</w:t>
      </w:r>
      <w:r>
        <w:rPr>
          <w:rStyle w:val="19"/>
          <w:rFonts w:hint="eastAsia" w:ascii="宋体" w:hAnsi="宋体" w:eastAsia="宋体" w:cs="宋体"/>
          <w:color w:val="000000"/>
          <w:kern w:val="0"/>
          <w:szCs w:val="21"/>
          <w:highlight w:val="none"/>
        </w:rPr>
        <w:t>的一切损失（包括但不限于向第三方支付赔偿金、补偿金、违约金等，为实现债权而支付的律师费、公证费、诉讼费、保全费、公告费、鉴定费、诉讼财产保全责任险保费等一切费用）。</w:t>
      </w:r>
    </w:p>
    <w:p w14:paraId="1864BE1D">
      <w:pPr>
        <w:pStyle w:val="89"/>
        <w:pageBreakBefore w:val="0"/>
        <w:widowControl/>
        <w:kinsoku/>
        <w:wordWrap/>
        <w:overflowPunct/>
        <w:topLinePunct w:val="0"/>
        <w:bidi w:val="0"/>
        <w:spacing w:line="360" w:lineRule="auto"/>
        <w:ind w:firstLine="420" w:firstLineChars="200"/>
        <w:jc w:val="left"/>
        <w:outlineLvl w:val="9"/>
        <w:rPr>
          <w:rStyle w:val="19"/>
          <w:rFonts w:hint="eastAsia" w:ascii="宋体" w:hAnsi="宋体" w:eastAsia="宋体" w:cs="宋体"/>
          <w:color w:val="000000"/>
          <w:kern w:val="0"/>
          <w:szCs w:val="21"/>
          <w:highlight w:val="none"/>
        </w:rPr>
      </w:pPr>
      <w:r>
        <w:rPr>
          <w:rStyle w:val="19"/>
          <w:rFonts w:hint="eastAsia" w:ascii="宋体" w:hAnsi="宋体" w:eastAsia="宋体" w:cs="宋体"/>
          <w:color w:val="000000"/>
          <w:kern w:val="0"/>
          <w:szCs w:val="21"/>
          <w:highlight w:val="none"/>
        </w:rPr>
        <w:t>16.2.6本合同履行过程中，因承包人责任所发生之与本合同相关的违约金、损害赔偿、相关部门的罚款及其他费用，发包人可以直接自应付的任何款项中扣除或代为支付，而无需承包人确认，承包人对此无异议。</w:t>
      </w:r>
    </w:p>
    <w:p w14:paraId="20DE791B">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1363" w:name="_Toc373478416"/>
      <w:bookmarkStart w:id="1364" w:name="_Toc1117922953"/>
      <w:bookmarkStart w:id="1365" w:name="_Toc351203649"/>
      <w:bookmarkStart w:id="1366" w:name="_Toc1753556740"/>
      <w:bookmarkStart w:id="1367" w:name="_Toc22969"/>
      <w:bookmarkStart w:id="1368" w:name="_Toc389065334"/>
      <w:bookmarkStart w:id="1369" w:name="_Toc373227769"/>
      <w:bookmarkStart w:id="1370" w:name="_Toc78449858"/>
      <w:bookmarkStart w:id="1371" w:name="_Toc407135272"/>
      <w:r>
        <w:rPr>
          <w:rStyle w:val="19"/>
          <w:rFonts w:ascii="宋体" w:hAnsi="宋体" w:eastAsia="宋体" w:cs="Times New Roman"/>
          <w:b/>
          <w:bCs/>
          <w:color w:val="000000"/>
          <w:sz w:val="32"/>
          <w:szCs w:val="32"/>
          <w:highlight w:val="none"/>
          <w:lang w:val="zh-CN"/>
        </w:rPr>
        <w:t xml:space="preserve">17. </w:t>
      </w:r>
      <w:r>
        <w:rPr>
          <w:rStyle w:val="19"/>
          <w:rFonts w:hint="eastAsia" w:ascii="宋体" w:hAnsi="宋体" w:eastAsia="宋体" w:cs="黑体"/>
          <w:b/>
          <w:bCs/>
          <w:color w:val="000000"/>
          <w:sz w:val="32"/>
          <w:szCs w:val="32"/>
          <w:highlight w:val="none"/>
          <w:lang w:val="zh-CN"/>
        </w:rPr>
        <w:t>不可抗力</w:t>
      </w:r>
      <w:bookmarkEnd w:id="1345"/>
      <w:bookmarkEnd w:id="1363"/>
      <w:bookmarkEnd w:id="1364"/>
      <w:bookmarkEnd w:id="1365"/>
      <w:bookmarkEnd w:id="1366"/>
      <w:bookmarkEnd w:id="1367"/>
      <w:bookmarkEnd w:id="1368"/>
      <w:bookmarkEnd w:id="1369"/>
      <w:bookmarkEnd w:id="1370"/>
      <w:bookmarkEnd w:id="1371"/>
    </w:p>
    <w:p w14:paraId="216F81F1">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372" w:name="_Toc666312941"/>
      <w:bookmarkStart w:id="1373" w:name="_Toc78449859"/>
      <w:bookmarkStart w:id="1374" w:name="_Toc407135273"/>
      <w:bookmarkStart w:id="1375" w:name="_Toc389065335"/>
      <w:bookmarkStart w:id="1376" w:name="_Toc15758"/>
      <w:bookmarkStart w:id="1377" w:name="_Toc373227770"/>
      <w:bookmarkStart w:id="1378" w:name="_Toc429574049"/>
      <w:bookmarkStart w:id="1379" w:name="_Toc373478417"/>
      <w:r>
        <w:rPr>
          <w:rStyle w:val="19"/>
          <w:rFonts w:ascii="宋体" w:hAnsi="宋体" w:eastAsia="宋体" w:cs="Times New Roman"/>
          <w:b/>
          <w:bCs/>
          <w:color w:val="000000"/>
          <w:sz w:val="32"/>
          <w:szCs w:val="32"/>
          <w:highlight w:val="none"/>
          <w:lang w:val="zh-CN"/>
        </w:rPr>
        <w:t xml:space="preserve">17.1 </w:t>
      </w:r>
      <w:r>
        <w:rPr>
          <w:rStyle w:val="19"/>
          <w:rFonts w:hint="eastAsia" w:ascii="宋体" w:hAnsi="宋体" w:eastAsia="宋体" w:cs="黑体"/>
          <w:b/>
          <w:bCs/>
          <w:color w:val="000000"/>
          <w:sz w:val="32"/>
          <w:szCs w:val="32"/>
          <w:highlight w:val="none"/>
          <w:lang w:val="zh-CN"/>
        </w:rPr>
        <w:t>不可抗力的确认</w:t>
      </w:r>
      <w:bookmarkEnd w:id="1372"/>
      <w:bookmarkEnd w:id="1373"/>
      <w:bookmarkEnd w:id="1374"/>
      <w:bookmarkEnd w:id="1375"/>
      <w:bookmarkEnd w:id="1376"/>
      <w:bookmarkEnd w:id="1377"/>
      <w:bookmarkEnd w:id="1378"/>
      <w:bookmarkEnd w:id="1379"/>
    </w:p>
    <w:p w14:paraId="731C5A7A">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kern w:val="0"/>
          <w:highlight w:val="none"/>
        </w:rPr>
      </w:pPr>
      <w:r>
        <w:rPr>
          <w:rStyle w:val="19"/>
          <w:rFonts w:hint="eastAsia" w:ascii="宋体" w:hAnsi="宋体" w:eastAsia="宋体" w:cs="宋体"/>
          <w:color w:val="000000"/>
          <w:highlight w:val="none"/>
        </w:rPr>
        <w:t>除通用合同条款约定的不可抗力事件之外，视为不可抗力的其他情形：</w:t>
      </w:r>
      <w:bookmarkStart w:id="1380" w:name="_Toc373478418"/>
      <w:bookmarkStart w:id="1381" w:name="_Toc389065336"/>
      <w:bookmarkStart w:id="1382" w:name="_Toc407135274"/>
      <w:bookmarkStart w:id="1383" w:name="_Toc1951449751"/>
      <w:bookmarkStart w:id="1384" w:name="_Toc78449860"/>
      <w:bookmarkStart w:id="1385" w:name="_Toc658729758"/>
      <w:bookmarkStart w:id="1386" w:name="_Toc373227771"/>
      <w:r>
        <w:rPr>
          <w:rStyle w:val="19"/>
          <w:rFonts w:hint="eastAsia" w:ascii="宋体" w:hAnsi="宋体" w:eastAsia="宋体" w:cs="Times New Roman"/>
          <w:color w:val="000000"/>
          <w:kern w:val="0"/>
          <w:highlight w:val="none"/>
          <w:u w:val="single"/>
        </w:rPr>
        <w:t>（1）不可抗力的自然灾害认定标准，以政府有关部门的规定为准且必须得到相关权威部门的书面认定方可视为有效.</w:t>
      </w:r>
    </w:p>
    <w:p w14:paraId="7705C7B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17.4 </w:t>
      </w:r>
      <w:r>
        <w:rPr>
          <w:rStyle w:val="19"/>
          <w:rFonts w:hint="eastAsia" w:ascii="宋体" w:hAnsi="宋体" w:eastAsia="宋体" w:cs="黑体"/>
          <w:color w:val="000000"/>
          <w:highlight w:val="none"/>
        </w:rPr>
        <w:t>因不可抗力解除合同</w:t>
      </w:r>
      <w:bookmarkEnd w:id="1380"/>
      <w:bookmarkEnd w:id="1381"/>
      <w:bookmarkEnd w:id="1382"/>
      <w:bookmarkEnd w:id="1383"/>
      <w:bookmarkEnd w:id="1384"/>
      <w:bookmarkEnd w:id="1385"/>
      <w:bookmarkEnd w:id="1386"/>
    </w:p>
    <w:p w14:paraId="26ABA670">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合同解除后，发包人应在商定或确定发包人应支付款项后</w:t>
      </w:r>
      <w:r>
        <w:rPr>
          <w:rStyle w:val="19"/>
          <w:rFonts w:hint="eastAsia" w:ascii="宋体" w:hAnsi="宋体" w:eastAsia="宋体" w:cs="Times New Roman"/>
          <w:color w:val="000000"/>
          <w:highlight w:val="none"/>
          <w:u w:val="single"/>
        </w:rPr>
        <w:t>60</w:t>
      </w:r>
      <w:r>
        <w:rPr>
          <w:rStyle w:val="19"/>
          <w:rFonts w:hint="eastAsia" w:ascii="宋体" w:hAnsi="宋体" w:eastAsia="宋体" w:cs="宋体"/>
          <w:color w:val="000000"/>
          <w:highlight w:val="none"/>
        </w:rPr>
        <w:t>天内完成款项的支付。</w:t>
      </w:r>
    </w:p>
    <w:p w14:paraId="04770A6F">
      <w:pPr>
        <w:pStyle w:val="89"/>
        <w:keepNext/>
        <w:keepLines/>
        <w:pageBreakBefore w:val="0"/>
        <w:kinsoku/>
        <w:wordWrap/>
        <w:overflowPunct/>
        <w:topLinePunct w:val="0"/>
        <w:bidi w:val="0"/>
        <w:spacing w:before="60" w:after="60" w:line="360" w:lineRule="auto"/>
        <w:outlineLvl w:val="1"/>
        <w:rPr>
          <w:rStyle w:val="19"/>
          <w:rFonts w:ascii="宋体" w:hAnsi="宋体" w:eastAsia="宋体" w:cs="Times New Roman"/>
          <w:b/>
          <w:bCs/>
          <w:color w:val="000000"/>
          <w:sz w:val="32"/>
          <w:szCs w:val="32"/>
          <w:highlight w:val="none"/>
          <w:lang w:val="zh-CN"/>
        </w:rPr>
      </w:pPr>
      <w:bookmarkStart w:id="1387" w:name="_Toc56822299"/>
      <w:bookmarkStart w:id="1388" w:name="_Toc407135275"/>
      <w:bookmarkStart w:id="1389" w:name="_Toc373478419"/>
      <w:bookmarkStart w:id="1390" w:name="_Toc389065337"/>
      <w:bookmarkStart w:id="1391" w:name="_Toc8720"/>
      <w:bookmarkStart w:id="1392" w:name="_Toc612072600"/>
      <w:bookmarkStart w:id="1393" w:name="_Toc373227772"/>
      <w:bookmarkStart w:id="1394" w:name="_Toc351203650"/>
      <w:bookmarkStart w:id="1395" w:name="_Toc78449861"/>
      <w:r>
        <w:rPr>
          <w:rStyle w:val="19"/>
          <w:rFonts w:ascii="宋体" w:hAnsi="宋体" w:eastAsia="宋体" w:cs="Times New Roman"/>
          <w:b/>
          <w:bCs/>
          <w:color w:val="000000"/>
          <w:sz w:val="32"/>
          <w:szCs w:val="32"/>
          <w:highlight w:val="none"/>
          <w:lang w:val="zh-CN"/>
        </w:rPr>
        <w:t xml:space="preserve">18. </w:t>
      </w:r>
      <w:r>
        <w:rPr>
          <w:rStyle w:val="19"/>
          <w:rFonts w:hint="eastAsia" w:ascii="宋体" w:hAnsi="宋体" w:eastAsia="宋体" w:cs="黑体"/>
          <w:b/>
          <w:bCs/>
          <w:color w:val="000000"/>
          <w:sz w:val="32"/>
          <w:szCs w:val="32"/>
          <w:highlight w:val="none"/>
          <w:lang w:val="zh-CN"/>
        </w:rPr>
        <w:t>保险</w:t>
      </w:r>
      <w:bookmarkEnd w:id="1387"/>
      <w:bookmarkEnd w:id="1388"/>
      <w:bookmarkEnd w:id="1389"/>
      <w:bookmarkEnd w:id="1390"/>
      <w:bookmarkEnd w:id="1391"/>
      <w:bookmarkEnd w:id="1392"/>
      <w:bookmarkEnd w:id="1393"/>
      <w:bookmarkEnd w:id="1394"/>
      <w:bookmarkEnd w:id="1395"/>
    </w:p>
    <w:bookmarkEnd w:id="1346"/>
    <w:p w14:paraId="3AA124FB">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396" w:name="_Toc373227773"/>
      <w:bookmarkStart w:id="1397" w:name="_Toc389065338"/>
      <w:bookmarkStart w:id="1398" w:name="_Toc1446953302"/>
      <w:bookmarkStart w:id="1399" w:name="_Toc16188"/>
      <w:bookmarkStart w:id="1400" w:name="_Toc78449862"/>
      <w:bookmarkStart w:id="1401" w:name="_Toc407135276"/>
      <w:bookmarkStart w:id="1402" w:name="_Toc2075285517"/>
      <w:bookmarkStart w:id="1403" w:name="_Toc373478420"/>
      <w:r>
        <w:rPr>
          <w:rStyle w:val="19"/>
          <w:rFonts w:ascii="宋体" w:hAnsi="宋体" w:eastAsia="宋体" w:cs="Times New Roman"/>
          <w:b/>
          <w:bCs/>
          <w:color w:val="000000"/>
          <w:sz w:val="32"/>
          <w:szCs w:val="32"/>
          <w:highlight w:val="none"/>
          <w:lang w:val="zh-CN"/>
        </w:rPr>
        <w:t xml:space="preserve">18.1 </w:t>
      </w:r>
      <w:r>
        <w:rPr>
          <w:rStyle w:val="19"/>
          <w:rFonts w:hint="eastAsia" w:ascii="宋体" w:hAnsi="宋体" w:eastAsia="宋体" w:cs="黑体"/>
          <w:b/>
          <w:bCs/>
          <w:color w:val="000000"/>
          <w:sz w:val="32"/>
          <w:szCs w:val="32"/>
          <w:highlight w:val="none"/>
          <w:lang w:val="zh-CN"/>
        </w:rPr>
        <w:t>工程保险</w:t>
      </w:r>
      <w:bookmarkEnd w:id="1396"/>
      <w:bookmarkEnd w:id="1397"/>
      <w:bookmarkEnd w:id="1398"/>
      <w:bookmarkEnd w:id="1399"/>
      <w:bookmarkEnd w:id="1400"/>
      <w:bookmarkEnd w:id="1401"/>
      <w:bookmarkEnd w:id="1402"/>
      <w:bookmarkEnd w:id="1403"/>
    </w:p>
    <w:p w14:paraId="468FAFD0">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宋体"/>
          <w:color w:val="000000"/>
          <w:highlight w:val="none"/>
        </w:rPr>
        <w:t>关于工程保险的特别约定：</w:t>
      </w:r>
      <w:bookmarkStart w:id="1404" w:name="_Toc454766369"/>
      <w:bookmarkStart w:id="1405" w:name="_Toc373478421"/>
      <w:bookmarkStart w:id="1406" w:name="_Toc78449863"/>
      <w:bookmarkStart w:id="1407" w:name="_Toc389065339"/>
      <w:bookmarkStart w:id="1408" w:name="_Toc407135277"/>
      <w:bookmarkStart w:id="1409" w:name="_Toc2001387503"/>
      <w:bookmarkStart w:id="1410" w:name="_Toc373227774"/>
      <w:r>
        <w:rPr>
          <w:rStyle w:val="19"/>
          <w:rFonts w:hint="eastAsia" w:ascii="宋体" w:hAnsi="宋体" w:eastAsia="宋体" w:cs="Times New Roman"/>
          <w:color w:val="000000"/>
          <w:kern w:val="0"/>
          <w:highlight w:val="none"/>
          <w:u w:val="single"/>
        </w:rPr>
        <w:t>承包人应必须购买工程一切险和第三者责任险，并承担相关费用，费用已包含在综合单价中不再另计计价</w:t>
      </w:r>
      <w:r>
        <w:rPr>
          <w:rStyle w:val="19"/>
          <w:rFonts w:hint="eastAsia" w:ascii="宋体" w:hAnsi="宋体" w:eastAsia="宋体" w:cs="Times New Roman"/>
          <w:color w:val="000000"/>
          <w:kern w:val="0"/>
          <w:highlight w:val="none"/>
        </w:rPr>
        <w:t>。</w:t>
      </w:r>
    </w:p>
    <w:p w14:paraId="6233A6D8">
      <w:pPr>
        <w:pStyle w:val="89"/>
        <w:pageBreakBefore w:val="0"/>
        <w:kinsoku/>
        <w:wordWrap/>
        <w:overflowPunct/>
        <w:topLinePunct w:val="0"/>
        <w:bidi w:val="0"/>
        <w:spacing w:line="360" w:lineRule="auto"/>
        <w:jc w:val="left"/>
        <w:rPr>
          <w:rStyle w:val="19"/>
          <w:rFonts w:ascii="宋体" w:hAnsi="宋体" w:eastAsia="宋体" w:cs="Times New Roman"/>
          <w:b/>
          <w:color w:val="000000"/>
          <w:sz w:val="32"/>
          <w:szCs w:val="32"/>
          <w:highlight w:val="none"/>
        </w:rPr>
      </w:pPr>
      <w:r>
        <w:rPr>
          <w:rStyle w:val="19"/>
          <w:rFonts w:ascii="宋体" w:hAnsi="宋体" w:eastAsia="宋体" w:cs="Times New Roman"/>
          <w:b/>
          <w:color w:val="000000"/>
          <w:sz w:val="32"/>
          <w:szCs w:val="32"/>
          <w:highlight w:val="none"/>
        </w:rPr>
        <w:t xml:space="preserve">18.3 </w:t>
      </w:r>
      <w:r>
        <w:rPr>
          <w:rStyle w:val="19"/>
          <w:rFonts w:hint="eastAsia" w:ascii="宋体" w:hAnsi="宋体" w:eastAsia="宋体" w:cs="黑体"/>
          <w:b/>
          <w:color w:val="000000"/>
          <w:sz w:val="32"/>
          <w:szCs w:val="32"/>
          <w:highlight w:val="none"/>
        </w:rPr>
        <w:t>其他保险</w:t>
      </w:r>
      <w:bookmarkEnd w:id="1404"/>
      <w:bookmarkEnd w:id="1405"/>
      <w:bookmarkEnd w:id="1406"/>
      <w:bookmarkEnd w:id="1407"/>
      <w:bookmarkEnd w:id="1408"/>
      <w:bookmarkEnd w:id="1409"/>
      <w:bookmarkEnd w:id="1410"/>
    </w:p>
    <w:p w14:paraId="6A3D8313">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kern w:val="0"/>
          <w:highlight w:val="none"/>
        </w:rPr>
      </w:pPr>
      <w:r>
        <w:rPr>
          <w:rStyle w:val="19"/>
          <w:rFonts w:hint="eastAsia" w:ascii="宋体" w:hAnsi="宋体" w:eastAsia="宋体" w:cs="宋体"/>
          <w:color w:val="000000"/>
          <w:highlight w:val="none"/>
        </w:rPr>
        <w:t>关于其他保险的约定：</w:t>
      </w:r>
      <w:r>
        <w:rPr>
          <w:rStyle w:val="19"/>
          <w:rFonts w:hint="eastAsia" w:ascii="宋体" w:hAnsi="宋体" w:eastAsia="宋体" w:cs="Times New Roman"/>
          <w:color w:val="000000"/>
          <w:highlight w:val="none"/>
          <w:u w:val="single"/>
        </w:rPr>
        <w:t>承包人必须为施工现场从事施工的自有作业人员和管理人员办理意外伤害保险，并支付保险费，费用已包含在综合单价中不再另计计价</w:t>
      </w:r>
      <w:r>
        <w:rPr>
          <w:rStyle w:val="19"/>
          <w:rFonts w:hint="eastAsia" w:ascii="宋体" w:hAnsi="宋体" w:eastAsia="宋体" w:cs="Times New Roman"/>
          <w:color w:val="000000"/>
          <w:highlight w:val="none"/>
        </w:rPr>
        <w:t>。</w:t>
      </w:r>
    </w:p>
    <w:p w14:paraId="44E63F32">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承包人是否应为其施工设备等办理财产保险：</w:t>
      </w:r>
      <w:r>
        <w:rPr>
          <w:rStyle w:val="19"/>
          <w:rFonts w:ascii="宋体" w:hAnsi="宋体" w:eastAsia="宋体" w:cs="Times New Roman"/>
          <w:color w:val="000000"/>
          <w:highlight w:val="none"/>
          <w:u w:val="single"/>
        </w:rPr>
        <w:t xml:space="preserve"> 是，</w:t>
      </w:r>
      <w:r>
        <w:rPr>
          <w:rStyle w:val="19"/>
          <w:rFonts w:hint="eastAsia" w:ascii="宋体" w:hAnsi="宋体" w:eastAsia="宋体" w:cs="Times New Roman"/>
          <w:color w:val="000000"/>
          <w:highlight w:val="none"/>
          <w:u w:val="single"/>
        </w:rPr>
        <w:t>承包人自行办理，并承担相关费用</w:t>
      </w:r>
      <w:r>
        <w:rPr>
          <w:rStyle w:val="19"/>
          <w:rFonts w:hint="eastAsia" w:ascii="宋体" w:hAnsi="宋体" w:eastAsia="宋体" w:cs="Times New Roman"/>
          <w:color w:val="000000"/>
          <w:highlight w:val="none"/>
        </w:rPr>
        <w:t>。</w:t>
      </w:r>
    </w:p>
    <w:p w14:paraId="70B64A20">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411" w:name="_Toc373478422"/>
      <w:bookmarkStart w:id="1412" w:name="_Toc373227775"/>
      <w:bookmarkStart w:id="1413" w:name="_Toc1114527236"/>
      <w:bookmarkStart w:id="1414" w:name="_Toc407135278"/>
      <w:bookmarkStart w:id="1415" w:name="_Toc2102614655"/>
      <w:bookmarkStart w:id="1416" w:name="_Toc389065340"/>
      <w:bookmarkStart w:id="1417" w:name="_Toc22413"/>
      <w:bookmarkStart w:id="1418" w:name="_Toc78449864"/>
      <w:r>
        <w:rPr>
          <w:rStyle w:val="19"/>
          <w:rFonts w:ascii="宋体" w:hAnsi="宋体" w:eastAsia="宋体" w:cs="Times New Roman"/>
          <w:b/>
          <w:bCs/>
          <w:color w:val="000000"/>
          <w:sz w:val="32"/>
          <w:szCs w:val="32"/>
          <w:highlight w:val="none"/>
          <w:lang w:val="zh-CN"/>
        </w:rPr>
        <w:t xml:space="preserve">18.7 </w:t>
      </w:r>
      <w:r>
        <w:rPr>
          <w:rStyle w:val="19"/>
          <w:rFonts w:hint="eastAsia" w:ascii="宋体" w:hAnsi="宋体" w:eastAsia="宋体" w:cs="黑体"/>
          <w:b/>
          <w:bCs/>
          <w:color w:val="000000"/>
          <w:sz w:val="32"/>
          <w:szCs w:val="32"/>
          <w:highlight w:val="none"/>
          <w:lang w:val="zh-CN"/>
        </w:rPr>
        <w:t>通知义务</w:t>
      </w:r>
      <w:bookmarkEnd w:id="1411"/>
      <w:bookmarkEnd w:id="1412"/>
      <w:bookmarkEnd w:id="1413"/>
      <w:bookmarkEnd w:id="1414"/>
      <w:bookmarkEnd w:id="1415"/>
      <w:bookmarkEnd w:id="1416"/>
      <w:bookmarkEnd w:id="1417"/>
      <w:bookmarkEnd w:id="1418"/>
    </w:p>
    <w:p w14:paraId="65E4F83A">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kern w:val="0"/>
          <w:highlight w:val="none"/>
        </w:rPr>
        <w:t>关于变更保险合同时的通知义务的约定：</w:t>
      </w:r>
      <w:bookmarkEnd w:id="1296"/>
      <w:bookmarkEnd w:id="1297"/>
      <w:bookmarkEnd w:id="1298"/>
      <w:bookmarkEnd w:id="1299"/>
      <w:bookmarkEnd w:id="1300"/>
      <w:bookmarkEnd w:id="1301"/>
      <w:bookmarkEnd w:id="1302"/>
      <w:bookmarkEnd w:id="1303"/>
      <w:bookmarkEnd w:id="1304"/>
      <w:bookmarkEnd w:id="1305"/>
      <w:bookmarkEnd w:id="1306"/>
      <w:bookmarkEnd w:id="1307"/>
      <w:bookmarkStart w:id="1419" w:name="_Toc373478423"/>
      <w:bookmarkStart w:id="1420" w:name="_Toc78449865"/>
      <w:bookmarkStart w:id="1421" w:name="_Toc373227776"/>
      <w:bookmarkStart w:id="1422" w:name="_Toc389065341"/>
      <w:bookmarkStart w:id="1423" w:name="_Toc1430568476"/>
      <w:bookmarkStart w:id="1424" w:name="_Toc407135279"/>
      <w:bookmarkStart w:id="1425" w:name="_Toc1959910599"/>
      <w:bookmarkStart w:id="1426" w:name="_Toc351203651"/>
      <w:r>
        <w:rPr>
          <w:rStyle w:val="19"/>
          <w:rFonts w:hint="eastAsia" w:ascii="宋体" w:hAnsi="宋体" w:eastAsia="宋体" w:cs="Times New Roman"/>
          <w:color w:val="000000"/>
          <w:highlight w:val="none"/>
          <w:u w:val="single"/>
        </w:rPr>
        <w:t>由承包人负责，变更后承包人于7 天内通知相关 单位</w:t>
      </w:r>
      <w:r>
        <w:rPr>
          <w:rStyle w:val="19"/>
          <w:rFonts w:hint="eastAsia" w:ascii="宋体" w:hAnsi="宋体" w:eastAsia="宋体" w:cs="Times New Roman"/>
          <w:color w:val="000000"/>
          <w:highlight w:val="none"/>
        </w:rPr>
        <w:t>。</w:t>
      </w:r>
    </w:p>
    <w:p w14:paraId="4C547227">
      <w:pPr>
        <w:pStyle w:val="89"/>
        <w:pageBreakBefore w:val="0"/>
        <w:kinsoku/>
        <w:wordWrap/>
        <w:overflowPunct/>
        <w:topLinePunct w:val="0"/>
        <w:bidi w:val="0"/>
        <w:spacing w:line="360" w:lineRule="auto"/>
        <w:jc w:val="left"/>
        <w:outlineLvl w:val="1"/>
        <w:rPr>
          <w:rStyle w:val="19"/>
          <w:rFonts w:ascii="宋体" w:hAnsi="宋体" w:eastAsia="宋体" w:cs="Times New Roman"/>
          <w:b/>
          <w:color w:val="000000"/>
          <w:sz w:val="32"/>
          <w:szCs w:val="32"/>
          <w:highlight w:val="none"/>
        </w:rPr>
      </w:pPr>
      <w:bookmarkStart w:id="1427" w:name="_Toc3912"/>
      <w:r>
        <w:rPr>
          <w:rStyle w:val="19"/>
          <w:rFonts w:ascii="宋体" w:hAnsi="宋体" w:eastAsia="宋体" w:cs="Times New Roman"/>
          <w:b/>
          <w:color w:val="000000"/>
          <w:sz w:val="32"/>
          <w:szCs w:val="32"/>
          <w:highlight w:val="none"/>
        </w:rPr>
        <w:t xml:space="preserve">20. </w:t>
      </w:r>
      <w:r>
        <w:rPr>
          <w:rStyle w:val="19"/>
          <w:rFonts w:hint="eastAsia" w:ascii="宋体" w:hAnsi="宋体" w:eastAsia="宋体" w:cs="黑体"/>
          <w:b/>
          <w:color w:val="000000"/>
          <w:sz w:val="32"/>
          <w:szCs w:val="32"/>
          <w:highlight w:val="none"/>
        </w:rPr>
        <w:t>争议解决</w:t>
      </w:r>
      <w:bookmarkEnd w:id="1419"/>
      <w:bookmarkEnd w:id="1420"/>
      <w:bookmarkEnd w:id="1421"/>
      <w:bookmarkEnd w:id="1422"/>
      <w:bookmarkEnd w:id="1423"/>
      <w:bookmarkEnd w:id="1424"/>
      <w:bookmarkEnd w:id="1425"/>
      <w:bookmarkEnd w:id="1426"/>
      <w:bookmarkEnd w:id="1427"/>
    </w:p>
    <w:bookmarkEnd w:id="1308"/>
    <w:bookmarkEnd w:id="1309"/>
    <w:p w14:paraId="674F15E3">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428" w:name="_Toc13696"/>
      <w:bookmarkStart w:id="1429" w:name="_Toc373478424"/>
      <w:bookmarkStart w:id="1430" w:name="_Toc78449866"/>
      <w:bookmarkStart w:id="1431" w:name="_Toc2138124043"/>
      <w:bookmarkStart w:id="1432" w:name="_Toc373227777"/>
      <w:bookmarkStart w:id="1433" w:name="_Toc407135280"/>
      <w:bookmarkStart w:id="1434" w:name="_Toc389065342"/>
      <w:bookmarkStart w:id="1435" w:name="_Toc1645489822"/>
      <w:r>
        <w:rPr>
          <w:rStyle w:val="19"/>
          <w:rFonts w:ascii="宋体" w:hAnsi="宋体" w:eastAsia="宋体" w:cs="Times New Roman"/>
          <w:b/>
          <w:bCs/>
          <w:color w:val="000000"/>
          <w:sz w:val="32"/>
          <w:szCs w:val="32"/>
          <w:highlight w:val="none"/>
          <w:lang w:val="zh-CN"/>
        </w:rPr>
        <w:t xml:space="preserve">20.3 </w:t>
      </w:r>
      <w:r>
        <w:rPr>
          <w:rStyle w:val="19"/>
          <w:rFonts w:hint="eastAsia" w:ascii="宋体" w:hAnsi="宋体" w:eastAsia="宋体" w:cs="黑体"/>
          <w:b/>
          <w:bCs/>
          <w:color w:val="000000"/>
          <w:sz w:val="32"/>
          <w:szCs w:val="32"/>
          <w:highlight w:val="none"/>
          <w:lang w:val="zh-CN"/>
        </w:rPr>
        <w:t>争</w:t>
      </w:r>
      <w:bookmarkEnd w:id="1310"/>
      <w:r>
        <w:rPr>
          <w:rStyle w:val="19"/>
          <w:rFonts w:hint="eastAsia" w:ascii="宋体" w:hAnsi="宋体" w:eastAsia="宋体" w:cs="黑体"/>
          <w:b/>
          <w:bCs/>
          <w:color w:val="000000"/>
          <w:sz w:val="32"/>
          <w:szCs w:val="32"/>
          <w:highlight w:val="none"/>
          <w:lang w:val="zh-CN"/>
        </w:rPr>
        <w:t>议评审</w:t>
      </w:r>
      <w:bookmarkEnd w:id="1428"/>
      <w:bookmarkEnd w:id="1429"/>
      <w:bookmarkEnd w:id="1430"/>
      <w:bookmarkEnd w:id="1431"/>
      <w:bookmarkEnd w:id="1432"/>
      <w:bookmarkEnd w:id="1433"/>
      <w:bookmarkEnd w:id="1434"/>
      <w:bookmarkEnd w:id="1435"/>
    </w:p>
    <w:p w14:paraId="1C69ACD6">
      <w:pPr>
        <w:pStyle w:val="89"/>
        <w:pageBreakBefore w:val="0"/>
        <w:kinsoku/>
        <w:wordWrap/>
        <w:overflowPunct/>
        <w:topLinePunct w:val="0"/>
        <w:bidi w:val="0"/>
        <w:spacing w:line="360" w:lineRule="auto"/>
        <w:ind w:left="149" w:leftChars="71" w:firstLine="315" w:firstLineChars="150"/>
        <w:jc w:val="left"/>
        <w:outlineLvl w:val="9"/>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合同当事人是否同意将工程争议提交争议评审小组决定：</w:t>
      </w:r>
      <w:r>
        <w:rPr>
          <w:rStyle w:val="19"/>
          <w:rFonts w:hint="eastAsia" w:ascii="宋体" w:hAnsi="宋体" w:eastAsia="宋体" w:cs="Times New Roman"/>
          <w:color w:val="000000"/>
          <w:highlight w:val="none"/>
          <w:u w:val="single"/>
        </w:rPr>
        <w:t>不同意</w:t>
      </w:r>
      <w:r>
        <w:rPr>
          <w:rStyle w:val="19"/>
          <w:rFonts w:hint="eastAsia" w:ascii="宋体" w:hAnsi="宋体" w:eastAsia="宋体" w:cs="宋体"/>
          <w:color w:val="000000"/>
          <w:highlight w:val="none"/>
        </w:rPr>
        <w:t>。</w:t>
      </w:r>
    </w:p>
    <w:p w14:paraId="794EDB67">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ascii="宋体" w:hAnsi="宋体" w:eastAsia="宋体" w:cs="Times New Roman"/>
          <w:color w:val="000000"/>
          <w:highlight w:val="none"/>
        </w:rPr>
        <w:t xml:space="preserve">20.3.1 </w:t>
      </w:r>
      <w:r>
        <w:rPr>
          <w:rStyle w:val="19"/>
          <w:rFonts w:hint="eastAsia" w:ascii="宋体" w:hAnsi="宋体" w:eastAsia="宋体" w:cs="宋体"/>
          <w:color w:val="000000"/>
          <w:highlight w:val="none"/>
        </w:rPr>
        <w:t>争议评审小组的确定</w:t>
      </w:r>
    </w:p>
    <w:p w14:paraId="171A9DBE">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u w:val="single"/>
        </w:rPr>
      </w:pPr>
      <w:r>
        <w:rPr>
          <w:rStyle w:val="19"/>
          <w:rFonts w:hint="eastAsia" w:ascii="宋体" w:hAnsi="宋体" w:eastAsia="宋体" w:cs="宋体"/>
          <w:color w:val="000000"/>
          <w:highlight w:val="none"/>
        </w:rPr>
        <w:t>争议评审小组成员的确定：</w:t>
      </w:r>
      <w:r>
        <w:rPr>
          <w:rStyle w:val="19"/>
          <w:rFonts w:ascii="宋体" w:hAnsi="宋体" w:eastAsia="宋体" w:cs="Times New Roman"/>
          <w:color w:val="000000"/>
          <w:highlight w:val="none"/>
          <w:u w:val="single"/>
        </w:rPr>
        <w:t xml:space="preserve">   /  </w:t>
      </w:r>
      <w:r>
        <w:rPr>
          <w:rStyle w:val="19"/>
          <w:rFonts w:hint="eastAsia" w:ascii="宋体" w:hAnsi="宋体" w:eastAsia="宋体" w:cs="宋体"/>
          <w:color w:val="000000"/>
          <w:highlight w:val="none"/>
        </w:rPr>
        <w:t>。</w:t>
      </w:r>
    </w:p>
    <w:p w14:paraId="484BAD0E">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选定争议评审员的期限：</w:t>
      </w:r>
      <w:r>
        <w:rPr>
          <w:rStyle w:val="19"/>
          <w:rFonts w:ascii="宋体" w:hAnsi="宋体" w:eastAsia="宋体" w:cs="Times New Roman"/>
          <w:color w:val="000000"/>
          <w:highlight w:val="none"/>
          <w:u w:val="single"/>
        </w:rPr>
        <w:t xml:space="preserve">   /   </w:t>
      </w:r>
      <w:r>
        <w:rPr>
          <w:rStyle w:val="19"/>
          <w:rFonts w:hint="eastAsia" w:ascii="宋体" w:hAnsi="宋体" w:eastAsia="宋体" w:cs="宋体"/>
          <w:color w:val="000000"/>
          <w:highlight w:val="none"/>
        </w:rPr>
        <w:t>。</w:t>
      </w:r>
    </w:p>
    <w:p w14:paraId="3CB7A0B6">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争议评审小组成员的报酬承担方式：</w:t>
      </w:r>
      <w:r>
        <w:rPr>
          <w:rStyle w:val="19"/>
          <w:rFonts w:ascii="宋体" w:hAnsi="宋体" w:eastAsia="宋体" w:cs="Times New Roman"/>
          <w:color w:val="000000"/>
          <w:highlight w:val="none"/>
          <w:u w:val="single"/>
        </w:rPr>
        <w:t xml:space="preserve">   /   </w:t>
      </w:r>
      <w:r>
        <w:rPr>
          <w:rStyle w:val="19"/>
          <w:rFonts w:hint="eastAsia" w:ascii="宋体" w:hAnsi="宋体" w:eastAsia="宋体" w:cs="宋体"/>
          <w:color w:val="000000"/>
          <w:highlight w:val="none"/>
        </w:rPr>
        <w:t>。</w:t>
      </w:r>
    </w:p>
    <w:p w14:paraId="1A93F2F5">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其他事项的约定：</w:t>
      </w:r>
      <w:r>
        <w:rPr>
          <w:rStyle w:val="19"/>
          <w:rFonts w:ascii="宋体" w:hAnsi="宋体" w:eastAsia="宋体" w:cs="Times New Roman"/>
          <w:color w:val="000000"/>
          <w:highlight w:val="none"/>
          <w:u w:val="single"/>
        </w:rPr>
        <w:t xml:space="preserve">   /  </w:t>
      </w:r>
      <w:r>
        <w:rPr>
          <w:rStyle w:val="19"/>
          <w:rFonts w:hint="eastAsia" w:ascii="宋体" w:hAnsi="宋体" w:eastAsia="宋体" w:cs="宋体"/>
          <w:color w:val="000000"/>
          <w:highlight w:val="none"/>
        </w:rPr>
        <w:t>。</w:t>
      </w:r>
    </w:p>
    <w:p w14:paraId="7DFBF364">
      <w:pPr>
        <w:pStyle w:val="89"/>
        <w:pageBreakBefore w:val="0"/>
        <w:kinsoku/>
        <w:wordWrap/>
        <w:overflowPunct/>
        <w:topLinePunct w:val="0"/>
        <w:autoSpaceDE w:val="0"/>
        <w:autoSpaceDN w:val="0"/>
        <w:bidi w:val="0"/>
        <w:adjustRightInd w:val="0"/>
        <w:spacing w:line="360" w:lineRule="auto"/>
        <w:ind w:firstLine="420" w:firstLineChars="200"/>
        <w:jc w:val="left"/>
        <w:outlineLvl w:val="9"/>
        <w:rPr>
          <w:rStyle w:val="19"/>
          <w:rFonts w:ascii="宋体" w:hAnsi="宋体" w:eastAsia="宋体" w:cs="Times New Roman"/>
          <w:color w:val="000000"/>
          <w:kern w:val="0"/>
          <w:highlight w:val="none"/>
        </w:rPr>
      </w:pPr>
      <w:r>
        <w:rPr>
          <w:rStyle w:val="19"/>
          <w:rFonts w:ascii="宋体" w:hAnsi="宋体" w:eastAsia="宋体" w:cs="Times New Roman"/>
          <w:color w:val="000000"/>
          <w:kern w:val="0"/>
          <w:highlight w:val="none"/>
        </w:rPr>
        <w:t xml:space="preserve">20.3.2 </w:t>
      </w:r>
      <w:r>
        <w:rPr>
          <w:rStyle w:val="19"/>
          <w:rFonts w:hint="eastAsia" w:ascii="宋体" w:hAnsi="宋体" w:eastAsia="宋体" w:cs="宋体"/>
          <w:color w:val="000000"/>
          <w:kern w:val="0"/>
          <w:highlight w:val="none"/>
        </w:rPr>
        <w:t>争议评审小组的决定</w:t>
      </w:r>
    </w:p>
    <w:p w14:paraId="35AC358E">
      <w:pPr>
        <w:pStyle w:val="89"/>
        <w:pageBreakBefore w:val="0"/>
        <w:kinsoku/>
        <w:wordWrap/>
        <w:overflowPunct/>
        <w:topLinePunct w:val="0"/>
        <w:bidi w:val="0"/>
        <w:spacing w:line="360" w:lineRule="auto"/>
        <w:ind w:firstLine="420" w:firstLineChars="200"/>
        <w:jc w:val="left"/>
        <w:outlineLvl w:val="9"/>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合同当事人关于本项的约定：</w:t>
      </w:r>
      <w:r>
        <w:rPr>
          <w:rStyle w:val="19"/>
          <w:rFonts w:ascii="宋体" w:hAnsi="宋体" w:eastAsia="宋体" w:cs="Times New Roman"/>
          <w:color w:val="000000"/>
          <w:highlight w:val="none"/>
          <w:u w:val="single"/>
        </w:rPr>
        <w:t xml:space="preserve">  /  </w:t>
      </w:r>
      <w:r>
        <w:rPr>
          <w:rStyle w:val="19"/>
          <w:rFonts w:hint="eastAsia" w:ascii="宋体" w:hAnsi="宋体" w:eastAsia="宋体" w:cs="宋体"/>
          <w:color w:val="000000"/>
          <w:highlight w:val="none"/>
        </w:rPr>
        <w:t>。</w:t>
      </w:r>
    </w:p>
    <w:p w14:paraId="40BB9289">
      <w:pPr>
        <w:pStyle w:val="89"/>
        <w:keepNext/>
        <w:keepLines/>
        <w:pageBreakBefore w:val="0"/>
        <w:kinsoku/>
        <w:wordWrap/>
        <w:overflowPunct/>
        <w:topLinePunct w:val="0"/>
        <w:bidi w:val="0"/>
        <w:spacing w:line="360" w:lineRule="auto"/>
        <w:outlineLvl w:val="2"/>
        <w:rPr>
          <w:rStyle w:val="19"/>
          <w:rFonts w:ascii="宋体" w:hAnsi="宋体" w:eastAsia="宋体" w:cs="Times New Roman"/>
          <w:b/>
          <w:bCs/>
          <w:color w:val="000000"/>
          <w:sz w:val="32"/>
          <w:szCs w:val="32"/>
          <w:highlight w:val="none"/>
          <w:lang w:val="zh-CN"/>
        </w:rPr>
      </w:pPr>
      <w:bookmarkStart w:id="1436" w:name="_Toc373478425"/>
      <w:bookmarkStart w:id="1437" w:name="_Toc1456517022"/>
      <w:bookmarkStart w:id="1438" w:name="_Toc11343"/>
      <w:bookmarkStart w:id="1439" w:name="_Toc78449867"/>
      <w:bookmarkStart w:id="1440" w:name="_Toc373227778"/>
      <w:bookmarkStart w:id="1441" w:name="_Toc389065343"/>
      <w:bookmarkStart w:id="1442" w:name="_Toc1156795721"/>
      <w:bookmarkStart w:id="1443" w:name="_Toc407135281"/>
      <w:r>
        <w:rPr>
          <w:rStyle w:val="19"/>
          <w:rFonts w:ascii="宋体" w:hAnsi="宋体" w:eastAsia="宋体" w:cs="Times New Roman"/>
          <w:b/>
          <w:bCs/>
          <w:color w:val="000000"/>
          <w:sz w:val="32"/>
          <w:szCs w:val="32"/>
          <w:highlight w:val="none"/>
          <w:lang w:val="zh-CN"/>
        </w:rPr>
        <w:t xml:space="preserve">20.4 </w:t>
      </w:r>
      <w:r>
        <w:rPr>
          <w:rStyle w:val="19"/>
          <w:rFonts w:hint="eastAsia" w:ascii="宋体" w:hAnsi="宋体" w:eastAsia="宋体" w:cs="黑体"/>
          <w:b/>
          <w:bCs/>
          <w:color w:val="000000"/>
          <w:sz w:val="32"/>
          <w:szCs w:val="32"/>
          <w:highlight w:val="none"/>
          <w:lang w:val="zh-CN"/>
        </w:rPr>
        <w:t>仲裁或诉讼</w:t>
      </w:r>
      <w:bookmarkEnd w:id="1311"/>
      <w:bookmarkEnd w:id="1436"/>
      <w:bookmarkEnd w:id="1437"/>
      <w:bookmarkEnd w:id="1438"/>
      <w:bookmarkEnd w:id="1439"/>
      <w:bookmarkEnd w:id="1440"/>
      <w:bookmarkEnd w:id="1441"/>
      <w:bookmarkEnd w:id="1442"/>
      <w:bookmarkEnd w:id="1443"/>
    </w:p>
    <w:p w14:paraId="1CE8190F">
      <w:pPr>
        <w:pStyle w:val="89"/>
        <w:pageBreakBefore w:val="0"/>
        <w:kinsoku/>
        <w:wordWrap/>
        <w:overflowPunct/>
        <w:topLinePunct w:val="0"/>
        <w:bidi w:val="0"/>
        <w:spacing w:line="360" w:lineRule="auto"/>
        <w:ind w:firstLine="420" w:firstLineChars="200"/>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因合同及合同有关事项发生的争议，按下列第</w:t>
      </w:r>
      <w:r>
        <w:rPr>
          <w:rStyle w:val="19"/>
          <w:rFonts w:hint="eastAsia" w:ascii="宋体" w:hAnsi="宋体" w:eastAsia="宋体" w:cs="Times New Roman"/>
          <w:color w:val="000000"/>
          <w:highlight w:val="none"/>
          <w:u w:val="single"/>
        </w:rPr>
        <w:t>（2）</w:t>
      </w:r>
      <w:r>
        <w:rPr>
          <w:rStyle w:val="19"/>
          <w:rFonts w:hint="eastAsia" w:ascii="宋体" w:hAnsi="宋体" w:eastAsia="宋体" w:cs="宋体"/>
          <w:color w:val="000000"/>
          <w:highlight w:val="none"/>
        </w:rPr>
        <w:t>种方式解决：</w:t>
      </w:r>
    </w:p>
    <w:p w14:paraId="74CF1347">
      <w:pPr>
        <w:pStyle w:val="89"/>
        <w:pageBreakBefore w:val="0"/>
        <w:kinsoku/>
        <w:wordWrap/>
        <w:overflowPunct/>
        <w:topLinePunct w:val="0"/>
        <w:bidi w:val="0"/>
        <w:spacing w:line="360" w:lineRule="auto"/>
        <w:ind w:firstLine="420" w:firstLineChars="200"/>
        <w:jc w:val="left"/>
        <w:rPr>
          <w:rStyle w:val="19"/>
          <w:rFonts w:ascii="宋体" w:hAnsi="宋体" w:eastAsia="宋体" w:cs="Times New Roman"/>
          <w:color w:val="000000"/>
          <w:highlight w:val="none"/>
        </w:rPr>
      </w:pPr>
      <w:r>
        <w:rPr>
          <w:rStyle w:val="19"/>
          <w:rFonts w:hint="eastAsia" w:ascii="宋体" w:hAnsi="宋体" w:eastAsia="宋体" w:cs="宋体"/>
          <w:color w:val="000000"/>
          <w:highlight w:val="none"/>
        </w:rPr>
        <w:t>（</w:t>
      </w:r>
      <w:r>
        <w:rPr>
          <w:rStyle w:val="19"/>
          <w:rFonts w:ascii="宋体" w:hAnsi="宋体" w:eastAsia="宋体" w:cs="Times New Roman"/>
          <w:color w:val="000000"/>
          <w:highlight w:val="none"/>
        </w:rPr>
        <w:t>1</w:t>
      </w:r>
      <w:r>
        <w:rPr>
          <w:rStyle w:val="19"/>
          <w:rFonts w:hint="eastAsia" w:ascii="宋体" w:hAnsi="宋体" w:eastAsia="宋体" w:cs="宋体"/>
          <w:color w:val="000000"/>
          <w:highlight w:val="none"/>
        </w:rPr>
        <w:t>）提请</w:t>
      </w:r>
      <w:r>
        <w:rPr>
          <w:rStyle w:val="19"/>
          <w:rFonts w:ascii="宋体" w:hAnsi="宋体" w:eastAsia="宋体" w:cs="Times New Roman"/>
          <w:color w:val="000000"/>
          <w:highlight w:val="none"/>
          <w:u w:val="single"/>
        </w:rPr>
        <w:t xml:space="preserve">  /  </w:t>
      </w:r>
      <w:r>
        <w:rPr>
          <w:rStyle w:val="19"/>
          <w:rFonts w:hint="eastAsia" w:ascii="宋体" w:hAnsi="宋体" w:eastAsia="宋体" w:cs="宋体"/>
          <w:color w:val="000000"/>
          <w:highlight w:val="none"/>
        </w:rPr>
        <w:t>仲裁委员会按照该会仲裁规则进行仲裁，仲裁裁决是终局的，对合同双方均有约束力。</w:t>
      </w:r>
    </w:p>
    <w:p w14:paraId="582046A2">
      <w:pPr>
        <w:pStyle w:val="89"/>
        <w:pageBreakBefore w:val="0"/>
        <w:kinsoku/>
        <w:wordWrap/>
        <w:overflowPunct/>
        <w:topLinePunct w:val="0"/>
        <w:bidi w:val="0"/>
        <w:spacing w:line="360" w:lineRule="auto"/>
        <w:ind w:firstLine="420" w:firstLineChars="200"/>
        <w:jc w:val="left"/>
        <w:rPr>
          <w:rStyle w:val="19"/>
          <w:rFonts w:ascii="宋体" w:hAnsi="宋体" w:eastAsia="宋体" w:cs="宋体"/>
          <w:color w:val="000000"/>
          <w:highlight w:val="none"/>
        </w:rPr>
      </w:pPr>
      <w:r>
        <w:rPr>
          <w:rStyle w:val="19"/>
          <w:rFonts w:hint="eastAsia" w:ascii="宋体" w:hAnsi="宋体" w:eastAsia="宋体" w:cs="宋体"/>
          <w:color w:val="000000"/>
          <w:highlight w:val="none"/>
        </w:rPr>
        <w:t>（</w:t>
      </w:r>
      <w:r>
        <w:rPr>
          <w:rStyle w:val="19"/>
          <w:rFonts w:ascii="宋体" w:hAnsi="宋体" w:eastAsia="宋体" w:cs="Times New Roman"/>
          <w:color w:val="000000"/>
          <w:highlight w:val="none"/>
        </w:rPr>
        <w:t>2</w:t>
      </w:r>
      <w:r>
        <w:rPr>
          <w:rStyle w:val="19"/>
          <w:rFonts w:hint="eastAsia" w:ascii="宋体" w:hAnsi="宋体" w:eastAsia="宋体" w:cs="宋体"/>
          <w:color w:val="000000"/>
          <w:highlight w:val="none"/>
        </w:rPr>
        <w:t>）向</w:t>
      </w:r>
      <w:r>
        <w:rPr>
          <w:rStyle w:val="19"/>
          <w:rFonts w:hint="eastAsia" w:ascii="宋体" w:hAnsi="宋体" w:eastAsia="宋体" w:cs="宋体"/>
          <w:color w:val="000000"/>
          <w:szCs w:val="21"/>
          <w:highlight w:val="none"/>
          <w:u w:val="single"/>
        </w:rPr>
        <w:t>项目所在地</w:t>
      </w:r>
      <w:r>
        <w:rPr>
          <w:rStyle w:val="19"/>
          <w:rFonts w:hint="eastAsia" w:ascii="宋体" w:hAnsi="宋体" w:eastAsia="宋体" w:cs="宋体"/>
          <w:color w:val="000000"/>
          <w:highlight w:val="none"/>
        </w:rPr>
        <w:t>人民法院起诉。</w:t>
      </w:r>
    </w:p>
    <w:p w14:paraId="487D7484">
      <w:pPr>
        <w:pStyle w:val="89"/>
        <w:keepNext/>
        <w:keepLines/>
        <w:pageBreakBefore w:val="0"/>
        <w:kinsoku/>
        <w:wordWrap/>
        <w:overflowPunct/>
        <w:topLinePunct w:val="0"/>
        <w:bidi w:val="0"/>
        <w:spacing w:line="360" w:lineRule="auto"/>
        <w:outlineLvl w:val="2"/>
        <w:rPr>
          <w:rStyle w:val="19"/>
          <w:rFonts w:ascii="宋体" w:hAnsi="宋体" w:eastAsia="宋体" w:cs="黑体"/>
          <w:b/>
          <w:bCs/>
          <w:color w:val="000000"/>
          <w:sz w:val="32"/>
          <w:szCs w:val="32"/>
          <w:highlight w:val="none"/>
          <w:lang w:val="zh-CN"/>
        </w:rPr>
      </w:pPr>
      <w:bookmarkStart w:id="1444" w:name="_Toc22127"/>
      <w:r>
        <w:rPr>
          <w:rStyle w:val="19"/>
          <w:rFonts w:hint="eastAsia" w:ascii="宋体" w:hAnsi="宋体" w:eastAsia="宋体" w:cs="黑体"/>
          <w:b/>
          <w:bCs/>
          <w:color w:val="000000"/>
          <w:sz w:val="32"/>
          <w:szCs w:val="32"/>
          <w:highlight w:val="none"/>
          <w:lang w:val="zh-CN"/>
        </w:rPr>
        <w:t>21. 补充条款</w:t>
      </w:r>
      <w:bookmarkEnd w:id="1444"/>
    </w:p>
    <w:p w14:paraId="5D765252">
      <w:pPr>
        <w:pStyle w:val="89"/>
        <w:pageBreakBefore w:val="0"/>
        <w:kinsoku/>
        <w:wordWrap/>
        <w:overflowPunct/>
        <w:topLinePunct w:val="0"/>
        <w:bidi w:val="0"/>
        <w:spacing w:line="360" w:lineRule="auto"/>
        <w:ind w:firstLine="420" w:firstLineChars="200"/>
        <w:jc w:val="left"/>
        <w:rPr>
          <w:rStyle w:val="19"/>
          <w:rFonts w:hint="eastAsia" w:ascii="宋体" w:hAnsi="宋体" w:eastAsia="宋体" w:cs="宋体"/>
          <w:highlight w:val="none"/>
        </w:rPr>
      </w:pPr>
      <w:r>
        <w:rPr>
          <w:rStyle w:val="19"/>
          <w:rFonts w:hint="eastAsia" w:ascii="Calibri" w:hAnsi="Calibri" w:eastAsia="宋体" w:cs="Times New Roman"/>
          <w:color w:val="000000"/>
          <w:szCs w:val="21"/>
          <w:highlight w:val="none"/>
        </w:rPr>
        <w:t>21.1 承包人提交给发包人、监理人的所有通知、报告、信函、索赔申请以及其他相关文件等，发包人在指定时间内没有回复的，不代表默认同意、接受或认可。</w:t>
      </w:r>
      <w:bookmarkEnd w:id="262"/>
      <w:bookmarkEnd w:id="263"/>
      <w:bookmarkEnd w:id="264"/>
      <w:bookmarkEnd w:id="265"/>
      <w:bookmarkEnd w:id="266"/>
      <w:bookmarkEnd w:id="267"/>
    </w:p>
    <w:p w14:paraId="3A3B66C3">
      <w:pPr>
        <w:pStyle w:val="90"/>
        <w:pageBreakBefore w:val="0"/>
        <w:kinsoku/>
        <w:wordWrap/>
        <w:overflowPunct/>
        <w:topLinePunct w:val="0"/>
        <w:bidi w:val="0"/>
        <w:spacing w:line="360" w:lineRule="auto"/>
        <w:rPr>
          <w:rStyle w:val="19"/>
          <w:rFonts w:ascii="宋体" w:hAnsi="宋体" w:eastAsia="宋体" w:cs="Times New Roman"/>
          <w:highlight w:val="none"/>
        </w:rPr>
      </w:pPr>
    </w:p>
    <w:p w14:paraId="334559D9">
      <w:pPr>
        <w:pStyle w:val="32"/>
        <w:pageBreakBefore w:val="0"/>
        <w:kinsoku/>
        <w:wordWrap/>
        <w:overflowPunct/>
        <w:topLinePunct w:val="0"/>
        <w:bidi w:val="0"/>
        <w:spacing w:line="360" w:lineRule="auto"/>
        <w:jc w:val="left"/>
        <w:rPr>
          <w:rStyle w:val="19"/>
          <w:rFonts w:ascii="宋体" w:hAnsi="宋体" w:eastAsia="宋体" w:cs="Times New Roman"/>
          <w:b/>
          <w:bCs/>
          <w:sz w:val="28"/>
          <w:szCs w:val="28"/>
          <w:highlight w:val="none"/>
        </w:rPr>
      </w:pPr>
      <w:bookmarkStart w:id="1445" w:name="_Toc351203652"/>
      <w:r>
        <w:rPr>
          <w:rStyle w:val="19"/>
          <w:rFonts w:hint="eastAsia" w:ascii="宋体" w:hAnsi="宋体" w:eastAsia="宋体" w:cs="黑体"/>
          <w:b/>
          <w:bCs/>
          <w:sz w:val="28"/>
          <w:szCs w:val="28"/>
          <w:highlight w:val="none"/>
        </w:rPr>
        <w:t>附件</w:t>
      </w:r>
    </w:p>
    <w:p w14:paraId="1820A058">
      <w:pPr>
        <w:pStyle w:val="32"/>
        <w:pageBreakBefore w:val="0"/>
        <w:kinsoku/>
        <w:wordWrap/>
        <w:overflowPunct/>
        <w:topLinePunct w:val="0"/>
        <w:bidi w:val="0"/>
        <w:spacing w:line="360" w:lineRule="auto"/>
        <w:jc w:val="left"/>
        <w:rPr>
          <w:rStyle w:val="19"/>
          <w:rFonts w:hint="eastAsia" w:ascii="宋体" w:hAnsi="宋体" w:eastAsia="宋体" w:cs="宋体"/>
          <w:highlight w:val="none"/>
        </w:rPr>
      </w:pPr>
      <w:r>
        <w:rPr>
          <w:rStyle w:val="19"/>
          <w:rFonts w:hint="eastAsia" w:ascii="宋体" w:hAnsi="宋体" w:eastAsia="宋体" w:cs="宋体"/>
          <w:highlight w:val="none"/>
        </w:rPr>
        <w:t>附件</w:t>
      </w:r>
      <w:r>
        <w:rPr>
          <w:rStyle w:val="19"/>
          <w:rFonts w:ascii="宋体" w:hAnsi="宋体" w:eastAsia="宋体" w:cs="宋体"/>
          <w:highlight w:val="none"/>
        </w:rPr>
        <w:t>1</w:t>
      </w:r>
      <w:r>
        <w:rPr>
          <w:rStyle w:val="19"/>
          <w:rFonts w:hint="eastAsia" w:ascii="宋体" w:hAnsi="宋体" w:eastAsia="宋体" w:cs="宋体"/>
          <w:highlight w:val="none"/>
        </w:rPr>
        <w:t>：承包人承揽工程项目一览表</w:t>
      </w:r>
    </w:p>
    <w:p w14:paraId="261C97F6">
      <w:pPr>
        <w:pStyle w:val="32"/>
        <w:pageBreakBefore w:val="0"/>
        <w:kinsoku/>
        <w:wordWrap/>
        <w:overflowPunct/>
        <w:topLinePunct w:val="0"/>
        <w:bidi w:val="0"/>
        <w:spacing w:line="360" w:lineRule="auto"/>
        <w:jc w:val="left"/>
        <w:rPr>
          <w:rStyle w:val="19"/>
          <w:rFonts w:ascii="宋体" w:hAnsi="宋体" w:eastAsia="宋体" w:cs="宋体"/>
          <w:highlight w:val="none"/>
        </w:rPr>
      </w:pPr>
      <w:r>
        <w:rPr>
          <w:rStyle w:val="19"/>
          <w:rFonts w:hint="eastAsia" w:ascii="宋体" w:hAnsi="宋体" w:eastAsia="宋体" w:cs="宋体"/>
          <w:highlight w:val="none"/>
        </w:rPr>
        <w:t>附件2：工程质量保修书</w:t>
      </w:r>
    </w:p>
    <w:p w14:paraId="7B07C1F3">
      <w:pPr>
        <w:pStyle w:val="32"/>
        <w:pageBreakBefore w:val="0"/>
        <w:kinsoku/>
        <w:wordWrap/>
        <w:overflowPunct/>
        <w:topLinePunct w:val="0"/>
        <w:bidi w:val="0"/>
        <w:spacing w:line="360" w:lineRule="auto"/>
        <w:jc w:val="left"/>
        <w:rPr>
          <w:rStyle w:val="19"/>
          <w:rFonts w:hint="eastAsia" w:ascii="宋体" w:hAnsi="宋体" w:eastAsia="宋体" w:cs="宋体"/>
          <w:highlight w:val="none"/>
        </w:rPr>
      </w:pPr>
      <w:r>
        <w:rPr>
          <w:rStyle w:val="19"/>
          <w:rFonts w:ascii="宋体" w:hAnsi="宋体" w:eastAsia="宋体" w:cs="宋体"/>
          <w:highlight w:val="none"/>
        </w:rPr>
        <w:t>附件</w:t>
      </w:r>
      <w:r>
        <w:rPr>
          <w:rStyle w:val="19"/>
          <w:rFonts w:hint="eastAsia" w:ascii="宋体" w:hAnsi="宋体" w:eastAsia="宋体" w:cs="宋体"/>
          <w:highlight w:val="none"/>
        </w:rPr>
        <w:t>3</w:t>
      </w:r>
      <w:r>
        <w:rPr>
          <w:rStyle w:val="19"/>
          <w:rFonts w:ascii="宋体" w:hAnsi="宋体" w:eastAsia="宋体" w:cs="宋体"/>
          <w:highlight w:val="none"/>
        </w:rPr>
        <w:t>：主要建设工程文件目录</w:t>
      </w:r>
    </w:p>
    <w:p w14:paraId="67F8622B">
      <w:pPr>
        <w:pStyle w:val="32"/>
        <w:pageBreakBefore w:val="0"/>
        <w:kinsoku/>
        <w:wordWrap/>
        <w:overflowPunct/>
        <w:topLinePunct w:val="0"/>
        <w:bidi w:val="0"/>
        <w:spacing w:line="360" w:lineRule="auto"/>
        <w:jc w:val="left"/>
        <w:rPr>
          <w:rStyle w:val="19"/>
          <w:rFonts w:ascii="宋体" w:hAnsi="宋体" w:eastAsia="宋体" w:cs="宋体"/>
          <w:highlight w:val="none"/>
        </w:rPr>
      </w:pPr>
      <w:r>
        <w:rPr>
          <w:rStyle w:val="19"/>
          <w:rFonts w:hint="eastAsia" w:ascii="宋体" w:hAnsi="宋体" w:eastAsia="宋体" w:cs="宋体"/>
          <w:highlight w:val="none"/>
        </w:rPr>
        <w:t>附件4：承包人用于本工程施工的机械设备表</w:t>
      </w:r>
    </w:p>
    <w:p w14:paraId="783A877B">
      <w:pPr>
        <w:pStyle w:val="32"/>
        <w:pageBreakBefore w:val="0"/>
        <w:kinsoku/>
        <w:wordWrap/>
        <w:overflowPunct/>
        <w:topLinePunct w:val="0"/>
        <w:bidi w:val="0"/>
        <w:spacing w:line="360" w:lineRule="auto"/>
        <w:jc w:val="left"/>
        <w:rPr>
          <w:rStyle w:val="19"/>
          <w:rFonts w:ascii="宋体" w:hAnsi="宋体" w:eastAsia="宋体" w:cs="Times New Roman"/>
          <w:highlight w:val="none"/>
        </w:rPr>
      </w:pPr>
      <w:r>
        <w:rPr>
          <w:rStyle w:val="19"/>
          <w:rFonts w:hint="eastAsia" w:ascii="宋体" w:hAnsi="宋体" w:eastAsia="宋体" w:cs="宋体"/>
          <w:highlight w:val="none"/>
        </w:rPr>
        <w:t>附件5：承包人主要施工管理人员表</w:t>
      </w:r>
    </w:p>
    <w:p w14:paraId="41402B03">
      <w:pPr>
        <w:pStyle w:val="32"/>
        <w:pageBreakBefore w:val="0"/>
        <w:kinsoku/>
        <w:wordWrap/>
        <w:overflowPunct/>
        <w:topLinePunct w:val="0"/>
        <w:bidi w:val="0"/>
        <w:spacing w:line="360" w:lineRule="auto"/>
        <w:jc w:val="left"/>
        <w:rPr>
          <w:rStyle w:val="19"/>
          <w:rFonts w:ascii="宋体" w:hAnsi="宋体" w:eastAsia="宋体" w:cs="Times New Roman"/>
          <w:highlight w:val="none"/>
        </w:rPr>
      </w:pPr>
      <w:r>
        <w:rPr>
          <w:rStyle w:val="19"/>
          <w:rFonts w:hint="eastAsia" w:ascii="宋体" w:hAnsi="宋体" w:eastAsia="宋体" w:cs="宋体"/>
          <w:highlight w:val="none"/>
        </w:rPr>
        <w:t>附件6：分包人主要施工管理人员表</w:t>
      </w:r>
    </w:p>
    <w:p w14:paraId="2BF43203">
      <w:pPr>
        <w:pStyle w:val="32"/>
        <w:pageBreakBefore w:val="0"/>
        <w:kinsoku/>
        <w:wordWrap/>
        <w:overflowPunct/>
        <w:topLinePunct w:val="0"/>
        <w:bidi w:val="0"/>
        <w:spacing w:line="360" w:lineRule="auto"/>
        <w:jc w:val="left"/>
        <w:rPr>
          <w:rStyle w:val="19"/>
          <w:rFonts w:ascii="宋体" w:hAnsi="宋体" w:eastAsia="宋体" w:cs="Times New Roman"/>
          <w:highlight w:val="none"/>
        </w:rPr>
      </w:pPr>
      <w:r>
        <w:rPr>
          <w:rStyle w:val="19"/>
          <w:rFonts w:hint="eastAsia" w:ascii="宋体" w:hAnsi="宋体" w:eastAsia="宋体" w:cs="宋体"/>
          <w:highlight w:val="none"/>
        </w:rPr>
        <w:t>附件7：履约担保格式（独立保函、非独立保函）</w:t>
      </w:r>
    </w:p>
    <w:p w14:paraId="630FE26E">
      <w:pPr>
        <w:pStyle w:val="32"/>
        <w:pageBreakBefore w:val="0"/>
        <w:kinsoku/>
        <w:wordWrap/>
        <w:overflowPunct/>
        <w:topLinePunct w:val="0"/>
        <w:bidi w:val="0"/>
        <w:spacing w:line="360" w:lineRule="auto"/>
        <w:jc w:val="left"/>
        <w:rPr>
          <w:rStyle w:val="19"/>
          <w:rFonts w:hint="eastAsia" w:ascii="宋体" w:hAnsi="宋体" w:eastAsia="宋体" w:cs="宋体"/>
          <w:highlight w:val="none"/>
        </w:rPr>
      </w:pPr>
      <w:r>
        <w:rPr>
          <w:rStyle w:val="19"/>
          <w:rFonts w:hint="eastAsia" w:ascii="宋体" w:hAnsi="宋体" w:eastAsia="宋体" w:cs="宋体"/>
          <w:highlight w:val="none"/>
        </w:rPr>
        <w:t>附件8：预付款担保格式（独立保函、非独立保函）</w:t>
      </w:r>
    </w:p>
    <w:p w14:paraId="155D6216">
      <w:pPr>
        <w:pStyle w:val="32"/>
        <w:pageBreakBefore w:val="0"/>
        <w:kinsoku/>
        <w:wordWrap/>
        <w:overflowPunct/>
        <w:topLinePunct w:val="0"/>
        <w:bidi w:val="0"/>
        <w:spacing w:line="360" w:lineRule="auto"/>
        <w:jc w:val="left"/>
        <w:rPr>
          <w:rStyle w:val="19"/>
          <w:rFonts w:ascii="宋体" w:hAnsi="宋体" w:eastAsia="宋体" w:cs="宋体"/>
          <w:highlight w:val="none"/>
        </w:rPr>
      </w:pPr>
      <w:r>
        <w:rPr>
          <w:rStyle w:val="19"/>
          <w:rFonts w:hint="eastAsia" w:ascii="宋体" w:hAnsi="宋体" w:eastAsia="宋体" w:cs="宋体"/>
          <w:highlight w:val="none"/>
        </w:rPr>
        <w:t>附件9：支付担保格式（独立保函、非独立保函）</w:t>
      </w:r>
    </w:p>
    <w:p w14:paraId="5C6E6B0C">
      <w:pPr>
        <w:pStyle w:val="32"/>
        <w:pageBreakBefore w:val="0"/>
        <w:kinsoku/>
        <w:wordWrap/>
        <w:overflowPunct/>
        <w:topLinePunct w:val="0"/>
        <w:bidi w:val="0"/>
        <w:spacing w:line="360" w:lineRule="auto"/>
        <w:jc w:val="left"/>
        <w:rPr>
          <w:rStyle w:val="19"/>
          <w:rFonts w:hint="eastAsia" w:ascii="宋体" w:hAnsi="宋体" w:eastAsia="宋体" w:cs="Times New Roman"/>
          <w:highlight w:val="none"/>
        </w:rPr>
      </w:pPr>
      <w:r>
        <w:rPr>
          <w:rStyle w:val="19"/>
          <w:rFonts w:hint="eastAsia" w:ascii="宋体" w:hAnsi="宋体" w:eastAsia="宋体" w:cs="宋体"/>
          <w:highlight w:val="none"/>
        </w:rPr>
        <w:t>附件10：预付款</w:t>
      </w:r>
      <w:r>
        <w:rPr>
          <w:rStyle w:val="19"/>
          <w:rFonts w:hint="eastAsia" w:ascii="宋体" w:hAnsi="宋体" w:eastAsia="宋体" w:cs="Times New Roman"/>
          <w:highlight w:val="none"/>
        </w:rPr>
        <w:t>支付申请（核准）表</w:t>
      </w:r>
    </w:p>
    <w:p w14:paraId="505B5645">
      <w:pPr>
        <w:pStyle w:val="32"/>
        <w:pageBreakBefore w:val="0"/>
        <w:kinsoku/>
        <w:wordWrap/>
        <w:overflowPunct/>
        <w:topLinePunct w:val="0"/>
        <w:bidi w:val="0"/>
        <w:spacing w:line="360" w:lineRule="auto"/>
        <w:jc w:val="left"/>
        <w:rPr>
          <w:rStyle w:val="19"/>
          <w:rFonts w:hint="eastAsia" w:ascii="宋体" w:hAnsi="宋体" w:eastAsia="宋体" w:cs="Times New Roman"/>
          <w:highlight w:val="none"/>
        </w:rPr>
      </w:pPr>
      <w:r>
        <w:rPr>
          <w:rStyle w:val="19"/>
          <w:rFonts w:hint="eastAsia" w:ascii="宋体" w:hAnsi="宋体" w:eastAsia="宋体" w:cs="宋体"/>
          <w:highlight w:val="none"/>
        </w:rPr>
        <w:t>附件11：</w:t>
      </w:r>
      <w:r>
        <w:rPr>
          <w:rStyle w:val="19"/>
          <w:rFonts w:hint="eastAsia" w:ascii="宋体" w:hAnsi="宋体" w:eastAsia="宋体" w:cs="Times New Roman"/>
          <w:highlight w:val="none"/>
        </w:rPr>
        <w:t>进度款支付申请（核准）表</w:t>
      </w:r>
    </w:p>
    <w:p w14:paraId="15CC1F00">
      <w:pPr>
        <w:pStyle w:val="32"/>
        <w:pageBreakBefore w:val="0"/>
        <w:kinsoku/>
        <w:wordWrap/>
        <w:overflowPunct/>
        <w:topLinePunct w:val="0"/>
        <w:bidi w:val="0"/>
        <w:spacing w:line="360" w:lineRule="auto"/>
        <w:jc w:val="left"/>
        <w:rPr>
          <w:rStyle w:val="19"/>
          <w:rFonts w:hint="eastAsia" w:ascii="宋体" w:hAnsi="宋体" w:eastAsia="宋体" w:cs="Times New Roman"/>
          <w:highlight w:val="none"/>
        </w:rPr>
      </w:pPr>
      <w:r>
        <w:rPr>
          <w:rStyle w:val="19"/>
          <w:rFonts w:hint="eastAsia" w:ascii="宋体" w:hAnsi="宋体" w:eastAsia="宋体" w:cs="宋体"/>
          <w:highlight w:val="none"/>
        </w:rPr>
        <w:t>附件12：竣工结算</w:t>
      </w:r>
      <w:r>
        <w:rPr>
          <w:rStyle w:val="19"/>
          <w:rFonts w:hint="eastAsia" w:ascii="宋体" w:hAnsi="宋体" w:eastAsia="宋体" w:cs="Times New Roman"/>
          <w:highlight w:val="none"/>
        </w:rPr>
        <w:t>款支付申请（核准）表</w:t>
      </w:r>
    </w:p>
    <w:p w14:paraId="5764856C">
      <w:pPr>
        <w:pStyle w:val="32"/>
        <w:pageBreakBefore w:val="0"/>
        <w:kinsoku/>
        <w:wordWrap/>
        <w:overflowPunct/>
        <w:topLinePunct w:val="0"/>
        <w:bidi w:val="0"/>
        <w:spacing w:line="360" w:lineRule="auto"/>
        <w:jc w:val="left"/>
        <w:rPr>
          <w:rStyle w:val="19"/>
          <w:rFonts w:hint="eastAsia" w:ascii="宋体" w:hAnsi="宋体" w:eastAsia="宋体" w:cs="Times New Roman"/>
          <w:highlight w:val="none"/>
        </w:rPr>
      </w:pPr>
      <w:r>
        <w:rPr>
          <w:rStyle w:val="19"/>
          <w:rFonts w:hint="eastAsia" w:ascii="宋体" w:hAnsi="宋体" w:eastAsia="宋体" w:cs="宋体"/>
          <w:highlight w:val="none"/>
        </w:rPr>
        <w:t>附件13：最终结算</w:t>
      </w:r>
      <w:r>
        <w:rPr>
          <w:rStyle w:val="19"/>
          <w:rFonts w:hint="eastAsia" w:ascii="宋体" w:hAnsi="宋体" w:eastAsia="宋体" w:cs="Times New Roman"/>
          <w:highlight w:val="none"/>
        </w:rPr>
        <w:t>款支付申请（核准）表</w:t>
      </w:r>
    </w:p>
    <w:p w14:paraId="5B031DDA">
      <w:pPr>
        <w:pStyle w:val="32"/>
        <w:pageBreakBefore w:val="0"/>
        <w:kinsoku/>
        <w:wordWrap/>
        <w:overflowPunct/>
        <w:topLinePunct w:val="0"/>
        <w:bidi w:val="0"/>
        <w:spacing w:line="360" w:lineRule="auto"/>
        <w:jc w:val="left"/>
        <w:rPr>
          <w:rStyle w:val="19"/>
          <w:rFonts w:hint="eastAsia" w:ascii="宋体" w:hAnsi="宋体" w:eastAsia="宋体" w:cs="Times New Roman"/>
          <w:highlight w:val="none"/>
        </w:rPr>
      </w:pPr>
      <w:r>
        <w:rPr>
          <w:rStyle w:val="19"/>
          <w:rFonts w:hint="eastAsia" w:ascii="宋体" w:hAnsi="宋体" w:eastAsia="宋体" w:cs="Times New Roman"/>
          <w:highlight w:val="none"/>
        </w:rPr>
        <w:t>附件14：总价合同进度款支付分解表</w:t>
      </w:r>
    </w:p>
    <w:p w14:paraId="090C070B">
      <w:pPr>
        <w:pStyle w:val="32"/>
        <w:pageBreakBefore w:val="0"/>
        <w:kinsoku/>
        <w:wordWrap/>
        <w:overflowPunct/>
        <w:topLinePunct w:val="0"/>
        <w:bidi w:val="0"/>
        <w:spacing w:line="360" w:lineRule="auto"/>
        <w:jc w:val="left"/>
        <w:rPr>
          <w:rStyle w:val="19"/>
          <w:rFonts w:ascii="宋体" w:hAnsi="宋体" w:eastAsia="宋体" w:cs="宋体"/>
          <w:highlight w:val="none"/>
        </w:rPr>
      </w:pPr>
      <w:r>
        <w:rPr>
          <w:rStyle w:val="19"/>
          <w:rFonts w:hint="eastAsia" w:ascii="宋体" w:hAnsi="宋体" w:eastAsia="宋体" w:cs="宋体"/>
          <w:highlight w:val="none"/>
        </w:rPr>
        <w:t>附件1</w:t>
      </w:r>
      <w:r>
        <w:rPr>
          <w:rStyle w:val="19"/>
          <w:rFonts w:ascii="宋体" w:hAnsi="宋体" w:eastAsia="宋体" w:cs="宋体"/>
          <w:highlight w:val="none"/>
        </w:rPr>
        <w:t>5</w:t>
      </w:r>
      <w:r>
        <w:rPr>
          <w:rStyle w:val="19"/>
          <w:rFonts w:hint="eastAsia" w:ascii="宋体" w:hAnsi="宋体" w:eastAsia="宋体" w:cs="宋体"/>
          <w:highlight w:val="none"/>
        </w:rPr>
        <w:t>：施工安全生产责任书</w:t>
      </w:r>
    </w:p>
    <w:p w14:paraId="57B830E5">
      <w:pPr>
        <w:pStyle w:val="32"/>
        <w:pageBreakBefore w:val="0"/>
        <w:kinsoku/>
        <w:wordWrap/>
        <w:overflowPunct/>
        <w:topLinePunct w:val="0"/>
        <w:bidi w:val="0"/>
        <w:spacing w:line="360" w:lineRule="auto"/>
        <w:jc w:val="left"/>
        <w:rPr>
          <w:rStyle w:val="19"/>
          <w:rFonts w:hint="eastAsia" w:ascii="宋体" w:hAnsi="宋体" w:eastAsia="宋体" w:cs="宋体"/>
          <w:highlight w:val="none"/>
        </w:rPr>
      </w:pPr>
      <w:r>
        <w:rPr>
          <w:rStyle w:val="19"/>
          <w:rFonts w:hint="eastAsia" w:ascii="宋体" w:hAnsi="宋体" w:eastAsia="宋体" w:cs="宋体"/>
          <w:highlight w:val="none"/>
        </w:rPr>
        <w:t>附件1</w:t>
      </w:r>
      <w:r>
        <w:rPr>
          <w:rStyle w:val="19"/>
          <w:rFonts w:ascii="宋体" w:hAnsi="宋体" w:eastAsia="宋体" w:cs="宋体"/>
          <w:highlight w:val="none"/>
        </w:rPr>
        <w:t>6</w:t>
      </w:r>
      <w:r>
        <w:rPr>
          <w:rStyle w:val="19"/>
          <w:rFonts w:hint="eastAsia" w:ascii="宋体" w:hAnsi="宋体" w:eastAsia="宋体" w:cs="宋体"/>
          <w:highlight w:val="none"/>
        </w:rPr>
        <w:t>：中标工程量清单</w:t>
      </w:r>
    </w:p>
    <w:p w14:paraId="1E927C3B">
      <w:pPr>
        <w:pStyle w:val="32"/>
        <w:pageBreakBefore w:val="0"/>
        <w:kinsoku/>
        <w:wordWrap/>
        <w:overflowPunct/>
        <w:topLinePunct w:val="0"/>
        <w:bidi w:val="0"/>
        <w:spacing w:line="360" w:lineRule="auto"/>
        <w:jc w:val="left"/>
        <w:rPr>
          <w:rStyle w:val="19"/>
          <w:rFonts w:hint="eastAsia" w:ascii="宋体" w:hAnsi="宋体" w:eastAsia="宋体" w:cs="宋体"/>
          <w:highlight w:val="none"/>
        </w:rPr>
      </w:pPr>
      <w:r>
        <w:rPr>
          <w:rStyle w:val="19"/>
          <w:rFonts w:hint="eastAsia" w:ascii="宋体" w:hAnsi="宋体" w:eastAsia="宋体" w:cs="宋体"/>
          <w:highlight w:val="none"/>
        </w:rPr>
        <w:t>附件1</w:t>
      </w:r>
      <w:r>
        <w:rPr>
          <w:rStyle w:val="19"/>
          <w:rFonts w:ascii="宋体" w:hAnsi="宋体" w:eastAsia="宋体" w:cs="宋体"/>
          <w:highlight w:val="none"/>
        </w:rPr>
        <w:t>7</w:t>
      </w:r>
      <w:r>
        <w:rPr>
          <w:rStyle w:val="19"/>
          <w:rFonts w:hint="eastAsia" w:ascii="宋体" w:hAnsi="宋体" w:eastAsia="宋体" w:cs="宋体"/>
          <w:highlight w:val="none"/>
        </w:rPr>
        <w:t>：廉洁协议</w:t>
      </w:r>
    </w:p>
    <w:p w14:paraId="7D57310C">
      <w:pPr>
        <w:pStyle w:val="32"/>
        <w:spacing w:before="120" w:beforeLines="50" w:after="120" w:afterLines="50" w:line="440" w:lineRule="exact"/>
        <w:jc w:val="left"/>
        <w:rPr>
          <w:rStyle w:val="19"/>
          <w:rFonts w:hint="eastAsia" w:ascii="宋体" w:hAnsi="宋体" w:eastAsia="宋体" w:cs="仿宋_GB2312"/>
          <w:sz w:val="30"/>
          <w:szCs w:val="30"/>
          <w:highlight w:val="none"/>
        </w:rPr>
        <w:sectPr>
          <w:pgSz w:w="11906" w:h="16838"/>
          <w:pgMar w:top="1440" w:right="1080" w:bottom="1440" w:left="1080" w:header="851" w:footer="992" w:gutter="0"/>
          <w:cols w:space="720" w:num="1"/>
          <w:docGrid w:type="lines" w:linePitch="312" w:charSpace="0"/>
        </w:sectPr>
      </w:pPr>
    </w:p>
    <w:bookmarkEnd w:id="1445"/>
    <w:p w14:paraId="461ECAA5">
      <w:pPr>
        <w:pStyle w:val="32"/>
        <w:spacing w:before="120" w:beforeLines="50" w:after="120" w:afterLines="50" w:line="440" w:lineRule="exact"/>
        <w:jc w:val="left"/>
        <w:rPr>
          <w:rStyle w:val="19"/>
          <w:rFonts w:ascii="宋体" w:hAnsi="宋体" w:eastAsia="宋体" w:cs="Times New Roman"/>
          <w:sz w:val="30"/>
          <w:szCs w:val="30"/>
          <w:highlight w:val="none"/>
        </w:rPr>
      </w:pPr>
      <w:r>
        <w:rPr>
          <w:rStyle w:val="19"/>
          <w:rFonts w:hint="eastAsia" w:ascii="宋体" w:hAnsi="宋体" w:eastAsia="宋体" w:cs="仿宋_GB2312"/>
          <w:sz w:val="30"/>
          <w:szCs w:val="30"/>
          <w:highlight w:val="none"/>
        </w:rPr>
        <w:t>附件</w:t>
      </w:r>
      <w:r>
        <w:rPr>
          <w:rStyle w:val="19"/>
          <w:rFonts w:ascii="宋体" w:hAnsi="宋体" w:eastAsia="宋体" w:cs="仿宋_GB2312"/>
          <w:sz w:val="30"/>
          <w:szCs w:val="30"/>
          <w:highlight w:val="none"/>
        </w:rPr>
        <w:t>1</w:t>
      </w:r>
      <w:r>
        <w:rPr>
          <w:rStyle w:val="19"/>
          <w:rFonts w:hint="eastAsia" w:ascii="宋体" w:hAnsi="宋体" w:eastAsia="宋体" w:cs="仿宋_GB2312"/>
          <w:sz w:val="30"/>
          <w:szCs w:val="30"/>
          <w:highlight w:val="none"/>
        </w:rPr>
        <w:t>：</w:t>
      </w:r>
    </w:p>
    <w:p w14:paraId="0F3C1FA4">
      <w:pPr>
        <w:pStyle w:val="32"/>
        <w:spacing w:before="120" w:beforeLines="50" w:after="120" w:afterLines="50" w:line="440" w:lineRule="exact"/>
        <w:jc w:val="center"/>
        <w:rPr>
          <w:rStyle w:val="19"/>
          <w:rFonts w:ascii="宋体" w:hAnsi="宋体" w:eastAsia="宋体" w:cs="Times New Roman"/>
          <w:sz w:val="30"/>
          <w:szCs w:val="30"/>
          <w:highlight w:val="none"/>
        </w:rPr>
      </w:pPr>
      <w:r>
        <w:rPr>
          <w:rStyle w:val="19"/>
          <w:rFonts w:hint="eastAsia" w:ascii="宋体" w:hAnsi="宋体" w:eastAsia="宋体" w:cs="黑体"/>
          <w:sz w:val="30"/>
          <w:szCs w:val="30"/>
          <w:highlight w:val="none"/>
        </w:rPr>
        <w:t>承包人承揽工程项目一览表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69EE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noWrap w:val="0"/>
            <w:vAlign w:val="center"/>
          </w:tcPr>
          <w:p w14:paraId="3EB3CEFD">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单位工程名称</w:t>
            </w:r>
          </w:p>
        </w:tc>
        <w:tc>
          <w:tcPr>
            <w:tcW w:w="1440" w:type="dxa"/>
            <w:noWrap w:val="0"/>
            <w:vAlign w:val="center"/>
          </w:tcPr>
          <w:p w14:paraId="2BCD64B8">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建设规模</w:t>
            </w:r>
          </w:p>
        </w:tc>
        <w:tc>
          <w:tcPr>
            <w:tcW w:w="1620" w:type="dxa"/>
            <w:noWrap w:val="0"/>
            <w:vAlign w:val="center"/>
          </w:tcPr>
          <w:p w14:paraId="73FE744A">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建筑面积</w:t>
            </w:r>
            <w:r>
              <w:rPr>
                <w:rStyle w:val="19"/>
                <w:rFonts w:ascii="宋体" w:hAnsi="宋体" w:eastAsia="宋体" w:cs="Times New Roman"/>
                <w:sz w:val="28"/>
                <w:szCs w:val="28"/>
                <w:highlight w:val="none"/>
              </w:rPr>
              <w:t>(</w:t>
            </w:r>
            <w:r>
              <w:rPr>
                <w:rStyle w:val="19"/>
                <w:rFonts w:hint="eastAsia" w:ascii="宋体" w:hAnsi="宋体" w:eastAsia="宋体" w:cs="仿宋_GB2312"/>
                <w:sz w:val="28"/>
                <w:szCs w:val="28"/>
                <w:highlight w:val="none"/>
              </w:rPr>
              <w:t>平方米</w:t>
            </w:r>
            <w:r>
              <w:rPr>
                <w:rStyle w:val="19"/>
                <w:rFonts w:ascii="宋体" w:hAnsi="宋体" w:eastAsia="宋体" w:cs="Times New Roman"/>
                <w:sz w:val="28"/>
                <w:szCs w:val="28"/>
                <w:highlight w:val="none"/>
              </w:rPr>
              <w:t>)</w:t>
            </w:r>
          </w:p>
        </w:tc>
        <w:tc>
          <w:tcPr>
            <w:tcW w:w="1661" w:type="dxa"/>
            <w:noWrap w:val="0"/>
            <w:vAlign w:val="center"/>
          </w:tcPr>
          <w:p w14:paraId="6BD88B85">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结构形式</w:t>
            </w:r>
          </w:p>
        </w:tc>
        <w:tc>
          <w:tcPr>
            <w:tcW w:w="850" w:type="dxa"/>
            <w:noWrap w:val="0"/>
            <w:vAlign w:val="center"/>
          </w:tcPr>
          <w:p w14:paraId="6B80E615">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层数</w:t>
            </w:r>
          </w:p>
        </w:tc>
        <w:tc>
          <w:tcPr>
            <w:tcW w:w="1560" w:type="dxa"/>
            <w:noWrap w:val="0"/>
            <w:vAlign w:val="center"/>
          </w:tcPr>
          <w:p w14:paraId="64F0C18D">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生产能力</w:t>
            </w:r>
          </w:p>
        </w:tc>
        <w:tc>
          <w:tcPr>
            <w:tcW w:w="2126" w:type="dxa"/>
            <w:noWrap w:val="0"/>
            <w:vAlign w:val="center"/>
          </w:tcPr>
          <w:p w14:paraId="163E4DC3">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设备安装内容</w:t>
            </w:r>
          </w:p>
        </w:tc>
        <w:tc>
          <w:tcPr>
            <w:tcW w:w="1417" w:type="dxa"/>
            <w:noWrap w:val="0"/>
            <w:vAlign w:val="center"/>
          </w:tcPr>
          <w:p w14:paraId="753BC636">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合同价格（元）</w:t>
            </w:r>
          </w:p>
        </w:tc>
        <w:tc>
          <w:tcPr>
            <w:tcW w:w="851" w:type="dxa"/>
            <w:noWrap w:val="0"/>
            <w:vAlign w:val="center"/>
          </w:tcPr>
          <w:p w14:paraId="6184D5CB">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开工日期</w:t>
            </w:r>
          </w:p>
        </w:tc>
        <w:tc>
          <w:tcPr>
            <w:tcW w:w="850" w:type="dxa"/>
            <w:noWrap w:val="0"/>
            <w:vAlign w:val="center"/>
          </w:tcPr>
          <w:p w14:paraId="13FFF81A">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竣工日期</w:t>
            </w:r>
          </w:p>
        </w:tc>
      </w:tr>
      <w:tr w14:paraId="778F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4E718CAB">
            <w:pPr>
              <w:pStyle w:val="91"/>
              <w:keepNext/>
              <w:spacing w:after="0" w:line="440" w:lineRule="exact"/>
              <w:ind w:left="63" w:right="63"/>
              <w:rPr>
                <w:rStyle w:val="19"/>
                <w:rFonts w:ascii="宋体" w:hAnsi="宋体" w:eastAsia="宋体" w:cs="Times New Roman"/>
                <w:sz w:val="30"/>
                <w:szCs w:val="30"/>
                <w:highlight w:val="none"/>
              </w:rPr>
            </w:pPr>
          </w:p>
        </w:tc>
        <w:tc>
          <w:tcPr>
            <w:tcW w:w="1440" w:type="dxa"/>
            <w:noWrap w:val="0"/>
            <w:vAlign w:val="center"/>
          </w:tcPr>
          <w:p w14:paraId="4A75C865">
            <w:pPr>
              <w:pStyle w:val="91"/>
              <w:keepNext/>
              <w:spacing w:after="0" w:line="440" w:lineRule="exact"/>
              <w:ind w:left="63" w:right="63"/>
              <w:rPr>
                <w:rStyle w:val="19"/>
                <w:rFonts w:ascii="宋体" w:hAnsi="宋体" w:eastAsia="宋体" w:cs="Times New Roman"/>
                <w:sz w:val="30"/>
                <w:szCs w:val="30"/>
                <w:highlight w:val="none"/>
              </w:rPr>
            </w:pPr>
          </w:p>
        </w:tc>
        <w:tc>
          <w:tcPr>
            <w:tcW w:w="1620" w:type="dxa"/>
            <w:noWrap w:val="0"/>
            <w:vAlign w:val="center"/>
          </w:tcPr>
          <w:p w14:paraId="6E912E5F">
            <w:pPr>
              <w:pStyle w:val="91"/>
              <w:keepNext/>
              <w:spacing w:after="0" w:line="440" w:lineRule="exact"/>
              <w:ind w:left="63" w:right="63"/>
              <w:rPr>
                <w:rStyle w:val="19"/>
                <w:rFonts w:ascii="宋体" w:hAnsi="宋体" w:eastAsia="宋体" w:cs="Times New Roman"/>
                <w:sz w:val="30"/>
                <w:szCs w:val="30"/>
                <w:highlight w:val="none"/>
              </w:rPr>
            </w:pPr>
          </w:p>
        </w:tc>
        <w:tc>
          <w:tcPr>
            <w:tcW w:w="1661" w:type="dxa"/>
            <w:noWrap w:val="0"/>
            <w:vAlign w:val="center"/>
          </w:tcPr>
          <w:p w14:paraId="0F87167C">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5A879C01">
            <w:pPr>
              <w:pStyle w:val="91"/>
              <w:keepNext/>
              <w:spacing w:after="0" w:line="440" w:lineRule="exact"/>
              <w:ind w:left="63" w:right="63"/>
              <w:rPr>
                <w:rStyle w:val="19"/>
                <w:rFonts w:ascii="宋体" w:hAnsi="宋体" w:eastAsia="宋体" w:cs="Times New Roman"/>
                <w:sz w:val="30"/>
                <w:szCs w:val="30"/>
                <w:highlight w:val="none"/>
              </w:rPr>
            </w:pPr>
          </w:p>
        </w:tc>
        <w:tc>
          <w:tcPr>
            <w:tcW w:w="1560" w:type="dxa"/>
            <w:noWrap w:val="0"/>
            <w:vAlign w:val="center"/>
          </w:tcPr>
          <w:p w14:paraId="4C000FFC">
            <w:pPr>
              <w:pStyle w:val="91"/>
              <w:keepNext/>
              <w:spacing w:after="0" w:line="440" w:lineRule="exact"/>
              <w:ind w:left="63" w:right="63"/>
              <w:rPr>
                <w:rStyle w:val="19"/>
                <w:rFonts w:ascii="宋体" w:hAnsi="宋体" w:eastAsia="宋体" w:cs="Times New Roman"/>
                <w:sz w:val="30"/>
                <w:szCs w:val="30"/>
                <w:highlight w:val="none"/>
              </w:rPr>
            </w:pPr>
          </w:p>
        </w:tc>
        <w:tc>
          <w:tcPr>
            <w:tcW w:w="2126" w:type="dxa"/>
            <w:noWrap w:val="0"/>
            <w:vAlign w:val="center"/>
          </w:tcPr>
          <w:p w14:paraId="23499FF1">
            <w:pPr>
              <w:pStyle w:val="91"/>
              <w:keepNext/>
              <w:spacing w:after="0" w:line="440" w:lineRule="exact"/>
              <w:ind w:left="63" w:right="63"/>
              <w:rPr>
                <w:rStyle w:val="19"/>
                <w:rFonts w:ascii="宋体" w:hAnsi="宋体" w:eastAsia="宋体" w:cs="Times New Roman"/>
                <w:sz w:val="30"/>
                <w:szCs w:val="30"/>
                <w:highlight w:val="none"/>
              </w:rPr>
            </w:pPr>
          </w:p>
        </w:tc>
        <w:tc>
          <w:tcPr>
            <w:tcW w:w="1417" w:type="dxa"/>
            <w:noWrap w:val="0"/>
            <w:vAlign w:val="center"/>
          </w:tcPr>
          <w:p w14:paraId="454C54DC">
            <w:pPr>
              <w:pStyle w:val="91"/>
              <w:keepNext/>
              <w:spacing w:after="0" w:line="440" w:lineRule="exact"/>
              <w:ind w:left="63" w:right="63"/>
              <w:rPr>
                <w:rStyle w:val="19"/>
                <w:rFonts w:ascii="宋体" w:hAnsi="宋体" w:eastAsia="宋体" w:cs="Times New Roman"/>
                <w:sz w:val="30"/>
                <w:szCs w:val="30"/>
                <w:highlight w:val="none"/>
              </w:rPr>
            </w:pPr>
          </w:p>
        </w:tc>
        <w:tc>
          <w:tcPr>
            <w:tcW w:w="851" w:type="dxa"/>
            <w:noWrap w:val="0"/>
            <w:vAlign w:val="center"/>
          </w:tcPr>
          <w:p w14:paraId="10FDE186">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7AA86140">
            <w:pPr>
              <w:pStyle w:val="91"/>
              <w:keepNext/>
              <w:spacing w:after="0" w:line="440" w:lineRule="exact"/>
              <w:ind w:left="63" w:right="63"/>
              <w:rPr>
                <w:rStyle w:val="19"/>
                <w:rFonts w:ascii="宋体" w:hAnsi="宋体" w:eastAsia="宋体" w:cs="Times New Roman"/>
                <w:sz w:val="30"/>
                <w:szCs w:val="30"/>
                <w:highlight w:val="none"/>
              </w:rPr>
            </w:pPr>
          </w:p>
        </w:tc>
      </w:tr>
      <w:tr w14:paraId="7A34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8BC69AE">
            <w:pPr>
              <w:pStyle w:val="91"/>
              <w:keepNext/>
              <w:spacing w:after="0" w:line="440" w:lineRule="exact"/>
              <w:ind w:left="63" w:right="63"/>
              <w:rPr>
                <w:rStyle w:val="19"/>
                <w:rFonts w:ascii="宋体" w:hAnsi="宋体" w:eastAsia="宋体" w:cs="Times New Roman"/>
                <w:sz w:val="30"/>
                <w:szCs w:val="30"/>
                <w:highlight w:val="none"/>
              </w:rPr>
            </w:pPr>
          </w:p>
        </w:tc>
        <w:tc>
          <w:tcPr>
            <w:tcW w:w="1440" w:type="dxa"/>
            <w:noWrap w:val="0"/>
            <w:vAlign w:val="center"/>
          </w:tcPr>
          <w:p w14:paraId="3904C3B5">
            <w:pPr>
              <w:pStyle w:val="91"/>
              <w:keepNext/>
              <w:spacing w:after="0" w:line="440" w:lineRule="exact"/>
              <w:ind w:left="63" w:right="63"/>
              <w:rPr>
                <w:rStyle w:val="19"/>
                <w:rFonts w:ascii="宋体" w:hAnsi="宋体" w:eastAsia="宋体" w:cs="Times New Roman"/>
                <w:sz w:val="30"/>
                <w:szCs w:val="30"/>
                <w:highlight w:val="none"/>
              </w:rPr>
            </w:pPr>
          </w:p>
        </w:tc>
        <w:tc>
          <w:tcPr>
            <w:tcW w:w="1620" w:type="dxa"/>
            <w:noWrap w:val="0"/>
            <w:vAlign w:val="center"/>
          </w:tcPr>
          <w:p w14:paraId="54EE50FB">
            <w:pPr>
              <w:pStyle w:val="91"/>
              <w:keepNext/>
              <w:spacing w:after="0" w:line="440" w:lineRule="exact"/>
              <w:ind w:left="63" w:right="63"/>
              <w:rPr>
                <w:rStyle w:val="19"/>
                <w:rFonts w:ascii="宋体" w:hAnsi="宋体" w:eastAsia="宋体" w:cs="Times New Roman"/>
                <w:sz w:val="30"/>
                <w:szCs w:val="30"/>
                <w:highlight w:val="none"/>
              </w:rPr>
            </w:pPr>
          </w:p>
        </w:tc>
        <w:tc>
          <w:tcPr>
            <w:tcW w:w="1661" w:type="dxa"/>
            <w:noWrap w:val="0"/>
            <w:vAlign w:val="center"/>
          </w:tcPr>
          <w:p w14:paraId="4937B846">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1AB1E089">
            <w:pPr>
              <w:pStyle w:val="91"/>
              <w:keepNext/>
              <w:spacing w:after="0" w:line="440" w:lineRule="exact"/>
              <w:ind w:left="63" w:right="63"/>
              <w:rPr>
                <w:rStyle w:val="19"/>
                <w:rFonts w:ascii="宋体" w:hAnsi="宋体" w:eastAsia="宋体" w:cs="Times New Roman"/>
                <w:sz w:val="30"/>
                <w:szCs w:val="30"/>
                <w:highlight w:val="none"/>
              </w:rPr>
            </w:pPr>
          </w:p>
        </w:tc>
        <w:tc>
          <w:tcPr>
            <w:tcW w:w="1560" w:type="dxa"/>
            <w:noWrap w:val="0"/>
            <w:vAlign w:val="center"/>
          </w:tcPr>
          <w:p w14:paraId="37F07060">
            <w:pPr>
              <w:pStyle w:val="91"/>
              <w:keepNext/>
              <w:spacing w:after="0" w:line="440" w:lineRule="exact"/>
              <w:ind w:left="63" w:right="63"/>
              <w:rPr>
                <w:rStyle w:val="19"/>
                <w:rFonts w:ascii="宋体" w:hAnsi="宋体" w:eastAsia="宋体" w:cs="Times New Roman"/>
                <w:sz w:val="30"/>
                <w:szCs w:val="30"/>
                <w:highlight w:val="none"/>
              </w:rPr>
            </w:pPr>
          </w:p>
        </w:tc>
        <w:tc>
          <w:tcPr>
            <w:tcW w:w="2126" w:type="dxa"/>
            <w:noWrap w:val="0"/>
            <w:vAlign w:val="center"/>
          </w:tcPr>
          <w:p w14:paraId="2D4A9EE0">
            <w:pPr>
              <w:pStyle w:val="91"/>
              <w:keepNext/>
              <w:spacing w:after="0" w:line="440" w:lineRule="exact"/>
              <w:ind w:left="63" w:right="63"/>
              <w:rPr>
                <w:rStyle w:val="19"/>
                <w:rFonts w:ascii="宋体" w:hAnsi="宋体" w:eastAsia="宋体" w:cs="Times New Roman"/>
                <w:sz w:val="30"/>
                <w:szCs w:val="30"/>
                <w:highlight w:val="none"/>
              </w:rPr>
            </w:pPr>
          </w:p>
        </w:tc>
        <w:tc>
          <w:tcPr>
            <w:tcW w:w="1417" w:type="dxa"/>
            <w:noWrap w:val="0"/>
            <w:vAlign w:val="center"/>
          </w:tcPr>
          <w:p w14:paraId="3C1DF7E5">
            <w:pPr>
              <w:pStyle w:val="91"/>
              <w:keepNext/>
              <w:spacing w:after="0" w:line="440" w:lineRule="exact"/>
              <w:ind w:left="63" w:right="63"/>
              <w:rPr>
                <w:rStyle w:val="19"/>
                <w:rFonts w:ascii="宋体" w:hAnsi="宋体" w:eastAsia="宋体" w:cs="Times New Roman"/>
                <w:sz w:val="30"/>
                <w:szCs w:val="30"/>
                <w:highlight w:val="none"/>
              </w:rPr>
            </w:pPr>
          </w:p>
        </w:tc>
        <w:tc>
          <w:tcPr>
            <w:tcW w:w="851" w:type="dxa"/>
            <w:noWrap w:val="0"/>
            <w:vAlign w:val="center"/>
          </w:tcPr>
          <w:p w14:paraId="21660554">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06AC6EAD">
            <w:pPr>
              <w:pStyle w:val="91"/>
              <w:keepNext/>
              <w:spacing w:after="0" w:line="440" w:lineRule="exact"/>
              <w:ind w:left="63" w:right="63"/>
              <w:rPr>
                <w:rStyle w:val="19"/>
                <w:rFonts w:ascii="宋体" w:hAnsi="宋体" w:eastAsia="宋体" w:cs="Times New Roman"/>
                <w:sz w:val="30"/>
                <w:szCs w:val="30"/>
                <w:highlight w:val="none"/>
              </w:rPr>
            </w:pPr>
          </w:p>
        </w:tc>
      </w:tr>
      <w:tr w14:paraId="4A17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6E998552">
            <w:pPr>
              <w:pStyle w:val="91"/>
              <w:keepNext/>
              <w:spacing w:after="0" w:line="440" w:lineRule="exact"/>
              <w:ind w:left="63" w:right="63"/>
              <w:rPr>
                <w:rStyle w:val="19"/>
                <w:rFonts w:ascii="宋体" w:hAnsi="宋体" w:eastAsia="宋体" w:cs="Times New Roman"/>
                <w:sz w:val="30"/>
                <w:szCs w:val="30"/>
                <w:highlight w:val="none"/>
              </w:rPr>
            </w:pPr>
          </w:p>
        </w:tc>
        <w:tc>
          <w:tcPr>
            <w:tcW w:w="1440" w:type="dxa"/>
            <w:noWrap w:val="0"/>
            <w:vAlign w:val="center"/>
          </w:tcPr>
          <w:p w14:paraId="791A4623">
            <w:pPr>
              <w:pStyle w:val="91"/>
              <w:keepNext/>
              <w:spacing w:after="0" w:line="440" w:lineRule="exact"/>
              <w:ind w:left="63" w:right="63"/>
              <w:rPr>
                <w:rStyle w:val="19"/>
                <w:rFonts w:ascii="宋体" w:hAnsi="宋体" w:eastAsia="宋体" w:cs="Times New Roman"/>
                <w:sz w:val="30"/>
                <w:szCs w:val="30"/>
                <w:highlight w:val="none"/>
              </w:rPr>
            </w:pPr>
          </w:p>
        </w:tc>
        <w:tc>
          <w:tcPr>
            <w:tcW w:w="1620" w:type="dxa"/>
            <w:noWrap w:val="0"/>
            <w:vAlign w:val="center"/>
          </w:tcPr>
          <w:p w14:paraId="3F4F237B">
            <w:pPr>
              <w:pStyle w:val="91"/>
              <w:keepNext/>
              <w:spacing w:after="0" w:line="440" w:lineRule="exact"/>
              <w:ind w:left="63" w:right="63"/>
              <w:rPr>
                <w:rStyle w:val="19"/>
                <w:rFonts w:ascii="宋体" w:hAnsi="宋体" w:eastAsia="宋体" w:cs="Times New Roman"/>
                <w:sz w:val="30"/>
                <w:szCs w:val="30"/>
                <w:highlight w:val="none"/>
              </w:rPr>
            </w:pPr>
          </w:p>
        </w:tc>
        <w:tc>
          <w:tcPr>
            <w:tcW w:w="1661" w:type="dxa"/>
            <w:noWrap w:val="0"/>
            <w:vAlign w:val="center"/>
          </w:tcPr>
          <w:p w14:paraId="3D2F8AD6">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421E07E0">
            <w:pPr>
              <w:pStyle w:val="91"/>
              <w:keepNext/>
              <w:spacing w:after="0" w:line="440" w:lineRule="exact"/>
              <w:ind w:left="63" w:right="63"/>
              <w:rPr>
                <w:rStyle w:val="19"/>
                <w:rFonts w:ascii="宋体" w:hAnsi="宋体" w:eastAsia="宋体" w:cs="Times New Roman"/>
                <w:sz w:val="30"/>
                <w:szCs w:val="30"/>
                <w:highlight w:val="none"/>
              </w:rPr>
            </w:pPr>
          </w:p>
        </w:tc>
        <w:tc>
          <w:tcPr>
            <w:tcW w:w="1560" w:type="dxa"/>
            <w:noWrap w:val="0"/>
            <w:vAlign w:val="center"/>
          </w:tcPr>
          <w:p w14:paraId="454A03D1">
            <w:pPr>
              <w:pStyle w:val="91"/>
              <w:keepNext/>
              <w:spacing w:after="0" w:line="440" w:lineRule="exact"/>
              <w:ind w:left="63" w:right="63"/>
              <w:rPr>
                <w:rStyle w:val="19"/>
                <w:rFonts w:ascii="宋体" w:hAnsi="宋体" w:eastAsia="宋体" w:cs="Times New Roman"/>
                <w:sz w:val="30"/>
                <w:szCs w:val="30"/>
                <w:highlight w:val="none"/>
              </w:rPr>
            </w:pPr>
          </w:p>
        </w:tc>
        <w:tc>
          <w:tcPr>
            <w:tcW w:w="2126" w:type="dxa"/>
            <w:noWrap w:val="0"/>
            <w:vAlign w:val="center"/>
          </w:tcPr>
          <w:p w14:paraId="6DF6EE54">
            <w:pPr>
              <w:pStyle w:val="91"/>
              <w:keepNext/>
              <w:spacing w:after="0" w:line="440" w:lineRule="exact"/>
              <w:ind w:left="63" w:right="63"/>
              <w:rPr>
                <w:rStyle w:val="19"/>
                <w:rFonts w:ascii="宋体" w:hAnsi="宋体" w:eastAsia="宋体" w:cs="Times New Roman"/>
                <w:sz w:val="30"/>
                <w:szCs w:val="30"/>
                <w:highlight w:val="none"/>
              </w:rPr>
            </w:pPr>
          </w:p>
        </w:tc>
        <w:tc>
          <w:tcPr>
            <w:tcW w:w="1417" w:type="dxa"/>
            <w:noWrap w:val="0"/>
            <w:vAlign w:val="center"/>
          </w:tcPr>
          <w:p w14:paraId="7A13A252">
            <w:pPr>
              <w:pStyle w:val="91"/>
              <w:keepNext/>
              <w:spacing w:after="0" w:line="440" w:lineRule="exact"/>
              <w:ind w:left="63" w:right="63"/>
              <w:rPr>
                <w:rStyle w:val="19"/>
                <w:rFonts w:ascii="宋体" w:hAnsi="宋体" w:eastAsia="宋体" w:cs="Times New Roman"/>
                <w:sz w:val="30"/>
                <w:szCs w:val="30"/>
                <w:highlight w:val="none"/>
              </w:rPr>
            </w:pPr>
          </w:p>
        </w:tc>
        <w:tc>
          <w:tcPr>
            <w:tcW w:w="851" w:type="dxa"/>
            <w:noWrap w:val="0"/>
            <w:vAlign w:val="center"/>
          </w:tcPr>
          <w:p w14:paraId="034FBFEF">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1088ABFC">
            <w:pPr>
              <w:pStyle w:val="91"/>
              <w:keepNext/>
              <w:spacing w:after="0" w:line="440" w:lineRule="exact"/>
              <w:ind w:left="63" w:right="63"/>
              <w:rPr>
                <w:rStyle w:val="19"/>
                <w:rFonts w:ascii="宋体" w:hAnsi="宋体" w:eastAsia="宋体" w:cs="Times New Roman"/>
                <w:sz w:val="30"/>
                <w:szCs w:val="30"/>
                <w:highlight w:val="none"/>
              </w:rPr>
            </w:pPr>
          </w:p>
        </w:tc>
      </w:tr>
      <w:tr w14:paraId="3492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632CECD">
            <w:pPr>
              <w:pStyle w:val="91"/>
              <w:keepNext/>
              <w:spacing w:after="0" w:line="440" w:lineRule="exact"/>
              <w:ind w:left="63" w:right="63"/>
              <w:rPr>
                <w:rStyle w:val="19"/>
                <w:rFonts w:ascii="宋体" w:hAnsi="宋体" w:eastAsia="宋体" w:cs="Times New Roman"/>
                <w:sz w:val="30"/>
                <w:szCs w:val="30"/>
                <w:highlight w:val="none"/>
              </w:rPr>
            </w:pPr>
          </w:p>
        </w:tc>
        <w:tc>
          <w:tcPr>
            <w:tcW w:w="1440" w:type="dxa"/>
            <w:noWrap w:val="0"/>
            <w:vAlign w:val="center"/>
          </w:tcPr>
          <w:p w14:paraId="35FCD178">
            <w:pPr>
              <w:pStyle w:val="91"/>
              <w:keepNext/>
              <w:spacing w:after="0" w:line="440" w:lineRule="exact"/>
              <w:ind w:left="63" w:right="63"/>
              <w:rPr>
                <w:rStyle w:val="19"/>
                <w:rFonts w:ascii="宋体" w:hAnsi="宋体" w:eastAsia="宋体" w:cs="Times New Roman"/>
                <w:sz w:val="30"/>
                <w:szCs w:val="30"/>
                <w:highlight w:val="none"/>
              </w:rPr>
            </w:pPr>
          </w:p>
        </w:tc>
        <w:tc>
          <w:tcPr>
            <w:tcW w:w="1620" w:type="dxa"/>
            <w:noWrap w:val="0"/>
            <w:vAlign w:val="center"/>
          </w:tcPr>
          <w:p w14:paraId="4EC21FCB">
            <w:pPr>
              <w:pStyle w:val="91"/>
              <w:keepNext/>
              <w:spacing w:after="0" w:line="440" w:lineRule="exact"/>
              <w:ind w:left="63" w:right="63"/>
              <w:rPr>
                <w:rStyle w:val="19"/>
                <w:rFonts w:ascii="宋体" w:hAnsi="宋体" w:eastAsia="宋体" w:cs="Times New Roman"/>
                <w:sz w:val="30"/>
                <w:szCs w:val="30"/>
                <w:highlight w:val="none"/>
              </w:rPr>
            </w:pPr>
          </w:p>
        </w:tc>
        <w:tc>
          <w:tcPr>
            <w:tcW w:w="1661" w:type="dxa"/>
            <w:noWrap w:val="0"/>
            <w:vAlign w:val="center"/>
          </w:tcPr>
          <w:p w14:paraId="465426DC">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1EBCBE75">
            <w:pPr>
              <w:pStyle w:val="91"/>
              <w:keepNext/>
              <w:spacing w:after="0" w:line="440" w:lineRule="exact"/>
              <w:ind w:left="63" w:right="63"/>
              <w:rPr>
                <w:rStyle w:val="19"/>
                <w:rFonts w:ascii="宋体" w:hAnsi="宋体" w:eastAsia="宋体" w:cs="Times New Roman"/>
                <w:sz w:val="30"/>
                <w:szCs w:val="30"/>
                <w:highlight w:val="none"/>
              </w:rPr>
            </w:pPr>
          </w:p>
        </w:tc>
        <w:tc>
          <w:tcPr>
            <w:tcW w:w="1560" w:type="dxa"/>
            <w:noWrap w:val="0"/>
            <w:vAlign w:val="center"/>
          </w:tcPr>
          <w:p w14:paraId="06D505E2">
            <w:pPr>
              <w:pStyle w:val="91"/>
              <w:keepNext/>
              <w:spacing w:after="0" w:line="440" w:lineRule="exact"/>
              <w:ind w:left="63" w:right="63"/>
              <w:rPr>
                <w:rStyle w:val="19"/>
                <w:rFonts w:ascii="宋体" w:hAnsi="宋体" w:eastAsia="宋体" w:cs="Times New Roman"/>
                <w:sz w:val="30"/>
                <w:szCs w:val="30"/>
                <w:highlight w:val="none"/>
              </w:rPr>
            </w:pPr>
          </w:p>
        </w:tc>
        <w:tc>
          <w:tcPr>
            <w:tcW w:w="2126" w:type="dxa"/>
            <w:noWrap w:val="0"/>
            <w:vAlign w:val="center"/>
          </w:tcPr>
          <w:p w14:paraId="131B1B6E">
            <w:pPr>
              <w:pStyle w:val="91"/>
              <w:keepNext/>
              <w:spacing w:after="0" w:line="440" w:lineRule="exact"/>
              <w:ind w:left="63" w:right="63"/>
              <w:rPr>
                <w:rStyle w:val="19"/>
                <w:rFonts w:ascii="宋体" w:hAnsi="宋体" w:eastAsia="宋体" w:cs="Times New Roman"/>
                <w:sz w:val="30"/>
                <w:szCs w:val="30"/>
                <w:highlight w:val="none"/>
              </w:rPr>
            </w:pPr>
          </w:p>
        </w:tc>
        <w:tc>
          <w:tcPr>
            <w:tcW w:w="1417" w:type="dxa"/>
            <w:noWrap w:val="0"/>
            <w:vAlign w:val="center"/>
          </w:tcPr>
          <w:p w14:paraId="1ADB7BC2">
            <w:pPr>
              <w:pStyle w:val="91"/>
              <w:keepNext/>
              <w:spacing w:after="0" w:line="440" w:lineRule="exact"/>
              <w:ind w:left="63" w:right="63"/>
              <w:rPr>
                <w:rStyle w:val="19"/>
                <w:rFonts w:ascii="宋体" w:hAnsi="宋体" w:eastAsia="宋体" w:cs="Times New Roman"/>
                <w:sz w:val="30"/>
                <w:szCs w:val="30"/>
                <w:highlight w:val="none"/>
              </w:rPr>
            </w:pPr>
          </w:p>
        </w:tc>
        <w:tc>
          <w:tcPr>
            <w:tcW w:w="851" w:type="dxa"/>
            <w:noWrap w:val="0"/>
            <w:vAlign w:val="center"/>
          </w:tcPr>
          <w:p w14:paraId="2C356300">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540EF4AF">
            <w:pPr>
              <w:pStyle w:val="91"/>
              <w:keepNext/>
              <w:spacing w:after="0" w:line="440" w:lineRule="exact"/>
              <w:ind w:left="63" w:right="63"/>
              <w:rPr>
                <w:rStyle w:val="19"/>
                <w:rFonts w:ascii="宋体" w:hAnsi="宋体" w:eastAsia="宋体" w:cs="Times New Roman"/>
                <w:sz w:val="30"/>
                <w:szCs w:val="30"/>
                <w:highlight w:val="none"/>
              </w:rPr>
            </w:pPr>
          </w:p>
        </w:tc>
      </w:tr>
      <w:tr w14:paraId="75F0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7DB9D1C">
            <w:pPr>
              <w:pStyle w:val="91"/>
              <w:keepNext/>
              <w:spacing w:after="0" w:line="440" w:lineRule="exact"/>
              <w:ind w:left="63" w:right="63"/>
              <w:rPr>
                <w:rStyle w:val="19"/>
                <w:rFonts w:ascii="宋体" w:hAnsi="宋体" w:eastAsia="宋体" w:cs="Times New Roman"/>
                <w:sz w:val="30"/>
                <w:szCs w:val="30"/>
                <w:highlight w:val="none"/>
              </w:rPr>
            </w:pPr>
          </w:p>
        </w:tc>
        <w:tc>
          <w:tcPr>
            <w:tcW w:w="1440" w:type="dxa"/>
            <w:noWrap w:val="0"/>
            <w:vAlign w:val="center"/>
          </w:tcPr>
          <w:p w14:paraId="10FF026F">
            <w:pPr>
              <w:pStyle w:val="91"/>
              <w:keepNext/>
              <w:spacing w:after="0" w:line="440" w:lineRule="exact"/>
              <w:ind w:left="63" w:right="63"/>
              <w:rPr>
                <w:rStyle w:val="19"/>
                <w:rFonts w:ascii="宋体" w:hAnsi="宋体" w:eastAsia="宋体" w:cs="Times New Roman"/>
                <w:sz w:val="30"/>
                <w:szCs w:val="30"/>
                <w:highlight w:val="none"/>
              </w:rPr>
            </w:pPr>
          </w:p>
        </w:tc>
        <w:tc>
          <w:tcPr>
            <w:tcW w:w="1620" w:type="dxa"/>
            <w:noWrap w:val="0"/>
            <w:vAlign w:val="center"/>
          </w:tcPr>
          <w:p w14:paraId="536D9A98">
            <w:pPr>
              <w:pStyle w:val="91"/>
              <w:keepNext/>
              <w:spacing w:after="0" w:line="440" w:lineRule="exact"/>
              <w:ind w:left="63" w:right="63"/>
              <w:rPr>
                <w:rStyle w:val="19"/>
                <w:rFonts w:ascii="宋体" w:hAnsi="宋体" w:eastAsia="宋体" w:cs="Times New Roman"/>
                <w:sz w:val="30"/>
                <w:szCs w:val="30"/>
                <w:highlight w:val="none"/>
              </w:rPr>
            </w:pPr>
          </w:p>
        </w:tc>
        <w:tc>
          <w:tcPr>
            <w:tcW w:w="1661" w:type="dxa"/>
            <w:noWrap w:val="0"/>
            <w:vAlign w:val="center"/>
          </w:tcPr>
          <w:p w14:paraId="1C41D7E4">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50A63846">
            <w:pPr>
              <w:pStyle w:val="91"/>
              <w:keepNext/>
              <w:spacing w:after="0" w:line="440" w:lineRule="exact"/>
              <w:ind w:left="63" w:right="63"/>
              <w:rPr>
                <w:rStyle w:val="19"/>
                <w:rFonts w:ascii="宋体" w:hAnsi="宋体" w:eastAsia="宋体" w:cs="Times New Roman"/>
                <w:sz w:val="30"/>
                <w:szCs w:val="30"/>
                <w:highlight w:val="none"/>
              </w:rPr>
            </w:pPr>
          </w:p>
        </w:tc>
        <w:tc>
          <w:tcPr>
            <w:tcW w:w="1560" w:type="dxa"/>
            <w:noWrap w:val="0"/>
            <w:vAlign w:val="center"/>
          </w:tcPr>
          <w:p w14:paraId="0FE5EA30">
            <w:pPr>
              <w:pStyle w:val="91"/>
              <w:keepNext/>
              <w:spacing w:after="0" w:line="440" w:lineRule="exact"/>
              <w:ind w:left="63" w:right="63"/>
              <w:rPr>
                <w:rStyle w:val="19"/>
                <w:rFonts w:ascii="宋体" w:hAnsi="宋体" w:eastAsia="宋体" w:cs="Times New Roman"/>
                <w:sz w:val="30"/>
                <w:szCs w:val="30"/>
                <w:highlight w:val="none"/>
              </w:rPr>
            </w:pPr>
          </w:p>
        </w:tc>
        <w:tc>
          <w:tcPr>
            <w:tcW w:w="2126" w:type="dxa"/>
            <w:noWrap w:val="0"/>
            <w:vAlign w:val="center"/>
          </w:tcPr>
          <w:p w14:paraId="4AC2D2EE">
            <w:pPr>
              <w:pStyle w:val="91"/>
              <w:keepNext/>
              <w:spacing w:after="0" w:line="440" w:lineRule="exact"/>
              <w:ind w:left="63" w:right="63"/>
              <w:rPr>
                <w:rStyle w:val="19"/>
                <w:rFonts w:ascii="宋体" w:hAnsi="宋体" w:eastAsia="宋体" w:cs="Times New Roman"/>
                <w:sz w:val="30"/>
                <w:szCs w:val="30"/>
                <w:highlight w:val="none"/>
              </w:rPr>
            </w:pPr>
          </w:p>
        </w:tc>
        <w:tc>
          <w:tcPr>
            <w:tcW w:w="1417" w:type="dxa"/>
            <w:noWrap w:val="0"/>
            <w:vAlign w:val="center"/>
          </w:tcPr>
          <w:p w14:paraId="75FC543F">
            <w:pPr>
              <w:pStyle w:val="91"/>
              <w:keepNext/>
              <w:spacing w:after="0" w:line="440" w:lineRule="exact"/>
              <w:ind w:left="63" w:right="63"/>
              <w:rPr>
                <w:rStyle w:val="19"/>
                <w:rFonts w:ascii="宋体" w:hAnsi="宋体" w:eastAsia="宋体" w:cs="Times New Roman"/>
                <w:sz w:val="30"/>
                <w:szCs w:val="30"/>
                <w:highlight w:val="none"/>
              </w:rPr>
            </w:pPr>
          </w:p>
        </w:tc>
        <w:tc>
          <w:tcPr>
            <w:tcW w:w="851" w:type="dxa"/>
            <w:noWrap w:val="0"/>
            <w:vAlign w:val="center"/>
          </w:tcPr>
          <w:p w14:paraId="139D0CF8">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43FAB07D">
            <w:pPr>
              <w:pStyle w:val="91"/>
              <w:keepNext/>
              <w:spacing w:after="0" w:line="440" w:lineRule="exact"/>
              <w:ind w:left="63" w:right="63"/>
              <w:rPr>
                <w:rStyle w:val="19"/>
                <w:rFonts w:ascii="宋体" w:hAnsi="宋体" w:eastAsia="宋体" w:cs="Times New Roman"/>
                <w:sz w:val="30"/>
                <w:szCs w:val="30"/>
                <w:highlight w:val="none"/>
              </w:rPr>
            </w:pPr>
          </w:p>
        </w:tc>
      </w:tr>
      <w:tr w14:paraId="42F4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4BC0C3B9">
            <w:pPr>
              <w:pStyle w:val="91"/>
              <w:keepNext/>
              <w:spacing w:after="0" w:line="440" w:lineRule="exact"/>
              <w:ind w:left="63" w:right="63"/>
              <w:rPr>
                <w:rStyle w:val="19"/>
                <w:rFonts w:ascii="宋体" w:hAnsi="宋体" w:eastAsia="宋体" w:cs="Times New Roman"/>
                <w:sz w:val="30"/>
                <w:szCs w:val="30"/>
                <w:highlight w:val="none"/>
              </w:rPr>
            </w:pPr>
          </w:p>
        </w:tc>
        <w:tc>
          <w:tcPr>
            <w:tcW w:w="1440" w:type="dxa"/>
            <w:noWrap w:val="0"/>
            <w:vAlign w:val="center"/>
          </w:tcPr>
          <w:p w14:paraId="42660E6F">
            <w:pPr>
              <w:pStyle w:val="91"/>
              <w:keepNext/>
              <w:spacing w:after="0" w:line="440" w:lineRule="exact"/>
              <w:ind w:left="63" w:right="63"/>
              <w:rPr>
                <w:rStyle w:val="19"/>
                <w:rFonts w:ascii="宋体" w:hAnsi="宋体" w:eastAsia="宋体" w:cs="Times New Roman"/>
                <w:sz w:val="30"/>
                <w:szCs w:val="30"/>
                <w:highlight w:val="none"/>
              </w:rPr>
            </w:pPr>
          </w:p>
        </w:tc>
        <w:tc>
          <w:tcPr>
            <w:tcW w:w="1620" w:type="dxa"/>
            <w:noWrap w:val="0"/>
            <w:vAlign w:val="center"/>
          </w:tcPr>
          <w:p w14:paraId="55848A89">
            <w:pPr>
              <w:pStyle w:val="91"/>
              <w:keepNext/>
              <w:spacing w:after="0" w:line="440" w:lineRule="exact"/>
              <w:ind w:left="63" w:right="63"/>
              <w:rPr>
                <w:rStyle w:val="19"/>
                <w:rFonts w:ascii="宋体" w:hAnsi="宋体" w:eastAsia="宋体" w:cs="Times New Roman"/>
                <w:sz w:val="30"/>
                <w:szCs w:val="30"/>
                <w:highlight w:val="none"/>
              </w:rPr>
            </w:pPr>
          </w:p>
        </w:tc>
        <w:tc>
          <w:tcPr>
            <w:tcW w:w="1661" w:type="dxa"/>
            <w:noWrap w:val="0"/>
            <w:vAlign w:val="center"/>
          </w:tcPr>
          <w:p w14:paraId="44FFE917">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16220345">
            <w:pPr>
              <w:pStyle w:val="91"/>
              <w:keepNext/>
              <w:spacing w:after="0" w:line="440" w:lineRule="exact"/>
              <w:ind w:left="63" w:right="63"/>
              <w:rPr>
                <w:rStyle w:val="19"/>
                <w:rFonts w:ascii="宋体" w:hAnsi="宋体" w:eastAsia="宋体" w:cs="Times New Roman"/>
                <w:sz w:val="30"/>
                <w:szCs w:val="30"/>
                <w:highlight w:val="none"/>
              </w:rPr>
            </w:pPr>
          </w:p>
        </w:tc>
        <w:tc>
          <w:tcPr>
            <w:tcW w:w="1560" w:type="dxa"/>
            <w:noWrap w:val="0"/>
            <w:vAlign w:val="center"/>
          </w:tcPr>
          <w:p w14:paraId="56C7BDFF">
            <w:pPr>
              <w:pStyle w:val="91"/>
              <w:keepNext/>
              <w:spacing w:after="0" w:line="440" w:lineRule="exact"/>
              <w:ind w:left="63" w:right="63"/>
              <w:rPr>
                <w:rStyle w:val="19"/>
                <w:rFonts w:ascii="宋体" w:hAnsi="宋体" w:eastAsia="宋体" w:cs="Times New Roman"/>
                <w:sz w:val="30"/>
                <w:szCs w:val="30"/>
                <w:highlight w:val="none"/>
              </w:rPr>
            </w:pPr>
          </w:p>
        </w:tc>
        <w:tc>
          <w:tcPr>
            <w:tcW w:w="2126" w:type="dxa"/>
            <w:noWrap w:val="0"/>
            <w:vAlign w:val="center"/>
          </w:tcPr>
          <w:p w14:paraId="5D87D092">
            <w:pPr>
              <w:pStyle w:val="91"/>
              <w:keepNext/>
              <w:spacing w:after="0" w:line="440" w:lineRule="exact"/>
              <w:ind w:left="63" w:right="63"/>
              <w:rPr>
                <w:rStyle w:val="19"/>
                <w:rFonts w:ascii="宋体" w:hAnsi="宋体" w:eastAsia="宋体" w:cs="Times New Roman"/>
                <w:sz w:val="30"/>
                <w:szCs w:val="30"/>
                <w:highlight w:val="none"/>
              </w:rPr>
            </w:pPr>
          </w:p>
        </w:tc>
        <w:tc>
          <w:tcPr>
            <w:tcW w:w="1417" w:type="dxa"/>
            <w:noWrap w:val="0"/>
            <w:vAlign w:val="center"/>
          </w:tcPr>
          <w:p w14:paraId="34185A48">
            <w:pPr>
              <w:pStyle w:val="91"/>
              <w:keepNext/>
              <w:spacing w:after="0" w:line="440" w:lineRule="exact"/>
              <w:ind w:left="63" w:right="63"/>
              <w:rPr>
                <w:rStyle w:val="19"/>
                <w:rFonts w:ascii="宋体" w:hAnsi="宋体" w:eastAsia="宋体" w:cs="Times New Roman"/>
                <w:sz w:val="30"/>
                <w:szCs w:val="30"/>
                <w:highlight w:val="none"/>
              </w:rPr>
            </w:pPr>
          </w:p>
        </w:tc>
        <w:tc>
          <w:tcPr>
            <w:tcW w:w="851" w:type="dxa"/>
            <w:noWrap w:val="0"/>
            <w:vAlign w:val="center"/>
          </w:tcPr>
          <w:p w14:paraId="55F0C6FB">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594C4BFE">
            <w:pPr>
              <w:pStyle w:val="91"/>
              <w:keepNext/>
              <w:spacing w:after="0" w:line="440" w:lineRule="exact"/>
              <w:ind w:left="63" w:right="63"/>
              <w:rPr>
                <w:rStyle w:val="19"/>
                <w:rFonts w:ascii="宋体" w:hAnsi="宋体" w:eastAsia="宋体" w:cs="Times New Roman"/>
                <w:sz w:val="30"/>
                <w:szCs w:val="30"/>
                <w:highlight w:val="none"/>
              </w:rPr>
            </w:pPr>
          </w:p>
        </w:tc>
      </w:tr>
      <w:tr w14:paraId="4C2A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4B75AC49">
            <w:pPr>
              <w:pStyle w:val="91"/>
              <w:keepNext/>
              <w:spacing w:after="0" w:line="440" w:lineRule="exact"/>
              <w:ind w:left="63" w:right="63"/>
              <w:rPr>
                <w:rStyle w:val="19"/>
                <w:rFonts w:ascii="宋体" w:hAnsi="宋体" w:eastAsia="宋体" w:cs="Times New Roman"/>
                <w:sz w:val="30"/>
                <w:szCs w:val="30"/>
                <w:highlight w:val="none"/>
              </w:rPr>
            </w:pPr>
          </w:p>
        </w:tc>
        <w:tc>
          <w:tcPr>
            <w:tcW w:w="1440" w:type="dxa"/>
            <w:noWrap w:val="0"/>
            <w:vAlign w:val="center"/>
          </w:tcPr>
          <w:p w14:paraId="29095264">
            <w:pPr>
              <w:pStyle w:val="91"/>
              <w:keepNext/>
              <w:spacing w:after="0" w:line="440" w:lineRule="exact"/>
              <w:ind w:left="63" w:right="63"/>
              <w:rPr>
                <w:rStyle w:val="19"/>
                <w:rFonts w:ascii="宋体" w:hAnsi="宋体" w:eastAsia="宋体" w:cs="Times New Roman"/>
                <w:sz w:val="30"/>
                <w:szCs w:val="30"/>
                <w:highlight w:val="none"/>
              </w:rPr>
            </w:pPr>
          </w:p>
        </w:tc>
        <w:tc>
          <w:tcPr>
            <w:tcW w:w="1620" w:type="dxa"/>
            <w:noWrap w:val="0"/>
            <w:vAlign w:val="center"/>
          </w:tcPr>
          <w:p w14:paraId="285CC4F1">
            <w:pPr>
              <w:pStyle w:val="91"/>
              <w:keepNext/>
              <w:spacing w:after="0" w:line="440" w:lineRule="exact"/>
              <w:ind w:left="63" w:right="63"/>
              <w:rPr>
                <w:rStyle w:val="19"/>
                <w:rFonts w:ascii="宋体" w:hAnsi="宋体" w:eastAsia="宋体" w:cs="Times New Roman"/>
                <w:sz w:val="30"/>
                <w:szCs w:val="30"/>
                <w:highlight w:val="none"/>
              </w:rPr>
            </w:pPr>
          </w:p>
        </w:tc>
        <w:tc>
          <w:tcPr>
            <w:tcW w:w="1661" w:type="dxa"/>
            <w:noWrap w:val="0"/>
            <w:vAlign w:val="center"/>
          </w:tcPr>
          <w:p w14:paraId="1B5FE219">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19B1154D">
            <w:pPr>
              <w:pStyle w:val="91"/>
              <w:keepNext/>
              <w:spacing w:after="0" w:line="440" w:lineRule="exact"/>
              <w:ind w:left="63" w:right="63"/>
              <w:rPr>
                <w:rStyle w:val="19"/>
                <w:rFonts w:ascii="宋体" w:hAnsi="宋体" w:eastAsia="宋体" w:cs="Times New Roman"/>
                <w:sz w:val="30"/>
                <w:szCs w:val="30"/>
                <w:highlight w:val="none"/>
              </w:rPr>
            </w:pPr>
          </w:p>
        </w:tc>
        <w:tc>
          <w:tcPr>
            <w:tcW w:w="1560" w:type="dxa"/>
            <w:noWrap w:val="0"/>
            <w:vAlign w:val="center"/>
          </w:tcPr>
          <w:p w14:paraId="697F9183">
            <w:pPr>
              <w:pStyle w:val="91"/>
              <w:keepNext/>
              <w:spacing w:after="0" w:line="440" w:lineRule="exact"/>
              <w:ind w:left="63" w:right="63"/>
              <w:rPr>
                <w:rStyle w:val="19"/>
                <w:rFonts w:ascii="宋体" w:hAnsi="宋体" w:eastAsia="宋体" w:cs="Times New Roman"/>
                <w:sz w:val="30"/>
                <w:szCs w:val="30"/>
                <w:highlight w:val="none"/>
              </w:rPr>
            </w:pPr>
          </w:p>
        </w:tc>
        <w:tc>
          <w:tcPr>
            <w:tcW w:w="2126" w:type="dxa"/>
            <w:noWrap w:val="0"/>
            <w:vAlign w:val="center"/>
          </w:tcPr>
          <w:p w14:paraId="289BAB7E">
            <w:pPr>
              <w:pStyle w:val="91"/>
              <w:keepNext/>
              <w:spacing w:after="0" w:line="440" w:lineRule="exact"/>
              <w:ind w:left="63" w:right="63"/>
              <w:rPr>
                <w:rStyle w:val="19"/>
                <w:rFonts w:ascii="宋体" w:hAnsi="宋体" w:eastAsia="宋体" w:cs="Times New Roman"/>
                <w:sz w:val="30"/>
                <w:szCs w:val="30"/>
                <w:highlight w:val="none"/>
              </w:rPr>
            </w:pPr>
          </w:p>
        </w:tc>
        <w:tc>
          <w:tcPr>
            <w:tcW w:w="1417" w:type="dxa"/>
            <w:noWrap w:val="0"/>
            <w:vAlign w:val="center"/>
          </w:tcPr>
          <w:p w14:paraId="6CAC4F25">
            <w:pPr>
              <w:pStyle w:val="91"/>
              <w:keepNext/>
              <w:spacing w:after="0" w:line="440" w:lineRule="exact"/>
              <w:ind w:left="63" w:right="63"/>
              <w:rPr>
                <w:rStyle w:val="19"/>
                <w:rFonts w:ascii="宋体" w:hAnsi="宋体" w:eastAsia="宋体" w:cs="Times New Roman"/>
                <w:sz w:val="30"/>
                <w:szCs w:val="30"/>
                <w:highlight w:val="none"/>
              </w:rPr>
            </w:pPr>
          </w:p>
        </w:tc>
        <w:tc>
          <w:tcPr>
            <w:tcW w:w="851" w:type="dxa"/>
            <w:noWrap w:val="0"/>
            <w:vAlign w:val="center"/>
          </w:tcPr>
          <w:p w14:paraId="68E8E62F">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563D5195">
            <w:pPr>
              <w:pStyle w:val="91"/>
              <w:keepNext/>
              <w:spacing w:after="0" w:line="440" w:lineRule="exact"/>
              <w:ind w:left="63" w:right="63"/>
              <w:rPr>
                <w:rStyle w:val="19"/>
                <w:rFonts w:ascii="宋体" w:hAnsi="宋体" w:eastAsia="宋体" w:cs="Times New Roman"/>
                <w:sz w:val="30"/>
                <w:szCs w:val="30"/>
                <w:highlight w:val="none"/>
              </w:rPr>
            </w:pPr>
          </w:p>
        </w:tc>
      </w:tr>
      <w:tr w14:paraId="7627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628174D3">
            <w:pPr>
              <w:pStyle w:val="91"/>
              <w:keepNext/>
              <w:spacing w:after="0" w:line="440" w:lineRule="exact"/>
              <w:ind w:left="63" w:right="63"/>
              <w:rPr>
                <w:rStyle w:val="19"/>
                <w:rFonts w:ascii="宋体" w:hAnsi="宋体" w:eastAsia="宋体" w:cs="Times New Roman"/>
                <w:sz w:val="30"/>
                <w:szCs w:val="30"/>
                <w:highlight w:val="none"/>
              </w:rPr>
            </w:pPr>
          </w:p>
        </w:tc>
        <w:tc>
          <w:tcPr>
            <w:tcW w:w="1440" w:type="dxa"/>
            <w:noWrap w:val="0"/>
            <w:vAlign w:val="center"/>
          </w:tcPr>
          <w:p w14:paraId="49B926E4">
            <w:pPr>
              <w:pStyle w:val="91"/>
              <w:keepNext/>
              <w:spacing w:after="0" w:line="440" w:lineRule="exact"/>
              <w:ind w:left="63" w:right="63"/>
              <w:rPr>
                <w:rStyle w:val="19"/>
                <w:rFonts w:ascii="宋体" w:hAnsi="宋体" w:eastAsia="宋体" w:cs="Times New Roman"/>
                <w:sz w:val="30"/>
                <w:szCs w:val="30"/>
                <w:highlight w:val="none"/>
              </w:rPr>
            </w:pPr>
          </w:p>
        </w:tc>
        <w:tc>
          <w:tcPr>
            <w:tcW w:w="1620" w:type="dxa"/>
            <w:noWrap w:val="0"/>
            <w:vAlign w:val="center"/>
          </w:tcPr>
          <w:p w14:paraId="5099BBB8">
            <w:pPr>
              <w:pStyle w:val="91"/>
              <w:keepNext/>
              <w:spacing w:after="0" w:line="440" w:lineRule="exact"/>
              <w:ind w:left="63" w:right="63"/>
              <w:rPr>
                <w:rStyle w:val="19"/>
                <w:rFonts w:ascii="宋体" w:hAnsi="宋体" w:eastAsia="宋体" w:cs="Times New Roman"/>
                <w:sz w:val="30"/>
                <w:szCs w:val="30"/>
                <w:highlight w:val="none"/>
              </w:rPr>
            </w:pPr>
          </w:p>
        </w:tc>
        <w:tc>
          <w:tcPr>
            <w:tcW w:w="1661" w:type="dxa"/>
            <w:noWrap w:val="0"/>
            <w:vAlign w:val="center"/>
          </w:tcPr>
          <w:p w14:paraId="26003564">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0F724805">
            <w:pPr>
              <w:pStyle w:val="91"/>
              <w:keepNext/>
              <w:spacing w:after="0" w:line="440" w:lineRule="exact"/>
              <w:ind w:left="63" w:right="63"/>
              <w:rPr>
                <w:rStyle w:val="19"/>
                <w:rFonts w:ascii="宋体" w:hAnsi="宋体" w:eastAsia="宋体" w:cs="Times New Roman"/>
                <w:sz w:val="30"/>
                <w:szCs w:val="30"/>
                <w:highlight w:val="none"/>
              </w:rPr>
            </w:pPr>
          </w:p>
        </w:tc>
        <w:tc>
          <w:tcPr>
            <w:tcW w:w="1560" w:type="dxa"/>
            <w:noWrap w:val="0"/>
            <w:vAlign w:val="center"/>
          </w:tcPr>
          <w:p w14:paraId="393CB3E2">
            <w:pPr>
              <w:pStyle w:val="91"/>
              <w:keepNext/>
              <w:spacing w:after="0" w:line="440" w:lineRule="exact"/>
              <w:ind w:left="63" w:right="63"/>
              <w:rPr>
                <w:rStyle w:val="19"/>
                <w:rFonts w:ascii="宋体" w:hAnsi="宋体" w:eastAsia="宋体" w:cs="Times New Roman"/>
                <w:sz w:val="30"/>
                <w:szCs w:val="30"/>
                <w:highlight w:val="none"/>
              </w:rPr>
            </w:pPr>
          </w:p>
        </w:tc>
        <w:tc>
          <w:tcPr>
            <w:tcW w:w="2126" w:type="dxa"/>
            <w:noWrap w:val="0"/>
            <w:vAlign w:val="center"/>
          </w:tcPr>
          <w:p w14:paraId="22F4E824">
            <w:pPr>
              <w:pStyle w:val="91"/>
              <w:keepNext/>
              <w:spacing w:after="0" w:line="440" w:lineRule="exact"/>
              <w:ind w:left="63" w:right="63"/>
              <w:rPr>
                <w:rStyle w:val="19"/>
                <w:rFonts w:ascii="宋体" w:hAnsi="宋体" w:eastAsia="宋体" w:cs="Times New Roman"/>
                <w:sz w:val="30"/>
                <w:szCs w:val="30"/>
                <w:highlight w:val="none"/>
              </w:rPr>
            </w:pPr>
          </w:p>
        </w:tc>
        <w:tc>
          <w:tcPr>
            <w:tcW w:w="1417" w:type="dxa"/>
            <w:noWrap w:val="0"/>
            <w:vAlign w:val="center"/>
          </w:tcPr>
          <w:p w14:paraId="73A7B182">
            <w:pPr>
              <w:pStyle w:val="91"/>
              <w:keepNext/>
              <w:spacing w:after="0" w:line="440" w:lineRule="exact"/>
              <w:ind w:left="63" w:right="63"/>
              <w:rPr>
                <w:rStyle w:val="19"/>
                <w:rFonts w:ascii="宋体" w:hAnsi="宋体" w:eastAsia="宋体" w:cs="Times New Roman"/>
                <w:sz w:val="30"/>
                <w:szCs w:val="30"/>
                <w:highlight w:val="none"/>
              </w:rPr>
            </w:pPr>
          </w:p>
        </w:tc>
        <w:tc>
          <w:tcPr>
            <w:tcW w:w="851" w:type="dxa"/>
            <w:noWrap w:val="0"/>
            <w:vAlign w:val="center"/>
          </w:tcPr>
          <w:p w14:paraId="0C758008">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236B0A3A">
            <w:pPr>
              <w:pStyle w:val="91"/>
              <w:keepNext/>
              <w:spacing w:after="0" w:line="440" w:lineRule="exact"/>
              <w:ind w:left="63" w:right="63"/>
              <w:rPr>
                <w:rStyle w:val="19"/>
                <w:rFonts w:ascii="宋体" w:hAnsi="宋体" w:eastAsia="宋体" w:cs="Times New Roman"/>
                <w:sz w:val="30"/>
                <w:szCs w:val="30"/>
                <w:highlight w:val="none"/>
              </w:rPr>
            </w:pPr>
          </w:p>
        </w:tc>
      </w:tr>
      <w:tr w14:paraId="6564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7304127">
            <w:pPr>
              <w:pStyle w:val="91"/>
              <w:keepNext/>
              <w:spacing w:after="0" w:line="440" w:lineRule="exact"/>
              <w:ind w:left="63" w:right="63"/>
              <w:rPr>
                <w:rStyle w:val="19"/>
                <w:rFonts w:ascii="宋体" w:hAnsi="宋体" w:eastAsia="宋体" w:cs="Times New Roman"/>
                <w:sz w:val="30"/>
                <w:szCs w:val="30"/>
                <w:highlight w:val="none"/>
              </w:rPr>
            </w:pPr>
          </w:p>
        </w:tc>
        <w:tc>
          <w:tcPr>
            <w:tcW w:w="1440" w:type="dxa"/>
            <w:noWrap w:val="0"/>
            <w:vAlign w:val="center"/>
          </w:tcPr>
          <w:p w14:paraId="17AE0108">
            <w:pPr>
              <w:pStyle w:val="91"/>
              <w:keepNext/>
              <w:spacing w:after="0" w:line="440" w:lineRule="exact"/>
              <w:ind w:left="63" w:right="63"/>
              <w:rPr>
                <w:rStyle w:val="19"/>
                <w:rFonts w:ascii="宋体" w:hAnsi="宋体" w:eastAsia="宋体" w:cs="Times New Roman"/>
                <w:sz w:val="30"/>
                <w:szCs w:val="30"/>
                <w:highlight w:val="none"/>
              </w:rPr>
            </w:pPr>
          </w:p>
        </w:tc>
        <w:tc>
          <w:tcPr>
            <w:tcW w:w="1620" w:type="dxa"/>
            <w:noWrap w:val="0"/>
            <w:vAlign w:val="center"/>
          </w:tcPr>
          <w:p w14:paraId="6469607D">
            <w:pPr>
              <w:pStyle w:val="91"/>
              <w:keepNext/>
              <w:spacing w:after="0" w:line="440" w:lineRule="exact"/>
              <w:ind w:left="63" w:right="63"/>
              <w:rPr>
                <w:rStyle w:val="19"/>
                <w:rFonts w:ascii="宋体" w:hAnsi="宋体" w:eastAsia="宋体" w:cs="Times New Roman"/>
                <w:sz w:val="30"/>
                <w:szCs w:val="30"/>
                <w:highlight w:val="none"/>
              </w:rPr>
            </w:pPr>
          </w:p>
        </w:tc>
        <w:tc>
          <w:tcPr>
            <w:tcW w:w="1661" w:type="dxa"/>
            <w:noWrap w:val="0"/>
            <w:vAlign w:val="center"/>
          </w:tcPr>
          <w:p w14:paraId="0620C4D3">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5D94FE5E">
            <w:pPr>
              <w:pStyle w:val="91"/>
              <w:keepNext/>
              <w:spacing w:after="0" w:line="440" w:lineRule="exact"/>
              <w:ind w:left="63" w:right="63"/>
              <w:rPr>
                <w:rStyle w:val="19"/>
                <w:rFonts w:ascii="宋体" w:hAnsi="宋体" w:eastAsia="宋体" w:cs="Times New Roman"/>
                <w:sz w:val="30"/>
                <w:szCs w:val="30"/>
                <w:highlight w:val="none"/>
              </w:rPr>
            </w:pPr>
          </w:p>
        </w:tc>
        <w:tc>
          <w:tcPr>
            <w:tcW w:w="1560" w:type="dxa"/>
            <w:noWrap w:val="0"/>
            <w:vAlign w:val="center"/>
          </w:tcPr>
          <w:p w14:paraId="6296BBC5">
            <w:pPr>
              <w:pStyle w:val="91"/>
              <w:keepNext/>
              <w:spacing w:after="0" w:line="440" w:lineRule="exact"/>
              <w:ind w:left="63" w:right="63"/>
              <w:rPr>
                <w:rStyle w:val="19"/>
                <w:rFonts w:ascii="宋体" w:hAnsi="宋体" w:eastAsia="宋体" w:cs="Times New Roman"/>
                <w:sz w:val="30"/>
                <w:szCs w:val="30"/>
                <w:highlight w:val="none"/>
              </w:rPr>
            </w:pPr>
          </w:p>
        </w:tc>
        <w:tc>
          <w:tcPr>
            <w:tcW w:w="2126" w:type="dxa"/>
            <w:noWrap w:val="0"/>
            <w:vAlign w:val="center"/>
          </w:tcPr>
          <w:p w14:paraId="012A9D16">
            <w:pPr>
              <w:pStyle w:val="91"/>
              <w:keepNext/>
              <w:spacing w:after="0" w:line="440" w:lineRule="exact"/>
              <w:ind w:left="63" w:right="63"/>
              <w:rPr>
                <w:rStyle w:val="19"/>
                <w:rFonts w:ascii="宋体" w:hAnsi="宋体" w:eastAsia="宋体" w:cs="Times New Roman"/>
                <w:sz w:val="30"/>
                <w:szCs w:val="30"/>
                <w:highlight w:val="none"/>
              </w:rPr>
            </w:pPr>
          </w:p>
        </w:tc>
        <w:tc>
          <w:tcPr>
            <w:tcW w:w="1417" w:type="dxa"/>
            <w:noWrap w:val="0"/>
            <w:vAlign w:val="center"/>
          </w:tcPr>
          <w:p w14:paraId="346419A5">
            <w:pPr>
              <w:pStyle w:val="91"/>
              <w:keepNext/>
              <w:spacing w:after="0" w:line="440" w:lineRule="exact"/>
              <w:ind w:left="63" w:right="63"/>
              <w:rPr>
                <w:rStyle w:val="19"/>
                <w:rFonts w:ascii="宋体" w:hAnsi="宋体" w:eastAsia="宋体" w:cs="Times New Roman"/>
                <w:sz w:val="30"/>
                <w:szCs w:val="30"/>
                <w:highlight w:val="none"/>
              </w:rPr>
            </w:pPr>
          </w:p>
        </w:tc>
        <w:tc>
          <w:tcPr>
            <w:tcW w:w="851" w:type="dxa"/>
            <w:noWrap w:val="0"/>
            <w:vAlign w:val="center"/>
          </w:tcPr>
          <w:p w14:paraId="677048CE">
            <w:pPr>
              <w:pStyle w:val="91"/>
              <w:keepNext/>
              <w:spacing w:after="0" w:line="440" w:lineRule="exact"/>
              <w:ind w:left="63" w:right="63"/>
              <w:rPr>
                <w:rStyle w:val="19"/>
                <w:rFonts w:ascii="宋体" w:hAnsi="宋体" w:eastAsia="宋体" w:cs="Times New Roman"/>
                <w:sz w:val="30"/>
                <w:szCs w:val="30"/>
                <w:highlight w:val="none"/>
              </w:rPr>
            </w:pPr>
          </w:p>
        </w:tc>
        <w:tc>
          <w:tcPr>
            <w:tcW w:w="850" w:type="dxa"/>
            <w:noWrap w:val="0"/>
            <w:vAlign w:val="center"/>
          </w:tcPr>
          <w:p w14:paraId="16BC03B3">
            <w:pPr>
              <w:pStyle w:val="91"/>
              <w:keepNext/>
              <w:spacing w:after="0" w:line="440" w:lineRule="exact"/>
              <w:ind w:left="63" w:right="63"/>
              <w:rPr>
                <w:rStyle w:val="19"/>
                <w:rFonts w:ascii="宋体" w:hAnsi="宋体" w:eastAsia="宋体" w:cs="Times New Roman"/>
                <w:sz w:val="30"/>
                <w:szCs w:val="30"/>
                <w:highlight w:val="none"/>
              </w:rPr>
            </w:pPr>
          </w:p>
        </w:tc>
      </w:tr>
    </w:tbl>
    <w:p w14:paraId="147B35D9">
      <w:pPr>
        <w:pStyle w:val="32"/>
        <w:spacing w:line="460" w:lineRule="exact"/>
        <w:ind w:firstLine="420" w:firstLineChars="200"/>
        <w:rPr>
          <w:rStyle w:val="19"/>
          <w:rFonts w:ascii="宋体" w:hAnsi="宋体" w:eastAsia="宋体" w:cs="Times New Roman"/>
          <w:highlight w:val="none"/>
        </w:rPr>
      </w:pPr>
    </w:p>
    <w:p w14:paraId="02E62639">
      <w:pPr>
        <w:pStyle w:val="32"/>
        <w:spacing w:line="460" w:lineRule="exact"/>
        <w:ind w:firstLine="420" w:firstLineChars="200"/>
        <w:rPr>
          <w:rStyle w:val="19"/>
          <w:rFonts w:ascii="宋体" w:hAnsi="宋体" w:eastAsia="宋体" w:cs="Times New Roman"/>
          <w:highlight w:val="none"/>
        </w:rPr>
      </w:pPr>
    </w:p>
    <w:p w14:paraId="707ED3FF">
      <w:pPr>
        <w:pStyle w:val="32"/>
        <w:spacing w:line="440" w:lineRule="exact"/>
        <w:rPr>
          <w:rStyle w:val="19"/>
          <w:rFonts w:hint="eastAsia" w:ascii="宋体" w:hAnsi="宋体" w:eastAsia="宋体" w:cs="宋体"/>
          <w:sz w:val="30"/>
          <w:szCs w:val="30"/>
          <w:highlight w:val="none"/>
        </w:rPr>
        <w:sectPr>
          <w:type w:val="continuous"/>
          <w:pgSz w:w="16838" w:h="11906" w:orient="landscape"/>
          <w:pgMar w:top="1800" w:right="1440" w:bottom="1800" w:left="1440" w:header="851" w:footer="992" w:gutter="0"/>
          <w:cols w:space="720" w:num="1"/>
          <w:docGrid w:type="lines" w:linePitch="312" w:charSpace="0"/>
        </w:sectPr>
      </w:pPr>
    </w:p>
    <w:p w14:paraId="044107F8">
      <w:pPr>
        <w:pStyle w:val="32"/>
        <w:spacing w:line="440" w:lineRule="exact"/>
        <w:rPr>
          <w:rStyle w:val="19"/>
          <w:rFonts w:ascii="宋体" w:hAnsi="宋体" w:eastAsia="宋体" w:cs="Times New Roman"/>
          <w:sz w:val="30"/>
          <w:szCs w:val="30"/>
          <w:highlight w:val="none"/>
        </w:rPr>
      </w:pPr>
      <w:r>
        <w:rPr>
          <w:rStyle w:val="19"/>
          <w:rFonts w:hint="eastAsia" w:ascii="宋体" w:hAnsi="宋体" w:eastAsia="宋体" w:cs="宋体"/>
          <w:sz w:val="30"/>
          <w:szCs w:val="30"/>
          <w:highlight w:val="none"/>
        </w:rPr>
        <w:t>附件</w:t>
      </w:r>
      <w:r>
        <w:rPr>
          <w:rStyle w:val="19"/>
          <w:rFonts w:hint="eastAsia" w:ascii="宋体" w:hAnsi="宋体" w:eastAsia="宋体" w:cs="Times New Roman"/>
          <w:sz w:val="30"/>
          <w:szCs w:val="30"/>
          <w:highlight w:val="none"/>
        </w:rPr>
        <w:t>2</w:t>
      </w:r>
      <w:r>
        <w:rPr>
          <w:rStyle w:val="19"/>
          <w:rFonts w:hint="eastAsia" w:ascii="宋体" w:hAnsi="宋体" w:eastAsia="宋体" w:cs="宋体"/>
          <w:sz w:val="30"/>
          <w:szCs w:val="30"/>
          <w:highlight w:val="none"/>
        </w:rPr>
        <w:t>：</w:t>
      </w:r>
    </w:p>
    <w:p w14:paraId="527CA2E5">
      <w:pPr>
        <w:pStyle w:val="32"/>
        <w:spacing w:before="120" w:beforeLines="50" w:after="120" w:afterLines="50" w:line="440" w:lineRule="exact"/>
        <w:jc w:val="center"/>
        <w:rPr>
          <w:rStyle w:val="19"/>
          <w:rFonts w:ascii="宋体" w:hAnsi="宋体" w:eastAsia="宋体" w:cs="Times New Roman"/>
          <w:sz w:val="32"/>
          <w:szCs w:val="32"/>
          <w:highlight w:val="none"/>
        </w:rPr>
      </w:pPr>
      <w:r>
        <w:rPr>
          <w:rStyle w:val="19"/>
          <w:rFonts w:hint="eastAsia" w:ascii="宋体" w:hAnsi="宋体" w:eastAsia="宋体" w:cs="黑体"/>
          <w:sz w:val="32"/>
          <w:szCs w:val="32"/>
          <w:highlight w:val="none"/>
        </w:rPr>
        <w:t>工程质量保修书（房屋建筑工程）</w:t>
      </w:r>
    </w:p>
    <w:p w14:paraId="5142F0EC">
      <w:pPr>
        <w:pStyle w:val="32"/>
        <w:spacing w:line="440" w:lineRule="exact"/>
        <w:ind w:firstLine="420" w:firstLineChars="200"/>
        <w:rPr>
          <w:rStyle w:val="19"/>
          <w:rFonts w:ascii="宋体" w:hAnsi="宋体" w:eastAsia="宋体" w:cs="Times New Roman"/>
          <w:highlight w:val="none"/>
        </w:rPr>
      </w:pPr>
      <w:r>
        <w:rPr>
          <w:rStyle w:val="19"/>
          <w:rFonts w:hint="eastAsia" w:ascii="宋体" w:hAnsi="宋体" w:eastAsia="宋体" w:cs="宋体"/>
          <w:highlight w:val="none"/>
        </w:rPr>
        <w:t>发包人（全称）：</w:t>
      </w:r>
      <w:r>
        <w:rPr>
          <w:rStyle w:val="19"/>
          <w:rFonts w:hint="eastAsia" w:ascii="宋体" w:hAnsi="宋体" w:eastAsia="宋体" w:cs="宋体"/>
          <w:highlight w:val="none"/>
          <w:u w:val="single"/>
        </w:rPr>
        <w:t>广西壮族自治区人民医院</w:t>
      </w:r>
      <w:r>
        <w:rPr>
          <w:rStyle w:val="19"/>
          <w:rFonts w:ascii="宋体" w:hAnsi="宋体" w:eastAsia="宋体" w:cs="Times New Roman"/>
          <w:highlight w:val="none"/>
        </w:rPr>
        <w:t xml:space="preserve"> </w:t>
      </w:r>
    </w:p>
    <w:p w14:paraId="2B6F5063">
      <w:pPr>
        <w:pStyle w:val="32"/>
        <w:spacing w:line="440" w:lineRule="exact"/>
        <w:ind w:firstLine="420" w:firstLineChars="200"/>
        <w:rPr>
          <w:rStyle w:val="19"/>
          <w:rFonts w:ascii="宋体" w:hAnsi="宋体" w:eastAsia="宋体" w:cs="Times New Roman"/>
          <w:highlight w:val="none"/>
        </w:rPr>
      </w:pPr>
      <w:r>
        <w:rPr>
          <w:rStyle w:val="19"/>
          <w:rFonts w:hint="eastAsia" w:ascii="宋体" w:hAnsi="宋体" w:eastAsia="宋体" w:cs="宋体"/>
          <w:highlight w:val="none"/>
        </w:rPr>
        <w:t>承包人（全称）：</w:t>
      </w:r>
      <w:r>
        <w:rPr>
          <w:rStyle w:val="19"/>
          <w:rFonts w:hint="eastAsia" w:ascii="宋体" w:hAnsi="宋体" w:eastAsia="宋体" w:cs="宋体"/>
          <w:highlight w:val="none"/>
          <w:u w:val="single"/>
          <w:lang w:val="en-US" w:eastAsia="zh-CN"/>
        </w:rPr>
        <w:t xml:space="preserve">  </w:t>
      </w:r>
      <w:r>
        <w:rPr>
          <w:rStyle w:val="19"/>
          <w:rFonts w:ascii="宋体" w:hAnsi="宋体" w:eastAsia="宋体" w:cs="Times New Roman"/>
          <w:highlight w:val="none"/>
          <w:u w:val="single"/>
        </w:rPr>
        <w:t xml:space="preserve"> </w:t>
      </w:r>
    </w:p>
    <w:p w14:paraId="76E3AE6B">
      <w:pPr>
        <w:pStyle w:val="32"/>
        <w:spacing w:line="440" w:lineRule="exact"/>
        <w:rPr>
          <w:rStyle w:val="19"/>
          <w:rFonts w:ascii="宋体" w:hAnsi="宋体" w:eastAsia="宋体" w:cs="Times New Roman"/>
          <w:highlight w:val="none"/>
        </w:rPr>
      </w:pPr>
    </w:p>
    <w:p w14:paraId="444DB2BC">
      <w:pPr>
        <w:pStyle w:val="32"/>
        <w:spacing w:line="360" w:lineRule="auto"/>
        <w:ind w:firstLine="420" w:firstLineChars="200"/>
        <w:rPr>
          <w:rStyle w:val="19"/>
          <w:rFonts w:ascii="宋体" w:hAnsi="宋体" w:eastAsia="宋体" w:cs="Times New Roman"/>
          <w:highlight w:val="none"/>
        </w:rPr>
      </w:pPr>
      <w:r>
        <w:rPr>
          <w:rStyle w:val="19"/>
          <w:rFonts w:hint="eastAsia" w:ascii="宋体" w:hAnsi="宋体" w:eastAsia="宋体" w:cs="宋体"/>
          <w:highlight w:val="none"/>
        </w:rPr>
        <w:t>发包人和承包人根据《中华人民共和国建筑法》和《建设工程质量管理条例》，经协商一致就</w:t>
      </w:r>
      <w:r>
        <w:rPr>
          <w:rStyle w:val="19"/>
          <w:rFonts w:hint="eastAsia" w:ascii="宋体" w:hAnsi="宋体" w:eastAsia="宋体" w:cs="宋体"/>
          <w:highlight w:val="none"/>
          <w:u w:val="single"/>
          <w:lang w:val="en-US" w:eastAsia="zh-CN"/>
        </w:rPr>
        <w:t xml:space="preserve">   </w:t>
      </w:r>
      <w:r>
        <w:rPr>
          <w:rStyle w:val="19"/>
          <w:rFonts w:hint="eastAsia" w:ascii="宋体" w:hAnsi="宋体" w:eastAsia="宋体" w:cs="宋体"/>
          <w:highlight w:val="none"/>
        </w:rPr>
        <w:t>（工程全称）签订工程质量保修书。</w:t>
      </w:r>
    </w:p>
    <w:p w14:paraId="328C411D">
      <w:pPr>
        <w:pStyle w:val="32"/>
        <w:spacing w:line="360" w:lineRule="auto"/>
        <w:ind w:firstLine="420" w:firstLineChars="200"/>
        <w:rPr>
          <w:rStyle w:val="19"/>
          <w:rFonts w:ascii="宋体" w:hAnsi="宋体" w:eastAsia="宋体" w:cs="Times New Roman"/>
          <w:highlight w:val="none"/>
        </w:rPr>
      </w:pPr>
      <w:r>
        <w:rPr>
          <w:rStyle w:val="19"/>
          <w:rFonts w:hint="eastAsia" w:ascii="宋体" w:hAnsi="宋体" w:eastAsia="宋体" w:cs="黑体"/>
          <w:highlight w:val="none"/>
        </w:rPr>
        <w:t>一、工程质量保修范围和内容</w:t>
      </w:r>
    </w:p>
    <w:p w14:paraId="1FD32264">
      <w:pPr>
        <w:pStyle w:val="32"/>
        <w:spacing w:line="360" w:lineRule="auto"/>
        <w:ind w:firstLine="420" w:firstLineChars="200"/>
        <w:rPr>
          <w:rStyle w:val="19"/>
          <w:rFonts w:ascii="宋体" w:hAnsi="宋体" w:eastAsia="宋体" w:cs="Times New Roman"/>
          <w:highlight w:val="none"/>
        </w:rPr>
      </w:pPr>
      <w:r>
        <w:rPr>
          <w:rStyle w:val="19"/>
          <w:rFonts w:hint="eastAsia" w:ascii="宋体" w:hAnsi="宋体" w:eastAsia="宋体" w:cs="宋体"/>
          <w:highlight w:val="none"/>
        </w:rPr>
        <w:t>承包人在质量保修期内，按照有关法律规定和合同约定，承担工程质量保修责任。</w:t>
      </w:r>
    </w:p>
    <w:p w14:paraId="2C8CD7F7">
      <w:pPr>
        <w:pStyle w:val="32"/>
        <w:spacing w:line="360" w:lineRule="auto"/>
        <w:ind w:firstLine="420"/>
        <w:rPr>
          <w:rStyle w:val="19"/>
          <w:rFonts w:ascii="宋体" w:hAnsi="宋体" w:eastAsia="宋体" w:cs="Times New Roman"/>
          <w:highlight w:val="none"/>
        </w:rPr>
      </w:pPr>
      <w:r>
        <w:rPr>
          <w:rStyle w:val="19"/>
          <w:rFonts w:hint="eastAsia" w:ascii="宋体" w:hAnsi="宋体" w:eastAsia="宋体" w:cs="宋体"/>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Style w:val="19"/>
          <w:rFonts w:ascii="宋体" w:hAnsi="宋体" w:eastAsia="宋体" w:cs="Times New Roman"/>
          <w:highlight w:val="none"/>
          <w:u w:val="single"/>
        </w:rPr>
        <w:t xml:space="preserve"> </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rPr>
        <w:t>在承包人承包范围内，属承包人责任造成的工程质量问题，由承包人承担保修责任</w:t>
      </w:r>
      <w:r>
        <w:rPr>
          <w:rStyle w:val="19"/>
          <w:rFonts w:ascii="宋体" w:hAnsi="宋体" w:eastAsia="宋体" w:cs="Times New Roman"/>
          <w:highlight w:val="none"/>
          <w:u w:val="single"/>
        </w:rPr>
        <w:t xml:space="preserve"> </w:t>
      </w:r>
      <w:r>
        <w:rPr>
          <w:rStyle w:val="19"/>
          <w:rFonts w:hint="eastAsia" w:ascii="宋体" w:hAnsi="宋体" w:eastAsia="宋体" w:cs="宋体"/>
          <w:highlight w:val="none"/>
        </w:rPr>
        <w:t>。</w:t>
      </w:r>
    </w:p>
    <w:p w14:paraId="09843E7E">
      <w:pPr>
        <w:pStyle w:val="32"/>
        <w:spacing w:line="360" w:lineRule="auto"/>
        <w:ind w:firstLine="420"/>
        <w:rPr>
          <w:rStyle w:val="19"/>
          <w:rFonts w:ascii="宋体" w:hAnsi="宋体" w:eastAsia="宋体" w:cs="Times New Roman"/>
          <w:highlight w:val="none"/>
        </w:rPr>
      </w:pPr>
      <w:r>
        <w:rPr>
          <w:rStyle w:val="19"/>
          <w:rFonts w:hint="eastAsia" w:ascii="宋体" w:hAnsi="宋体" w:eastAsia="宋体" w:cs="黑体"/>
          <w:highlight w:val="none"/>
        </w:rPr>
        <w:t>二、质量保修期</w:t>
      </w:r>
    </w:p>
    <w:p w14:paraId="7DF77F13">
      <w:pPr>
        <w:pStyle w:val="32"/>
        <w:spacing w:line="360" w:lineRule="auto"/>
        <w:ind w:firstLine="420"/>
        <w:rPr>
          <w:rStyle w:val="19"/>
          <w:rFonts w:ascii="宋体" w:hAnsi="宋体" w:eastAsia="宋体" w:cs="Times New Roman"/>
          <w:highlight w:val="none"/>
        </w:rPr>
      </w:pPr>
      <w:r>
        <w:rPr>
          <w:rStyle w:val="19"/>
          <w:rFonts w:hint="eastAsia" w:ascii="宋体" w:hAnsi="宋体" w:eastAsia="宋体" w:cs="宋体"/>
          <w:highlight w:val="none"/>
        </w:rPr>
        <w:t>根据《建设工程质量管理条例》及有关规定，工程的质量保修期如下：</w:t>
      </w:r>
    </w:p>
    <w:p w14:paraId="07EA5432">
      <w:pPr>
        <w:pStyle w:val="32"/>
        <w:spacing w:line="360" w:lineRule="auto"/>
        <w:ind w:firstLine="420"/>
        <w:rPr>
          <w:rStyle w:val="19"/>
          <w:rFonts w:ascii="宋体" w:hAnsi="宋体" w:eastAsia="宋体" w:cs="Times New Roman"/>
          <w:highlight w:val="none"/>
        </w:rPr>
      </w:pPr>
      <w:r>
        <w:rPr>
          <w:rStyle w:val="19"/>
          <w:rFonts w:ascii="宋体" w:hAnsi="宋体" w:eastAsia="宋体" w:cs="Times New Roman"/>
          <w:highlight w:val="none"/>
        </w:rPr>
        <w:t>1</w:t>
      </w:r>
      <w:r>
        <w:rPr>
          <w:rStyle w:val="19"/>
          <w:rFonts w:hint="eastAsia" w:ascii="宋体" w:hAnsi="宋体" w:eastAsia="宋体" w:cs="宋体"/>
          <w:highlight w:val="none"/>
        </w:rPr>
        <w:t>．地基基础工程和主体结构工程为设计文件规定的工程合理使用年限；</w:t>
      </w:r>
    </w:p>
    <w:p w14:paraId="06009D13">
      <w:pPr>
        <w:pStyle w:val="32"/>
        <w:spacing w:line="360" w:lineRule="auto"/>
        <w:ind w:firstLine="420"/>
        <w:rPr>
          <w:rStyle w:val="19"/>
          <w:rFonts w:ascii="宋体" w:hAnsi="宋体" w:eastAsia="宋体" w:cs="Times New Roman"/>
          <w:highlight w:val="none"/>
        </w:rPr>
      </w:pPr>
      <w:r>
        <w:rPr>
          <w:rStyle w:val="19"/>
          <w:rFonts w:ascii="宋体" w:hAnsi="宋体" w:eastAsia="宋体" w:cs="Times New Roman"/>
          <w:highlight w:val="none"/>
        </w:rPr>
        <w:t>2</w:t>
      </w:r>
      <w:r>
        <w:rPr>
          <w:rStyle w:val="19"/>
          <w:rFonts w:hint="eastAsia" w:ascii="宋体" w:hAnsi="宋体" w:eastAsia="宋体" w:cs="宋体"/>
          <w:highlight w:val="none"/>
        </w:rPr>
        <w:t>．屋面防水工程、有防水要求的卫生间、房间和外墙面的防渗为</w:t>
      </w:r>
      <w:r>
        <w:rPr>
          <w:rStyle w:val="19"/>
          <w:rFonts w:hint="eastAsia" w:ascii="宋体" w:hAnsi="宋体" w:eastAsia="宋体" w:cs="Times New Roman"/>
          <w:highlight w:val="none"/>
          <w:u w:val="single"/>
        </w:rPr>
        <w:t>5</w:t>
      </w:r>
      <w:r>
        <w:rPr>
          <w:rStyle w:val="19"/>
          <w:rFonts w:hint="eastAsia" w:ascii="宋体" w:hAnsi="宋体" w:eastAsia="宋体" w:cs="宋体"/>
          <w:highlight w:val="none"/>
        </w:rPr>
        <w:t>年；</w:t>
      </w:r>
    </w:p>
    <w:p w14:paraId="6EFF4834">
      <w:pPr>
        <w:pStyle w:val="32"/>
        <w:spacing w:line="360" w:lineRule="auto"/>
        <w:ind w:firstLine="420"/>
        <w:rPr>
          <w:rStyle w:val="19"/>
          <w:rFonts w:ascii="宋体" w:hAnsi="宋体" w:eastAsia="宋体" w:cs="Times New Roman"/>
          <w:highlight w:val="none"/>
        </w:rPr>
      </w:pPr>
      <w:r>
        <w:rPr>
          <w:rStyle w:val="19"/>
          <w:rFonts w:ascii="宋体" w:hAnsi="宋体" w:eastAsia="宋体" w:cs="Times New Roman"/>
          <w:highlight w:val="none"/>
        </w:rPr>
        <w:t>3</w:t>
      </w:r>
      <w:r>
        <w:rPr>
          <w:rStyle w:val="19"/>
          <w:rFonts w:hint="eastAsia" w:ascii="宋体" w:hAnsi="宋体" w:eastAsia="宋体" w:cs="宋体"/>
          <w:highlight w:val="none"/>
        </w:rPr>
        <w:t>．装修工程为</w:t>
      </w:r>
      <w:r>
        <w:rPr>
          <w:rStyle w:val="19"/>
          <w:rFonts w:hint="eastAsia" w:ascii="宋体" w:hAnsi="宋体" w:eastAsia="宋体" w:cs="Times New Roman"/>
          <w:highlight w:val="none"/>
          <w:u w:val="single"/>
        </w:rPr>
        <w:t>2</w:t>
      </w:r>
      <w:r>
        <w:rPr>
          <w:rStyle w:val="19"/>
          <w:rFonts w:ascii="宋体" w:hAnsi="宋体" w:eastAsia="宋体" w:cs="Times New Roman"/>
          <w:highlight w:val="none"/>
          <w:u w:val="single"/>
        </w:rPr>
        <w:t xml:space="preserve"> </w:t>
      </w:r>
      <w:r>
        <w:rPr>
          <w:rStyle w:val="19"/>
          <w:rFonts w:hint="eastAsia" w:ascii="宋体" w:hAnsi="宋体" w:eastAsia="宋体" w:cs="宋体"/>
          <w:highlight w:val="none"/>
        </w:rPr>
        <w:t>年；</w:t>
      </w:r>
    </w:p>
    <w:p w14:paraId="10E5EF70">
      <w:pPr>
        <w:pStyle w:val="32"/>
        <w:spacing w:line="360" w:lineRule="auto"/>
        <w:ind w:firstLine="420"/>
        <w:rPr>
          <w:rStyle w:val="19"/>
          <w:rFonts w:ascii="宋体" w:hAnsi="宋体" w:eastAsia="宋体" w:cs="Times New Roman"/>
          <w:highlight w:val="none"/>
        </w:rPr>
      </w:pPr>
      <w:r>
        <w:rPr>
          <w:rStyle w:val="19"/>
          <w:rFonts w:ascii="宋体" w:hAnsi="宋体" w:eastAsia="宋体" w:cs="Times New Roman"/>
          <w:highlight w:val="none"/>
        </w:rPr>
        <w:t>4</w:t>
      </w:r>
      <w:r>
        <w:rPr>
          <w:rStyle w:val="19"/>
          <w:rFonts w:hint="eastAsia" w:ascii="宋体" w:hAnsi="宋体" w:eastAsia="宋体" w:cs="宋体"/>
          <w:highlight w:val="none"/>
        </w:rPr>
        <w:t>．电气管线、给排水管道、设备安装工程为</w:t>
      </w:r>
      <w:r>
        <w:rPr>
          <w:rStyle w:val="19"/>
          <w:rFonts w:hint="eastAsia" w:ascii="宋体" w:hAnsi="宋体" w:eastAsia="宋体" w:cs="Times New Roman"/>
          <w:highlight w:val="none"/>
          <w:u w:val="single"/>
        </w:rPr>
        <w:t>2</w:t>
      </w:r>
      <w:r>
        <w:rPr>
          <w:rStyle w:val="19"/>
          <w:rFonts w:hint="eastAsia" w:ascii="宋体" w:hAnsi="宋体" w:eastAsia="宋体" w:cs="宋体"/>
          <w:highlight w:val="none"/>
        </w:rPr>
        <w:t>年；</w:t>
      </w:r>
    </w:p>
    <w:p w14:paraId="3DCBE2FA">
      <w:pPr>
        <w:pStyle w:val="32"/>
        <w:spacing w:line="360" w:lineRule="auto"/>
        <w:ind w:firstLine="420"/>
        <w:rPr>
          <w:rStyle w:val="19"/>
          <w:rFonts w:ascii="宋体" w:hAnsi="宋体" w:eastAsia="宋体" w:cs="Times New Roman"/>
          <w:highlight w:val="none"/>
        </w:rPr>
      </w:pPr>
      <w:r>
        <w:rPr>
          <w:rStyle w:val="19"/>
          <w:rFonts w:ascii="宋体" w:hAnsi="宋体" w:eastAsia="宋体" w:cs="Times New Roman"/>
          <w:highlight w:val="none"/>
        </w:rPr>
        <w:t>5</w:t>
      </w:r>
      <w:r>
        <w:rPr>
          <w:rStyle w:val="19"/>
          <w:rFonts w:hint="eastAsia" w:ascii="宋体" w:hAnsi="宋体" w:eastAsia="宋体" w:cs="宋体"/>
          <w:highlight w:val="none"/>
        </w:rPr>
        <w:t>．供热与供冷系统为</w:t>
      </w:r>
      <w:r>
        <w:rPr>
          <w:rStyle w:val="19"/>
          <w:rFonts w:hint="eastAsia" w:ascii="宋体" w:hAnsi="宋体" w:eastAsia="宋体" w:cs="Times New Roman"/>
          <w:highlight w:val="none"/>
          <w:u w:val="single"/>
        </w:rPr>
        <w:t>2</w:t>
      </w:r>
      <w:r>
        <w:rPr>
          <w:rStyle w:val="19"/>
          <w:rFonts w:hint="eastAsia" w:ascii="宋体" w:hAnsi="宋体" w:eastAsia="宋体" w:cs="宋体"/>
          <w:highlight w:val="none"/>
        </w:rPr>
        <w:t>个采暖期、供冷期；</w:t>
      </w:r>
    </w:p>
    <w:p w14:paraId="40D896BB">
      <w:pPr>
        <w:pStyle w:val="32"/>
        <w:spacing w:line="360" w:lineRule="auto"/>
        <w:ind w:firstLine="420"/>
        <w:rPr>
          <w:rStyle w:val="19"/>
          <w:rFonts w:ascii="宋体" w:hAnsi="宋体" w:eastAsia="宋体" w:cs="Times New Roman"/>
          <w:highlight w:val="none"/>
        </w:rPr>
      </w:pPr>
      <w:r>
        <w:rPr>
          <w:rStyle w:val="19"/>
          <w:rFonts w:ascii="宋体" w:hAnsi="宋体" w:eastAsia="宋体" w:cs="Times New Roman"/>
          <w:highlight w:val="none"/>
        </w:rPr>
        <w:t>6</w:t>
      </w:r>
      <w:r>
        <w:rPr>
          <w:rStyle w:val="19"/>
          <w:rFonts w:hint="eastAsia" w:ascii="宋体" w:hAnsi="宋体" w:eastAsia="宋体" w:cs="宋体"/>
          <w:highlight w:val="none"/>
        </w:rPr>
        <w:t>．住宅小区内的给排水设施、道路等配套工程为</w:t>
      </w:r>
      <w:r>
        <w:rPr>
          <w:rStyle w:val="19"/>
          <w:rFonts w:hint="eastAsia" w:ascii="宋体" w:hAnsi="宋体" w:eastAsia="宋体" w:cs="Times New Roman"/>
          <w:highlight w:val="none"/>
          <w:u w:val="single"/>
        </w:rPr>
        <w:t>2</w:t>
      </w:r>
      <w:r>
        <w:rPr>
          <w:rStyle w:val="19"/>
          <w:rFonts w:hint="eastAsia" w:ascii="宋体" w:hAnsi="宋体" w:eastAsia="宋体" w:cs="宋体"/>
          <w:highlight w:val="none"/>
        </w:rPr>
        <w:t>年；</w:t>
      </w:r>
    </w:p>
    <w:p w14:paraId="24FDEB1C">
      <w:pPr>
        <w:pStyle w:val="32"/>
        <w:spacing w:line="360" w:lineRule="auto"/>
        <w:ind w:firstLine="420"/>
        <w:rPr>
          <w:rStyle w:val="19"/>
          <w:rFonts w:ascii="宋体" w:hAnsi="宋体" w:eastAsia="宋体" w:cs="Times New Roman"/>
          <w:highlight w:val="none"/>
        </w:rPr>
      </w:pPr>
      <w:r>
        <w:rPr>
          <w:rStyle w:val="19"/>
          <w:rFonts w:ascii="宋体" w:hAnsi="宋体" w:eastAsia="宋体" w:cs="Times New Roman"/>
          <w:highlight w:val="none"/>
        </w:rPr>
        <w:t>7</w:t>
      </w:r>
      <w:r>
        <w:rPr>
          <w:rStyle w:val="19"/>
          <w:rFonts w:hint="eastAsia" w:ascii="宋体" w:hAnsi="宋体" w:eastAsia="宋体" w:cs="宋体"/>
          <w:highlight w:val="none"/>
        </w:rPr>
        <w:t>．其他项目保修期限约定如下：</w:t>
      </w:r>
      <w:r>
        <w:rPr>
          <w:rStyle w:val="19"/>
          <w:rFonts w:ascii="宋体" w:hAnsi="宋体" w:eastAsia="宋体" w:cs="Times New Roman"/>
          <w:highlight w:val="none"/>
          <w:u w:val="single"/>
        </w:rPr>
        <w:t xml:space="preserve">       </w:t>
      </w:r>
      <w:r>
        <w:rPr>
          <w:rStyle w:val="19"/>
          <w:rFonts w:hint="eastAsia" w:ascii="宋体" w:hAnsi="宋体" w:eastAsia="宋体" w:cs="Times New Roman"/>
          <w:highlight w:val="none"/>
          <w:u w:val="single"/>
          <w:lang w:val="en-US" w:eastAsia="zh-CN"/>
        </w:rPr>
        <w:t>/</w:t>
      </w:r>
      <w:r>
        <w:rPr>
          <w:rStyle w:val="19"/>
          <w:rFonts w:ascii="宋体" w:hAnsi="宋体" w:eastAsia="宋体" w:cs="Times New Roman"/>
          <w:highlight w:val="none"/>
          <w:u w:val="single"/>
        </w:rPr>
        <w:t xml:space="preserve">                          </w:t>
      </w:r>
      <w:r>
        <w:rPr>
          <w:rStyle w:val="19"/>
          <w:rFonts w:hint="eastAsia" w:ascii="宋体" w:hAnsi="宋体" w:eastAsia="宋体" w:cs="宋体"/>
          <w:highlight w:val="none"/>
        </w:rPr>
        <w:t>。</w:t>
      </w:r>
    </w:p>
    <w:p w14:paraId="3AC1F290">
      <w:pPr>
        <w:pStyle w:val="32"/>
        <w:spacing w:line="360" w:lineRule="auto"/>
        <w:ind w:firstLine="420"/>
        <w:rPr>
          <w:rStyle w:val="19"/>
          <w:rFonts w:ascii="宋体" w:hAnsi="宋体" w:eastAsia="宋体" w:cs="Times New Roman"/>
          <w:highlight w:val="none"/>
        </w:rPr>
      </w:pPr>
      <w:r>
        <w:rPr>
          <w:rStyle w:val="19"/>
          <w:rFonts w:hint="eastAsia" w:ascii="宋体" w:hAnsi="宋体" w:eastAsia="宋体" w:cs="宋体"/>
          <w:highlight w:val="none"/>
        </w:rPr>
        <w:t>质量保修期自工程竣工验收合格之日起计算。</w:t>
      </w:r>
    </w:p>
    <w:p w14:paraId="2591E283">
      <w:pPr>
        <w:pStyle w:val="32"/>
        <w:spacing w:line="360" w:lineRule="auto"/>
        <w:ind w:firstLine="420"/>
        <w:rPr>
          <w:rStyle w:val="19"/>
          <w:rFonts w:ascii="宋体" w:hAnsi="宋体" w:eastAsia="宋体" w:cs="Times New Roman"/>
          <w:highlight w:val="none"/>
        </w:rPr>
      </w:pPr>
      <w:r>
        <w:rPr>
          <w:rStyle w:val="19"/>
          <w:rFonts w:hint="eastAsia" w:ascii="宋体" w:hAnsi="宋体" w:eastAsia="宋体" w:cs="黑体"/>
          <w:highlight w:val="none"/>
        </w:rPr>
        <w:t>三、缺陷责任期</w:t>
      </w:r>
    </w:p>
    <w:p w14:paraId="43679EE5">
      <w:pPr>
        <w:pStyle w:val="32"/>
        <w:spacing w:line="360" w:lineRule="auto"/>
        <w:ind w:firstLine="420"/>
        <w:rPr>
          <w:rStyle w:val="19"/>
          <w:rFonts w:ascii="宋体" w:hAnsi="宋体" w:eastAsia="宋体" w:cs="Times New Roman"/>
          <w:highlight w:val="none"/>
        </w:rPr>
      </w:pPr>
      <w:r>
        <w:rPr>
          <w:rStyle w:val="19"/>
          <w:rFonts w:hint="eastAsia" w:ascii="宋体" w:hAnsi="宋体" w:eastAsia="宋体" w:cs="宋体"/>
          <w:highlight w:val="none"/>
        </w:rPr>
        <w:t>工程缺陷责任期为</w:t>
      </w:r>
      <w:r>
        <w:rPr>
          <w:rStyle w:val="19"/>
          <w:rFonts w:hint="eastAsia" w:ascii="宋体" w:hAnsi="宋体" w:eastAsia="宋体" w:cs="Times New Roman"/>
          <w:highlight w:val="none"/>
          <w:u w:val="single"/>
        </w:rPr>
        <w:t>24</w:t>
      </w:r>
      <w:r>
        <w:rPr>
          <w:rStyle w:val="19"/>
          <w:rFonts w:hint="eastAsia" w:ascii="宋体" w:hAnsi="宋体" w:eastAsia="宋体" w:cs="宋体"/>
          <w:highlight w:val="none"/>
        </w:rPr>
        <w:t>个月（最长不超过</w:t>
      </w:r>
      <w:r>
        <w:rPr>
          <w:rStyle w:val="19"/>
          <w:rFonts w:ascii="宋体" w:hAnsi="宋体" w:eastAsia="宋体" w:cs="Times New Roman"/>
          <w:highlight w:val="none"/>
        </w:rPr>
        <w:t>24</w:t>
      </w:r>
      <w:r>
        <w:rPr>
          <w:rStyle w:val="19"/>
          <w:rFonts w:hint="eastAsia" w:ascii="宋体" w:hAnsi="宋体" w:eastAsia="宋体" w:cs="宋体"/>
          <w:highlight w:val="none"/>
        </w:rPr>
        <w:t>个月），缺陷责任期自工程竣工验收合格之日起计算。单位工程先于全部工程进行验收，单位工程缺陷责任期自单位工程验收合格之日起算。</w:t>
      </w:r>
    </w:p>
    <w:p w14:paraId="4E50B7FA">
      <w:pPr>
        <w:pStyle w:val="32"/>
        <w:spacing w:line="360" w:lineRule="auto"/>
        <w:ind w:firstLine="420"/>
        <w:rPr>
          <w:rStyle w:val="19"/>
          <w:rFonts w:ascii="宋体" w:hAnsi="宋体" w:eastAsia="宋体" w:cs="Times New Roman"/>
          <w:highlight w:val="none"/>
        </w:rPr>
      </w:pPr>
      <w:r>
        <w:rPr>
          <w:rStyle w:val="19"/>
          <w:rFonts w:hint="eastAsia" w:ascii="宋体" w:hAnsi="宋体" w:eastAsia="宋体" w:cs="宋体"/>
          <w:highlight w:val="none"/>
        </w:rPr>
        <w:t>缺陷责任期</w:t>
      </w:r>
      <w:r>
        <w:rPr>
          <w:rStyle w:val="19"/>
          <w:rFonts w:hint="eastAsia" w:ascii="宋体" w:hAnsi="宋体" w:eastAsia="宋体" w:cs="宋体"/>
          <w:highlight w:val="none"/>
          <w:u w:val="single"/>
        </w:rPr>
        <w:t>满</w:t>
      </w:r>
      <w:r>
        <w:rPr>
          <w:rStyle w:val="19"/>
          <w:rFonts w:hint="eastAsia" w:ascii="宋体" w:hAnsi="宋体" w:eastAsia="宋体" w:cs="Times New Roman"/>
          <w:highlight w:val="none"/>
        </w:rPr>
        <w:t>之日起</w:t>
      </w:r>
      <w:r>
        <w:rPr>
          <w:rStyle w:val="19"/>
          <w:rFonts w:hint="eastAsia" w:ascii="宋体" w:hAnsi="宋体" w:eastAsia="宋体" w:cs="Times New Roman"/>
          <w:highlight w:val="none"/>
          <w:u w:val="single"/>
        </w:rPr>
        <w:t>30</w:t>
      </w:r>
      <w:r>
        <w:rPr>
          <w:rStyle w:val="19"/>
          <w:rFonts w:hint="eastAsia" w:ascii="宋体" w:hAnsi="宋体" w:eastAsia="宋体" w:cs="Times New Roman"/>
          <w:highlight w:val="none"/>
        </w:rPr>
        <w:t>天</w:t>
      </w:r>
      <w:r>
        <w:rPr>
          <w:rStyle w:val="19"/>
          <w:rFonts w:hint="eastAsia" w:ascii="宋体" w:hAnsi="宋体" w:eastAsia="宋体" w:cs="宋体"/>
          <w:highlight w:val="none"/>
          <w:u w:val="single"/>
        </w:rPr>
        <w:t>（按</w:t>
      </w:r>
      <w:r>
        <w:rPr>
          <w:rStyle w:val="19"/>
          <w:rFonts w:ascii="宋体" w:hAnsi="宋体" w:eastAsia="宋体" w:cs="宋体"/>
          <w:highlight w:val="none"/>
          <w:u w:val="single"/>
        </w:rPr>
        <w:t>合同约定期限）</w:t>
      </w:r>
      <w:r>
        <w:rPr>
          <w:rStyle w:val="19"/>
          <w:rFonts w:hint="eastAsia" w:ascii="宋体" w:hAnsi="宋体" w:eastAsia="宋体" w:cs="宋体"/>
          <w:highlight w:val="none"/>
          <w:u w:val="single"/>
        </w:rPr>
        <w:t>，</w:t>
      </w:r>
      <w:r>
        <w:rPr>
          <w:rStyle w:val="19"/>
          <w:rFonts w:hint="eastAsia" w:ascii="宋体" w:hAnsi="宋体" w:eastAsia="宋体" w:cs="宋体"/>
          <w:highlight w:val="none"/>
        </w:rPr>
        <w:t>发包人应退还剩余的质量保证金。</w:t>
      </w:r>
    </w:p>
    <w:p w14:paraId="172E5D9C">
      <w:pPr>
        <w:pStyle w:val="32"/>
        <w:spacing w:line="360" w:lineRule="auto"/>
        <w:ind w:firstLine="420"/>
        <w:rPr>
          <w:rStyle w:val="19"/>
          <w:rFonts w:ascii="宋体" w:hAnsi="宋体" w:eastAsia="宋体" w:cs="Times New Roman"/>
          <w:highlight w:val="none"/>
        </w:rPr>
      </w:pPr>
      <w:r>
        <w:rPr>
          <w:rStyle w:val="19"/>
          <w:rFonts w:hint="eastAsia" w:ascii="宋体" w:hAnsi="宋体" w:eastAsia="宋体" w:cs="黑体"/>
          <w:highlight w:val="none"/>
        </w:rPr>
        <w:t>四、质量保修责任</w:t>
      </w:r>
    </w:p>
    <w:p w14:paraId="3E370467">
      <w:pPr>
        <w:pStyle w:val="32"/>
        <w:spacing w:line="360" w:lineRule="auto"/>
        <w:ind w:left="105" w:leftChars="50" w:firstLine="430" w:firstLineChars="205"/>
        <w:rPr>
          <w:rStyle w:val="19"/>
          <w:rFonts w:ascii="宋体" w:hAnsi="宋体" w:eastAsia="宋体" w:cs="Times New Roman"/>
          <w:highlight w:val="none"/>
        </w:rPr>
      </w:pPr>
      <w:r>
        <w:rPr>
          <w:rStyle w:val="19"/>
          <w:rFonts w:ascii="宋体" w:hAnsi="宋体" w:eastAsia="宋体" w:cs="Times New Roman"/>
          <w:highlight w:val="none"/>
        </w:rPr>
        <w:t>1</w:t>
      </w:r>
      <w:r>
        <w:rPr>
          <w:rStyle w:val="19"/>
          <w:rFonts w:hint="eastAsia" w:ascii="宋体" w:hAnsi="宋体" w:eastAsia="宋体" w:cs="宋体"/>
          <w:highlight w:val="none"/>
        </w:rPr>
        <w:t>．属于保修范围、内容的项目，承包人应当在接到保修通知之日起</w:t>
      </w:r>
      <w:r>
        <w:rPr>
          <w:rStyle w:val="19"/>
          <w:rFonts w:ascii="宋体" w:hAnsi="宋体" w:eastAsia="宋体" w:cs="Times New Roman"/>
          <w:highlight w:val="none"/>
          <w:u w:val="single"/>
        </w:rPr>
        <w:t xml:space="preserve"> </w:t>
      </w:r>
      <w:r>
        <w:rPr>
          <w:rStyle w:val="19"/>
          <w:rFonts w:hint="eastAsia" w:ascii="宋体" w:hAnsi="宋体" w:eastAsia="宋体" w:cs="Times New Roman"/>
          <w:highlight w:val="none"/>
          <w:u w:val="single"/>
        </w:rPr>
        <w:t>1</w:t>
      </w:r>
      <w:r>
        <w:rPr>
          <w:rStyle w:val="19"/>
          <w:rFonts w:ascii="宋体" w:hAnsi="宋体" w:eastAsia="宋体" w:cs="Times New Roman"/>
          <w:highlight w:val="none"/>
          <w:u w:val="single"/>
        </w:rPr>
        <w:t xml:space="preserve"> </w:t>
      </w:r>
      <w:r>
        <w:rPr>
          <w:rStyle w:val="19"/>
          <w:rFonts w:hint="eastAsia" w:ascii="宋体" w:hAnsi="宋体" w:eastAsia="宋体" w:cs="宋体"/>
          <w:highlight w:val="none"/>
        </w:rPr>
        <w:t>天内派人保修。承包人不在约定期限内派人保修的，发包人可以委托他人修理，修理费用从质量保证金内扣除。</w:t>
      </w:r>
    </w:p>
    <w:p w14:paraId="73E087A5">
      <w:pPr>
        <w:pStyle w:val="32"/>
        <w:spacing w:line="360" w:lineRule="auto"/>
        <w:ind w:firstLine="420"/>
        <w:rPr>
          <w:rStyle w:val="19"/>
          <w:rFonts w:ascii="宋体" w:hAnsi="宋体" w:eastAsia="宋体" w:cs="Times New Roman"/>
          <w:highlight w:val="none"/>
        </w:rPr>
      </w:pPr>
      <w:r>
        <w:rPr>
          <w:rStyle w:val="19"/>
          <w:rFonts w:ascii="宋体" w:hAnsi="宋体" w:eastAsia="宋体" w:cs="Times New Roman"/>
          <w:highlight w:val="none"/>
        </w:rPr>
        <w:t>2</w:t>
      </w:r>
      <w:r>
        <w:rPr>
          <w:rStyle w:val="19"/>
          <w:rFonts w:hint="eastAsia" w:ascii="宋体" w:hAnsi="宋体" w:eastAsia="宋体" w:cs="宋体"/>
          <w:highlight w:val="none"/>
        </w:rPr>
        <w:t>．发生紧急事故需抢修的，承包人在接到事故通知后，应当立即到达事故现场抢修。</w:t>
      </w:r>
    </w:p>
    <w:p w14:paraId="40593DFD">
      <w:pPr>
        <w:pStyle w:val="32"/>
        <w:spacing w:line="360" w:lineRule="auto"/>
        <w:ind w:firstLine="420"/>
        <w:rPr>
          <w:rStyle w:val="19"/>
          <w:rFonts w:ascii="宋体" w:hAnsi="宋体" w:eastAsia="宋体" w:cs="Times New Roman"/>
          <w:highlight w:val="none"/>
        </w:rPr>
      </w:pPr>
      <w:r>
        <w:rPr>
          <w:rStyle w:val="19"/>
          <w:rFonts w:ascii="宋体" w:hAnsi="宋体" w:eastAsia="宋体" w:cs="Times New Roman"/>
          <w:highlight w:val="none"/>
        </w:rPr>
        <w:t>3</w:t>
      </w:r>
      <w:r>
        <w:rPr>
          <w:rStyle w:val="19"/>
          <w:rFonts w:hint="eastAsia" w:ascii="宋体" w:hAnsi="宋体" w:eastAsia="宋体" w:cs="宋体"/>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E7441DA">
      <w:pPr>
        <w:pStyle w:val="32"/>
        <w:spacing w:line="360" w:lineRule="auto"/>
        <w:ind w:firstLine="420"/>
        <w:rPr>
          <w:rStyle w:val="19"/>
          <w:rFonts w:ascii="宋体" w:hAnsi="宋体" w:eastAsia="宋体" w:cs="Times New Roman"/>
          <w:highlight w:val="none"/>
        </w:rPr>
      </w:pPr>
      <w:r>
        <w:rPr>
          <w:rStyle w:val="19"/>
          <w:rFonts w:ascii="宋体" w:hAnsi="宋体" w:eastAsia="宋体" w:cs="Times New Roman"/>
          <w:highlight w:val="none"/>
        </w:rPr>
        <w:t>4</w:t>
      </w:r>
      <w:r>
        <w:rPr>
          <w:rStyle w:val="19"/>
          <w:rFonts w:hint="eastAsia" w:ascii="宋体" w:hAnsi="宋体" w:eastAsia="宋体" w:cs="宋体"/>
          <w:highlight w:val="none"/>
        </w:rPr>
        <w:t>．质量保修完成后，由发包人组织验收。</w:t>
      </w:r>
    </w:p>
    <w:p w14:paraId="2F648B17">
      <w:pPr>
        <w:pStyle w:val="32"/>
        <w:spacing w:line="360" w:lineRule="auto"/>
        <w:ind w:firstLine="420"/>
        <w:rPr>
          <w:rStyle w:val="19"/>
          <w:rFonts w:ascii="宋体" w:hAnsi="宋体" w:eastAsia="宋体" w:cs="Times New Roman"/>
          <w:highlight w:val="none"/>
        </w:rPr>
      </w:pPr>
      <w:r>
        <w:rPr>
          <w:rStyle w:val="19"/>
          <w:rFonts w:hint="eastAsia" w:ascii="宋体" w:hAnsi="宋体" w:eastAsia="宋体" w:cs="黑体"/>
          <w:highlight w:val="none"/>
        </w:rPr>
        <w:t>五、保修费用</w:t>
      </w:r>
    </w:p>
    <w:p w14:paraId="4AEBD546">
      <w:pPr>
        <w:pStyle w:val="32"/>
        <w:tabs>
          <w:tab w:val="left" w:pos="7380"/>
        </w:tabs>
        <w:spacing w:line="360" w:lineRule="auto"/>
        <w:ind w:firstLine="420"/>
        <w:rPr>
          <w:rStyle w:val="19"/>
          <w:rFonts w:ascii="宋体" w:hAnsi="宋体" w:eastAsia="宋体" w:cs="Times New Roman"/>
          <w:highlight w:val="none"/>
        </w:rPr>
      </w:pPr>
      <w:r>
        <w:rPr>
          <w:rStyle w:val="19"/>
          <w:rFonts w:hint="eastAsia" w:ascii="宋体" w:hAnsi="宋体" w:eastAsia="宋体" w:cs="宋体"/>
          <w:highlight w:val="none"/>
        </w:rPr>
        <w:t>保修费用由造成质量缺陷的责任方承担。</w:t>
      </w:r>
    </w:p>
    <w:p w14:paraId="3EA292E4">
      <w:pPr>
        <w:pStyle w:val="32"/>
        <w:spacing w:line="360" w:lineRule="auto"/>
        <w:ind w:firstLine="420" w:firstLineChars="200"/>
        <w:jc w:val="left"/>
        <w:rPr>
          <w:rStyle w:val="19"/>
          <w:rFonts w:ascii="宋体" w:hAnsi="宋体" w:eastAsia="宋体" w:cs="Times New Roman"/>
          <w:highlight w:val="none"/>
        </w:rPr>
      </w:pPr>
      <w:r>
        <w:rPr>
          <w:rStyle w:val="19"/>
          <w:rFonts w:hint="eastAsia" w:ascii="宋体" w:hAnsi="宋体" w:eastAsia="宋体" w:cs="黑体"/>
          <w:highlight w:val="none"/>
        </w:rPr>
        <w:t>六、双方约定的其他工程质量保修事项：</w:t>
      </w:r>
      <w:r>
        <w:rPr>
          <w:rStyle w:val="19"/>
          <w:rFonts w:ascii="宋体" w:hAnsi="宋体" w:eastAsia="宋体" w:cs="Times New Roman"/>
          <w:highlight w:val="none"/>
          <w:u w:val="single"/>
        </w:rPr>
        <w:t xml:space="preserve">      </w:t>
      </w:r>
      <w:r>
        <w:rPr>
          <w:rStyle w:val="19"/>
          <w:rFonts w:hint="eastAsia" w:ascii="宋体" w:hAnsi="宋体" w:eastAsia="宋体" w:cs="Times New Roman"/>
          <w:highlight w:val="none"/>
          <w:u w:val="single"/>
          <w:lang w:val="en-US" w:eastAsia="zh-CN"/>
        </w:rPr>
        <w:t>/</w:t>
      </w:r>
      <w:r>
        <w:rPr>
          <w:rStyle w:val="19"/>
          <w:rFonts w:ascii="宋体" w:hAnsi="宋体" w:eastAsia="宋体" w:cs="Times New Roman"/>
          <w:highlight w:val="none"/>
          <w:u w:val="single"/>
        </w:rPr>
        <w:t xml:space="preserve">                  </w:t>
      </w:r>
      <w:r>
        <w:rPr>
          <w:rStyle w:val="19"/>
          <w:rFonts w:hint="eastAsia" w:ascii="宋体" w:hAnsi="宋体" w:eastAsia="宋体" w:cs="宋体"/>
          <w:highlight w:val="none"/>
        </w:rPr>
        <w:t>。</w:t>
      </w:r>
    </w:p>
    <w:p w14:paraId="6807F185">
      <w:pPr>
        <w:pStyle w:val="32"/>
        <w:spacing w:line="360" w:lineRule="auto"/>
        <w:ind w:firstLine="399" w:firstLineChars="190"/>
        <w:rPr>
          <w:rStyle w:val="19"/>
          <w:rFonts w:ascii="宋体" w:hAnsi="宋体" w:eastAsia="宋体" w:cs="Times New Roman"/>
          <w:highlight w:val="none"/>
        </w:rPr>
      </w:pPr>
      <w:r>
        <w:rPr>
          <w:rStyle w:val="19"/>
          <w:rFonts w:hint="eastAsia" w:ascii="宋体" w:hAnsi="宋体" w:eastAsia="宋体" w:cs="宋体"/>
          <w:highlight w:val="none"/>
        </w:rPr>
        <w:t>工程质量保修书由发包人、承包人在工程竣工验收前共同签署，作为施工合同附件，其有效期限至保修期满。</w:t>
      </w:r>
    </w:p>
    <w:p w14:paraId="300C5C35">
      <w:pPr>
        <w:pStyle w:val="32"/>
        <w:spacing w:line="360" w:lineRule="auto"/>
        <w:ind w:firstLine="420"/>
        <w:rPr>
          <w:rStyle w:val="19"/>
          <w:rFonts w:ascii="宋体" w:hAnsi="宋体" w:eastAsia="宋体" w:cs="Times New Roman"/>
          <w:highlight w:val="none"/>
        </w:rPr>
      </w:pPr>
    </w:p>
    <w:p w14:paraId="45181221">
      <w:pPr>
        <w:pStyle w:val="32"/>
        <w:spacing w:line="360" w:lineRule="auto"/>
        <w:rPr>
          <w:rStyle w:val="19"/>
          <w:rFonts w:hint="eastAsia" w:ascii="宋体" w:hAnsi="宋体" w:eastAsia="宋体" w:cs="Times New Roman"/>
          <w:highlight w:val="none"/>
          <w:lang w:val="en-US" w:eastAsia="zh-CN"/>
        </w:rPr>
      </w:pPr>
      <w:r>
        <w:rPr>
          <w:rStyle w:val="19"/>
          <w:rFonts w:ascii="宋体" w:hAnsi="宋体" w:eastAsia="宋体" w:cs="Times New Roman"/>
          <w:highlight w:val="none"/>
        </w:rPr>
        <w:t>发包人</w:t>
      </w:r>
      <w:r>
        <w:rPr>
          <w:rStyle w:val="19"/>
          <w:rFonts w:hint="eastAsia" w:ascii="宋体" w:hAnsi="宋体" w:eastAsia="宋体" w:cs="Times New Roman"/>
          <w:highlight w:val="none"/>
        </w:rPr>
        <w:t>（</w:t>
      </w:r>
      <w:r>
        <w:rPr>
          <w:rStyle w:val="19"/>
          <w:rFonts w:ascii="宋体" w:hAnsi="宋体" w:eastAsia="宋体" w:cs="Times New Roman"/>
          <w:highlight w:val="none"/>
        </w:rPr>
        <w:t>公章</w:t>
      </w:r>
      <w:r>
        <w:rPr>
          <w:rStyle w:val="19"/>
          <w:rFonts w:hint="eastAsia" w:ascii="宋体" w:hAnsi="宋体" w:eastAsia="宋体" w:cs="Times New Roman"/>
          <w:highlight w:val="none"/>
        </w:rPr>
        <w:t>）</w:t>
      </w:r>
      <w:r>
        <w:rPr>
          <w:rStyle w:val="19"/>
          <w:rFonts w:ascii="宋体" w:hAnsi="宋体" w:eastAsia="宋体" w:cs="Times New Roman"/>
          <w:highlight w:val="none"/>
        </w:rPr>
        <w:t>：</w:t>
      </w:r>
      <w:r>
        <w:rPr>
          <w:rStyle w:val="19"/>
          <w:rFonts w:ascii="宋体" w:hAnsi="宋体" w:eastAsia="宋体" w:cs="Times New Roman"/>
          <w:highlight w:val="none"/>
          <w:u w:val="single"/>
        </w:rPr>
        <w:t xml:space="preserve"> </w:t>
      </w:r>
      <w:r>
        <w:rPr>
          <w:rStyle w:val="19"/>
          <w:rFonts w:hint="eastAsia" w:ascii="宋体" w:hAnsi="宋体" w:eastAsia="宋体" w:cs="宋体"/>
          <w:highlight w:val="none"/>
          <w:u w:val="single"/>
        </w:rPr>
        <w:t xml:space="preserve">  </w:t>
      </w:r>
      <w:r>
        <w:rPr>
          <w:rStyle w:val="19"/>
          <w:rFonts w:hint="eastAsia" w:ascii="宋体" w:hAnsi="宋体" w:eastAsia="宋体" w:cs="Times New Roman"/>
          <w:highlight w:val="none"/>
          <w:u w:val="single"/>
        </w:rPr>
        <w:t xml:space="preserve"> </w:t>
      </w:r>
      <w:r>
        <w:rPr>
          <w:rStyle w:val="19"/>
          <w:rFonts w:ascii="宋体" w:hAnsi="宋体" w:eastAsia="宋体" w:cs="Times New Roman"/>
          <w:highlight w:val="none"/>
          <w:u w:val="single"/>
        </w:rPr>
        <w:t xml:space="preserve">     </w:t>
      </w: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r>
        <w:rPr>
          <w:rStyle w:val="19"/>
          <w:rFonts w:ascii="宋体" w:hAnsi="宋体" w:eastAsia="宋体" w:cs="Times New Roman"/>
          <w:highlight w:val="none"/>
        </w:rPr>
        <w:t>承包人</w:t>
      </w:r>
      <w:r>
        <w:rPr>
          <w:rStyle w:val="19"/>
          <w:rFonts w:hint="eastAsia" w:ascii="宋体" w:hAnsi="宋体" w:eastAsia="宋体" w:cs="Times New Roman"/>
          <w:highlight w:val="none"/>
        </w:rPr>
        <w:t>（</w:t>
      </w:r>
      <w:r>
        <w:rPr>
          <w:rStyle w:val="19"/>
          <w:rFonts w:ascii="宋体" w:hAnsi="宋体" w:eastAsia="宋体" w:cs="Times New Roman"/>
          <w:highlight w:val="none"/>
        </w:rPr>
        <w:t>公章</w:t>
      </w:r>
      <w:r>
        <w:rPr>
          <w:rStyle w:val="19"/>
          <w:rFonts w:hint="eastAsia" w:ascii="宋体" w:hAnsi="宋体" w:eastAsia="宋体" w:cs="Times New Roman"/>
          <w:highlight w:val="none"/>
        </w:rPr>
        <w:t>）</w:t>
      </w:r>
      <w:r>
        <w:rPr>
          <w:rStyle w:val="19"/>
          <w:rFonts w:ascii="宋体" w:hAnsi="宋体" w:eastAsia="宋体" w:cs="Times New Roman"/>
          <w:highlight w:val="none"/>
        </w:rPr>
        <w:t>：</w:t>
      </w:r>
      <w:r>
        <w:rPr>
          <w:rStyle w:val="19"/>
          <w:rFonts w:hint="eastAsia" w:ascii="宋体" w:hAnsi="宋体" w:eastAsia="宋体" w:cs="宋体"/>
          <w:highlight w:val="none"/>
          <w:u w:val="single"/>
        </w:rPr>
        <w:t></w:t>
      </w:r>
      <w:r>
        <w:rPr>
          <w:rFonts w:hint="eastAsia" w:ascii="宋体" w:hAnsi="宋体"/>
          <w:color w:val="auto"/>
          <w:szCs w:val="21"/>
          <w:highlight w:val="none"/>
          <w:u w:val="single"/>
          <w:lang w:val="en-US" w:eastAsia="zh-CN"/>
        </w:rPr>
        <w:t xml:space="preserve"> </w:t>
      </w:r>
    </w:p>
    <w:p w14:paraId="34AC5175">
      <w:pPr>
        <w:pStyle w:val="32"/>
        <w:spacing w:line="360" w:lineRule="auto"/>
        <w:ind w:left="4620" w:hanging="4620" w:hangingChars="2200"/>
        <w:rPr>
          <w:rStyle w:val="19"/>
          <w:rFonts w:hint="eastAsia" w:ascii="宋体" w:hAnsi="宋体" w:eastAsia="宋体" w:cs="Times New Roman"/>
          <w:highlight w:val="none"/>
          <w:lang w:val="en-US" w:eastAsia="zh-CN"/>
        </w:rPr>
      </w:pPr>
      <w:r>
        <w:rPr>
          <w:rStyle w:val="19"/>
          <w:rFonts w:ascii="宋体" w:hAnsi="宋体" w:eastAsia="宋体" w:cs="Times New Roman"/>
          <w:highlight w:val="none"/>
        </w:rPr>
        <w:t>地  址：</w:t>
      </w:r>
      <w:r>
        <w:rPr>
          <w:rStyle w:val="19"/>
          <w:rFonts w:ascii="宋体" w:hAnsi="宋体" w:eastAsia="宋体" w:cs="Times New Roman"/>
          <w:highlight w:val="none"/>
          <w:u w:val="single"/>
        </w:rPr>
        <w:t xml:space="preserve"> </w:t>
      </w:r>
      <w:r>
        <w:rPr>
          <w:rStyle w:val="19"/>
          <w:rFonts w:hint="eastAsia" w:ascii="宋体" w:hAnsi="宋体" w:eastAsia="宋体" w:cs="宋体"/>
          <w:highlight w:val="none"/>
          <w:u w:val="single"/>
        </w:rPr>
        <w:t xml:space="preserve">   </w:t>
      </w:r>
      <w:r>
        <w:rPr>
          <w:rStyle w:val="19"/>
          <w:rFonts w:hint="eastAsia" w:ascii="宋体" w:hAnsi="宋体" w:eastAsia="宋体" w:cs="Times New Roman"/>
          <w:highlight w:val="none"/>
          <w:u w:val="single"/>
        </w:rPr>
        <w:t xml:space="preserve">  </w:t>
      </w:r>
      <w:r>
        <w:rPr>
          <w:rStyle w:val="19"/>
          <w:rFonts w:ascii="宋体" w:hAnsi="宋体" w:eastAsia="宋体" w:cs="Times New Roman"/>
          <w:highlight w:val="none"/>
          <w:u w:val="single"/>
        </w:rPr>
        <w:t xml:space="preserve"> </w:t>
      </w: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r>
        <w:rPr>
          <w:rStyle w:val="19"/>
          <w:rFonts w:hint="eastAsia" w:ascii="宋体" w:hAnsi="宋体" w:eastAsia="宋体" w:cs="Times New Roman"/>
          <w:highlight w:val="none"/>
          <w:lang w:val="en-US" w:eastAsia="zh-CN"/>
        </w:rPr>
        <w:t xml:space="preserve">     </w:t>
      </w:r>
      <w:r>
        <w:rPr>
          <w:rStyle w:val="19"/>
          <w:rFonts w:hint="eastAsia" w:ascii="宋体" w:hAnsi="宋体" w:eastAsia="宋体" w:cs="Times New Roman"/>
          <w:highlight w:val="none"/>
        </w:rPr>
        <w:t xml:space="preserve"> </w:t>
      </w:r>
      <w:r>
        <w:rPr>
          <w:rStyle w:val="19"/>
          <w:rFonts w:ascii="宋体" w:hAnsi="宋体" w:eastAsia="宋体" w:cs="Times New Roman"/>
          <w:highlight w:val="none"/>
        </w:rPr>
        <w:t>地  址：</w:t>
      </w:r>
      <w:r>
        <w:rPr>
          <w:rStyle w:val="19"/>
          <w:rFonts w:hint="eastAsia" w:ascii="宋体" w:hAnsi="宋体" w:eastAsia="宋体" w:cs="Times New Roman"/>
          <w:highlight w:val="none"/>
          <w:u w:val="single"/>
          <w:lang w:val="en-US" w:eastAsia="zh-CN"/>
        </w:rPr>
        <w:t xml:space="preserve">  </w:t>
      </w:r>
    </w:p>
    <w:p w14:paraId="62C6E114">
      <w:pPr>
        <w:pStyle w:val="32"/>
        <w:spacing w:line="360" w:lineRule="auto"/>
        <w:rPr>
          <w:rStyle w:val="19"/>
          <w:rFonts w:ascii="宋体" w:hAnsi="宋体" w:eastAsia="宋体" w:cs="Times New Roman"/>
          <w:highlight w:val="none"/>
        </w:rPr>
      </w:pPr>
      <w:r>
        <w:rPr>
          <w:rStyle w:val="19"/>
          <w:rFonts w:ascii="宋体" w:hAnsi="宋体" w:eastAsia="宋体" w:cs="Times New Roman"/>
          <w:highlight w:val="none"/>
        </w:rPr>
        <w:t>法定代表人</w:t>
      </w:r>
      <w:r>
        <w:rPr>
          <w:rStyle w:val="19"/>
          <w:rFonts w:hint="eastAsia" w:ascii="宋体" w:hAnsi="宋体" w:eastAsia="宋体" w:cs="Times New Roman"/>
          <w:highlight w:val="none"/>
        </w:rPr>
        <w:t>（</w:t>
      </w:r>
      <w:r>
        <w:rPr>
          <w:rStyle w:val="19"/>
          <w:rFonts w:ascii="宋体" w:hAnsi="宋体" w:eastAsia="宋体" w:cs="Times New Roman"/>
          <w:highlight w:val="none"/>
        </w:rPr>
        <w:t>签字</w:t>
      </w:r>
      <w:r>
        <w:rPr>
          <w:rStyle w:val="19"/>
          <w:rFonts w:hint="eastAsia" w:ascii="宋体" w:hAnsi="宋体" w:eastAsia="宋体" w:cs="Times New Roman"/>
          <w:highlight w:val="none"/>
        </w:rPr>
        <w:t>）</w:t>
      </w:r>
      <w:r>
        <w:rPr>
          <w:rStyle w:val="19"/>
          <w:rFonts w:ascii="宋体" w:hAnsi="宋体" w:eastAsia="宋体" w:cs="Times New Roman"/>
          <w:highlight w:val="none"/>
        </w:rPr>
        <w:t>：</w:t>
      </w:r>
      <w:r>
        <w:rPr>
          <w:rStyle w:val="19"/>
          <w:rFonts w:hint="eastAsia" w:ascii="宋体" w:hAnsi="宋体" w:eastAsia="宋体" w:cs="宋体"/>
          <w:highlight w:val="none"/>
          <w:u w:val="single"/>
        </w:rPr>
        <w:t xml:space="preserve">      </w:t>
      </w: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r>
        <w:rPr>
          <w:rStyle w:val="19"/>
          <w:rFonts w:ascii="宋体" w:hAnsi="宋体" w:eastAsia="宋体" w:cs="Times New Roman"/>
          <w:highlight w:val="none"/>
        </w:rPr>
        <w:t>法定代表人</w:t>
      </w:r>
      <w:r>
        <w:rPr>
          <w:rStyle w:val="19"/>
          <w:rFonts w:hint="eastAsia" w:ascii="宋体" w:hAnsi="宋体" w:eastAsia="宋体" w:cs="Times New Roman"/>
          <w:highlight w:val="none"/>
        </w:rPr>
        <w:t>（</w:t>
      </w:r>
      <w:r>
        <w:rPr>
          <w:rStyle w:val="19"/>
          <w:rFonts w:ascii="宋体" w:hAnsi="宋体" w:eastAsia="宋体" w:cs="Times New Roman"/>
          <w:highlight w:val="none"/>
        </w:rPr>
        <w:t>签字</w:t>
      </w:r>
      <w:r>
        <w:rPr>
          <w:rStyle w:val="19"/>
          <w:rFonts w:hint="eastAsia" w:ascii="宋体" w:hAnsi="宋体" w:eastAsia="宋体" w:cs="Times New Roman"/>
          <w:highlight w:val="none"/>
        </w:rPr>
        <w:t>）</w:t>
      </w:r>
      <w:r>
        <w:rPr>
          <w:rStyle w:val="19"/>
          <w:rFonts w:ascii="宋体" w:hAnsi="宋体" w:eastAsia="宋体" w:cs="Times New Roman"/>
          <w:highlight w:val="none"/>
        </w:rPr>
        <w:t>：</w:t>
      </w:r>
      <w:r>
        <w:rPr>
          <w:rStyle w:val="19"/>
          <w:rFonts w:ascii="宋体" w:hAnsi="宋体" w:eastAsia="宋体" w:cs="宋体"/>
          <w:highlight w:val="none"/>
          <w:u w:val="single"/>
        </w:rPr>
        <w:t></w:t>
      </w:r>
      <w:r>
        <w:rPr>
          <w:rStyle w:val="19"/>
          <w:rFonts w:hint="eastAsia" w:ascii="宋体" w:hAnsi="宋体" w:eastAsia="宋体" w:cs="Times New Roman"/>
          <w:highlight w:val="none"/>
          <w:u w:val="single"/>
        </w:rPr>
        <w:t xml:space="preserve">     </w:t>
      </w:r>
      <w:r>
        <w:rPr>
          <w:rStyle w:val="19"/>
          <w:rFonts w:ascii="宋体" w:hAnsi="宋体" w:eastAsia="宋体" w:cs="宋体"/>
          <w:highlight w:val="none"/>
          <w:u w:val="single"/>
        </w:rPr>
        <w:t></w:t>
      </w:r>
    </w:p>
    <w:p w14:paraId="60BBC982">
      <w:pPr>
        <w:pStyle w:val="32"/>
        <w:spacing w:line="360" w:lineRule="auto"/>
        <w:rPr>
          <w:rStyle w:val="19"/>
          <w:rFonts w:ascii="宋体" w:hAnsi="宋体" w:eastAsia="宋体" w:cs="Times New Roman"/>
          <w:highlight w:val="none"/>
        </w:rPr>
      </w:pPr>
      <w:r>
        <w:rPr>
          <w:rStyle w:val="19"/>
          <w:rFonts w:ascii="宋体" w:hAnsi="宋体" w:eastAsia="宋体" w:cs="Times New Roman"/>
          <w:highlight w:val="none"/>
        </w:rPr>
        <w:t>委托代理人</w:t>
      </w:r>
      <w:r>
        <w:rPr>
          <w:rStyle w:val="19"/>
          <w:rFonts w:hint="eastAsia" w:ascii="宋体" w:hAnsi="宋体" w:eastAsia="宋体" w:cs="Times New Roman"/>
          <w:highlight w:val="none"/>
        </w:rPr>
        <w:t>（</w:t>
      </w:r>
      <w:r>
        <w:rPr>
          <w:rStyle w:val="19"/>
          <w:rFonts w:ascii="宋体" w:hAnsi="宋体" w:eastAsia="宋体" w:cs="Times New Roman"/>
          <w:highlight w:val="none"/>
        </w:rPr>
        <w:t>签字</w:t>
      </w:r>
      <w:r>
        <w:rPr>
          <w:rStyle w:val="19"/>
          <w:rFonts w:hint="eastAsia" w:ascii="宋体" w:hAnsi="宋体" w:eastAsia="宋体" w:cs="Times New Roman"/>
          <w:highlight w:val="none"/>
        </w:rPr>
        <w:t>）</w:t>
      </w:r>
      <w:r>
        <w:rPr>
          <w:rStyle w:val="19"/>
          <w:rFonts w:ascii="宋体" w:hAnsi="宋体" w:eastAsia="宋体" w:cs="Times New Roman"/>
          <w:highlight w:val="none"/>
        </w:rPr>
        <w:t>：</w:t>
      </w:r>
      <w:r>
        <w:rPr>
          <w:rStyle w:val="19"/>
          <w:rFonts w:hint="eastAsia" w:ascii="宋体" w:hAnsi="宋体" w:eastAsia="宋体" w:cs="宋体"/>
          <w:highlight w:val="none"/>
          <w:u w:val="single"/>
        </w:rPr>
        <w:t xml:space="preserve">      </w:t>
      </w: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r>
        <w:rPr>
          <w:rStyle w:val="19"/>
          <w:rFonts w:ascii="宋体" w:hAnsi="宋体" w:eastAsia="宋体" w:cs="Times New Roman"/>
          <w:highlight w:val="none"/>
        </w:rPr>
        <w:t>委托代理人</w:t>
      </w:r>
      <w:r>
        <w:rPr>
          <w:rStyle w:val="19"/>
          <w:rFonts w:hint="eastAsia" w:ascii="宋体" w:hAnsi="宋体" w:eastAsia="宋体" w:cs="Times New Roman"/>
          <w:highlight w:val="none"/>
        </w:rPr>
        <w:t>（</w:t>
      </w:r>
      <w:r>
        <w:rPr>
          <w:rStyle w:val="19"/>
          <w:rFonts w:ascii="宋体" w:hAnsi="宋体" w:eastAsia="宋体" w:cs="Times New Roman"/>
          <w:highlight w:val="none"/>
        </w:rPr>
        <w:t>签字</w:t>
      </w:r>
      <w:r>
        <w:rPr>
          <w:rStyle w:val="19"/>
          <w:rFonts w:hint="eastAsia" w:ascii="宋体" w:hAnsi="宋体" w:eastAsia="宋体" w:cs="Times New Roman"/>
          <w:highlight w:val="none"/>
        </w:rPr>
        <w:t>）</w:t>
      </w:r>
      <w:r>
        <w:rPr>
          <w:rStyle w:val="19"/>
          <w:rFonts w:ascii="宋体" w:hAnsi="宋体" w:eastAsia="宋体" w:cs="Times New Roman"/>
          <w:highlight w:val="none"/>
        </w:rPr>
        <w:t>：</w:t>
      </w:r>
      <w:r>
        <w:rPr>
          <w:rStyle w:val="19"/>
          <w:rFonts w:ascii="宋体" w:hAnsi="宋体" w:eastAsia="宋体" w:cs="宋体"/>
          <w:highlight w:val="none"/>
          <w:u w:val="single"/>
        </w:rPr>
        <w:t></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u w:val="single"/>
          <w:lang w:eastAsia="zh-CN"/>
        </w:rPr>
        <w:t>无</w:t>
      </w:r>
      <w:r>
        <w:rPr>
          <w:rStyle w:val="19"/>
          <w:rFonts w:hint="eastAsia" w:ascii="宋体" w:hAnsi="宋体" w:eastAsia="宋体" w:cs="Times New Roman"/>
          <w:highlight w:val="none"/>
          <w:u w:val="single"/>
        </w:rPr>
        <w:t xml:space="preserve">  </w:t>
      </w:r>
      <w:r>
        <w:rPr>
          <w:rStyle w:val="19"/>
          <w:rFonts w:ascii="宋体" w:hAnsi="宋体" w:eastAsia="宋体" w:cs="宋体"/>
          <w:highlight w:val="none"/>
          <w:u w:val="single"/>
        </w:rPr>
        <w:t></w:t>
      </w:r>
    </w:p>
    <w:p w14:paraId="65C2B83E">
      <w:pPr>
        <w:pStyle w:val="32"/>
        <w:spacing w:line="360" w:lineRule="auto"/>
        <w:rPr>
          <w:rStyle w:val="19"/>
          <w:rFonts w:ascii="宋体" w:hAnsi="宋体" w:eastAsia="宋体" w:cs="Times New Roman"/>
          <w:highlight w:val="none"/>
        </w:rPr>
      </w:pPr>
      <w:r>
        <w:rPr>
          <w:rStyle w:val="19"/>
          <w:rFonts w:ascii="宋体" w:hAnsi="宋体" w:eastAsia="宋体" w:cs="Times New Roman"/>
          <w:highlight w:val="none"/>
        </w:rPr>
        <w:t>电  话：</w:t>
      </w:r>
      <w:r>
        <w:rPr>
          <w:rStyle w:val="19"/>
          <w:rFonts w:hint="eastAsia" w:ascii="宋体" w:hAnsi="宋体" w:eastAsia="宋体" w:cs="宋体"/>
          <w:highlight w:val="none"/>
          <w:u w:val="single"/>
        </w:rPr>
        <w:t xml:space="preserve"> </w:t>
      </w:r>
      <w:r>
        <w:rPr>
          <w:rStyle w:val="19"/>
          <w:rFonts w:hint="eastAsia" w:ascii="宋体" w:hAnsi="宋体" w:eastAsia="宋体" w:cs="Times New Roman"/>
          <w:highlight w:val="none"/>
          <w:u w:val="single"/>
        </w:rPr>
        <w:t xml:space="preserve">  </w:t>
      </w:r>
      <w:r>
        <w:rPr>
          <w:rStyle w:val="19"/>
          <w:rFonts w:ascii="宋体" w:hAnsi="宋体" w:eastAsia="宋体" w:cs="Times New Roman"/>
          <w:highlight w:val="none"/>
          <w:u w:val="single"/>
        </w:rPr>
        <w:t xml:space="preserve">  </w:t>
      </w: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r>
        <w:rPr>
          <w:rStyle w:val="19"/>
          <w:rFonts w:ascii="宋体" w:hAnsi="宋体" w:eastAsia="宋体" w:cs="Times New Roman"/>
          <w:highlight w:val="none"/>
        </w:rPr>
        <w:t>电  话：</w:t>
      </w:r>
      <w:r>
        <w:rPr>
          <w:rStyle w:val="19"/>
          <w:rFonts w:ascii="宋体" w:hAnsi="宋体" w:eastAsia="宋体" w:cs="宋体"/>
          <w:highlight w:val="none"/>
          <w:u w:val="single"/>
        </w:rPr>
        <w:t></w:t>
      </w:r>
      <w:r>
        <w:rPr>
          <w:rStyle w:val="19"/>
          <w:rFonts w:hint="eastAsia" w:ascii="宋体" w:hAnsi="宋体" w:eastAsia="宋体" w:cs="宋体"/>
          <w:highlight w:val="none"/>
          <w:u w:val="single"/>
          <w:lang w:val="en-US" w:eastAsia="zh-CN"/>
        </w:rPr>
        <w:t xml:space="preserve"> </w:t>
      </w:r>
      <w:r>
        <w:rPr>
          <w:rStyle w:val="19"/>
          <w:rFonts w:hint="eastAsia" w:ascii="宋体" w:hAnsi="宋体" w:eastAsia="宋体" w:cs="Times New Roman"/>
          <w:highlight w:val="none"/>
          <w:u w:val="single"/>
        </w:rPr>
        <w:t xml:space="preserve">    </w:t>
      </w:r>
      <w:r>
        <w:rPr>
          <w:rStyle w:val="19"/>
          <w:rFonts w:ascii="宋体" w:hAnsi="宋体" w:eastAsia="宋体" w:cs="宋体"/>
          <w:highlight w:val="none"/>
          <w:u w:val="single"/>
        </w:rPr>
        <w:t></w:t>
      </w:r>
    </w:p>
    <w:p w14:paraId="18C50F29">
      <w:pPr>
        <w:pStyle w:val="32"/>
        <w:spacing w:line="360" w:lineRule="auto"/>
        <w:rPr>
          <w:rStyle w:val="19"/>
          <w:rFonts w:ascii="宋体" w:hAnsi="宋体" w:eastAsia="宋体" w:cs="Times New Roman"/>
          <w:highlight w:val="none"/>
        </w:rPr>
      </w:pPr>
      <w:r>
        <w:rPr>
          <w:rStyle w:val="19"/>
          <w:rFonts w:ascii="宋体" w:hAnsi="宋体" w:eastAsia="宋体" w:cs="Times New Roman"/>
          <w:highlight w:val="none"/>
        </w:rPr>
        <w:t>传  真：</w:t>
      </w:r>
      <w:r>
        <w:rPr>
          <w:rStyle w:val="19"/>
          <w:rFonts w:ascii="宋体" w:hAnsi="宋体" w:eastAsia="宋体" w:cs="宋体"/>
          <w:highlight w:val="none"/>
          <w:u w:val="single"/>
        </w:rPr>
        <w:t></w:t>
      </w:r>
      <w:r>
        <w:rPr>
          <w:rStyle w:val="19"/>
          <w:rFonts w:hint="eastAsia" w:ascii="宋体" w:hAnsi="宋体" w:eastAsia="宋体" w:cs="Times New Roman"/>
          <w:highlight w:val="none"/>
          <w:u w:val="single"/>
        </w:rPr>
        <w:t xml:space="preserve">  </w:t>
      </w:r>
      <w:r>
        <w:rPr>
          <w:rStyle w:val="19"/>
          <w:rFonts w:ascii="宋体" w:hAnsi="宋体" w:eastAsia="宋体" w:cs="Times New Roman"/>
          <w:highlight w:val="none"/>
          <w:u w:val="single"/>
        </w:rPr>
        <w:t xml:space="preserve">   </w:t>
      </w: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r>
        <w:rPr>
          <w:rStyle w:val="19"/>
          <w:rFonts w:ascii="宋体" w:hAnsi="宋体" w:eastAsia="宋体" w:cs="Times New Roman"/>
          <w:highlight w:val="none"/>
        </w:rPr>
        <w:t>传  真：</w:t>
      </w:r>
      <w:r>
        <w:rPr>
          <w:rStyle w:val="19"/>
          <w:rFonts w:ascii="宋体" w:hAnsi="宋体" w:eastAsia="宋体" w:cs="宋体"/>
          <w:highlight w:val="none"/>
          <w:u w:val="single"/>
        </w:rPr>
        <w:t></w:t>
      </w:r>
      <w:r>
        <w:rPr>
          <w:rStyle w:val="19"/>
          <w:rFonts w:hint="eastAsia" w:ascii="宋体" w:hAnsi="宋体" w:eastAsia="宋体" w:cs="宋体"/>
          <w:highlight w:val="none"/>
          <w:u w:val="single"/>
          <w:lang w:val="en-US" w:eastAsia="zh-CN"/>
        </w:rPr>
        <w:t xml:space="preserve"> </w:t>
      </w:r>
      <w:r>
        <w:rPr>
          <w:rStyle w:val="19"/>
          <w:rFonts w:hint="eastAsia" w:ascii="宋体" w:hAnsi="宋体" w:eastAsia="宋体" w:cs="Times New Roman"/>
          <w:highlight w:val="none"/>
          <w:u w:val="single"/>
        </w:rPr>
        <w:t xml:space="preserve"> </w:t>
      </w:r>
      <w:r>
        <w:rPr>
          <w:rStyle w:val="19"/>
          <w:rFonts w:ascii="宋体" w:hAnsi="宋体" w:eastAsia="宋体" w:cs="Times New Roman"/>
          <w:highlight w:val="none"/>
          <w:u w:val="single"/>
        </w:rPr>
        <w:t xml:space="preserve">  </w:t>
      </w:r>
      <w:r>
        <w:rPr>
          <w:rStyle w:val="19"/>
          <w:rFonts w:ascii="宋体" w:hAnsi="宋体" w:eastAsia="宋体" w:cs="宋体"/>
          <w:highlight w:val="none"/>
          <w:u w:val="single"/>
        </w:rPr>
        <w:t></w:t>
      </w:r>
    </w:p>
    <w:p w14:paraId="52AE59A8">
      <w:pPr>
        <w:pStyle w:val="32"/>
        <w:spacing w:line="360" w:lineRule="auto"/>
        <w:rPr>
          <w:rStyle w:val="19"/>
          <w:rFonts w:ascii="宋体" w:hAnsi="宋体" w:eastAsia="宋体" w:cs="Times New Roman"/>
          <w:highlight w:val="none"/>
        </w:rPr>
      </w:pPr>
      <w:r>
        <w:rPr>
          <w:rStyle w:val="19"/>
          <w:rFonts w:ascii="宋体" w:hAnsi="宋体" w:eastAsia="宋体" w:cs="Times New Roman"/>
          <w:highlight w:val="none"/>
        </w:rPr>
        <w:t>开户银行：</w:t>
      </w:r>
      <w:r>
        <w:rPr>
          <w:rStyle w:val="19"/>
          <w:rFonts w:ascii="宋体" w:hAnsi="宋体" w:eastAsia="宋体" w:cs="宋体"/>
          <w:highlight w:val="none"/>
          <w:u w:val="single"/>
        </w:rPr>
        <w:t></w:t>
      </w:r>
      <w:r>
        <w:rPr>
          <w:rStyle w:val="19"/>
          <w:rFonts w:hint="eastAsia" w:ascii="宋体" w:hAnsi="宋体" w:eastAsia="宋体" w:cs="Times New Roman"/>
          <w:highlight w:val="none"/>
          <w:u w:val="single"/>
        </w:rPr>
        <w:t xml:space="preserve">  </w:t>
      </w:r>
      <w:r>
        <w:rPr>
          <w:rStyle w:val="19"/>
          <w:rFonts w:ascii="宋体" w:hAnsi="宋体" w:eastAsia="宋体" w:cs="Times New Roman"/>
          <w:highlight w:val="none"/>
          <w:u w:val="single"/>
        </w:rPr>
        <w:t xml:space="preserve">   </w:t>
      </w: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r>
        <w:rPr>
          <w:rStyle w:val="19"/>
          <w:rFonts w:ascii="宋体" w:hAnsi="宋体" w:eastAsia="宋体" w:cs="Times New Roman"/>
          <w:highlight w:val="none"/>
        </w:rPr>
        <w:t>开户银行：</w:t>
      </w:r>
      <w:r>
        <w:rPr>
          <w:rStyle w:val="19"/>
          <w:rFonts w:hint="eastAsia" w:ascii="宋体" w:hAnsi="宋体" w:eastAsia="宋体" w:cs="Times New Roman"/>
          <w:highlight w:val="none"/>
          <w:u w:val="single"/>
          <w:lang w:val="en-US" w:eastAsia="zh-CN"/>
        </w:rPr>
        <w:t xml:space="preserve"> </w:t>
      </w:r>
      <w:r>
        <w:rPr>
          <w:rStyle w:val="19"/>
          <w:rFonts w:ascii="宋体" w:hAnsi="宋体" w:eastAsia="宋体" w:cs="宋体"/>
          <w:highlight w:val="none"/>
          <w:u w:val="single"/>
        </w:rPr>
        <w:t></w:t>
      </w:r>
    </w:p>
    <w:p w14:paraId="4BE7DA2A">
      <w:pPr>
        <w:pStyle w:val="32"/>
        <w:tabs>
          <w:tab w:val="left" w:pos="2880"/>
          <w:tab w:val="left" w:pos="3060"/>
          <w:tab w:val="left" w:pos="4500"/>
        </w:tabs>
        <w:spacing w:line="360" w:lineRule="auto"/>
        <w:rPr>
          <w:rStyle w:val="19"/>
          <w:rFonts w:ascii="宋体" w:hAnsi="宋体" w:eastAsia="宋体" w:cs="Times New Roman"/>
          <w:highlight w:val="none"/>
        </w:rPr>
      </w:pPr>
      <w:r>
        <w:rPr>
          <w:rStyle w:val="19"/>
          <w:rFonts w:ascii="宋体" w:hAnsi="宋体" w:eastAsia="宋体" w:cs="Times New Roman"/>
          <w:highlight w:val="none"/>
        </w:rPr>
        <w:t>账  号：</w:t>
      </w:r>
      <w:r>
        <w:rPr>
          <w:rStyle w:val="19"/>
          <w:rFonts w:hint="eastAsia" w:ascii="宋体" w:hAnsi="宋体" w:eastAsia="宋体" w:cs="宋体"/>
          <w:highlight w:val="none"/>
          <w:u w:val="single"/>
        </w:rPr>
        <w:t xml:space="preserve">    </w:t>
      </w:r>
      <w:r>
        <w:rPr>
          <w:rStyle w:val="19"/>
          <w:rFonts w:hint="eastAsia" w:ascii="宋体" w:hAnsi="宋体" w:eastAsia="宋体" w:cs="Times New Roman"/>
          <w:highlight w:val="none"/>
          <w:u w:val="single"/>
        </w:rPr>
        <w:t xml:space="preserve">  </w:t>
      </w:r>
      <w:r>
        <w:rPr>
          <w:rStyle w:val="19"/>
          <w:rFonts w:ascii="宋体" w:hAnsi="宋体" w:eastAsia="宋体" w:cs="Times New Roman"/>
          <w:highlight w:val="none"/>
          <w:u w:val="single"/>
        </w:rPr>
        <w:t xml:space="preserve"> </w:t>
      </w:r>
      <w:r>
        <w:rPr>
          <w:rStyle w:val="19"/>
          <w:rFonts w:hint="eastAsia" w:ascii="宋体" w:hAnsi="宋体" w:eastAsia="宋体" w:cs="Times New Roman"/>
          <w:highlight w:val="none"/>
          <w:u w:val="single"/>
        </w:rPr>
        <w:t xml:space="preserve"> </w:t>
      </w:r>
      <w:r>
        <w:rPr>
          <w:rStyle w:val="19"/>
          <w:rFonts w:ascii="宋体" w:hAnsi="宋体" w:eastAsia="宋体" w:cs="Times New Roman"/>
          <w:highlight w:val="none"/>
          <w:u w:val="single"/>
        </w:rPr>
        <w:t xml:space="preserve">  </w:t>
      </w: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r>
        <w:rPr>
          <w:rStyle w:val="19"/>
          <w:rFonts w:ascii="宋体" w:hAnsi="宋体" w:eastAsia="宋体" w:cs="Times New Roman"/>
          <w:highlight w:val="none"/>
        </w:rPr>
        <w:t>账  号：</w:t>
      </w:r>
      <w:r>
        <w:rPr>
          <w:rStyle w:val="19"/>
          <w:rFonts w:hint="eastAsia" w:ascii="宋体" w:hAnsi="宋体" w:eastAsia="宋体" w:cs="Times New Roman"/>
          <w:highlight w:val="none"/>
          <w:u w:val="single"/>
          <w:lang w:val="en-US" w:eastAsia="zh-CN"/>
        </w:rPr>
        <w:t xml:space="preserve"> </w:t>
      </w:r>
      <w:r>
        <w:rPr>
          <w:rStyle w:val="19"/>
          <w:rFonts w:ascii="宋体" w:hAnsi="宋体" w:eastAsia="宋体" w:cs="宋体"/>
          <w:highlight w:val="none"/>
          <w:u w:val="single"/>
        </w:rPr>
        <w:t></w:t>
      </w:r>
    </w:p>
    <w:p w14:paraId="71B54122">
      <w:pPr>
        <w:pStyle w:val="32"/>
        <w:tabs>
          <w:tab w:val="left" w:pos="7200"/>
          <w:tab w:val="left" w:pos="7380"/>
          <w:tab w:val="left" w:pos="7560"/>
        </w:tabs>
        <w:spacing w:line="360" w:lineRule="auto"/>
        <w:rPr>
          <w:rStyle w:val="19"/>
          <w:rFonts w:ascii="宋体" w:hAnsi="宋体" w:eastAsia="宋体" w:cs="Times New Roman"/>
          <w:highlight w:val="none"/>
        </w:rPr>
      </w:pPr>
      <w:r>
        <w:rPr>
          <w:rStyle w:val="19"/>
          <w:rFonts w:ascii="宋体" w:hAnsi="宋体" w:eastAsia="宋体" w:cs="Times New Roman"/>
          <w:highlight w:val="none"/>
        </w:rPr>
        <w:t>邮政编码：</w:t>
      </w:r>
      <w:r>
        <w:rPr>
          <w:rStyle w:val="19"/>
          <w:rFonts w:ascii="宋体" w:hAnsi="宋体" w:eastAsia="宋体" w:cs="Times New Roman"/>
          <w:highlight w:val="none"/>
          <w:u w:val="single"/>
        </w:rPr>
        <w:t xml:space="preserve"> </w:t>
      </w:r>
      <w:r>
        <w:rPr>
          <w:rStyle w:val="19"/>
          <w:rFonts w:ascii="宋体" w:hAnsi="宋体" w:eastAsia="宋体" w:cs="宋体"/>
          <w:highlight w:val="none"/>
          <w:u w:val="single"/>
        </w:rPr>
        <w:t></w:t>
      </w:r>
      <w:r>
        <w:rPr>
          <w:rStyle w:val="19"/>
          <w:rFonts w:hint="eastAsia" w:ascii="宋体" w:hAnsi="宋体" w:eastAsia="宋体" w:cs="Times New Roman"/>
          <w:highlight w:val="none"/>
          <w:u w:val="single"/>
        </w:rPr>
        <w:t xml:space="preserve">  </w:t>
      </w:r>
      <w:r>
        <w:rPr>
          <w:rStyle w:val="19"/>
          <w:rFonts w:ascii="宋体" w:hAnsi="宋体" w:eastAsia="宋体" w:cs="Times New Roman"/>
          <w:highlight w:val="none"/>
          <w:u w:val="single"/>
        </w:rPr>
        <w:t xml:space="preserve">    </w:t>
      </w: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r>
        <w:rPr>
          <w:rStyle w:val="19"/>
          <w:rFonts w:ascii="宋体" w:hAnsi="宋体" w:eastAsia="宋体" w:cs="Times New Roman"/>
          <w:highlight w:val="none"/>
        </w:rPr>
        <w:t>邮政编码：</w:t>
      </w:r>
      <w:r>
        <w:rPr>
          <w:rStyle w:val="19"/>
          <w:rFonts w:ascii="宋体" w:hAnsi="宋体" w:eastAsia="宋体" w:cs="宋体"/>
          <w:highlight w:val="none"/>
          <w:u w:val="single"/>
        </w:rPr>
        <w:t></w:t>
      </w:r>
      <w:r>
        <w:rPr>
          <w:rStyle w:val="19"/>
          <w:rFonts w:hint="eastAsia" w:ascii="宋体" w:hAnsi="宋体" w:eastAsia="宋体" w:cs="宋体"/>
          <w:highlight w:val="none"/>
          <w:u w:val="single"/>
          <w:lang w:val="en-US" w:eastAsia="zh-CN"/>
        </w:rPr>
        <w:t xml:space="preserve"> </w:t>
      </w:r>
      <w:r>
        <w:rPr>
          <w:rStyle w:val="19"/>
          <w:rFonts w:ascii="宋体" w:hAnsi="宋体" w:eastAsia="宋体" w:cs="宋体"/>
          <w:highlight w:val="none"/>
          <w:u w:val="single"/>
        </w:rPr>
        <w:t></w:t>
      </w:r>
      <w:r>
        <w:rPr>
          <w:rStyle w:val="19"/>
          <w:rFonts w:hint="eastAsia" w:ascii="宋体" w:hAnsi="宋体" w:eastAsia="宋体" w:cs="Times New Roman"/>
          <w:highlight w:val="none"/>
          <w:u w:val="single"/>
        </w:rPr>
        <w:t xml:space="preserve">   </w:t>
      </w:r>
      <w:r>
        <w:rPr>
          <w:rStyle w:val="19"/>
          <w:rFonts w:ascii="宋体" w:hAnsi="宋体" w:eastAsia="宋体" w:cs="宋体"/>
          <w:highlight w:val="none"/>
          <w:u w:val="single"/>
        </w:rPr>
        <w:t></w:t>
      </w:r>
    </w:p>
    <w:p w14:paraId="7BBE6368">
      <w:pPr>
        <w:pStyle w:val="32"/>
        <w:spacing w:before="120" w:beforeLines="50" w:after="120" w:afterLines="50" w:line="440" w:lineRule="exact"/>
        <w:jc w:val="center"/>
        <w:rPr>
          <w:rStyle w:val="19"/>
          <w:rFonts w:ascii="宋体" w:hAnsi="宋体" w:eastAsia="宋体" w:cs="Times New Roman"/>
          <w:sz w:val="32"/>
          <w:szCs w:val="32"/>
          <w:highlight w:val="none"/>
        </w:rPr>
      </w:pPr>
    </w:p>
    <w:p w14:paraId="1054878A">
      <w:pPr>
        <w:pStyle w:val="32"/>
        <w:spacing w:before="120" w:beforeLines="50" w:after="120" w:afterLines="50" w:line="440" w:lineRule="exact"/>
        <w:jc w:val="center"/>
        <w:rPr>
          <w:rStyle w:val="19"/>
          <w:rFonts w:ascii="宋体" w:hAnsi="宋体" w:eastAsia="宋体" w:cs="Times New Roman"/>
          <w:sz w:val="32"/>
          <w:szCs w:val="32"/>
          <w:highlight w:val="none"/>
        </w:rPr>
      </w:pPr>
    </w:p>
    <w:p w14:paraId="2BF840A1">
      <w:pPr>
        <w:pStyle w:val="32"/>
        <w:spacing w:line="440" w:lineRule="exact"/>
        <w:rPr>
          <w:rStyle w:val="19"/>
          <w:rFonts w:ascii="宋体" w:hAnsi="宋体" w:eastAsia="宋体" w:cs="Times New Roman"/>
          <w:sz w:val="30"/>
          <w:szCs w:val="30"/>
          <w:highlight w:val="none"/>
        </w:rPr>
      </w:pPr>
      <w:r>
        <w:rPr>
          <w:rStyle w:val="19"/>
          <w:rFonts w:ascii="宋体" w:hAnsi="宋体" w:eastAsia="宋体" w:cs="Times New Roman"/>
          <w:sz w:val="30"/>
          <w:szCs w:val="30"/>
          <w:highlight w:val="none"/>
        </w:rPr>
        <w:br w:type="page"/>
      </w:r>
      <w:r>
        <w:rPr>
          <w:rStyle w:val="19"/>
          <w:rFonts w:ascii="宋体" w:hAnsi="宋体" w:eastAsia="宋体" w:cs="Times New Roman"/>
          <w:sz w:val="30"/>
          <w:szCs w:val="30"/>
          <w:highlight w:val="none"/>
        </w:rPr>
        <w:t>附件</w:t>
      </w:r>
      <w:r>
        <w:rPr>
          <w:rStyle w:val="19"/>
          <w:rFonts w:hint="eastAsia" w:ascii="宋体" w:hAnsi="宋体" w:eastAsia="宋体" w:cs="Times New Roman"/>
          <w:sz w:val="30"/>
          <w:szCs w:val="30"/>
          <w:highlight w:val="none"/>
        </w:rPr>
        <w:t>3</w:t>
      </w:r>
      <w:r>
        <w:rPr>
          <w:rStyle w:val="19"/>
          <w:rFonts w:ascii="宋体" w:hAnsi="宋体" w:eastAsia="宋体" w:cs="Times New Roman"/>
          <w:sz w:val="30"/>
          <w:szCs w:val="30"/>
          <w:highlight w:val="none"/>
        </w:rPr>
        <w:t>：</w:t>
      </w:r>
    </w:p>
    <w:p w14:paraId="2060A80A">
      <w:pPr>
        <w:pStyle w:val="32"/>
        <w:spacing w:before="120" w:beforeLines="50" w:after="120" w:afterLines="50" w:line="440" w:lineRule="exact"/>
        <w:jc w:val="center"/>
        <w:rPr>
          <w:rStyle w:val="19"/>
          <w:rFonts w:ascii="宋体" w:hAnsi="宋体" w:eastAsia="宋体" w:cs="Times New Roman"/>
          <w:sz w:val="30"/>
          <w:szCs w:val="30"/>
          <w:highlight w:val="none"/>
        </w:rPr>
      </w:pPr>
      <w:r>
        <w:rPr>
          <w:rStyle w:val="19"/>
          <w:rFonts w:ascii="宋体" w:hAnsi="宋体" w:eastAsia="宋体" w:cs="Times New Roman"/>
          <w:sz w:val="30"/>
          <w:szCs w:val="30"/>
          <w:highlight w:val="none"/>
        </w:rPr>
        <w:t>主要建设工程文件目录</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546325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6C7CE453">
            <w:pPr>
              <w:pStyle w:val="91"/>
              <w:keepNext/>
              <w:spacing w:after="0" w:line="440" w:lineRule="exact"/>
              <w:ind w:left="63" w:right="63"/>
              <w:rPr>
                <w:rStyle w:val="19"/>
                <w:rFonts w:ascii="宋体" w:hAnsi="宋体" w:eastAsia="宋体" w:cs="Times New Roman"/>
                <w:sz w:val="28"/>
                <w:szCs w:val="30"/>
                <w:highlight w:val="none"/>
              </w:rPr>
            </w:pPr>
            <w:r>
              <w:rPr>
                <w:rStyle w:val="19"/>
                <w:rFonts w:ascii="宋体" w:hAnsi="宋体" w:eastAsia="宋体" w:cs="Times New Roman"/>
                <w:sz w:val="28"/>
                <w:szCs w:val="30"/>
                <w:highlight w:val="none"/>
              </w:rPr>
              <w:t>文件名称</w:t>
            </w:r>
          </w:p>
        </w:tc>
        <w:tc>
          <w:tcPr>
            <w:tcW w:w="1276" w:type="dxa"/>
            <w:tcBorders>
              <w:top w:val="single" w:color="auto" w:sz="12" w:space="0"/>
              <w:bottom w:val="double" w:color="auto" w:sz="6" w:space="0"/>
            </w:tcBorders>
            <w:noWrap w:val="0"/>
            <w:vAlign w:val="center"/>
          </w:tcPr>
          <w:p w14:paraId="69124B81">
            <w:pPr>
              <w:pStyle w:val="91"/>
              <w:keepNext/>
              <w:spacing w:after="0" w:line="440" w:lineRule="exact"/>
              <w:ind w:left="63" w:right="63"/>
              <w:rPr>
                <w:rStyle w:val="19"/>
                <w:rFonts w:ascii="宋体" w:hAnsi="宋体" w:eastAsia="宋体" w:cs="Times New Roman"/>
                <w:sz w:val="28"/>
                <w:szCs w:val="30"/>
                <w:highlight w:val="none"/>
              </w:rPr>
            </w:pPr>
            <w:r>
              <w:rPr>
                <w:rStyle w:val="19"/>
                <w:rFonts w:ascii="宋体" w:hAnsi="宋体" w:eastAsia="宋体" w:cs="Times New Roman"/>
                <w:sz w:val="28"/>
                <w:szCs w:val="30"/>
                <w:highlight w:val="none"/>
              </w:rPr>
              <w:t>套数</w:t>
            </w:r>
          </w:p>
        </w:tc>
        <w:tc>
          <w:tcPr>
            <w:tcW w:w="1450" w:type="dxa"/>
            <w:tcBorders>
              <w:top w:val="single" w:color="auto" w:sz="12" w:space="0"/>
              <w:bottom w:val="double" w:color="auto" w:sz="6" w:space="0"/>
            </w:tcBorders>
            <w:noWrap w:val="0"/>
            <w:vAlign w:val="center"/>
          </w:tcPr>
          <w:p w14:paraId="1F8B615B">
            <w:pPr>
              <w:pStyle w:val="91"/>
              <w:keepNext/>
              <w:spacing w:after="0" w:line="440" w:lineRule="exact"/>
              <w:ind w:left="63" w:right="63"/>
              <w:rPr>
                <w:rStyle w:val="19"/>
                <w:rFonts w:ascii="宋体" w:hAnsi="宋体" w:eastAsia="宋体" w:cs="Times New Roman"/>
                <w:sz w:val="28"/>
                <w:szCs w:val="30"/>
                <w:highlight w:val="none"/>
              </w:rPr>
            </w:pPr>
            <w:r>
              <w:rPr>
                <w:rStyle w:val="19"/>
                <w:rFonts w:ascii="宋体" w:hAnsi="宋体" w:eastAsia="宋体" w:cs="Times New Roman"/>
                <w:sz w:val="28"/>
                <w:szCs w:val="30"/>
                <w:highlight w:val="none"/>
              </w:rPr>
              <w:t>费用</w:t>
            </w:r>
            <w:r>
              <w:rPr>
                <w:rStyle w:val="19"/>
                <w:rFonts w:hint="eastAsia" w:ascii="宋体" w:hAnsi="宋体" w:eastAsia="宋体" w:cs="Times New Roman"/>
                <w:sz w:val="28"/>
                <w:szCs w:val="30"/>
                <w:highlight w:val="none"/>
              </w:rPr>
              <w:t>（元）</w:t>
            </w:r>
          </w:p>
        </w:tc>
        <w:tc>
          <w:tcPr>
            <w:tcW w:w="1243" w:type="dxa"/>
            <w:tcBorders>
              <w:top w:val="single" w:color="auto" w:sz="12" w:space="0"/>
              <w:bottom w:val="double" w:color="auto" w:sz="6" w:space="0"/>
            </w:tcBorders>
            <w:noWrap w:val="0"/>
            <w:vAlign w:val="center"/>
          </w:tcPr>
          <w:p w14:paraId="5A0BC8C6">
            <w:pPr>
              <w:pStyle w:val="91"/>
              <w:keepNext/>
              <w:spacing w:after="0" w:line="440" w:lineRule="exact"/>
              <w:ind w:left="63" w:right="63"/>
              <w:rPr>
                <w:rStyle w:val="19"/>
                <w:rFonts w:ascii="宋体" w:hAnsi="宋体" w:eastAsia="宋体" w:cs="Times New Roman"/>
                <w:sz w:val="28"/>
                <w:szCs w:val="30"/>
                <w:highlight w:val="none"/>
              </w:rPr>
            </w:pPr>
            <w:r>
              <w:rPr>
                <w:rStyle w:val="19"/>
                <w:rFonts w:ascii="宋体" w:hAnsi="宋体" w:eastAsia="宋体" w:cs="Times New Roman"/>
                <w:sz w:val="28"/>
                <w:szCs w:val="30"/>
                <w:highlight w:val="none"/>
              </w:rPr>
              <w:t>质量</w:t>
            </w:r>
          </w:p>
        </w:tc>
        <w:tc>
          <w:tcPr>
            <w:tcW w:w="1450" w:type="dxa"/>
            <w:tcBorders>
              <w:top w:val="single" w:color="auto" w:sz="12" w:space="0"/>
              <w:bottom w:val="double" w:color="auto" w:sz="6" w:space="0"/>
            </w:tcBorders>
            <w:noWrap w:val="0"/>
            <w:vAlign w:val="top"/>
          </w:tcPr>
          <w:p w14:paraId="2600220F">
            <w:pPr>
              <w:pStyle w:val="32"/>
              <w:spacing w:line="440" w:lineRule="exact"/>
              <w:jc w:val="center"/>
              <w:rPr>
                <w:rStyle w:val="19"/>
                <w:rFonts w:ascii="宋体" w:hAnsi="宋体" w:eastAsia="宋体" w:cs="Times New Roman"/>
                <w:sz w:val="28"/>
                <w:szCs w:val="30"/>
                <w:highlight w:val="none"/>
              </w:rPr>
            </w:pPr>
            <w:r>
              <w:rPr>
                <w:rStyle w:val="19"/>
                <w:rFonts w:ascii="宋体" w:hAnsi="宋体" w:eastAsia="宋体" w:cs="Times New Roman"/>
                <w:sz w:val="28"/>
                <w:szCs w:val="30"/>
                <w:highlight w:val="none"/>
              </w:rPr>
              <w:t>移交时间</w:t>
            </w:r>
          </w:p>
        </w:tc>
        <w:tc>
          <w:tcPr>
            <w:tcW w:w="1667" w:type="dxa"/>
            <w:tcBorders>
              <w:top w:val="single" w:color="auto" w:sz="12" w:space="0"/>
              <w:bottom w:val="double" w:color="auto" w:sz="6" w:space="0"/>
            </w:tcBorders>
            <w:noWrap w:val="0"/>
            <w:vAlign w:val="top"/>
          </w:tcPr>
          <w:p w14:paraId="6D104AD9">
            <w:pPr>
              <w:pStyle w:val="32"/>
              <w:spacing w:line="440" w:lineRule="exact"/>
              <w:jc w:val="center"/>
              <w:rPr>
                <w:rStyle w:val="19"/>
                <w:rFonts w:ascii="宋体" w:hAnsi="宋体" w:eastAsia="宋体" w:cs="Times New Roman"/>
                <w:sz w:val="28"/>
                <w:szCs w:val="30"/>
                <w:highlight w:val="none"/>
              </w:rPr>
            </w:pPr>
            <w:r>
              <w:rPr>
                <w:rStyle w:val="19"/>
                <w:rFonts w:ascii="宋体" w:hAnsi="宋体" w:eastAsia="宋体" w:cs="Times New Roman"/>
                <w:sz w:val="28"/>
                <w:szCs w:val="30"/>
                <w:highlight w:val="none"/>
              </w:rPr>
              <w:t>责任人</w:t>
            </w:r>
          </w:p>
        </w:tc>
      </w:tr>
      <w:tr w14:paraId="58F8D0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1AFC4396">
            <w:pPr>
              <w:pStyle w:val="91"/>
              <w:keepNext/>
              <w:spacing w:after="0" w:line="440" w:lineRule="exact"/>
              <w:ind w:left="63" w:right="63"/>
              <w:rPr>
                <w:rStyle w:val="19"/>
                <w:rFonts w:ascii="宋体" w:hAnsi="宋体" w:eastAsia="宋体" w:cs="Times New Roman"/>
                <w:sz w:val="30"/>
                <w:szCs w:val="30"/>
                <w:highlight w:val="none"/>
              </w:rPr>
            </w:pPr>
          </w:p>
        </w:tc>
        <w:tc>
          <w:tcPr>
            <w:tcW w:w="1276" w:type="dxa"/>
            <w:tcBorders>
              <w:top w:val="double" w:color="auto" w:sz="6" w:space="0"/>
              <w:bottom w:val="single" w:color="auto" w:sz="6" w:space="0"/>
            </w:tcBorders>
            <w:noWrap w:val="0"/>
            <w:vAlign w:val="center"/>
          </w:tcPr>
          <w:p w14:paraId="2C5FFA23">
            <w:pPr>
              <w:pStyle w:val="91"/>
              <w:keepNext/>
              <w:spacing w:after="0" w:line="440" w:lineRule="exact"/>
              <w:ind w:left="63" w:right="63"/>
              <w:rPr>
                <w:rStyle w:val="19"/>
                <w:rFonts w:ascii="宋体" w:hAnsi="宋体" w:eastAsia="宋体" w:cs="Times New Roman"/>
                <w:sz w:val="30"/>
                <w:szCs w:val="30"/>
                <w:highlight w:val="none"/>
              </w:rPr>
            </w:pPr>
          </w:p>
        </w:tc>
        <w:tc>
          <w:tcPr>
            <w:tcW w:w="1450" w:type="dxa"/>
            <w:tcBorders>
              <w:top w:val="double" w:color="auto" w:sz="6" w:space="0"/>
              <w:bottom w:val="single" w:color="auto" w:sz="6" w:space="0"/>
            </w:tcBorders>
            <w:noWrap w:val="0"/>
            <w:vAlign w:val="center"/>
          </w:tcPr>
          <w:p w14:paraId="448BB3BE">
            <w:pPr>
              <w:pStyle w:val="91"/>
              <w:keepNext/>
              <w:spacing w:after="0" w:line="440" w:lineRule="exact"/>
              <w:ind w:left="63" w:right="63"/>
              <w:rPr>
                <w:rStyle w:val="19"/>
                <w:rFonts w:ascii="宋体" w:hAnsi="宋体" w:eastAsia="宋体" w:cs="Times New Roman"/>
                <w:sz w:val="30"/>
                <w:szCs w:val="30"/>
                <w:highlight w:val="none"/>
              </w:rPr>
            </w:pPr>
          </w:p>
        </w:tc>
        <w:tc>
          <w:tcPr>
            <w:tcW w:w="1243" w:type="dxa"/>
            <w:tcBorders>
              <w:top w:val="double" w:color="auto" w:sz="6" w:space="0"/>
              <w:bottom w:val="single" w:color="auto" w:sz="6" w:space="0"/>
            </w:tcBorders>
            <w:noWrap w:val="0"/>
            <w:vAlign w:val="center"/>
          </w:tcPr>
          <w:p w14:paraId="3500AF5D">
            <w:pPr>
              <w:pStyle w:val="91"/>
              <w:keepNext/>
              <w:spacing w:after="0" w:line="440" w:lineRule="exact"/>
              <w:ind w:left="63" w:right="63"/>
              <w:rPr>
                <w:rStyle w:val="19"/>
                <w:rFonts w:ascii="宋体" w:hAnsi="宋体" w:eastAsia="宋体" w:cs="Times New Roman"/>
                <w:sz w:val="30"/>
                <w:szCs w:val="30"/>
                <w:highlight w:val="none"/>
              </w:rPr>
            </w:pPr>
          </w:p>
        </w:tc>
        <w:tc>
          <w:tcPr>
            <w:tcW w:w="1450" w:type="dxa"/>
            <w:tcBorders>
              <w:top w:val="double" w:color="auto" w:sz="6" w:space="0"/>
              <w:bottom w:val="single" w:color="auto" w:sz="6" w:space="0"/>
            </w:tcBorders>
            <w:noWrap w:val="0"/>
            <w:vAlign w:val="center"/>
          </w:tcPr>
          <w:p w14:paraId="3FAF2653">
            <w:pPr>
              <w:pStyle w:val="91"/>
              <w:keepNext/>
              <w:spacing w:after="0" w:line="440" w:lineRule="exact"/>
              <w:ind w:left="63" w:right="63"/>
              <w:rPr>
                <w:rStyle w:val="19"/>
                <w:rFonts w:ascii="宋体" w:hAnsi="宋体" w:eastAsia="宋体" w:cs="Times New Roman"/>
                <w:sz w:val="30"/>
                <w:szCs w:val="30"/>
                <w:highlight w:val="none"/>
              </w:rPr>
            </w:pPr>
          </w:p>
        </w:tc>
        <w:tc>
          <w:tcPr>
            <w:tcW w:w="1667" w:type="dxa"/>
            <w:tcBorders>
              <w:top w:val="double" w:color="auto" w:sz="6" w:space="0"/>
              <w:bottom w:val="single" w:color="auto" w:sz="6" w:space="0"/>
            </w:tcBorders>
            <w:noWrap w:val="0"/>
            <w:vAlign w:val="center"/>
          </w:tcPr>
          <w:p w14:paraId="1DA899A5">
            <w:pPr>
              <w:pStyle w:val="91"/>
              <w:keepNext/>
              <w:spacing w:after="0" w:line="440" w:lineRule="exact"/>
              <w:ind w:left="63" w:right="63"/>
              <w:rPr>
                <w:rStyle w:val="19"/>
                <w:rFonts w:ascii="宋体" w:hAnsi="宋体" w:eastAsia="宋体" w:cs="Times New Roman"/>
                <w:sz w:val="30"/>
                <w:szCs w:val="30"/>
                <w:highlight w:val="none"/>
              </w:rPr>
            </w:pPr>
          </w:p>
        </w:tc>
      </w:tr>
      <w:tr w14:paraId="15C8E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6ECDCC1E">
            <w:pPr>
              <w:pStyle w:val="91"/>
              <w:keepNext/>
              <w:spacing w:after="0" w:line="440" w:lineRule="exact"/>
              <w:ind w:left="63" w:right="63"/>
              <w:rPr>
                <w:rStyle w:val="19"/>
                <w:rFonts w:ascii="宋体" w:hAnsi="宋体" w:eastAsia="宋体" w:cs="Times New Roman"/>
                <w:sz w:val="30"/>
                <w:szCs w:val="30"/>
                <w:highlight w:val="none"/>
              </w:rPr>
            </w:pPr>
          </w:p>
        </w:tc>
        <w:tc>
          <w:tcPr>
            <w:tcW w:w="1276" w:type="dxa"/>
            <w:tcBorders>
              <w:top w:val="nil"/>
            </w:tcBorders>
            <w:noWrap w:val="0"/>
            <w:vAlign w:val="center"/>
          </w:tcPr>
          <w:p w14:paraId="02385926">
            <w:pPr>
              <w:pStyle w:val="91"/>
              <w:keepNext/>
              <w:spacing w:after="0" w:line="440" w:lineRule="exact"/>
              <w:ind w:left="63" w:right="63"/>
              <w:rPr>
                <w:rStyle w:val="19"/>
                <w:rFonts w:ascii="宋体" w:hAnsi="宋体" w:eastAsia="宋体" w:cs="Times New Roman"/>
                <w:sz w:val="30"/>
                <w:szCs w:val="30"/>
                <w:highlight w:val="none"/>
              </w:rPr>
            </w:pPr>
          </w:p>
        </w:tc>
        <w:tc>
          <w:tcPr>
            <w:tcW w:w="1450" w:type="dxa"/>
            <w:tcBorders>
              <w:top w:val="nil"/>
            </w:tcBorders>
            <w:noWrap w:val="0"/>
            <w:vAlign w:val="center"/>
          </w:tcPr>
          <w:p w14:paraId="43E688CC">
            <w:pPr>
              <w:pStyle w:val="91"/>
              <w:keepNext/>
              <w:spacing w:after="0" w:line="440" w:lineRule="exact"/>
              <w:ind w:left="63" w:right="63"/>
              <w:rPr>
                <w:rStyle w:val="19"/>
                <w:rFonts w:ascii="宋体" w:hAnsi="宋体" w:eastAsia="宋体" w:cs="Times New Roman"/>
                <w:sz w:val="30"/>
                <w:szCs w:val="30"/>
                <w:highlight w:val="none"/>
              </w:rPr>
            </w:pPr>
          </w:p>
        </w:tc>
        <w:tc>
          <w:tcPr>
            <w:tcW w:w="1243" w:type="dxa"/>
            <w:tcBorders>
              <w:top w:val="nil"/>
            </w:tcBorders>
            <w:noWrap w:val="0"/>
            <w:vAlign w:val="center"/>
          </w:tcPr>
          <w:p w14:paraId="69EA3FF2">
            <w:pPr>
              <w:pStyle w:val="91"/>
              <w:keepNext/>
              <w:spacing w:after="0" w:line="440" w:lineRule="exact"/>
              <w:ind w:left="63" w:right="63"/>
              <w:rPr>
                <w:rStyle w:val="19"/>
                <w:rFonts w:ascii="宋体" w:hAnsi="宋体" w:eastAsia="宋体" w:cs="Times New Roman"/>
                <w:sz w:val="30"/>
                <w:szCs w:val="30"/>
                <w:highlight w:val="none"/>
              </w:rPr>
            </w:pPr>
          </w:p>
        </w:tc>
        <w:tc>
          <w:tcPr>
            <w:tcW w:w="1450" w:type="dxa"/>
            <w:tcBorders>
              <w:top w:val="nil"/>
            </w:tcBorders>
            <w:noWrap w:val="0"/>
            <w:vAlign w:val="center"/>
          </w:tcPr>
          <w:p w14:paraId="7105DA1E">
            <w:pPr>
              <w:pStyle w:val="91"/>
              <w:keepNext/>
              <w:spacing w:after="0" w:line="440" w:lineRule="exact"/>
              <w:ind w:left="63" w:right="63"/>
              <w:rPr>
                <w:rStyle w:val="19"/>
                <w:rFonts w:ascii="宋体" w:hAnsi="宋体" w:eastAsia="宋体" w:cs="Times New Roman"/>
                <w:sz w:val="30"/>
                <w:szCs w:val="30"/>
                <w:highlight w:val="none"/>
              </w:rPr>
            </w:pPr>
          </w:p>
        </w:tc>
        <w:tc>
          <w:tcPr>
            <w:tcW w:w="1667" w:type="dxa"/>
            <w:tcBorders>
              <w:top w:val="nil"/>
            </w:tcBorders>
            <w:noWrap w:val="0"/>
            <w:vAlign w:val="center"/>
          </w:tcPr>
          <w:p w14:paraId="081919A7">
            <w:pPr>
              <w:pStyle w:val="91"/>
              <w:keepNext/>
              <w:spacing w:after="0" w:line="440" w:lineRule="exact"/>
              <w:ind w:left="63" w:right="63"/>
              <w:rPr>
                <w:rStyle w:val="19"/>
                <w:rFonts w:ascii="宋体" w:hAnsi="宋体" w:eastAsia="宋体" w:cs="Times New Roman"/>
                <w:sz w:val="30"/>
                <w:szCs w:val="30"/>
                <w:highlight w:val="none"/>
              </w:rPr>
            </w:pPr>
          </w:p>
        </w:tc>
      </w:tr>
      <w:tr w14:paraId="356F47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55FCE4F">
            <w:pPr>
              <w:pStyle w:val="91"/>
              <w:keepNext/>
              <w:spacing w:after="0" w:line="440" w:lineRule="exact"/>
              <w:ind w:left="63" w:right="63"/>
              <w:rPr>
                <w:rStyle w:val="19"/>
                <w:rFonts w:ascii="宋体" w:hAnsi="宋体" w:eastAsia="宋体" w:cs="Times New Roman"/>
                <w:sz w:val="30"/>
                <w:szCs w:val="30"/>
                <w:highlight w:val="none"/>
              </w:rPr>
            </w:pPr>
          </w:p>
        </w:tc>
        <w:tc>
          <w:tcPr>
            <w:tcW w:w="1276" w:type="dxa"/>
            <w:noWrap w:val="0"/>
            <w:vAlign w:val="center"/>
          </w:tcPr>
          <w:p w14:paraId="37212D93">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42578A4F">
            <w:pPr>
              <w:pStyle w:val="91"/>
              <w:keepNext/>
              <w:spacing w:after="0" w:line="440" w:lineRule="exact"/>
              <w:ind w:left="63" w:right="63"/>
              <w:rPr>
                <w:rStyle w:val="19"/>
                <w:rFonts w:ascii="宋体" w:hAnsi="宋体" w:eastAsia="宋体" w:cs="Times New Roman"/>
                <w:sz w:val="30"/>
                <w:szCs w:val="30"/>
                <w:highlight w:val="none"/>
              </w:rPr>
            </w:pPr>
          </w:p>
        </w:tc>
        <w:tc>
          <w:tcPr>
            <w:tcW w:w="1243" w:type="dxa"/>
            <w:noWrap w:val="0"/>
            <w:vAlign w:val="center"/>
          </w:tcPr>
          <w:p w14:paraId="1789ACB4">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6F5FF4D0">
            <w:pPr>
              <w:pStyle w:val="91"/>
              <w:keepNext/>
              <w:spacing w:after="0" w:line="440" w:lineRule="exact"/>
              <w:ind w:left="63" w:right="63"/>
              <w:rPr>
                <w:rStyle w:val="19"/>
                <w:rFonts w:ascii="宋体" w:hAnsi="宋体" w:eastAsia="宋体" w:cs="Times New Roman"/>
                <w:sz w:val="30"/>
                <w:szCs w:val="30"/>
                <w:highlight w:val="none"/>
              </w:rPr>
            </w:pPr>
          </w:p>
        </w:tc>
        <w:tc>
          <w:tcPr>
            <w:tcW w:w="1667" w:type="dxa"/>
            <w:noWrap w:val="0"/>
            <w:vAlign w:val="center"/>
          </w:tcPr>
          <w:p w14:paraId="21D67631">
            <w:pPr>
              <w:pStyle w:val="91"/>
              <w:keepNext/>
              <w:spacing w:after="0" w:line="440" w:lineRule="exact"/>
              <w:ind w:left="63" w:right="63"/>
              <w:rPr>
                <w:rStyle w:val="19"/>
                <w:rFonts w:ascii="宋体" w:hAnsi="宋体" w:eastAsia="宋体" w:cs="Times New Roman"/>
                <w:sz w:val="30"/>
                <w:szCs w:val="30"/>
                <w:highlight w:val="none"/>
              </w:rPr>
            </w:pPr>
          </w:p>
        </w:tc>
      </w:tr>
      <w:tr w14:paraId="0D52B2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8B8923A">
            <w:pPr>
              <w:pStyle w:val="91"/>
              <w:keepNext/>
              <w:spacing w:after="0" w:line="440" w:lineRule="exact"/>
              <w:ind w:left="63" w:right="63"/>
              <w:rPr>
                <w:rStyle w:val="19"/>
                <w:rFonts w:ascii="宋体" w:hAnsi="宋体" w:eastAsia="宋体" w:cs="Times New Roman"/>
                <w:sz w:val="30"/>
                <w:szCs w:val="30"/>
                <w:highlight w:val="none"/>
              </w:rPr>
            </w:pPr>
          </w:p>
        </w:tc>
        <w:tc>
          <w:tcPr>
            <w:tcW w:w="1276" w:type="dxa"/>
            <w:noWrap w:val="0"/>
            <w:vAlign w:val="center"/>
          </w:tcPr>
          <w:p w14:paraId="4CDE2698">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14AF1400">
            <w:pPr>
              <w:pStyle w:val="91"/>
              <w:keepNext/>
              <w:spacing w:after="0" w:line="440" w:lineRule="exact"/>
              <w:ind w:left="63" w:right="63"/>
              <w:rPr>
                <w:rStyle w:val="19"/>
                <w:rFonts w:ascii="宋体" w:hAnsi="宋体" w:eastAsia="宋体" w:cs="Times New Roman"/>
                <w:sz w:val="30"/>
                <w:szCs w:val="30"/>
                <w:highlight w:val="none"/>
              </w:rPr>
            </w:pPr>
          </w:p>
        </w:tc>
        <w:tc>
          <w:tcPr>
            <w:tcW w:w="1243" w:type="dxa"/>
            <w:noWrap w:val="0"/>
            <w:vAlign w:val="center"/>
          </w:tcPr>
          <w:p w14:paraId="52942A55">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15FBBBFB">
            <w:pPr>
              <w:pStyle w:val="91"/>
              <w:keepNext/>
              <w:spacing w:after="0" w:line="440" w:lineRule="exact"/>
              <w:ind w:left="63" w:right="63"/>
              <w:rPr>
                <w:rStyle w:val="19"/>
                <w:rFonts w:ascii="宋体" w:hAnsi="宋体" w:eastAsia="宋体" w:cs="Times New Roman"/>
                <w:sz w:val="30"/>
                <w:szCs w:val="30"/>
                <w:highlight w:val="none"/>
              </w:rPr>
            </w:pPr>
          </w:p>
        </w:tc>
        <w:tc>
          <w:tcPr>
            <w:tcW w:w="1667" w:type="dxa"/>
            <w:noWrap w:val="0"/>
            <w:vAlign w:val="center"/>
          </w:tcPr>
          <w:p w14:paraId="6ACA8CF1">
            <w:pPr>
              <w:pStyle w:val="91"/>
              <w:keepNext/>
              <w:spacing w:after="0" w:line="440" w:lineRule="exact"/>
              <w:ind w:left="63" w:right="63"/>
              <w:rPr>
                <w:rStyle w:val="19"/>
                <w:rFonts w:ascii="宋体" w:hAnsi="宋体" w:eastAsia="宋体" w:cs="Times New Roman"/>
                <w:sz w:val="30"/>
                <w:szCs w:val="30"/>
                <w:highlight w:val="none"/>
              </w:rPr>
            </w:pPr>
          </w:p>
        </w:tc>
      </w:tr>
      <w:tr w14:paraId="322560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08A6970">
            <w:pPr>
              <w:pStyle w:val="91"/>
              <w:keepNext/>
              <w:spacing w:after="0" w:line="440" w:lineRule="exact"/>
              <w:ind w:left="63" w:right="63"/>
              <w:rPr>
                <w:rStyle w:val="19"/>
                <w:rFonts w:ascii="宋体" w:hAnsi="宋体" w:eastAsia="宋体" w:cs="Times New Roman"/>
                <w:sz w:val="30"/>
                <w:szCs w:val="30"/>
                <w:highlight w:val="none"/>
              </w:rPr>
            </w:pPr>
          </w:p>
        </w:tc>
        <w:tc>
          <w:tcPr>
            <w:tcW w:w="1276" w:type="dxa"/>
            <w:noWrap w:val="0"/>
            <w:vAlign w:val="center"/>
          </w:tcPr>
          <w:p w14:paraId="2BFCFCCA">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18B8368F">
            <w:pPr>
              <w:pStyle w:val="91"/>
              <w:keepNext/>
              <w:spacing w:after="0" w:line="440" w:lineRule="exact"/>
              <w:ind w:left="63" w:right="63"/>
              <w:rPr>
                <w:rStyle w:val="19"/>
                <w:rFonts w:ascii="宋体" w:hAnsi="宋体" w:eastAsia="宋体" w:cs="Times New Roman"/>
                <w:sz w:val="30"/>
                <w:szCs w:val="30"/>
                <w:highlight w:val="none"/>
              </w:rPr>
            </w:pPr>
          </w:p>
        </w:tc>
        <w:tc>
          <w:tcPr>
            <w:tcW w:w="1243" w:type="dxa"/>
            <w:noWrap w:val="0"/>
            <w:vAlign w:val="center"/>
          </w:tcPr>
          <w:p w14:paraId="22734F62">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2595F2ED">
            <w:pPr>
              <w:pStyle w:val="91"/>
              <w:keepNext/>
              <w:spacing w:after="0" w:line="440" w:lineRule="exact"/>
              <w:ind w:left="63" w:right="63"/>
              <w:rPr>
                <w:rStyle w:val="19"/>
                <w:rFonts w:ascii="宋体" w:hAnsi="宋体" w:eastAsia="宋体" w:cs="Times New Roman"/>
                <w:sz w:val="30"/>
                <w:szCs w:val="30"/>
                <w:highlight w:val="none"/>
              </w:rPr>
            </w:pPr>
          </w:p>
        </w:tc>
        <w:tc>
          <w:tcPr>
            <w:tcW w:w="1667" w:type="dxa"/>
            <w:noWrap w:val="0"/>
            <w:vAlign w:val="center"/>
          </w:tcPr>
          <w:p w14:paraId="2EF24231">
            <w:pPr>
              <w:pStyle w:val="91"/>
              <w:keepNext/>
              <w:spacing w:after="0" w:line="440" w:lineRule="exact"/>
              <w:ind w:left="63" w:right="63"/>
              <w:rPr>
                <w:rStyle w:val="19"/>
                <w:rFonts w:ascii="宋体" w:hAnsi="宋体" w:eastAsia="宋体" w:cs="Times New Roman"/>
                <w:sz w:val="30"/>
                <w:szCs w:val="30"/>
                <w:highlight w:val="none"/>
              </w:rPr>
            </w:pPr>
          </w:p>
        </w:tc>
      </w:tr>
      <w:tr w14:paraId="62687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CDBAD43">
            <w:pPr>
              <w:pStyle w:val="91"/>
              <w:keepNext/>
              <w:spacing w:after="0" w:line="440" w:lineRule="exact"/>
              <w:ind w:left="63" w:right="63"/>
              <w:rPr>
                <w:rStyle w:val="19"/>
                <w:rFonts w:ascii="宋体" w:hAnsi="宋体" w:eastAsia="宋体" w:cs="Times New Roman"/>
                <w:sz w:val="30"/>
                <w:szCs w:val="30"/>
                <w:highlight w:val="none"/>
              </w:rPr>
            </w:pPr>
          </w:p>
        </w:tc>
        <w:tc>
          <w:tcPr>
            <w:tcW w:w="1276" w:type="dxa"/>
            <w:noWrap w:val="0"/>
            <w:vAlign w:val="center"/>
          </w:tcPr>
          <w:p w14:paraId="385D67C5">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5DD58FEE">
            <w:pPr>
              <w:pStyle w:val="91"/>
              <w:keepNext/>
              <w:spacing w:after="0" w:line="440" w:lineRule="exact"/>
              <w:ind w:left="63" w:right="63"/>
              <w:rPr>
                <w:rStyle w:val="19"/>
                <w:rFonts w:ascii="宋体" w:hAnsi="宋体" w:eastAsia="宋体" w:cs="Times New Roman"/>
                <w:sz w:val="30"/>
                <w:szCs w:val="30"/>
                <w:highlight w:val="none"/>
              </w:rPr>
            </w:pPr>
          </w:p>
        </w:tc>
        <w:tc>
          <w:tcPr>
            <w:tcW w:w="1243" w:type="dxa"/>
            <w:noWrap w:val="0"/>
            <w:vAlign w:val="center"/>
          </w:tcPr>
          <w:p w14:paraId="2CA15FD9">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6B08C84F">
            <w:pPr>
              <w:pStyle w:val="91"/>
              <w:keepNext/>
              <w:spacing w:after="0" w:line="440" w:lineRule="exact"/>
              <w:ind w:left="63" w:right="63"/>
              <w:rPr>
                <w:rStyle w:val="19"/>
                <w:rFonts w:ascii="宋体" w:hAnsi="宋体" w:eastAsia="宋体" w:cs="Times New Roman"/>
                <w:sz w:val="30"/>
                <w:szCs w:val="30"/>
                <w:highlight w:val="none"/>
              </w:rPr>
            </w:pPr>
          </w:p>
        </w:tc>
        <w:tc>
          <w:tcPr>
            <w:tcW w:w="1667" w:type="dxa"/>
            <w:noWrap w:val="0"/>
            <w:vAlign w:val="center"/>
          </w:tcPr>
          <w:p w14:paraId="1290329D">
            <w:pPr>
              <w:pStyle w:val="91"/>
              <w:keepNext/>
              <w:spacing w:after="0" w:line="440" w:lineRule="exact"/>
              <w:ind w:left="63" w:right="63"/>
              <w:rPr>
                <w:rStyle w:val="19"/>
                <w:rFonts w:ascii="宋体" w:hAnsi="宋体" w:eastAsia="宋体" w:cs="Times New Roman"/>
                <w:sz w:val="30"/>
                <w:szCs w:val="30"/>
                <w:highlight w:val="none"/>
              </w:rPr>
            </w:pPr>
          </w:p>
        </w:tc>
      </w:tr>
      <w:tr w14:paraId="40D40F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ED5BF32">
            <w:pPr>
              <w:pStyle w:val="91"/>
              <w:keepNext/>
              <w:spacing w:after="0" w:line="440" w:lineRule="exact"/>
              <w:ind w:left="63" w:right="63"/>
              <w:rPr>
                <w:rStyle w:val="19"/>
                <w:rFonts w:ascii="宋体" w:hAnsi="宋体" w:eastAsia="宋体" w:cs="Times New Roman"/>
                <w:sz w:val="30"/>
                <w:szCs w:val="30"/>
                <w:highlight w:val="none"/>
              </w:rPr>
            </w:pPr>
          </w:p>
        </w:tc>
        <w:tc>
          <w:tcPr>
            <w:tcW w:w="1276" w:type="dxa"/>
            <w:noWrap w:val="0"/>
            <w:vAlign w:val="center"/>
          </w:tcPr>
          <w:p w14:paraId="392B37FD">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57D9CA2F">
            <w:pPr>
              <w:pStyle w:val="91"/>
              <w:keepNext/>
              <w:spacing w:after="0" w:line="440" w:lineRule="exact"/>
              <w:ind w:left="63" w:right="63"/>
              <w:rPr>
                <w:rStyle w:val="19"/>
                <w:rFonts w:ascii="宋体" w:hAnsi="宋体" w:eastAsia="宋体" w:cs="Times New Roman"/>
                <w:sz w:val="30"/>
                <w:szCs w:val="30"/>
                <w:highlight w:val="none"/>
              </w:rPr>
            </w:pPr>
          </w:p>
        </w:tc>
        <w:tc>
          <w:tcPr>
            <w:tcW w:w="1243" w:type="dxa"/>
            <w:noWrap w:val="0"/>
            <w:vAlign w:val="center"/>
          </w:tcPr>
          <w:p w14:paraId="39DED9BE">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5D303B54">
            <w:pPr>
              <w:pStyle w:val="91"/>
              <w:keepNext/>
              <w:spacing w:after="0" w:line="440" w:lineRule="exact"/>
              <w:ind w:left="63" w:right="63"/>
              <w:rPr>
                <w:rStyle w:val="19"/>
                <w:rFonts w:ascii="宋体" w:hAnsi="宋体" w:eastAsia="宋体" w:cs="Times New Roman"/>
                <w:sz w:val="30"/>
                <w:szCs w:val="30"/>
                <w:highlight w:val="none"/>
              </w:rPr>
            </w:pPr>
          </w:p>
        </w:tc>
        <w:tc>
          <w:tcPr>
            <w:tcW w:w="1667" w:type="dxa"/>
            <w:noWrap w:val="0"/>
            <w:vAlign w:val="center"/>
          </w:tcPr>
          <w:p w14:paraId="6343180D">
            <w:pPr>
              <w:pStyle w:val="91"/>
              <w:keepNext/>
              <w:spacing w:after="0" w:line="440" w:lineRule="exact"/>
              <w:ind w:left="63" w:right="63"/>
              <w:rPr>
                <w:rStyle w:val="19"/>
                <w:rFonts w:ascii="宋体" w:hAnsi="宋体" w:eastAsia="宋体" w:cs="Times New Roman"/>
                <w:sz w:val="30"/>
                <w:szCs w:val="30"/>
                <w:highlight w:val="none"/>
              </w:rPr>
            </w:pPr>
          </w:p>
        </w:tc>
      </w:tr>
      <w:tr w14:paraId="36D83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CA6E79A">
            <w:pPr>
              <w:pStyle w:val="91"/>
              <w:keepNext/>
              <w:spacing w:after="0" w:line="440" w:lineRule="exact"/>
              <w:ind w:left="63" w:right="63"/>
              <w:rPr>
                <w:rStyle w:val="19"/>
                <w:rFonts w:ascii="宋体" w:hAnsi="宋体" w:eastAsia="宋体" w:cs="Times New Roman"/>
                <w:sz w:val="30"/>
                <w:szCs w:val="30"/>
                <w:highlight w:val="none"/>
              </w:rPr>
            </w:pPr>
          </w:p>
        </w:tc>
        <w:tc>
          <w:tcPr>
            <w:tcW w:w="1276" w:type="dxa"/>
            <w:noWrap w:val="0"/>
            <w:vAlign w:val="center"/>
          </w:tcPr>
          <w:p w14:paraId="326048C1">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5B03ED7B">
            <w:pPr>
              <w:pStyle w:val="91"/>
              <w:keepNext/>
              <w:spacing w:after="0" w:line="440" w:lineRule="exact"/>
              <w:ind w:left="63" w:right="63"/>
              <w:rPr>
                <w:rStyle w:val="19"/>
                <w:rFonts w:ascii="宋体" w:hAnsi="宋体" w:eastAsia="宋体" w:cs="Times New Roman"/>
                <w:sz w:val="30"/>
                <w:szCs w:val="30"/>
                <w:highlight w:val="none"/>
              </w:rPr>
            </w:pPr>
          </w:p>
        </w:tc>
        <w:tc>
          <w:tcPr>
            <w:tcW w:w="1243" w:type="dxa"/>
            <w:noWrap w:val="0"/>
            <w:vAlign w:val="center"/>
          </w:tcPr>
          <w:p w14:paraId="43119A23">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78E67B14">
            <w:pPr>
              <w:pStyle w:val="91"/>
              <w:keepNext/>
              <w:spacing w:after="0" w:line="440" w:lineRule="exact"/>
              <w:ind w:left="63" w:right="63"/>
              <w:rPr>
                <w:rStyle w:val="19"/>
                <w:rFonts w:ascii="宋体" w:hAnsi="宋体" w:eastAsia="宋体" w:cs="Times New Roman"/>
                <w:sz w:val="30"/>
                <w:szCs w:val="30"/>
                <w:highlight w:val="none"/>
              </w:rPr>
            </w:pPr>
          </w:p>
        </w:tc>
        <w:tc>
          <w:tcPr>
            <w:tcW w:w="1667" w:type="dxa"/>
            <w:noWrap w:val="0"/>
            <w:vAlign w:val="center"/>
          </w:tcPr>
          <w:p w14:paraId="57A40483">
            <w:pPr>
              <w:pStyle w:val="91"/>
              <w:keepNext/>
              <w:spacing w:after="0" w:line="440" w:lineRule="exact"/>
              <w:ind w:left="63" w:right="63"/>
              <w:rPr>
                <w:rStyle w:val="19"/>
                <w:rFonts w:ascii="宋体" w:hAnsi="宋体" w:eastAsia="宋体" w:cs="Times New Roman"/>
                <w:sz w:val="30"/>
                <w:szCs w:val="30"/>
                <w:highlight w:val="none"/>
              </w:rPr>
            </w:pPr>
          </w:p>
        </w:tc>
      </w:tr>
      <w:tr w14:paraId="7F3A06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5262D96">
            <w:pPr>
              <w:pStyle w:val="32"/>
              <w:rPr>
                <w:rStyle w:val="19"/>
                <w:rFonts w:ascii="宋体" w:hAnsi="宋体" w:eastAsia="宋体" w:cs="Times New Roman"/>
                <w:sz w:val="30"/>
                <w:szCs w:val="30"/>
                <w:highlight w:val="none"/>
              </w:rPr>
            </w:pPr>
          </w:p>
        </w:tc>
        <w:tc>
          <w:tcPr>
            <w:tcW w:w="1276" w:type="dxa"/>
            <w:noWrap w:val="0"/>
            <w:vAlign w:val="top"/>
          </w:tcPr>
          <w:p w14:paraId="70B16C34">
            <w:pPr>
              <w:pStyle w:val="32"/>
              <w:rPr>
                <w:rStyle w:val="19"/>
                <w:rFonts w:ascii="宋体" w:hAnsi="宋体" w:eastAsia="宋体" w:cs="Times New Roman"/>
                <w:sz w:val="30"/>
                <w:szCs w:val="30"/>
                <w:highlight w:val="none"/>
              </w:rPr>
            </w:pPr>
          </w:p>
        </w:tc>
        <w:tc>
          <w:tcPr>
            <w:tcW w:w="1450" w:type="dxa"/>
            <w:noWrap w:val="0"/>
            <w:vAlign w:val="top"/>
          </w:tcPr>
          <w:p w14:paraId="2A12DF63">
            <w:pPr>
              <w:pStyle w:val="32"/>
              <w:rPr>
                <w:rStyle w:val="19"/>
                <w:rFonts w:ascii="宋体" w:hAnsi="宋体" w:eastAsia="宋体" w:cs="Times New Roman"/>
                <w:sz w:val="30"/>
                <w:szCs w:val="30"/>
                <w:highlight w:val="none"/>
              </w:rPr>
            </w:pPr>
          </w:p>
        </w:tc>
        <w:tc>
          <w:tcPr>
            <w:tcW w:w="1243" w:type="dxa"/>
            <w:noWrap w:val="0"/>
            <w:vAlign w:val="top"/>
          </w:tcPr>
          <w:p w14:paraId="6D849F31">
            <w:pPr>
              <w:pStyle w:val="32"/>
              <w:rPr>
                <w:rStyle w:val="19"/>
                <w:rFonts w:ascii="宋体" w:hAnsi="宋体" w:eastAsia="宋体" w:cs="Times New Roman"/>
                <w:sz w:val="30"/>
                <w:szCs w:val="30"/>
                <w:highlight w:val="none"/>
              </w:rPr>
            </w:pPr>
          </w:p>
        </w:tc>
        <w:tc>
          <w:tcPr>
            <w:tcW w:w="1450" w:type="dxa"/>
            <w:noWrap w:val="0"/>
            <w:vAlign w:val="top"/>
          </w:tcPr>
          <w:p w14:paraId="0BF00FBB">
            <w:pPr>
              <w:pStyle w:val="32"/>
              <w:rPr>
                <w:rStyle w:val="19"/>
                <w:rFonts w:ascii="宋体" w:hAnsi="宋体" w:eastAsia="宋体" w:cs="Times New Roman"/>
                <w:sz w:val="30"/>
                <w:szCs w:val="30"/>
                <w:highlight w:val="none"/>
              </w:rPr>
            </w:pPr>
          </w:p>
        </w:tc>
        <w:tc>
          <w:tcPr>
            <w:tcW w:w="1667" w:type="dxa"/>
            <w:noWrap w:val="0"/>
            <w:vAlign w:val="top"/>
          </w:tcPr>
          <w:p w14:paraId="5476A466">
            <w:pPr>
              <w:pStyle w:val="32"/>
              <w:rPr>
                <w:rStyle w:val="19"/>
                <w:rFonts w:ascii="宋体" w:hAnsi="宋体" w:eastAsia="宋体" w:cs="Times New Roman"/>
                <w:sz w:val="30"/>
                <w:szCs w:val="30"/>
                <w:highlight w:val="none"/>
              </w:rPr>
            </w:pPr>
          </w:p>
        </w:tc>
      </w:tr>
      <w:tr w14:paraId="4270B5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5F816FF">
            <w:pPr>
              <w:pStyle w:val="91"/>
              <w:keepNext/>
              <w:spacing w:after="0" w:line="440" w:lineRule="exact"/>
              <w:ind w:left="63" w:right="63"/>
              <w:rPr>
                <w:rStyle w:val="19"/>
                <w:rFonts w:ascii="宋体" w:hAnsi="宋体" w:eastAsia="宋体" w:cs="Times New Roman"/>
                <w:sz w:val="30"/>
                <w:szCs w:val="30"/>
                <w:highlight w:val="none"/>
              </w:rPr>
            </w:pPr>
          </w:p>
        </w:tc>
        <w:tc>
          <w:tcPr>
            <w:tcW w:w="1276" w:type="dxa"/>
            <w:noWrap w:val="0"/>
            <w:vAlign w:val="center"/>
          </w:tcPr>
          <w:p w14:paraId="1F3E3FF4">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4927B821">
            <w:pPr>
              <w:pStyle w:val="91"/>
              <w:keepNext/>
              <w:spacing w:after="0" w:line="440" w:lineRule="exact"/>
              <w:ind w:left="63" w:right="63"/>
              <w:rPr>
                <w:rStyle w:val="19"/>
                <w:rFonts w:ascii="宋体" w:hAnsi="宋体" w:eastAsia="宋体" w:cs="Times New Roman"/>
                <w:sz w:val="30"/>
                <w:szCs w:val="30"/>
                <w:highlight w:val="none"/>
              </w:rPr>
            </w:pPr>
          </w:p>
        </w:tc>
        <w:tc>
          <w:tcPr>
            <w:tcW w:w="1243" w:type="dxa"/>
            <w:noWrap w:val="0"/>
            <w:vAlign w:val="center"/>
          </w:tcPr>
          <w:p w14:paraId="20ED56C5">
            <w:pPr>
              <w:pStyle w:val="91"/>
              <w:keepNext/>
              <w:spacing w:after="0" w:line="440" w:lineRule="exact"/>
              <w:ind w:left="63" w:right="63"/>
              <w:rPr>
                <w:rStyle w:val="19"/>
                <w:rFonts w:ascii="宋体" w:hAnsi="宋体" w:eastAsia="宋体" w:cs="Times New Roman"/>
                <w:sz w:val="30"/>
                <w:szCs w:val="30"/>
                <w:highlight w:val="none"/>
              </w:rPr>
            </w:pPr>
          </w:p>
        </w:tc>
        <w:tc>
          <w:tcPr>
            <w:tcW w:w="1450" w:type="dxa"/>
            <w:noWrap w:val="0"/>
            <w:vAlign w:val="center"/>
          </w:tcPr>
          <w:p w14:paraId="031284C3">
            <w:pPr>
              <w:pStyle w:val="91"/>
              <w:keepNext/>
              <w:spacing w:after="0" w:line="440" w:lineRule="exact"/>
              <w:ind w:left="63" w:right="63"/>
              <w:rPr>
                <w:rStyle w:val="19"/>
                <w:rFonts w:ascii="宋体" w:hAnsi="宋体" w:eastAsia="宋体" w:cs="Times New Roman"/>
                <w:sz w:val="30"/>
                <w:szCs w:val="30"/>
                <w:highlight w:val="none"/>
              </w:rPr>
            </w:pPr>
          </w:p>
        </w:tc>
        <w:tc>
          <w:tcPr>
            <w:tcW w:w="1667" w:type="dxa"/>
            <w:noWrap w:val="0"/>
            <w:vAlign w:val="center"/>
          </w:tcPr>
          <w:p w14:paraId="383B2D98">
            <w:pPr>
              <w:pStyle w:val="91"/>
              <w:keepNext/>
              <w:spacing w:after="0" w:line="440" w:lineRule="exact"/>
              <w:ind w:left="63" w:right="63"/>
              <w:rPr>
                <w:rStyle w:val="19"/>
                <w:rFonts w:ascii="宋体" w:hAnsi="宋体" w:eastAsia="宋体" w:cs="Times New Roman"/>
                <w:sz w:val="30"/>
                <w:szCs w:val="30"/>
                <w:highlight w:val="none"/>
              </w:rPr>
            </w:pPr>
          </w:p>
        </w:tc>
      </w:tr>
      <w:tr w14:paraId="678C1B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BC980D7">
            <w:pPr>
              <w:pStyle w:val="32"/>
              <w:rPr>
                <w:rStyle w:val="19"/>
                <w:rFonts w:ascii="宋体" w:hAnsi="宋体" w:eastAsia="宋体" w:cs="Times New Roman"/>
                <w:sz w:val="30"/>
                <w:szCs w:val="30"/>
                <w:highlight w:val="none"/>
              </w:rPr>
            </w:pPr>
          </w:p>
        </w:tc>
        <w:tc>
          <w:tcPr>
            <w:tcW w:w="1276" w:type="dxa"/>
            <w:noWrap w:val="0"/>
            <w:vAlign w:val="top"/>
          </w:tcPr>
          <w:p w14:paraId="45BB20C2">
            <w:pPr>
              <w:pStyle w:val="32"/>
              <w:rPr>
                <w:rStyle w:val="19"/>
                <w:rFonts w:ascii="宋体" w:hAnsi="宋体" w:eastAsia="宋体" w:cs="Times New Roman"/>
                <w:sz w:val="30"/>
                <w:szCs w:val="30"/>
                <w:highlight w:val="none"/>
              </w:rPr>
            </w:pPr>
          </w:p>
        </w:tc>
        <w:tc>
          <w:tcPr>
            <w:tcW w:w="1450" w:type="dxa"/>
            <w:noWrap w:val="0"/>
            <w:vAlign w:val="top"/>
          </w:tcPr>
          <w:p w14:paraId="3A15EB19">
            <w:pPr>
              <w:pStyle w:val="32"/>
              <w:rPr>
                <w:rStyle w:val="19"/>
                <w:rFonts w:ascii="宋体" w:hAnsi="宋体" w:eastAsia="宋体" w:cs="Times New Roman"/>
                <w:sz w:val="30"/>
                <w:szCs w:val="30"/>
                <w:highlight w:val="none"/>
              </w:rPr>
            </w:pPr>
          </w:p>
        </w:tc>
        <w:tc>
          <w:tcPr>
            <w:tcW w:w="1243" w:type="dxa"/>
            <w:noWrap w:val="0"/>
            <w:vAlign w:val="top"/>
          </w:tcPr>
          <w:p w14:paraId="349537F2">
            <w:pPr>
              <w:pStyle w:val="32"/>
              <w:rPr>
                <w:rStyle w:val="19"/>
                <w:rFonts w:ascii="宋体" w:hAnsi="宋体" w:eastAsia="宋体" w:cs="Times New Roman"/>
                <w:sz w:val="30"/>
                <w:szCs w:val="30"/>
                <w:highlight w:val="none"/>
              </w:rPr>
            </w:pPr>
          </w:p>
        </w:tc>
        <w:tc>
          <w:tcPr>
            <w:tcW w:w="1450" w:type="dxa"/>
            <w:noWrap w:val="0"/>
            <w:vAlign w:val="top"/>
          </w:tcPr>
          <w:p w14:paraId="7B058F01">
            <w:pPr>
              <w:pStyle w:val="32"/>
              <w:rPr>
                <w:rStyle w:val="19"/>
                <w:rFonts w:ascii="宋体" w:hAnsi="宋体" w:eastAsia="宋体" w:cs="Times New Roman"/>
                <w:sz w:val="30"/>
                <w:szCs w:val="30"/>
                <w:highlight w:val="none"/>
              </w:rPr>
            </w:pPr>
          </w:p>
        </w:tc>
        <w:tc>
          <w:tcPr>
            <w:tcW w:w="1667" w:type="dxa"/>
            <w:noWrap w:val="0"/>
            <w:vAlign w:val="top"/>
          </w:tcPr>
          <w:p w14:paraId="4F0B6F18">
            <w:pPr>
              <w:pStyle w:val="32"/>
              <w:rPr>
                <w:rStyle w:val="19"/>
                <w:rFonts w:ascii="宋体" w:hAnsi="宋体" w:eastAsia="宋体" w:cs="Times New Roman"/>
                <w:sz w:val="30"/>
                <w:szCs w:val="30"/>
                <w:highlight w:val="none"/>
              </w:rPr>
            </w:pPr>
          </w:p>
        </w:tc>
      </w:tr>
      <w:tr w14:paraId="47C33F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B31E4A0">
            <w:pPr>
              <w:pStyle w:val="32"/>
              <w:rPr>
                <w:rStyle w:val="19"/>
                <w:rFonts w:ascii="宋体" w:hAnsi="宋体" w:eastAsia="宋体" w:cs="Times New Roman"/>
                <w:sz w:val="30"/>
                <w:szCs w:val="30"/>
                <w:highlight w:val="none"/>
              </w:rPr>
            </w:pPr>
          </w:p>
        </w:tc>
        <w:tc>
          <w:tcPr>
            <w:tcW w:w="1276" w:type="dxa"/>
            <w:noWrap w:val="0"/>
            <w:vAlign w:val="top"/>
          </w:tcPr>
          <w:p w14:paraId="094D5613">
            <w:pPr>
              <w:pStyle w:val="32"/>
              <w:rPr>
                <w:rStyle w:val="19"/>
                <w:rFonts w:ascii="宋体" w:hAnsi="宋体" w:eastAsia="宋体" w:cs="Times New Roman"/>
                <w:sz w:val="30"/>
                <w:szCs w:val="30"/>
                <w:highlight w:val="none"/>
              </w:rPr>
            </w:pPr>
          </w:p>
        </w:tc>
        <w:tc>
          <w:tcPr>
            <w:tcW w:w="1450" w:type="dxa"/>
            <w:noWrap w:val="0"/>
            <w:vAlign w:val="top"/>
          </w:tcPr>
          <w:p w14:paraId="2887FA19">
            <w:pPr>
              <w:pStyle w:val="32"/>
              <w:rPr>
                <w:rStyle w:val="19"/>
                <w:rFonts w:ascii="宋体" w:hAnsi="宋体" w:eastAsia="宋体" w:cs="Times New Roman"/>
                <w:sz w:val="30"/>
                <w:szCs w:val="30"/>
                <w:highlight w:val="none"/>
              </w:rPr>
            </w:pPr>
          </w:p>
        </w:tc>
        <w:tc>
          <w:tcPr>
            <w:tcW w:w="1243" w:type="dxa"/>
            <w:noWrap w:val="0"/>
            <w:vAlign w:val="top"/>
          </w:tcPr>
          <w:p w14:paraId="000941B6">
            <w:pPr>
              <w:pStyle w:val="32"/>
              <w:rPr>
                <w:rStyle w:val="19"/>
                <w:rFonts w:ascii="宋体" w:hAnsi="宋体" w:eastAsia="宋体" w:cs="Times New Roman"/>
                <w:sz w:val="30"/>
                <w:szCs w:val="30"/>
                <w:highlight w:val="none"/>
              </w:rPr>
            </w:pPr>
          </w:p>
        </w:tc>
        <w:tc>
          <w:tcPr>
            <w:tcW w:w="1450" w:type="dxa"/>
            <w:noWrap w:val="0"/>
            <w:vAlign w:val="top"/>
          </w:tcPr>
          <w:p w14:paraId="430CCAEF">
            <w:pPr>
              <w:pStyle w:val="32"/>
              <w:rPr>
                <w:rStyle w:val="19"/>
                <w:rFonts w:ascii="宋体" w:hAnsi="宋体" w:eastAsia="宋体" w:cs="Times New Roman"/>
                <w:sz w:val="30"/>
                <w:szCs w:val="30"/>
                <w:highlight w:val="none"/>
              </w:rPr>
            </w:pPr>
          </w:p>
        </w:tc>
        <w:tc>
          <w:tcPr>
            <w:tcW w:w="1667" w:type="dxa"/>
            <w:noWrap w:val="0"/>
            <w:vAlign w:val="top"/>
          </w:tcPr>
          <w:p w14:paraId="2F9B382E">
            <w:pPr>
              <w:pStyle w:val="32"/>
              <w:rPr>
                <w:rStyle w:val="19"/>
                <w:rFonts w:ascii="宋体" w:hAnsi="宋体" w:eastAsia="宋体" w:cs="Times New Roman"/>
                <w:sz w:val="30"/>
                <w:szCs w:val="30"/>
                <w:highlight w:val="none"/>
              </w:rPr>
            </w:pPr>
          </w:p>
        </w:tc>
      </w:tr>
      <w:tr w14:paraId="6785C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595DAE6">
            <w:pPr>
              <w:pStyle w:val="32"/>
              <w:rPr>
                <w:rStyle w:val="19"/>
                <w:rFonts w:ascii="宋体" w:hAnsi="宋体" w:eastAsia="宋体" w:cs="Times New Roman"/>
                <w:sz w:val="30"/>
                <w:szCs w:val="30"/>
                <w:highlight w:val="none"/>
              </w:rPr>
            </w:pPr>
          </w:p>
        </w:tc>
        <w:tc>
          <w:tcPr>
            <w:tcW w:w="1276" w:type="dxa"/>
            <w:noWrap w:val="0"/>
            <w:vAlign w:val="top"/>
          </w:tcPr>
          <w:p w14:paraId="7CCF0D4E">
            <w:pPr>
              <w:pStyle w:val="32"/>
              <w:rPr>
                <w:rStyle w:val="19"/>
                <w:rFonts w:ascii="宋体" w:hAnsi="宋体" w:eastAsia="宋体" w:cs="Times New Roman"/>
                <w:sz w:val="30"/>
                <w:szCs w:val="30"/>
                <w:highlight w:val="none"/>
              </w:rPr>
            </w:pPr>
          </w:p>
        </w:tc>
        <w:tc>
          <w:tcPr>
            <w:tcW w:w="1450" w:type="dxa"/>
            <w:noWrap w:val="0"/>
            <w:vAlign w:val="top"/>
          </w:tcPr>
          <w:p w14:paraId="18B54654">
            <w:pPr>
              <w:pStyle w:val="32"/>
              <w:rPr>
                <w:rStyle w:val="19"/>
                <w:rFonts w:ascii="宋体" w:hAnsi="宋体" w:eastAsia="宋体" w:cs="Times New Roman"/>
                <w:sz w:val="30"/>
                <w:szCs w:val="30"/>
                <w:highlight w:val="none"/>
              </w:rPr>
            </w:pPr>
          </w:p>
        </w:tc>
        <w:tc>
          <w:tcPr>
            <w:tcW w:w="1243" w:type="dxa"/>
            <w:noWrap w:val="0"/>
            <w:vAlign w:val="top"/>
          </w:tcPr>
          <w:p w14:paraId="6FF5A5A6">
            <w:pPr>
              <w:pStyle w:val="32"/>
              <w:rPr>
                <w:rStyle w:val="19"/>
                <w:rFonts w:ascii="宋体" w:hAnsi="宋体" w:eastAsia="宋体" w:cs="Times New Roman"/>
                <w:sz w:val="30"/>
                <w:szCs w:val="30"/>
                <w:highlight w:val="none"/>
              </w:rPr>
            </w:pPr>
          </w:p>
        </w:tc>
        <w:tc>
          <w:tcPr>
            <w:tcW w:w="1450" w:type="dxa"/>
            <w:noWrap w:val="0"/>
            <w:vAlign w:val="top"/>
          </w:tcPr>
          <w:p w14:paraId="427B7BF1">
            <w:pPr>
              <w:pStyle w:val="32"/>
              <w:rPr>
                <w:rStyle w:val="19"/>
                <w:rFonts w:ascii="宋体" w:hAnsi="宋体" w:eastAsia="宋体" w:cs="Times New Roman"/>
                <w:sz w:val="30"/>
                <w:szCs w:val="30"/>
                <w:highlight w:val="none"/>
              </w:rPr>
            </w:pPr>
          </w:p>
        </w:tc>
        <w:tc>
          <w:tcPr>
            <w:tcW w:w="1667" w:type="dxa"/>
            <w:noWrap w:val="0"/>
            <w:vAlign w:val="top"/>
          </w:tcPr>
          <w:p w14:paraId="7BC5D93C">
            <w:pPr>
              <w:pStyle w:val="32"/>
              <w:rPr>
                <w:rStyle w:val="19"/>
                <w:rFonts w:ascii="宋体" w:hAnsi="宋体" w:eastAsia="宋体" w:cs="Times New Roman"/>
                <w:sz w:val="30"/>
                <w:szCs w:val="30"/>
                <w:highlight w:val="none"/>
              </w:rPr>
            </w:pPr>
          </w:p>
        </w:tc>
      </w:tr>
      <w:tr w14:paraId="0961EC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7776590">
            <w:pPr>
              <w:pStyle w:val="32"/>
              <w:rPr>
                <w:rStyle w:val="19"/>
                <w:rFonts w:ascii="宋体" w:hAnsi="宋体" w:eastAsia="宋体" w:cs="Times New Roman"/>
                <w:sz w:val="30"/>
                <w:szCs w:val="30"/>
                <w:highlight w:val="none"/>
              </w:rPr>
            </w:pPr>
          </w:p>
        </w:tc>
        <w:tc>
          <w:tcPr>
            <w:tcW w:w="1276" w:type="dxa"/>
            <w:noWrap w:val="0"/>
            <w:vAlign w:val="top"/>
          </w:tcPr>
          <w:p w14:paraId="41CDC086">
            <w:pPr>
              <w:pStyle w:val="32"/>
              <w:rPr>
                <w:rStyle w:val="19"/>
                <w:rFonts w:ascii="宋体" w:hAnsi="宋体" w:eastAsia="宋体" w:cs="Times New Roman"/>
                <w:sz w:val="30"/>
                <w:szCs w:val="30"/>
                <w:highlight w:val="none"/>
              </w:rPr>
            </w:pPr>
          </w:p>
        </w:tc>
        <w:tc>
          <w:tcPr>
            <w:tcW w:w="1450" w:type="dxa"/>
            <w:noWrap w:val="0"/>
            <w:vAlign w:val="top"/>
          </w:tcPr>
          <w:p w14:paraId="20D102C4">
            <w:pPr>
              <w:pStyle w:val="32"/>
              <w:rPr>
                <w:rStyle w:val="19"/>
                <w:rFonts w:ascii="宋体" w:hAnsi="宋体" w:eastAsia="宋体" w:cs="Times New Roman"/>
                <w:sz w:val="30"/>
                <w:szCs w:val="30"/>
                <w:highlight w:val="none"/>
              </w:rPr>
            </w:pPr>
          </w:p>
        </w:tc>
        <w:tc>
          <w:tcPr>
            <w:tcW w:w="1243" w:type="dxa"/>
            <w:noWrap w:val="0"/>
            <w:vAlign w:val="top"/>
          </w:tcPr>
          <w:p w14:paraId="17E37205">
            <w:pPr>
              <w:pStyle w:val="32"/>
              <w:rPr>
                <w:rStyle w:val="19"/>
                <w:rFonts w:ascii="宋体" w:hAnsi="宋体" w:eastAsia="宋体" w:cs="Times New Roman"/>
                <w:sz w:val="30"/>
                <w:szCs w:val="30"/>
                <w:highlight w:val="none"/>
              </w:rPr>
            </w:pPr>
          </w:p>
        </w:tc>
        <w:tc>
          <w:tcPr>
            <w:tcW w:w="1450" w:type="dxa"/>
            <w:noWrap w:val="0"/>
            <w:vAlign w:val="top"/>
          </w:tcPr>
          <w:p w14:paraId="1AA58B64">
            <w:pPr>
              <w:pStyle w:val="32"/>
              <w:rPr>
                <w:rStyle w:val="19"/>
                <w:rFonts w:ascii="宋体" w:hAnsi="宋体" w:eastAsia="宋体" w:cs="Times New Roman"/>
                <w:sz w:val="30"/>
                <w:szCs w:val="30"/>
                <w:highlight w:val="none"/>
              </w:rPr>
            </w:pPr>
          </w:p>
        </w:tc>
        <w:tc>
          <w:tcPr>
            <w:tcW w:w="1667" w:type="dxa"/>
            <w:noWrap w:val="0"/>
            <w:vAlign w:val="top"/>
          </w:tcPr>
          <w:p w14:paraId="005C6E7B">
            <w:pPr>
              <w:pStyle w:val="32"/>
              <w:rPr>
                <w:rStyle w:val="19"/>
                <w:rFonts w:ascii="宋体" w:hAnsi="宋体" w:eastAsia="宋体" w:cs="Times New Roman"/>
                <w:sz w:val="30"/>
                <w:szCs w:val="30"/>
                <w:highlight w:val="none"/>
              </w:rPr>
            </w:pPr>
          </w:p>
        </w:tc>
      </w:tr>
      <w:tr w14:paraId="64FD5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38AAF78">
            <w:pPr>
              <w:pStyle w:val="32"/>
              <w:rPr>
                <w:rStyle w:val="19"/>
                <w:rFonts w:ascii="宋体" w:hAnsi="宋体" w:eastAsia="宋体" w:cs="Times New Roman"/>
                <w:sz w:val="30"/>
                <w:szCs w:val="30"/>
                <w:highlight w:val="none"/>
              </w:rPr>
            </w:pPr>
          </w:p>
        </w:tc>
        <w:tc>
          <w:tcPr>
            <w:tcW w:w="1276" w:type="dxa"/>
            <w:noWrap w:val="0"/>
            <w:vAlign w:val="top"/>
          </w:tcPr>
          <w:p w14:paraId="146496E1">
            <w:pPr>
              <w:pStyle w:val="32"/>
              <w:rPr>
                <w:rStyle w:val="19"/>
                <w:rFonts w:ascii="宋体" w:hAnsi="宋体" w:eastAsia="宋体" w:cs="Times New Roman"/>
                <w:sz w:val="30"/>
                <w:szCs w:val="30"/>
                <w:highlight w:val="none"/>
              </w:rPr>
            </w:pPr>
          </w:p>
        </w:tc>
        <w:tc>
          <w:tcPr>
            <w:tcW w:w="1450" w:type="dxa"/>
            <w:noWrap w:val="0"/>
            <w:vAlign w:val="top"/>
          </w:tcPr>
          <w:p w14:paraId="4D9D5BD2">
            <w:pPr>
              <w:pStyle w:val="32"/>
              <w:rPr>
                <w:rStyle w:val="19"/>
                <w:rFonts w:ascii="宋体" w:hAnsi="宋体" w:eastAsia="宋体" w:cs="Times New Roman"/>
                <w:sz w:val="30"/>
                <w:szCs w:val="30"/>
                <w:highlight w:val="none"/>
              </w:rPr>
            </w:pPr>
          </w:p>
        </w:tc>
        <w:tc>
          <w:tcPr>
            <w:tcW w:w="1243" w:type="dxa"/>
            <w:noWrap w:val="0"/>
            <w:vAlign w:val="top"/>
          </w:tcPr>
          <w:p w14:paraId="19D39378">
            <w:pPr>
              <w:pStyle w:val="32"/>
              <w:rPr>
                <w:rStyle w:val="19"/>
                <w:rFonts w:ascii="宋体" w:hAnsi="宋体" w:eastAsia="宋体" w:cs="Times New Roman"/>
                <w:sz w:val="30"/>
                <w:szCs w:val="30"/>
                <w:highlight w:val="none"/>
              </w:rPr>
            </w:pPr>
          </w:p>
        </w:tc>
        <w:tc>
          <w:tcPr>
            <w:tcW w:w="1450" w:type="dxa"/>
            <w:noWrap w:val="0"/>
            <w:vAlign w:val="top"/>
          </w:tcPr>
          <w:p w14:paraId="1D010640">
            <w:pPr>
              <w:pStyle w:val="32"/>
              <w:rPr>
                <w:rStyle w:val="19"/>
                <w:rFonts w:ascii="宋体" w:hAnsi="宋体" w:eastAsia="宋体" w:cs="Times New Roman"/>
                <w:sz w:val="30"/>
                <w:szCs w:val="30"/>
                <w:highlight w:val="none"/>
              </w:rPr>
            </w:pPr>
          </w:p>
        </w:tc>
        <w:tc>
          <w:tcPr>
            <w:tcW w:w="1667" w:type="dxa"/>
            <w:noWrap w:val="0"/>
            <w:vAlign w:val="top"/>
          </w:tcPr>
          <w:p w14:paraId="66FFFD49">
            <w:pPr>
              <w:pStyle w:val="32"/>
              <w:rPr>
                <w:rStyle w:val="19"/>
                <w:rFonts w:ascii="宋体" w:hAnsi="宋体" w:eastAsia="宋体" w:cs="Times New Roman"/>
                <w:sz w:val="30"/>
                <w:szCs w:val="30"/>
                <w:highlight w:val="none"/>
              </w:rPr>
            </w:pPr>
          </w:p>
        </w:tc>
      </w:tr>
      <w:tr w14:paraId="0F411B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95D5B38">
            <w:pPr>
              <w:pStyle w:val="32"/>
              <w:rPr>
                <w:rStyle w:val="19"/>
                <w:rFonts w:ascii="宋体" w:hAnsi="宋体" w:eastAsia="宋体" w:cs="Times New Roman"/>
                <w:sz w:val="30"/>
                <w:szCs w:val="30"/>
                <w:highlight w:val="none"/>
              </w:rPr>
            </w:pPr>
          </w:p>
        </w:tc>
        <w:tc>
          <w:tcPr>
            <w:tcW w:w="1276" w:type="dxa"/>
            <w:noWrap w:val="0"/>
            <w:vAlign w:val="top"/>
          </w:tcPr>
          <w:p w14:paraId="26E86705">
            <w:pPr>
              <w:pStyle w:val="32"/>
              <w:rPr>
                <w:rStyle w:val="19"/>
                <w:rFonts w:ascii="宋体" w:hAnsi="宋体" w:eastAsia="宋体" w:cs="Times New Roman"/>
                <w:sz w:val="30"/>
                <w:szCs w:val="30"/>
                <w:highlight w:val="none"/>
              </w:rPr>
            </w:pPr>
          </w:p>
        </w:tc>
        <w:tc>
          <w:tcPr>
            <w:tcW w:w="1450" w:type="dxa"/>
            <w:noWrap w:val="0"/>
            <w:vAlign w:val="top"/>
          </w:tcPr>
          <w:p w14:paraId="7CDBA785">
            <w:pPr>
              <w:pStyle w:val="32"/>
              <w:rPr>
                <w:rStyle w:val="19"/>
                <w:rFonts w:ascii="宋体" w:hAnsi="宋体" w:eastAsia="宋体" w:cs="Times New Roman"/>
                <w:sz w:val="30"/>
                <w:szCs w:val="30"/>
                <w:highlight w:val="none"/>
              </w:rPr>
            </w:pPr>
          </w:p>
        </w:tc>
        <w:tc>
          <w:tcPr>
            <w:tcW w:w="1243" w:type="dxa"/>
            <w:noWrap w:val="0"/>
            <w:vAlign w:val="top"/>
          </w:tcPr>
          <w:p w14:paraId="1B350DFA">
            <w:pPr>
              <w:pStyle w:val="32"/>
              <w:rPr>
                <w:rStyle w:val="19"/>
                <w:rFonts w:ascii="宋体" w:hAnsi="宋体" w:eastAsia="宋体" w:cs="Times New Roman"/>
                <w:sz w:val="30"/>
                <w:szCs w:val="30"/>
                <w:highlight w:val="none"/>
              </w:rPr>
            </w:pPr>
          </w:p>
        </w:tc>
        <w:tc>
          <w:tcPr>
            <w:tcW w:w="1450" w:type="dxa"/>
            <w:noWrap w:val="0"/>
            <w:vAlign w:val="top"/>
          </w:tcPr>
          <w:p w14:paraId="348D2B7A">
            <w:pPr>
              <w:pStyle w:val="32"/>
              <w:rPr>
                <w:rStyle w:val="19"/>
                <w:rFonts w:ascii="宋体" w:hAnsi="宋体" w:eastAsia="宋体" w:cs="Times New Roman"/>
                <w:sz w:val="30"/>
                <w:szCs w:val="30"/>
                <w:highlight w:val="none"/>
              </w:rPr>
            </w:pPr>
          </w:p>
        </w:tc>
        <w:tc>
          <w:tcPr>
            <w:tcW w:w="1667" w:type="dxa"/>
            <w:noWrap w:val="0"/>
            <w:vAlign w:val="top"/>
          </w:tcPr>
          <w:p w14:paraId="7B5DA93C">
            <w:pPr>
              <w:pStyle w:val="32"/>
              <w:rPr>
                <w:rStyle w:val="19"/>
                <w:rFonts w:ascii="宋体" w:hAnsi="宋体" w:eastAsia="宋体" w:cs="Times New Roman"/>
                <w:sz w:val="30"/>
                <w:szCs w:val="30"/>
                <w:highlight w:val="none"/>
              </w:rPr>
            </w:pPr>
          </w:p>
        </w:tc>
      </w:tr>
      <w:tr w14:paraId="084BBA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83F52C3">
            <w:pPr>
              <w:pStyle w:val="32"/>
              <w:rPr>
                <w:rStyle w:val="19"/>
                <w:rFonts w:ascii="宋体" w:hAnsi="宋体" w:eastAsia="宋体" w:cs="Times New Roman"/>
                <w:sz w:val="30"/>
                <w:szCs w:val="30"/>
                <w:highlight w:val="none"/>
              </w:rPr>
            </w:pPr>
          </w:p>
        </w:tc>
        <w:tc>
          <w:tcPr>
            <w:tcW w:w="1276" w:type="dxa"/>
            <w:noWrap w:val="0"/>
            <w:vAlign w:val="top"/>
          </w:tcPr>
          <w:p w14:paraId="2419A131">
            <w:pPr>
              <w:pStyle w:val="32"/>
              <w:rPr>
                <w:rStyle w:val="19"/>
                <w:rFonts w:ascii="宋体" w:hAnsi="宋体" w:eastAsia="宋体" w:cs="Times New Roman"/>
                <w:sz w:val="30"/>
                <w:szCs w:val="30"/>
                <w:highlight w:val="none"/>
              </w:rPr>
            </w:pPr>
          </w:p>
        </w:tc>
        <w:tc>
          <w:tcPr>
            <w:tcW w:w="1450" w:type="dxa"/>
            <w:noWrap w:val="0"/>
            <w:vAlign w:val="top"/>
          </w:tcPr>
          <w:p w14:paraId="4FCE57F0">
            <w:pPr>
              <w:pStyle w:val="32"/>
              <w:rPr>
                <w:rStyle w:val="19"/>
                <w:rFonts w:ascii="宋体" w:hAnsi="宋体" w:eastAsia="宋体" w:cs="Times New Roman"/>
                <w:sz w:val="30"/>
                <w:szCs w:val="30"/>
                <w:highlight w:val="none"/>
              </w:rPr>
            </w:pPr>
          </w:p>
        </w:tc>
        <w:tc>
          <w:tcPr>
            <w:tcW w:w="1243" w:type="dxa"/>
            <w:noWrap w:val="0"/>
            <w:vAlign w:val="top"/>
          </w:tcPr>
          <w:p w14:paraId="083D3FFB">
            <w:pPr>
              <w:pStyle w:val="32"/>
              <w:rPr>
                <w:rStyle w:val="19"/>
                <w:rFonts w:ascii="宋体" w:hAnsi="宋体" w:eastAsia="宋体" w:cs="Times New Roman"/>
                <w:sz w:val="30"/>
                <w:szCs w:val="30"/>
                <w:highlight w:val="none"/>
              </w:rPr>
            </w:pPr>
          </w:p>
        </w:tc>
        <w:tc>
          <w:tcPr>
            <w:tcW w:w="1450" w:type="dxa"/>
            <w:noWrap w:val="0"/>
            <w:vAlign w:val="top"/>
          </w:tcPr>
          <w:p w14:paraId="4DD90E0D">
            <w:pPr>
              <w:pStyle w:val="32"/>
              <w:rPr>
                <w:rStyle w:val="19"/>
                <w:rFonts w:ascii="宋体" w:hAnsi="宋体" w:eastAsia="宋体" w:cs="Times New Roman"/>
                <w:sz w:val="30"/>
                <w:szCs w:val="30"/>
                <w:highlight w:val="none"/>
              </w:rPr>
            </w:pPr>
          </w:p>
        </w:tc>
        <w:tc>
          <w:tcPr>
            <w:tcW w:w="1667" w:type="dxa"/>
            <w:noWrap w:val="0"/>
            <w:vAlign w:val="top"/>
          </w:tcPr>
          <w:p w14:paraId="10386D91">
            <w:pPr>
              <w:pStyle w:val="32"/>
              <w:rPr>
                <w:rStyle w:val="19"/>
                <w:rFonts w:ascii="宋体" w:hAnsi="宋体" w:eastAsia="宋体" w:cs="Times New Roman"/>
                <w:sz w:val="30"/>
                <w:szCs w:val="30"/>
                <w:highlight w:val="none"/>
              </w:rPr>
            </w:pPr>
          </w:p>
        </w:tc>
      </w:tr>
      <w:tr w14:paraId="475ED4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C031929">
            <w:pPr>
              <w:pStyle w:val="32"/>
              <w:rPr>
                <w:rStyle w:val="19"/>
                <w:rFonts w:ascii="宋体" w:hAnsi="宋体" w:eastAsia="宋体" w:cs="Times New Roman"/>
                <w:sz w:val="30"/>
                <w:szCs w:val="30"/>
                <w:highlight w:val="none"/>
              </w:rPr>
            </w:pPr>
          </w:p>
        </w:tc>
        <w:tc>
          <w:tcPr>
            <w:tcW w:w="1276" w:type="dxa"/>
            <w:noWrap w:val="0"/>
            <w:vAlign w:val="top"/>
          </w:tcPr>
          <w:p w14:paraId="73971841">
            <w:pPr>
              <w:pStyle w:val="32"/>
              <w:rPr>
                <w:rStyle w:val="19"/>
                <w:rFonts w:ascii="宋体" w:hAnsi="宋体" w:eastAsia="宋体" w:cs="Times New Roman"/>
                <w:sz w:val="30"/>
                <w:szCs w:val="30"/>
                <w:highlight w:val="none"/>
              </w:rPr>
            </w:pPr>
          </w:p>
        </w:tc>
        <w:tc>
          <w:tcPr>
            <w:tcW w:w="1450" w:type="dxa"/>
            <w:noWrap w:val="0"/>
            <w:vAlign w:val="top"/>
          </w:tcPr>
          <w:p w14:paraId="3A79D0F3">
            <w:pPr>
              <w:pStyle w:val="32"/>
              <w:rPr>
                <w:rStyle w:val="19"/>
                <w:rFonts w:ascii="宋体" w:hAnsi="宋体" w:eastAsia="宋体" w:cs="Times New Roman"/>
                <w:sz w:val="30"/>
                <w:szCs w:val="30"/>
                <w:highlight w:val="none"/>
              </w:rPr>
            </w:pPr>
          </w:p>
        </w:tc>
        <w:tc>
          <w:tcPr>
            <w:tcW w:w="1243" w:type="dxa"/>
            <w:noWrap w:val="0"/>
            <w:vAlign w:val="top"/>
          </w:tcPr>
          <w:p w14:paraId="7715F16D">
            <w:pPr>
              <w:pStyle w:val="32"/>
              <w:rPr>
                <w:rStyle w:val="19"/>
                <w:rFonts w:ascii="宋体" w:hAnsi="宋体" w:eastAsia="宋体" w:cs="Times New Roman"/>
                <w:sz w:val="30"/>
                <w:szCs w:val="30"/>
                <w:highlight w:val="none"/>
              </w:rPr>
            </w:pPr>
          </w:p>
        </w:tc>
        <w:tc>
          <w:tcPr>
            <w:tcW w:w="1450" w:type="dxa"/>
            <w:noWrap w:val="0"/>
            <w:vAlign w:val="top"/>
          </w:tcPr>
          <w:p w14:paraId="54700411">
            <w:pPr>
              <w:pStyle w:val="32"/>
              <w:rPr>
                <w:rStyle w:val="19"/>
                <w:rFonts w:ascii="宋体" w:hAnsi="宋体" w:eastAsia="宋体" w:cs="Times New Roman"/>
                <w:sz w:val="30"/>
                <w:szCs w:val="30"/>
                <w:highlight w:val="none"/>
              </w:rPr>
            </w:pPr>
          </w:p>
        </w:tc>
        <w:tc>
          <w:tcPr>
            <w:tcW w:w="1667" w:type="dxa"/>
            <w:noWrap w:val="0"/>
            <w:vAlign w:val="top"/>
          </w:tcPr>
          <w:p w14:paraId="6361A811">
            <w:pPr>
              <w:pStyle w:val="32"/>
              <w:rPr>
                <w:rStyle w:val="19"/>
                <w:rFonts w:ascii="宋体" w:hAnsi="宋体" w:eastAsia="宋体" w:cs="Times New Roman"/>
                <w:sz w:val="30"/>
                <w:szCs w:val="30"/>
                <w:highlight w:val="none"/>
              </w:rPr>
            </w:pPr>
          </w:p>
        </w:tc>
      </w:tr>
      <w:tr w14:paraId="376C2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E1CA2D2">
            <w:pPr>
              <w:pStyle w:val="32"/>
              <w:rPr>
                <w:rStyle w:val="19"/>
                <w:rFonts w:ascii="宋体" w:hAnsi="宋体" w:eastAsia="宋体" w:cs="Times New Roman"/>
                <w:sz w:val="30"/>
                <w:szCs w:val="30"/>
                <w:highlight w:val="none"/>
              </w:rPr>
            </w:pPr>
          </w:p>
        </w:tc>
        <w:tc>
          <w:tcPr>
            <w:tcW w:w="1276" w:type="dxa"/>
            <w:noWrap w:val="0"/>
            <w:vAlign w:val="top"/>
          </w:tcPr>
          <w:p w14:paraId="02C3DB3F">
            <w:pPr>
              <w:pStyle w:val="32"/>
              <w:rPr>
                <w:rStyle w:val="19"/>
                <w:rFonts w:ascii="宋体" w:hAnsi="宋体" w:eastAsia="宋体" w:cs="Times New Roman"/>
                <w:sz w:val="30"/>
                <w:szCs w:val="30"/>
                <w:highlight w:val="none"/>
              </w:rPr>
            </w:pPr>
          </w:p>
        </w:tc>
        <w:tc>
          <w:tcPr>
            <w:tcW w:w="1450" w:type="dxa"/>
            <w:noWrap w:val="0"/>
            <w:vAlign w:val="top"/>
          </w:tcPr>
          <w:p w14:paraId="428C028A">
            <w:pPr>
              <w:pStyle w:val="32"/>
              <w:rPr>
                <w:rStyle w:val="19"/>
                <w:rFonts w:ascii="宋体" w:hAnsi="宋体" w:eastAsia="宋体" w:cs="Times New Roman"/>
                <w:sz w:val="30"/>
                <w:szCs w:val="30"/>
                <w:highlight w:val="none"/>
              </w:rPr>
            </w:pPr>
          </w:p>
        </w:tc>
        <w:tc>
          <w:tcPr>
            <w:tcW w:w="1243" w:type="dxa"/>
            <w:noWrap w:val="0"/>
            <w:vAlign w:val="top"/>
          </w:tcPr>
          <w:p w14:paraId="0BD010DA">
            <w:pPr>
              <w:pStyle w:val="32"/>
              <w:rPr>
                <w:rStyle w:val="19"/>
                <w:rFonts w:ascii="宋体" w:hAnsi="宋体" w:eastAsia="宋体" w:cs="Times New Roman"/>
                <w:sz w:val="30"/>
                <w:szCs w:val="30"/>
                <w:highlight w:val="none"/>
              </w:rPr>
            </w:pPr>
          </w:p>
        </w:tc>
        <w:tc>
          <w:tcPr>
            <w:tcW w:w="1450" w:type="dxa"/>
            <w:noWrap w:val="0"/>
            <w:vAlign w:val="top"/>
          </w:tcPr>
          <w:p w14:paraId="7BBAF914">
            <w:pPr>
              <w:pStyle w:val="32"/>
              <w:rPr>
                <w:rStyle w:val="19"/>
                <w:rFonts w:ascii="宋体" w:hAnsi="宋体" w:eastAsia="宋体" w:cs="Times New Roman"/>
                <w:sz w:val="30"/>
                <w:szCs w:val="30"/>
                <w:highlight w:val="none"/>
              </w:rPr>
            </w:pPr>
          </w:p>
        </w:tc>
        <w:tc>
          <w:tcPr>
            <w:tcW w:w="1667" w:type="dxa"/>
            <w:noWrap w:val="0"/>
            <w:vAlign w:val="top"/>
          </w:tcPr>
          <w:p w14:paraId="051EDEE8">
            <w:pPr>
              <w:pStyle w:val="32"/>
              <w:rPr>
                <w:rStyle w:val="19"/>
                <w:rFonts w:ascii="宋体" w:hAnsi="宋体" w:eastAsia="宋体" w:cs="Times New Roman"/>
                <w:sz w:val="30"/>
                <w:szCs w:val="30"/>
                <w:highlight w:val="none"/>
              </w:rPr>
            </w:pPr>
          </w:p>
        </w:tc>
      </w:tr>
    </w:tbl>
    <w:p w14:paraId="609FEA83">
      <w:pPr>
        <w:pStyle w:val="32"/>
        <w:spacing w:line="440" w:lineRule="exact"/>
        <w:rPr>
          <w:rStyle w:val="19"/>
          <w:rFonts w:hint="eastAsia" w:ascii="宋体" w:hAnsi="宋体" w:eastAsia="宋体" w:cs="Times New Roman"/>
          <w:sz w:val="30"/>
          <w:szCs w:val="30"/>
          <w:highlight w:val="none"/>
        </w:rPr>
      </w:pPr>
    </w:p>
    <w:p w14:paraId="2086EB69">
      <w:pPr>
        <w:pStyle w:val="32"/>
        <w:spacing w:line="440" w:lineRule="exact"/>
        <w:rPr>
          <w:rStyle w:val="19"/>
          <w:rFonts w:ascii="宋体" w:hAnsi="宋体" w:eastAsia="宋体" w:cs="Times New Roman"/>
          <w:sz w:val="30"/>
          <w:szCs w:val="30"/>
          <w:highlight w:val="none"/>
        </w:rPr>
      </w:pPr>
      <w:r>
        <w:rPr>
          <w:rStyle w:val="19"/>
          <w:rFonts w:ascii="宋体" w:hAnsi="宋体" w:eastAsia="宋体" w:cs="Times New Roman"/>
          <w:sz w:val="30"/>
          <w:szCs w:val="30"/>
          <w:highlight w:val="none"/>
        </w:rPr>
        <w:br w:type="page"/>
      </w:r>
      <w:r>
        <w:rPr>
          <w:rStyle w:val="19"/>
          <w:rFonts w:hint="eastAsia" w:ascii="宋体" w:hAnsi="宋体" w:eastAsia="宋体" w:cs="仿宋_GB2312"/>
          <w:sz w:val="30"/>
          <w:szCs w:val="30"/>
          <w:highlight w:val="none"/>
        </w:rPr>
        <w:t>附件</w:t>
      </w:r>
      <w:r>
        <w:rPr>
          <w:rStyle w:val="19"/>
          <w:rFonts w:hint="eastAsia" w:ascii="宋体" w:hAnsi="宋体" w:eastAsia="宋体" w:cs="Times New Roman"/>
          <w:sz w:val="30"/>
          <w:szCs w:val="30"/>
          <w:highlight w:val="none"/>
        </w:rPr>
        <w:t>4</w:t>
      </w:r>
      <w:r>
        <w:rPr>
          <w:rStyle w:val="19"/>
          <w:rFonts w:hint="eastAsia" w:ascii="宋体" w:hAnsi="宋体" w:eastAsia="宋体" w:cs="仿宋_GB2312"/>
          <w:sz w:val="30"/>
          <w:szCs w:val="30"/>
          <w:highlight w:val="none"/>
        </w:rPr>
        <w:t>：</w:t>
      </w:r>
    </w:p>
    <w:p w14:paraId="7B0F03B3">
      <w:pPr>
        <w:pStyle w:val="32"/>
        <w:spacing w:before="120" w:beforeLines="50" w:after="120" w:afterLines="50" w:line="440" w:lineRule="exact"/>
        <w:jc w:val="center"/>
        <w:rPr>
          <w:rStyle w:val="19"/>
          <w:rFonts w:hint="eastAsia" w:ascii="宋体" w:hAnsi="宋体" w:eastAsia="宋体" w:cs="黑体"/>
          <w:sz w:val="30"/>
          <w:szCs w:val="30"/>
          <w:highlight w:val="none"/>
        </w:rPr>
      </w:pPr>
      <w:r>
        <w:rPr>
          <w:rStyle w:val="19"/>
          <w:rFonts w:hint="eastAsia" w:ascii="宋体" w:hAnsi="宋体" w:eastAsia="宋体" w:cs="黑体"/>
          <w:sz w:val="30"/>
          <w:szCs w:val="30"/>
          <w:highlight w:val="none"/>
        </w:rPr>
        <w:t>承包人用于本工程施工的机械设备表</w:t>
      </w:r>
    </w:p>
    <w:p w14:paraId="321B73D9">
      <w:pPr>
        <w:pStyle w:val="32"/>
        <w:spacing w:before="120" w:beforeLines="50" w:after="120" w:afterLines="50" w:line="440" w:lineRule="exact"/>
        <w:jc w:val="center"/>
        <w:rPr>
          <w:rStyle w:val="19"/>
          <w:rFonts w:hint="eastAsia" w:ascii="宋体" w:hAnsi="宋体" w:eastAsia="宋体" w:cs="黑体"/>
          <w:sz w:val="30"/>
          <w:szCs w:val="30"/>
          <w:highlight w:val="none"/>
        </w:rPr>
      </w:pPr>
    </w:p>
    <w:p w14:paraId="76CB5D7C">
      <w:pPr>
        <w:pStyle w:val="32"/>
        <w:spacing w:line="440" w:lineRule="exact"/>
        <w:jc w:val="left"/>
        <w:rPr>
          <w:rStyle w:val="19"/>
          <w:rFonts w:hint="eastAsia" w:ascii="宋体" w:hAnsi="宋体" w:eastAsia="宋体" w:cs="仿宋_GB2312"/>
          <w:sz w:val="30"/>
          <w:szCs w:val="30"/>
          <w:highlight w:val="none"/>
        </w:rPr>
      </w:pPr>
    </w:p>
    <w:p w14:paraId="43E2C26A">
      <w:pPr>
        <w:pStyle w:val="32"/>
        <w:spacing w:line="440" w:lineRule="exact"/>
        <w:jc w:val="left"/>
        <w:rPr>
          <w:rStyle w:val="19"/>
          <w:rFonts w:hint="eastAsia" w:ascii="宋体" w:hAnsi="宋体" w:eastAsia="宋体" w:cs="仿宋_GB2312"/>
          <w:sz w:val="30"/>
          <w:szCs w:val="30"/>
          <w:highlight w:val="none"/>
        </w:rPr>
      </w:pPr>
    </w:p>
    <w:p w14:paraId="6F6497DA">
      <w:pPr>
        <w:pStyle w:val="32"/>
        <w:spacing w:line="440" w:lineRule="exact"/>
        <w:jc w:val="left"/>
        <w:rPr>
          <w:rStyle w:val="19"/>
          <w:rFonts w:hint="eastAsia" w:ascii="宋体" w:hAnsi="宋体" w:eastAsia="宋体" w:cs="仿宋_GB2312"/>
          <w:sz w:val="30"/>
          <w:szCs w:val="30"/>
          <w:highlight w:val="none"/>
        </w:rPr>
      </w:pPr>
    </w:p>
    <w:p w14:paraId="74A25513">
      <w:pPr>
        <w:pStyle w:val="32"/>
        <w:spacing w:line="440" w:lineRule="exact"/>
        <w:jc w:val="left"/>
        <w:rPr>
          <w:rStyle w:val="19"/>
          <w:rFonts w:hint="eastAsia" w:ascii="宋体" w:hAnsi="宋体" w:eastAsia="宋体" w:cs="仿宋_GB2312"/>
          <w:sz w:val="30"/>
          <w:szCs w:val="30"/>
          <w:highlight w:val="none"/>
        </w:rPr>
      </w:pPr>
    </w:p>
    <w:p w14:paraId="1240F147">
      <w:pPr>
        <w:pStyle w:val="32"/>
        <w:spacing w:line="440" w:lineRule="exact"/>
        <w:jc w:val="left"/>
        <w:rPr>
          <w:rStyle w:val="19"/>
          <w:rFonts w:hint="eastAsia" w:ascii="宋体" w:hAnsi="宋体" w:eastAsia="宋体" w:cs="仿宋_GB2312"/>
          <w:sz w:val="30"/>
          <w:szCs w:val="30"/>
          <w:highlight w:val="none"/>
        </w:rPr>
      </w:pPr>
    </w:p>
    <w:p w14:paraId="11266149">
      <w:pPr>
        <w:pStyle w:val="32"/>
        <w:spacing w:line="440" w:lineRule="exact"/>
        <w:jc w:val="left"/>
        <w:rPr>
          <w:rStyle w:val="19"/>
          <w:rFonts w:hint="eastAsia" w:ascii="宋体" w:hAnsi="宋体" w:eastAsia="宋体" w:cs="仿宋_GB2312"/>
          <w:sz w:val="30"/>
          <w:szCs w:val="30"/>
          <w:highlight w:val="none"/>
        </w:rPr>
      </w:pPr>
    </w:p>
    <w:p w14:paraId="1D26BA80">
      <w:pPr>
        <w:pStyle w:val="32"/>
        <w:spacing w:line="440" w:lineRule="exact"/>
        <w:jc w:val="left"/>
        <w:rPr>
          <w:rStyle w:val="19"/>
          <w:rFonts w:hint="eastAsia" w:ascii="宋体" w:hAnsi="宋体" w:eastAsia="宋体" w:cs="仿宋_GB2312"/>
          <w:sz w:val="30"/>
          <w:szCs w:val="30"/>
          <w:highlight w:val="none"/>
        </w:rPr>
      </w:pPr>
    </w:p>
    <w:p w14:paraId="2287260F">
      <w:pPr>
        <w:pStyle w:val="32"/>
        <w:spacing w:line="440" w:lineRule="exact"/>
        <w:jc w:val="left"/>
        <w:rPr>
          <w:rStyle w:val="19"/>
          <w:rFonts w:hint="eastAsia" w:ascii="宋体" w:hAnsi="宋体" w:eastAsia="宋体" w:cs="仿宋_GB2312"/>
          <w:sz w:val="30"/>
          <w:szCs w:val="30"/>
          <w:highlight w:val="none"/>
        </w:rPr>
      </w:pPr>
    </w:p>
    <w:p w14:paraId="7B911880">
      <w:pPr>
        <w:pStyle w:val="32"/>
        <w:spacing w:line="440" w:lineRule="exact"/>
        <w:jc w:val="left"/>
        <w:rPr>
          <w:rStyle w:val="19"/>
          <w:rFonts w:hint="eastAsia" w:ascii="宋体" w:hAnsi="宋体" w:eastAsia="宋体" w:cs="仿宋_GB2312"/>
          <w:sz w:val="30"/>
          <w:szCs w:val="30"/>
          <w:highlight w:val="none"/>
        </w:rPr>
      </w:pPr>
    </w:p>
    <w:p w14:paraId="31ACD8C2">
      <w:pPr>
        <w:pStyle w:val="32"/>
        <w:spacing w:line="440" w:lineRule="exact"/>
        <w:jc w:val="left"/>
        <w:rPr>
          <w:rStyle w:val="19"/>
          <w:rFonts w:hint="eastAsia" w:ascii="宋体" w:hAnsi="宋体" w:eastAsia="宋体" w:cs="仿宋_GB2312"/>
          <w:sz w:val="30"/>
          <w:szCs w:val="30"/>
          <w:highlight w:val="none"/>
        </w:rPr>
      </w:pPr>
    </w:p>
    <w:p w14:paraId="5A85B49E">
      <w:pPr>
        <w:pStyle w:val="32"/>
        <w:spacing w:line="440" w:lineRule="exact"/>
        <w:jc w:val="left"/>
        <w:rPr>
          <w:rStyle w:val="19"/>
          <w:rFonts w:hint="eastAsia" w:ascii="宋体" w:hAnsi="宋体" w:eastAsia="宋体" w:cs="仿宋_GB2312"/>
          <w:sz w:val="30"/>
          <w:szCs w:val="30"/>
          <w:highlight w:val="none"/>
        </w:rPr>
      </w:pPr>
    </w:p>
    <w:p w14:paraId="7234D6EB">
      <w:pPr>
        <w:pStyle w:val="32"/>
        <w:spacing w:line="440" w:lineRule="exact"/>
        <w:jc w:val="left"/>
        <w:rPr>
          <w:rStyle w:val="19"/>
          <w:rFonts w:hint="eastAsia" w:ascii="宋体" w:hAnsi="宋体" w:eastAsia="宋体" w:cs="仿宋_GB2312"/>
          <w:sz w:val="30"/>
          <w:szCs w:val="30"/>
          <w:highlight w:val="none"/>
        </w:rPr>
      </w:pPr>
    </w:p>
    <w:p w14:paraId="3C636AA2">
      <w:pPr>
        <w:pStyle w:val="32"/>
        <w:spacing w:line="440" w:lineRule="exact"/>
        <w:jc w:val="left"/>
        <w:rPr>
          <w:rStyle w:val="19"/>
          <w:rFonts w:hint="eastAsia" w:ascii="宋体" w:hAnsi="宋体" w:eastAsia="宋体" w:cs="仿宋_GB2312"/>
          <w:sz w:val="30"/>
          <w:szCs w:val="30"/>
          <w:highlight w:val="none"/>
        </w:rPr>
      </w:pPr>
    </w:p>
    <w:p w14:paraId="1F601D60">
      <w:pPr>
        <w:pStyle w:val="32"/>
        <w:spacing w:line="440" w:lineRule="exact"/>
        <w:jc w:val="left"/>
        <w:rPr>
          <w:rStyle w:val="19"/>
          <w:rFonts w:hint="eastAsia" w:ascii="宋体" w:hAnsi="宋体" w:eastAsia="宋体" w:cs="仿宋_GB2312"/>
          <w:sz w:val="30"/>
          <w:szCs w:val="30"/>
          <w:highlight w:val="none"/>
        </w:rPr>
      </w:pPr>
    </w:p>
    <w:p w14:paraId="6F4969A2">
      <w:pPr>
        <w:pStyle w:val="32"/>
        <w:spacing w:line="440" w:lineRule="exact"/>
        <w:jc w:val="left"/>
        <w:rPr>
          <w:rStyle w:val="19"/>
          <w:rFonts w:hint="eastAsia" w:ascii="宋体" w:hAnsi="宋体" w:eastAsia="宋体" w:cs="仿宋_GB2312"/>
          <w:sz w:val="30"/>
          <w:szCs w:val="30"/>
          <w:highlight w:val="none"/>
        </w:rPr>
      </w:pPr>
    </w:p>
    <w:p w14:paraId="56662394">
      <w:pPr>
        <w:pStyle w:val="32"/>
        <w:spacing w:line="440" w:lineRule="exact"/>
        <w:jc w:val="left"/>
        <w:rPr>
          <w:rStyle w:val="19"/>
          <w:rFonts w:hint="eastAsia" w:ascii="宋体" w:hAnsi="宋体" w:eastAsia="宋体" w:cs="仿宋_GB2312"/>
          <w:sz w:val="30"/>
          <w:szCs w:val="30"/>
          <w:highlight w:val="none"/>
        </w:rPr>
      </w:pPr>
    </w:p>
    <w:p w14:paraId="6F99D2BF">
      <w:pPr>
        <w:pStyle w:val="32"/>
        <w:spacing w:line="440" w:lineRule="exact"/>
        <w:jc w:val="left"/>
        <w:rPr>
          <w:rStyle w:val="19"/>
          <w:rFonts w:hint="eastAsia" w:ascii="宋体" w:hAnsi="宋体" w:eastAsia="宋体" w:cs="仿宋_GB2312"/>
          <w:sz w:val="30"/>
          <w:szCs w:val="30"/>
          <w:highlight w:val="none"/>
        </w:rPr>
      </w:pPr>
    </w:p>
    <w:p w14:paraId="790BF272">
      <w:pPr>
        <w:pStyle w:val="32"/>
        <w:spacing w:line="440" w:lineRule="exact"/>
        <w:jc w:val="left"/>
        <w:rPr>
          <w:rStyle w:val="19"/>
          <w:rFonts w:hint="eastAsia" w:ascii="宋体" w:hAnsi="宋体" w:eastAsia="宋体" w:cs="仿宋_GB2312"/>
          <w:sz w:val="30"/>
          <w:szCs w:val="30"/>
          <w:highlight w:val="none"/>
        </w:rPr>
      </w:pPr>
    </w:p>
    <w:p w14:paraId="3EBC7493">
      <w:pPr>
        <w:pStyle w:val="32"/>
        <w:spacing w:line="440" w:lineRule="exact"/>
        <w:jc w:val="left"/>
        <w:rPr>
          <w:rStyle w:val="19"/>
          <w:rFonts w:hint="eastAsia" w:ascii="宋体" w:hAnsi="宋体" w:eastAsia="宋体" w:cs="仿宋_GB2312"/>
          <w:sz w:val="30"/>
          <w:szCs w:val="30"/>
          <w:highlight w:val="none"/>
        </w:rPr>
      </w:pPr>
    </w:p>
    <w:p w14:paraId="0615B53C">
      <w:pPr>
        <w:pStyle w:val="32"/>
        <w:spacing w:line="440" w:lineRule="exact"/>
        <w:jc w:val="left"/>
        <w:rPr>
          <w:rStyle w:val="19"/>
          <w:rFonts w:hint="eastAsia" w:ascii="宋体" w:hAnsi="宋体" w:eastAsia="宋体" w:cs="仿宋_GB2312"/>
          <w:sz w:val="30"/>
          <w:szCs w:val="30"/>
          <w:highlight w:val="none"/>
        </w:rPr>
      </w:pPr>
    </w:p>
    <w:p w14:paraId="418695A1">
      <w:pPr>
        <w:pStyle w:val="32"/>
        <w:spacing w:line="440" w:lineRule="exact"/>
        <w:jc w:val="left"/>
        <w:rPr>
          <w:rStyle w:val="19"/>
          <w:rFonts w:hint="eastAsia" w:ascii="宋体" w:hAnsi="宋体" w:eastAsia="宋体" w:cs="仿宋_GB2312"/>
          <w:sz w:val="30"/>
          <w:szCs w:val="30"/>
          <w:highlight w:val="none"/>
        </w:rPr>
      </w:pPr>
    </w:p>
    <w:p w14:paraId="0A3FED28">
      <w:pPr>
        <w:pStyle w:val="32"/>
        <w:spacing w:line="440" w:lineRule="exact"/>
        <w:jc w:val="left"/>
        <w:rPr>
          <w:rStyle w:val="19"/>
          <w:rFonts w:hint="eastAsia" w:ascii="宋体" w:hAnsi="宋体" w:eastAsia="宋体" w:cs="仿宋_GB2312"/>
          <w:sz w:val="30"/>
          <w:szCs w:val="30"/>
          <w:highlight w:val="none"/>
        </w:rPr>
      </w:pPr>
    </w:p>
    <w:p w14:paraId="6954BBDD">
      <w:pPr>
        <w:pStyle w:val="32"/>
        <w:spacing w:line="440" w:lineRule="exact"/>
        <w:jc w:val="left"/>
        <w:rPr>
          <w:rStyle w:val="19"/>
          <w:rFonts w:hint="eastAsia" w:ascii="宋体" w:hAnsi="宋体" w:eastAsia="宋体" w:cs="仿宋_GB2312"/>
          <w:sz w:val="30"/>
          <w:szCs w:val="30"/>
          <w:highlight w:val="none"/>
        </w:rPr>
      </w:pPr>
    </w:p>
    <w:p w14:paraId="0E98D564">
      <w:pPr>
        <w:pStyle w:val="32"/>
        <w:spacing w:line="440" w:lineRule="exact"/>
        <w:jc w:val="left"/>
        <w:rPr>
          <w:rStyle w:val="19"/>
          <w:rFonts w:hint="eastAsia" w:ascii="宋体" w:hAnsi="宋体" w:eastAsia="宋体" w:cs="仿宋_GB2312"/>
          <w:sz w:val="30"/>
          <w:szCs w:val="30"/>
          <w:highlight w:val="none"/>
        </w:rPr>
      </w:pPr>
    </w:p>
    <w:p w14:paraId="7DA8A361">
      <w:pPr>
        <w:pStyle w:val="32"/>
        <w:spacing w:line="440" w:lineRule="exact"/>
        <w:jc w:val="left"/>
        <w:rPr>
          <w:rStyle w:val="19"/>
          <w:rFonts w:hint="eastAsia" w:ascii="宋体" w:hAnsi="宋体" w:eastAsia="宋体" w:cs="仿宋_GB2312"/>
          <w:sz w:val="30"/>
          <w:szCs w:val="30"/>
          <w:highlight w:val="none"/>
        </w:rPr>
      </w:pPr>
    </w:p>
    <w:p w14:paraId="44D3A679">
      <w:pPr>
        <w:pStyle w:val="32"/>
        <w:spacing w:line="440" w:lineRule="exact"/>
        <w:jc w:val="left"/>
        <w:rPr>
          <w:rStyle w:val="19"/>
          <w:rFonts w:hint="eastAsia" w:ascii="宋体" w:hAnsi="宋体" w:eastAsia="宋体" w:cs="仿宋_GB2312"/>
          <w:sz w:val="30"/>
          <w:szCs w:val="30"/>
          <w:highlight w:val="none"/>
        </w:rPr>
      </w:pPr>
    </w:p>
    <w:p w14:paraId="1C6A4C9A">
      <w:pPr>
        <w:pStyle w:val="32"/>
        <w:spacing w:line="440" w:lineRule="exact"/>
        <w:jc w:val="left"/>
        <w:rPr>
          <w:rStyle w:val="19"/>
          <w:rFonts w:hint="eastAsia" w:ascii="宋体" w:hAnsi="宋体" w:eastAsia="宋体" w:cs="仿宋_GB2312"/>
          <w:sz w:val="30"/>
          <w:szCs w:val="30"/>
          <w:highlight w:val="none"/>
        </w:rPr>
      </w:pPr>
    </w:p>
    <w:p w14:paraId="6F6F6671">
      <w:pPr>
        <w:pStyle w:val="32"/>
        <w:spacing w:line="440" w:lineRule="exact"/>
        <w:jc w:val="left"/>
        <w:rPr>
          <w:rStyle w:val="19"/>
          <w:rFonts w:ascii="宋体" w:hAnsi="宋体" w:eastAsia="宋体" w:cs="Times New Roman"/>
          <w:sz w:val="30"/>
          <w:szCs w:val="30"/>
          <w:highlight w:val="none"/>
        </w:rPr>
      </w:pPr>
      <w:r>
        <w:rPr>
          <w:rStyle w:val="19"/>
          <w:rFonts w:hint="eastAsia" w:ascii="宋体" w:hAnsi="宋体" w:eastAsia="宋体" w:cs="仿宋_GB2312"/>
          <w:sz w:val="30"/>
          <w:szCs w:val="30"/>
          <w:highlight w:val="none"/>
        </w:rPr>
        <w:t>附</w:t>
      </w:r>
      <w:bookmarkStart w:id="1446" w:name="_Toc296503228"/>
      <w:bookmarkStart w:id="1447" w:name="_Toc296891056"/>
      <w:bookmarkStart w:id="1448" w:name="_Toc296944567"/>
      <w:bookmarkStart w:id="1449" w:name="_Toc296346729"/>
      <w:bookmarkStart w:id="1450" w:name="_Toc296347227"/>
      <w:bookmarkStart w:id="1451" w:name="_Toc267261699"/>
      <w:bookmarkStart w:id="1452" w:name="_Toc296891268"/>
      <w:r>
        <w:rPr>
          <w:rStyle w:val="19"/>
          <w:rFonts w:hint="eastAsia" w:ascii="宋体" w:hAnsi="宋体" w:eastAsia="宋体" w:cs="仿宋_GB2312"/>
          <w:sz w:val="30"/>
          <w:szCs w:val="30"/>
          <w:highlight w:val="none"/>
        </w:rPr>
        <w:t>件</w:t>
      </w:r>
      <w:r>
        <w:rPr>
          <w:rStyle w:val="19"/>
          <w:rFonts w:hint="eastAsia" w:ascii="宋体" w:hAnsi="宋体" w:eastAsia="宋体" w:cs="Times New Roman"/>
          <w:sz w:val="30"/>
          <w:szCs w:val="30"/>
          <w:highlight w:val="none"/>
        </w:rPr>
        <w:t>5</w:t>
      </w:r>
      <w:r>
        <w:rPr>
          <w:rStyle w:val="19"/>
          <w:rFonts w:hint="eastAsia" w:ascii="宋体" w:hAnsi="宋体" w:eastAsia="宋体" w:cs="仿宋_GB2312"/>
          <w:sz w:val="30"/>
          <w:szCs w:val="30"/>
          <w:highlight w:val="none"/>
        </w:rPr>
        <w:t>：</w:t>
      </w:r>
    </w:p>
    <w:bookmarkEnd w:id="1446"/>
    <w:bookmarkEnd w:id="1447"/>
    <w:bookmarkEnd w:id="1448"/>
    <w:bookmarkEnd w:id="1449"/>
    <w:bookmarkEnd w:id="1450"/>
    <w:bookmarkEnd w:id="1451"/>
    <w:bookmarkEnd w:id="1452"/>
    <w:p w14:paraId="42CCAD07">
      <w:pPr>
        <w:pStyle w:val="32"/>
        <w:spacing w:before="120" w:beforeLines="50" w:after="120" w:afterLines="50" w:line="440" w:lineRule="exact"/>
        <w:jc w:val="center"/>
        <w:rPr>
          <w:rStyle w:val="19"/>
          <w:rFonts w:hint="eastAsia" w:ascii="宋体" w:hAnsi="宋体" w:eastAsia="宋体" w:cs="黑体"/>
          <w:sz w:val="30"/>
          <w:szCs w:val="30"/>
          <w:highlight w:val="none"/>
        </w:rPr>
      </w:pPr>
      <w:r>
        <w:rPr>
          <w:rStyle w:val="19"/>
          <w:rFonts w:hint="eastAsia" w:ascii="宋体" w:hAnsi="宋体" w:eastAsia="宋体" w:cs="黑体"/>
          <w:sz w:val="30"/>
          <w:szCs w:val="30"/>
          <w:highlight w:val="none"/>
        </w:rPr>
        <w:t>承包人主要施工管理人员表</w:t>
      </w:r>
    </w:p>
    <w:tbl>
      <w:tblPr>
        <w:tblStyle w:val="18"/>
        <w:tblW w:w="9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759"/>
        <w:gridCol w:w="1417"/>
        <w:gridCol w:w="3344"/>
      </w:tblGrid>
      <w:tr w14:paraId="0A25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3BF4A750">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名    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37EA071">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姓名</w:t>
            </w:r>
          </w:p>
        </w:tc>
        <w:tc>
          <w:tcPr>
            <w:tcW w:w="1759" w:type="dxa"/>
            <w:tcBorders>
              <w:top w:val="single" w:color="auto" w:sz="4" w:space="0"/>
              <w:left w:val="single" w:color="auto" w:sz="4" w:space="0"/>
              <w:bottom w:val="single" w:color="auto" w:sz="4" w:space="0"/>
              <w:right w:val="single" w:color="auto" w:sz="4" w:space="0"/>
            </w:tcBorders>
            <w:noWrap w:val="0"/>
            <w:vAlign w:val="center"/>
          </w:tcPr>
          <w:p w14:paraId="375F4F39">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职务</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88AD015">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职称</w:t>
            </w:r>
          </w:p>
        </w:tc>
        <w:tc>
          <w:tcPr>
            <w:tcW w:w="3344" w:type="dxa"/>
            <w:tcBorders>
              <w:top w:val="single" w:color="auto" w:sz="4" w:space="0"/>
              <w:left w:val="single" w:color="auto" w:sz="4" w:space="0"/>
              <w:bottom w:val="single" w:color="auto" w:sz="4" w:space="0"/>
              <w:right w:val="single" w:color="auto" w:sz="4" w:space="0"/>
            </w:tcBorders>
            <w:noWrap w:val="0"/>
            <w:vAlign w:val="center"/>
          </w:tcPr>
          <w:p w14:paraId="5BB34083">
            <w:pPr>
              <w:pStyle w:val="17"/>
              <w:keepNext/>
              <w:keepLines w:val="0"/>
              <w:widowControl w:val="0"/>
              <w:suppressLineNumbers w:val="0"/>
              <w:adjustRightInd w:val="0"/>
              <w:snapToGrid w:val="0"/>
              <w:spacing w:before="0" w:beforeAutospacing="0" w:after="0" w:afterAutospacing="0" w:line="360" w:lineRule="auto"/>
              <w:ind w:left="0" w:leftChars="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计划进场时间</w:t>
            </w:r>
          </w:p>
        </w:tc>
      </w:tr>
      <w:tr w14:paraId="625E8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78860279">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一、总部人员</w:t>
            </w:r>
          </w:p>
        </w:tc>
      </w:tr>
      <w:tr w14:paraId="6DAF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22A9BD1F">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项目主管</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A4D1F9C">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47D9E0DC">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A1197DA">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37728E3A">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777F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346BEEDB">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其他人员</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D350FCC">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6E747DD2">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03C019B">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272AB3FE">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238D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212BA138">
            <w:pPr>
              <w:rPr>
                <w:rFonts w:hint="eastAsia" w:ascii="宋体" w:hAnsi="宋体" w:eastAsia="宋体" w:cs="宋体"/>
                <w:color w:val="auto"/>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748B36">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17744028">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660747D">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6B71BC4E">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1EF7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tcBorders>
              <w:top w:val="single" w:color="auto" w:sz="4" w:space="0"/>
              <w:left w:val="single" w:color="auto" w:sz="4" w:space="0"/>
              <w:bottom w:val="single" w:color="auto" w:sz="4" w:space="0"/>
              <w:right w:val="single" w:color="auto" w:sz="4" w:space="0"/>
            </w:tcBorders>
            <w:noWrap w:val="0"/>
            <w:vAlign w:val="center"/>
          </w:tcPr>
          <w:p w14:paraId="1E47DEDF">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6E3B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4F463CD0">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项目经理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E5272FE">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5D29902B">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85578E6">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3036581B">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2CA7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15A19F7F">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项目副经理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D8BE31B">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7F689392">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415746C">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266EA6A9">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6D5F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4936D3BC">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技术负责人</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AC653A6">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22CF8C41">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776DAB2">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5185FFDF">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13B41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3DE1AC45">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造价管理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199C207">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637F8F78">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C6AB17">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693C9367">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7F2F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14572508">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质量管理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CDCD828">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08327690">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937C6E">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03D53087">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5824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7F3197FA">
            <w:pPr>
              <w:rPr>
                <w:rFonts w:hint="eastAsia" w:ascii="宋体" w:hAnsi="宋体" w:eastAsia="宋体" w:cs="宋体"/>
                <w:color w:val="auto"/>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9ADFA89">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45A82DA3">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846A56F">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1F1879F8">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6D5D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4B4E0B96">
            <w:pPr>
              <w:rPr>
                <w:rFonts w:hint="eastAsia" w:ascii="宋体" w:hAnsi="宋体" w:eastAsia="宋体" w:cs="宋体"/>
                <w:color w:val="auto"/>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26A407">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0605BCF6">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F9CBF56">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76782FC7">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4C50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7BC5FF10">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材料管理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85F7C8F">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6F2B5D9B">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218F66E">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30B9396B">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7AE7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2549A90">
            <w:pPr>
              <w:rPr>
                <w:rFonts w:hint="eastAsia" w:ascii="宋体" w:hAnsi="宋体" w:eastAsia="宋体" w:cs="宋体"/>
                <w:color w:val="auto"/>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81D541">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1DD76A8A">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158FEBB">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036069CE">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7EE8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noWrap w:val="0"/>
            <w:vAlign w:val="center"/>
          </w:tcPr>
          <w:p w14:paraId="2D26A776">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计划管理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37D48FF">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4479232C">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07D166E">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0E5BC1D9">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1708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548C1FE8">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安全管理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0740F6F">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0FEAECB0">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8748635">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70A4E7C5">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3462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05C6F424">
            <w:pPr>
              <w:rPr>
                <w:rFonts w:hint="eastAsia" w:ascii="宋体" w:hAnsi="宋体" w:eastAsia="宋体" w:cs="宋体"/>
                <w:color w:val="auto"/>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7028220">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1F6DE7ED">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049DB23">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25EAE075">
            <w:pPr>
              <w:pStyle w:val="17"/>
              <w:keepNext/>
              <w:keepLines w:val="0"/>
              <w:widowControl w:val="0"/>
              <w:suppressLineNumbers w:val="0"/>
              <w:adjustRightInd w:val="0"/>
              <w:snapToGri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6B1F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0872F6A">
            <w:pPr>
              <w:rPr>
                <w:rFonts w:hint="eastAsia" w:ascii="宋体" w:hAnsi="宋体" w:eastAsia="宋体" w:cs="宋体"/>
                <w:color w:val="auto"/>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E7B412C">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61E960C8">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687D1F2A">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49BE0115">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4AB4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noWrap w:val="0"/>
            <w:vAlign w:val="center"/>
          </w:tcPr>
          <w:p w14:paraId="440462A6">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kern w:val="2"/>
                <w:sz w:val="21"/>
                <w:szCs w:val="21"/>
                <w:highlight w:val="none"/>
                <w:lang w:val="en-US" w:eastAsia="zh-CN" w:bidi="ar"/>
              </w:rPr>
              <w:t>其他人员</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72713F4">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11C4CD0F">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C7CCA12">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3DE581C7">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11FB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100A1CA4">
            <w:pPr>
              <w:rPr>
                <w:rFonts w:hint="eastAsia" w:ascii="宋体" w:hAnsi="宋体" w:eastAsia="宋体" w:cs="宋体"/>
                <w:color w:val="auto"/>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323F95C">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05821C5E">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822AB30">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17C655A8">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r w14:paraId="0083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noWrap w:val="0"/>
            <w:vAlign w:val="center"/>
          </w:tcPr>
          <w:p w14:paraId="595A3A7A">
            <w:pPr>
              <w:rPr>
                <w:rFonts w:hint="eastAsia" w:ascii="宋体" w:hAnsi="宋体" w:eastAsia="宋体" w:cs="宋体"/>
                <w:color w:val="auto"/>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E9B7426">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14:paraId="3C27090F">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405D8B2">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c>
          <w:tcPr>
            <w:tcW w:w="3344" w:type="dxa"/>
            <w:tcBorders>
              <w:top w:val="single" w:color="auto" w:sz="4" w:space="0"/>
              <w:left w:val="single" w:color="auto" w:sz="4" w:space="0"/>
              <w:bottom w:val="single" w:color="auto" w:sz="4" w:space="0"/>
              <w:right w:val="single" w:color="auto" w:sz="4" w:space="0"/>
            </w:tcBorders>
            <w:noWrap w:val="0"/>
            <w:vAlign w:val="center"/>
          </w:tcPr>
          <w:p w14:paraId="49C766CA">
            <w:pPr>
              <w:pStyle w:val="17"/>
              <w:keepNext/>
              <w:keepLines w:val="0"/>
              <w:widowControl w:val="0"/>
              <w:suppressLineNumbers w:val="0"/>
              <w:adjustRightInd w:val="0"/>
              <w:spacing w:before="0" w:beforeAutospacing="0" w:after="60" w:afterAutospacing="0" w:line="360" w:lineRule="auto"/>
              <w:ind w:left="63" w:leftChars="30" w:right="63" w:rightChars="30"/>
              <w:jc w:val="center"/>
              <w:rPr>
                <w:rFonts w:hint="eastAsia" w:ascii="宋体" w:hAnsi="宋体" w:eastAsia="宋体" w:cs="宋体"/>
                <w:color w:val="auto"/>
                <w:sz w:val="21"/>
                <w:szCs w:val="21"/>
                <w:highlight w:val="none"/>
                <w:lang w:val="en-US"/>
              </w:rPr>
            </w:pPr>
          </w:p>
        </w:tc>
      </w:tr>
    </w:tbl>
    <w:p w14:paraId="0AA6077B">
      <w:pPr>
        <w:pStyle w:val="32"/>
        <w:spacing w:before="120" w:beforeLines="50" w:after="120" w:afterLines="50" w:line="440" w:lineRule="exact"/>
        <w:jc w:val="center"/>
        <w:rPr>
          <w:rStyle w:val="19"/>
          <w:rFonts w:hint="eastAsia" w:ascii="宋体" w:hAnsi="宋体" w:eastAsia="宋体" w:cs="黑体"/>
          <w:sz w:val="30"/>
          <w:szCs w:val="30"/>
          <w:highlight w:val="none"/>
        </w:rPr>
      </w:pPr>
    </w:p>
    <w:p w14:paraId="606DCD18">
      <w:pPr>
        <w:pStyle w:val="32"/>
        <w:spacing w:line="440" w:lineRule="exact"/>
        <w:rPr>
          <w:rStyle w:val="19"/>
          <w:rFonts w:ascii="宋体" w:hAnsi="宋体" w:eastAsia="宋体" w:cs="Times New Roman"/>
          <w:sz w:val="30"/>
          <w:szCs w:val="30"/>
          <w:highlight w:val="none"/>
        </w:rPr>
      </w:pPr>
      <w:r>
        <w:rPr>
          <w:rStyle w:val="19"/>
          <w:rFonts w:ascii="宋体" w:hAnsi="宋体" w:eastAsia="宋体" w:cs="Times New Roman"/>
          <w:sz w:val="30"/>
          <w:szCs w:val="30"/>
          <w:highlight w:val="none"/>
        </w:rPr>
        <w:br w:type="page"/>
      </w:r>
      <w:r>
        <w:rPr>
          <w:rStyle w:val="19"/>
          <w:rFonts w:hint="eastAsia" w:ascii="宋体" w:hAnsi="宋体" w:eastAsia="宋体" w:cs="仿宋_GB2312"/>
          <w:sz w:val="30"/>
          <w:szCs w:val="30"/>
          <w:highlight w:val="none"/>
        </w:rPr>
        <w:t>附</w:t>
      </w:r>
      <w:bookmarkStart w:id="1453" w:name="_Toc296346730"/>
      <w:bookmarkStart w:id="1454" w:name="_Toc296891057"/>
      <w:bookmarkStart w:id="1455" w:name="_Toc296347228"/>
      <w:bookmarkStart w:id="1456" w:name="_Toc296503229"/>
      <w:bookmarkStart w:id="1457" w:name="_Toc296944568"/>
      <w:bookmarkStart w:id="1458" w:name="_Toc296891269"/>
      <w:r>
        <w:rPr>
          <w:rStyle w:val="19"/>
          <w:rFonts w:hint="eastAsia" w:ascii="宋体" w:hAnsi="宋体" w:eastAsia="宋体" w:cs="仿宋_GB2312"/>
          <w:sz w:val="30"/>
          <w:szCs w:val="30"/>
          <w:highlight w:val="none"/>
        </w:rPr>
        <w:t>件</w:t>
      </w:r>
      <w:r>
        <w:rPr>
          <w:rStyle w:val="19"/>
          <w:rFonts w:hint="eastAsia" w:ascii="宋体" w:hAnsi="宋体" w:eastAsia="宋体" w:cs="Times New Roman"/>
          <w:sz w:val="30"/>
          <w:szCs w:val="30"/>
          <w:highlight w:val="none"/>
        </w:rPr>
        <w:t>6</w:t>
      </w:r>
      <w:r>
        <w:rPr>
          <w:rStyle w:val="19"/>
          <w:rFonts w:hint="eastAsia" w:ascii="宋体" w:hAnsi="宋体" w:eastAsia="宋体" w:cs="仿宋_GB2312"/>
          <w:sz w:val="30"/>
          <w:szCs w:val="30"/>
          <w:highlight w:val="none"/>
        </w:rPr>
        <w:t>：</w:t>
      </w:r>
    </w:p>
    <w:bookmarkEnd w:id="1453"/>
    <w:bookmarkEnd w:id="1454"/>
    <w:bookmarkEnd w:id="1455"/>
    <w:bookmarkEnd w:id="1456"/>
    <w:bookmarkEnd w:id="1457"/>
    <w:bookmarkEnd w:id="1458"/>
    <w:p w14:paraId="4803213F">
      <w:pPr>
        <w:pStyle w:val="32"/>
        <w:spacing w:before="120" w:beforeLines="50" w:after="120" w:afterLines="50" w:line="440" w:lineRule="exact"/>
        <w:jc w:val="center"/>
        <w:rPr>
          <w:rStyle w:val="19"/>
          <w:rFonts w:ascii="宋体" w:hAnsi="宋体" w:eastAsia="宋体" w:cs="Times New Roman"/>
          <w:sz w:val="30"/>
          <w:szCs w:val="30"/>
          <w:highlight w:val="none"/>
        </w:rPr>
      </w:pPr>
      <w:r>
        <w:rPr>
          <w:rStyle w:val="19"/>
          <w:rFonts w:hint="eastAsia" w:ascii="宋体" w:hAnsi="宋体" w:eastAsia="宋体" w:cs="黑体"/>
          <w:sz w:val="30"/>
          <w:szCs w:val="30"/>
          <w:highlight w:val="none"/>
        </w:rPr>
        <w:t>分包人主要施工管理人员表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7C32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6B8DE0C">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名</w:t>
            </w:r>
            <w:r>
              <w:rPr>
                <w:rStyle w:val="19"/>
                <w:rFonts w:ascii="宋体" w:hAnsi="宋体" w:eastAsia="宋体" w:cs="Times New Roman"/>
                <w:sz w:val="28"/>
                <w:szCs w:val="28"/>
                <w:highlight w:val="none"/>
              </w:rPr>
              <w:t xml:space="preserve">    </w:t>
            </w:r>
            <w:r>
              <w:rPr>
                <w:rStyle w:val="19"/>
                <w:rFonts w:hint="eastAsia" w:ascii="宋体" w:hAnsi="宋体" w:eastAsia="宋体" w:cs="仿宋_GB2312"/>
                <w:sz w:val="28"/>
                <w:szCs w:val="28"/>
                <w:highlight w:val="none"/>
              </w:rPr>
              <w:t>称</w:t>
            </w:r>
          </w:p>
        </w:tc>
        <w:tc>
          <w:tcPr>
            <w:tcW w:w="1418" w:type="dxa"/>
            <w:noWrap w:val="0"/>
            <w:vAlign w:val="center"/>
          </w:tcPr>
          <w:p w14:paraId="7198705C">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姓名</w:t>
            </w:r>
          </w:p>
        </w:tc>
        <w:tc>
          <w:tcPr>
            <w:tcW w:w="1134" w:type="dxa"/>
            <w:noWrap w:val="0"/>
            <w:vAlign w:val="center"/>
          </w:tcPr>
          <w:p w14:paraId="07791B09">
            <w:pPr>
              <w:pStyle w:val="91"/>
              <w:keepNext/>
              <w:spacing w:after="0" w:line="440" w:lineRule="exact"/>
              <w:ind w:left="63" w:right="63"/>
              <w:rPr>
                <w:rStyle w:val="19"/>
                <w:rFonts w:ascii="宋体" w:hAnsi="宋体" w:eastAsia="宋体" w:cs="Times New Roman"/>
                <w:sz w:val="30"/>
                <w:szCs w:val="30"/>
                <w:highlight w:val="none"/>
              </w:rPr>
            </w:pPr>
            <w:r>
              <w:rPr>
                <w:rStyle w:val="19"/>
                <w:rFonts w:hint="eastAsia" w:ascii="宋体" w:hAnsi="宋体" w:eastAsia="宋体" w:cs="仿宋_GB2312"/>
                <w:sz w:val="30"/>
                <w:szCs w:val="30"/>
                <w:highlight w:val="none"/>
              </w:rPr>
              <w:t>职务</w:t>
            </w:r>
          </w:p>
        </w:tc>
        <w:tc>
          <w:tcPr>
            <w:tcW w:w="1134" w:type="dxa"/>
            <w:noWrap w:val="0"/>
            <w:vAlign w:val="center"/>
          </w:tcPr>
          <w:p w14:paraId="648CB77A">
            <w:pPr>
              <w:pStyle w:val="91"/>
              <w:keepNext/>
              <w:spacing w:after="0" w:line="440" w:lineRule="exact"/>
              <w:ind w:left="63" w:right="63"/>
              <w:rPr>
                <w:rStyle w:val="19"/>
                <w:rFonts w:ascii="宋体" w:hAnsi="宋体" w:eastAsia="宋体" w:cs="Times New Roman"/>
                <w:sz w:val="30"/>
                <w:szCs w:val="30"/>
                <w:highlight w:val="none"/>
              </w:rPr>
            </w:pPr>
            <w:r>
              <w:rPr>
                <w:rStyle w:val="19"/>
                <w:rFonts w:hint="eastAsia" w:ascii="宋体" w:hAnsi="宋体" w:eastAsia="宋体" w:cs="仿宋_GB2312"/>
                <w:sz w:val="30"/>
                <w:szCs w:val="30"/>
                <w:highlight w:val="none"/>
              </w:rPr>
              <w:t>职称</w:t>
            </w:r>
          </w:p>
        </w:tc>
        <w:tc>
          <w:tcPr>
            <w:tcW w:w="4252" w:type="dxa"/>
            <w:noWrap w:val="0"/>
            <w:vAlign w:val="center"/>
          </w:tcPr>
          <w:p w14:paraId="1A785A0F">
            <w:pPr>
              <w:pStyle w:val="91"/>
              <w:keepNext/>
              <w:spacing w:after="0" w:line="440" w:lineRule="exact"/>
              <w:ind w:left="63" w:right="63"/>
              <w:rPr>
                <w:rStyle w:val="19"/>
                <w:rFonts w:ascii="宋体" w:hAnsi="宋体" w:eastAsia="宋体" w:cs="Times New Roman"/>
                <w:sz w:val="30"/>
                <w:szCs w:val="30"/>
                <w:highlight w:val="none"/>
              </w:rPr>
            </w:pPr>
            <w:r>
              <w:rPr>
                <w:rStyle w:val="19"/>
                <w:rFonts w:hint="eastAsia" w:ascii="宋体" w:hAnsi="宋体" w:eastAsia="宋体" w:cs="仿宋_GB2312"/>
                <w:sz w:val="30"/>
                <w:szCs w:val="30"/>
                <w:highlight w:val="none"/>
              </w:rPr>
              <w:t>主要资历、经验及承担过的项目</w:t>
            </w:r>
          </w:p>
        </w:tc>
      </w:tr>
      <w:tr w14:paraId="455D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77C7ACAD">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一、总部人员</w:t>
            </w:r>
          </w:p>
        </w:tc>
      </w:tr>
      <w:tr w14:paraId="0AF8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DBEE47E">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项目主管</w:t>
            </w:r>
          </w:p>
        </w:tc>
        <w:tc>
          <w:tcPr>
            <w:tcW w:w="1418" w:type="dxa"/>
            <w:noWrap w:val="0"/>
            <w:vAlign w:val="center"/>
          </w:tcPr>
          <w:p w14:paraId="50085A55">
            <w:pPr>
              <w:keepNext/>
              <w:spacing w:after="0" w:line="440" w:lineRule="exact"/>
              <w:ind w:left="63" w:right="63"/>
              <w:jc w:val="center"/>
              <w:rPr>
                <w:rStyle w:val="19"/>
                <w:rFonts w:hint="eastAsia" w:ascii="宋体" w:hAnsi="宋体" w:eastAsia="宋体" w:cs="Times New Roman"/>
                <w:sz w:val="28"/>
                <w:szCs w:val="28"/>
                <w:highlight w:val="none"/>
                <w:lang w:val="en-US" w:eastAsia="zh-CN"/>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79742BC3">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5D0DBE8C">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65D58DAB">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0605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3F51FFF">
            <w:pPr>
              <w:pStyle w:val="91"/>
              <w:keepNext/>
              <w:spacing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其他人员</w:t>
            </w:r>
          </w:p>
        </w:tc>
        <w:tc>
          <w:tcPr>
            <w:tcW w:w="1418" w:type="dxa"/>
            <w:noWrap w:val="0"/>
            <w:vAlign w:val="center"/>
          </w:tcPr>
          <w:p w14:paraId="7337A926">
            <w:pPr>
              <w:keepNext/>
              <w:spacing w:after="0" w:line="440" w:lineRule="exact"/>
              <w:ind w:left="63" w:right="63"/>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16CB6AE0">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5E80AA34">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7A271313">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4386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26583F7">
            <w:pPr>
              <w:pStyle w:val="91"/>
              <w:keepNext/>
              <w:spacing w:after="0" w:line="440" w:lineRule="exact"/>
              <w:ind w:left="63" w:right="63"/>
              <w:rPr>
                <w:rStyle w:val="19"/>
                <w:rFonts w:ascii="宋体" w:hAnsi="宋体" w:eastAsia="宋体" w:cs="Times New Roman"/>
                <w:sz w:val="28"/>
                <w:szCs w:val="28"/>
                <w:highlight w:val="none"/>
              </w:rPr>
            </w:pPr>
          </w:p>
        </w:tc>
        <w:tc>
          <w:tcPr>
            <w:tcW w:w="1418" w:type="dxa"/>
            <w:noWrap w:val="0"/>
            <w:vAlign w:val="center"/>
          </w:tcPr>
          <w:p w14:paraId="1B0FC06B">
            <w:pPr>
              <w:keepNext/>
              <w:spacing w:after="0" w:line="440" w:lineRule="exact"/>
              <w:ind w:left="63" w:right="63"/>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6E693734">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60EA0F12">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0CD9CF22">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685B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A70D6D9">
            <w:pPr>
              <w:pStyle w:val="91"/>
              <w:keepNext/>
              <w:spacing w:after="0" w:line="440" w:lineRule="exact"/>
              <w:ind w:left="63" w:right="63"/>
              <w:rPr>
                <w:rStyle w:val="19"/>
                <w:rFonts w:ascii="宋体" w:hAnsi="宋体" w:eastAsia="宋体" w:cs="Times New Roman"/>
                <w:sz w:val="28"/>
                <w:szCs w:val="28"/>
                <w:highlight w:val="none"/>
              </w:rPr>
            </w:pPr>
          </w:p>
        </w:tc>
        <w:tc>
          <w:tcPr>
            <w:tcW w:w="1418" w:type="dxa"/>
            <w:noWrap w:val="0"/>
            <w:vAlign w:val="center"/>
          </w:tcPr>
          <w:p w14:paraId="03F19455">
            <w:pPr>
              <w:keepNext/>
              <w:spacing w:after="0" w:line="440" w:lineRule="exact"/>
              <w:ind w:left="63" w:right="63"/>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3004DF48">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029D5A0A">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7DC6BA09">
            <w:pPr>
              <w:keepNext/>
              <w:spacing w:after="0" w:line="440" w:lineRule="exact"/>
              <w:ind w:left="63" w:right="63"/>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5671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656DC7F0">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二、现场人员</w:t>
            </w:r>
          </w:p>
        </w:tc>
      </w:tr>
      <w:tr w14:paraId="433C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1B75975">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项目经理</w:t>
            </w:r>
          </w:p>
        </w:tc>
        <w:tc>
          <w:tcPr>
            <w:tcW w:w="1418" w:type="dxa"/>
            <w:noWrap w:val="0"/>
            <w:vAlign w:val="center"/>
          </w:tcPr>
          <w:p w14:paraId="260105EC">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71468140">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4A4AE21E">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143FA4D6">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0211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E35AC8E">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项目副经理</w:t>
            </w:r>
          </w:p>
        </w:tc>
        <w:tc>
          <w:tcPr>
            <w:tcW w:w="1418" w:type="dxa"/>
            <w:noWrap w:val="0"/>
            <w:vAlign w:val="center"/>
          </w:tcPr>
          <w:p w14:paraId="05ECBA4B">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5C2728AA">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59942DEE">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7E50D7F5">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6432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25A9DC7">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技术负责人</w:t>
            </w:r>
          </w:p>
        </w:tc>
        <w:tc>
          <w:tcPr>
            <w:tcW w:w="1418" w:type="dxa"/>
            <w:noWrap w:val="0"/>
            <w:vAlign w:val="center"/>
          </w:tcPr>
          <w:p w14:paraId="5E22DD0B">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7347B79F">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06742F67">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7021C805">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558E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A3E73F3">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造价管理</w:t>
            </w:r>
          </w:p>
        </w:tc>
        <w:tc>
          <w:tcPr>
            <w:tcW w:w="1418" w:type="dxa"/>
            <w:noWrap w:val="0"/>
            <w:vAlign w:val="center"/>
          </w:tcPr>
          <w:p w14:paraId="6867FAD6">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0790BFFF">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7A6A1F6E">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77986A6D">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5FAB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F03B288">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质量管理</w:t>
            </w:r>
          </w:p>
        </w:tc>
        <w:tc>
          <w:tcPr>
            <w:tcW w:w="1418" w:type="dxa"/>
            <w:noWrap w:val="0"/>
            <w:vAlign w:val="center"/>
          </w:tcPr>
          <w:p w14:paraId="1AC51E4F">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7F787365">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49859386">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1AAE1698">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68E6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57EC6E6">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材料管理</w:t>
            </w:r>
          </w:p>
        </w:tc>
        <w:tc>
          <w:tcPr>
            <w:tcW w:w="1418" w:type="dxa"/>
            <w:noWrap w:val="0"/>
            <w:vAlign w:val="center"/>
          </w:tcPr>
          <w:p w14:paraId="06F6B5A6">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261C4F41">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5AE0C82D">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67ED732F">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1034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E91879F">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计划管理</w:t>
            </w:r>
          </w:p>
        </w:tc>
        <w:tc>
          <w:tcPr>
            <w:tcW w:w="1418" w:type="dxa"/>
            <w:noWrap w:val="0"/>
            <w:vAlign w:val="center"/>
          </w:tcPr>
          <w:p w14:paraId="0C4F8198">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3AC85D9E">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61CC12A2">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24CB4D3F">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40EB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2854950">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安全管理</w:t>
            </w:r>
          </w:p>
        </w:tc>
        <w:tc>
          <w:tcPr>
            <w:tcW w:w="1418" w:type="dxa"/>
            <w:noWrap w:val="0"/>
            <w:vAlign w:val="center"/>
          </w:tcPr>
          <w:p w14:paraId="6916E64B">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1E74B2FB">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7DFFE66C">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125581CA">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27A4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3E4E43E">
            <w:pPr>
              <w:pStyle w:val="91"/>
              <w:keepNext/>
              <w:spacing w:after="0" w:line="440" w:lineRule="exact"/>
              <w:ind w:left="63" w:right="63"/>
              <w:rPr>
                <w:rStyle w:val="19"/>
                <w:rFonts w:ascii="宋体" w:hAnsi="宋体" w:eastAsia="宋体" w:cs="Times New Roman"/>
                <w:sz w:val="28"/>
                <w:szCs w:val="28"/>
                <w:highlight w:val="none"/>
              </w:rPr>
            </w:pPr>
            <w:r>
              <w:rPr>
                <w:rStyle w:val="19"/>
                <w:rFonts w:hint="eastAsia" w:ascii="宋体" w:hAnsi="宋体" w:eastAsia="宋体" w:cs="仿宋_GB2312"/>
                <w:sz w:val="28"/>
                <w:szCs w:val="28"/>
                <w:highlight w:val="none"/>
              </w:rPr>
              <w:t>其他人员</w:t>
            </w:r>
          </w:p>
        </w:tc>
        <w:tc>
          <w:tcPr>
            <w:tcW w:w="1418" w:type="dxa"/>
            <w:noWrap w:val="0"/>
            <w:vAlign w:val="center"/>
          </w:tcPr>
          <w:p w14:paraId="2D181D1A">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14C309BA">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554A2FAC">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4D3500B3">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3E242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54CDD9D">
            <w:pPr>
              <w:pStyle w:val="91"/>
              <w:keepNext/>
              <w:spacing w:after="0" w:line="440" w:lineRule="exact"/>
              <w:ind w:left="63" w:right="63"/>
              <w:rPr>
                <w:rStyle w:val="19"/>
                <w:rFonts w:ascii="宋体" w:hAnsi="宋体" w:eastAsia="宋体" w:cs="Times New Roman"/>
                <w:sz w:val="28"/>
                <w:szCs w:val="28"/>
                <w:highlight w:val="none"/>
              </w:rPr>
            </w:pPr>
          </w:p>
        </w:tc>
        <w:tc>
          <w:tcPr>
            <w:tcW w:w="1418" w:type="dxa"/>
            <w:noWrap w:val="0"/>
            <w:vAlign w:val="center"/>
          </w:tcPr>
          <w:p w14:paraId="041558F1">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7900AD6A">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7464A8FD">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3EFF5D57">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507F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150E674">
            <w:pPr>
              <w:pStyle w:val="91"/>
              <w:keepNext/>
              <w:spacing w:after="0" w:line="440" w:lineRule="exact"/>
              <w:ind w:left="63" w:right="63"/>
              <w:rPr>
                <w:rStyle w:val="19"/>
                <w:rFonts w:ascii="宋体" w:hAnsi="宋体" w:eastAsia="宋体" w:cs="Times New Roman"/>
                <w:sz w:val="28"/>
                <w:szCs w:val="28"/>
                <w:highlight w:val="none"/>
              </w:rPr>
            </w:pPr>
          </w:p>
        </w:tc>
        <w:tc>
          <w:tcPr>
            <w:tcW w:w="1418" w:type="dxa"/>
            <w:noWrap w:val="0"/>
            <w:vAlign w:val="center"/>
          </w:tcPr>
          <w:p w14:paraId="1EF02D12">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5A87B813">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1F0E1086">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4EF19F7D">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0E82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10BDC69">
            <w:pPr>
              <w:pStyle w:val="91"/>
              <w:keepNext/>
              <w:spacing w:after="0" w:line="440" w:lineRule="exact"/>
              <w:ind w:left="63" w:right="63"/>
              <w:rPr>
                <w:rStyle w:val="19"/>
                <w:rFonts w:ascii="宋体" w:hAnsi="宋体" w:eastAsia="宋体" w:cs="Times New Roman"/>
                <w:sz w:val="28"/>
                <w:szCs w:val="28"/>
                <w:highlight w:val="none"/>
              </w:rPr>
            </w:pPr>
          </w:p>
        </w:tc>
        <w:tc>
          <w:tcPr>
            <w:tcW w:w="1418" w:type="dxa"/>
            <w:noWrap w:val="0"/>
            <w:vAlign w:val="center"/>
          </w:tcPr>
          <w:p w14:paraId="2E62CAC4">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60F73F1A">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737E56B8">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4A61CEBA">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32DA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DEC0A96">
            <w:pPr>
              <w:pStyle w:val="91"/>
              <w:keepNext/>
              <w:spacing w:after="0" w:line="440" w:lineRule="exact"/>
              <w:ind w:left="63" w:right="63"/>
              <w:rPr>
                <w:rStyle w:val="19"/>
                <w:rFonts w:ascii="宋体" w:hAnsi="宋体" w:eastAsia="宋体" w:cs="Times New Roman"/>
                <w:sz w:val="28"/>
                <w:szCs w:val="28"/>
                <w:highlight w:val="none"/>
              </w:rPr>
            </w:pPr>
          </w:p>
        </w:tc>
        <w:tc>
          <w:tcPr>
            <w:tcW w:w="1418" w:type="dxa"/>
            <w:noWrap w:val="0"/>
            <w:vAlign w:val="center"/>
          </w:tcPr>
          <w:p w14:paraId="23BABC9D">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7336C995">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3880DFD6">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72670D19">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r w14:paraId="5FF4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410BFEC">
            <w:pPr>
              <w:pStyle w:val="91"/>
              <w:keepNext/>
              <w:spacing w:after="0" w:line="440" w:lineRule="exact"/>
              <w:ind w:left="63" w:right="63"/>
              <w:rPr>
                <w:rStyle w:val="19"/>
                <w:rFonts w:ascii="宋体" w:hAnsi="宋体" w:eastAsia="宋体" w:cs="Times New Roman"/>
                <w:sz w:val="28"/>
                <w:szCs w:val="28"/>
                <w:highlight w:val="none"/>
              </w:rPr>
            </w:pPr>
          </w:p>
        </w:tc>
        <w:tc>
          <w:tcPr>
            <w:tcW w:w="1418" w:type="dxa"/>
            <w:noWrap w:val="0"/>
            <w:vAlign w:val="center"/>
          </w:tcPr>
          <w:p w14:paraId="4EA36D5A">
            <w:pPr>
              <w:keepNext/>
              <w:spacing w:after="0" w:line="440" w:lineRule="exact"/>
              <w:ind w:left="63" w:leftChars="0" w:right="63" w:rightChars="0"/>
              <w:jc w:val="center"/>
              <w:rPr>
                <w:rStyle w:val="19"/>
                <w:rFonts w:ascii="宋体" w:hAnsi="宋体" w:eastAsia="宋体" w:cs="Times New Roman"/>
                <w:sz w:val="28"/>
                <w:szCs w:val="28"/>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377679A9">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1134" w:type="dxa"/>
            <w:noWrap w:val="0"/>
            <w:vAlign w:val="center"/>
          </w:tcPr>
          <w:p w14:paraId="3703C8D6">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c>
          <w:tcPr>
            <w:tcW w:w="4252" w:type="dxa"/>
            <w:noWrap w:val="0"/>
            <w:vAlign w:val="center"/>
          </w:tcPr>
          <w:p w14:paraId="27320955">
            <w:pPr>
              <w:keepNext/>
              <w:spacing w:after="0" w:line="440" w:lineRule="exact"/>
              <w:ind w:left="63" w:leftChars="0" w:right="63" w:rightChars="0"/>
              <w:jc w:val="center"/>
              <w:rPr>
                <w:rStyle w:val="19"/>
                <w:rFonts w:ascii="宋体" w:hAnsi="宋体" w:eastAsia="宋体" w:cs="Times New Roman"/>
                <w:sz w:val="30"/>
                <w:szCs w:val="30"/>
                <w:highlight w:val="none"/>
              </w:rPr>
            </w:pPr>
            <w:r>
              <w:rPr>
                <w:rStyle w:val="19"/>
                <w:rFonts w:hint="eastAsia" w:ascii="宋体" w:hAnsi="宋体" w:eastAsia="宋体" w:cs="Times New Roman"/>
                <w:sz w:val="28"/>
                <w:szCs w:val="28"/>
                <w:highlight w:val="none"/>
                <w:lang w:val="en-US" w:eastAsia="zh-CN"/>
              </w:rPr>
              <w:t>/</w:t>
            </w:r>
          </w:p>
        </w:tc>
      </w:tr>
    </w:tbl>
    <w:p w14:paraId="3D66BBEF">
      <w:pPr>
        <w:pStyle w:val="32"/>
        <w:spacing w:line="360" w:lineRule="auto"/>
        <w:jc w:val="left"/>
        <w:rPr>
          <w:rStyle w:val="19"/>
          <w:rFonts w:hint="eastAsia" w:ascii="宋体" w:hAnsi="宋体" w:eastAsia="宋体" w:cs="黑体"/>
          <w:sz w:val="32"/>
          <w:szCs w:val="32"/>
          <w:highlight w:val="none"/>
        </w:rPr>
      </w:pPr>
      <w:r>
        <w:rPr>
          <w:rStyle w:val="19"/>
          <w:rFonts w:ascii="宋体" w:hAnsi="宋体" w:eastAsia="宋体" w:cs="Times New Roman"/>
          <w:sz w:val="30"/>
          <w:szCs w:val="30"/>
          <w:highlight w:val="none"/>
        </w:rPr>
        <w:br w:type="page"/>
      </w:r>
      <w:bookmarkStart w:id="1459" w:name="_Toc267261701"/>
      <w:r>
        <w:rPr>
          <w:rStyle w:val="19"/>
          <w:rFonts w:hint="eastAsia" w:ascii="宋体" w:hAnsi="宋体" w:eastAsia="宋体" w:cs="黑体"/>
          <w:sz w:val="32"/>
          <w:szCs w:val="32"/>
          <w:highlight w:val="none"/>
        </w:rPr>
        <w:t>附件7</w:t>
      </w:r>
    </w:p>
    <w:p w14:paraId="41007DCE">
      <w:pPr>
        <w:pStyle w:val="32"/>
        <w:spacing w:line="360" w:lineRule="auto"/>
        <w:jc w:val="left"/>
        <w:rPr>
          <w:rStyle w:val="19"/>
          <w:rFonts w:ascii="宋体" w:hAnsi="宋体" w:eastAsia="宋体" w:cs="黑体"/>
          <w:b/>
          <w:bCs/>
          <w:sz w:val="32"/>
          <w:szCs w:val="32"/>
          <w:highlight w:val="none"/>
        </w:rPr>
      </w:pPr>
    </w:p>
    <w:p w14:paraId="1FF32108">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履约保函示范文本</w:t>
      </w:r>
    </w:p>
    <w:p w14:paraId="7FBD5872">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（独立保函）</w:t>
      </w:r>
    </w:p>
    <w:p w14:paraId="6164AADC">
      <w:pPr>
        <w:pStyle w:val="32"/>
        <w:wordWrap w:val="0"/>
        <w:spacing w:line="360" w:lineRule="auto"/>
        <w:jc w:val="right"/>
        <w:rPr>
          <w:rStyle w:val="19"/>
          <w:rFonts w:ascii="宋体" w:hAnsi="宋体" w:eastAsia="宋体" w:cs="Times New Roman"/>
          <w:highlight w:val="none"/>
        </w:rPr>
      </w:pPr>
      <w:r>
        <w:rPr>
          <w:rStyle w:val="19"/>
          <w:rFonts w:hint="eastAsia" w:ascii="宋体" w:hAnsi="宋体" w:eastAsia="宋体" w:cs="Times New Roman"/>
          <w:highlight w:val="none"/>
        </w:rPr>
        <w:t xml:space="preserve">编号： </w:t>
      </w:r>
      <w:r>
        <w:rPr>
          <w:rStyle w:val="19"/>
          <w:rFonts w:ascii="宋体" w:hAnsi="宋体" w:eastAsia="宋体" w:cs="Times New Roman"/>
          <w:highlight w:val="none"/>
        </w:rPr>
        <w:t xml:space="preserve">          </w:t>
      </w:r>
    </w:p>
    <w:p w14:paraId="2068B457">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申请人：</w:t>
      </w:r>
    </w:p>
    <w:p w14:paraId="1A533126">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  地址</w:t>
      </w:r>
      <w:r>
        <w:rPr>
          <w:rStyle w:val="19"/>
          <w:rFonts w:ascii="宋体" w:hAnsi="宋体" w:eastAsia="宋体" w:cs="Times New Roman"/>
          <w:sz w:val="24"/>
          <w:szCs w:val="24"/>
          <w:highlight w:val="none"/>
        </w:rPr>
        <w:t>：</w:t>
      </w:r>
    </w:p>
    <w:p w14:paraId="2D4E0720">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受益人：</w:t>
      </w:r>
    </w:p>
    <w:p w14:paraId="68D615AE">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  地址：</w:t>
      </w:r>
    </w:p>
    <w:p w14:paraId="2648A507">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开立人：</w:t>
      </w:r>
    </w:p>
    <w:p w14:paraId="5800658D">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地址：</w:t>
      </w:r>
    </w:p>
    <w:p w14:paraId="71B01328">
      <w:pPr>
        <w:pStyle w:val="32"/>
        <w:spacing w:line="360" w:lineRule="auto"/>
        <w:rPr>
          <w:rStyle w:val="19"/>
          <w:rFonts w:ascii="宋体" w:hAnsi="宋体" w:eastAsia="宋体" w:cs="Times New Roman"/>
          <w:sz w:val="24"/>
          <w:szCs w:val="24"/>
          <w:highlight w:val="none"/>
        </w:rPr>
      </w:pPr>
      <w:r>
        <w:rPr>
          <w:rStyle w:val="19"/>
          <w:rFonts w:ascii="宋体" w:hAnsi="宋体" w:eastAsia="宋体" w:cs="Times New Roman"/>
          <w:sz w:val="24"/>
          <w:szCs w:val="24"/>
          <w:highlight w:val="none"/>
        </w:rPr>
        <w:t xml:space="preserve"> </w:t>
      </w:r>
    </w:p>
    <w:p w14:paraId="4AC0E390">
      <w:pPr>
        <w:pStyle w:val="32"/>
        <w:spacing w:line="360" w:lineRule="auto"/>
        <w:rPr>
          <w:rStyle w:val="19"/>
          <w:rFonts w:ascii="宋体" w:hAnsi="宋体" w:eastAsia="宋体" w:cs="Times New Roman"/>
          <w:sz w:val="24"/>
          <w:szCs w:val="24"/>
          <w:highlight w:val="none"/>
        </w:rPr>
      </w:pP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受益人</w:t>
      </w:r>
      <w:r>
        <w:rPr>
          <w:rStyle w:val="19"/>
          <w:rFonts w:ascii="宋体" w:hAnsi="宋体" w:eastAsia="宋体" w:cs="Times New Roman"/>
          <w:sz w:val="24"/>
          <w:szCs w:val="24"/>
          <w:highlight w:val="none"/>
        </w:rPr>
        <w:t xml:space="preserve">名称）： </w:t>
      </w:r>
    </w:p>
    <w:p w14:paraId="23884C67">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鉴于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受益人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与</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申请人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于</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日就</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工程（以下简称“本工程”）施工和有关事项协商一致共同签订</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u w:val="single"/>
        </w:rPr>
        <w:t>》</w:t>
      </w:r>
      <w:r>
        <w:rPr>
          <w:rStyle w:val="19"/>
          <w:rFonts w:hint="eastAsia" w:ascii="宋体" w:hAnsi="宋体" w:eastAsia="宋体" w:cs="Times New Roman"/>
          <w:sz w:val="24"/>
          <w:szCs w:val="24"/>
          <w:highlight w:val="none"/>
        </w:rPr>
        <w:t>（以下简称“基础合同”），我方（即“开立人”）根据基础合同了解到申请人为基础合同项下之承包人，受益人为基础合同项下之发包人，基于申请人</w:t>
      </w:r>
      <w:r>
        <w:rPr>
          <w:rStyle w:val="19"/>
          <w:rFonts w:ascii="宋体" w:hAnsi="宋体" w:eastAsia="宋体" w:cs="Times New Roman"/>
          <w:sz w:val="24"/>
          <w:szCs w:val="24"/>
          <w:highlight w:val="none"/>
        </w:rPr>
        <w:t>的请求，我方同意就</w:t>
      </w:r>
      <w:r>
        <w:rPr>
          <w:rStyle w:val="19"/>
          <w:rFonts w:hint="eastAsia" w:ascii="宋体" w:hAnsi="宋体" w:eastAsia="宋体" w:cs="Times New Roman"/>
          <w:sz w:val="24"/>
          <w:szCs w:val="24"/>
          <w:highlight w:val="none"/>
        </w:rPr>
        <w:t>申请人</w:t>
      </w:r>
      <w:r>
        <w:rPr>
          <w:rStyle w:val="19"/>
          <w:rFonts w:ascii="宋体" w:hAnsi="宋体" w:eastAsia="宋体" w:cs="Times New Roman"/>
          <w:sz w:val="24"/>
          <w:szCs w:val="24"/>
          <w:highlight w:val="none"/>
        </w:rPr>
        <w:t>履行</w:t>
      </w:r>
      <w:r>
        <w:rPr>
          <w:rStyle w:val="19"/>
          <w:rFonts w:hint="eastAsia" w:ascii="宋体" w:hAnsi="宋体" w:eastAsia="宋体" w:cs="Times New Roman"/>
          <w:sz w:val="24"/>
          <w:szCs w:val="24"/>
          <w:highlight w:val="none"/>
        </w:rPr>
        <w:t>与贵方签订的基础合同</w:t>
      </w:r>
      <w:r>
        <w:rPr>
          <w:rStyle w:val="19"/>
          <w:rFonts w:ascii="宋体" w:hAnsi="宋体" w:eastAsia="宋体" w:cs="Times New Roman"/>
          <w:sz w:val="24"/>
          <w:szCs w:val="24"/>
          <w:highlight w:val="none"/>
        </w:rPr>
        <w:t>项下的义务</w:t>
      </w:r>
      <w:r>
        <w:rPr>
          <w:rStyle w:val="19"/>
          <w:rFonts w:hint="eastAsia" w:ascii="宋体" w:hAnsi="宋体" w:eastAsia="宋体" w:cs="Times New Roman"/>
          <w:sz w:val="24"/>
          <w:szCs w:val="24"/>
          <w:highlight w:val="none"/>
        </w:rPr>
        <w:t>，</w:t>
      </w:r>
      <w:r>
        <w:rPr>
          <w:rStyle w:val="19"/>
          <w:rFonts w:ascii="宋体" w:hAnsi="宋体" w:eastAsia="宋体" w:cs="Times New Roman"/>
          <w:sz w:val="24"/>
          <w:szCs w:val="24"/>
          <w:highlight w:val="none"/>
        </w:rPr>
        <w:t>向贵方提供不可撤销、</w:t>
      </w:r>
      <w:r>
        <w:rPr>
          <w:rStyle w:val="19"/>
          <w:rFonts w:hint="eastAsia" w:ascii="宋体" w:hAnsi="宋体" w:eastAsia="宋体" w:cs="Times New Roman"/>
          <w:sz w:val="24"/>
          <w:szCs w:val="24"/>
          <w:highlight w:val="none"/>
        </w:rPr>
        <w:t>不可转让的见索即付</w:t>
      </w:r>
      <w:r>
        <w:rPr>
          <w:rStyle w:val="19"/>
          <w:rFonts w:ascii="宋体" w:hAnsi="宋体" w:eastAsia="宋体" w:cs="Times New Roman"/>
          <w:sz w:val="24"/>
          <w:szCs w:val="24"/>
          <w:highlight w:val="none"/>
        </w:rPr>
        <w:t>独立</w:t>
      </w:r>
      <w:r>
        <w:rPr>
          <w:rStyle w:val="19"/>
          <w:rFonts w:hint="eastAsia" w:ascii="宋体" w:hAnsi="宋体" w:eastAsia="宋体" w:cs="Times New Roman"/>
          <w:sz w:val="24"/>
          <w:szCs w:val="24"/>
          <w:highlight w:val="none"/>
        </w:rPr>
        <w:t>保函（以下简称“本保函”）</w:t>
      </w:r>
      <w:r>
        <w:rPr>
          <w:rStyle w:val="19"/>
          <w:rFonts w:ascii="宋体" w:hAnsi="宋体" w:eastAsia="宋体" w:cs="Times New Roman"/>
          <w:sz w:val="24"/>
          <w:szCs w:val="24"/>
          <w:highlight w:val="none"/>
        </w:rPr>
        <w:t xml:space="preserve">。 </w:t>
      </w:r>
    </w:p>
    <w:p w14:paraId="482C96A6">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一、本保函担保范围：保证担保范围：承包人未按照主合同的约定履行义务，应当向贵方承担的违约责任和赔偿因此造成的损失、利息、律师费、诉讼费用等实现债权的费用。</w:t>
      </w:r>
    </w:p>
    <w:p w14:paraId="7365FE59">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二、本保函担保金额最高不超过</w:t>
      </w:r>
      <w:r>
        <w:rPr>
          <w:rStyle w:val="19"/>
          <w:rFonts w:ascii="宋体" w:hAnsi="宋体" w:eastAsia="宋体" w:cs="Times New Roman"/>
          <w:sz w:val="24"/>
          <w:szCs w:val="24"/>
          <w:highlight w:val="none"/>
        </w:rPr>
        <w:t>人民币（大写）</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元（¥</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 xml:space="preserve">）。 </w:t>
      </w:r>
    </w:p>
    <w:p w14:paraId="471AD9B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三、本保函</w:t>
      </w:r>
      <w:r>
        <w:rPr>
          <w:rStyle w:val="19"/>
          <w:rFonts w:ascii="宋体" w:hAnsi="宋体" w:eastAsia="宋体" w:cs="Times New Roman"/>
          <w:sz w:val="24"/>
          <w:szCs w:val="24"/>
          <w:highlight w:val="none"/>
        </w:rPr>
        <w:t>有效期自</w:t>
      </w:r>
      <w:r>
        <w:rPr>
          <w:rStyle w:val="19"/>
          <w:rFonts w:hint="eastAsia" w:ascii="宋体" w:hAnsi="宋体" w:eastAsia="宋体" w:cs="Times New Roman"/>
          <w:sz w:val="24"/>
          <w:szCs w:val="24"/>
          <w:highlight w:val="none"/>
        </w:rPr>
        <w:t>开立之日起</w:t>
      </w:r>
      <w:r>
        <w:rPr>
          <w:rStyle w:val="19"/>
          <w:rFonts w:ascii="宋体" w:hAnsi="宋体" w:eastAsia="宋体" w:cs="Times New Roman"/>
          <w:sz w:val="24"/>
          <w:szCs w:val="24"/>
          <w:highlight w:val="none"/>
        </w:rPr>
        <w:t>至</w:t>
      </w:r>
      <w:r>
        <w:rPr>
          <w:rStyle w:val="19"/>
          <w:rFonts w:hint="eastAsia" w:ascii="宋体" w:hAnsi="宋体" w:eastAsia="宋体" w:cs="Times New Roman"/>
          <w:sz w:val="24"/>
          <w:szCs w:val="24"/>
          <w:highlight w:val="none"/>
        </w:rPr>
        <w:t>基础合同约定的缺陷责任期</w:t>
      </w:r>
      <w:r>
        <w:rPr>
          <w:rStyle w:val="19"/>
          <w:rFonts w:ascii="宋体" w:hAnsi="宋体" w:eastAsia="宋体" w:cs="Times New Roman"/>
          <w:sz w:val="24"/>
          <w:szCs w:val="24"/>
          <w:highlight w:val="none"/>
        </w:rPr>
        <w:t>后</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日止，最迟不超过</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w:t>
      </w:r>
      <w:r>
        <w:rPr>
          <w:rStyle w:val="19"/>
          <w:rFonts w:ascii="宋体" w:hAnsi="宋体" w:eastAsia="宋体" w:cs="Times New Roman"/>
          <w:sz w:val="24"/>
          <w:szCs w:val="24"/>
          <w:highlight w:val="none"/>
        </w:rPr>
        <w:t xml:space="preserve">。 </w:t>
      </w:r>
    </w:p>
    <w:p w14:paraId="7D9C82E3">
      <w:pPr>
        <w:pStyle w:val="32"/>
        <w:spacing w:line="360" w:lineRule="auto"/>
        <w:ind w:firstLine="48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四、我方承诺，在收到受益人发来的书面付款通知后的</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日内无条件支付，前述书面付款通知即为付款要求之单据，且应满足以下要求：</w:t>
      </w:r>
    </w:p>
    <w:p w14:paraId="0BB7EA5C">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（1）付款通知到达的日期在本保函的有效期内；</w:t>
      </w:r>
    </w:p>
    <w:p w14:paraId="62466A9E">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（2）载明要求支付的金额；</w:t>
      </w:r>
    </w:p>
    <w:p w14:paraId="312487D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（3）载明申请人违反合同义务的条款和内容；</w:t>
      </w:r>
    </w:p>
    <w:p w14:paraId="555370BA">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（4）声明不存在合同文件约定或我国法律规定免除申请人或开立人支付责任的情形；</w:t>
      </w:r>
    </w:p>
    <w:p w14:paraId="2E4D49AE">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（5）付款通知应在本保函有效期内到达的地址是：</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w:t>
      </w:r>
    </w:p>
    <w:p w14:paraId="6AF629D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受益人发出的书面付款通知应由其为鉴明受益人法定代表人（负责人）或授权代理人签字并加盖公章。</w:t>
      </w:r>
    </w:p>
    <w:p w14:paraId="332232EC">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五、</w:t>
      </w:r>
      <w:r>
        <w:rPr>
          <w:rStyle w:val="19"/>
          <w:rFonts w:ascii="宋体" w:hAnsi="宋体" w:eastAsia="宋体" w:cs="Times New Roman"/>
          <w:sz w:val="24"/>
          <w:szCs w:val="24"/>
          <w:highlight w:val="none"/>
        </w:rPr>
        <w:t>本保函项下的权利不得转让，不得设定担保。贵方未经我方书面同意转 让本保函或其项下任何权利，</w:t>
      </w:r>
      <w:r>
        <w:rPr>
          <w:rStyle w:val="19"/>
          <w:rFonts w:hint="eastAsia" w:ascii="宋体" w:hAnsi="宋体" w:eastAsia="宋体" w:cs="Times New Roman"/>
          <w:sz w:val="24"/>
          <w:szCs w:val="24"/>
          <w:highlight w:val="none"/>
        </w:rPr>
        <w:t>对我方不发生法律效力</w:t>
      </w:r>
      <w:r>
        <w:rPr>
          <w:rStyle w:val="19"/>
          <w:rFonts w:ascii="宋体" w:hAnsi="宋体" w:eastAsia="宋体" w:cs="Times New Roman"/>
          <w:sz w:val="24"/>
          <w:szCs w:val="24"/>
          <w:highlight w:val="none"/>
        </w:rPr>
        <w:t xml:space="preserve">。 </w:t>
      </w:r>
    </w:p>
    <w:p w14:paraId="3E9B8449">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六、与</w:t>
      </w:r>
      <w:r>
        <w:rPr>
          <w:rStyle w:val="19"/>
          <w:rFonts w:ascii="宋体" w:hAnsi="宋体" w:eastAsia="宋体" w:cs="Times New Roman"/>
          <w:sz w:val="24"/>
          <w:szCs w:val="24"/>
          <w:highlight w:val="none"/>
        </w:rPr>
        <w:t>本保函</w:t>
      </w:r>
      <w:r>
        <w:rPr>
          <w:rStyle w:val="19"/>
          <w:rFonts w:hint="eastAsia" w:ascii="宋体" w:hAnsi="宋体" w:eastAsia="宋体" w:cs="Times New Roman"/>
          <w:sz w:val="24"/>
          <w:szCs w:val="24"/>
          <w:highlight w:val="none"/>
        </w:rPr>
        <w:t>有关</w:t>
      </w:r>
      <w:r>
        <w:rPr>
          <w:rStyle w:val="19"/>
          <w:rFonts w:ascii="宋体" w:hAnsi="宋体" w:eastAsia="宋体" w:cs="Times New Roman"/>
          <w:sz w:val="24"/>
          <w:szCs w:val="24"/>
          <w:highlight w:val="none"/>
        </w:rPr>
        <w:t>的</w:t>
      </w:r>
      <w:r>
        <w:rPr>
          <w:rStyle w:val="19"/>
          <w:rFonts w:hint="eastAsia" w:ascii="宋体" w:hAnsi="宋体" w:eastAsia="宋体" w:cs="Times New Roman"/>
          <w:sz w:val="24"/>
          <w:szCs w:val="24"/>
          <w:highlight w:val="none"/>
        </w:rPr>
        <w:t>基础</w:t>
      </w:r>
      <w:r>
        <w:rPr>
          <w:rStyle w:val="19"/>
          <w:rFonts w:ascii="宋体" w:hAnsi="宋体" w:eastAsia="宋体" w:cs="Times New Roman"/>
          <w:sz w:val="24"/>
          <w:szCs w:val="24"/>
          <w:highlight w:val="none"/>
        </w:rPr>
        <w:t xml:space="preserve">合同不成立、不生效、无效、被撤销、被解除，不影响本保函的独立有效。 </w:t>
      </w:r>
    </w:p>
    <w:p w14:paraId="579CAFB5">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七、</w:t>
      </w:r>
      <w:r>
        <w:rPr>
          <w:rStyle w:val="19"/>
          <w:rFonts w:ascii="宋体" w:hAnsi="宋体" w:eastAsia="宋体" w:cs="Times New Roman"/>
          <w:sz w:val="24"/>
          <w:szCs w:val="24"/>
          <w:highlight w:val="none"/>
        </w:rPr>
        <w:t>贵方应在本保函到期后的七日内将本保函正本退回我方注销，但是不论贵方是否按此要求将本保函正本退回我方，我方在本保函项下的义务和责任均在保函</w:t>
      </w:r>
      <w:r>
        <w:rPr>
          <w:rStyle w:val="19"/>
          <w:rFonts w:hint="eastAsia" w:ascii="宋体" w:hAnsi="宋体" w:eastAsia="宋体" w:cs="Times New Roman"/>
          <w:sz w:val="24"/>
          <w:szCs w:val="24"/>
          <w:highlight w:val="none"/>
        </w:rPr>
        <w:t>有效期</w:t>
      </w:r>
      <w:r>
        <w:rPr>
          <w:rStyle w:val="19"/>
          <w:rFonts w:ascii="宋体" w:hAnsi="宋体" w:eastAsia="宋体" w:cs="Times New Roman"/>
          <w:sz w:val="24"/>
          <w:szCs w:val="24"/>
          <w:highlight w:val="none"/>
        </w:rPr>
        <w:t xml:space="preserve">到期后自动消灭。 </w:t>
      </w:r>
    </w:p>
    <w:p w14:paraId="21D0C086">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八、</w:t>
      </w:r>
      <w:r>
        <w:rPr>
          <w:rStyle w:val="19"/>
          <w:rFonts w:ascii="宋体" w:hAnsi="宋体" w:eastAsia="宋体" w:cs="Times New Roman"/>
          <w:sz w:val="24"/>
          <w:szCs w:val="24"/>
          <w:highlight w:val="none"/>
        </w:rPr>
        <w:t>本保函</w:t>
      </w:r>
      <w:r>
        <w:rPr>
          <w:rStyle w:val="19"/>
          <w:rFonts w:hint="eastAsia" w:ascii="宋体" w:hAnsi="宋体" w:eastAsia="宋体" w:cs="Times New Roman"/>
          <w:sz w:val="24"/>
          <w:szCs w:val="24"/>
          <w:highlight w:val="none"/>
        </w:rPr>
        <w:t>适用的法律为中华人民共和国法律，争议裁判管辖地为中华人民共和国</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 xml:space="preserve">。 </w:t>
      </w:r>
    </w:p>
    <w:p w14:paraId="40C1FB2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九、</w:t>
      </w:r>
      <w:r>
        <w:rPr>
          <w:rStyle w:val="19"/>
          <w:rFonts w:ascii="宋体" w:hAnsi="宋体" w:eastAsia="宋体" w:cs="Times New Roman"/>
          <w:sz w:val="24"/>
          <w:szCs w:val="24"/>
          <w:highlight w:val="none"/>
        </w:rPr>
        <w:t>本保函自我方法定代表人</w:t>
      </w:r>
      <w:r>
        <w:rPr>
          <w:rStyle w:val="19"/>
          <w:rFonts w:hint="eastAsia" w:ascii="宋体" w:hAnsi="宋体" w:eastAsia="宋体" w:cs="Times New Roman"/>
          <w:sz w:val="24"/>
          <w:szCs w:val="24"/>
          <w:highlight w:val="none"/>
        </w:rPr>
        <w:t>或授权代表</w:t>
      </w:r>
      <w:r>
        <w:rPr>
          <w:rStyle w:val="19"/>
          <w:rFonts w:ascii="宋体" w:hAnsi="宋体" w:eastAsia="宋体" w:cs="Times New Roman"/>
          <w:sz w:val="24"/>
          <w:szCs w:val="24"/>
          <w:highlight w:val="none"/>
        </w:rPr>
        <w:t>签字</w:t>
      </w:r>
      <w:r>
        <w:rPr>
          <w:rStyle w:val="19"/>
          <w:rFonts w:hint="eastAsia" w:ascii="宋体" w:hAnsi="宋体" w:eastAsia="宋体" w:cs="Times New Roman"/>
          <w:sz w:val="24"/>
          <w:szCs w:val="24"/>
          <w:highlight w:val="none"/>
        </w:rPr>
        <w:t>并</w:t>
      </w:r>
      <w:r>
        <w:rPr>
          <w:rStyle w:val="19"/>
          <w:rFonts w:ascii="宋体" w:hAnsi="宋体" w:eastAsia="宋体" w:cs="Times New Roman"/>
          <w:sz w:val="24"/>
          <w:szCs w:val="24"/>
          <w:highlight w:val="none"/>
        </w:rPr>
        <w:t xml:space="preserve">加盖公章之日起生效。 </w:t>
      </w:r>
    </w:p>
    <w:p w14:paraId="1B6454B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开 立 人</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 xml:space="preserve">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公</w:t>
      </w:r>
      <w:r>
        <w:rPr>
          <w:rStyle w:val="19"/>
          <w:rFonts w:ascii="宋体" w:hAnsi="宋体" w:eastAsia="宋体" w:cs="Times New Roman"/>
          <w:sz w:val="24"/>
          <w:szCs w:val="24"/>
          <w:highlight w:val="none"/>
        </w:rPr>
        <w:t xml:space="preserve">章） </w:t>
      </w:r>
    </w:p>
    <w:p w14:paraId="5EF00F29">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法定代表人（或授权代表）：</w:t>
      </w:r>
      <w:r>
        <w:rPr>
          <w:rStyle w:val="19"/>
          <w:rFonts w:ascii="宋体" w:hAnsi="宋体" w:eastAsia="宋体" w:cs="Times New Roman"/>
          <w:sz w:val="24"/>
          <w:szCs w:val="24"/>
          <w:highlight w:val="none"/>
        </w:rPr>
        <w:t xml:space="preserve">               （签字） </w:t>
      </w:r>
    </w:p>
    <w:p w14:paraId="09613990">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w:t>
      </w:r>
      <w:r>
        <w:rPr>
          <w:rStyle w:val="19"/>
          <w:rFonts w:ascii="宋体" w:hAnsi="宋体" w:eastAsia="宋体" w:cs="Times New Roman"/>
          <w:sz w:val="24"/>
          <w:szCs w:val="24"/>
          <w:highlight w:val="none"/>
        </w:rPr>
        <w:t xml:space="preserve">    址：                                       </w:t>
      </w:r>
    </w:p>
    <w:p w14:paraId="3B2EF810">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邮政编码：</w:t>
      </w:r>
      <w:r>
        <w:rPr>
          <w:rStyle w:val="19"/>
          <w:rFonts w:ascii="宋体" w:hAnsi="宋体" w:eastAsia="宋体" w:cs="Times New Roman"/>
          <w:sz w:val="24"/>
          <w:szCs w:val="24"/>
          <w:highlight w:val="none"/>
        </w:rPr>
        <w:t xml:space="preserve">                 </w:t>
      </w:r>
    </w:p>
    <w:p w14:paraId="4B3A85A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电</w:t>
      </w:r>
      <w:r>
        <w:rPr>
          <w:rStyle w:val="19"/>
          <w:rFonts w:ascii="宋体" w:hAnsi="宋体" w:eastAsia="宋体" w:cs="Times New Roman"/>
          <w:sz w:val="24"/>
          <w:szCs w:val="24"/>
          <w:highlight w:val="none"/>
        </w:rPr>
        <w:t xml:space="preserve">    话：                 </w:t>
      </w:r>
    </w:p>
    <w:p w14:paraId="3689349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传</w:t>
      </w:r>
      <w:r>
        <w:rPr>
          <w:rStyle w:val="19"/>
          <w:rFonts w:ascii="宋体" w:hAnsi="宋体" w:eastAsia="宋体" w:cs="Times New Roman"/>
          <w:sz w:val="24"/>
          <w:szCs w:val="24"/>
          <w:highlight w:val="none"/>
        </w:rPr>
        <w:t xml:space="preserve">    真：                 </w:t>
      </w:r>
    </w:p>
    <w:p w14:paraId="3782EF1D">
      <w:pPr>
        <w:pStyle w:val="32"/>
        <w:spacing w:line="360" w:lineRule="auto"/>
        <w:ind w:firstLine="480" w:firstLineChars="200"/>
        <w:rPr>
          <w:rStyle w:val="19"/>
          <w:rFonts w:ascii="宋体" w:hAnsi="宋体" w:eastAsia="宋体" w:cs="Times New Roman"/>
          <w:highlight w:val="none"/>
        </w:rPr>
      </w:pPr>
      <w:r>
        <w:rPr>
          <w:rStyle w:val="19"/>
          <w:rFonts w:hint="eastAsia" w:ascii="宋体" w:hAnsi="宋体" w:eastAsia="宋体" w:cs="Times New Roman"/>
          <w:sz w:val="24"/>
          <w:szCs w:val="24"/>
          <w:highlight w:val="none"/>
        </w:rPr>
        <w:t>开立时间：</w:t>
      </w:r>
      <w:r>
        <w:rPr>
          <w:rStyle w:val="19"/>
          <w:rFonts w:ascii="宋体" w:hAnsi="宋体" w:eastAsia="宋体" w:cs="Times New Roman"/>
          <w:sz w:val="24"/>
          <w:szCs w:val="24"/>
          <w:highlight w:val="none"/>
        </w:rPr>
        <w:t xml:space="preserve">      年      月    </w:t>
      </w:r>
    </w:p>
    <w:p w14:paraId="55953DB4">
      <w:pPr>
        <w:pStyle w:val="32"/>
        <w:spacing w:line="360" w:lineRule="auto"/>
        <w:jc w:val="left"/>
        <w:rPr>
          <w:rStyle w:val="19"/>
          <w:rFonts w:ascii="宋体" w:hAnsi="宋体" w:eastAsia="宋体" w:cs="Times New Roman"/>
          <w:sz w:val="30"/>
          <w:szCs w:val="30"/>
          <w:highlight w:val="none"/>
        </w:rPr>
      </w:pPr>
    </w:p>
    <w:p w14:paraId="31C64B33">
      <w:pPr>
        <w:pStyle w:val="32"/>
        <w:spacing w:line="360" w:lineRule="auto"/>
        <w:jc w:val="left"/>
        <w:rPr>
          <w:rStyle w:val="19"/>
          <w:rFonts w:ascii="宋体" w:hAnsi="宋体" w:eastAsia="宋体" w:cs="Times New Roman"/>
          <w:sz w:val="32"/>
          <w:szCs w:val="32"/>
          <w:highlight w:val="none"/>
        </w:rPr>
      </w:pPr>
      <w:r>
        <w:rPr>
          <w:rStyle w:val="19"/>
          <w:rFonts w:ascii="宋体" w:hAnsi="宋体" w:eastAsia="宋体" w:cs="仿宋_GB2312"/>
          <w:sz w:val="30"/>
          <w:szCs w:val="30"/>
          <w:highlight w:val="none"/>
        </w:rPr>
        <w:br w:type="page"/>
      </w:r>
      <w:r>
        <w:rPr>
          <w:rStyle w:val="19"/>
          <w:rFonts w:hint="eastAsia" w:ascii="宋体" w:hAnsi="宋体" w:eastAsia="宋体" w:cs="仿宋_GB2312"/>
          <w:sz w:val="30"/>
          <w:szCs w:val="30"/>
          <w:highlight w:val="none"/>
        </w:rPr>
        <w:t>附</w:t>
      </w:r>
      <w:bookmarkStart w:id="1460" w:name="_Toc296347230"/>
      <w:bookmarkStart w:id="1461" w:name="_Toc296944570"/>
      <w:bookmarkStart w:id="1462" w:name="_Toc296891059"/>
      <w:bookmarkStart w:id="1463" w:name="_Toc296503231"/>
      <w:bookmarkStart w:id="1464" w:name="_Toc296346732"/>
      <w:bookmarkStart w:id="1465" w:name="_Toc296891271"/>
      <w:r>
        <w:rPr>
          <w:rStyle w:val="19"/>
          <w:rFonts w:hint="eastAsia" w:ascii="宋体" w:hAnsi="宋体" w:eastAsia="宋体" w:cs="仿宋_GB2312"/>
          <w:sz w:val="30"/>
          <w:szCs w:val="30"/>
          <w:highlight w:val="none"/>
        </w:rPr>
        <w:t>件</w:t>
      </w:r>
      <w:r>
        <w:rPr>
          <w:rStyle w:val="19"/>
          <w:rFonts w:hint="eastAsia" w:ascii="宋体" w:hAnsi="宋体" w:eastAsia="宋体" w:cs="Times New Roman"/>
          <w:sz w:val="30"/>
          <w:szCs w:val="30"/>
          <w:highlight w:val="none"/>
        </w:rPr>
        <w:t>7</w:t>
      </w:r>
      <w:r>
        <w:rPr>
          <w:rStyle w:val="19"/>
          <w:rFonts w:hint="eastAsia" w:ascii="宋体" w:hAnsi="宋体" w:eastAsia="宋体" w:cs="仿宋_GB2312"/>
          <w:sz w:val="30"/>
          <w:szCs w:val="30"/>
          <w:highlight w:val="none"/>
        </w:rPr>
        <w:t>：</w:t>
      </w:r>
    </w:p>
    <w:p w14:paraId="49427EEC">
      <w:pPr>
        <w:pStyle w:val="32"/>
        <w:spacing w:line="360" w:lineRule="auto"/>
        <w:rPr>
          <w:rStyle w:val="19"/>
          <w:rFonts w:ascii="宋体" w:hAnsi="宋体" w:eastAsia="宋体" w:cs="Times New Roman"/>
          <w:b/>
          <w:bCs/>
          <w:sz w:val="32"/>
          <w:szCs w:val="32"/>
          <w:highlight w:val="none"/>
        </w:rPr>
      </w:pPr>
    </w:p>
    <w:p w14:paraId="1CBAAC2A">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履约保函示范文本</w:t>
      </w:r>
    </w:p>
    <w:p w14:paraId="624F173A">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（非独立保函）</w:t>
      </w:r>
    </w:p>
    <w:p w14:paraId="38EAF6EC">
      <w:pPr>
        <w:pStyle w:val="32"/>
        <w:spacing w:line="360" w:lineRule="auto"/>
        <w:jc w:val="center"/>
        <w:rPr>
          <w:rStyle w:val="19"/>
          <w:rFonts w:ascii="宋体" w:hAnsi="宋体" w:eastAsia="宋体" w:cs="Times New Roman"/>
          <w:b/>
          <w:bCs/>
          <w:sz w:val="32"/>
          <w:szCs w:val="32"/>
          <w:highlight w:val="none"/>
        </w:rPr>
      </w:pPr>
    </w:p>
    <w:p w14:paraId="3EC3E8A1">
      <w:pPr>
        <w:pStyle w:val="32"/>
        <w:wordWrap w:val="0"/>
        <w:spacing w:line="360" w:lineRule="auto"/>
        <w:jc w:val="right"/>
        <w:rPr>
          <w:rStyle w:val="19"/>
          <w:rFonts w:ascii="宋体" w:hAnsi="宋体" w:eastAsia="宋体" w:cs="Times New Roman"/>
          <w:highlight w:val="none"/>
        </w:rPr>
      </w:pPr>
      <w:r>
        <w:rPr>
          <w:rStyle w:val="19"/>
          <w:rFonts w:hint="eastAsia" w:ascii="宋体" w:hAnsi="宋体" w:eastAsia="宋体" w:cs="Times New Roman"/>
          <w:highlight w:val="none"/>
        </w:rPr>
        <w:t xml:space="preserve">编号： </w:t>
      </w:r>
      <w:r>
        <w:rPr>
          <w:rStyle w:val="19"/>
          <w:rFonts w:ascii="宋体" w:hAnsi="宋体" w:eastAsia="宋体" w:cs="Times New Roman"/>
          <w:highlight w:val="none"/>
        </w:rPr>
        <w:t xml:space="preserve">          </w:t>
      </w:r>
    </w:p>
    <w:p w14:paraId="4F8FFDAD">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承包人：</w:t>
      </w:r>
    </w:p>
    <w:p w14:paraId="5E19E420">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地址</w:t>
      </w:r>
      <w:r>
        <w:rPr>
          <w:rStyle w:val="19"/>
          <w:rFonts w:ascii="宋体" w:hAnsi="宋体" w:eastAsia="宋体" w:cs="Times New Roman"/>
          <w:sz w:val="24"/>
          <w:szCs w:val="24"/>
          <w:highlight w:val="none"/>
        </w:rPr>
        <w:t>：</w:t>
      </w:r>
    </w:p>
    <w:p w14:paraId="74D8519F">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担保权人/发包人：</w:t>
      </w:r>
      <w:r>
        <w:rPr>
          <w:rStyle w:val="19"/>
          <w:rFonts w:ascii="宋体" w:hAnsi="宋体" w:eastAsia="宋体" w:cs="Times New Roman"/>
          <w:sz w:val="24"/>
          <w:szCs w:val="24"/>
          <w:highlight w:val="none"/>
        </w:rPr>
        <w:t xml:space="preserve"> </w:t>
      </w:r>
    </w:p>
    <w:p w14:paraId="5BE32354">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地址：</w:t>
      </w:r>
    </w:p>
    <w:p w14:paraId="48E563B8">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保证人：</w:t>
      </w:r>
    </w:p>
    <w:p w14:paraId="4CC07289">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地址：</w:t>
      </w:r>
    </w:p>
    <w:p w14:paraId="5AFC2993">
      <w:pPr>
        <w:pStyle w:val="32"/>
        <w:spacing w:line="360" w:lineRule="auto"/>
        <w:rPr>
          <w:rStyle w:val="19"/>
          <w:rFonts w:ascii="宋体" w:hAnsi="宋体" w:eastAsia="宋体" w:cs="Times New Roman"/>
          <w:sz w:val="24"/>
          <w:szCs w:val="24"/>
          <w:highlight w:val="none"/>
        </w:rPr>
      </w:pPr>
    </w:p>
    <w:p w14:paraId="6C19300C">
      <w:pPr>
        <w:pStyle w:val="32"/>
        <w:spacing w:line="360" w:lineRule="auto"/>
        <w:rPr>
          <w:rStyle w:val="19"/>
          <w:rFonts w:ascii="宋体" w:hAnsi="宋体" w:eastAsia="宋体" w:cs="Times New Roman"/>
          <w:sz w:val="24"/>
          <w:szCs w:val="24"/>
          <w:highlight w:val="none"/>
        </w:rPr>
      </w:pP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发包人</w:t>
      </w:r>
      <w:r>
        <w:rPr>
          <w:rStyle w:val="19"/>
          <w:rFonts w:ascii="宋体" w:hAnsi="宋体" w:eastAsia="宋体" w:cs="Times New Roman"/>
          <w:sz w:val="24"/>
          <w:szCs w:val="24"/>
          <w:highlight w:val="none"/>
        </w:rPr>
        <w:t xml:space="preserve">名称）： </w:t>
      </w:r>
    </w:p>
    <w:p w14:paraId="405C0F29">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鉴于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发包人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与</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承包人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于</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日就</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工程（以下简称“本工程”）施工和有关事项协商一致共同签订</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u w:val="single"/>
        </w:rPr>
        <w:t>》</w:t>
      </w:r>
      <w:r>
        <w:rPr>
          <w:rStyle w:val="19"/>
          <w:rFonts w:hint="eastAsia" w:ascii="宋体" w:hAnsi="宋体" w:eastAsia="宋体" w:cs="Times New Roman"/>
          <w:sz w:val="24"/>
          <w:szCs w:val="24"/>
          <w:highlight w:val="none"/>
        </w:rPr>
        <w:t>（以下简称“主合同”），我方即保证人基于承包人</w:t>
      </w:r>
      <w:r>
        <w:rPr>
          <w:rStyle w:val="19"/>
          <w:rFonts w:ascii="宋体" w:hAnsi="宋体" w:eastAsia="宋体" w:cs="Times New Roman"/>
          <w:sz w:val="24"/>
          <w:szCs w:val="24"/>
          <w:highlight w:val="none"/>
        </w:rPr>
        <w:t>的请求，同意就</w:t>
      </w:r>
      <w:r>
        <w:rPr>
          <w:rStyle w:val="19"/>
          <w:rFonts w:hint="eastAsia" w:ascii="宋体" w:hAnsi="宋体" w:eastAsia="宋体" w:cs="Times New Roman"/>
          <w:sz w:val="24"/>
          <w:szCs w:val="24"/>
          <w:highlight w:val="none"/>
        </w:rPr>
        <w:t>承包人</w:t>
      </w:r>
      <w:r>
        <w:rPr>
          <w:rStyle w:val="19"/>
          <w:rFonts w:ascii="宋体" w:hAnsi="宋体" w:eastAsia="宋体" w:cs="Times New Roman"/>
          <w:sz w:val="24"/>
          <w:szCs w:val="24"/>
          <w:highlight w:val="none"/>
        </w:rPr>
        <w:t>履行</w:t>
      </w:r>
      <w:r>
        <w:rPr>
          <w:rStyle w:val="19"/>
          <w:rFonts w:hint="eastAsia" w:ascii="宋体" w:hAnsi="宋体" w:eastAsia="宋体" w:cs="Times New Roman"/>
          <w:sz w:val="24"/>
          <w:szCs w:val="24"/>
          <w:highlight w:val="none"/>
        </w:rPr>
        <w:t>与贵方签订的主合同</w:t>
      </w:r>
      <w:r>
        <w:rPr>
          <w:rStyle w:val="19"/>
          <w:rFonts w:ascii="宋体" w:hAnsi="宋体" w:eastAsia="宋体" w:cs="Times New Roman"/>
          <w:sz w:val="24"/>
          <w:szCs w:val="24"/>
          <w:highlight w:val="none"/>
        </w:rPr>
        <w:t>项下的义务</w:t>
      </w:r>
      <w:r>
        <w:rPr>
          <w:rStyle w:val="19"/>
          <w:rFonts w:hint="eastAsia" w:ascii="宋体" w:hAnsi="宋体" w:eastAsia="宋体" w:cs="Times New Roman"/>
          <w:sz w:val="24"/>
          <w:szCs w:val="24"/>
          <w:highlight w:val="none"/>
        </w:rPr>
        <w:t>，</w:t>
      </w:r>
      <w:r>
        <w:rPr>
          <w:rStyle w:val="19"/>
          <w:rFonts w:ascii="宋体" w:hAnsi="宋体" w:eastAsia="宋体" w:cs="Times New Roman"/>
          <w:sz w:val="24"/>
          <w:szCs w:val="24"/>
          <w:highlight w:val="none"/>
        </w:rPr>
        <w:t>向贵方提供</w:t>
      </w:r>
      <w:r>
        <w:rPr>
          <w:rStyle w:val="19"/>
          <w:rFonts w:hint="eastAsia" w:ascii="宋体" w:hAnsi="宋体" w:eastAsia="宋体" w:cs="Times New Roman"/>
          <w:sz w:val="24"/>
          <w:szCs w:val="24"/>
          <w:highlight w:val="none"/>
        </w:rPr>
        <w:t>如下保证担保（以下简称“本保证担保”）</w:t>
      </w:r>
      <w:r>
        <w:rPr>
          <w:rStyle w:val="19"/>
          <w:rFonts w:ascii="宋体" w:hAnsi="宋体" w:eastAsia="宋体" w:cs="Times New Roman"/>
          <w:sz w:val="24"/>
          <w:szCs w:val="24"/>
          <w:highlight w:val="none"/>
        </w:rPr>
        <w:t xml:space="preserve">。 </w:t>
      </w:r>
    </w:p>
    <w:p w14:paraId="75F5592E">
      <w:pPr>
        <w:pStyle w:val="32"/>
        <w:spacing w:line="360" w:lineRule="auto"/>
        <w:rPr>
          <w:rStyle w:val="19"/>
          <w:rFonts w:ascii="宋体" w:hAnsi="宋体" w:eastAsia="宋体" w:cs="Times New Roman"/>
          <w:b/>
          <w:bCs/>
          <w:sz w:val="24"/>
          <w:szCs w:val="24"/>
          <w:highlight w:val="none"/>
        </w:rPr>
      </w:pPr>
      <w:r>
        <w:rPr>
          <w:rStyle w:val="19"/>
          <w:rFonts w:hint="eastAsia" w:ascii="宋体" w:hAnsi="宋体" w:eastAsia="宋体" w:cs="Times New Roman"/>
          <w:sz w:val="24"/>
          <w:szCs w:val="24"/>
          <w:highlight w:val="none"/>
        </w:rPr>
        <w:t xml:space="preserve">    </w:t>
      </w:r>
      <w:r>
        <w:rPr>
          <w:rStyle w:val="19"/>
          <w:rFonts w:hint="eastAsia" w:ascii="宋体" w:hAnsi="宋体" w:eastAsia="宋体" w:cs="Times New Roman"/>
          <w:b/>
          <w:bCs/>
          <w:sz w:val="24"/>
          <w:szCs w:val="24"/>
          <w:highlight w:val="none"/>
        </w:rPr>
        <w:t>一、保证担保的范围及保证担保金额</w:t>
      </w:r>
    </w:p>
    <w:p w14:paraId="107CAF53">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保证担保范围：承包人未按照主合同的约定履行义务，应当向贵方承担的违约责任和赔偿因此造成的损失、利息、律师费、诉讼费用等实现债权的费用。</w:t>
      </w:r>
    </w:p>
    <w:p w14:paraId="1AA679E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保证担保金额最高不超过</w:t>
      </w:r>
      <w:r>
        <w:rPr>
          <w:rStyle w:val="19"/>
          <w:rFonts w:ascii="宋体" w:hAnsi="宋体" w:eastAsia="宋体" w:cs="Times New Roman"/>
          <w:sz w:val="24"/>
          <w:szCs w:val="24"/>
          <w:highlight w:val="none"/>
        </w:rPr>
        <w:t>人民币（大写）</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元（¥</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 xml:space="preserve">）。 </w:t>
      </w:r>
    </w:p>
    <w:p w14:paraId="451DD120">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二、保证担保的方式及保证期间</w:t>
      </w:r>
      <w:r>
        <w:rPr>
          <w:rStyle w:val="19"/>
          <w:rFonts w:ascii="宋体" w:hAnsi="宋体" w:eastAsia="宋体" w:cs="Times New Roman"/>
          <w:b/>
          <w:bCs/>
          <w:sz w:val="24"/>
          <w:szCs w:val="24"/>
          <w:highlight w:val="none"/>
        </w:rPr>
        <w:t xml:space="preserve"> </w:t>
      </w:r>
    </w:p>
    <w:p w14:paraId="5242F14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1.保证担保方式：连带责任保证。</w:t>
      </w:r>
    </w:p>
    <w:p w14:paraId="45C968F3">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保证期间：</w:t>
      </w:r>
      <w:r>
        <w:rPr>
          <w:rStyle w:val="19"/>
          <w:rFonts w:ascii="宋体" w:hAnsi="宋体" w:eastAsia="宋体" w:cs="Times New Roman"/>
          <w:sz w:val="24"/>
          <w:szCs w:val="24"/>
          <w:highlight w:val="none"/>
        </w:rPr>
        <w:t>自</w:t>
      </w:r>
      <w:r>
        <w:rPr>
          <w:rStyle w:val="19"/>
          <w:rFonts w:hint="eastAsia" w:ascii="宋体" w:hAnsi="宋体" w:eastAsia="宋体" w:cs="Times New Roman"/>
          <w:sz w:val="24"/>
          <w:szCs w:val="24"/>
          <w:highlight w:val="none"/>
        </w:rPr>
        <w:t>出具之日起</w:t>
      </w:r>
      <w:r>
        <w:rPr>
          <w:rStyle w:val="19"/>
          <w:rFonts w:ascii="宋体" w:hAnsi="宋体" w:eastAsia="宋体" w:cs="Times New Roman"/>
          <w:sz w:val="24"/>
          <w:szCs w:val="24"/>
          <w:highlight w:val="none"/>
        </w:rPr>
        <w:t>至</w:t>
      </w:r>
      <w:r>
        <w:rPr>
          <w:rStyle w:val="19"/>
          <w:rFonts w:hint="eastAsia" w:ascii="宋体" w:hAnsi="宋体" w:eastAsia="宋体" w:cs="Times New Roman"/>
          <w:sz w:val="24"/>
          <w:szCs w:val="24"/>
          <w:highlight w:val="none"/>
        </w:rPr>
        <w:t>主合同约定的缺陷责任期</w:t>
      </w:r>
      <w:r>
        <w:rPr>
          <w:rStyle w:val="19"/>
          <w:rFonts w:ascii="宋体" w:hAnsi="宋体" w:eastAsia="宋体" w:cs="Times New Roman"/>
          <w:sz w:val="24"/>
          <w:szCs w:val="24"/>
          <w:highlight w:val="none"/>
        </w:rPr>
        <w:t>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日</w:t>
      </w:r>
      <w:r>
        <w:rPr>
          <w:rStyle w:val="19"/>
          <w:rFonts w:hint="eastAsia" w:ascii="宋体" w:hAnsi="宋体" w:eastAsia="宋体" w:cs="Times New Roman"/>
          <w:sz w:val="24"/>
          <w:szCs w:val="24"/>
          <w:highlight w:val="none"/>
        </w:rPr>
        <w:t>止，最迟不超过</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w:t>
      </w:r>
      <w:r>
        <w:rPr>
          <w:rStyle w:val="19"/>
          <w:rFonts w:ascii="宋体" w:hAnsi="宋体" w:eastAsia="宋体" w:cs="Times New Roman"/>
          <w:sz w:val="24"/>
          <w:szCs w:val="24"/>
          <w:highlight w:val="none"/>
        </w:rPr>
        <w:t xml:space="preserve">。 </w:t>
      </w:r>
    </w:p>
    <w:p w14:paraId="78402533">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三、承担保证担保责任的形式</w:t>
      </w:r>
    </w:p>
    <w:p w14:paraId="30A1186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我方按照贵方的要求以下列方式之一承担保证担保责任：</w:t>
      </w:r>
      <w:r>
        <w:rPr>
          <w:rStyle w:val="19"/>
          <w:rFonts w:ascii="宋体" w:hAnsi="宋体" w:eastAsia="宋体" w:cs="Times New Roman"/>
          <w:sz w:val="24"/>
          <w:szCs w:val="24"/>
          <w:highlight w:val="none"/>
        </w:rPr>
        <w:t xml:space="preserve"> </w:t>
      </w:r>
    </w:p>
    <w:p w14:paraId="2F65E01A">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1.向承包人资金、设备或者技术援助，使其能继续履行合同义务；</w:t>
      </w:r>
    </w:p>
    <w:p w14:paraId="4F9B417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2.直接接管该项工程或者委托经贵方同意的其他承包商，继续履行合同义务；</w:t>
      </w:r>
    </w:p>
    <w:p w14:paraId="40D85570">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3.在保证担保金额最高限额内，按照合同约定，向贵方承担违约责任和赔偿因此造成的损失，以及利息和律师费、诉讼费用等实现债权的费用。</w:t>
      </w:r>
    </w:p>
    <w:p w14:paraId="7722DDDE">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四、代偿的安排</w:t>
      </w:r>
      <w:r>
        <w:rPr>
          <w:rStyle w:val="19"/>
          <w:rFonts w:ascii="宋体" w:hAnsi="宋体" w:eastAsia="宋体" w:cs="Times New Roman"/>
          <w:b/>
          <w:bCs/>
          <w:sz w:val="24"/>
          <w:szCs w:val="24"/>
          <w:highlight w:val="none"/>
        </w:rPr>
        <w:t xml:space="preserve"> </w:t>
      </w:r>
    </w:p>
    <w:p w14:paraId="016C2A05">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1.贵方要求我方承担保证责任的，应向我方发出书面索赔通知及承包人未履行主合同约定义务的证明材料。索赔通知应写明要求索赔的金额，支付款项应到达的</w:t>
      </w:r>
      <w:r>
        <w:rPr>
          <w:rStyle w:val="19"/>
          <w:rFonts w:hint="eastAsia" w:ascii="宋体" w:hAnsi="宋体" w:eastAsia="宋体" w:cs="Times New Roman"/>
          <w:sz w:val="24"/>
          <w:szCs w:val="24"/>
          <w:highlight w:val="none"/>
          <w:lang w:val="en-US" w:eastAsia="zh-CN"/>
        </w:rPr>
        <w:t>账</w:t>
      </w:r>
      <w:r>
        <w:rPr>
          <w:rStyle w:val="19"/>
          <w:rFonts w:hint="eastAsia" w:ascii="宋体" w:hAnsi="宋体" w:eastAsia="宋体" w:cs="Times New Roman"/>
          <w:sz w:val="24"/>
          <w:szCs w:val="24"/>
          <w:highlight w:val="none"/>
        </w:rPr>
        <w:t>号，并附有说明承包人违反主合同造成贵方损失情况的证明材料。</w:t>
      </w:r>
    </w:p>
    <w:p w14:paraId="4016478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2.贵方以工程质量不符合主合同约定标准为由，向我方提出违约索赔的，还需同时提供符合相应条件要求的工程质量检测部门出具的质量说明材料。</w:t>
      </w:r>
    </w:p>
    <w:p w14:paraId="666473A0">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3.我方收到贵方的书面索赔通知及相应证明材料后，在</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工作日内进行核定后按照本保函的承诺承担保证责任。</w:t>
      </w:r>
    </w:p>
    <w:p w14:paraId="7DAB4F38">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五、保证担保责任的解除</w:t>
      </w:r>
      <w:r>
        <w:rPr>
          <w:rStyle w:val="19"/>
          <w:rFonts w:ascii="宋体" w:hAnsi="宋体" w:eastAsia="宋体" w:cs="Times New Roman"/>
          <w:b/>
          <w:bCs/>
          <w:sz w:val="24"/>
          <w:szCs w:val="24"/>
          <w:highlight w:val="none"/>
        </w:rPr>
        <w:t xml:space="preserve"> </w:t>
      </w:r>
    </w:p>
    <w:p w14:paraId="034B4DE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 xml:space="preserve">保证期间届满贵方未向我方书面主张保证责任的，自保证期间届满次日起，我方解除保证责任。 </w:t>
      </w:r>
    </w:p>
    <w:p w14:paraId="13C56634">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我方按照本</w:t>
      </w:r>
      <w:r>
        <w:rPr>
          <w:rStyle w:val="19"/>
          <w:rFonts w:hint="eastAsia" w:ascii="宋体" w:hAnsi="宋体" w:eastAsia="宋体" w:cs="Times New Roman"/>
          <w:sz w:val="24"/>
          <w:szCs w:val="24"/>
          <w:highlight w:val="none"/>
        </w:rPr>
        <w:t>保证担保</w:t>
      </w:r>
      <w:r>
        <w:rPr>
          <w:rStyle w:val="19"/>
          <w:rFonts w:ascii="宋体" w:hAnsi="宋体" w:eastAsia="宋体" w:cs="Times New Roman"/>
          <w:sz w:val="24"/>
          <w:szCs w:val="24"/>
          <w:highlight w:val="none"/>
        </w:rPr>
        <w:t>向贵方履行了</w:t>
      </w:r>
      <w:r>
        <w:rPr>
          <w:rStyle w:val="19"/>
          <w:rFonts w:hint="eastAsia" w:ascii="宋体" w:hAnsi="宋体" w:eastAsia="宋体" w:cs="Times New Roman"/>
          <w:sz w:val="24"/>
          <w:szCs w:val="24"/>
          <w:highlight w:val="none"/>
        </w:rPr>
        <w:t>保证担保责任</w:t>
      </w:r>
      <w:r>
        <w:rPr>
          <w:rStyle w:val="19"/>
          <w:rFonts w:ascii="宋体" w:hAnsi="宋体" w:eastAsia="宋体" w:cs="Times New Roman"/>
          <w:sz w:val="24"/>
          <w:szCs w:val="24"/>
          <w:highlight w:val="none"/>
        </w:rPr>
        <w:t>后，自我方向贵方支付</w:t>
      </w:r>
      <w:r>
        <w:rPr>
          <w:rStyle w:val="19"/>
          <w:rFonts w:hint="eastAsia" w:ascii="宋体" w:hAnsi="宋体" w:eastAsia="宋体" w:cs="Times New Roman"/>
          <w:sz w:val="24"/>
          <w:szCs w:val="24"/>
          <w:highlight w:val="none"/>
        </w:rPr>
        <w:t>的金额达到最高保证担保金额</w:t>
      </w:r>
      <w:r>
        <w:rPr>
          <w:rStyle w:val="19"/>
          <w:rFonts w:ascii="宋体" w:hAnsi="宋体" w:eastAsia="宋体" w:cs="Times New Roman"/>
          <w:sz w:val="24"/>
          <w:szCs w:val="24"/>
          <w:highlight w:val="none"/>
        </w:rPr>
        <w:t>之日起，</w:t>
      </w:r>
      <w:r>
        <w:rPr>
          <w:rStyle w:val="19"/>
          <w:rFonts w:hint="eastAsia" w:ascii="宋体" w:hAnsi="宋体" w:eastAsia="宋体" w:cs="Times New Roman"/>
          <w:sz w:val="24"/>
          <w:szCs w:val="24"/>
          <w:highlight w:val="none"/>
        </w:rPr>
        <w:t>保证担保责任</w:t>
      </w:r>
      <w:r>
        <w:rPr>
          <w:rStyle w:val="19"/>
          <w:rFonts w:ascii="宋体" w:hAnsi="宋体" w:eastAsia="宋体" w:cs="Times New Roman"/>
          <w:sz w:val="24"/>
          <w:szCs w:val="24"/>
          <w:highlight w:val="none"/>
        </w:rPr>
        <w:t xml:space="preserve">解除。 </w:t>
      </w:r>
    </w:p>
    <w:p w14:paraId="5582E3AF">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w:t>
      </w:r>
      <w:r>
        <w:rPr>
          <w:rStyle w:val="19"/>
          <w:rFonts w:ascii="宋体" w:hAnsi="宋体" w:eastAsia="宋体" w:cs="Times New Roman"/>
          <w:sz w:val="24"/>
          <w:szCs w:val="24"/>
          <w:highlight w:val="none"/>
        </w:rPr>
        <w:t>按照法律法规的规定应解除我方保证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责任的其它情形的，我方在本保证担保项下的保证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 xml:space="preserve">责任亦解除。 </w:t>
      </w:r>
    </w:p>
    <w:p w14:paraId="3E44019C">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4.我方解除保证责任后，贵方应按上述约定，自我方保证担保责任解除之日起七</w:t>
      </w:r>
      <w:r>
        <w:rPr>
          <w:rStyle w:val="19"/>
          <w:rFonts w:ascii="宋体" w:hAnsi="宋体" w:eastAsia="宋体" w:cs="Times New Roman"/>
          <w:sz w:val="24"/>
          <w:szCs w:val="24"/>
          <w:highlight w:val="none"/>
        </w:rPr>
        <w:t>日内，将本保证担保原件返还我方。但是不论贵方是否按此要求将本保证担保</w:t>
      </w:r>
      <w:r>
        <w:rPr>
          <w:rStyle w:val="19"/>
          <w:rFonts w:hint="eastAsia" w:ascii="宋体" w:hAnsi="宋体" w:eastAsia="宋体" w:cs="Times New Roman"/>
          <w:sz w:val="24"/>
          <w:szCs w:val="24"/>
          <w:highlight w:val="none"/>
        </w:rPr>
        <w:t>原件</w:t>
      </w:r>
      <w:r>
        <w:rPr>
          <w:rStyle w:val="19"/>
          <w:rFonts w:ascii="宋体" w:hAnsi="宋体" w:eastAsia="宋体" w:cs="Times New Roman"/>
          <w:sz w:val="24"/>
          <w:szCs w:val="24"/>
          <w:highlight w:val="none"/>
        </w:rPr>
        <w:t>退回我方，我方在本保证担保项下的义务和责任均</w:t>
      </w:r>
      <w:r>
        <w:rPr>
          <w:rStyle w:val="19"/>
          <w:rFonts w:hint="eastAsia" w:ascii="宋体" w:hAnsi="宋体" w:eastAsia="宋体" w:cs="Times New Roman"/>
          <w:sz w:val="24"/>
          <w:szCs w:val="24"/>
          <w:highlight w:val="none"/>
        </w:rPr>
        <w:t>自保证担保责任解除之日</w:t>
      </w:r>
      <w:r>
        <w:rPr>
          <w:rStyle w:val="19"/>
          <w:rFonts w:ascii="宋体" w:hAnsi="宋体" w:eastAsia="宋体" w:cs="Times New Roman"/>
          <w:sz w:val="24"/>
          <w:szCs w:val="24"/>
          <w:highlight w:val="none"/>
        </w:rPr>
        <w:t>自动消灭。</w:t>
      </w:r>
    </w:p>
    <w:p w14:paraId="7F19C51A">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六、免责条款</w:t>
      </w:r>
      <w:r>
        <w:rPr>
          <w:rStyle w:val="19"/>
          <w:rFonts w:ascii="宋体" w:hAnsi="宋体" w:eastAsia="宋体" w:cs="Times New Roman"/>
          <w:b/>
          <w:bCs/>
          <w:sz w:val="24"/>
          <w:szCs w:val="24"/>
          <w:highlight w:val="none"/>
        </w:rPr>
        <w:t xml:space="preserve"> </w:t>
      </w:r>
    </w:p>
    <w:p w14:paraId="20634BB0">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因贵方</w:t>
      </w:r>
      <w:r>
        <w:rPr>
          <w:rStyle w:val="19"/>
          <w:rFonts w:hint="eastAsia" w:ascii="宋体" w:hAnsi="宋体" w:eastAsia="宋体" w:cs="Times New Roman"/>
          <w:sz w:val="24"/>
          <w:szCs w:val="24"/>
          <w:highlight w:val="none"/>
        </w:rPr>
        <w:t>原因</w:t>
      </w:r>
      <w:r>
        <w:rPr>
          <w:rStyle w:val="19"/>
          <w:rFonts w:ascii="宋体" w:hAnsi="宋体" w:eastAsia="宋体" w:cs="Times New Roman"/>
          <w:sz w:val="24"/>
          <w:szCs w:val="24"/>
          <w:highlight w:val="none"/>
        </w:rPr>
        <w:t>致使</w:t>
      </w:r>
      <w:r>
        <w:rPr>
          <w:rStyle w:val="19"/>
          <w:rFonts w:hint="eastAsia" w:ascii="宋体" w:hAnsi="宋体" w:eastAsia="宋体" w:cs="Times New Roman"/>
          <w:sz w:val="24"/>
          <w:szCs w:val="24"/>
          <w:highlight w:val="none"/>
        </w:rPr>
        <w:t>承包人未按照主合同约定履行义务的</w:t>
      </w:r>
      <w:r>
        <w:rPr>
          <w:rStyle w:val="19"/>
          <w:rFonts w:ascii="宋体" w:hAnsi="宋体" w:eastAsia="宋体" w:cs="Times New Roman"/>
          <w:sz w:val="24"/>
          <w:szCs w:val="24"/>
          <w:highlight w:val="none"/>
        </w:rPr>
        <w:t>，我方不承担保证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 xml:space="preserve">责任。 </w:t>
      </w:r>
    </w:p>
    <w:p w14:paraId="52965C0E">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依照法律规定或贵方与</w:t>
      </w:r>
      <w:r>
        <w:rPr>
          <w:rStyle w:val="19"/>
          <w:rFonts w:hint="eastAsia" w:ascii="宋体" w:hAnsi="宋体" w:eastAsia="宋体" w:cs="Times New Roman"/>
          <w:sz w:val="24"/>
          <w:szCs w:val="24"/>
          <w:highlight w:val="none"/>
        </w:rPr>
        <w:t>发包</w:t>
      </w:r>
      <w:r>
        <w:rPr>
          <w:rStyle w:val="19"/>
          <w:rFonts w:ascii="宋体" w:hAnsi="宋体" w:eastAsia="宋体" w:cs="Times New Roman"/>
          <w:sz w:val="24"/>
          <w:szCs w:val="24"/>
          <w:highlight w:val="none"/>
        </w:rPr>
        <w:t>人的另行约定，免除</w:t>
      </w:r>
      <w:r>
        <w:rPr>
          <w:rStyle w:val="19"/>
          <w:rFonts w:hint="eastAsia" w:ascii="宋体" w:hAnsi="宋体" w:eastAsia="宋体" w:cs="Times New Roman"/>
          <w:sz w:val="24"/>
          <w:szCs w:val="24"/>
          <w:highlight w:val="none"/>
        </w:rPr>
        <w:t>承包</w:t>
      </w:r>
      <w:r>
        <w:rPr>
          <w:rStyle w:val="19"/>
          <w:rFonts w:ascii="宋体" w:hAnsi="宋体" w:eastAsia="宋体" w:cs="Times New Roman"/>
          <w:sz w:val="24"/>
          <w:szCs w:val="24"/>
          <w:highlight w:val="none"/>
        </w:rPr>
        <w:t>人部分或全部义务的，我方亦免除其相应的保证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 xml:space="preserve">责任。 </w:t>
      </w:r>
    </w:p>
    <w:p w14:paraId="3843393A">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w:t>
      </w:r>
      <w:r>
        <w:rPr>
          <w:rStyle w:val="19"/>
          <w:rFonts w:ascii="宋体" w:hAnsi="宋体" w:eastAsia="宋体" w:cs="Times New Roman"/>
          <w:sz w:val="24"/>
          <w:szCs w:val="24"/>
          <w:highlight w:val="none"/>
        </w:rPr>
        <w:t>因不可抗力造成</w:t>
      </w:r>
      <w:r>
        <w:rPr>
          <w:rStyle w:val="19"/>
          <w:rFonts w:hint="eastAsia" w:ascii="宋体" w:hAnsi="宋体" w:eastAsia="宋体" w:cs="Times New Roman"/>
          <w:sz w:val="24"/>
          <w:szCs w:val="24"/>
          <w:highlight w:val="none"/>
        </w:rPr>
        <w:t>承包人未按照主合同约定履行义务的</w:t>
      </w:r>
      <w:r>
        <w:rPr>
          <w:rStyle w:val="19"/>
          <w:rFonts w:ascii="宋体" w:hAnsi="宋体" w:eastAsia="宋体" w:cs="Times New Roman"/>
          <w:sz w:val="24"/>
          <w:szCs w:val="24"/>
          <w:highlight w:val="none"/>
        </w:rPr>
        <w:t>，我方不承担保证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责任。</w:t>
      </w:r>
    </w:p>
    <w:p w14:paraId="6C11EF62">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七、其他</w:t>
      </w:r>
    </w:p>
    <w:p w14:paraId="39BC3EC3">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本保证担保项下的权利不得转让，不得设定担保。贵方未经我方书面同意转让本保证担保或其项下任何权利，</w:t>
      </w:r>
      <w:r>
        <w:rPr>
          <w:rStyle w:val="19"/>
          <w:rFonts w:hint="eastAsia" w:ascii="宋体" w:hAnsi="宋体" w:eastAsia="宋体" w:cs="Times New Roman"/>
          <w:sz w:val="24"/>
          <w:szCs w:val="24"/>
          <w:highlight w:val="none"/>
        </w:rPr>
        <w:t>对我方不发生法律效力</w:t>
      </w:r>
      <w:r>
        <w:rPr>
          <w:rStyle w:val="19"/>
          <w:rFonts w:ascii="宋体" w:hAnsi="宋体" w:eastAsia="宋体" w:cs="Times New Roman"/>
          <w:sz w:val="24"/>
          <w:szCs w:val="24"/>
          <w:highlight w:val="none"/>
        </w:rPr>
        <w:t xml:space="preserve">。 </w:t>
      </w:r>
    </w:p>
    <w:p w14:paraId="492301BF">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.本</w:t>
      </w:r>
      <w:r>
        <w:rPr>
          <w:rStyle w:val="19"/>
          <w:rFonts w:hint="eastAsia" w:ascii="宋体" w:hAnsi="宋体" w:eastAsia="宋体" w:cs="Times New Roman"/>
          <w:sz w:val="24"/>
          <w:szCs w:val="24"/>
          <w:highlight w:val="none"/>
        </w:rPr>
        <w:t>保证担保适用的法律为中华人民共和国法律，争议裁判管辖地为中华人民共和国</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w:t>
      </w:r>
      <w:r>
        <w:rPr>
          <w:rStyle w:val="19"/>
          <w:rFonts w:ascii="宋体" w:hAnsi="宋体" w:eastAsia="宋体" w:cs="Times New Roman"/>
          <w:sz w:val="24"/>
          <w:szCs w:val="24"/>
          <w:highlight w:val="none"/>
        </w:rPr>
        <w:t xml:space="preserve"> </w:t>
      </w:r>
    </w:p>
    <w:p w14:paraId="2B90E85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w:t>
      </w:r>
      <w:r>
        <w:rPr>
          <w:rStyle w:val="19"/>
          <w:rFonts w:ascii="宋体" w:hAnsi="宋体" w:eastAsia="宋体" w:cs="Times New Roman"/>
          <w:sz w:val="24"/>
          <w:szCs w:val="24"/>
          <w:highlight w:val="none"/>
        </w:rPr>
        <w:t>.本</w:t>
      </w:r>
      <w:r>
        <w:rPr>
          <w:rStyle w:val="19"/>
          <w:rFonts w:hint="eastAsia" w:ascii="宋体" w:hAnsi="宋体" w:eastAsia="宋体" w:cs="Times New Roman"/>
          <w:sz w:val="24"/>
          <w:szCs w:val="24"/>
          <w:highlight w:val="none"/>
        </w:rPr>
        <w:t>保证担保</w:t>
      </w:r>
      <w:r>
        <w:rPr>
          <w:rStyle w:val="19"/>
          <w:rFonts w:ascii="宋体" w:hAnsi="宋体" w:eastAsia="宋体" w:cs="Times New Roman"/>
          <w:sz w:val="24"/>
          <w:szCs w:val="24"/>
          <w:highlight w:val="none"/>
        </w:rPr>
        <w:t>自我方法定代表</w:t>
      </w:r>
      <w:r>
        <w:rPr>
          <w:rStyle w:val="19"/>
          <w:rFonts w:hint="eastAsia" w:ascii="宋体" w:hAnsi="宋体" w:eastAsia="宋体" w:cs="Times New Roman"/>
          <w:sz w:val="24"/>
          <w:szCs w:val="24"/>
          <w:highlight w:val="none"/>
        </w:rPr>
        <w:t>人或授权代表</w:t>
      </w:r>
      <w:r>
        <w:rPr>
          <w:rStyle w:val="19"/>
          <w:rFonts w:ascii="宋体" w:hAnsi="宋体" w:eastAsia="宋体" w:cs="Times New Roman"/>
          <w:sz w:val="24"/>
          <w:szCs w:val="24"/>
          <w:highlight w:val="none"/>
        </w:rPr>
        <w:t>签字</w:t>
      </w:r>
      <w:r>
        <w:rPr>
          <w:rStyle w:val="19"/>
          <w:rFonts w:hint="eastAsia" w:ascii="宋体" w:hAnsi="宋体" w:eastAsia="宋体" w:cs="Times New Roman"/>
          <w:sz w:val="24"/>
          <w:szCs w:val="24"/>
          <w:highlight w:val="none"/>
        </w:rPr>
        <w:t>并</w:t>
      </w:r>
      <w:r>
        <w:rPr>
          <w:rStyle w:val="19"/>
          <w:rFonts w:ascii="宋体" w:hAnsi="宋体" w:eastAsia="宋体" w:cs="Times New Roman"/>
          <w:sz w:val="24"/>
          <w:szCs w:val="24"/>
          <w:highlight w:val="none"/>
        </w:rPr>
        <w:t xml:space="preserve">加盖公章之日起生效。 </w:t>
      </w:r>
    </w:p>
    <w:p w14:paraId="62E488BF">
      <w:pPr>
        <w:pStyle w:val="32"/>
        <w:spacing w:line="360" w:lineRule="auto"/>
        <w:ind w:firstLine="480" w:firstLineChars="200"/>
        <w:rPr>
          <w:rStyle w:val="19"/>
          <w:rFonts w:ascii="宋体" w:hAnsi="宋体" w:eastAsia="宋体" w:cs="Times New Roman"/>
          <w:sz w:val="24"/>
          <w:szCs w:val="24"/>
          <w:highlight w:val="none"/>
        </w:rPr>
      </w:pPr>
    </w:p>
    <w:p w14:paraId="43D9F58E">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保 证 人</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 xml:space="preserve">             （公</w:t>
      </w:r>
      <w:r>
        <w:rPr>
          <w:rStyle w:val="19"/>
          <w:rFonts w:ascii="宋体" w:hAnsi="宋体" w:eastAsia="宋体" w:cs="Times New Roman"/>
          <w:sz w:val="24"/>
          <w:szCs w:val="24"/>
          <w:highlight w:val="none"/>
        </w:rPr>
        <w:t xml:space="preserve">章） </w:t>
      </w:r>
    </w:p>
    <w:p w14:paraId="2BC1E607">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法定代表人（或授权代表）：</w:t>
      </w:r>
      <w:r>
        <w:rPr>
          <w:rStyle w:val="19"/>
          <w:rFonts w:ascii="宋体" w:hAnsi="宋体" w:eastAsia="宋体" w:cs="Times New Roman"/>
          <w:sz w:val="24"/>
          <w:szCs w:val="24"/>
          <w:highlight w:val="none"/>
        </w:rPr>
        <w:t xml:space="preserve">               （签字） </w:t>
      </w:r>
    </w:p>
    <w:p w14:paraId="25D7A8D9">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w:t>
      </w:r>
      <w:r>
        <w:rPr>
          <w:rStyle w:val="19"/>
          <w:rFonts w:ascii="宋体" w:hAnsi="宋体" w:eastAsia="宋体" w:cs="Times New Roman"/>
          <w:sz w:val="24"/>
          <w:szCs w:val="24"/>
          <w:highlight w:val="none"/>
        </w:rPr>
        <w:t xml:space="preserve">    址：                                       </w:t>
      </w:r>
    </w:p>
    <w:p w14:paraId="41706D05">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邮政编码：</w:t>
      </w:r>
      <w:r>
        <w:rPr>
          <w:rStyle w:val="19"/>
          <w:rFonts w:ascii="宋体" w:hAnsi="宋体" w:eastAsia="宋体" w:cs="Times New Roman"/>
          <w:sz w:val="24"/>
          <w:szCs w:val="24"/>
          <w:highlight w:val="none"/>
        </w:rPr>
        <w:t xml:space="preserve">                 </w:t>
      </w:r>
    </w:p>
    <w:p w14:paraId="29388FA9">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电</w:t>
      </w:r>
      <w:r>
        <w:rPr>
          <w:rStyle w:val="19"/>
          <w:rFonts w:ascii="宋体" w:hAnsi="宋体" w:eastAsia="宋体" w:cs="Times New Roman"/>
          <w:sz w:val="24"/>
          <w:szCs w:val="24"/>
          <w:highlight w:val="none"/>
        </w:rPr>
        <w:t xml:space="preserve">    话：                 </w:t>
      </w:r>
    </w:p>
    <w:p w14:paraId="420C025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传</w:t>
      </w:r>
      <w:r>
        <w:rPr>
          <w:rStyle w:val="19"/>
          <w:rFonts w:ascii="宋体" w:hAnsi="宋体" w:eastAsia="宋体" w:cs="Times New Roman"/>
          <w:sz w:val="24"/>
          <w:szCs w:val="24"/>
          <w:highlight w:val="none"/>
        </w:rPr>
        <w:t xml:space="preserve">    真：                 </w:t>
      </w:r>
    </w:p>
    <w:p w14:paraId="523DC84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时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间：</w:t>
      </w:r>
      <w:r>
        <w:rPr>
          <w:rStyle w:val="19"/>
          <w:rFonts w:ascii="宋体" w:hAnsi="宋体" w:eastAsia="宋体" w:cs="Times New Roman"/>
          <w:sz w:val="24"/>
          <w:szCs w:val="24"/>
          <w:highlight w:val="none"/>
        </w:rPr>
        <w:t xml:space="preserve">      年      月        日</w:t>
      </w:r>
    </w:p>
    <w:p w14:paraId="39BC662F">
      <w:pPr>
        <w:pStyle w:val="32"/>
        <w:rPr>
          <w:rStyle w:val="19"/>
          <w:rFonts w:ascii="宋体" w:hAnsi="宋体" w:eastAsia="宋体" w:cs="Times New Roman"/>
          <w:highlight w:val="none"/>
        </w:rPr>
      </w:pPr>
    </w:p>
    <w:p w14:paraId="1F805712">
      <w:pPr>
        <w:pStyle w:val="32"/>
        <w:rPr>
          <w:rStyle w:val="19"/>
          <w:rFonts w:ascii="宋体" w:hAnsi="宋体" w:eastAsia="宋体" w:cs="Times New Roman"/>
          <w:highlight w:val="none"/>
        </w:rPr>
      </w:pPr>
    </w:p>
    <w:bookmarkEnd w:id="1459"/>
    <w:bookmarkEnd w:id="1460"/>
    <w:bookmarkEnd w:id="1461"/>
    <w:bookmarkEnd w:id="1462"/>
    <w:bookmarkEnd w:id="1463"/>
    <w:bookmarkEnd w:id="1464"/>
    <w:bookmarkEnd w:id="1465"/>
    <w:p w14:paraId="1AC8E1B6">
      <w:pPr>
        <w:pStyle w:val="32"/>
        <w:spacing w:line="360" w:lineRule="auto"/>
        <w:jc w:val="left"/>
        <w:rPr>
          <w:rStyle w:val="19"/>
          <w:rFonts w:ascii="宋体" w:hAnsi="宋体" w:eastAsia="宋体" w:cs="黑体"/>
          <w:sz w:val="32"/>
          <w:szCs w:val="32"/>
          <w:highlight w:val="none"/>
        </w:rPr>
      </w:pPr>
      <w:r>
        <w:rPr>
          <w:rStyle w:val="19"/>
          <w:rFonts w:ascii="宋体" w:hAnsi="宋体" w:eastAsia="宋体" w:cs="仿宋_GB2312"/>
          <w:sz w:val="30"/>
          <w:szCs w:val="30"/>
          <w:highlight w:val="none"/>
        </w:rPr>
        <w:br w:type="page"/>
      </w:r>
      <w:r>
        <w:rPr>
          <w:rStyle w:val="19"/>
          <w:rFonts w:hint="eastAsia" w:ascii="宋体" w:hAnsi="宋体" w:eastAsia="宋体" w:cs="仿宋_GB2312"/>
          <w:sz w:val="30"/>
          <w:szCs w:val="30"/>
          <w:highlight w:val="none"/>
        </w:rPr>
        <w:t>附件</w:t>
      </w:r>
      <w:r>
        <w:rPr>
          <w:rStyle w:val="19"/>
          <w:rFonts w:hint="eastAsia" w:ascii="宋体" w:hAnsi="宋体" w:eastAsia="宋体" w:cs="Times New Roman"/>
          <w:sz w:val="30"/>
          <w:szCs w:val="30"/>
          <w:highlight w:val="none"/>
        </w:rPr>
        <w:t>8</w:t>
      </w:r>
      <w:r>
        <w:rPr>
          <w:rStyle w:val="19"/>
          <w:rFonts w:hint="eastAsia" w:ascii="宋体" w:hAnsi="宋体" w:eastAsia="宋体" w:cs="仿宋_GB2312"/>
          <w:sz w:val="30"/>
          <w:szCs w:val="30"/>
          <w:highlight w:val="none"/>
        </w:rPr>
        <w:t>：</w:t>
      </w:r>
    </w:p>
    <w:p w14:paraId="5C85F40D">
      <w:pPr>
        <w:pStyle w:val="32"/>
        <w:spacing w:line="360" w:lineRule="auto"/>
        <w:jc w:val="left"/>
        <w:rPr>
          <w:rStyle w:val="19"/>
          <w:rFonts w:ascii="宋体" w:hAnsi="宋体" w:eastAsia="宋体" w:cs="黑体"/>
          <w:b/>
          <w:bCs/>
          <w:sz w:val="32"/>
          <w:szCs w:val="32"/>
          <w:highlight w:val="none"/>
        </w:rPr>
      </w:pPr>
    </w:p>
    <w:p w14:paraId="075B4421">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预付款保函示范文本</w:t>
      </w:r>
    </w:p>
    <w:p w14:paraId="6A8F061F">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（独立保函）</w:t>
      </w:r>
    </w:p>
    <w:p w14:paraId="017EC943">
      <w:pPr>
        <w:pStyle w:val="32"/>
        <w:wordWrap w:val="0"/>
        <w:spacing w:line="360" w:lineRule="auto"/>
        <w:jc w:val="right"/>
        <w:rPr>
          <w:rStyle w:val="19"/>
          <w:rFonts w:ascii="宋体" w:hAnsi="宋体" w:eastAsia="宋体" w:cs="Times New Roman"/>
          <w:highlight w:val="none"/>
        </w:rPr>
      </w:pPr>
      <w:r>
        <w:rPr>
          <w:rStyle w:val="19"/>
          <w:rFonts w:hint="eastAsia" w:ascii="宋体" w:hAnsi="宋体" w:eastAsia="宋体" w:cs="Times New Roman"/>
          <w:highlight w:val="none"/>
        </w:rPr>
        <w:t xml:space="preserve">编号： </w:t>
      </w:r>
      <w:r>
        <w:rPr>
          <w:rStyle w:val="19"/>
          <w:rFonts w:ascii="宋体" w:hAnsi="宋体" w:eastAsia="宋体" w:cs="Times New Roman"/>
          <w:highlight w:val="none"/>
        </w:rPr>
        <w:t xml:space="preserve">          </w:t>
      </w:r>
    </w:p>
    <w:p w14:paraId="1C42CE57">
      <w:pPr>
        <w:pStyle w:val="32"/>
        <w:spacing w:line="360" w:lineRule="auto"/>
        <w:rPr>
          <w:rStyle w:val="19"/>
          <w:rFonts w:ascii="宋体" w:hAnsi="宋体" w:eastAsia="宋体" w:cs="Times New Roman"/>
          <w:sz w:val="24"/>
          <w:szCs w:val="24"/>
          <w:highlight w:val="none"/>
        </w:rPr>
      </w:pPr>
    </w:p>
    <w:p w14:paraId="7C223F94">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申请人：</w:t>
      </w:r>
    </w:p>
    <w:p w14:paraId="438834B4">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  地址</w:t>
      </w:r>
      <w:r>
        <w:rPr>
          <w:rStyle w:val="19"/>
          <w:rFonts w:ascii="宋体" w:hAnsi="宋体" w:eastAsia="宋体" w:cs="Times New Roman"/>
          <w:sz w:val="24"/>
          <w:szCs w:val="24"/>
          <w:highlight w:val="none"/>
        </w:rPr>
        <w:t>：</w:t>
      </w:r>
    </w:p>
    <w:p w14:paraId="329EF440">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受益人：</w:t>
      </w:r>
    </w:p>
    <w:p w14:paraId="09C4C9A6">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  地址：</w:t>
      </w:r>
    </w:p>
    <w:p w14:paraId="107C2331">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开立人：</w:t>
      </w:r>
    </w:p>
    <w:p w14:paraId="5CF083E4">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地址：</w:t>
      </w:r>
    </w:p>
    <w:p w14:paraId="117086C8">
      <w:pPr>
        <w:pStyle w:val="32"/>
        <w:spacing w:line="360" w:lineRule="auto"/>
        <w:rPr>
          <w:rStyle w:val="19"/>
          <w:rFonts w:ascii="宋体" w:hAnsi="宋体" w:eastAsia="宋体" w:cs="Times New Roman"/>
          <w:sz w:val="24"/>
          <w:szCs w:val="24"/>
          <w:highlight w:val="none"/>
        </w:rPr>
      </w:pPr>
      <w:r>
        <w:rPr>
          <w:rStyle w:val="19"/>
          <w:rFonts w:ascii="宋体" w:hAnsi="宋体" w:eastAsia="宋体" w:cs="Times New Roman"/>
          <w:sz w:val="24"/>
          <w:szCs w:val="24"/>
          <w:highlight w:val="none"/>
        </w:rPr>
        <w:t xml:space="preserve"> </w:t>
      </w:r>
    </w:p>
    <w:p w14:paraId="27311B91">
      <w:pPr>
        <w:pStyle w:val="32"/>
        <w:spacing w:line="360" w:lineRule="auto"/>
        <w:rPr>
          <w:rStyle w:val="19"/>
          <w:rFonts w:ascii="宋体" w:hAnsi="宋体" w:eastAsia="宋体" w:cs="Times New Roman"/>
          <w:sz w:val="24"/>
          <w:szCs w:val="24"/>
          <w:highlight w:val="none"/>
        </w:rPr>
      </w:pP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受益人</w:t>
      </w:r>
      <w:r>
        <w:rPr>
          <w:rStyle w:val="19"/>
          <w:rFonts w:ascii="宋体" w:hAnsi="宋体" w:eastAsia="宋体" w:cs="Times New Roman"/>
          <w:sz w:val="24"/>
          <w:szCs w:val="24"/>
          <w:highlight w:val="none"/>
        </w:rPr>
        <w:t xml:space="preserve">名称）： </w:t>
      </w:r>
    </w:p>
    <w:p w14:paraId="6129527A">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鉴于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受益人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与</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申请人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于</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日就</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工程（以下简称“本工程”）施工和有关事项协商一致共同签订</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u w:val="single"/>
        </w:rPr>
        <w:t>》</w:t>
      </w:r>
      <w:r>
        <w:rPr>
          <w:rStyle w:val="19"/>
          <w:rFonts w:hint="eastAsia" w:ascii="宋体" w:hAnsi="宋体" w:eastAsia="宋体" w:cs="Times New Roman"/>
          <w:sz w:val="24"/>
          <w:szCs w:val="24"/>
          <w:highlight w:val="none"/>
        </w:rPr>
        <w:t>（以下简称“基础合同”），我方（即“开立人”）根据主合同了解到申请人为主合同项下之承包人，受益人为主合同项下之发包人，基于申请人</w:t>
      </w:r>
      <w:r>
        <w:rPr>
          <w:rStyle w:val="19"/>
          <w:rFonts w:ascii="宋体" w:hAnsi="宋体" w:eastAsia="宋体" w:cs="Times New Roman"/>
          <w:sz w:val="24"/>
          <w:szCs w:val="24"/>
          <w:highlight w:val="none"/>
        </w:rPr>
        <w:t>的请求，我方同意就</w:t>
      </w:r>
      <w:r>
        <w:rPr>
          <w:rStyle w:val="19"/>
          <w:rFonts w:hint="eastAsia" w:ascii="宋体" w:hAnsi="宋体" w:eastAsia="宋体" w:cs="Times New Roman"/>
          <w:sz w:val="24"/>
          <w:szCs w:val="24"/>
          <w:highlight w:val="none"/>
        </w:rPr>
        <w:t>申请人按照合同约定正确和合理地为合同目的使用预付款，</w:t>
      </w:r>
      <w:r>
        <w:rPr>
          <w:rStyle w:val="19"/>
          <w:rFonts w:ascii="宋体" w:hAnsi="宋体" w:eastAsia="宋体" w:cs="Times New Roman"/>
          <w:sz w:val="24"/>
          <w:szCs w:val="24"/>
          <w:highlight w:val="none"/>
        </w:rPr>
        <w:t>向贵方提供不可撤销、</w:t>
      </w:r>
      <w:r>
        <w:rPr>
          <w:rStyle w:val="19"/>
          <w:rFonts w:hint="eastAsia" w:ascii="宋体" w:hAnsi="宋体" w:eastAsia="宋体" w:cs="Times New Roman"/>
          <w:sz w:val="24"/>
          <w:szCs w:val="24"/>
          <w:highlight w:val="none"/>
        </w:rPr>
        <w:t>不可转让的见索即付</w:t>
      </w:r>
      <w:r>
        <w:rPr>
          <w:rStyle w:val="19"/>
          <w:rFonts w:ascii="宋体" w:hAnsi="宋体" w:eastAsia="宋体" w:cs="Times New Roman"/>
          <w:sz w:val="24"/>
          <w:szCs w:val="24"/>
          <w:highlight w:val="none"/>
        </w:rPr>
        <w:t>独立</w:t>
      </w:r>
      <w:r>
        <w:rPr>
          <w:rStyle w:val="19"/>
          <w:rFonts w:hint="eastAsia" w:ascii="宋体" w:hAnsi="宋体" w:eastAsia="宋体" w:cs="Times New Roman"/>
          <w:sz w:val="24"/>
          <w:szCs w:val="24"/>
          <w:highlight w:val="none"/>
        </w:rPr>
        <w:t>保函（以下简称“本保函”）</w:t>
      </w:r>
      <w:r>
        <w:rPr>
          <w:rStyle w:val="19"/>
          <w:rFonts w:ascii="宋体" w:hAnsi="宋体" w:eastAsia="宋体" w:cs="Times New Roman"/>
          <w:sz w:val="24"/>
          <w:szCs w:val="24"/>
          <w:highlight w:val="none"/>
        </w:rPr>
        <w:t xml:space="preserve">。 </w:t>
      </w:r>
    </w:p>
    <w:p w14:paraId="7BA92BD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一、本保函担保范围：申请人未按照合同约定正确和合理地为合同目的使用预付款（</w:t>
      </w:r>
      <w:r>
        <w:rPr>
          <w:rStyle w:val="19"/>
          <w:rFonts w:hint="eastAsia" w:ascii="宋体" w:hAnsi="宋体" w:eastAsia="宋体" w:cs="Times New Roman"/>
          <w:b/>
          <w:bCs/>
          <w:sz w:val="24"/>
          <w:szCs w:val="24"/>
          <w:highlight w:val="none"/>
        </w:rPr>
        <w:t>包括但不限于申请人挪用预付款，未按约定用途使用预付款，伪造材料发放工程款、农民工工资，因申请人被诉导致预付款被查封、冻结，因申请人原因被刑事查封、扣押、冻结等情形</w:t>
      </w:r>
      <w:r>
        <w:rPr>
          <w:rStyle w:val="19"/>
          <w:rFonts w:hint="eastAsia" w:ascii="宋体" w:hAnsi="宋体" w:eastAsia="宋体" w:cs="Times New Roman"/>
          <w:sz w:val="24"/>
          <w:szCs w:val="24"/>
          <w:highlight w:val="none"/>
        </w:rPr>
        <w:t>），应当向贵方承担的违约责任和赔偿因此造成的损失、利息、律师费、诉讼费用等实现债权的费用。</w:t>
      </w:r>
    </w:p>
    <w:p w14:paraId="2668009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二、本保函担保金额最高不超过</w:t>
      </w:r>
      <w:r>
        <w:rPr>
          <w:rStyle w:val="19"/>
          <w:rFonts w:ascii="宋体" w:hAnsi="宋体" w:eastAsia="宋体" w:cs="Times New Roman"/>
          <w:sz w:val="24"/>
          <w:szCs w:val="24"/>
          <w:highlight w:val="none"/>
        </w:rPr>
        <w:t>人民币（大写）</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元（¥</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 xml:space="preserve">）。 </w:t>
      </w:r>
    </w:p>
    <w:p w14:paraId="789B1CB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三、本保函</w:t>
      </w:r>
      <w:r>
        <w:rPr>
          <w:rStyle w:val="19"/>
          <w:rFonts w:ascii="宋体" w:hAnsi="宋体" w:eastAsia="宋体" w:cs="Times New Roman"/>
          <w:sz w:val="24"/>
          <w:szCs w:val="24"/>
          <w:highlight w:val="none"/>
        </w:rPr>
        <w:t>有效期自</w:t>
      </w:r>
      <w:r>
        <w:rPr>
          <w:rStyle w:val="19"/>
          <w:rFonts w:hint="eastAsia" w:ascii="宋体" w:hAnsi="宋体" w:eastAsia="宋体" w:cs="Times New Roman"/>
          <w:sz w:val="24"/>
          <w:szCs w:val="24"/>
          <w:highlight w:val="none"/>
        </w:rPr>
        <w:t>开立之日起</w:t>
      </w:r>
      <w:r>
        <w:rPr>
          <w:rStyle w:val="19"/>
          <w:rFonts w:ascii="宋体" w:hAnsi="宋体" w:eastAsia="宋体" w:cs="Times New Roman"/>
          <w:sz w:val="24"/>
          <w:szCs w:val="24"/>
          <w:highlight w:val="none"/>
        </w:rPr>
        <w:t>至</w:t>
      </w:r>
      <w:r>
        <w:rPr>
          <w:rStyle w:val="19"/>
          <w:rFonts w:hint="eastAsia" w:ascii="宋体" w:hAnsi="宋体" w:eastAsia="宋体" w:cs="Times New Roman"/>
          <w:sz w:val="24"/>
          <w:szCs w:val="24"/>
          <w:highlight w:val="none"/>
        </w:rPr>
        <w:t>发包人全额扣回预付款后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日</w:t>
      </w:r>
      <w:r>
        <w:rPr>
          <w:rStyle w:val="19"/>
          <w:rFonts w:hint="eastAsia" w:ascii="宋体" w:hAnsi="宋体" w:eastAsia="宋体" w:cs="Times New Roman"/>
          <w:sz w:val="24"/>
          <w:szCs w:val="24"/>
          <w:highlight w:val="none"/>
        </w:rPr>
        <w:t>止，最迟不超过</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w:t>
      </w:r>
    </w:p>
    <w:p w14:paraId="78F3420A">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四、我方承诺，在收到受益人发来的书面付款通知后的</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日内无条件支付，前述书面付款通知即为付款要求之单据，且应满足以下要求：</w:t>
      </w:r>
    </w:p>
    <w:p w14:paraId="058065F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（1）付款通知到达的日期在本保函的有效期内；</w:t>
      </w:r>
    </w:p>
    <w:p w14:paraId="2C1455C5">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（2）载明要求支付的金额；</w:t>
      </w:r>
    </w:p>
    <w:p w14:paraId="5CDE223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（3）载明申请人违反合同义务的条款和内容；</w:t>
      </w:r>
    </w:p>
    <w:p w14:paraId="60E87F5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（4）声明不存在合同文件约定或我国法律规定免除申请人或开立人支付责任的情形；</w:t>
      </w:r>
    </w:p>
    <w:p w14:paraId="606BD67F">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（5）付款通知应在本保函有效期内到达的地址是：</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w:t>
      </w:r>
    </w:p>
    <w:p w14:paraId="270B09DB">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受益人发出的书面付款通知应由其为鉴明受益人法定代表人（负责人）或授权代理人签字并加盖公章。</w:t>
      </w:r>
    </w:p>
    <w:p w14:paraId="08C8D916">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五、</w:t>
      </w:r>
      <w:r>
        <w:rPr>
          <w:rStyle w:val="19"/>
          <w:rFonts w:ascii="宋体" w:hAnsi="宋体" w:eastAsia="宋体" w:cs="Times New Roman"/>
          <w:sz w:val="24"/>
          <w:szCs w:val="24"/>
          <w:highlight w:val="none"/>
        </w:rPr>
        <w:t>本保函项下的权利不得转让，不得设定担保。贵方未经我方书面同意转 让本保函或其项下任何权利，</w:t>
      </w:r>
      <w:r>
        <w:rPr>
          <w:rStyle w:val="19"/>
          <w:rFonts w:hint="eastAsia" w:ascii="宋体" w:hAnsi="宋体" w:eastAsia="宋体" w:cs="Times New Roman"/>
          <w:sz w:val="24"/>
          <w:szCs w:val="24"/>
          <w:highlight w:val="none"/>
        </w:rPr>
        <w:t>对我方不发生法律效力</w:t>
      </w:r>
      <w:r>
        <w:rPr>
          <w:rStyle w:val="19"/>
          <w:rFonts w:ascii="宋体" w:hAnsi="宋体" w:eastAsia="宋体" w:cs="Times New Roman"/>
          <w:sz w:val="24"/>
          <w:szCs w:val="24"/>
          <w:highlight w:val="none"/>
        </w:rPr>
        <w:t xml:space="preserve">。 </w:t>
      </w:r>
    </w:p>
    <w:p w14:paraId="14385FFA">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六、与</w:t>
      </w:r>
      <w:r>
        <w:rPr>
          <w:rStyle w:val="19"/>
          <w:rFonts w:ascii="宋体" w:hAnsi="宋体" w:eastAsia="宋体" w:cs="Times New Roman"/>
          <w:sz w:val="24"/>
          <w:szCs w:val="24"/>
          <w:highlight w:val="none"/>
        </w:rPr>
        <w:t>本保函</w:t>
      </w:r>
      <w:r>
        <w:rPr>
          <w:rStyle w:val="19"/>
          <w:rFonts w:hint="eastAsia" w:ascii="宋体" w:hAnsi="宋体" w:eastAsia="宋体" w:cs="Times New Roman"/>
          <w:sz w:val="24"/>
          <w:szCs w:val="24"/>
          <w:highlight w:val="none"/>
        </w:rPr>
        <w:t>有关</w:t>
      </w:r>
      <w:r>
        <w:rPr>
          <w:rStyle w:val="19"/>
          <w:rFonts w:ascii="宋体" w:hAnsi="宋体" w:eastAsia="宋体" w:cs="Times New Roman"/>
          <w:sz w:val="24"/>
          <w:szCs w:val="24"/>
          <w:highlight w:val="none"/>
        </w:rPr>
        <w:t>的</w:t>
      </w:r>
      <w:r>
        <w:rPr>
          <w:rStyle w:val="19"/>
          <w:rFonts w:hint="eastAsia" w:ascii="宋体" w:hAnsi="宋体" w:eastAsia="宋体" w:cs="Times New Roman"/>
          <w:sz w:val="24"/>
          <w:szCs w:val="24"/>
          <w:highlight w:val="none"/>
        </w:rPr>
        <w:t>基础</w:t>
      </w:r>
      <w:r>
        <w:rPr>
          <w:rStyle w:val="19"/>
          <w:rFonts w:ascii="宋体" w:hAnsi="宋体" w:eastAsia="宋体" w:cs="Times New Roman"/>
          <w:sz w:val="24"/>
          <w:szCs w:val="24"/>
          <w:highlight w:val="none"/>
        </w:rPr>
        <w:t xml:space="preserve">合同不成立、不生效、无效、被撤销、被解除，不影响本保函的独立有效。 </w:t>
      </w:r>
    </w:p>
    <w:p w14:paraId="72410AC4">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七、</w:t>
      </w:r>
      <w:r>
        <w:rPr>
          <w:rStyle w:val="19"/>
          <w:rFonts w:ascii="宋体" w:hAnsi="宋体" w:eastAsia="宋体" w:cs="Times New Roman"/>
          <w:sz w:val="24"/>
          <w:szCs w:val="24"/>
          <w:highlight w:val="none"/>
        </w:rPr>
        <w:t>贵方应在本保函到期后的七日内将本保函正本退回我方注销，但是不论贵方是否按此要求将本保函正本退回我方，我方在本保函项下的义务和责任均在保函</w:t>
      </w:r>
      <w:r>
        <w:rPr>
          <w:rStyle w:val="19"/>
          <w:rFonts w:hint="eastAsia" w:ascii="宋体" w:hAnsi="宋体" w:eastAsia="宋体" w:cs="Times New Roman"/>
          <w:sz w:val="24"/>
          <w:szCs w:val="24"/>
          <w:highlight w:val="none"/>
        </w:rPr>
        <w:t>有效期</w:t>
      </w:r>
      <w:r>
        <w:rPr>
          <w:rStyle w:val="19"/>
          <w:rFonts w:ascii="宋体" w:hAnsi="宋体" w:eastAsia="宋体" w:cs="Times New Roman"/>
          <w:sz w:val="24"/>
          <w:szCs w:val="24"/>
          <w:highlight w:val="none"/>
        </w:rPr>
        <w:t xml:space="preserve">到期后自动消灭。 </w:t>
      </w:r>
    </w:p>
    <w:p w14:paraId="1B85453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八、</w:t>
      </w:r>
      <w:r>
        <w:rPr>
          <w:rStyle w:val="19"/>
          <w:rFonts w:ascii="宋体" w:hAnsi="宋体" w:eastAsia="宋体" w:cs="Times New Roman"/>
          <w:sz w:val="24"/>
          <w:szCs w:val="24"/>
          <w:highlight w:val="none"/>
        </w:rPr>
        <w:t>本保函</w:t>
      </w:r>
      <w:r>
        <w:rPr>
          <w:rStyle w:val="19"/>
          <w:rFonts w:hint="eastAsia" w:ascii="宋体" w:hAnsi="宋体" w:eastAsia="宋体" w:cs="Times New Roman"/>
          <w:sz w:val="24"/>
          <w:szCs w:val="24"/>
          <w:highlight w:val="none"/>
        </w:rPr>
        <w:t>适用的法律为中华人民共和国法律，争议裁判管辖地为中华人民共和国</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 xml:space="preserve">。 </w:t>
      </w:r>
    </w:p>
    <w:p w14:paraId="14D1BB90">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九、</w:t>
      </w:r>
      <w:r>
        <w:rPr>
          <w:rStyle w:val="19"/>
          <w:rFonts w:ascii="宋体" w:hAnsi="宋体" w:eastAsia="宋体" w:cs="Times New Roman"/>
          <w:sz w:val="24"/>
          <w:szCs w:val="24"/>
          <w:highlight w:val="none"/>
        </w:rPr>
        <w:t>本保函自我方法定代表人</w:t>
      </w:r>
      <w:r>
        <w:rPr>
          <w:rStyle w:val="19"/>
          <w:rFonts w:hint="eastAsia" w:ascii="宋体" w:hAnsi="宋体" w:eastAsia="宋体" w:cs="Times New Roman"/>
          <w:sz w:val="24"/>
          <w:szCs w:val="24"/>
          <w:highlight w:val="none"/>
        </w:rPr>
        <w:t>或授权代表</w:t>
      </w:r>
      <w:r>
        <w:rPr>
          <w:rStyle w:val="19"/>
          <w:rFonts w:ascii="宋体" w:hAnsi="宋体" w:eastAsia="宋体" w:cs="Times New Roman"/>
          <w:sz w:val="24"/>
          <w:szCs w:val="24"/>
          <w:highlight w:val="none"/>
        </w:rPr>
        <w:t>签字</w:t>
      </w:r>
      <w:r>
        <w:rPr>
          <w:rStyle w:val="19"/>
          <w:rFonts w:hint="eastAsia" w:ascii="宋体" w:hAnsi="宋体" w:eastAsia="宋体" w:cs="Times New Roman"/>
          <w:sz w:val="24"/>
          <w:szCs w:val="24"/>
          <w:highlight w:val="none"/>
        </w:rPr>
        <w:t>并</w:t>
      </w:r>
      <w:r>
        <w:rPr>
          <w:rStyle w:val="19"/>
          <w:rFonts w:ascii="宋体" w:hAnsi="宋体" w:eastAsia="宋体" w:cs="Times New Roman"/>
          <w:sz w:val="24"/>
          <w:szCs w:val="24"/>
          <w:highlight w:val="none"/>
        </w:rPr>
        <w:t xml:space="preserve">加盖公章之日起生效。 </w:t>
      </w:r>
    </w:p>
    <w:p w14:paraId="579A7C50">
      <w:pPr>
        <w:pStyle w:val="32"/>
        <w:spacing w:line="360" w:lineRule="auto"/>
        <w:ind w:firstLine="480" w:firstLineChars="200"/>
        <w:rPr>
          <w:rStyle w:val="19"/>
          <w:rFonts w:ascii="宋体" w:hAnsi="宋体" w:eastAsia="宋体" w:cs="Times New Roman"/>
          <w:sz w:val="24"/>
          <w:szCs w:val="24"/>
          <w:highlight w:val="none"/>
        </w:rPr>
      </w:pPr>
    </w:p>
    <w:p w14:paraId="34AF3DF0">
      <w:pPr>
        <w:pStyle w:val="32"/>
        <w:spacing w:line="360" w:lineRule="auto"/>
        <w:ind w:firstLine="480" w:firstLineChars="200"/>
        <w:rPr>
          <w:rStyle w:val="19"/>
          <w:rFonts w:ascii="宋体" w:hAnsi="宋体" w:eastAsia="宋体" w:cs="Times New Roman"/>
          <w:sz w:val="24"/>
          <w:szCs w:val="24"/>
          <w:highlight w:val="none"/>
        </w:rPr>
      </w:pPr>
    </w:p>
    <w:p w14:paraId="6BF3A12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开 立 人</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 xml:space="preserve">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公</w:t>
      </w:r>
      <w:r>
        <w:rPr>
          <w:rStyle w:val="19"/>
          <w:rFonts w:ascii="宋体" w:hAnsi="宋体" w:eastAsia="宋体" w:cs="Times New Roman"/>
          <w:sz w:val="24"/>
          <w:szCs w:val="24"/>
          <w:highlight w:val="none"/>
        </w:rPr>
        <w:t xml:space="preserve">章） </w:t>
      </w:r>
    </w:p>
    <w:p w14:paraId="78FD3CDE">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法定代表人（或授权代表）：</w:t>
      </w:r>
      <w:r>
        <w:rPr>
          <w:rStyle w:val="19"/>
          <w:rFonts w:ascii="宋体" w:hAnsi="宋体" w:eastAsia="宋体" w:cs="Times New Roman"/>
          <w:sz w:val="24"/>
          <w:szCs w:val="24"/>
          <w:highlight w:val="none"/>
        </w:rPr>
        <w:t xml:space="preserve">               （签字） </w:t>
      </w:r>
    </w:p>
    <w:p w14:paraId="47E63A3F">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w:t>
      </w:r>
      <w:r>
        <w:rPr>
          <w:rStyle w:val="19"/>
          <w:rFonts w:ascii="宋体" w:hAnsi="宋体" w:eastAsia="宋体" w:cs="Times New Roman"/>
          <w:sz w:val="24"/>
          <w:szCs w:val="24"/>
          <w:highlight w:val="none"/>
        </w:rPr>
        <w:t xml:space="preserve">    址：                                       </w:t>
      </w:r>
    </w:p>
    <w:p w14:paraId="1F144D06">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邮政编码：</w:t>
      </w:r>
      <w:r>
        <w:rPr>
          <w:rStyle w:val="19"/>
          <w:rFonts w:ascii="宋体" w:hAnsi="宋体" w:eastAsia="宋体" w:cs="Times New Roman"/>
          <w:sz w:val="24"/>
          <w:szCs w:val="24"/>
          <w:highlight w:val="none"/>
        </w:rPr>
        <w:t xml:space="preserve">                 </w:t>
      </w:r>
    </w:p>
    <w:p w14:paraId="74E8E35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电</w:t>
      </w:r>
      <w:r>
        <w:rPr>
          <w:rStyle w:val="19"/>
          <w:rFonts w:ascii="宋体" w:hAnsi="宋体" w:eastAsia="宋体" w:cs="Times New Roman"/>
          <w:sz w:val="24"/>
          <w:szCs w:val="24"/>
          <w:highlight w:val="none"/>
        </w:rPr>
        <w:t xml:space="preserve">    话：                 </w:t>
      </w:r>
    </w:p>
    <w:p w14:paraId="14FF39DA">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传</w:t>
      </w:r>
      <w:r>
        <w:rPr>
          <w:rStyle w:val="19"/>
          <w:rFonts w:ascii="宋体" w:hAnsi="宋体" w:eastAsia="宋体" w:cs="Times New Roman"/>
          <w:sz w:val="24"/>
          <w:szCs w:val="24"/>
          <w:highlight w:val="none"/>
        </w:rPr>
        <w:t xml:space="preserve">    真：                 </w:t>
      </w:r>
    </w:p>
    <w:p w14:paraId="58F31430">
      <w:pPr>
        <w:pStyle w:val="32"/>
        <w:rPr>
          <w:rStyle w:val="19"/>
          <w:rFonts w:ascii="宋体" w:hAnsi="宋体" w:eastAsia="宋体" w:cs="Times New Roman"/>
          <w:highlight w:val="none"/>
        </w:rPr>
      </w:pPr>
      <w:r>
        <w:rPr>
          <w:rStyle w:val="19"/>
          <w:rFonts w:hint="eastAsia" w:ascii="宋体" w:hAnsi="宋体" w:eastAsia="宋体" w:cs="Times New Roman"/>
          <w:sz w:val="24"/>
          <w:szCs w:val="24"/>
          <w:highlight w:val="none"/>
        </w:rPr>
        <w:t xml:space="preserve">    开立时间：</w:t>
      </w:r>
      <w:r>
        <w:rPr>
          <w:rStyle w:val="19"/>
          <w:rFonts w:ascii="宋体" w:hAnsi="宋体" w:eastAsia="宋体" w:cs="Times New Roman"/>
          <w:sz w:val="24"/>
          <w:szCs w:val="24"/>
          <w:highlight w:val="none"/>
        </w:rPr>
        <w:t xml:space="preserve">      年      月        日</w:t>
      </w:r>
    </w:p>
    <w:p w14:paraId="44CB3693">
      <w:pPr>
        <w:pStyle w:val="32"/>
        <w:spacing w:line="360" w:lineRule="auto"/>
        <w:jc w:val="left"/>
        <w:rPr>
          <w:rStyle w:val="19"/>
          <w:rFonts w:hint="eastAsia" w:ascii="宋体" w:hAnsi="宋体" w:eastAsia="宋体" w:cs="黑体"/>
          <w:b/>
          <w:bCs/>
          <w:sz w:val="32"/>
          <w:szCs w:val="32"/>
          <w:highlight w:val="none"/>
        </w:rPr>
      </w:pPr>
      <w:r>
        <w:rPr>
          <w:rStyle w:val="19"/>
          <w:rFonts w:ascii="宋体" w:hAnsi="宋体" w:eastAsia="宋体" w:cs="黑体"/>
          <w:sz w:val="32"/>
          <w:szCs w:val="32"/>
          <w:highlight w:val="none"/>
        </w:rPr>
        <w:br w:type="page"/>
      </w:r>
      <w:r>
        <w:rPr>
          <w:rStyle w:val="19"/>
          <w:rFonts w:hint="eastAsia" w:ascii="宋体" w:hAnsi="宋体" w:eastAsia="宋体" w:cs="黑体"/>
          <w:sz w:val="32"/>
          <w:szCs w:val="32"/>
          <w:highlight w:val="none"/>
        </w:rPr>
        <w:t>附件</w:t>
      </w:r>
      <w:r>
        <w:rPr>
          <w:rStyle w:val="19"/>
          <w:rFonts w:ascii="宋体" w:hAnsi="宋体" w:eastAsia="宋体" w:cs="黑体"/>
          <w:sz w:val="32"/>
          <w:szCs w:val="32"/>
          <w:highlight w:val="none"/>
        </w:rPr>
        <w:t>8</w:t>
      </w:r>
    </w:p>
    <w:p w14:paraId="532949B0">
      <w:pPr>
        <w:pStyle w:val="32"/>
        <w:spacing w:line="360" w:lineRule="auto"/>
        <w:jc w:val="left"/>
        <w:rPr>
          <w:rStyle w:val="19"/>
          <w:rFonts w:ascii="宋体" w:hAnsi="宋体" w:eastAsia="宋体" w:cs="黑体"/>
          <w:b/>
          <w:bCs/>
          <w:sz w:val="32"/>
          <w:szCs w:val="32"/>
          <w:highlight w:val="none"/>
        </w:rPr>
      </w:pPr>
    </w:p>
    <w:p w14:paraId="563CF8A1">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预付款保函示范文本</w:t>
      </w:r>
    </w:p>
    <w:p w14:paraId="40644274">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（非独立保函）</w:t>
      </w:r>
    </w:p>
    <w:p w14:paraId="2591D172">
      <w:pPr>
        <w:pStyle w:val="32"/>
        <w:wordWrap w:val="0"/>
        <w:spacing w:line="360" w:lineRule="auto"/>
        <w:jc w:val="right"/>
        <w:rPr>
          <w:rStyle w:val="19"/>
          <w:rFonts w:ascii="宋体" w:hAnsi="宋体" w:eastAsia="宋体" w:cs="Times New Roman"/>
          <w:highlight w:val="none"/>
        </w:rPr>
      </w:pPr>
      <w:r>
        <w:rPr>
          <w:rStyle w:val="19"/>
          <w:rFonts w:hint="eastAsia" w:ascii="宋体" w:hAnsi="宋体" w:eastAsia="宋体" w:cs="Times New Roman"/>
          <w:highlight w:val="none"/>
        </w:rPr>
        <w:t xml:space="preserve">编号： </w:t>
      </w:r>
      <w:r>
        <w:rPr>
          <w:rStyle w:val="19"/>
          <w:rFonts w:ascii="宋体" w:hAnsi="宋体" w:eastAsia="宋体" w:cs="Times New Roman"/>
          <w:highlight w:val="none"/>
        </w:rPr>
        <w:t xml:space="preserve">          </w:t>
      </w:r>
    </w:p>
    <w:p w14:paraId="0AF2505F">
      <w:pPr>
        <w:pStyle w:val="32"/>
        <w:spacing w:line="360" w:lineRule="auto"/>
        <w:rPr>
          <w:rStyle w:val="19"/>
          <w:rFonts w:ascii="宋体" w:hAnsi="宋体" w:eastAsia="宋体" w:cs="Times New Roman"/>
          <w:sz w:val="24"/>
          <w:szCs w:val="24"/>
          <w:highlight w:val="none"/>
        </w:rPr>
      </w:pPr>
    </w:p>
    <w:p w14:paraId="208D3579">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担保权人/发包人：</w:t>
      </w:r>
    </w:p>
    <w:p w14:paraId="431280E0">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地址</w:t>
      </w:r>
      <w:r>
        <w:rPr>
          <w:rStyle w:val="19"/>
          <w:rFonts w:ascii="宋体" w:hAnsi="宋体" w:eastAsia="宋体" w:cs="Times New Roman"/>
          <w:sz w:val="24"/>
          <w:szCs w:val="24"/>
          <w:highlight w:val="none"/>
        </w:rPr>
        <w:t>：</w:t>
      </w:r>
    </w:p>
    <w:p w14:paraId="1D65AFB1">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承包人：</w:t>
      </w:r>
      <w:r>
        <w:rPr>
          <w:rStyle w:val="19"/>
          <w:rFonts w:ascii="宋体" w:hAnsi="宋体" w:eastAsia="宋体" w:cs="Times New Roman"/>
          <w:sz w:val="24"/>
          <w:szCs w:val="24"/>
          <w:highlight w:val="none"/>
        </w:rPr>
        <w:t xml:space="preserve"> </w:t>
      </w:r>
    </w:p>
    <w:p w14:paraId="44D60298">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地址：</w:t>
      </w:r>
    </w:p>
    <w:p w14:paraId="7D1C135E">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保证人：</w:t>
      </w:r>
    </w:p>
    <w:p w14:paraId="618612C2">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地址：</w:t>
      </w:r>
    </w:p>
    <w:p w14:paraId="137AB0C7">
      <w:pPr>
        <w:pStyle w:val="32"/>
        <w:spacing w:line="360" w:lineRule="auto"/>
        <w:rPr>
          <w:rStyle w:val="19"/>
          <w:rFonts w:ascii="宋体" w:hAnsi="宋体" w:eastAsia="宋体" w:cs="Times New Roman"/>
          <w:sz w:val="24"/>
          <w:szCs w:val="24"/>
          <w:highlight w:val="none"/>
        </w:rPr>
      </w:pPr>
    </w:p>
    <w:p w14:paraId="1C79C3D1">
      <w:pPr>
        <w:pStyle w:val="32"/>
        <w:spacing w:line="360" w:lineRule="auto"/>
        <w:rPr>
          <w:rStyle w:val="19"/>
          <w:rFonts w:ascii="宋体" w:hAnsi="宋体" w:eastAsia="宋体" w:cs="Times New Roman"/>
          <w:sz w:val="24"/>
          <w:szCs w:val="24"/>
          <w:highlight w:val="none"/>
        </w:rPr>
      </w:pP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发包人</w:t>
      </w:r>
      <w:r>
        <w:rPr>
          <w:rStyle w:val="19"/>
          <w:rFonts w:ascii="宋体" w:hAnsi="宋体" w:eastAsia="宋体" w:cs="Times New Roman"/>
          <w:sz w:val="24"/>
          <w:szCs w:val="24"/>
          <w:highlight w:val="none"/>
        </w:rPr>
        <w:t xml:space="preserve">名称）： </w:t>
      </w:r>
    </w:p>
    <w:p w14:paraId="1DA421CC">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鉴于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发包人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与</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承包人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于</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日就</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工程（以下简称“本工程”）施工和有关事项协商一致共同签订</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u w:val="single"/>
        </w:rPr>
        <w:t>》</w:t>
      </w:r>
      <w:r>
        <w:rPr>
          <w:rStyle w:val="19"/>
          <w:rFonts w:hint="eastAsia" w:ascii="宋体" w:hAnsi="宋体" w:eastAsia="宋体" w:cs="Times New Roman"/>
          <w:sz w:val="24"/>
          <w:szCs w:val="24"/>
          <w:highlight w:val="none"/>
        </w:rPr>
        <w:t>（以下简称“主合同”），我方即保证人基于承包人</w:t>
      </w:r>
      <w:r>
        <w:rPr>
          <w:rStyle w:val="19"/>
          <w:rFonts w:ascii="宋体" w:hAnsi="宋体" w:eastAsia="宋体" w:cs="Times New Roman"/>
          <w:sz w:val="24"/>
          <w:szCs w:val="24"/>
          <w:highlight w:val="none"/>
        </w:rPr>
        <w:t>的请求，同意就</w:t>
      </w:r>
      <w:r>
        <w:rPr>
          <w:rStyle w:val="19"/>
          <w:rFonts w:hint="eastAsia" w:ascii="宋体" w:hAnsi="宋体" w:eastAsia="宋体" w:cs="Times New Roman"/>
          <w:sz w:val="24"/>
          <w:szCs w:val="24"/>
          <w:highlight w:val="none"/>
        </w:rPr>
        <w:t>承包人按照合同约定正确和合理地为合同目的使用预付款，不将预付款挪作他用，</w:t>
      </w:r>
      <w:r>
        <w:rPr>
          <w:rStyle w:val="19"/>
          <w:rFonts w:ascii="宋体" w:hAnsi="宋体" w:eastAsia="宋体" w:cs="Times New Roman"/>
          <w:sz w:val="24"/>
          <w:szCs w:val="24"/>
          <w:highlight w:val="none"/>
        </w:rPr>
        <w:t>向贵方提供</w:t>
      </w:r>
      <w:r>
        <w:rPr>
          <w:rStyle w:val="19"/>
          <w:rFonts w:hint="eastAsia" w:ascii="宋体" w:hAnsi="宋体" w:eastAsia="宋体" w:cs="Times New Roman"/>
          <w:sz w:val="24"/>
          <w:szCs w:val="24"/>
          <w:highlight w:val="none"/>
        </w:rPr>
        <w:t>如下保证担保（以下简称“本保证担保”）</w:t>
      </w:r>
      <w:r>
        <w:rPr>
          <w:rStyle w:val="19"/>
          <w:rFonts w:ascii="宋体" w:hAnsi="宋体" w:eastAsia="宋体" w:cs="Times New Roman"/>
          <w:sz w:val="24"/>
          <w:szCs w:val="24"/>
          <w:highlight w:val="none"/>
        </w:rPr>
        <w:t xml:space="preserve">。 </w:t>
      </w:r>
    </w:p>
    <w:p w14:paraId="21B91B16">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一、保证担保的范围及保证担保金额</w:t>
      </w:r>
    </w:p>
    <w:p w14:paraId="6FD05E4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保证担保范围：申请人未按照合同约定正确和合理地为合同目的使用预付款（</w:t>
      </w:r>
      <w:r>
        <w:rPr>
          <w:rStyle w:val="19"/>
          <w:rFonts w:hint="eastAsia" w:ascii="宋体" w:hAnsi="宋体" w:eastAsia="宋体" w:cs="Times New Roman"/>
          <w:b/>
          <w:bCs/>
          <w:sz w:val="24"/>
          <w:szCs w:val="24"/>
          <w:highlight w:val="none"/>
        </w:rPr>
        <w:t>包括但不限于申请人挪用预付款，未按约定用途使用预付款，伪造材料发放工程款、农民工工资，因申请人被诉导致预付款被查封、冻结，因申请人原因被刑事查封、扣押、冻结等情形</w:t>
      </w:r>
      <w:r>
        <w:rPr>
          <w:rStyle w:val="19"/>
          <w:rFonts w:hint="eastAsia" w:ascii="宋体" w:hAnsi="宋体" w:eastAsia="宋体" w:cs="Times New Roman"/>
          <w:sz w:val="24"/>
          <w:szCs w:val="24"/>
          <w:highlight w:val="none"/>
        </w:rPr>
        <w:t>），应当向贵方承担的违约责任和赔偿因此造成的损失、利息、律师费、诉讼费用等实现债权的费用。</w:t>
      </w:r>
    </w:p>
    <w:p w14:paraId="13CACE7C">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保证担保金额最高不超过</w:t>
      </w:r>
      <w:r>
        <w:rPr>
          <w:rStyle w:val="19"/>
          <w:rFonts w:ascii="宋体" w:hAnsi="宋体" w:eastAsia="宋体" w:cs="Times New Roman"/>
          <w:sz w:val="24"/>
          <w:szCs w:val="24"/>
          <w:highlight w:val="none"/>
        </w:rPr>
        <w:t>人民币（大写）</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元（¥</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 xml:space="preserve">）。 </w:t>
      </w:r>
    </w:p>
    <w:p w14:paraId="25B2AAC8">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二、保证担保的方式及保证期间</w:t>
      </w:r>
      <w:r>
        <w:rPr>
          <w:rStyle w:val="19"/>
          <w:rFonts w:ascii="宋体" w:hAnsi="宋体" w:eastAsia="宋体" w:cs="Times New Roman"/>
          <w:b/>
          <w:bCs/>
          <w:sz w:val="24"/>
          <w:szCs w:val="24"/>
          <w:highlight w:val="none"/>
        </w:rPr>
        <w:t xml:space="preserve"> </w:t>
      </w:r>
    </w:p>
    <w:p w14:paraId="1823F86A">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1.保证担保方式：连带责任保证。</w:t>
      </w:r>
    </w:p>
    <w:p w14:paraId="43D87A99">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保证期间：</w:t>
      </w:r>
      <w:r>
        <w:rPr>
          <w:rStyle w:val="19"/>
          <w:rFonts w:ascii="宋体" w:hAnsi="宋体" w:eastAsia="宋体" w:cs="Times New Roman"/>
          <w:sz w:val="24"/>
          <w:szCs w:val="24"/>
          <w:highlight w:val="none"/>
        </w:rPr>
        <w:t>自</w:t>
      </w:r>
      <w:r>
        <w:rPr>
          <w:rStyle w:val="19"/>
          <w:rFonts w:hint="eastAsia" w:ascii="宋体" w:hAnsi="宋体" w:eastAsia="宋体" w:cs="Times New Roman"/>
          <w:sz w:val="24"/>
          <w:szCs w:val="24"/>
          <w:highlight w:val="none"/>
        </w:rPr>
        <w:t>出具之日起</w:t>
      </w:r>
      <w:r>
        <w:rPr>
          <w:rStyle w:val="19"/>
          <w:rFonts w:ascii="宋体" w:hAnsi="宋体" w:eastAsia="宋体" w:cs="Times New Roman"/>
          <w:sz w:val="24"/>
          <w:szCs w:val="24"/>
          <w:highlight w:val="none"/>
        </w:rPr>
        <w:t>至</w:t>
      </w:r>
      <w:r>
        <w:rPr>
          <w:rStyle w:val="19"/>
          <w:rFonts w:hint="eastAsia" w:ascii="宋体" w:hAnsi="宋体" w:eastAsia="宋体" w:cs="Times New Roman"/>
          <w:sz w:val="24"/>
          <w:szCs w:val="24"/>
          <w:highlight w:val="none"/>
        </w:rPr>
        <w:t>发包人全额扣回预付款后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日</w:t>
      </w:r>
      <w:r>
        <w:rPr>
          <w:rStyle w:val="19"/>
          <w:rFonts w:hint="eastAsia" w:ascii="宋体" w:hAnsi="宋体" w:eastAsia="宋体" w:cs="Times New Roman"/>
          <w:sz w:val="24"/>
          <w:szCs w:val="24"/>
          <w:highlight w:val="none"/>
        </w:rPr>
        <w:t>止，最迟不超过</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w:t>
      </w:r>
      <w:r>
        <w:rPr>
          <w:rStyle w:val="19"/>
          <w:rFonts w:ascii="宋体" w:hAnsi="宋体" w:eastAsia="宋体" w:cs="Times New Roman"/>
          <w:sz w:val="24"/>
          <w:szCs w:val="24"/>
          <w:highlight w:val="none"/>
        </w:rPr>
        <w:t xml:space="preserve">。 </w:t>
      </w:r>
    </w:p>
    <w:p w14:paraId="0B3F97AC">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三、承担保证担保责任的形式</w:t>
      </w:r>
    </w:p>
    <w:p w14:paraId="2DE0A333">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发生应承担保证责任情形的，我方在保证金额内向贵方支付，并赔偿因此给贵方造成的损失，以及利息和律师费、诉讼费用等实现债权的费用。</w:t>
      </w:r>
    </w:p>
    <w:p w14:paraId="74989966">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四、代偿的安排</w:t>
      </w:r>
      <w:r>
        <w:rPr>
          <w:rStyle w:val="19"/>
          <w:rFonts w:ascii="宋体" w:hAnsi="宋体" w:eastAsia="宋体" w:cs="Times New Roman"/>
          <w:b/>
          <w:bCs/>
          <w:sz w:val="24"/>
          <w:szCs w:val="24"/>
          <w:highlight w:val="none"/>
        </w:rPr>
        <w:t xml:space="preserve"> </w:t>
      </w:r>
    </w:p>
    <w:p w14:paraId="073935CB">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7F5B1384">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2.我方收到贵方的书面索赔通知及相应证明材料后，在</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工作日内进行核定后按照本保函的承诺承担保证责任。</w:t>
      </w:r>
    </w:p>
    <w:p w14:paraId="73478365">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五、保证担保责任的解除</w:t>
      </w:r>
      <w:r>
        <w:rPr>
          <w:rStyle w:val="19"/>
          <w:rFonts w:ascii="宋体" w:hAnsi="宋体" w:eastAsia="宋体" w:cs="Times New Roman"/>
          <w:b/>
          <w:bCs/>
          <w:sz w:val="24"/>
          <w:szCs w:val="24"/>
          <w:highlight w:val="none"/>
        </w:rPr>
        <w:t xml:space="preserve"> </w:t>
      </w:r>
    </w:p>
    <w:p w14:paraId="3ED6C0DE">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 xml:space="preserve">保证期间届满贵方未向我方书面主张保证责任的，自保证期间届满次日起，我方解除保证责任。 </w:t>
      </w:r>
    </w:p>
    <w:p w14:paraId="4087E68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我方按照本</w:t>
      </w:r>
      <w:r>
        <w:rPr>
          <w:rStyle w:val="19"/>
          <w:rFonts w:hint="eastAsia" w:ascii="宋体" w:hAnsi="宋体" w:eastAsia="宋体" w:cs="Times New Roman"/>
          <w:sz w:val="24"/>
          <w:szCs w:val="24"/>
          <w:highlight w:val="none"/>
        </w:rPr>
        <w:t>保证担保</w:t>
      </w:r>
      <w:r>
        <w:rPr>
          <w:rStyle w:val="19"/>
          <w:rFonts w:ascii="宋体" w:hAnsi="宋体" w:eastAsia="宋体" w:cs="Times New Roman"/>
          <w:sz w:val="24"/>
          <w:szCs w:val="24"/>
          <w:highlight w:val="none"/>
        </w:rPr>
        <w:t>向贵方履行了</w:t>
      </w:r>
      <w:r>
        <w:rPr>
          <w:rStyle w:val="19"/>
          <w:rFonts w:hint="eastAsia" w:ascii="宋体" w:hAnsi="宋体" w:eastAsia="宋体" w:cs="Times New Roman"/>
          <w:sz w:val="24"/>
          <w:szCs w:val="24"/>
          <w:highlight w:val="none"/>
        </w:rPr>
        <w:t>保证担保责任</w:t>
      </w:r>
      <w:r>
        <w:rPr>
          <w:rStyle w:val="19"/>
          <w:rFonts w:ascii="宋体" w:hAnsi="宋体" w:eastAsia="宋体" w:cs="Times New Roman"/>
          <w:sz w:val="24"/>
          <w:szCs w:val="24"/>
          <w:highlight w:val="none"/>
        </w:rPr>
        <w:t>后，自我方向贵方支付</w:t>
      </w:r>
      <w:r>
        <w:rPr>
          <w:rStyle w:val="19"/>
          <w:rFonts w:hint="eastAsia" w:ascii="宋体" w:hAnsi="宋体" w:eastAsia="宋体" w:cs="Times New Roman"/>
          <w:sz w:val="24"/>
          <w:szCs w:val="24"/>
          <w:highlight w:val="none"/>
        </w:rPr>
        <w:t>的金额达到最高保证担保金额</w:t>
      </w:r>
      <w:r>
        <w:rPr>
          <w:rStyle w:val="19"/>
          <w:rFonts w:ascii="宋体" w:hAnsi="宋体" w:eastAsia="宋体" w:cs="Times New Roman"/>
          <w:sz w:val="24"/>
          <w:szCs w:val="24"/>
          <w:highlight w:val="none"/>
        </w:rPr>
        <w:t>之日起，</w:t>
      </w:r>
      <w:r>
        <w:rPr>
          <w:rStyle w:val="19"/>
          <w:rFonts w:hint="eastAsia" w:ascii="宋体" w:hAnsi="宋体" w:eastAsia="宋体" w:cs="Times New Roman"/>
          <w:sz w:val="24"/>
          <w:szCs w:val="24"/>
          <w:highlight w:val="none"/>
        </w:rPr>
        <w:t>保证担保责任</w:t>
      </w:r>
      <w:r>
        <w:rPr>
          <w:rStyle w:val="19"/>
          <w:rFonts w:ascii="宋体" w:hAnsi="宋体" w:eastAsia="宋体" w:cs="Times New Roman"/>
          <w:sz w:val="24"/>
          <w:szCs w:val="24"/>
          <w:highlight w:val="none"/>
        </w:rPr>
        <w:t xml:space="preserve">解除。 </w:t>
      </w:r>
    </w:p>
    <w:p w14:paraId="44E3899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w:t>
      </w:r>
      <w:r>
        <w:rPr>
          <w:rStyle w:val="19"/>
          <w:rFonts w:ascii="宋体" w:hAnsi="宋体" w:eastAsia="宋体" w:cs="Times New Roman"/>
          <w:sz w:val="24"/>
          <w:szCs w:val="24"/>
          <w:highlight w:val="none"/>
        </w:rPr>
        <w:t>按照法律法规的规定应解除我方保证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责任的其它情形的，我方在本保证担保项下的保证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 xml:space="preserve">责任亦解除。 </w:t>
      </w:r>
    </w:p>
    <w:p w14:paraId="3D6B7C0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4.我方解除保证责任后，贵方应按上述约定，自我方保证担保责任解除之日起七</w:t>
      </w:r>
      <w:r>
        <w:rPr>
          <w:rStyle w:val="19"/>
          <w:rFonts w:ascii="宋体" w:hAnsi="宋体" w:eastAsia="宋体" w:cs="Times New Roman"/>
          <w:sz w:val="24"/>
          <w:szCs w:val="24"/>
          <w:highlight w:val="none"/>
        </w:rPr>
        <w:t>日内，将本保证担保原件返还我方。但是不论贵方是否按此要求将本保证担保</w:t>
      </w:r>
      <w:r>
        <w:rPr>
          <w:rStyle w:val="19"/>
          <w:rFonts w:hint="eastAsia" w:ascii="宋体" w:hAnsi="宋体" w:eastAsia="宋体" w:cs="Times New Roman"/>
          <w:sz w:val="24"/>
          <w:szCs w:val="24"/>
          <w:highlight w:val="none"/>
        </w:rPr>
        <w:t>原件</w:t>
      </w:r>
      <w:r>
        <w:rPr>
          <w:rStyle w:val="19"/>
          <w:rFonts w:ascii="宋体" w:hAnsi="宋体" w:eastAsia="宋体" w:cs="Times New Roman"/>
          <w:sz w:val="24"/>
          <w:szCs w:val="24"/>
          <w:highlight w:val="none"/>
        </w:rPr>
        <w:t>退回我方，我方在本保证担保项下的义务和责任均</w:t>
      </w:r>
      <w:r>
        <w:rPr>
          <w:rStyle w:val="19"/>
          <w:rFonts w:hint="eastAsia" w:ascii="宋体" w:hAnsi="宋体" w:eastAsia="宋体" w:cs="Times New Roman"/>
          <w:sz w:val="24"/>
          <w:szCs w:val="24"/>
          <w:highlight w:val="none"/>
        </w:rPr>
        <w:t>自保证担保责任解除之日</w:t>
      </w:r>
      <w:r>
        <w:rPr>
          <w:rStyle w:val="19"/>
          <w:rFonts w:ascii="宋体" w:hAnsi="宋体" w:eastAsia="宋体" w:cs="Times New Roman"/>
          <w:sz w:val="24"/>
          <w:szCs w:val="24"/>
          <w:highlight w:val="none"/>
        </w:rPr>
        <w:t>自动消灭。</w:t>
      </w:r>
    </w:p>
    <w:p w14:paraId="4FFE9A51">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六、免责条款</w:t>
      </w:r>
      <w:r>
        <w:rPr>
          <w:rStyle w:val="19"/>
          <w:rFonts w:ascii="宋体" w:hAnsi="宋体" w:eastAsia="宋体" w:cs="Times New Roman"/>
          <w:b/>
          <w:bCs/>
          <w:sz w:val="24"/>
          <w:szCs w:val="24"/>
          <w:highlight w:val="none"/>
        </w:rPr>
        <w:t xml:space="preserve"> </w:t>
      </w:r>
    </w:p>
    <w:p w14:paraId="6BDC557F">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因贵方</w:t>
      </w:r>
      <w:r>
        <w:rPr>
          <w:rStyle w:val="19"/>
          <w:rFonts w:hint="eastAsia" w:ascii="宋体" w:hAnsi="宋体" w:eastAsia="宋体" w:cs="Times New Roman"/>
          <w:sz w:val="24"/>
          <w:szCs w:val="24"/>
          <w:highlight w:val="none"/>
        </w:rPr>
        <w:t>原因</w:t>
      </w:r>
      <w:r>
        <w:rPr>
          <w:rStyle w:val="19"/>
          <w:rFonts w:ascii="宋体" w:hAnsi="宋体" w:eastAsia="宋体" w:cs="Times New Roman"/>
          <w:sz w:val="24"/>
          <w:szCs w:val="24"/>
          <w:highlight w:val="none"/>
        </w:rPr>
        <w:t>致使</w:t>
      </w:r>
      <w:r>
        <w:rPr>
          <w:rStyle w:val="19"/>
          <w:rFonts w:hint="eastAsia" w:ascii="宋体" w:hAnsi="宋体" w:eastAsia="宋体" w:cs="Times New Roman"/>
          <w:sz w:val="24"/>
          <w:szCs w:val="24"/>
          <w:highlight w:val="none"/>
        </w:rPr>
        <w:t>发生应承担保证责任情形的</w:t>
      </w:r>
      <w:r>
        <w:rPr>
          <w:rStyle w:val="19"/>
          <w:rFonts w:ascii="宋体" w:hAnsi="宋体" w:eastAsia="宋体" w:cs="Times New Roman"/>
          <w:sz w:val="24"/>
          <w:szCs w:val="24"/>
          <w:highlight w:val="none"/>
        </w:rPr>
        <w:t>，我方不承担保证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 xml:space="preserve">责任。 </w:t>
      </w:r>
    </w:p>
    <w:p w14:paraId="3096EAE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依照法律规定或贵方与</w:t>
      </w:r>
      <w:r>
        <w:rPr>
          <w:rStyle w:val="19"/>
          <w:rFonts w:hint="eastAsia" w:ascii="宋体" w:hAnsi="宋体" w:eastAsia="宋体" w:cs="Times New Roman"/>
          <w:sz w:val="24"/>
          <w:szCs w:val="24"/>
          <w:highlight w:val="none"/>
        </w:rPr>
        <w:t>承包</w:t>
      </w:r>
      <w:r>
        <w:rPr>
          <w:rStyle w:val="19"/>
          <w:rFonts w:ascii="宋体" w:hAnsi="宋体" w:eastAsia="宋体" w:cs="Times New Roman"/>
          <w:sz w:val="24"/>
          <w:szCs w:val="24"/>
          <w:highlight w:val="none"/>
        </w:rPr>
        <w:t>人的另行约定，免除</w:t>
      </w:r>
      <w:r>
        <w:rPr>
          <w:rStyle w:val="19"/>
          <w:rFonts w:hint="eastAsia" w:ascii="宋体" w:hAnsi="宋体" w:eastAsia="宋体" w:cs="Times New Roman"/>
          <w:sz w:val="24"/>
          <w:szCs w:val="24"/>
          <w:highlight w:val="none"/>
        </w:rPr>
        <w:t>承包</w:t>
      </w:r>
      <w:r>
        <w:rPr>
          <w:rStyle w:val="19"/>
          <w:rFonts w:ascii="宋体" w:hAnsi="宋体" w:eastAsia="宋体" w:cs="Times New Roman"/>
          <w:sz w:val="24"/>
          <w:szCs w:val="24"/>
          <w:highlight w:val="none"/>
        </w:rPr>
        <w:t>人部分或全部义务的，我方亦免除其相应的保证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 xml:space="preserve">责任。 </w:t>
      </w:r>
    </w:p>
    <w:p w14:paraId="3C69935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w:t>
      </w:r>
      <w:r>
        <w:rPr>
          <w:rStyle w:val="19"/>
          <w:rFonts w:ascii="宋体" w:hAnsi="宋体" w:eastAsia="宋体" w:cs="Times New Roman"/>
          <w:sz w:val="24"/>
          <w:szCs w:val="24"/>
          <w:highlight w:val="none"/>
        </w:rPr>
        <w:t>因不可抗力造成</w:t>
      </w:r>
      <w:r>
        <w:rPr>
          <w:rStyle w:val="19"/>
          <w:rFonts w:hint="eastAsia" w:ascii="宋体" w:hAnsi="宋体" w:eastAsia="宋体" w:cs="Times New Roman"/>
          <w:sz w:val="24"/>
          <w:szCs w:val="24"/>
          <w:highlight w:val="none"/>
        </w:rPr>
        <w:t>发生应承担保证责任情形的</w:t>
      </w:r>
      <w:r>
        <w:rPr>
          <w:rStyle w:val="19"/>
          <w:rFonts w:ascii="宋体" w:hAnsi="宋体" w:eastAsia="宋体" w:cs="Times New Roman"/>
          <w:sz w:val="24"/>
          <w:szCs w:val="24"/>
          <w:highlight w:val="none"/>
        </w:rPr>
        <w:t>，我方不承担保证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责任。</w:t>
      </w:r>
    </w:p>
    <w:p w14:paraId="433E1208">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七、其他</w:t>
      </w:r>
    </w:p>
    <w:p w14:paraId="64B8FBE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本保证担保项下的权利不得转让，不得设定担保。贵方未经我方书面同意转让本保证担保或其项下任何权利，</w:t>
      </w:r>
      <w:r>
        <w:rPr>
          <w:rStyle w:val="19"/>
          <w:rFonts w:hint="eastAsia" w:ascii="宋体" w:hAnsi="宋体" w:eastAsia="宋体" w:cs="Times New Roman"/>
          <w:sz w:val="24"/>
          <w:szCs w:val="24"/>
          <w:highlight w:val="none"/>
        </w:rPr>
        <w:t>对我方不发生法律效力</w:t>
      </w:r>
      <w:r>
        <w:rPr>
          <w:rStyle w:val="19"/>
          <w:rFonts w:ascii="宋体" w:hAnsi="宋体" w:eastAsia="宋体" w:cs="Times New Roman"/>
          <w:sz w:val="24"/>
          <w:szCs w:val="24"/>
          <w:highlight w:val="none"/>
        </w:rPr>
        <w:t xml:space="preserve">。 </w:t>
      </w:r>
    </w:p>
    <w:p w14:paraId="652723FF">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.本</w:t>
      </w:r>
      <w:r>
        <w:rPr>
          <w:rStyle w:val="19"/>
          <w:rFonts w:hint="eastAsia" w:ascii="宋体" w:hAnsi="宋体" w:eastAsia="宋体" w:cs="Times New Roman"/>
          <w:sz w:val="24"/>
          <w:szCs w:val="24"/>
          <w:highlight w:val="none"/>
        </w:rPr>
        <w:t>保证担保适用的法律为中华人民共和国法律，争议裁判管辖地为中华人民共和国</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w:t>
      </w:r>
      <w:r>
        <w:rPr>
          <w:rStyle w:val="19"/>
          <w:rFonts w:ascii="宋体" w:hAnsi="宋体" w:eastAsia="宋体" w:cs="Times New Roman"/>
          <w:sz w:val="24"/>
          <w:szCs w:val="24"/>
          <w:highlight w:val="none"/>
        </w:rPr>
        <w:t xml:space="preserve"> </w:t>
      </w:r>
    </w:p>
    <w:p w14:paraId="7BB9B5CC">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w:t>
      </w:r>
      <w:r>
        <w:rPr>
          <w:rStyle w:val="19"/>
          <w:rFonts w:ascii="宋体" w:hAnsi="宋体" w:eastAsia="宋体" w:cs="Times New Roman"/>
          <w:sz w:val="24"/>
          <w:szCs w:val="24"/>
          <w:highlight w:val="none"/>
        </w:rPr>
        <w:t>.本</w:t>
      </w:r>
      <w:r>
        <w:rPr>
          <w:rStyle w:val="19"/>
          <w:rFonts w:hint="eastAsia" w:ascii="宋体" w:hAnsi="宋体" w:eastAsia="宋体" w:cs="Times New Roman"/>
          <w:sz w:val="24"/>
          <w:szCs w:val="24"/>
          <w:highlight w:val="none"/>
        </w:rPr>
        <w:t>保证担保</w:t>
      </w:r>
      <w:r>
        <w:rPr>
          <w:rStyle w:val="19"/>
          <w:rFonts w:ascii="宋体" w:hAnsi="宋体" w:eastAsia="宋体" w:cs="Times New Roman"/>
          <w:sz w:val="24"/>
          <w:szCs w:val="24"/>
          <w:highlight w:val="none"/>
        </w:rPr>
        <w:t>自我方法定代表</w:t>
      </w:r>
      <w:r>
        <w:rPr>
          <w:rStyle w:val="19"/>
          <w:rFonts w:hint="eastAsia" w:ascii="宋体" w:hAnsi="宋体" w:eastAsia="宋体" w:cs="Times New Roman"/>
          <w:sz w:val="24"/>
          <w:szCs w:val="24"/>
          <w:highlight w:val="none"/>
        </w:rPr>
        <w:t>人或授权代表</w:t>
      </w:r>
      <w:r>
        <w:rPr>
          <w:rStyle w:val="19"/>
          <w:rFonts w:ascii="宋体" w:hAnsi="宋体" w:eastAsia="宋体" w:cs="Times New Roman"/>
          <w:sz w:val="24"/>
          <w:szCs w:val="24"/>
          <w:highlight w:val="none"/>
        </w:rPr>
        <w:t>签字</w:t>
      </w:r>
      <w:r>
        <w:rPr>
          <w:rStyle w:val="19"/>
          <w:rFonts w:hint="eastAsia" w:ascii="宋体" w:hAnsi="宋体" w:eastAsia="宋体" w:cs="Times New Roman"/>
          <w:sz w:val="24"/>
          <w:szCs w:val="24"/>
          <w:highlight w:val="none"/>
        </w:rPr>
        <w:t>并</w:t>
      </w:r>
      <w:r>
        <w:rPr>
          <w:rStyle w:val="19"/>
          <w:rFonts w:ascii="宋体" w:hAnsi="宋体" w:eastAsia="宋体" w:cs="Times New Roman"/>
          <w:sz w:val="24"/>
          <w:szCs w:val="24"/>
          <w:highlight w:val="none"/>
        </w:rPr>
        <w:t xml:space="preserve">加盖公章之日起生效。 </w:t>
      </w:r>
    </w:p>
    <w:p w14:paraId="6B1332F9">
      <w:pPr>
        <w:pStyle w:val="32"/>
        <w:spacing w:line="360" w:lineRule="auto"/>
        <w:ind w:firstLine="480" w:firstLineChars="200"/>
        <w:rPr>
          <w:rStyle w:val="19"/>
          <w:rFonts w:ascii="宋体" w:hAnsi="宋体" w:eastAsia="宋体" w:cs="Times New Roman"/>
          <w:sz w:val="24"/>
          <w:szCs w:val="24"/>
          <w:highlight w:val="none"/>
        </w:rPr>
      </w:pPr>
    </w:p>
    <w:p w14:paraId="4FFD129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保 证 人</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 xml:space="preserve">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（公</w:t>
      </w:r>
      <w:r>
        <w:rPr>
          <w:rStyle w:val="19"/>
          <w:rFonts w:ascii="宋体" w:hAnsi="宋体" w:eastAsia="宋体" w:cs="Times New Roman"/>
          <w:sz w:val="24"/>
          <w:szCs w:val="24"/>
          <w:highlight w:val="none"/>
        </w:rPr>
        <w:t xml:space="preserve">章） </w:t>
      </w:r>
    </w:p>
    <w:p w14:paraId="50A5EA89">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法定代表人（或授权代表）：</w:t>
      </w:r>
      <w:r>
        <w:rPr>
          <w:rStyle w:val="19"/>
          <w:rFonts w:ascii="宋体" w:hAnsi="宋体" w:eastAsia="宋体" w:cs="Times New Roman"/>
          <w:sz w:val="24"/>
          <w:szCs w:val="24"/>
          <w:highlight w:val="none"/>
        </w:rPr>
        <w:t xml:space="preserve">               （签字） </w:t>
      </w:r>
    </w:p>
    <w:p w14:paraId="1B2AE29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w:t>
      </w:r>
      <w:r>
        <w:rPr>
          <w:rStyle w:val="19"/>
          <w:rFonts w:ascii="宋体" w:hAnsi="宋体" w:eastAsia="宋体" w:cs="Times New Roman"/>
          <w:sz w:val="24"/>
          <w:szCs w:val="24"/>
          <w:highlight w:val="none"/>
        </w:rPr>
        <w:t xml:space="preserve">    址：                                       </w:t>
      </w:r>
    </w:p>
    <w:p w14:paraId="22679DBC">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邮政编码：</w:t>
      </w:r>
      <w:r>
        <w:rPr>
          <w:rStyle w:val="19"/>
          <w:rFonts w:ascii="宋体" w:hAnsi="宋体" w:eastAsia="宋体" w:cs="Times New Roman"/>
          <w:sz w:val="24"/>
          <w:szCs w:val="24"/>
          <w:highlight w:val="none"/>
        </w:rPr>
        <w:t xml:space="preserve">                 </w:t>
      </w:r>
    </w:p>
    <w:p w14:paraId="66F33616">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电</w:t>
      </w:r>
      <w:r>
        <w:rPr>
          <w:rStyle w:val="19"/>
          <w:rFonts w:ascii="宋体" w:hAnsi="宋体" w:eastAsia="宋体" w:cs="Times New Roman"/>
          <w:sz w:val="24"/>
          <w:szCs w:val="24"/>
          <w:highlight w:val="none"/>
        </w:rPr>
        <w:t xml:space="preserve">    话：                 </w:t>
      </w:r>
    </w:p>
    <w:p w14:paraId="46C7A0F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传</w:t>
      </w:r>
      <w:r>
        <w:rPr>
          <w:rStyle w:val="19"/>
          <w:rFonts w:ascii="宋体" w:hAnsi="宋体" w:eastAsia="宋体" w:cs="Times New Roman"/>
          <w:sz w:val="24"/>
          <w:szCs w:val="24"/>
          <w:highlight w:val="none"/>
        </w:rPr>
        <w:t xml:space="preserve">    真：                 </w:t>
      </w:r>
    </w:p>
    <w:p w14:paraId="0E700A7F">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时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间：</w:t>
      </w:r>
      <w:r>
        <w:rPr>
          <w:rStyle w:val="19"/>
          <w:rFonts w:ascii="宋体" w:hAnsi="宋体" w:eastAsia="宋体" w:cs="Times New Roman"/>
          <w:sz w:val="24"/>
          <w:szCs w:val="24"/>
          <w:highlight w:val="none"/>
        </w:rPr>
        <w:t xml:space="preserve">      年      月        日</w:t>
      </w:r>
    </w:p>
    <w:p w14:paraId="7567F7AE">
      <w:pPr>
        <w:pStyle w:val="32"/>
        <w:rPr>
          <w:rStyle w:val="19"/>
          <w:rFonts w:ascii="宋体" w:hAnsi="宋体" w:eastAsia="宋体" w:cs="Times New Roman"/>
          <w:highlight w:val="none"/>
        </w:rPr>
      </w:pPr>
    </w:p>
    <w:p w14:paraId="220CB858">
      <w:pPr>
        <w:pStyle w:val="32"/>
        <w:spacing w:line="360" w:lineRule="auto"/>
        <w:jc w:val="center"/>
        <w:rPr>
          <w:rStyle w:val="19"/>
          <w:rFonts w:hint="eastAsia" w:ascii="宋体" w:hAnsi="宋体" w:eastAsia="宋体" w:cs="Times New Roman"/>
          <w:b/>
          <w:bCs/>
          <w:sz w:val="32"/>
          <w:szCs w:val="32"/>
          <w:highlight w:val="none"/>
        </w:rPr>
      </w:pPr>
    </w:p>
    <w:p w14:paraId="0BA3EA7E">
      <w:pPr>
        <w:pStyle w:val="32"/>
        <w:spacing w:line="440" w:lineRule="exact"/>
        <w:rPr>
          <w:rStyle w:val="19"/>
          <w:rFonts w:ascii="宋体" w:hAnsi="宋体" w:eastAsia="宋体" w:cs="Times New Roman"/>
          <w:sz w:val="30"/>
          <w:szCs w:val="30"/>
          <w:highlight w:val="none"/>
        </w:rPr>
      </w:pPr>
      <w:r>
        <w:rPr>
          <w:rStyle w:val="19"/>
          <w:rFonts w:ascii="宋体" w:hAnsi="宋体" w:eastAsia="宋体" w:cs="仿宋_GB2312"/>
          <w:sz w:val="30"/>
          <w:szCs w:val="30"/>
          <w:highlight w:val="none"/>
        </w:rPr>
        <w:br w:type="page"/>
      </w:r>
      <w:r>
        <w:rPr>
          <w:rStyle w:val="19"/>
          <w:rFonts w:hint="eastAsia" w:ascii="宋体" w:hAnsi="宋体" w:eastAsia="宋体" w:cs="仿宋_GB2312"/>
          <w:sz w:val="30"/>
          <w:szCs w:val="30"/>
          <w:highlight w:val="none"/>
        </w:rPr>
        <w:t>附件</w:t>
      </w:r>
      <w:r>
        <w:rPr>
          <w:rStyle w:val="19"/>
          <w:rFonts w:hint="eastAsia" w:ascii="宋体" w:hAnsi="宋体" w:eastAsia="宋体" w:cs="Times New Roman"/>
          <w:sz w:val="30"/>
          <w:szCs w:val="30"/>
          <w:highlight w:val="none"/>
        </w:rPr>
        <w:t>9</w:t>
      </w:r>
      <w:r>
        <w:rPr>
          <w:rStyle w:val="19"/>
          <w:rFonts w:hint="eastAsia" w:ascii="宋体" w:hAnsi="宋体" w:eastAsia="宋体" w:cs="仿宋_GB2312"/>
          <w:sz w:val="30"/>
          <w:szCs w:val="30"/>
          <w:highlight w:val="none"/>
        </w:rPr>
        <w:t>：</w:t>
      </w:r>
    </w:p>
    <w:p w14:paraId="577A556A">
      <w:pPr>
        <w:pStyle w:val="32"/>
        <w:spacing w:line="360" w:lineRule="auto"/>
        <w:jc w:val="left"/>
        <w:rPr>
          <w:rStyle w:val="19"/>
          <w:rFonts w:ascii="宋体" w:hAnsi="宋体" w:eastAsia="宋体" w:cs="黑体"/>
          <w:b/>
          <w:bCs/>
          <w:sz w:val="32"/>
          <w:szCs w:val="32"/>
          <w:highlight w:val="none"/>
        </w:rPr>
      </w:pPr>
    </w:p>
    <w:p w14:paraId="4D51059C">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支付保函示范文本</w:t>
      </w:r>
    </w:p>
    <w:p w14:paraId="41F8A085">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（独立保函）</w:t>
      </w:r>
    </w:p>
    <w:p w14:paraId="3344F02A">
      <w:pPr>
        <w:pStyle w:val="32"/>
        <w:wordWrap w:val="0"/>
        <w:spacing w:line="360" w:lineRule="auto"/>
        <w:jc w:val="right"/>
        <w:rPr>
          <w:rStyle w:val="19"/>
          <w:rFonts w:ascii="宋体" w:hAnsi="宋体" w:eastAsia="宋体" w:cs="Times New Roman"/>
          <w:highlight w:val="none"/>
        </w:rPr>
      </w:pPr>
      <w:r>
        <w:rPr>
          <w:rStyle w:val="19"/>
          <w:rFonts w:hint="eastAsia" w:ascii="宋体" w:hAnsi="宋体" w:eastAsia="宋体" w:cs="Times New Roman"/>
          <w:highlight w:val="none"/>
        </w:rPr>
        <w:t xml:space="preserve">编号： </w:t>
      </w:r>
      <w:r>
        <w:rPr>
          <w:rStyle w:val="19"/>
          <w:rFonts w:ascii="宋体" w:hAnsi="宋体" w:eastAsia="宋体" w:cs="Times New Roman"/>
          <w:highlight w:val="none"/>
        </w:rPr>
        <w:t xml:space="preserve">          </w:t>
      </w:r>
    </w:p>
    <w:p w14:paraId="1A1987E8">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申请人：</w:t>
      </w:r>
    </w:p>
    <w:p w14:paraId="3C68A9C5">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  地址</w:t>
      </w:r>
      <w:r>
        <w:rPr>
          <w:rStyle w:val="19"/>
          <w:rFonts w:ascii="宋体" w:hAnsi="宋体" w:eastAsia="宋体" w:cs="Times New Roman"/>
          <w:sz w:val="24"/>
          <w:szCs w:val="24"/>
          <w:highlight w:val="none"/>
        </w:rPr>
        <w:t>：</w:t>
      </w:r>
    </w:p>
    <w:p w14:paraId="2B1D76D6">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受益人：</w:t>
      </w:r>
    </w:p>
    <w:p w14:paraId="265400E7">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  地址：</w:t>
      </w:r>
    </w:p>
    <w:p w14:paraId="4180832E">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开立人：</w:t>
      </w:r>
    </w:p>
    <w:p w14:paraId="59FEB342">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地址：</w:t>
      </w:r>
    </w:p>
    <w:p w14:paraId="6FA0F40F">
      <w:pPr>
        <w:pStyle w:val="32"/>
        <w:spacing w:line="360" w:lineRule="auto"/>
        <w:rPr>
          <w:rStyle w:val="19"/>
          <w:rFonts w:ascii="宋体" w:hAnsi="宋体" w:eastAsia="宋体" w:cs="Times New Roman"/>
          <w:sz w:val="24"/>
          <w:szCs w:val="24"/>
          <w:highlight w:val="none"/>
        </w:rPr>
      </w:pPr>
      <w:r>
        <w:rPr>
          <w:rStyle w:val="19"/>
          <w:rFonts w:ascii="宋体" w:hAnsi="宋体" w:eastAsia="宋体" w:cs="Times New Roman"/>
          <w:sz w:val="24"/>
          <w:szCs w:val="24"/>
          <w:highlight w:val="none"/>
        </w:rPr>
        <w:t xml:space="preserve"> </w:t>
      </w:r>
    </w:p>
    <w:p w14:paraId="03E4DEAF">
      <w:pPr>
        <w:pStyle w:val="32"/>
        <w:spacing w:line="360" w:lineRule="auto"/>
        <w:rPr>
          <w:rStyle w:val="19"/>
          <w:rFonts w:ascii="宋体" w:hAnsi="宋体" w:eastAsia="宋体" w:cs="Times New Roman"/>
          <w:sz w:val="24"/>
          <w:szCs w:val="24"/>
          <w:highlight w:val="none"/>
        </w:rPr>
      </w:pPr>
      <w:bookmarkStart w:id="1466" w:name="_Hlk40355074"/>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受益人</w:t>
      </w:r>
      <w:r>
        <w:rPr>
          <w:rStyle w:val="19"/>
          <w:rFonts w:ascii="宋体" w:hAnsi="宋体" w:eastAsia="宋体" w:cs="Times New Roman"/>
          <w:sz w:val="24"/>
          <w:szCs w:val="24"/>
          <w:highlight w:val="none"/>
        </w:rPr>
        <w:t xml:space="preserve">名称）： </w:t>
      </w:r>
    </w:p>
    <w:bookmarkEnd w:id="1466"/>
    <w:p w14:paraId="31991ED3">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鉴于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受益人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与</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申请人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于</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日就</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工程（以下简称“本工程”）施工和有关事项协商一致共同签订</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u w:val="single"/>
        </w:rPr>
        <w:t>》</w:t>
      </w:r>
      <w:r>
        <w:rPr>
          <w:rStyle w:val="19"/>
          <w:rFonts w:hint="eastAsia" w:ascii="宋体" w:hAnsi="宋体" w:eastAsia="宋体" w:cs="Times New Roman"/>
          <w:sz w:val="24"/>
          <w:szCs w:val="24"/>
          <w:highlight w:val="none"/>
        </w:rPr>
        <w:t>（以下简称基础合同”），我方（即“开立人”）根据基础合同了解到申请人为基础合同项下之发包人，受益人为基础合同项下之承包人，基于申请人</w:t>
      </w:r>
      <w:r>
        <w:rPr>
          <w:rStyle w:val="19"/>
          <w:rFonts w:ascii="宋体" w:hAnsi="宋体" w:eastAsia="宋体" w:cs="Times New Roman"/>
          <w:sz w:val="24"/>
          <w:szCs w:val="24"/>
          <w:highlight w:val="none"/>
        </w:rPr>
        <w:t>的请求，我方同意就</w:t>
      </w:r>
      <w:r>
        <w:rPr>
          <w:rStyle w:val="19"/>
          <w:rFonts w:hint="eastAsia" w:ascii="宋体" w:hAnsi="宋体" w:eastAsia="宋体" w:cs="Times New Roman"/>
          <w:sz w:val="24"/>
          <w:szCs w:val="24"/>
          <w:highlight w:val="none"/>
        </w:rPr>
        <w:t>申请人</w:t>
      </w:r>
      <w:r>
        <w:rPr>
          <w:rStyle w:val="19"/>
          <w:rFonts w:ascii="宋体" w:hAnsi="宋体" w:eastAsia="宋体" w:cs="Times New Roman"/>
          <w:sz w:val="24"/>
          <w:szCs w:val="24"/>
          <w:highlight w:val="none"/>
        </w:rPr>
        <w:t>履行</w:t>
      </w:r>
      <w:r>
        <w:rPr>
          <w:rStyle w:val="19"/>
          <w:rFonts w:hint="eastAsia" w:ascii="宋体" w:hAnsi="宋体" w:eastAsia="宋体" w:cs="Times New Roman"/>
          <w:sz w:val="24"/>
          <w:szCs w:val="24"/>
          <w:highlight w:val="none"/>
        </w:rPr>
        <w:t>与贵方签订的基础合同</w:t>
      </w:r>
      <w:r>
        <w:rPr>
          <w:rStyle w:val="19"/>
          <w:rFonts w:ascii="宋体" w:hAnsi="宋体" w:eastAsia="宋体" w:cs="Times New Roman"/>
          <w:sz w:val="24"/>
          <w:szCs w:val="24"/>
          <w:highlight w:val="none"/>
        </w:rPr>
        <w:t>项下的</w:t>
      </w:r>
      <w:r>
        <w:rPr>
          <w:rStyle w:val="19"/>
          <w:rFonts w:hint="eastAsia" w:ascii="宋体" w:hAnsi="宋体" w:eastAsia="宋体" w:cs="Times New Roman"/>
          <w:sz w:val="24"/>
          <w:szCs w:val="24"/>
          <w:highlight w:val="none"/>
        </w:rPr>
        <w:t>工程款（指基础合同约定的除工程质量保修金以外的工程款）付款</w:t>
      </w:r>
      <w:r>
        <w:rPr>
          <w:rStyle w:val="19"/>
          <w:rFonts w:ascii="宋体" w:hAnsi="宋体" w:eastAsia="宋体" w:cs="Times New Roman"/>
          <w:sz w:val="24"/>
          <w:szCs w:val="24"/>
          <w:highlight w:val="none"/>
        </w:rPr>
        <w:t>义务</w:t>
      </w:r>
      <w:r>
        <w:rPr>
          <w:rStyle w:val="19"/>
          <w:rFonts w:hint="eastAsia" w:ascii="宋体" w:hAnsi="宋体" w:eastAsia="宋体" w:cs="Times New Roman"/>
          <w:sz w:val="24"/>
          <w:szCs w:val="24"/>
          <w:highlight w:val="none"/>
        </w:rPr>
        <w:t>，</w:t>
      </w:r>
      <w:r>
        <w:rPr>
          <w:rStyle w:val="19"/>
          <w:rFonts w:ascii="宋体" w:hAnsi="宋体" w:eastAsia="宋体" w:cs="Times New Roman"/>
          <w:sz w:val="24"/>
          <w:szCs w:val="24"/>
          <w:highlight w:val="none"/>
        </w:rPr>
        <w:t>向贵方提供不可撤销、</w:t>
      </w:r>
      <w:r>
        <w:rPr>
          <w:rStyle w:val="19"/>
          <w:rFonts w:hint="eastAsia" w:ascii="宋体" w:hAnsi="宋体" w:eastAsia="宋体" w:cs="Times New Roman"/>
          <w:sz w:val="24"/>
          <w:szCs w:val="24"/>
          <w:highlight w:val="none"/>
        </w:rPr>
        <w:t>不可转让的见索即付</w:t>
      </w:r>
      <w:r>
        <w:rPr>
          <w:rStyle w:val="19"/>
          <w:rFonts w:ascii="宋体" w:hAnsi="宋体" w:eastAsia="宋体" w:cs="Times New Roman"/>
          <w:sz w:val="24"/>
          <w:szCs w:val="24"/>
          <w:highlight w:val="none"/>
        </w:rPr>
        <w:t>独立</w:t>
      </w:r>
      <w:r>
        <w:rPr>
          <w:rStyle w:val="19"/>
          <w:rFonts w:hint="eastAsia" w:ascii="宋体" w:hAnsi="宋体" w:eastAsia="宋体" w:cs="Times New Roman"/>
          <w:sz w:val="24"/>
          <w:szCs w:val="24"/>
          <w:highlight w:val="none"/>
        </w:rPr>
        <w:t>保函（以下简称“本保函”）</w:t>
      </w:r>
      <w:r>
        <w:rPr>
          <w:rStyle w:val="19"/>
          <w:rFonts w:ascii="宋体" w:hAnsi="宋体" w:eastAsia="宋体" w:cs="Times New Roman"/>
          <w:sz w:val="24"/>
          <w:szCs w:val="24"/>
          <w:highlight w:val="none"/>
        </w:rPr>
        <w:t xml:space="preserve">。 </w:t>
      </w:r>
    </w:p>
    <w:p w14:paraId="6EDDB3B8">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一、本保函担保范围：申请人未履行基础合同约定的工程款支付义务，应当向贵方承担的违约责任和赔偿因此造成的损失、利息、律师费、诉讼费用等实现债权的费用。</w:t>
      </w:r>
    </w:p>
    <w:p w14:paraId="7D2159AF">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二、本保函担保金额最高不超过</w:t>
      </w:r>
      <w:r>
        <w:rPr>
          <w:rStyle w:val="19"/>
          <w:rFonts w:ascii="宋体" w:hAnsi="宋体" w:eastAsia="宋体" w:cs="Times New Roman"/>
          <w:sz w:val="24"/>
          <w:szCs w:val="24"/>
          <w:highlight w:val="none"/>
        </w:rPr>
        <w:t>人民币（大写）</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元（¥</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 xml:space="preserve">）。 </w:t>
      </w:r>
    </w:p>
    <w:p w14:paraId="7935F614">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三、本保函</w:t>
      </w:r>
      <w:r>
        <w:rPr>
          <w:rStyle w:val="19"/>
          <w:rFonts w:ascii="宋体" w:hAnsi="宋体" w:eastAsia="宋体" w:cs="Times New Roman"/>
          <w:sz w:val="24"/>
          <w:szCs w:val="24"/>
          <w:highlight w:val="none"/>
        </w:rPr>
        <w:t>有效期自</w:t>
      </w:r>
      <w:r>
        <w:rPr>
          <w:rStyle w:val="19"/>
          <w:rFonts w:hint="eastAsia" w:ascii="宋体" w:hAnsi="宋体" w:eastAsia="宋体" w:cs="Times New Roman"/>
          <w:sz w:val="24"/>
          <w:szCs w:val="24"/>
          <w:highlight w:val="none"/>
        </w:rPr>
        <w:t>开立之日起</w:t>
      </w:r>
      <w:r>
        <w:rPr>
          <w:rStyle w:val="19"/>
          <w:rFonts w:ascii="宋体" w:hAnsi="宋体" w:eastAsia="宋体" w:cs="Times New Roman"/>
          <w:sz w:val="24"/>
          <w:szCs w:val="24"/>
          <w:highlight w:val="none"/>
        </w:rPr>
        <w:t>至</w:t>
      </w:r>
      <w:r>
        <w:rPr>
          <w:rStyle w:val="19"/>
          <w:rFonts w:hint="eastAsia" w:ascii="宋体" w:hAnsi="宋体" w:eastAsia="宋体" w:cs="Times New Roman"/>
          <w:sz w:val="24"/>
          <w:szCs w:val="24"/>
          <w:highlight w:val="none"/>
        </w:rPr>
        <w:t>基础合同约定的除工程质量保修金以外的全部工程结算款项支付之日后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日</w:t>
      </w:r>
      <w:r>
        <w:rPr>
          <w:rStyle w:val="19"/>
          <w:rFonts w:hint="eastAsia" w:ascii="宋体" w:hAnsi="宋体" w:eastAsia="宋体" w:cs="Times New Roman"/>
          <w:sz w:val="24"/>
          <w:szCs w:val="24"/>
          <w:highlight w:val="none"/>
        </w:rPr>
        <w:t>止，最迟不超过</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w:t>
      </w:r>
      <w:r>
        <w:rPr>
          <w:rStyle w:val="19"/>
          <w:rFonts w:ascii="宋体" w:hAnsi="宋体" w:eastAsia="宋体" w:cs="Times New Roman"/>
          <w:sz w:val="24"/>
          <w:szCs w:val="24"/>
          <w:highlight w:val="none"/>
        </w:rPr>
        <w:t xml:space="preserve">。 </w:t>
      </w:r>
    </w:p>
    <w:p w14:paraId="6B4BE921">
      <w:pPr>
        <w:pStyle w:val="32"/>
        <w:spacing w:line="360" w:lineRule="auto"/>
        <w:ind w:firstLine="48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四、我方承诺，在收到受益人发来的书面付款通知后的</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日内无条件支付，前述书面付款通知即为付款要求之单据，且应满足以下要求：</w:t>
      </w:r>
    </w:p>
    <w:p w14:paraId="333F79C3">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（1）付款通知到达的日期在本保函的有效期内；</w:t>
      </w:r>
    </w:p>
    <w:p w14:paraId="7F2F6B2C">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（2）载明要求支付的金额；</w:t>
      </w:r>
    </w:p>
    <w:p w14:paraId="5EC61E86">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（3）载明申请人违反合同义务的条款和内容；</w:t>
      </w:r>
    </w:p>
    <w:p w14:paraId="1F199860">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（4）声明不存在合同文件约定或我国法律规定免除申请人或开立人支付责任的情形；</w:t>
      </w:r>
    </w:p>
    <w:p w14:paraId="62C9F22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（5）付款通知应在本保函有效期内到达的地址是：</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w:t>
      </w:r>
    </w:p>
    <w:p w14:paraId="517C8A69">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受益人发出的书面付款通知应由其为鉴明受益人法定代表人（负责人）或授权代理人签字并加盖公章。</w:t>
      </w:r>
    </w:p>
    <w:p w14:paraId="229016B4">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五、</w:t>
      </w:r>
      <w:r>
        <w:rPr>
          <w:rStyle w:val="19"/>
          <w:rFonts w:ascii="宋体" w:hAnsi="宋体" w:eastAsia="宋体" w:cs="Times New Roman"/>
          <w:sz w:val="24"/>
          <w:szCs w:val="24"/>
          <w:highlight w:val="none"/>
        </w:rPr>
        <w:t>本保函项下的权利不得转让，不得设定担保。贵方未经我方书面同意转 让本保函或其项下任何权利，</w:t>
      </w:r>
      <w:r>
        <w:rPr>
          <w:rStyle w:val="19"/>
          <w:rFonts w:hint="eastAsia" w:ascii="宋体" w:hAnsi="宋体" w:eastAsia="宋体" w:cs="Times New Roman"/>
          <w:sz w:val="24"/>
          <w:szCs w:val="24"/>
          <w:highlight w:val="none"/>
        </w:rPr>
        <w:t>对我方不发生法律效力</w:t>
      </w:r>
      <w:r>
        <w:rPr>
          <w:rStyle w:val="19"/>
          <w:rFonts w:ascii="宋体" w:hAnsi="宋体" w:eastAsia="宋体" w:cs="Times New Roman"/>
          <w:sz w:val="24"/>
          <w:szCs w:val="24"/>
          <w:highlight w:val="none"/>
        </w:rPr>
        <w:t xml:space="preserve">。 </w:t>
      </w:r>
    </w:p>
    <w:p w14:paraId="14DB1823">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六、与</w:t>
      </w:r>
      <w:r>
        <w:rPr>
          <w:rStyle w:val="19"/>
          <w:rFonts w:ascii="宋体" w:hAnsi="宋体" w:eastAsia="宋体" w:cs="Times New Roman"/>
          <w:sz w:val="24"/>
          <w:szCs w:val="24"/>
          <w:highlight w:val="none"/>
        </w:rPr>
        <w:t>本保函</w:t>
      </w:r>
      <w:r>
        <w:rPr>
          <w:rStyle w:val="19"/>
          <w:rFonts w:hint="eastAsia" w:ascii="宋体" w:hAnsi="宋体" w:eastAsia="宋体" w:cs="Times New Roman"/>
          <w:sz w:val="24"/>
          <w:szCs w:val="24"/>
          <w:highlight w:val="none"/>
        </w:rPr>
        <w:t>有关</w:t>
      </w:r>
      <w:r>
        <w:rPr>
          <w:rStyle w:val="19"/>
          <w:rFonts w:ascii="宋体" w:hAnsi="宋体" w:eastAsia="宋体" w:cs="Times New Roman"/>
          <w:sz w:val="24"/>
          <w:szCs w:val="24"/>
          <w:highlight w:val="none"/>
        </w:rPr>
        <w:t>的基础</w:t>
      </w:r>
      <w:r>
        <w:rPr>
          <w:rStyle w:val="19"/>
          <w:rFonts w:hint="eastAsia" w:ascii="宋体" w:hAnsi="宋体" w:eastAsia="宋体" w:cs="Times New Roman"/>
          <w:sz w:val="24"/>
          <w:szCs w:val="24"/>
          <w:highlight w:val="none"/>
        </w:rPr>
        <w:t>合同</w:t>
      </w:r>
      <w:r>
        <w:rPr>
          <w:rStyle w:val="19"/>
          <w:rFonts w:ascii="宋体" w:hAnsi="宋体" w:eastAsia="宋体" w:cs="Times New Roman"/>
          <w:sz w:val="24"/>
          <w:szCs w:val="24"/>
          <w:highlight w:val="none"/>
        </w:rPr>
        <w:t xml:space="preserve">不成立、不生效、无效、被撤销、被解除，不影响本保函的独立有效。 </w:t>
      </w:r>
    </w:p>
    <w:p w14:paraId="6E9641A4">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七、</w:t>
      </w:r>
      <w:r>
        <w:rPr>
          <w:rStyle w:val="19"/>
          <w:rFonts w:ascii="宋体" w:hAnsi="宋体" w:eastAsia="宋体" w:cs="Times New Roman"/>
          <w:sz w:val="24"/>
          <w:szCs w:val="24"/>
          <w:highlight w:val="none"/>
        </w:rPr>
        <w:t>贵方应在本保函到期后的七日内将本保函正本退回我方注销，但是不论贵方是否按此要求将本保函正本退回我方，我方在本保函项下的义务和责任均在保函</w:t>
      </w:r>
      <w:r>
        <w:rPr>
          <w:rStyle w:val="19"/>
          <w:rFonts w:hint="eastAsia" w:ascii="宋体" w:hAnsi="宋体" w:eastAsia="宋体" w:cs="Times New Roman"/>
          <w:sz w:val="24"/>
          <w:szCs w:val="24"/>
          <w:highlight w:val="none"/>
        </w:rPr>
        <w:t>有效期</w:t>
      </w:r>
      <w:r>
        <w:rPr>
          <w:rStyle w:val="19"/>
          <w:rFonts w:ascii="宋体" w:hAnsi="宋体" w:eastAsia="宋体" w:cs="Times New Roman"/>
          <w:sz w:val="24"/>
          <w:szCs w:val="24"/>
          <w:highlight w:val="none"/>
        </w:rPr>
        <w:t xml:space="preserve">到期后自动消灭。 </w:t>
      </w:r>
    </w:p>
    <w:p w14:paraId="6B12263B">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八、</w:t>
      </w:r>
      <w:r>
        <w:rPr>
          <w:rStyle w:val="19"/>
          <w:rFonts w:ascii="宋体" w:hAnsi="宋体" w:eastAsia="宋体" w:cs="Times New Roman"/>
          <w:sz w:val="24"/>
          <w:szCs w:val="24"/>
          <w:highlight w:val="none"/>
        </w:rPr>
        <w:t>本保函</w:t>
      </w:r>
      <w:r>
        <w:rPr>
          <w:rStyle w:val="19"/>
          <w:rFonts w:hint="eastAsia" w:ascii="宋体" w:hAnsi="宋体" w:eastAsia="宋体" w:cs="Times New Roman"/>
          <w:sz w:val="24"/>
          <w:szCs w:val="24"/>
          <w:highlight w:val="none"/>
        </w:rPr>
        <w:t>适用的法律为中华人民共和国法律，争议裁判管辖地为中华人民共和国</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 xml:space="preserve">。 </w:t>
      </w:r>
    </w:p>
    <w:p w14:paraId="4508570B">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九、</w:t>
      </w:r>
      <w:r>
        <w:rPr>
          <w:rStyle w:val="19"/>
          <w:rFonts w:ascii="宋体" w:hAnsi="宋体" w:eastAsia="宋体" w:cs="Times New Roman"/>
          <w:sz w:val="24"/>
          <w:szCs w:val="24"/>
          <w:highlight w:val="none"/>
        </w:rPr>
        <w:t>本保函自我方法定代表人</w:t>
      </w:r>
      <w:bookmarkStart w:id="1467" w:name="_Hlk58487855"/>
      <w:r>
        <w:rPr>
          <w:rStyle w:val="19"/>
          <w:rFonts w:hint="eastAsia" w:ascii="宋体" w:hAnsi="宋体" w:eastAsia="宋体" w:cs="Times New Roman"/>
          <w:sz w:val="24"/>
          <w:szCs w:val="24"/>
          <w:highlight w:val="none"/>
        </w:rPr>
        <w:t>或授权代表</w:t>
      </w:r>
      <w:bookmarkEnd w:id="1467"/>
      <w:r>
        <w:rPr>
          <w:rStyle w:val="19"/>
          <w:rFonts w:ascii="宋体" w:hAnsi="宋体" w:eastAsia="宋体" w:cs="Times New Roman"/>
          <w:sz w:val="24"/>
          <w:szCs w:val="24"/>
          <w:highlight w:val="none"/>
        </w:rPr>
        <w:t>签字</w:t>
      </w:r>
      <w:r>
        <w:rPr>
          <w:rStyle w:val="19"/>
          <w:rFonts w:hint="eastAsia" w:ascii="宋体" w:hAnsi="宋体" w:eastAsia="宋体" w:cs="Times New Roman"/>
          <w:sz w:val="24"/>
          <w:szCs w:val="24"/>
          <w:highlight w:val="none"/>
        </w:rPr>
        <w:t>并</w:t>
      </w:r>
      <w:r>
        <w:rPr>
          <w:rStyle w:val="19"/>
          <w:rFonts w:ascii="宋体" w:hAnsi="宋体" w:eastAsia="宋体" w:cs="Times New Roman"/>
          <w:sz w:val="24"/>
          <w:szCs w:val="24"/>
          <w:highlight w:val="none"/>
        </w:rPr>
        <w:t xml:space="preserve">加盖公章之日起生效。 </w:t>
      </w:r>
    </w:p>
    <w:p w14:paraId="600A1307">
      <w:pPr>
        <w:pStyle w:val="32"/>
        <w:spacing w:line="360" w:lineRule="auto"/>
        <w:ind w:firstLine="480" w:firstLineChars="200"/>
        <w:rPr>
          <w:rStyle w:val="19"/>
          <w:rFonts w:ascii="宋体" w:hAnsi="宋体" w:eastAsia="宋体" w:cs="Times New Roman"/>
          <w:sz w:val="24"/>
          <w:szCs w:val="24"/>
          <w:highlight w:val="none"/>
        </w:rPr>
      </w:pPr>
    </w:p>
    <w:p w14:paraId="14B44423">
      <w:pPr>
        <w:pStyle w:val="32"/>
        <w:spacing w:line="360" w:lineRule="auto"/>
        <w:ind w:firstLine="480" w:firstLineChars="200"/>
        <w:rPr>
          <w:rStyle w:val="19"/>
          <w:rFonts w:ascii="宋体" w:hAnsi="宋体" w:eastAsia="宋体" w:cs="Times New Roman"/>
          <w:sz w:val="24"/>
          <w:szCs w:val="24"/>
          <w:highlight w:val="none"/>
        </w:rPr>
      </w:pPr>
    </w:p>
    <w:p w14:paraId="75BD0D1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开 立 人</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 xml:space="preserve">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公</w:t>
      </w:r>
      <w:r>
        <w:rPr>
          <w:rStyle w:val="19"/>
          <w:rFonts w:ascii="宋体" w:hAnsi="宋体" w:eastAsia="宋体" w:cs="Times New Roman"/>
          <w:sz w:val="24"/>
          <w:szCs w:val="24"/>
          <w:highlight w:val="none"/>
        </w:rPr>
        <w:t xml:space="preserve">章） </w:t>
      </w:r>
    </w:p>
    <w:p w14:paraId="59020F5A">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法定代表人（或授权代表）：</w:t>
      </w:r>
      <w:r>
        <w:rPr>
          <w:rStyle w:val="19"/>
          <w:rFonts w:ascii="宋体" w:hAnsi="宋体" w:eastAsia="宋体" w:cs="Times New Roman"/>
          <w:sz w:val="24"/>
          <w:szCs w:val="24"/>
          <w:highlight w:val="none"/>
        </w:rPr>
        <w:t xml:space="preserve">               （签字） </w:t>
      </w:r>
    </w:p>
    <w:p w14:paraId="28419D0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w:t>
      </w:r>
      <w:r>
        <w:rPr>
          <w:rStyle w:val="19"/>
          <w:rFonts w:ascii="宋体" w:hAnsi="宋体" w:eastAsia="宋体" w:cs="Times New Roman"/>
          <w:sz w:val="24"/>
          <w:szCs w:val="24"/>
          <w:highlight w:val="none"/>
        </w:rPr>
        <w:t xml:space="preserve">    址：                                       </w:t>
      </w:r>
    </w:p>
    <w:p w14:paraId="4AF85594">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邮政编码：</w:t>
      </w:r>
      <w:r>
        <w:rPr>
          <w:rStyle w:val="19"/>
          <w:rFonts w:ascii="宋体" w:hAnsi="宋体" w:eastAsia="宋体" w:cs="Times New Roman"/>
          <w:sz w:val="24"/>
          <w:szCs w:val="24"/>
          <w:highlight w:val="none"/>
        </w:rPr>
        <w:t xml:space="preserve">                 </w:t>
      </w:r>
    </w:p>
    <w:p w14:paraId="397A59F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电</w:t>
      </w:r>
      <w:r>
        <w:rPr>
          <w:rStyle w:val="19"/>
          <w:rFonts w:ascii="宋体" w:hAnsi="宋体" w:eastAsia="宋体" w:cs="Times New Roman"/>
          <w:sz w:val="24"/>
          <w:szCs w:val="24"/>
          <w:highlight w:val="none"/>
        </w:rPr>
        <w:t xml:space="preserve">    话：                 </w:t>
      </w:r>
    </w:p>
    <w:p w14:paraId="478F09C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传</w:t>
      </w:r>
      <w:r>
        <w:rPr>
          <w:rStyle w:val="19"/>
          <w:rFonts w:ascii="宋体" w:hAnsi="宋体" w:eastAsia="宋体" w:cs="Times New Roman"/>
          <w:sz w:val="24"/>
          <w:szCs w:val="24"/>
          <w:highlight w:val="none"/>
        </w:rPr>
        <w:t xml:space="preserve">    真：                 </w:t>
      </w:r>
    </w:p>
    <w:p w14:paraId="2CDEE4F7">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开立时间：</w:t>
      </w:r>
      <w:r>
        <w:rPr>
          <w:rStyle w:val="19"/>
          <w:rFonts w:ascii="宋体" w:hAnsi="宋体" w:eastAsia="宋体" w:cs="Times New Roman"/>
          <w:sz w:val="24"/>
          <w:szCs w:val="24"/>
          <w:highlight w:val="none"/>
        </w:rPr>
        <w:t xml:space="preserve">      年      月        日</w:t>
      </w:r>
    </w:p>
    <w:p w14:paraId="79647C17">
      <w:pPr>
        <w:pStyle w:val="32"/>
        <w:spacing w:line="360" w:lineRule="auto"/>
        <w:ind w:firstLine="480" w:firstLineChars="200"/>
        <w:rPr>
          <w:rStyle w:val="19"/>
          <w:rFonts w:ascii="宋体" w:hAnsi="宋体" w:eastAsia="宋体" w:cs="Times New Roman"/>
          <w:sz w:val="24"/>
          <w:szCs w:val="24"/>
          <w:highlight w:val="none"/>
        </w:rPr>
      </w:pPr>
    </w:p>
    <w:p w14:paraId="0C883F89">
      <w:pPr>
        <w:pStyle w:val="32"/>
        <w:spacing w:line="360" w:lineRule="auto"/>
        <w:jc w:val="left"/>
        <w:rPr>
          <w:rStyle w:val="19"/>
          <w:rFonts w:hint="eastAsia" w:ascii="宋体" w:hAnsi="宋体" w:eastAsia="宋体" w:cs="黑体"/>
          <w:b/>
          <w:bCs/>
          <w:sz w:val="32"/>
          <w:szCs w:val="32"/>
          <w:highlight w:val="none"/>
        </w:rPr>
      </w:pPr>
      <w:r>
        <w:rPr>
          <w:rStyle w:val="19"/>
          <w:rFonts w:ascii="宋体" w:hAnsi="宋体" w:eastAsia="宋体" w:cs="黑体"/>
          <w:sz w:val="32"/>
          <w:szCs w:val="32"/>
          <w:highlight w:val="none"/>
        </w:rPr>
        <w:br w:type="page"/>
      </w:r>
      <w:r>
        <w:rPr>
          <w:rStyle w:val="19"/>
          <w:rFonts w:hint="eastAsia" w:ascii="宋体" w:hAnsi="宋体" w:eastAsia="宋体" w:cs="黑体"/>
          <w:sz w:val="32"/>
          <w:szCs w:val="32"/>
          <w:highlight w:val="none"/>
        </w:rPr>
        <w:t>附件</w:t>
      </w:r>
      <w:r>
        <w:rPr>
          <w:rStyle w:val="19"/>
          <w:rFonts w:ascii="宋体" w:hAnsi="宋体" w:eastAsia="宋体" w:cs="黑体"/>
          <w:sz w:val="32"/>
          <w:szCs w:val="32"/>
          <w:highlight w:val="none"/>
        </w:rPr>
        <w:t>9</w:t>
      </w:r>
      <w:r>
        <w:rPr>
          <w:rStyle w:val="19"/>
          <w:rFonts w:hint="eastAsia" w:ascii="宋体" w:hAnsi="宋体" w:eastAsia="宋体" w:cs="黑体"/>
          <w:sz w:val="32"/>
          <w:szCs w:val="32"/>
          <w:highlight w:val="none"/>
        </w:rPr>
        <w:t>：</w:t>
      </w:r>
    </w:p>
    <w:p w14:paraId="5609159D">
      <w:pPr>
        <w:pStyle w:val="32"/>
        <w:spacing w:line="360" w:lineRule="auto"/>
        <w:jc w:val="left"/>
        <w:rPr>
          <w:rStyle w:val="19"/>
          <w:rFonts w:ascii="宋体" w:hAnsi="宋体" w:eastAsia="宋体" w:cs="黑体"/>
          <w:b/>
          <w:bCs/>
          <w:sz w:val="32"/>
          <w:szCs w:val="32"/>
          <w:highlight w:val="none"/>
        </w:rPr>
      </w:pPr>
    </w:p>
    <w:p w14:paraId="2635F250">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支付保函示范文本</w:t>
      </w:r>
    </w:p>
    <w:p w14:paraId="207DF9F3">
      <w:pPr>
        <w:pStyle w:val="32"/>
        <w:spacing w:line="360" w:lineRule="auto"/>
        <w:jc w:val="center"/>
        <w:rPr>
          <w:rStyle w:val="19"/>
          <w:rFonts w:ascii="宋体" w:hAnsi="宋体" w:eastAsia="宋体" w:cs="Times New Roman"/>
          <w:b/>
          <w:bCs/>
          <w:sz w:val="32"/>
          <w:szCs w:val="32"/>
          <w:highlight w:val="none"/>
        </w:rPr>
      </w:pPr>
      <w:r>
        <w:rPr>
          <w:rStyle w:val="19"/>
          <w:rFonts w:hint="eastAsia" w:ascii="宋体" w:hAnsi="宋体" w:eastAsia="宋体" w:cs="Times New Roman"/>
          <w:b/>
          <w:bCs/>
          <w:sz w:val="32"/>
          <w:szCs w:val="32"/>
          <w:highlight w:val="none"/>
        </w:rPr>
        <w:t>（非独立保函）</w:t>
      </w:r>
    </w:p>
    <w:p w14:paraId="0B3834FE">
      <w:pPr>
        <w:pStyle w:val="32"/>
        <w:wordWrap w:val="0"/>
        <w:spacing w:line="360" w:lineRule="auto"/>
        <w:jc w:val="right"/>
        <w:rPr>
          <w:rStyle w:val="19"/>
          <w:rFonts w:ascii="宋体" w:hAnsi="宋体" w:eastAsia="宋体" w:cs="Times New Roman"/>
          <w:highlight w:val="none"/>
        </w:rPr>
      </w:pPr>
      <w:r>
        <w:rPr>
          <w:rStyle w:val="19"/>
          <w:rFonts w:hint="eastAsia" w:ascii="宋体" w:hAnsi="宋体" w:eastAsia="宋体" w:cs="Times New Roman"/>
          <w:highlight w:val="none"/>
        </w:rPr>
        <w:t xml:space="preserve">编号： </w:t>
      </w:r>
      <w:r>
        <w:rPr>
          <w:rStyle w:val="19"/>
          <w:rFonts w:ascii="宋体" w:hAnsi="宋体" w:eastAsia="宋体" w:cs="Times New Roman"/>
          <w:highlight w:val="none"/>
        </w:rPr>
        <w:t xml:space="preserve">     </w:t>
      </w:r>
    </w:p>
    <w:p w14:paraId="5BCDB5E6">
      <w:pPr>
        <w:pStyle w:val="32"/>
        <w:wordWrap w:val="0"/>
        <w:spacing w:line="360" w:lineRule="auto"/>
        <w:jc w:val="right"/>
        <w:rPr>
          <w:rStyle w:val="19"/>
          <w:rFonts w:ascii="宋体" w:hAnsi="宋体" w:eastAsia="宋体" w:cs="Times New Roman"/>
          <w:highlight w:val="none"/>
        </w:rPr>
      </w:pPr>
      <w:r>
        <w:rPr>
          <w:rStyle w:val="19"/>
          <w:rFonts w:ascii="宋体" w:hAnsi="宋体" w:eastAsia="宋体" w:cs="Times New Roman"/>
          <w:highlight w:val="none"/>
        </w:rPr>
        <w:t xml:space="preserve">     </w:t>
      </w:r>
    </w:p>
    <w:p w14:paraId="3AFD486E">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发包人：</w:t>
      </w:r>
    </w:p>
    <w:p w14:paraId="2D681436">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地址</w:t>
      </w:r>
      <w:r>
        <w:rPr>
          <w:rStyle w:val="19"/>
          <w:rFonts w:ascii="宋体" w:hAnsi="宋体" w:eastAsia="宋体" w:cs="Times New Roman"/>
          <w:sz w:val="24"/>
          <w:szCs w:val="24"/>
          <w:highlight w:val="none"/>
        </w:rPr>
        <w:t>：</w:t>
      </w:r>
    </w:p>
    <w:p w14:paraId="345E1E46">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担保权人/承包人：</w:t>
      </w:r>
      <w:r>
        <w:rPr>
          <w:rStyle w:val="19"/>
          <w:rFonts w:ascii="宋体" w:hAnsi="宋体" w:eastAsia="宋体" w:cs="Times New Roman"/>
          <w:sz w:val="24"/>
          <w:szCs w:val="24"/>
          <w:highlight w:val="none"/>
        </w:rPr>
        <w:t xml:space="preserve"> </w:t>
      </w:r>
    </w:p>
    <w:p w14:paraId="3ECF897D">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地址：</w:t>
      </w:r>
    </w:p>
    <w:p w14:paraId="3F2461E0">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保证人：</w:t>
      </w:r>
    </w:p>
    <w:p w14:paraId="1EA992E0">
      <w:pPr>
        <w:pStyle w:val="32"/>
        <w:spacing w:line="360" w:lineRule="auto"/>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地址：</w:t>
      </w:r>
    </w:p>
    <w:p w14:paraId="73BA421A">
      <w:pPr>
        <w:pStyle w:val="32"/>
        <w:spacing w:line="360" w:lineRule="auto"/>
        <w:rPr>
          <w:rStyle w:val="19"/>
          <w:rFonts w:ascii="宋体" w:hAnsi="宋体" w:eastAsia="宋体" w:cs="Times New Roman"/>
          <w:sz w:val="24"/>
          <w:szCs w:val="24"/>
          <w:highlight w:val="none"/>
        </w:rPr>
      </w:pPr>
    </w:p>
    <w:p w14:paraId="10728546">
      <w:pPr>
        <w:pStyle w:val="32"/>
        <w:spacing w:line="360" w:lineRule="auto"/>
        <w:rPr>
          <w:rStyle w:val="19"/>
          <w:rFonts w:ascii="宋体" w:hAnsi="宋体" w:eastAsia="宋体" w:cs="Times New Roman"/>
          <w:sz w:val="24"/>
          <w:szCs w:val="24"/>
          <w:highlight w:val="none"/>
        </w:rPr>
      </w:pP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承包人</w:t>
      </w:r>
      <w:r>
        <w:rPr>
          <w:rStyle w:val="19"/>
          <w:rFonts w:ascii="宋体" w:hAnsi="宋体" w:eastAsia="宋体" w:cs="Times New Roman"/>
          <w:sz w:val="24"/>
          <w:szCs w:val="24"/>
          <w:highlight w:val="none"/>
        </w:rPr>
        <w:t xml:space="preserve">名称）： </w:t>
      </w:r>
    </w:p>
    <w:p w14:paraId="7E33C7E7">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鉴于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发包人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与</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（以下简称“</w:t>
      </w:r>
      <w:r>
        <w:rPr>
          <w:rStyle w:val="19"/>
          <w:rFonts w:hint="eastAsia" w:ascii="宋体" w:hAnsi="宋体" w:eastAsia="宋体" w:cs="Times New Roman"/>
          <w:sz w:val="24"/>
          <w:szCs w:val="24"/>
          <w:highlight w:val="none"/>
        </w:rPr>
        <w:t>承包人</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于</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日就</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工程（以下简称“本工程”）施工和有关事项协商一致共同签订</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u w:val="single"/>
        </w:rPr>
        <w:t>》</w:t>
      </w:r>
      <w:r>
        <w:rPr>
          <w:rStyle w:val="19"/>
          <w:rFonts w:hint="eastAsia" w:ascii="宋体" w:hAnsi="宋体" w:eastAsia="宋体" w:cs="Times New Roman"/>
          <w:sz w:val="24"/>
          <w:szCs w:val="24"/>
          <w:highlight w:val="none"/>
        </w:rPr>
        <w:t>（以下简称“主合同”），我方即保证人基于发包人</w:t>
      </w:r>
      <w:r>
        <w:rPr>
          <w:rStyle w:val="19"/>
          <w:rFonts w:ascii="宋体" w:hAnsi="宋体" w:eastAsia="宋体" w:cs="Times New Roman"/>
          <w:sz w:val="24"/>
          <w:szCs w:val="24"/>
          <w:highlight w:val="none"/>
        </w:rPr>
        <w:t>的请求，同意就</w:t>
      </w:r>
      <w:r>
        <w:rPr>
          <w:rStyle w:val="19"/>
          <w:rFonts w:hint="eastAsia" w:ascii="宋体" w:hAnsi="宋体" w:eastAsia="宋体" w:cs="Times New Roman"/>
          <w:sz w:val="24"/>
          <w:szCs w:val="24"/>
          <w:highlight w:val="none"/>
        </w:rPr>
        <w:t>发包人</w:t>
      </w:r>
      <w:r>
        <w:rPr>
          <w:rStyle w:val="19"/>
          <w:rFonts w:ascii="宋体" w:hAnsi="宋体" w:eastAsia="宋体" w:cs="Times New Roman"/>
          <w:sz w:val="24"/>
          <w:szCs w:val="24"/>
          <w:highlight w:val="none"/>
        </w:rPr>
        <w:t>履行</w:t>
      </w:r>
      <w:r>
        <w:rPr>
          <w:rStyle w:val="19"/>
          <w:rFonts w:hint="eastAsia" w:ascii="宋体" w:hAnsi="宋体" w:eastAsia="宋体" w:cs="Times New Roman"/>
          <w:sz w:val="24"/>
          <w:szCs w:val="24"/>
          <w:highlight w:val="none"/>
        </w:rPr>
        <w:t>与贵方签订的主合同</w:t>
      </w:r>
      <w:r>
        <w:rPr>
          <w:rStyle w:val="19"/>
          <w:rFonts w:ascii="宋体" w:hAnsi="宋体" w:eastAsia="宋体" w:cs="Times New Roman"/>
          <w:sz w:val="24"/>
          <w:szCs w:val="24"/>
          <w:highlight w:val="none"/>
        </w:rPr>
        <w:t>项下的</w:t>
      </w:r>
      <w:r>
        <w:rPr>
          <w:rStyle w:val="19"/>
          <w:rFonts w:hint="eastAsia" w:ascii="宋体" w:hAnsi="宋体" w:eastAsia="宋体" w:cs="Times New Roman"/>
          <w:sz w:val="24"/>
          <w:szCs w:val="24"/>
          <w:highlight w:val="none"/>
        </w:rPr>
        <w:t>工程款（指主合同约定的除工程质量保修金以外的全部工程结算款项）付款</w:t>
      </w:r>
      <w:r>
        <w:rPr>
          <w:rStyle w:val="19"/>
          <w:rFonts w:ascii="宋体" w:hAnsi="宋体" w:eastAsia="宋体" w:cs="Times New Roman"/>
          <w:sz w:val="24"/>
          <w:szCs w:val="24"/>
          <w:highlight w:val="none"/>
        </w:rPr>
        <w:t>义务</w:t>
      </w:r>
      <w:r>
        <w:rPr>
          <w:rStyle w:val="19"/>
          <w:rFonts w:hint="eastAsia" w:ascii="宋体" w:hAnsi="宋体" w:eastAsia="宋体" w:cs="Times New Roman"/>
          <w:sz w:val="24"/>
          <w:szCs w:val="24"/>
          <w:highlight w:val="none"/>
        </w:rPr>
        <w:t>，</w:t>
      </w:r>
      <w:r>
        <w:rPr>
          <w:rStyle w:val="19"/>
          <w:rFonts w:ascii="宋体" w:hAnsi="宋体" w:eastAsia="宋体" w:cs="Times New Roman"/>
          <w:sz w:val="24"/>
          <w:szCs w:val="24"/>
          <w:highlight w:val="none"/>
        </w:rPr>
        <w:t>向贵方提供</w:t>
      </w:r>
      <w:r>
        <w:rPr>
          <w:rStyle w:val="19"/>
          <w:rFonts w:hint="eastAsia" w:ascii="宋体" w:hAnsi="宋体" w:eastAsia="宋体" w:cs="Times New Roman"/>
          <w:sz w:val="24"/>
          <w:szCs w:val="24"/>
          <w:highlight w:val="none"/>
        </w:rPr>
        <w:t>如下保证担保（以下简称“本保证担保”）</w:t>
      </w:r>
      <w:r>
        <w:rPr>
          <w:rStyle w:val="19"/>
          <w:rFonts w:ascii="宋体" w:hAnsi="宋体" w:eastAsia="宋体" w:cs="Times New Roman"/>
          <w:sz w:val="24"/>
          <w:szCs w:val="24"/>
          <w:highlight w:val="none"/>
        </w:rPr>
        <w:t xml:space="preserve">。 </w:t>
      </w:r>
    </w:p>
    <w:p w14:paraId="241829FF">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一、保证担保的范围及保证担保金额</w:t>
      </w:r>
    </w:p>
    <w:p w14:paraId="7B88C09B">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保证担保范围：申请人未履行主合同约定的工程款支付义务，应当向贵方承担的违约责任和赔偿因此造成的损失、利息、律师费、诉讼费用等实现债权的费用。</w:t>
      </w:r>
    </w:p>
    <w:p w14:paraId="730B98D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保证担保金额最高不超过</w:t>
      </w:r>
      <w:r>
        <w:rPr>
          <w:rStyle w:val="19"/>
          <w:rFonts w:ascii="宋体" w:hAnsi="宋体" w:eastAsia="宋体" w:cs="Times New Roman"/>
          <w:sz w:val="24"/>
          <w:szCs w:val="24"/>
          <w:highlight w:val="none"/>
        </w:rPr>
        <w:t>人民币（大写）</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元（¥</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 xml:space="preserve">）。 </w:t>
      </w:r>
    </w:p>
    <w:p w14:paraId="6FF16D8D">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二、保证担保的方式及保证期间</w:t>
      </w:r>
      <w:r>
        <w:rPr>
          <w:rStyle w:val="19"/>
          <w:rFonts w:ascii="宋体" w:hAnsi="宋体" w:eastAsia="宋体" w:cs="Times New Roman"/>
          <w:b/>
          <w:bCs/>
          <w:sz w:val="24"/>
          <w:szCs w:val="24"/>
          <w:highlight w:val="none"/>
        </w:rPr>
        <w:t xml:space="preserve"> </w:t>
      </w:r>
    </w:p>
    <w:p w14:paraId="1D8EA065">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1.保证担保方式：连带责任保证。</w:t>
      </w:r>
    </w:p>
    <w:p w14:paraId="60B606EB">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w:t>
      </w:r>
      <w:r>
        <w:rPr>
          <w:rStyle w:val="19"/>
          <w:rFonts w:hint="eastAsia" w:ascii="宋体" w:hAnsi="宋体" w:eastAsia="宋体" w:cs="Times New Roman"/>
          <w:sz w:val="24"/>
          <w:szCs w:val="24"/>
          <w:highlight w:val="none"/>
        </w:rPr>
        <w:t>保证期间：</w:t>
      </w:r>
      <w:r>
        <w:rPr>
          <w:rStyle w:val="19"/>
          <w:rFonts w:ascii="宋体" w:hAnsi="宋体" w:eastAsia="宋体" w:cs="Times New Roman"/>
          <w:sz w:val="24"/>
          <w:szCs w:val="24"/>
          <w:highlight w:val="none"/>
        </w:rPr>
        <w:t>自</w:t>
      </w:r>
      <w:r>
        <w:rPr>
          <w:rStyle w:val="19"/>
          <w:rFonts w:hint="eastAsia" w:ascii="宋体" w:hAnsi="宋体" w:eastAsia="宋体" w:cs="Times New Roman"/>
          <w:sz w:val="24"/>
          <w:szCs w:val="24"/>
          <w:highlight w:val="none"/>
        </w:rPr>
        <w:t>出具之日起</w:t>
      </w:r>
      <w:r>
        <w:rPr>
          <w:rStyle w:val="19"/>
          <w:rFonts w:ascii="宋体" w:hAnsi="宋体" w:eastAsia="宋体" w:cs="Times New Roman"/>
          <w:sz w:val="24"/>
          <w:szCs w:val="24"/>
          <w:highlight w:val="none"/>
        </w:rPr>
        <w:t>至</w:t>
      </w:r>
      <w:r>
        <w:rPr>
          <w:rStyle w:val="19"/>
          <w:rFonts w:hint="eastAsia" w:ascii="宋体" w:hAnsi="宋体" w:eastAsia="宋体" w:cs="Times New Roman"/>
          <w:sz w:val="24"/>
          <w:szCs w:val="24"/>
          <w:highlight w:val="none"/>
        </w:rPr>
        <w:t>主合同约定的除工程质量保修金以外的工程款支付之日后</w:t>
      </w:r>
      <w:r>
        <w:rPr>
          <w:rStyle w:val="19"/>
          <w:rFonts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rPr>
        <w:t>日</w:t>
      </w:r>
      <w:r>
        <w:rPr>
          <w:rStyle w:val="19"/>
          <w:rFonts w:hint="eastAsia" w:ascii="宋体" w:hAnsi="宋体" w:eastAsia="宋体" w:cs="Times New Roman"/>
          <w:sz w:val="24"/>
          <w:szCs w:val="24"/>
          <w:highlight w:val="none"/>
        </w:rPr>
        <w:t>止，最迟不超过</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年</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月</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日</w:t>
      </w:r>
      <w:r>
        <w:rPr>
          <w:rStyle w:val="19"/>
          <w:rFonts w:ascii="宋体" w:hAnsi="宋体" w:eastAsia="宋体" w:cs="Times New Roman"/>
          <w:sz w:val="24"/>
          <w:szCs w:val="24"/>
          <w:highlight w:val="none"/>
        </w:rPr>
        <w:t xml:space="preserve">。 </w:t>
      </w:r>
    </w:p>
    <w:p w14:paraId="2D7B94C0">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三、承担保证担保责任的形式</w:t>
      </w:r>
    </w:p>
    <w:p w14:paraId="0537813E">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发包人未按合同约定向贵方支付主合同项下工程款的，由我方在保证金额内代为支付，并赔偿因此给贵方造成的损失，以及利息和律师费、诉讼费用等实现债权的费用。</w:t>
      </w:r>
    </w:p>
    <w:p w14:paraId="62E79957">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四、代偿的安排</w:t>
      </w:r>
      <w:r>
        <w:rPr>
          <w:rStyle w:val="19"/>
          <w:rFonts w:ascii="宋体" w:hAnsi="宋体" w:eastAsia="宋体" w:cs="Times New Roman"/>
          <w:b/>
          <w:bCs/>
          <w:sz w:val="24"/>
          <w:szCs w:val="24"/>
          <w:highlight w:val="none"/>
        </w:rPr>
        <w:t xml:space="preserve"> </w:t>
      </w:r>
    </w:p>
    <w:p w14:paraId="23305899">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1.贵方要求我方承担保证责任的，应向我方发出书面索赔通知及发包人未支付主合同约定工程款的证明材料。索赔通知应写明要求索赔的金额，支付款项应到达的</w:t>
      </w:r>
      <w:r>
        <w:rPr>
          <w:rStyle w:val="19"/>
          <w:rFonts w:hint="eastAsia" w:ascii="宋体" w:hAnsi="宋体" w:eastAsia="宋体" w:cs="Times New Roman"/>
          <w:sz w:val="24"/>
          <w:szCs w:val="24"/>
          <w:highlight w:val="none"/>
          <w:lang w:val="en-US" w:eastAsia="zh-CN"/>
        </w:rPr>
        <w:t>账</w:t>
      </w:r>
      <w:r>
        <w:rPr>
          <w:rStyle w:val="19"/>
          <w:rFonts w:hint="eastAsia" w:ascii="宋体" w:hAnsi="宋体" w:eastAsia="宋体" w:cs="Times New Roman"/>
          <w:sz w:val="24"/>
          <w:szCs w:val="24"/>
          <w:highlight w:val="none"/>
        </w:rPr>
        <w:t>号。</w:t>
      </w:r>
    </w:p>
    <w:p w14:paraId="73F6B28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51A41AB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3.我方收到贵方的书面索赔通知及相应证明材料后，在</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工作日内进行核定后按照本保函的承诺承担保证责任。</w:t>
      </w:r>
    </w:p>
    <w:p w14:paraId="4546BCBF">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五、保证担保责任的解除</w:t>
      </w:r>
      <w:r>
        <w:rPr>
          <w:rStyle w:val="19"/>
          <w:rFonts w:ascii="宋体" w:hAnsi="宋体" w:eastAsia="宋体" w:cs="Times New Roman"/>
          <w:b/>
          <w:bCs/>
          <w:sz w:val="24"/>
          <w:szCs w:val="24"/>
          <w:highlight w:val="none"/>
        </w:rPr>
        <w:t xml:space="preserve"> </w:t>
      </w:r>
    </w:p>
    <w:p w14:paraId="6381330D">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 xml:space="preserve">保证期间届满贵方未向我方书面主张保证责任的，自保证期间届满次日起，我方解除保证责任。 </w:t>
      </w:r>
    </w:p>
    <w:p w14:paraId="697DE896">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我方按照本</w:t>
      </w:r>
      <w:r>
        <w:rPr>
          <w:rStyle w:val="19"/>
          <w:rFonts w:hint="eastAsia" w:ascii="宋体" w:hAnsi="宋体" w:eastAsia="宋体" w:cs="Times New Roman"/>
          <w:sz w:val="24"/>
          <w:szCs w:val="24"/>
          <w:highlight w:val="none"/>
        </w:rPr>
        <w:t>保证担保</w:t>
      </w:r>
      <w:r>
        <w:rPr>
          <w:rStyle w:val="19"/>
          <w:rFonts w:ascii="宋体" w:hAnsi="宋体" w:eastAsia="宋体" w:cs="Times New Roman"/>
          <w:sz w:val="24"/>
          <w:szCs w:val="24"/>
          <w:highlight w:val="none"/>
        </w:rPr>
        <w:t>向贵方履行了</w:t>
      </w:r>
      <w:r>
        <w:rPr>
          <w:rStyle w:val="19"/>
          <w:rFonts w:hint="eastAsia" w:ascii="宋体" w:hAnsi="宋体" w:eastAsia="宋体" w:cs="Times New Roman"/>
          <w:sz w:val="24"/>
          <w:szCs w:val="24"/>
          <w:highlight w:val="none"/>
        </w:rPr>
        <w:t>保证担保责任</w:t>
      </w:r>
      <w:r>
        <w:rPr>
          <w:rStyle w:val="19"/>
          <w:rFonts w:ascii="宋体" w:hAnsi="宋体" w:eastAsia="宋体" w:cs="Times New Roman"/>
          <w:sz w:val="24"/>
          <w:szCs w:val="24"/>
          <w:highlight w:val="none"/>
        </w:rPr>
        <w:t>后，自我方向贵方支付</w:t>
      </w:r>
      <w:r>
        <w:rPr>
          <w:rStyle w:val="19"/>
          <w:rFonts w:hint="eastAsia" w:ascii="宋体" w:hAnsi="宋体" w:eastAsia="宋体" w:cs="Times New Roman"/>
          <w:sz w:val="24"/>
          <w:szCs w:val="24"/>
          <w:highlight w:val="none"/>
        </w:rPr>
        <w:t>的金额达到最高保证担保金额</w:t>
      </w:r>
      <w:r>
        <w:rPr>
          <w:rStyle w:val="19"/>
          <w:rFonts w:ascii="宋体" w:hAnsi="宋体" w:eastAsia="宋体" w:cs="Times New Roman"/>
          <w:sz w:val="24"/>
          <w:szCs w:val="24"/>
          <w:highlight w:val="none"/>
        </w:rPr>
        <w:t>之日起，</w:t>
      </w:r>
      <w:r>
        <w:rPr>
          <w:rStyle w:val="19"/>
          <w:rFonts w:hint="eastAsia" w:ascii="宋体" w:hAnsi="宋体" w:eastAsia="宋体" w:cs="Times New Roman"/>
          <w:sz w:val="24"/>
          <w:szCs w:val="24"/>
          <w:highlight w:val="none"/>
        </w:rPr>
        <w:t>保证担保责任</w:t>
      </w:r>
      <w:r>
        <w:rPr>
          <w:rStyle w:val="19"/>
          <w:rFonts w:ascii="宋体" w:hAnsi="宋体" w:eastAsia="宋体" w:cs="Times New Roman"/>
          <w:sz w:val="24"/>
          <w:szCs w:val="24"/>
          <w:highlight w:val="none"/>
        </w:rPr>
        <w:t xml:space="preserve">解除。 </w:t>
      </w:r>
    </w:p>
    <w:p w14:paraId="7208C09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w:t>
      </w:r>
      <w:r>
        <w:rPr>
          <w:rStyle w:val="19"/>
          <w:rFonts w:ascii="宋体" w:hAnsi="宋体" w:eastAsia="宋体" w:cs="Times New Roman"/>
          <w:sz w:val="24"/>
          <w:szCs w:val="24"/>
          <w:highlight w:val="none"/>
        </w:rPr>
        <w:t>按照法律法规的规定应解除我方保证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责任的其它情形的，我方在本保证担保项下的保证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 xml:space="preserve">责任亦解除。 </w:t>
      </w:r>
    </w:p>
    <w:p w14:paraId="45B4ADAB">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4.我方解除保证责任后，贵方应按上述约定，自我方保证担保责任解除之日起七</w:t>
      </w:r>
      <w:r>
        <w:rPr>
          <w:rStyle w:val="19"/>
          <w:rFonts w:ascii="宋体" w:hAnsi="宋体" w:eastAsia="宋体" w:cs="Times New Roman"/>
          <w:sz w:val="24"/>
          <w:szCs w:val="24"/>
          <w:highlight w:val="none"/>
        </w:rPr>
        <w:t>日内，将本保证担保原件返还我方。但是不论贵方是否按此要求将本保证担保</w:t>
      </w:r>
      <w:r>
        <w:rPr>
          <w:rStyle w:val="19"/>
          <w:rFonts w:hint="eastAsia" w:ascii="宋体" w:hAnsi="宋体" w:eastAsia="宋体" w:cs="Times New Roman"/>
          <w:sz w:val="24"/>
          <w:szCs w:val="24"/>
          <w:highlight w:val="none"/>
        </w:rPr>
        <w:t>原件</w:t>
      </w:r>
      <w:r>
        <w:rPr>
          <w:rStyle w:val="19"/>
          <w:rFonts w:ascii="宋体" w:hAnsi="宋体" w:eastAsia="宋体" w:cs="Times New Roman"/>
          <w:sz w:val="24"/>
          <w:szCs w:val="24"/>
          <w:highlight w:val="none"/>
        </w:rPr>
        <w:t>退回我方，我方在本保证担保项下的义务和责任均</w:t>
      </w:r>
      <w:r>
        <w:rPr>
          <w:rStyle w:val="19"/>
          <w:rFonts w:hint="eastAsia" w:ascii="宋体" w:hAnsi="宋体" w:eastAsia="宋体" w:cs="Times New Roman"/>
          <w:sz w:val="24"/>
          <w:szCs w:val="24"/>
          <w:highlight w:val="none"/>
        </w:rPr>
        <w:t>自保证担保责任解除之日</w:t>
      </w:r>
      <w:r>
        <w:rPr>
          <w:rStyle w:val="19"/>
          <w:rFonts w:ascii="宋体" w:hAnsi="宋体" w:eastAsia="宋体" w:cs="Times New Roman"/>
          <w:sz w:val="24"/>
          <w:szCs w:val="24"/>
          <w:highlight w:val="none"/>
        </w:rPr>
        <w:t>自动消灭。</w:t>
      </w:r>
    </w:p>
    <w:p w14:paraId="4644FA4F">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六、免责条款</w:t>
      </w:r>
      <w:r>
        <w:rPr>
          <w:rStyle w:val="19"/>
          <w:rFonts w:ascii="宋体" w:hAnsi="宋体" w:eastAsia="宋体" w:cs="Times New Roman"/>
          <w:b/>
          <w:bCs/>
          <w:sz w:val="24"/>
          <w:szCs w:val="24"/>
          <w:highlight w:val="none"/>
        </w:rPr>
        <w:t xml:space="preserve"> </w:t>
      </w:r>
    </w:p>
    <w:p w14:paraId="58F57951">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因贵方</w:t>
      </w:r>
      <w:r>
        <w:rPr>
          <w:rStyle w:val="19"/>
          <w:rFonts w:hint="eastAsia" w:ascii="宋体" w:hAnsi="宋体" w:eastAsia="宋体" w:cs="Times New Roman"/>
          <w:sz w:val="24"/>
          <w:szCs w:val="24"/>
          <w:highlight w:val="none"/>
        </w:rPr>
        <w:t>原因</w:t>
      </w:r>
      <w:r>
        <w:rPr>
          <w:rStyle w:val="19"/>
          <w:rFonts w:ascii="宋体" w:hAnsi="宋体" w:eastAsia="宋体" w:cs="Times New Roman"/>
          <w:sz w:val="24"/>
          <w:szCs w:val="24"/>
          <w:highlight w:val="none"/>
        </w:rPr>
        <w:t>致使</w:t>
      </w:r>
      <w:r>
        <w:rPr>
          <w:rStyle w:val="19"/>
          <w:rFonts w:hint="eastAsia" w:ascii="宋体" w:hAnsi="宋体" w:eastAsia="宋体" w:cs="Times New Roman"/>
          <w:sz w:val="24"/>
          <w:szCs w:val="24"/>
          <w:highlight w:val="none"/>
        </w:rPr>
        <w:t>发包人未履行主合同项下工程款付款义务的</w:t>
      </w:r>
      <w:r>
        <w:rPr>
          <w:rStyle w:val="19"/>
          <w:rFonts w:ascii="宋体" w:hAnsi="宋体" w:eastAsia="宋体" w:cs="Times New Roman"/>
          <w:sz w:val="24"/>
          <w:szCs w:val="24"/>
          <w:highlight w:val="none"/>
        </w:rPr>
        <w:t>，我方不承担保证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 xml:space="preserve">责任。 </w:t>
      </w:r>
    </w:p>
    <w:p w14:paraId="2D9FCADB">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依照法律规定或贵方与</w:t>
      </w:r>
      <w:r>
        <w:rPr>
          <w:rStyle w:val="19"/>
          <w:rFonts w:hint="eastAsia" w:ascii="宋体" w:hAnsi="宋体" w:eastAsia="宋体" w:cs="Times New Roman"/>
          <w:sz w:val="24"/>
          <w:szCs w:val="24"/>
          <w:highlight w:val="none"/>
        </w:rPr>
        <w:t>发包</w:t>
      </w:r>
      <w:r>
        <w:rPr>
          <w:rStyle w:val="19"/>
          <w:rFonts w:ascii="宋体" w:hAnsi="宋体" w:eastAsia="宋体" w:cs="Times New Roman"/>
          <w:sz w:val="24"/>
          <w:szCs w:val="24"/>
          <w:highlight w:val="none"/>
        </w:rPr>
        <w:t>人的另行约定，免除</w:t>
      </w:r>
      <w:r>
        <w:rPr>
          <w:rStyle w:val="19"/>
          <w:rFonts w:hint="eastAsia" w:ascii="宋体" w:hAnsi="宋体" w:eastAsia="宋体" w:cs="Times New Roman"/>
          <w:sz w:val="24"/>
          <w:szCs w:val="24"/>
          <w:highlight w:val="none"/>
        </w:rPr>
        <w:t>发包</w:t>
      </w:r>
      <w:r>
        <w:rPr>
          <w:rStyle w:val="19"/>
          <w:rFonts w:ascii="宋体" w:hAnsi="宋体" w:eastAsia="宋体" w:cs="Times New Roman"/>
          <w:sz w:val="24"/>
          <w:szCs w:val="24"/>
          <w:highlight w:val="none"/>
        </w:rPr>
        <w:t>人部分或全部义务的，我方亦免除其相应的保证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 xml:space="preserve">责任。 </w:t>
      </w:r>
    </w:p>
    <w:p w14:paraId="679F1CD7">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w:t>
      </w:r>
      <w:r>
        <w:rPr>
          <w:rStyle w:val="19"/>
          <w:rFonts w:ascii="宋体" w:hAnsi="宋体" w:eastAsia="宋体" w:cs="Times New Roman"/>
          <w:sz w:val="24"/>
          <w:szCs w:val="24"/>
          <w:highlight w:val="none"/>
        </w:rPr>
        <w:t>因不可抗力造成</w:t>
      </w:r>
      <w:r>
        <w:rPr>
          <w:rStyle w:val="19"/>
          <w:rFonts w:hint="eastAsia" w:ascii="宋体" w:hAnsi="宋体" w:eastAsia="宋体" w:cs="Times New Roman"/>
          <w:sz w:val="24"/>
          <w:szCs w:val="24"/>
          <w:highlight w:val="none"/>
        </w:rPr>
        <w:t>发包</w:t>
      </w:r>
      <w:r>
        <w:rPr>
          <w:rStyle w:val="19"/>
          <w:rFonts w:ascii="宋体" w:hAnsi="宋体" w:eastAsia="宋体" w:cs="Times New Roman"/>
          <w:sz w:val="24"/>
          <w:szCs w:val="24"/>
          <w:highlight w:val="none"/>
        </w:rPr>
        <w:t>人</w:t>
      </w:r>
      <w:r>
        <w:rPr>
          <w:rStyle w:val="19"/>
          <w:rFonts w:hint="eastAsia" w:ascii="宋体" w:hAnsi="宋体" w:eastAsia="宋体" w:cs="Times New Roman"/>
          <w:sz w:val="24"/>
          <w:szCs w:val="24"/>
          <w:highlight w:val="none"/>
        </w:rPr>
        <w:t>未履行主合同项下工程款付款义务的</w:t>
      </w:r>
      <w:r>
        <w:rPr>
          <w:rStyle w:val="19"/>
          <w:rFonts w:ascii="宋体" w:hAnsi="宋体" w:eastAsia="宋体" w:cs="Times New Roman"/>
          <w:sz w:val="24"/>
          <w:szCs w:val="24"/>
          <w:highlight w:val="none"/>
        </w:rPr>
        <w:t>，我方不承担保证</w:t>
      </w:r>
      <w:r>
        <w:rPr>
          <w:rStyle w:val="19"/>
          <w:rFonts w:hint="eastAsia" w:ascii="宋体" w:hAnsi="宋体" w:eastAsia="宋体" w:cs="Times New Roman"/>
          <w:sz w:val="24"/>
          <w:szCs w:val="24"/>
          <w:highlight w:val="none"/>
        </w:rPr>
        <w:t>担保</w:t>
      </w:r>
      <w:r>
        <w:rPr>
          <w:rStyle w:val="19"/>
          <w:rFonts w:ascii="宋体" w:hAnsi="宋体" w:eastAsia="宋体" w:cs="Times New Roman"/>
          <w:sz w:val="24"/>
          <w:szCs w:val="24"/>
          <w:highlight w:val="none"/>
        </w:rPr>
        <w:t>责任。</w:t>
      </w:r>
    </w:p>
    <w:p w14:paraId="2F58ABEC">
      <w:pPr>
        <w:pStyle w:val="32"/>
        <w:spacing w:line="360" w:lineRule="auto"/>
        <w:ind w:firstLine="482" w:firstLineChars="200"/>
        <w:rPr>
          <w:rStyle w:val="19"/>
          <w:rFonts w:ascii="宋体" w:hAnsi="宋体" w:eastAsia="宋体" w:cs="Times New Roman"/>
          <w:b/>
          <w:bCs/>
          <w:sz w:val="24"/>
          <w:szCs w:val="24"/>
          <w:highlight w:val="none"/>
        </w:rPr>
      </w:pPr>
      <w:r>
        <w:rPr>
          <w:rStyle w:val="19"/>
          <w:rFonts w:hint="eastAsia" w:ascii="宋体" w:hAnsi="宋体" w:eastAsia="宋体" w:cs="Times New Roman"/>
          <w:b/>
          <w:bCs/>
          <w:sz w:val="24"/>
          <w:szCs w:val="24"/>
          <w:highlight w:val="none"/>
        </w:rPr>
        <w:t>七、其他</w:t>
      </w:r>
    </w:p>
    <w:p w14:paraId="0064912F">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1.</w:t>
      </w:r>
      <w:r>
        <w:rPr>
          <w:rStyle w:val="19"/>
          <w:rFonts w:ascii="宋体" w:hAnsi="宋体" w:eastAsia="宋体" w:cs="Times New Roman"/>
          <w:sz w:val="24"/>
          <w:szCs w:val="24"/>
          <w:highlight w:val="none"/>
        </w:rPr>
        <w:t>本保证担保项下的权利不得转让，不得设定担保。贵方未经我方书面同意转让本保证担保或其项下任何权利，</w:t>
      </w:r>
      <w:r>
        <w:rPr>
          <w:rStyle w:val="19"/>
          <w:rFonts w:hint="eastAsia" w:ascii="宋体" w:hAnsi="宋体" w:eastAsia="宋体" w:cs="Times New Roman"/>
          <w:sz w:val="24"/>
          <w:szCs w:val="24"/>
          <w:highlight w:val="none"/>
        </w:rPr>
        <w:t>对我方不发生法律效力</w:t>
      </w:r>
      <w:r>
        <w:rPr>
          <w:rStyle w:val="19"/>
          <w:rFonts w:ascii="宋体" w:hAnsi="宋体" w:eastAsia="宋体" w:cs="Times New Roman"/>
          <w:sz w:val="24"/>
          <w:szCs w:val="24"/>
          <w:highlight w:val="none"/>
        </w:rPr>
        <w:t xml:space="preserve">。 </w:t>
      </w:r>
    </w:p>
    <w:p w14:paraId="138D25B4">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2</w:t>
      </w:r>
      <w:r>
        <w:rPr>
          <w:rStyle w:val="19"/>
          <w:rFonts w:ascii="宋体" w:hAnsi="宋体" w:eastAsia="宋体" w:cs="Times New Roman"/>
          <w:sz w:val="24"/>
          <w:szCs w:val="24"/>
          <w:highlight w:val="none"/>
        </w:rPr>
        <w:t>.本</w:t>
      </w:r>
      <w:r>
        <w:rPr>
          <w:rStyle w:val="19"/>
          <w:rFonts w:hint="eastAsia" w:ascii="宋体" w:hAnsi="宋体" w:eastAsia="宋体" w:cs="Times New Roman"/>
          <w:sz w:val="24"/>
          <w:szCs w:val="24"/>
          <w:highlight w:val="none"/>
        </w:rPr>
        <w:t>保证担保适用的法律为中华人民共和国法律，争议裁判管辖地为中华人民共和国</w:t>
      </w:r>
      <w:r>
        <w:rPr>
          <w:rStyle w:val="19"/>
          <w:rFonts w:hint="eastAsia" w:ascii="宋体" w:hAnsi="宋体" w:eastAsia="宋体" w:cs="Times New Roman"/>
          <w:sz w:val="24"/>
          <w:szCs w:val="24"/>
          <w:highlight w:val="none"/>
          <w:u w:val="single"/>
        </w:rPr>
        <w:t xml:space="preserve"> </w:t>
      </w:r>
      <w:r>
        <w:rPr>
          <w:rStyle w:val="19"/>
          <w:rFonts w:ascii="宋体" w:hAnsi="宋体" w:eastAsia="宋体" w:cs="Times New Roman"/>
          <w:sz w:val="24"/>
          <w:szCs w:val="24"/>
          <w:highlight w:val="none"/>
          <w:u w:val="single"/>
        </w:rPr>
        <w:t xml:space="preserve">    </w:t>
      </w:r>
      <w:r>
        <w:rPr>
          <w:rStyle w:val="19"/>
          <w:rFonts w:hint="eastAsia" w:ascii="宋体" w:hAnsi="宋体" w:eastAsia="宋体" w:cs="Times New Roman"/>
          <w:sz w:val="24"/>
          <w:szCs w:val="24"/>
          <w:highlight w:val="none"/>
        </w:rPr>
        <w:t>。</w:t>
      </w:r>
      <w:r>
        <w:rPr>
          <w:rStyle w:val="19"/>
          <w:rFonts w:ascii="宋体" w:hAnsi="宋体" w:eastAsia="宋体" w:cs="Times New Roman"/>
          <w:sz w:val="24"/>
          <w:szCs w:val="24"/>
          <w:highlight w:val="none"/>
        </w:rPr>
        <w:t xml:space="preserve"> </w:t>
      </w:r>
    </w:p>
    <w:p w14:paraId="6FBC8346">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3</w:t>
      </w:r>
      <w:r>
        <w:rPr>
          <w:rStyle w:val="19"/>
          <w:rFonts w:ascii="宋体" w:hAnsi="宋体" w:eastAsia="宋体" w:cs="Times New Roman"/>
          <w:sz w:val="24"/>
          <w:szCs w:val="24"/>
          <w:highlight w:val="none"/>
        </w:rPr>
        <w:t>.本</w:t>
      </w:r>
      <w:r>
        <w:rPr>
          <w:rStyle w:val="19"/>
          <w:rFonts w:hint="eastAsia" w:ascii="宋体" w:hAnsi="宋体" w:eastAsia="宋体" w:cs="Times New Roman"/>
          <w:sz w:val="24"/>
          <w:szCs w:val="24"/>
          <w:highlight w:val="none"/>
        </w:rPr>
        <w:t>保证担保</w:t>
      </w:r>
      <w:r>
        <w:rPr>
          <w:rStyle w:val="19"/>
          <w:rFonts w:ascii="宋体" w:hAnsi="宋体" w:eastAsia="宋体" w:cs="Times New Roman"/>
          <w:sz w:val="24"/>
          <w:szCs w:val="24"/>
          <w:highlight w:val="none"/>
        </w:rPr>
        <w:t>自我方法定代表</w:t>
      </w:r>
      <w:r>
        <w:rPr>
          <w:rStyle w:val="19"/>
          <w:rFonts w:hint="eastAsia" w:ascii="宋体" w:hAnsi="宋体" w:eastAsia="宋体" w:cs="Times New Roman"/>
          <w:sz w:val="24"/>
          <w:szCs w:val="24"/>
          <w:highlight w:val="none"/>
        </w:rPr>
        <w:t>人或授权代表</w:t>
      </w:r>
      <w:r>
        <w:rPr>
          <w:rStyle w:val="19"/>
          <w:rFonts w:ascii="宋体" w:hAnsi="宋体" w:eastAsia="宋体" w:cs="Times New Roman"/>
          <w:sz w:val="24"/>
          <w:szCs w:val="24"/>
          <w:highlight w:val="none"/>
        </w:rPr>
        <w:t>签字</w:t>
      </w:r>
      <w:r>
        <w:rPr>
          <w:rStyle w:val="19"/>
          <w:rFonts w:hint="eastAsia" w:ascii="宋体" w:hAnsi="宋体" w:eastAsia="宋体" w:cs="Times New Roman"/>
          <w:sz w:val="24"/>
          <w:szCs w:val="24"/>
          <w:highlight w:val="none"/>
        </w:rPr>
        <w:t>并</w:t>
      </w:r>
      <w:r>
        <w:rPr>
          <w:rStyle w:val="19"/>
          <w:rFonts w:ascii="宋体" w:hAnsi="宋体" w:eastAsia="宋体" w:cs="Times New Roman"/>
          <w:sz w:val="24"/>
          <w:szCs w:val="24"/>
          <w:highlight w:val="none"/>
        </w:rPr>
        <w:t xml:space="preserve">加盖公章之日起生效。 </w:t>
      </w:r>
    </w:p>
    <w:p w14:paraId="27812130">
      <w:pPr>
        <w:pStyle w:val="32"/>
        <w:spacing w:line="360" w:lineRule="auto"/>
        <w:ind w:firstLine="480" w:firstLineChars="200"/>
        <w:rPr>
          <w:rStyle w:val="19"/>
          <w:rFonts w:ascii="宋体" w:hAnsi="宋体" w:eastAsia="宋体" w:cs="Times New Roman"/>
          <w:sz w:val="24"/>
          <w:szCs w:val="24"/>
          <w:highlight w:val="none"/>
        </w:rPr>
      </w:pPr>
    </w:p>
    <w:p w14:paraId="7211293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保 证 人</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 xml:space="preserve">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（公</w:t>
      </w:r>
      <w:r>
        <w:rPr>
          <w:rStyle w:val="19"/>
          <w:rFonts w:ascii="宋体" w:hAnsi="宋体" w:eastAsia="宋体" w:cs="Times New Roman"/>
          <w:sz w:val="24"/>
          <w:szCs w:val="24"/>
          <w:highlight w:val="none"/>
        </w:rPr>
        <w:t xml:space="preserve">章） </w:t>
      </w:r>
    </w:p>
    <w:p w14:paraId="7106714E">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法定代表人（或授权代表）：</w:t>
      </w:r>
      <w:r>
        <w:rPr>
          <w:rStyle w:val="19"/>
          <w:rFonts w:ascii="宋体" w:hAnsi="宋体" w:eastAsia="宋体" w:cs="Times New Roman"/>
          <w:sz w:val="24"/>
          <w:szCs w:val="24"/>
          <w:highlight w:val="none"/>
        </w:rPr>
        <w:t xml:space="preserve">               （签字） </w:t>
      </w:r>
    </w:p>
    <w:p w14:paraId="7CF43B52">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地</w:t>
      </w:r>
      <w:r>
        <w:rPr>
          <w:rStyle w:val="19"/>
          <w:rFonts w:ascii="宋体" w:hAnsi="宋体" w:eastAsia="宋体" w:cs="Times New Roman"/>
          <w:sz w:val="24"/>
          <w:szCs w:val="24"/>
          <w:highlight w:val="none"/>
        </w:rPr>
        <w:t xml:space="preserve">    址：                                       </w:t>
      </w:r>
    </w:p>
    <w:p w14:paraId="0D2323A5">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邮政编码：</w:t>
      </w:r>
      <w:r>
        <w:rPr>
          <w:rStyle w:val="19"/>
          <w:rFonts w:ascii="宋体" w:hAnsi="宋体" w:eastAsia="宋体" w:cs="Times New Roman"/>
          <w:sz w:val="24"/>
          <w:szCs w:val="24"/>
          <w:highlight w:val="none"/>
        </w:rPr>
        <w:t xml:space="preserve">                 </w:t>
      </w:r>
    </w:p>
    <w:p w14:paraId="6306CC0F">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电</w:t>
      </w:r>
      <w:r>
        <w:rPr>
          <w:rStyle w:val="19"/>
          <w:rFonts w:ascii="宋体" w:hAnsi="宋体" w:eastAsia="宋体" w:cs="Times New Roman"/>
          <w:sz w:val="24"/>
          <w:szCs w:val="24"/>
          <w:highlight w:val="none"/>
        </w:rPr>
        <w:t xml:space="preserve">    话：                 </w:t>
      </w:r>
    </w:p>
    <w:p w14:paraId="6A3E6B76">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传</w:t>
      </w:r>
      <w:r>
        <w:rPr>
          <w:rStyle w:val="19"/>
          <w:rFonts w:ascii="宋体" w:hAnsi="宋体" w:eastAsia="宋体" w:cs="Times New Roman"/>
          <w:sz w:val="24"/>
          <w:szCs w:val="24"/>
          <w:highlight w:val="none"/>
        </w:rPr>
        <w:t xml:space="preserve">    真：                 </w:t>
      </w:r>
    </w:p>
    <w:p w14:paraId="2E8DF85B">
      <w:pPr>
        <w:pStyle w:val="32"/>
        <w:spacing w:line="360" w:lineRule="auto"/>
        <w:ind w:firstLine="480" w:firstLineChars="200"/>
        <w:rPr>
          <w:rStyle w:val="19"/>
          <w:rFonts w:ascii="宋体" w:hAnsi="宋体" w:eastAsia="宋体" w:cs="Times New Roman"/>
          <w:sz w:val="24"/>
          <w:szCs w:val="24"/>
          <w:highlight w:val="none"/>
        </w:rPr>
      </w:pPr>
      <w:r>
        <w:rPr>
          <w:rStyle w:val="19"/>
          <w:rFonts w:hint="eastAsia" w:ascii="宋体" w:hAnsi="宋体" w:eastAsia="宋体" w:cs="Times New Roman"/>
          <w:sz w:val="24"/>
          <w:szCs w:val="24"/>
          <w:highlight w:val="none"/>
        </w:rPr>
        <w:t xml:space="preserve">时 </w:t>
      </w:r>
      <w:r>
        <w:rPr>
          <w:rStyle w:val="19"/>
          <w:rFonts w:ascii="宋体" w:hAnsi="宋体" w:eastAsia="宋体" w:cs="Times New Roman"/>
          <w:sz w:val="24"/>
          <w:szCs w:val="24"/>
          <w:highlight w:val="none"/>
        </w:rPr>
        <w:t xml:space="preserve">   </w:t>
      </w:r>
      <w:r>
        <w:rPr>
          <w:rStyle w:val="19"/>
          <w:rFonts w:hint="eastAsia" w:ascii="宋体" w:hAnsi="宋体" w:eastAsia="宋体" w:cs="Times New Roman"/>
          <w:sz w:val="24"/>
          <w:szCs w:val="24"/>
          <w:highlight w:val="none"/>
        </w:rPr>
        <w:t>间：</w:t>
      </w:r>
      <w:r>
        <w:rPr>
          <w:rStyle w:val="19"/>
          <w:rFonts w:ascii="宋体" w:hAnsi="宋体" w:eastAsia="宋体" w:cs="Times New Roman"/>
          <w:sz w:val="24"/>
          <w:szCs w:val="24"/>
          <w:highlight w:val="none"/>
        </w:rPr>
        <w:t xml:space="preserve">      年      月   </w:t>
      </w:r>
      <w:r>
        <w:rPr>
          <w:rStyle w:val="19"/>
          <w:rFonts w:hint="eastAsia" w:ascii="宋体" w:hAnsi="宋体" w:eastAsia="宋体" w:cs="Times New Roman"/>
          <w:sz w:val="24"/>
          <w:szCs w:val="24"/>
          <w:highlight w:val="none"/>
          <w:lang w:val="en-US" w:eastAsia="zh-CN"/>
        </w:rPr>
        <w:t xml:space="preserve">  </w:t>
      </w:r>
      <w:r>
        <w:rPr>
          <w:rStyle w:val="19"/>
          <w:rFonts w:ascii="宋体" w:hAnsi="宋体" w:eastAsia="宋体" w:cs="Times New Roman"/>
          <w:sz w:val="24"/>
          <w:szCs w:val="24"/>
          <w:highlight w:val="none"/>
        </w:rPr>
        <w:t>日</w:t>
      </w:r>
    </w:p>
    <w:p w14:paraId="002A0BE7">
      <w:pPr>
        <w:pStyle w:val="32"/>
        <w:rPr>
          <w:rStyle w:val="19"/>
          <w:rFonts w:ascii="宋体" w:hAnsi="宋体" w:eastAsia="宋体" w:cs="Times New Roman"/>
          <w:highlight w:val="none"/>
        </w:rPr>
      </w:pPr>
    </w:p>
    <w:p w14:paraId="17FE8E17">
      <w:pPr>
        <w:pStyle w:val="32"/>
        <w:spacing w:line="360" w:lineRule="auto"/>
        <w:ind w:firstLine="480" w:firstLineChars="200"/>
        <w:rPr>
          <w:rStyle w:val="19"/>
          <w:rFonts w:ascii="宋体" w:hAnsi="宋体" w:eastAsia="宋体" w:cs="Times New Roman"/>
          <w:sz w:val="24"/>
          <w:szCs w:val="24"/>
          <w:highlight w:val="none"/>
        </w:rPr>
      </w:pPr>
    </w:p>
    <w:p w14:paraId="41E6373C">
      <w:pPr>
        <w:pStyle w:val="32"/>
        <w:spacing w:line="360" w:lineRule="auto"/>
        <w:ind w:firstLine="420" w:firstLineChars="200"/>
        <w:rPr>
          <w:rStyle w:val="19"/>
          <w:rFonts w:hint="eastAsia" w:ascii="宋体" w:hAnsi="宋体" w:eastAsia="宋体" w:cs="Times New Roman"/>
          <w:highlight w:val="none"/>
        </w:rPr>
      </w:pPr>
    </w:p>
    <w:p w14:paraId="57CB75AA">
      <w:pPr>
        <w:pStyle w:val="32"/>
        <w:jc w:val="left"/>
        <w:rPr>
          <w:rStyle w:val="19"/>
          <w:rFonts w:ascii="宋体" w:hAnsi="宋体" w:eastAsia="宋体" w:cs="Times New Roman"/>
          <w:sz w:val="30"/>
          <w:szCs w:val="30"/>
          <w:highlight w:val="none"/>
        </w:rPr>
      </w:pPr>
      <w:r>
        <w:rPr>
          <w:rStyle w:val="19"/>
          <w:rFonts w:ascii="宋体" w:hAnsi="宋体" w:eastAsia="宋体" w:cs="Times New Roman"/>
          <w:sz w:val="30"/>
          <w:szCs w:val="30"/>
          <w:highlight w:val="none"/>
        </w:rPr>
        <w:t xml:space="preserve"> </w:t>
      </w:r>
    </w:p>
    <w:p w14:paraId="0ABABF72">
      <w:pPr>
        <w:pStyle w:val="32"/>
        <w:jc w:val="left"/>
        <w:rPr>
          <w:rStyle w:val="19"/>
          <w:rFonts w:hint="eastAsia" w:ascii="宋体" w:hAnsi="宋体" w:eastAsia="宋体" w:cs="宋体"/>
          <w:sz w:val="30"/>
          <w:szCs w:val="30"/>
          <w:highlight w:val="none"/>
        </w:rPr>
      </w:pPr>
      <w:r>
        <w:rPr>
          <w:rStyle w:val="19"/>
          <w:rFonts w:ascii="宋体" w:hAnsi="宋体" w:eastAsia="宋体" w:cs="Times New Roman"/>
          <w:sz w:val="30"/>
          <w:szCs w:val="30"/>
          <w:highlight w:val="none"/>
        </w:rPr>
        <w:br w:type="page"/>
      </w:r>
      <w:r>
        <w:rPr>
          <w:rStyle w:val="19"/>
          <w:rFonts w:hint="eastAsia" w:ascii="宋体" w:hAnsi="宋体" w:eastAsia="宋体" w:cs="宋体"/>
          <w:sz w:val="30"/>
          <w:szCs w:val="30"/>
          <w:highlight w:val="none"/>
        </w:rPr>
        <w:t>附件10：</w:t>
      </w:r>
    </w:p>
    <w:p w14:paraId="5E0CB8D4">
      <w:pPr>
        <w:pStyle w:val="32"/>
        <w:jc w:val="center"/>
        <w:rPr>
          <w:rStyle w:val="19"/>
          <w:rFonts w:hint="eastAsia" w:ascii="宋体" w:hAnsi="宋体" w:eastAsia="宋体" w:cs="Times New Roman"/>
          <w:b/>
          <w:sz w:val="36"/>
          <w:szCs w:val="36"/>
          <w:highlight w:val="none"/>
        </w:rPr>
      </w:pPr>
      <w:r>
        <w:rPr>
          <w:rStyle w:val="19"/>
          <w:rFonts w:hint="eastAsia" w:ascii="宋体" w:hAnsi="宋体" w:eastAsia="宋体" w:cs="Times New Roman"/>
          <w:b/>
          <w:sz w:val="36"/>
          <w:szCs w:val="36"/>
          <w:highlight w:val="none"/>
        </w:rPr>
        <w:t>预付款支付申请（核准）表</w:t>
      </w:r>
    </w:p>
    <w:p w14:paraId="5B9FB120">
      <w:pPr>
        <w:pStyle w:val="32"/>
        <w:rPr>
          <w:rStyle w:val="19"/>
          <w:rFonts w:hint="eastAsia" w:ascii="宋体" w:hAnsi="宋体" w:eastAsia="宋体" w:cs="Times New Roman"/>
          <w:sz w:val="24"/>
          <w:szCs w:val="24"/>
          <w:highlight w:val="none"/>
        </w:rPr>
      </w:pPr>
      <w:r>
        <w:rPr>
          <w:rStyle w:val="19"/>
          <w:rFonts w:hint="eastAsia" w:ascii="宋体" w:hAnsi="宋体" w:eastAsia="宋体" w:cs="Times New Roman"/>
          <w:sz w:val="24"/>
          <w:szCs w:val="24"/>
          <w:highlight w:val="none"/>
        </w:rPr>
        <w:t>工程名称：                                             编号：</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4C56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noWrap w:val="0"/>
            <w:vAlign w:val="top"/>
          </w:tcPr>
          <w:p w14:paraId="2149D4C2">
            <w:pPr>
              <w:pStyle w:val="32"/>
              <w:spacing w:line="480" w:lineRule="exact"/>
              <w:ind w:left="525" w:leftChars="149" w:hanging="212" w:hangingChars="101"/>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致：</w:t>
            </w:r>
            <w:r>
              <w:rPr>
                <w:rStyle w:val="19"/>
                <w:rFonts w:hint="eastAsia" w:ascii="宋体" w:hAnsi="宋体" w:eastAsia="宋体" w:cs="Times New Roman"/>
                <w:highlight w:val="none"/>
                <w:u w:val="single"/>
              </w:rPr>
              <w:t xml:space="preserve">                                   （发包人全称）</w:t>
            </w:r>
          </w:p>
          <w:p w14:paraId="09E38C26">
            <w:pPr>
              <w:pStyle w:val="32"/>
              <w:spacing w:line="400" w:lineRule="exact"/>
              <w:ind w:left="-4" w:leftChars="-2" w:firstLine="315" w:firstLineChars="150"/>
              <w:rPr>
                <w:rStyle w:val="19"/>
                <w:rFonts w:hint="eastAsia" w:ascii="宋体" w:hAnsi="宋体" w:eastAsia="宋体" w:cs="Times New Roman"/>
                <w:highlight w:val="none"/>
              </w:rPr>
            </w:pPr>
            <w:r>
              <w:rPr>
                <w:rStyle w:val="19"/>
                <w:rFonts w:hint="eastAsia" w:ascii="宋体" w:hAnsi="宋体" w:eastAsia="宋体" w:cs="Times New Roman"/>
                <w:highlight w:val="none"/>
              </w:rPr>
              <w:t>我方根据施工合同的约定，现申请支付工程预付款额为(大写)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元，(小写)</w:t>
            </w:r>
          </w:p>
          <w:p w14:paraId="4893C02A">
            <w:pPr>
              <w:pStyle w:val="32"/>
              <w:spacing w:line="400" w:lineRule="exact"/>
              <w:rPr>
                <w:rStyle w:val="19"/>
                <w:rFonts w:hint="eastAsia" w:ascii="宋体" w:hAnsi="宋体" w:eastAsia="宋体" w:cs="Times New Roman"/>
                <w:highlight w:val="none"/>
              </w:rPr>
            </w:pP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元，请予核准。</w:t>
            </w:r>
          </w:p>
          <w:tbl>
            <w:tblPr>
              <w:tblStyle w:val="18"/>
              <w:tblpPr w:leftFromText="180" w:rightFromText="180" w:vertAnchor="page" w:horzAnchor="margin" w:tblpY="1309"/>
              <w:tblOverlap w:val="never"/>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7A46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63425926">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序号</w:t>
                  </w:r>
                </w:p>
              </w:tc>
              <w:tc>
                <w:tcPr>
                  <w:tcW w:w="3340" w:type="dxa"/>
                  <w:noWrap w:val="0"/>
                  <w:vAlign w:val="center"/>
                </w:tcPr>
                <w:p w14:paraId="58968455">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名      称</w:t>
                  </w:r>
                </w:p>
              </w:tc>
              <w:tc>
                <w:tcPr>
                  <w:tcW w:w="1764" w:type="dxa"/>
                  <w:noWrap w:val="0"/>
                  <w:vAlign w:val="center"/>
                </w:tcPr>
                <w:p w14:paraId="3F4D046E">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申请金额（元）</w:t>
                  </w:r>
                </w:p>
              </w:tc>
              <w:tc>
                <w:tcPr>
                  <w:tcW w:w="2240" w:type="dxa"/>
                  <w:noWrap w:val="0"/>
                  <w:vAlign w:val="center"/>
                </w:tcPr>
                <w:p w14:paraId="61A675EC">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复核金额（元）</w:t>
                  </w:r>
                </w:p>
              </w:tc>
              <w:tc>
                <w:tcPr>
                  <w:tcW w:w="1080" w:type="dxa"/>
                  <w:noWrap w:val="0"/>
                  <w:vAlign w:val="center"/>
                </w:tcPr>
                <w:p w14:paraId="4D18004C">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备注</w:t>
                  </w:r>
                </w:p>
              </w:tc>
            </w:tr>
            <w:tr w14:paraId="2CB6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BE63D21">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1</w:t>
                  </w:r>
                </w:p>
              </w:tc>
              <w:tc>
                <w:tcPr>
                  <w:tcW w:w="3340" w:type="dxa"/>
                  <w:noWrap w:val="0"/>
                  <w:vAlign w:val="top"/>
                </w:tcPr>
                <w:p w14:paraId="72776138">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已签约合同价款金额</w:t>
                  </w:r>
                </w:p>
              </w:tc>
              <w:tc>
                <w:tcPr>
                  <w:tcW w:w="1764" w:type="dxa"/>
                  <w:noWrap w:val="0"/>
                  <w:vAlign w:val="top"/>
                </w:tcPr>
                <w:p w14:paraId="4E706E1E">
                  <w:pPr>
                    <w:pStyle w:val="32"/>
                    <w:spacing w:line="280" w:lineRule="exact"/>
                    <w:rPr>
                      <w:rStyle w:val="19"/>
                      <w:rFonts w:hint="eastAsia" w:ascii="宋体" w:hAnsi="宋体" w:eastAsia="宋体" w:cs="Times New Roman"/>
                      <w:highlight w:val="none"/>
                    </w:rPr>
                  </w:pPr>
                </w:p>
              </w:tc>
              <w:tc>
                <w:tcPr>
                  <w:tcW w:w="2240" w:type="dxa"/>
                  <w:noWrap w:val="0"/>
                  <w:vAlign w:val="top"/>
                </w:tcPr>
                <w:p w14:paraId="03F9F9E6">
                  <w:pPr>
                    <w:pStyle w:val="32"/>
                    <w:spacing w:line="280" w:lineRule="exact"/>
                    <w:rPr>
                      <w:rStyle w:val="19"/>
                      <w:rFonts w:hint="eastAsia" w:ascii="宋体" w:hAnsi="宋体" w:eastAsia="宋体" w:cs="Times New Roman"/>
                      <w:highlight w:val="none"/>
                    </w:rPr>
                  </w:pPr>
                </w:p>
              </w:tc>
              <w:tc>
                <w:tcPr>
                  <w:tcW w:w="1080" w:type="dxa"/>
                  <w:noWrap w:val="0"/>
                  <w:vAlign w:val="top"/>
                </w:tcPr>
                <w:p w14:paraId="27C6B7F9">
                  <w:pPr>
                    <w:pStyle w:val="32"/>
                    <w:spacing w:line="280" w:lineRule="exact"/>
                    <w:rPr>
                      <w:rStyle w:val="19"/>
                      <w:rFonts w:hint="eastAsia" w:ascii="宋体" w:hAnsi="宋体" w:eastAsia="宋体" w:cs="Times New Roman"/>
                      <w:highlight w:val="none"/>
                    </w:rPr>
                  </w:pPr>
                </w:p>
              </w:tc>
            </w:tr>
            <w:tr w14:paraId="4129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0B19108">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2</w:t>
                  </w:r>
                </w:p>
              </w:tc>
              <w:tc>
                <w:tcPr>
                  <w:tcW w:w="3340" w:type="dxa"/>
                  <w:noWrap w:val="0"/>
                  <w:vAlign w:val="top"/>
                </w:tcPr>
                <w:p w14:paraId="330048D7">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其中：安全文明施工费</w:t>
                  </w:r>
                </w:p>
              </w:tc>
              <w:tc>
                <w:tcPr>
                  <w:tcW w:w="1764" w:type="dxa"/>
                  <w:noWrap w:val="0"/>
                  <w:vAlign w:val="top"/>
                </w:tcPr>
                <w:p w14:paraId="7D7F430A">
                  <w:pPr>
                    <w:pStyle w:val="32"/>
                    <w:spacing w:line="280" w:lineRule="exact"/>
                    <w:rPr>
                      <w:rStyle w:val="19"/>
                      <w:rFonts w:hint="eastAsia" w:ascii="宋体" w:hAnsi="宋体" w:eastAsia="宋体" w:cs="Times New Roman"/>
                      <w:highlight w:val="none"/>
                    </w:rPr>
                  </w:pPr>
                </w:p>
              </w:tc>
              <w:tc>
                <w:tcPr>
                  <w:tcW w:w="2240" w:type="dxa"/>
                  <w:noWrap w:val="0"/>
                  <w:vAlign w:val="top"/>
                </w:tcPr>
                <w:p w14:paraId="5ADE260F">
                  <w:pPr>
                    <w:pStyle w:val="32"/>
                    <w:spacing w:line="280" w:lineRule="exact"/>
                    <w:rPr>
                      <w:rStyle w:val="19"/>
                      <w:rFonts w:hint="eastAsia" w:ascii="宋体" w:hAnsi="宋体" w:eastAsia="宋体" w:cs="Times New Roman"/>
                      <w:highlight w:val="none"/>
                    </w:rPr>
                  </w:pPr>
                </w:p>
              </w:tc>
              <w:tc>
                <w:tcPr>
                  <w:tcW w:w="1080" w:type="dxa"/>
                  <w:noWrap w:val="0"/>
                  <w:vAlign w:val="top"/>
                </w:tcPr>
                <w:p w14:paraId="64AD562B">
                  <w:pPr>
                    <w:pStyle w:val="32"/>
                    <w:spacing w:line="280" w:lineRule="exact"/>
                    <w:rPr>
                      <w:rStyle w:val="19"/>
                      <w:rFonts w:hint="eastAsia" w:ascii="宋体" w:hAnsi="宋体" w:eastAsia="宋体" w:cs="Times New Roman"/>
                      <w:highlight w:val="none"/>
                    </w:rPr>
                  </w:pPr>
                </w:p>
              </w:tc>
            </w:tr>
            <w:tr w14:paraId="6A36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4DD7280">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3</w:t>
                  </w:r>
                </w:p>
              </w:tc>
              <w:tc>
                <w:tcPr>
                  <w:tcW w:w="3340" w:type="dxa"/>
                  <w:noWrap w:val="0"/>
                  <w:vAlign w:val="top"/>
                </w:tcPr>
                <w:p w14:paraId="5AC39A90">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应支付的预付款</w:t>
                  </w:r>
                </w:p>
              </w:tc>
              <w:tc>
                <w:tcPr>
                  <w:tcW w:w="1764" w:type="dxa"/>
                  <w:noWrap w:val="0"/>
                  <w:vAlign w:val="top"/>
                </w:tcPr>
                <w:p w14:paraId="39AE3648">
                  <w:pPr>
                    <w:pStyle w:val="32"/>
                    <w:spacing w:line="280" w:lineRule="exact"/>
                    <w:rPr>
                      <w:rStyle w:val="19"/>
                      <w:rFonts w:hint="eastAsia" w:ascii="宋体" w:hAnsi="宋体" w:eastAsia="宋体" w:cs="Times New Roman"/>
                      <w:highlight w:val="none"/>
                    </w:rPr>
                  </w:pPr>
                </w:p>
              </w:tc>
              <w:tc>
                <w:tcPr>
                  <w:tcW w:w="2240" w:type="dxa"/>
                  <w:noWrap w:val="0"/>
                  <w:vAlign w:val="top"/>
                </w:tcPr>
                <w:p w14:paraId="3341152A">
                  <w:pPr>
                    <w:pStyle w:val="32"/>
                    <w:spacing w:line="280" w:lineRule="exact"/>
                    <w:rPr>
                      <w:rStyle w:val="19"/>
                      <w:rFonts w:hint="eastAsia" w:ascii="宋体" w:hAnsi="宋体" w:eastAsia="宋体" w:cs="Times New Roman"/>
                      <w:highlight w:val="none"/>
                    </w:rPr>
                  </w:pPr>
                </w:p>
              </w:tc>
              <w:tc>
                <w:tcPr>
                  <w:tcW w:w="1080" w:type="dxa"/>
                  <w:noWrap w:val="0"/>
                  <w:vAlign w:val="top"/>
                </w:tcPr>
                <w:p w14:paraId="5AF43CFF">
                  <w:pPr>
                    <w:pStyle w:val="32"/>
                    <w:spacing w:line="280" w:lineRule="exact"/>
                    <w:rPr>
                      <w:rStyle w:val="19"/>
                      <w:rFonts w:hint="eastAsia" w:ascii="宋体" w:hAnsi="宋体" w:eastAsia="宋体" w:cs="Times New Roman"/>
                      <w:highlight w:val="none"/>
                    </w:rPr>
                  </w:pPr>
                </w:p>
              </w:tc>
            </w:tr>
            <w:tr w14:paraId="4731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AB0F081">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4</w:t>
                  </w:r>
                </w:p>
              </w:tc>
              <w:tc>
                <w:tcPr>
                  <w:tcW w:w="3340" w:type="dxa"/>
                  <w:noWrap w:val="0"/>
                  <w:vAlign w:val="top"/>
                </w:tcPr>
                <w:p w14:paraId="6A3F21CA">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应支付的安全文明施工费预付款</w:t>
                  </w:r>
                </w:p>
              </w:tc>
              <w:tc>
                <w:tcPr>
                  <w:tcW w:w="1764" w:type="dxa"/>
                  <w:noWrap w:val="0"/>
                  <w:vAlign w:val="top"/>
                </w:tcPr>
                <w:p w14:paraId="48AFD92E">
                  <w:pPr>
                    <w:pStyle w:val="32"/>
                    <w:spacing w:line="280" w:lineRule="exact"/>
                    <w:rPr>
                      <w:rStyle w:val="19"/>
                      <w:rFonts w:hint="eastAsia" w:ascii="宋体" w:hAnsi="宋体" w:eastAsia="宋体" w:cs="Times New Roman"/>
                      <w:highlight w:val="none"/>
                    </w:rPr>
                  </w:pPr>
                </w:p>
              </w:tc>
              <w:tc>
                <w:tcPr>
                  <w:tcW w:w="2240" w:type="dxa"/>
                  <w:noWrap w:val="0"/>
                  <w:vAlign w:val="top"/>
                </w:tcPr>
                <w:p w14:paraId="3EE0C7E1">
                  <w:pPr>
                    <w:pStyle w:val="32"/>
                    <w:spacing w:line="280" w:lineRule="exact"/>
                    <w:rPr>
                      <w:rStyle w:val="19"/>
                      <w:rFonts w:hint="eastAsia" w:ascii="宋体" w:hAnsi="宋体" w:eastAsia="宋体" w:cs="Times New Roman"/>
                      <w:highlight w:val="none"/>
                    </w:rPr>
                  </w:pPr>
                </w:p>
              </w:tc>
              <w:tc>
                <w:tcPr>
                  <w:tcW w:w="1080" w:type="dxa"/>
                  <w:noWrap w:val="0"/>
                  <w:vAlign w:val="top"/>
                </w:tcPr>
                <w:p w14:paraId="17601B54">
                  <w:pPr>
                    <w:pStyle w:val="32"/>
                    <w:spacing w:line="280" w:lineRule="exact"/>
                    <w:rPr>
                      <w:rStyle w:val="19"/>
                      <w:rFonts w:hint="eastAsia" w:ascii="宋体" w:hAnsi="宋体" w:eastAsia="宋体" w:cs="Times New Roman"/>
                      <w:highlight w:val="none"/>
                    </w:rPr>
                  </w:pPr>
                </w:p>
              </w:tc>
            </w:tr>
            <w:tr w14:paraId="7F15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9CBFD3A">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5</w:t>
                  </w:r>
                </w:p>
              </w:tc>
              <w:tc>
                <w:tcPr>
                  <w:tcW w:w="3340" w:type="dxa"/>
                  <w:noWrap w:val="0"/>
                  <w:vAlign w:val="top"/>
                </w:tcPr>
                <w:p w14:paraId="5DD4286A">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合计应支付的预付款</w:t>
                  </w:r>
                </w:p>
              </w:tc>
              <w:tc>
                <w:tcPr>
                  <w:tcW w:w="1764" w:type="dxa"/>
                  <w:noWrap w:val="0"/>
                  <w:vAlign w:val="top"/>
                </w:tcPr>
                <w:p w14:paraId="3DD38304">
                  <w:pPr>
                    <w:pStyle w:val="32"/>
                    <w:spacing w:line="280" w:lineRule="exact"/>
                    <w:rPr>
                      <w:rStyle w:val="19"/>
                      <w:rFonts w:hint="eastAsia" w:ascii="宋体" w:hAnsi="宋体" w:eastAsia="宋体" w:cs="Times New Roman"/>
                      <w:highlight w:val="none"/>
                    </w:rPr>
                  </w:pPr>
                </w:p>
              </w:tc>
              <w:tc>
                <w:tcPr>
                  <w:tcW w:w="2240" w:type="dxa"/>
                  <w:noWrap w:val="0"/>
                  <w:vAlign w:val="top"/>
                </w:tcPr>
                <w:p w14:paraId="0CA63039">
                  <w:pPr>
                    <w:pStyle w:val="32"/>
                    <w:spacing w:line="280" w:lineRule="exact"/>
                    <w:rPr>
                      <w:rStyle w:val="19"/>
                      <w:rFonts w:hint="eastAsia" w:ascii="宋体" w:hAnsi="宋体" w:eastAsia="宋体" w:cs="Times New Roman"/>
                      <w:highlight w:val="none"/>
                    </w:rPr>
                  </w:pPr>
                </w:p>
              </w:tc>
              <w:tc>
                <w:tcPr>
                  <w:tcW w:w="1080" w:type="dxa"/>
                  <w:noWrap w:val="0"/>
                  <w:vAlign w:val="top"/>
                </w:tcPr>
                <w:p w14:paraId="1151886F">
                  <w:pPr>
                    <w:pStyle w:val="32"/>
                    <w:spacing w:line="280" w:lineRule="exact"/>
                    <w:rPr>
                      <w:rStyle w:val="19"/>
                      <w:rFonts w:hint="eastAsia" w:ascii="宋体" w:hAnsi="宋体" w:eastAsia="宋体" w:cs="Times New Roman"/>
                      <w:highlight w:val="none"/>
                    </w:rPr>
                  </w:pPr>
                </w:p>
              </w:tc>
            </w:tr>
            <w:tr w14:paraId="21AD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556771D">
                  <w:pPr>
                    <w:pStyle w:val="32"/>
                    <w:spacing w:line="280" w:lineRule="exact"/>
                    <w:jc w:val="center"/>
                    <w:rPr>
                      <w:rStyle w:val="19"/>
                      <w:rFonts w:hint="eastAsia" w:ascii="宋体" w:hAnsi="宋体" w:eastAsia="宋体" w:cs="Times New Roman"/>
                      <w:highlight w:val="none"/>
                    </w:rPr>
                  </w:pPr>
                </w:p>
              </w:tc>
              <w:tc>
                <w:tcPr>
                  <w:tcW w:w="3340" w:type="dxa"/>
                  <w:noWrap w:val="0"/>
                  <w:vAlign w:val="top"/>
                </w:tcPr>
                <w:p w14:paraId="77F38298">
                  <w:pPr>
                    <w:pStyle w:val="32"/>
                    <w:spacing w:line="280" w:lineRule="exact"/>
                    <w:rPr>
                      <w:rStyle w:val="19"/>
                      <w:rFonts w:hint="eastAsia" w:ascii="宋体" w:hAnsi="宋体" w:eastAsia="宋体" w:cs="Times New Roman"/>
                      <w:highlight w:val="none"/>
                    </w:rPr>
                  </w:pPr>
                </w:p>
              </w:tc>
              <w:tc>
                <w:tcPr>
                  <w:tcW w:w="1764" w:type="dxa"/>
                  <w:noWrap w:val="0"/>
                  <w:vAlign w:val="top"/>
                </w:tcPr>
                <w:p w14:paraId="263CB7A0">
                  <w:pPr>
                    <w:pStyle w:val="32"/>
                    <w:spacing w:line="280" w:lineRule="exact"/>
                    <w:rPr>
                      <w:rStyle w:val="19"/>
                      <w:rFonts w:hint="eastAsia" w:ascii="宋体" w:hAnsi="宋体" w:eastAsia="宋体" w:cs="Times New Roman"/>
                      <w:highlight w:val="none"/>
                    </w:rPr>
                  </w:pPr>
                </w:p>
              </w:tc>
              <w:tc>
                <w:tcPr>
                  <w:tcW w:w="2240" w:type="dxa"/>
                  <w:noWrap w:val="0"/>
                  <w:vAlign w:val="top"/>
                </w:tcPr>
                <w:p w14:paraId="44B4C9AC">
                  <w:pPr>
                    <w:pStyle w:val="32"/>
                    <w:spacing w:line="280" w:lineRule="exact"/>
                    <w:rPr>
                      <w:rStyle w:val="19"/>
                      <w:rFonts w:hint="eastAsia" w:ascii="宋体" w:hAnsi="宋体" w:eastAsia="宋体" w:cs="Times New Roman"/>
                      <w:highlight w:val="none"/>
                    </w:rPr>
                  </w:pPr>
                </w:p>
              </w:tc>
              <w:tc>
                <w:tcPr>
                  <w:tcW w:w="1080" w:type="dxa"/>
                  <w:noWrap w:val="0"/>
                  <w:vAlign w:val="top"/>
                </w:tcPr>
                <w:p w14:paraId="003EED7F">
                  <w:pPr>
                    <w:pStyle w:val="32"/>
                    <w:spacing w:line="280" w:lineRule="exact"/>
                    <w:rPr>
                      <w:rStyle w:val="19"/>
                      <w:rFonts w:hint="eastAsia" w:ascii="宋体" w:hAnsi="宋体" w:eastAsia="宋体" w:cs="Times New Roman"/>
                      <w:highlight w:val="none"/>
                    </w:rPr>
                  </w:pPr>
                </w:p>
              </w:tc>
            </w:tr>
          </w:tbl>
          <w:p w14:paraId="6766C742">
            <w:pPr>
              <w:pStyle w:val="32"/>
              <w:wordWrap w:val="0"/>
              <w:spacing w:line="400" w:lineRule="exact"/>
              <w:ind w:right="420"/>
              <w:rPr>
                <w:rStyle w:val="19"/>
                <w:rFonts w:hint="eastAsia" w:ascii="宋体" w:hAnsi="宋体" w:eastAsia="宋体" w:cs="Times New Roman"/>
                <w:highlight w:val="none"/>
              </w:rPr>
            </w:pPr>
          </w:p>
          <w:p w14:paraId="5CE97251">
            <w:pPr>
              <w:pStyle w:val="32"/>
              <w:wordWrap w:val="0"/>
              <w:spacing w:line="400" w:lineRule="exact"/>
              <w:ind w:right="420"/>
              <w:rPr>
                <w:rStyle w:val="19"/>
                <w:rFonts w:hint="eastAsia" w:ascii="宋体" w:hAnsi="宋体" w:eastAsia="宋体" w:cs="Times New Roman"/>
                <w:highlight w:val="none"/>
              </w:rPr>
            </w:pPr>
            <w:r>
              <w:rPr>
                <w:rStyle w:val="19"/>
                <w:rFonts w:hint="eastAsia" w:ascii="宋体" w:hAnsi="宋体" w:eastAsia="宋体" w:cs="Times New Roman"/>
                <w:highlight w:val="none"/>
              </w:rPr>
              <w:t xml:space="preserve">                                            承包人（章）             </w:t>
            </w:r>
          </w:p>
          <w:p w14:paraId="6CC4EB7C">
            <w:pPr>
              <w:pStyle w:val="32"/>
              <w:spacing w:line="400" w:lineRule="exact"/>
              <w:ind w:right="420" w:firstLine="435"/>
              <w:rPr>
                <w:rStyle w:val="19"/>
                <w:rFonts w:hint="eastAsia" w:ascii="宋体" w:hAnsi="宋体" w:eastAsia="宋体" w:cs="Times New Roman"/>
                <w:highlight w:val="none"/>
              </w:rPr>
            </w:pPr>
            <w:r>
              <w:rPr>
                <w:rStyle w:val="19"/>
                <w:rFonts w:hint="eastAsia" w:ascii="宋体" w:hAnsi="宋体" w:eastAsia="宋体" w:cs="Times New Roman"/>
                <w:highlight w:val="none"/>
              </w:rPr>
              <w:t>造价人员</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承包人代表</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r w14:paraId="16F3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22" w:hRule="atLeast"/>
          <w:jc w:val="center"/>
        </w:trPr>
        <w:tc>
          <w:tcPr>
            <w:tcW w:w="4488" w:type="dxa"/>
            <w:noWrap w:val="0"/>
            <w:vAlign w:val="top"/>
          </w:tcPr>
          <w:p w14:paraId="52402F20">
            <w:pPr>
              <w:pStyle w:val="32"/>
              <w:spacing w:line="36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复核意见：</w:t>
            </w:r>
          </w:p>
          <w:p w14:paraId="31E43222">
            <w:pPr>
              <w:pStyle w:val="32"/>
              <w:spacing w:line="360" w:lineRule="exact"/>
              <w:ind w:firstLine="312"/>
              <w:rPr>
                <w:rStyle w:val="19"/>
                <w:rFonts w:hint="eastAsia" w:ascii="宋体" w:hAnsi="宋体" w:eastAsia="宋体" w:cs="Times New Roman"/>
                <w:highlight w:val="none"/>
              </w:rPr>
            </w:pPr>
            <w:r>
              <w:rPr>
                <w:rStyle w:val="19"/>
                <w:rFonts w:hint="eastAsia" w:ascii="宋体" w:hAnsi="宋体" w:eastAsia="宋体" w:cs="Times New Roman"/>
                <w:highlight w:val="none"/>
              </w:rPr>
              <w:t>□与合同约定不相符，修改意见见附件。</w:t>
            </w:r>
          </w:p>
          <w:p w14:paraId="6465F003">
            <w:pPr>
              <w:pStyle w:val="32"/>
              <w:spacing w:line="360" w:lineRule="exact"/>
              <w:ind w:firstLine="312"/>
              <w:rPr>
                <w:rStyle w:val="19"/>
                <w:rFonts w:hint="eastAsia" w:ascii="宋体" w:hAnsi="宋体" w:eastAsia="宋体" w:cs="Times New Roman"/>
                <w:highlight w:val="none"/>
              </w:rPr>
            </w:pPr>
            <w:r>
              <w:rPr>
                <w:rStyle w:val="19"/>
                <w:rFonts w:hint="eastAsia" w:ascii="宋体" w:hAnsi="宋体" w:eastAsia="宋体" w:cs="Times New Roman"/>
                <w:highlight w:val="none"/>
              </w:rPr>
              <w:t>□与合同约定相符，具体金额由造价工程师复核。</w:t>
            </w:r>
          </w:p>
          <w:p w14:paraId="5B56D6BE">
            <w:pPr>
              <w:pStyle w:val="32"/>
              <w:spacing w:line="360" w:lineRule="exact"/>
              <w:ind w:firstLine="435"/>
              <w:jc w:val="right"/>
              <w:rPr>
                <w:rStyle w:val="19"/>
                <w:rFonts w:hint="eastAsia" w:ascii="宋体" w:hAnsi="宋体" w:eastAsia="宋体" w:cs="Times New Roman"/>
                <w:highlight w:val="none"/>
              </w:rPr>
            </w:pPr>
          </w:p>
          <w:p w14:paraId="405E7486">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监理工程师</w:t>
            </w:r>
            <w:r>
              <w:rPr>
                <w:rStyle w:val="19"/>
                <w:rFonts w:hint="eastAsia" w:ascii="宋体" w:hAnsi="宋体" w:eastAsia="宋体" w:cs="Times New Roman"/>
                <w:highlight w:val="none"/>
                <w:u w:val="single"/>
              </w:rPr>
              <w:t xml:space="preserve">           </w:t>
            </w:r>
          </w:p>
          <w:p w14:paraId="23FEDF1E">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日      期</w:t>
            </w:r>
            <w:r>
              <w:rPr>
                <w:rStyle w:val="19"/>
                <w:rFonts w:hint="eastAsia" w:ascii="宋体" w:hAnsi="宋体" w:eastAsia="宋体" w:cs="Times New Roman"/>
                <w:highlight w:val="none"/>
                <w:u w:val="single"/>
              </w:rPr>
              <w:t xml:space="preserve">           </w:t>
            </w:r>
          </w:p>
        </w:tc>
        <w:tc>
          <w:tcPr>
            <w:tcW w:w="4697" w:type="dxa"/>
            <w:noWrap w:val="0"/>
            <w:vAlign w:val="top"/>
          </w:tcPr>
          <w:p w14:paraId="33B5D421">
            <w:pPr>
              <w:pStyle w:val="32"/>
              <w:spacing w:line="36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复核意见：</w:t>
            </w:r>
          </w:p>
          <w:p w14:paraId="45773508">
            <w:pPr>
              <w:pStyle w:val="32"/>
              <w:spacing w:line="360" w:lineRule="exact"/>
              <w:ind w:firstLine="435"/>
              <w:rPr>
                <w:rStyle w:val="19"/>
                <w:rFonts w:hint="eastAsia" w:ascii="宋体" w:hAnsi="宋体" w:eastAsia="宋体" w:cs="Times New Roman"/>
                <w:highlight w:val="none"/>
              </w:rPr>
            </w:pPr>
            <w:r>
              <w:rPr>
                <w:rStyle w:val="19"/>
                <w:rFonts w:hint="eastAsia" w:ascii="宋体" w:hAnsi="宋体" w:eastAsia="宋体" w:cs="Times New Roman"/>
                <w:highlight w:val="none"/>
              </w:rPr>
              <w:t>你方提出的支付申请经复核，应支付预付款金额为(大写)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元，（小写）</w:t>
            </w:r>
          </w:p>
          <w:p w14:paraId="66DDD535">
            <w:pPr>
              <w:pStyle w:val="32"/>
              <w:spacing w:line="360" w:lineRule="exact"/>
              <w:rPr>
                <w:rStyle w:val="19"/>
                <w:rFonts w:hint="eastAsia" w:ascii="宋体" w:hAnsi="宋体" w:eastAsia="宋体" w:cs="Times New Roman"/>
                <w:highlight w:val="none"/>
              </w:rPr>
            </w:pP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 xml:space="preserve"> 元。</w:t>
            </w:r>
          </w:p>
          <w:p w14:paraId="22A429D6">
            <w:pPr>
              <w:pStyle w:val="32"/>
              <w:spacing w:line="360" w:lineRule="exact"/>
              <w:rPr>
                <w:rStyle w:val="19"/>
                <w:rFonts w:hint="eastAsia" w:ascii="宋体" w:hAnsi="宋体" w:eastAsia="宋体" w:cs="Times New Roman"/>
                <w:highlight w:val="none"/>
                <w:u w:val="single"/>
              </w:rPr>
            </w:pPr>
          </w:p>
          <w:p w14:paraId="58A0804B">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造价工程师</w:t>
            </w:r>
            <w:r>
              <w:rPr>
                <w:rStyle w:val="19"/>
                <w:rFonts w:hint="eastAsia" w:ascii="宋体" w:hAnsi="宋体" w:eastAsia="宋体" w:cs="Times New Roman"/>
                <w:highlight w:val="none"/>
                <w:u w:val="single"/>
              </w:rPr>
              <w:t xml:space="preserve">           </w:t>
            </w:r>
          </w:p>
          <w:p w14:paraId="18A12F24">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日      期</w:t>
            </w:r>
            <w:r>
              <w:rPr>
                <w:rStyle w:val="19"/>
                <w:rFonts w:hint="eastAsia" w:ascii="宋体" w:hAnsi="宋体" w:eastAsia="宋体" w:cs="Times New Roman"/>
                <w:highlight w:val="none"/>
                <w:u w:val="single"/>
              </w:rPr>
              <w:t xml:space="preserve">           </w:t>
            </w:r>
          </w:p>
        </w:tc>
      </w:tr>
      <w:tr w14:paraId="70E3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1" w:hRule="atLeast"/>
          <w:jc w:val="center"/>
        </w:trPr>
        <w:tc>
          <w:tcPr>
            <w:tcW w:w="9185" w:type="dxa"/>
            <w:gridSpan w:val="2"/>
            <w:noWrap w:val="0"/>
            <w:vAlign w:val="top"/>
          </w:tcPr>
          <w:p w14:paraId="4D6AE288">
            <w:pPr>
              <w:pStyle w:val="32"/>
              <w:spacing w:line="40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审核意见：</w:t>
            </w:r>
          </w:p>
          <w:p w14:paraId="5979282C">
            <w:pPr>
              <w:pStyle w:val="32"/>
              <w:spacing w:line="400" w:lineRule="exact"/>
              <w:ind w:firstLine="435"/>
              <w:rPr>
                <w:rStyle w:val="19"/>
                <w:rFonts w:hint="eastAsia" w:ascii="宋体" w:hAnsi="宋体" w:eastAsia="宋体" w:cs="Times New Roman"/>
                <w:highlight w:val="none"/>
              </w:rPr>
            </w:pPr>
            <w:r>
              <w:rPr>
                <w:rStyle w:val="19"/>
                <w:rFonts w:hint="eastAsia" w:ascii="宋体" w:hAnsi="宋体" w:eastAsia="宋体" w:cs="Times New Roman"/>
                <w:highlight w:val="none"/>
              </w:rPr>
              <w:t>□不同意。</w:t>
            </w:r>
          </w:p>
          <w:p w14:paraId="0A17A962">
            <w:pPr>
              <w:pStyle w:val="32"/>
              <w:spacing w:line="400" w:lineRule="exact"/>
              <w:ind w:firstLine="420" w:firstLineChars="200"/>
              <w:rPr>
                <w:rStyle w:val="19"/>
                <w:rFonts w:hint="eastAsia" w:ascii="宋体" w:hAnsi="宋体" w:eastAsia="宋体" w:cs="Times New Roman"/>
                <w:highlight w:val="none"/>
              </w:rPr>
            </w:pPr>
            <w:r>
              <w:rPr>
                <w:rStyle w:val="19"/>
                <w:rFonts w:hint="eastAsia" w:ascii="宋体" w:hAnsi="宋体" w:eastAsia="宋体" w:cs="Times New Roman"/>
                <w:highlight w:val="none"/>
              </w:rPr>
              <w:t>□同意，支付时间为本表签发后的15天内。</w:t>
            </w:r>
          </w:p>
          <w:p w14:paraId="5B5A2463">
            <w:pPr>
              <w:pStyle w:val="32"/>
              <w:wordWrap w:val="0"/>
              <w:spacing w:line="400" w:lineRule="exact"/>
              <w:ind w:firstLine="420" w:firstLineChars="200"/>
              <w:jc w:val="right"/>
              <w:rPr>
                <w:rStyle w:val="19"/>
                <w:rFonts w:hint="eastAsia" w:ascii="宋体" w:hAnsi="宋体" w:eastAsia="宋体" w:cs="Times New Roman"/>
                <w:highlight w:val="none"/>
              </w:rPr>
            </w:pPr>
            <w:r>
              <w:rPr>
                <w:rStyle w:val="19"/>
                <w:rFonts w:hint="eastAsia" w:ascii="宋体" w:hAnsi="宋体" w:eastAsia="宋体" w:cs="Times New Roman"/>
                <w:highlight w:val="none"/>
              </w:rPr>
              <w:t xml:space="preserve">发包人（章）           </w:t>
            </w:r>
          </w:p>
          <w:p w14:paraId="19896068">
            <w:pPr>
              <w:pStyle w:val="32"/>
              <w:wordWrap w:val="0"/>
              <w:spacing w:line="400" w:lineRule="exact"/>
              <w:ind w:firstLine="420" w:firstLineChars="200"/>
              <w:jc w:val="right"/>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发包人代表</w:t>
            </w:r>
            <w:r>
              <w:rPr>
                <w:rStyle w:val="19"/>
                <w:rFonts w:hint="eastAsia" w:ascii="宋体" w:hAnsi="宋体" w:eastAsia="宋体" w:cs="Times New Roman"/>
                <w:highlight w:val="none"/>
                <w:u w:val="single"/>
              </w:rPr>
              <w:t xml:space="preserve">             </w:t>
            </w:r>
          </w:p>
          <w:p w14:paraId="09E93FF9">
            <w:pPr>
              <w:pStyle w:val="32"/>
              <w:wordWrap w:val="0"/>
              <w:spacing w:line="400" w:lineRule="exact"/>
              <w:ind w:firstLine="420" w:firstLineChars="200"/>
              <w:jc w:val="right"/>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bl>
    <w:p w14:paraId="7AE57E74">
      <w:pPr>
        <w:pStyle w:val="32"/>
        <w:spacing w:before="120" w:beforeLines="50"/>
        <w:ind w:firstLine="360" w:firstLineChars="200"/>
        <w:rPr>
          <w:rStyle w:val="19"/>
          <w:rFonts w:hint="eastAsia" w:ascii="宋体" w:hAnsi="宋体" w:eastAsia="宋体" w:cs="Times New Roman"/>
          <w:sz w:val="18"/>
          <w:szCs w:val="18"/>
          <w:highlight w:val="none"/>
        </w:rPr>
      </w:pPr>
      <w:r>
        <w:rPr>
          <w:rStyle w:val="19"/>
          <w:rFonts w:hint="eastAsia" w:ascii="宋体" w:hAnsi="宋体" w:eastAsia="宋体" w:cs="Times New Roman"/>
          <w:sz w:val="18"/>
          <w:szCs w:val="18"/>
          <w:highlight w:val="none"/>
        </w:rPr>
        <w:t xml:space="preserve">注：1.在选择栏中的“□”内作标识“√”。 </w:t>
      </w:r>
    </w:p>
    <w:p w14:paraId="48D9D632">
      <w:pPr>
        <w:pStyle w:val="32"/>
        <w:spacing w:before="120" w:beforeLines="50"/>
        <w:ind w:left="720" w:hanging="720" w:hangingChars="400"/>
        <w:rPr>
          <w:rStyle w:val="19"/>
          <w:rFonts w:hint="eastAsia" w:ascii="宋体" w:hAnsi="宋体" w:eastAsia="宋体" w:cs="Times New Roman"/>
          <w:sz w:val="30"/>
          <w:szCs w:val="30"/>
          <w:highlight w:val="none"/>
        </w:rPr>
      </w:pPr>
      <w:r>
        <w:rPr>
          <w:rStyle w:val="19"/>
          <w:rFonts w:hint="eastAsia" w:ascii="宋体" w:hAnsi="宋体" w:eastAsia="宋体" w:cs="Times New Roman"/>
          <w:sz w:val="18"/>
          <w:szCs w:val="18"/>
          <w:highlight w:val="none"/>
        </w:rPr>
        <w:t xml:space="preserve">    </w:t>
      </w:r>
      <w:r>
        <w:rPr>
          <w:rStyle w:val="19"/>
          <w:rFonts w:ascii="宋体" w:hAnsi="宋体" w:eastAsia="宋体" w:cs="Times New Roman"/>
          <w:sz w:val="18"/>
          <w:szCs w:val="18"/>
          <w:highlight w:val="none"/>
        </w:rPr>
        <w:t xml:space="preserve">  </w:t>
      </w:r>
      <w:r>
        <w:rPr>
          <w:rStyle w:val="19"/>
          <w:rFonts w:hint="eastAsia" w:ascii="宋体" w:hAnsi="宋体" w:eastAsia="宋体" w:cs="Times New Roman"/>
          <w:sz w:val="18"/>
          <w:szCs w:val="18"/>
          <w:highlight w:val="none"/>
        </w:rPr>
        <w:t xml:space="preserve">  2.本表一式四份，由承包人填报，发包人、监理人、造价咨询人、承包人各存一份。</w:t>
      </w:r>
    </w:p>
    <w:p w14:paraId="5195EC43">
      <w:pPr>
        <w:pStyle w:val="32"/>
        <w:spacing w:before="120" w:beforeLines="50"/>
        <w:ind w:left="1200" w:hanging="1200" w:hangingChars="400"/>
        <w:rPr>
          <w:rStyle w:val="19"/>
          <w:rFonts w:hint="eastAsia" w:ascii="宋体" w:hAnsi="宋体" w:eastAsia="宋体" w:cs="Times New Roman"/>
          <w:sz w:val="30"/>
          <w:szCs w:val="30"/>
          <w:highlight w:val="none"/>
        </w:rPr>
      </w:pPr>
      <w:r>
        <w:rPr>
          <w:rStyle w:val="19"/>
          <w:rFonts w:hint="eastAsia" w:ascii="宋体" w:hAnsi="宋体" w:eastAsia="宋体" w:cs="Times New Roman"/>
          <w:sz w:val="30"/>
          <w:szCs w:val="30"/>
          <w:highlight w:val="none"/>
        </w:rPr>
        <w:t>附件11：</w:t>
      </w:r>
    </w:p>
    <w:p w14:paraId="7D7A1689">
      <w:pPr>
        <w:pStyle w:val="32"/>
        <w:jc w:val="center"/>
        <w:rPr>
          <w:rStyle w:val="19"/>
          <w:rFonts w:hint="eastAsia" w:ascii="宋体" w:hAnsi="宋体" w:eastAsia="宋体" w:cs="Times New Roman"/>
          <w:b/>
          <w:sz w:val="36"/>
          <w:szCs w:val="36"/>
          <w:highlight w:val="none"/>
        </w:rPr>
      </w:pPr>
      <w:r>
        <w:rPr>
          <w:rStyle w:val="19"/>
          <w:rFonts w:hint="eastAsia" w:ascii="宋体" w:hAnsi="宋体" w:eastAsia="宋体" w:cs="Times New Roman"/>
          <w:b/>
          <w:sz w:val="36"/>
          <w:szCs w:val="36"/>
          <w:highlight w:val="none"/>
        </w:rPr>
        <w:t>进度款支付申请（核准）表</w:t>
      </w:r>
    </w:p>
    <w:p w14:paraId="2CC40D88">
      <w:pPr>
        <w:pStyle w:val="32"/>
        <w:rPr>
          <w:rStyle w:val="19"/>
          <w:rFonts w:hint="eastAsia" w:ascii="宋体" w:hAnsi="宋体" w:eastAsia="宋体" w:cs="Times New Roman"/>
          <w:sz w:val="24"/>
          <w:szCs w:val="24"/>
          <w:highlight w:val="none"/>
        </w:rPr>
      </w:pPr>
      <w:r>
        <w:rPr>
          <w:rStyle w:val="19"/>
          <w:rFonts w:hint="eastAsia" w:ascii="宋体" w:hAnsi="宋体" w:eastAsia="宋体" w:cs="Times New Roman"/>
          <w:sz w:val="24"/>
          <w:szCs w:val="24"/>
          <w:highlight w:val="none"/>
        </w:rPr>
        <w:t>工程名称：                                             编号：</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5142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072" w:type="dxa"/>
            <w:gridSpan w:val="2"/>
            <w:noWrap w:val="0"/>
            <w:vAlign w:val="top"/>
          </w:tcPr>
          <w:p w14:paraId="2272EB3D">
            <w:pPr>
              <w:pStyle w:val="32"/>
              <w:spacing w:line="480" w:lineRule="exact"/>
              <w:ind w:left="525" w:leftChars="149" w:hanging="212" w:hangingChars="101"/>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致：</w:t>
            </w:r>
            <w:r>
              <w:rPr>
                <w:rStyle w:val="19"/>
                <w:rFonts w:hint="eastAsia" w:ascii="宋体" w:hAnsi="宋体" w:eastAsia="宋体" w:cs="Times New Roman"/>
                <w:highlight w:val="none"/>
                <w:u w:val="single"/>
              </w:rPr>
              <w:t xml:space="preserve">                                   （发包人全称）</w:t>
            </w:r>
          </w:p>
          <w:p w14:paraId="629FF927">
            <w:pPr>
              <w:pStyle w:val="32"/>
              <w:spacing w:line="400" w:lineRule="exact"/>
              <w:ind w:left="-4" w:leftChars="-2" w:firstLine="315" w:firstLineChars="150"/>
              <w:rPr>
                <w:rStyle w:val="19"/>
                <w:rFonts w:hint="eastAsia" w:ascii="宋体" w:hAnsi="宋体" w:eastAsia="宋体" w:cs="Times New Roman"/>
                <w:highlight w:val="none"/>
              </w:rPr>
            </w:pPr>
            <w:r>
              <w:rPr>
                <w:rStyle w:val="19"/>
                <w:rFonts w:hint="eastAsia" w:ascii="宋体" w:hAnsi="宋体" w:eastAsia="宋体" w:cs="Times New Roman"/>
                <w:highlight w:val="none"/>
              </w:rPr>
              <w:t>我方于</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至</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期间已完成了</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工作，根据施工合同的约定，现申请支付本期的合同款额为(大写)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元，(小写)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元，请予核准。</w:t>
            </w:r>
          </w:p>
          <w:tbl>
            <w:tblPr>
              <w:tblStyle w:val="18"/>
              <w:tblpPr w:leftFromText="180" w:rightFromText="180" w:vertAnchor="page" w:horzAnchor="margin" w:tblpY="1309"/>
              <w:tblOverlap w:val="never"/>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275"/>
              <w:gridCol w:w="1328"/>
              <w:gridCol w:w="1426"/>
              <w:gridCol w:w="1250"/>
              <w:gridCol w:w="919"/>
            </w:tblGrid>
            <w:tr w14:paraId="7DD7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105A31E2">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序号</w:t>
                  </w:r>
                </w:p>
              </w:tc>
              <w:tc>
                <w:tcPr>
                  <w:tcW w:w="3275" w:type="dxa"/>
                  <w:noWrap w:val="0"/>
                  <w:vAlign w:val="center"/>
                </w:tcPr>
                <w:p w14:paraId="30C162B8">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名      称</w:t>
                  </w:r>
                </w:p>
              </w:tc>
              <w:tc>
                <w:tcPr>
                  <w:tcW w:w="1328" w:type="dxa"/>
                  <w:noWrap w:val="0"/>
                  <w:vAlign w:val="center"/>
                </w:tcPr>
                <w:p w14:paraId="47DD0D5E">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实际金额（元）</w:t>
                  </w:r>
                </w:p>
              </w:tc>
              <w:tc>
                <w:tcPr>
                  <w:tcW w:w="1426" w:type="dxa"/>
                  <w:noWrap w:val="0"/>
                  <w:vAlign w:val="center"/>
                </w:tcPr>
                <w:p w14:paraId="2894CBB3">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申请金额（元）</w:t>
                  </w:r>
                </w:p>
              </w:tc>
              <w:tc>
                <w:tcPr>
                  <w:tcW w:w="1250" w:type="dxa"/>
                  <w:noWrap w:val="0"/>
                  <w:vAlign w:val="center"/>
                </w:tcPr>
                <w:p w14:paraId="4841726F">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复核金额（元）</w:t>
                  </w:r>
                </w:p>
              </w:tc>
              <w:tc>
                <w:tcPr>
                  <w:tcW w:w="919" w:type="dxa"/>
                  <w:noWrap w:val="0"/>
                  <w:vAlign w:val="center"/>
                </w:tcPr>
                <w:p w14:paraId="65D10405">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备注</w:t>
                  </w:r>
                </w:p>
              </w:tc>
            </w:tr>
            <w:tr w14:paraId="4F64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303AA5E">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1</w:t>
                  </w:r>
                </w:p>
              </w:tc>
              <w:tc>
                <w:tcPr>
                  <w:tcW w:w="3275" w:type="dxa"/>
                  <w:noWrap w:val="0"/>
                  <w:vAlign w:val="top"/>
                </w:tcPr>
                <w:p w14:paraId="41499C21">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累计已完成的工程价款</w:t>
                  </w:r>
                </w:p>
              </w:tc>
              <w:tc>
                <w:tcPr>
                  <w:tcW w:w="1328" w:type="dxa"/>
                  <w:noWrap w:val="0"/>
                  <w:vAlign w:val="top"/>
                </w:tcPr>
                <w:p w14:paraId="2F4C7D32">
                  <w:pPr>
                    <w:pStyle w:val="32"/>
                    <w:spacing w:line="280" w:lineRule="exact"/>
                    <w:rPr>
                      <w:rStyle w:val="19"/>
                      <w:rFonts w:hint="eastAsia" w:ascii="宋体" w:hAnsi="宋体" w:eastAsia="宋体" w:cs="Times New Roman"/>
                      <w:highlight w:val="none"/>
                    </w:rPr>
                  </w:pPr>
                </w:p>
              </w:tc>
              <w:tc>
                <w:tcPr>
                  <w:tcW w:w="1426" w:type="dxa"/>
                  <w:noWrap w:val="0"/>
                  <w:vAlign w:val="top"/>
                </w:tcPr>
                <w:p w14:paraId="024ECAC2">
                  <w:pPr>
                    <w:pStyle w:val="32"/>
                    <w:spacing w:line="280" w:lineRule="exact"/>
                    <w:rPr>
                      <w:rStyle w:val="19"/>
                      <w:rFonts w:hint="eastAsia" w:ascii="宋体" w:hAnsi="宋体" w:eastAsia="宋体" w:cs="Times New Roman"/>
                      <w:highlight w:val="none"/>
                    </w:rPr>
                  </w:pPr>
                </w:p>
              </w:tc>
              <w:tc>
                <w:tcPr>
                  <w:tcW w:w="1250" w:type="dxa"/>
                  <w:noWrap w:val="0"/>
                  <w:vAlign w:val="top"/>
                </w:tcPr>
                <w:p w14:paraId="52C359BF">
                  <w:pPr>
                    <w:pStyle w:val="32"/>
                    <w:spacing w:line="280" w:lineRule="exact"/>
                    <w:rPr>
                      <w:rStyle w:val="19"/>
                      <w:rFonts w:hint="eastAsia" w:ascii="宋体" w:hAnsi="宋体" w:eastAsia="宋体" w:cs="Times New Roman"/>
                      <w:highlight w:val="none"/>
                    </w:rPr>
                  </w:pPr>
                </w:p>
              </w:tc>
              <w:tc>
                <w:tcPr>
                  <w:tcW w:w="919" w:type="dxa"/>
                  <w:noWrap w:val="0"/>
                  <w:vAlign w:val="top"/>
                </w:tcPr>
                <w:p w14:paraId="69EB4918">
                  <w:pPr>
                    <w:pStyle w:val="32"/>
                    <w:spacing w:line="280" w:lineRule="exact"/>
                    <w:rPr>
                      <w:rStyle w:val="19"/>
                      <w:rFonts w:hint="eastAsia" w:ascii="宋体" w:hAnsi="宋体" w:eastAsia="宋体" w:cs="Times New Roman"/>
                      <w:highlight w:val="none"/>
                    </w:rPr>
                  </w:pPr>
                </w:p>
              </w:tc>
            </w:tr>
            <w:tr w14:paraId="6D3B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5276513">
                  <w:pPr>
                    <w:pStyle w:val="32"/>
                    <w:spacing w:line="280" w:lineRule="exact"/>
                    <w:jc w:val="center"/>
                    <w:rPr>
                      <w:rStyle w:val="19"/>
                      <w:rFonts w:hint="eastAsia" w:ascii="宋体" w:hAnsi="宋体" w:eastAsia="宋体" w:cs="Times New Roman"/>
                      <w:highlight w:val="none"/>
                    </w:rPr>
                  </w:pPr>
                </w:p>
              </w:tc>
              <w:tc>
                <w:tcPr>
                  <w:tcW w:w="3275" w:type="dxa"/>
                  <w:noWrap w:val="0"/>
                  <w:vAlign w:val="top"/>
                </w:tcPr>
                <w:p w14:paraId="069F9A53">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其中：人工费</w:t>
                  </w:r>
                </w:p>
              </w:tc>
              <w:tc>
                <w:tcPr>
                  <w:tcW w:w="1328" w:type="dxa"/>
                  <w:noWrap w:val="0"/>
                  <w:vAlign w:val="top"/>
                </w:tcPr>
                <w:p w14:paraId="1CF1A0D8">
                  <w:pPr>
                    <w:pStyle w:val="32"/>
                    <w:spacing w:line="280" w:lineRule="exact"/>
                    <w:rPr>
                      <w:rStyle w:val="19"/>
                      <w:rFonts w:hint="eastAsia" w:ascii="宋体" w:hAnsi="宋体" w:eastAsia="宋体" w:cs="Times New Roman"/>
                      <w:highlight w:val="none"/>
                    </w:rPr>
                  </w:pPr>
                </w:p>
              </w:tc>
              <w:tc>
                <w:tcPr>
                  <w:tcW w:w="1426" w:type="dxa"/>
                  <w:noWrap w:val="0"/>
                  <w:vAlign w:val="top"/>
                </w:tcPr>
                <w:p w14:paraId="088E1211">
                  <w:pPr>
                    <w:pStyle w:val="32"/>
                    <w:spacing w:line="280" w:lineRule="exact"/>
                    <w:rPr>
                      <w:rStyle w:val="19"/>
                      <w:rFonts w:hint="eastAsia" w:ascii="宋体" w:hAnsi="宋体" w:eastAsia="宋体" w:cs="Times New Roman"/>
                      <w:highlight w:val="none"/>
                    </w:rPr>
                  </w:pPr>
                </w:p>
              </w:tc>
              <w:tc>
                <w:tcPr>
                  <w:tcW w:w="1250" w:type="dxa"/>
                  <w:noWrap w:val="0"/>
                  <w:vAlign w:val="top"/>
                </w:tcPr>
                <w:p w14:paraId="051B2C6A">
                  <w:pPr>
                    <w:pStyle w:val="32"/>
                    <w:spacing w:line="280" w:lineRule="exact"/>
                    <w:rPr>
                      <w:rStyle w:val="19"/>
                      <w:rFonts w:hint="eastAsia" w:ascii="宋体" w:hAnsi="宋体" w:eastAsia="宋体" w:cs="Times New Roman"/>
                      <w:highlight w:val="none"/>
                    </w:rPr>
                  </w:pPr>
                </w:p>
              </w:tc>
              <w:tc>
                <w:tcPr>
                  <w:tcW w:w="919" w:type="dxa"/>
                  <w:noWrap w:val="0"/>
                  <w:vAlign w:val="top"/>
                </w:tcPr>
                <w:p w14:paraId="52F6249A">
                  <w:pPr>
                    <w:pStyle w:val="32"/>
                    <w:spacing w:line="280" w:lineRule="exact"/>
                    <w:rPr>
                      <w:rStyle w:val="19"/>
                      <w:rFonts w:hint="eastAsia" w:ascii="宋体" w:hAnsi="宋体" w:eastAsia="宋体" w:cs="Times New Roman"/>
                      <w:highlight w:val="none"/>
                    </w:rPr>
                  </w:pPr>
                </w:p>
              </w:tc>
            </w:tr>
            <w:tr w14:paraId="0F5F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DA82F13">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2</w:t>
                  </w:r>
                </w:p>
              </w:tc>
              <w:tc>
                <w:tcPr>
                  <w:tcW w:w="3275" w:type="dxa"/>
                  <w:noWrap w:val="0"/>
                  <w:vAlign w:val="top"/>
                </w:tcPr>
                <w:p w14:paraId="0D6E96D8">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累计已实际支付的工程价款</w:t>
                  </w:r>
                </w:p>
              </w:tc>
              <w:tc>
                <w:tcPr>
                  <w:tcW w:w="1328" w:type="dxa"/>
                  <w:noWrap w:val="0"/>
                  <w:vAlign w:val="top"/>
                </w:tcPr>
                <w:p w14:paraId="0B75A846">
                  <w:pPr>
                    <w:pStyle w:val="32"/>
                    <w:spacing w:line="280" w:lineRule="exact"/>
                    <w:rPr>
                      <w:rStyle w:val="19"/>
                      <w:rFonts w:hint="eastAsia" w:ascii="宋体" w:hAnsi="宋体" w:eastAsia="宋体" w:cs="Times New Roman"/>
                      <w:highlight w:val="none"/>
                    </w:rPr>
                  </w:pPr>
                </w:p>
              </w:tc>
              <w:tc>
                <w:tcPr>
                  <w:tcW w:w="1426" w:type="dxa"/>
                  <w:noWrap w:val="0"/>
                  <w:vAlign w:val="top"/>
                </w:tcPr>
                <w:p w14:paraId="0A84FAE0">
                  <w:pPr>
                    <w:pStyle w:val="32"/>
                    <w:spacing w:line="280" w:lineRule="exact"/>
                    <w:rPr>
                      <w:rStyle w:val="19"/>
                      <w:rFonts w:hint="eastAsia" w:ascii="宋体" w:hAnsi="宋体" w:eastAsia="宋体" w:cs="Times New Roman"/>
                      <w:highlight w:val="none"/>
                    </w:rPr>
                  </w:pPr>
                </w:p>
              </w:tc>
              <w:tc>
                <w:tcPr>
                  <w:tcW w:w="1250" w:type="dxa"/>
                  <w:noWrap w:val="0"/>
                  <w:vAlign w:val="top"/>
                </w:tcPr>
                <w:p w14:paraId="6F28402A">
                  <w:pPr>
                    <w:pStyle w:val="32"/>
                    <w:spacing w:line="280" w:lineRule="exact"/>
                    <w:rPr>
                      <w:rStyle w:val="19"/>
                      <w:rFonts w:hint="eastAsia" w:ascii="宋体" w:hAnsi="宋体" w:eastAsia="宋体" w:cs="Times New Roman"/>
                      <w:highlight w:val="none"/>
                    </w:rPr>
                  </w:pPr>
                </w:p>
              </w:tc>
              <w:tc>
                <w:tcPr>
                  <w:tcW w:w="919" w:type="dxa"/>
                  <w:noWrap w:val="0"/>
                  <w:vAlign w:val="top"/>
                </w:tcPr>
                <w:p w14:paraId="5C8299A6">
                  <w:pPr>
                    <w:pStyle w:val="32"/>
                    <w:spacing w:line="280" w:lineRule="exact"/>
                    <w:rPr>
                      <w:rStyle w:val="19"/>
                      <w:rFonts w:hint="eastAsia" w:ascii="宋体" w:hAnsi="宋体" w:eastAsia="宋体" w:cs="Times New Roman"/>
                      <w:highlight w:val="none"/>
                    </w:rPr>
                  </w:pPr>
                </w:p>
              </w:tc>
            </w:tr>
            <w:tr w14:paraId="57C9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B81D0FB">
                  <w:pPr>
                    <w:pStyle w:val="32"/>
                    <w:spacing w:line="280" w:lineRule="exact"/>
                    <w:jc w:val="center"/>
                    <w:rPr>
                      <w:rStyle w:val="19"/>
                      <w:rFonts w:hint="eastAsia" w:ascii="宋体" w:hAnsi="宋体" w:eastAsia="宋体" w:cs="Times New Roman"/>
                      <w:highlight w:val="none"/>
                    </w:rPr>
                  </w:pPr>
                </w:p>
              </w:tc>
              <w:tc>
                <w:tcPr>
                  <w:tcW w:w="3275" w:type="dxa"/>
                  <w:noWrap w:val="0"/>
                  <w:vAlign w:val="top"/>
                </w:tcPr>
                <w:p w14:paraId="7277DA8A">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其中：人工费</w:t>
                  </w:r>
                </w:p>
              </w:tc>
              <w:tc>
                <w:tcPr>
                  <w:tcW w:w="1328" w:type="dxa"/>
                  <w:noWrap w:val="0"/>
                  <w:vAlign w:val="top"/>
                </w:tcPr>
                <w:p w14:paraId="1AD6447F">
                  <w:pPr>
                    <w:pStyle w:val="32"/>
                    <w:spacing w:line="280" w:lineRule="exact"/>
                    <w:rPr>
                      <w:rStyle w:val="19"/>
                      <w:rFonts w:hint="eastAsia" w:ascii="宋体" w:hAnsi="宋体" w:eastAsia="宋体" w:cs="Times New Roman"/>
                      <w:highlight w:val="none"/>
                    </w:rPr>
                  </w:pPr>
                </w:p>
              </w:tc>
              <w:tc>
                <w:tcPr>
                  <w:tcW w:w="1426" w:type="dxa"/>
                  <w:noWrap w:val="0"/>
                  <w:vAlign w:val="top"/>
                </w:tcPr>
                <w:p w14:paraId="213F548D">
                  <w:pPr>
                    <w:pStyle w:val="32"/>
                    <w:spacing w:line="280" w:lineRule="exact"/>
                    <w:rPr>
                      <w:rStyle w:val="19"/>
                      <w:rFonts w:hint="eastAsia" w:ascii="宋体" w:hAnsi="宋体" w:eastAsia="宋体" w:cs="Times New Roman"/>
                      <w:highlight w:val="none"/>
                    </w:rPr>
                  </w:pPr>
                </w:p>
              </w:tc>
              <w:tc>
                <w:tcPr>
                  <w:tcW w:w="1250" w:type="dxa"/>
                  <w:noWrap w:val="0"/>
                  <w:vAlign w:val="top"/>
                </w:tcPr>
                <w:p w14:paraId="67D6C7F3">
                  <w:pPr>
                    <w:pStyle w:val="32"/>
                    <w:spacing w:line="280" w:lineRule="exact"/>
                    <w:rPr>
                      <w:rStyle w:val="19"/>
                      <w:rFonts w:hint="eastAsia" w:ascii="宋体" w:hAnsi="宋体" w:eastAsia="宋体" w:cs="Times New Roman"/>
                      <w:highlight w:val="none"/>
                    </w:rPr>
                  </w:pPr>
                </w:p>
              </w:tc>
              <w:tc>
                <w:tcPr>
                  <w:tcW w:w="919" w:type="dxa"/>
                  <w:noWrap w:val="0"/>
                  <w:vAlign w:val="top"/>
                </w:tcPr>
                <w:p w14:paraId="73DDF20F">
                  <w:pPr>
                    <w:pStyle w:val="32"/>
                    <w:spacing w:line="280" w:lineRule="exact"/>
                    <w:rPr>
                      <w:rStyle w:val="19"/>
                      <w:rFonts w:hint="eastAsia" w:ascii="宋体" w:hAnsi="宋体" w:eastAsia="宋体" w:cs="Times New Roman"/>
                      <w:highlight w:val="none"/>
                    </w:rPr>
                  </w:pPr>
                </w:p>
              </w:tc>
            </w:tr>
            <w:tr w14:paraId="21D0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5CF5F4A">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3</w:t>
                  </w:r>
                </w:p>
              </w:tc>
              <w:tc>
                <w:tcPr>
                  <w:tcW w:w="3275" w:type="dxa"/>
                  <w:noWrap w:val="0"/>
                  <w:vAlign w:val="top"/>
                </w:tcPr>
                <w:p w14:paraId="2BCB5DF5">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本周期已完成的工程价款</w:t>
                  </w:r>
                </w:p>
              </w:tc>
              <w:tc>
                <w:tcPr>
                  <w:tcW w:w="1328" w:type="dxa"/>
                  <w:noWrap w:val="0"/>
                  <w:vAlign w:val="top"/>
                </w:tcPr>
                <w:p w14:paraId="01EA7D71">
                  <w:pPr>
                    <w:pStyle w:val="32"/>
                    <w:spacing w:line="280" w:lineRule="exact"/>
                    <w:rPr>
                      <w:rStyle w:val="19"/>
                      <w:rFonts w:hint="eastAsia" w:ascii="宋体" w:hAnsi="宋体" w:eastAsia="宋体" w:cs="Times New Roman"/>
                      <w:highlight w:val="none"/>
                    </w:rPr>
                  </w:pPr>
                </w:p>
              </w:tc>
              <w:tc>
                <w:tcPr>
                  <w:tcW w:w="1426" w:type="dxa"/>
                  <w:noWrap w:val="0"/>
                  <w:vAlign w:val="top"/>
                </w:tcPr>
                <w:p w14:paraId="4DACB487">
                  <w:pPr>
                    <w:pStyle w:val="32"/>
                    <w:spacing w:line="280" w:lineRule="exact"/>
                    <w:rPr>
                      <w:rStyle w:val="19"/>
                      <w:rFonts w:hint="eastAsia" w:ascii="宋体" w:hAnsi="宋体" w:eastAsia="宋体" w:cs="Times New Roman"/>
                      <w:highlight w:val="none"/>
                    </w:rPr>
                  </w:pPr>
                </w:p>
              </w:tc>
              <w:tc>
                <w:tcPr>
                  <w:tcW w:w="1250" w:type="dxa"/>
                  <w:noWrap w:val="0"/>
                  <w:vAlign w:val="top"/>
                </w:tcPr>
                <w:p w14:paraId="00D1A24D">
                  <w:pPr>
                    <w:pStyle w:val="32"/>
                    <w:spacing w:line="280" w:lineRule="exact"/>
                    <w:rPr>
                      <w:rStyle w:val="19"/>
                      <w:rFonts w:hint="eastAsia" w:ascii="宋体" w:hAnsi="宋体" w:eastAsia="宋体" w:cs="Times New Roman"/>
                      <w:highlight w:val="none"/>
                    </w:rPr>
                  </w:pPr>
                </w:p>
              </w:tc>
              <w:tc>
                <w:tcPr>
                  <w:tcW w:w="919" w:type="dxa"/>
                  <w:noWrap w:val="0"/>
                  <w:vAlign w:val="top"/>
                </w:tcPr>
                <w:p w14:paraId="13F5F78D">
                  <w:pPr>
                    <w:pStyle w:val="32"/>
                    <w:spacing w:line="280" w:lineRule="exact"/>
                    <w:rPr>
                      <w:rStyle w:val="19"/>
                      <w:rFonts w:hint="eastAsia" w:ascii="宋体" w:hAnsi="宋体" w:eastAsia="宋体" w:cs="Times New Roman"/>
                      <w:highlight w:val="none"/>
                    </w:rPr>
                  </w:pPr>
                </w:p>
              </w:tc>
            </w:tr>
            <w:tr w14:paraId="1EBE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6EED0F7">
                  <w:pPr>
                    <w:pStyle w:val="32"/>
                    <w:spacing w:line="280" w:lineRule="exact"/>
                    <w:jc w:val="center"/>
                    <w:rPr>
                      <w:rStyle w:val="19"/>
                      <w:rFonts w:hint="eastAsia" w:ascii="宋体" w:hAnsi="宋体" w:eastAsia="宋体" w:cs="Times New Roman"/>
                      <w:highlight w:val="none"/>
                    </w:rPr>
                  </w:pPr>
                </w:p>
              </w:tc>
              <w:tc>
                <w:tcPr>
                  <w:tcW w:w="3275" w:type="dxa"/>
                  <w:noWrap w:val="0"/>
                  <w:vAlign w:val="top"/>
                </w:tcPr>
                <w:p w14:paraId="2581B83F">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其中：人工费</w:t>
                  </w:r>
                </w:p>
              </w:tc>
              <w:tc>
                <w:tcPr>
                  <w:tcW w:w="1328" w:type="dxa"/>
                  <w:noWrap w:val="0"/>
                  <w:vAlign w:val="top"/>
                </w:tcPr>
                <w:p w14:paraId="775E8C70">
                  <w:pPr>
                    <w:pStyle w:val="32"/>
                    <w:spacing w:line="280" w:lineRule="exact"/>
                    <w:rPr>
                      <w:rStyle w:val="19"/>
                      <w:rFonts w:hint="eastAsia" w:ascii="宋体" w:hAnsi="宋体" w:eastAsia="宋体" w:cs="Times New Roman"/>
                      <w:highlight w:val="none"/>
                    </w:rPr>
                  </w:pPr>
                </w:p>
              </w:tc>
              <w:tc>
                <w:tcPr>
                  <w:tcW w:w="1426" w:type="dxa"/>
                  <w:noWrap w:val="0"/>
                  <w:vAlign w:val="top"/>
                </w:tcPr>
                <w:p w14:paraId="4749E2C7">
                  <w:pPr>
                    <w:pStyle w:val="32"/>
                    <w:spacing w:line="280" w:lineRule="exact"/>
                    <w:rPr>
                      <w:rStyle w:val="19"/>
                      <w:rFonts w:hint="eastAsia" w:ascii="宋体" w:hAnsi="宋体" w:eastAsia="宋体" w:cs="Times New Roman"/>
                      <w:highlight w:val="none"/>
                    </w:rPr>
                  </w:pPr>
                </w:p>
              </w:tc>
              <w:tc>
                <w:tcPr>
                  <w:tcW w:w="1250" w:type="dxa"/>
                  <w:noWrap w:val="0"/>
                  <w:vAlign w:val="top"/>
                </w:tcPr>
                <w:p w14:paraId="4FFA5581">
                  <w:pPr>
                    <w:pStyle w:val="32"/>
                    <w:spacing w:line="280" w:lineRule="exact"/>
                    <w:rPr>
                      <w:rStyle w:val="19"/>
                      <w:rFonts w:hint="eastAsia" w:ascii="宋体" w:hAnsi="宋体" w:eastAsia="宋体" w:cs="Times New Roman"/>
                      <w:highlight w:val="none"/>
                    </w:rPr>
                  </w:pPr>
                </w:p>
              </w:tc>
              <w:tc>
                <w:tcPr>
                  <w:tcW w:w="919" w:type="dxa"/>
                  <w:noWrap w:val="0"/>
                  <w:vAlign w:val="top"/>
                </w:tcPr>
                <w:p w14:paraId="1F8E79D2">
                  <w:pPr>
                    <w:pStyle w:val="32"/>
                    <w:spacing w:line="280" w:lineRule="exact"/>
                    <w:rPr>
                      <w:rStyle w:val="19"/>
                      <w:rFonts w:hint="eastAsia" w:ascii="宋体" w:hAnsi="宋体" w:eastAsia="宋体" w:cs="Times New Roman"/>
                      <w:highlight w:val="none"/>
                    </w:rPr>
                  </w:pPr>
                </w:p>
              </w:tc>
            </w:tr>
            <w:tr w14:paraId="2E4B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F6B0A1E">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4</w:t>
                  </w:r>
                </w:p>
              </w:tc>
              <w:tc>
                <w:tcPr>
                  <w:tcW w:w="3275" w:type="dxa"/>
                  <w:noWrap w:val="0"/>
                  <w:vAlign w:val="top"/>
                </w:tcPr>
                <w:p w14:paraId="23D1F80C">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本周期应扣减的金额</w:t>
                  </w:r>
                </w:p>
              </w:tc>
              <w:tc>
                <w:tcPr>
                  <w:tcW w:w="1328" w:type="dxa"/>
                  <w:noWrap w:val="0"/>
                  <w:vAlign w:val="top"/>
                </w:tcPr>
                <w:p w14:paraId="0F5997E5">
                  <w:pPr>
                    <w:pStyle w:val="32"/>
                    <w:spacing w:line="280" w:lineRule="exact"/>
                    <w:rPr>
                      <w:rStyle w:val="19"/>
                      <w:rFonts w:hint="eastAsia" w:ascii="宋体" w:hAnsi="宋体" w:eastAsia="宋体" w:cs="Times New Roman"/>
                      <w:highlight w:val="none"/>
                    </w:rPr>
                  </w:pPr>
                </w:p>
              </w:tc>
              <w:tc>
                <w:tcPr>
                  <w:tcW w:w="1426" w:type="dxa"/>
                  <w:noWrap w:val="0"/>
                  <w:vAlign w:val="top"/>
                </w:tcPr>
                <w:p w14:paraId="27E80F82">
                  <w:pPr>
                    <w:pStyle w:val="32"/>
                    <w:spacing w:line="280" w:lineRule="exact"/>
                    <w:rPr>
                      <w:rStyle w:val="19"/>
                      <w:rFonts w:hint="eastAsia" w:ascii="宋体" w:hAnsi="宋体" w:eastAsia="宋体" w:cs="Times New Roman"/>
                      <w:highlight w:val="none"/>
                    </w:rPr>
                  </w:pPr>
                </w:p>
              </w:tc>
              <w:tc>
                <w:tcPr>
                  <w:tcW w:w="1250" w:type="dxa"/>
                  <w:noWrap w:val="0"/>
                  <w:vAlign w:val="top"/>
                </w:tcPr>
                <w:p w14:paraId="7BB3E998">
                  <w:pPr>
                    <w:pStyle w:val="32"/>
                    <w:spacing w:line="280" w:lineRule="exact"/>
                    <w:rPr>
                      <w:rStyle w:val="19"/>
                      <w:rFonts w:hint="eastAsia" w:ascii="宋体" w:hAnsi="宋体" w:eastAsia="宋体" w:cs="Times New Roman"/>
                      <w:highlight w:val="none"/>
                    </w:rPr>
                  </w:pPr>
                </w:p>
              </w:tc>
              <w:tc>
                <w:tcPr>
                  <w:tcW w:w="919" w:type="dxa"/>
                  <w:noWrap w:val="0"/>
                  <w:vAlign w:val="top"/>
                </w:tcPr>
                <w:p w14:paraId="756C4E8E">
                  <w:pPr>
                    <w:pStyle w:val="32"/>
                    <w:spacing w:line="280" w:lineRule="exact"/>
                    <w:rPr>
                      <w:rStyle w:val="19"/>
                      <w:rFonts w:hint="eastAsia" w:ascii="宋体" w:hAnsi="宋体" w:eastAsia="宋体" w:cs="Times New Roman"/>
                      <w:highlight w:val="none"/>
                    </w:rPr>
                  </w:pPr>
                </w:p>
              </w:tc>
            </w:tr>
            <w:tr w14:paraId="2E56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C8ABEAD">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4.1</w:t>
                  </w:r>
                </w:p>
              </w:tc>
              <w:tc>
                <w:tcPr>
                  <w:tcW w:w="3275" w:type="dxa"/>
                  <w:noWrap w:val="0"/>
                  <w:vAlign w:val="top"/>
                </w:tcPr>
                <w:p w14:paraId="25F74C52">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本周期实际应抵扣的预付款</w:t>
                  </w:r>
                </w:p>
              </w:tc>
              <w:tc>
                <w:tcPr>
                  <w:tcW w:w="1328" w:type="dxa"/>
                  <w:noWrap w:val="0"/>
                  <w:vAlign w:val="top"/>
                </w:tcPr>
                <w:p w14:paraId="21B0B5E5">
                  <w:pPr>
                    <w:pStyle w:val="32"/>
                    <w:spacing w:line="280" w:lineRule="exact"/>
                    <w:rPr>
                      <w:rStyle w:val="19"/>
                      <w:rFonts w:hint="eastAsia" w:ascii="宋体" w:hAnsi="宋体" w:eastAsia="宋体" w:cs="Times New Roman"/>
                      <w:highlight w:val="none"/>
                    </w:rPr>
                  </w:pPr>
                </w:p>
              </w:tc>
              <w:tc>
                <w:tcPr>
                  <w:tcW w:w="1426" w:type="dxa"/>
                  <w:noWrap w:val="0"/>
                  <w:vAlign w:val="top"/>
                </w:tcPr>
                <w:p w14:paraId="3201B14A">
                  <w:pPr>
                    <w:pStyle w:val="32"/>
                    <w:spacing w:line="280" w:lineRule="exact"/>
                    <w:rPr>
                      <w:rStyle w:val="19"/>
                      <w:rFonts w:hint="eastAsia" w:ascii="宋体" w:hAnsi="宋体" w:eastAsia="宋体" w:cs="Times New Roman"/>
                      <w:highlight w:val="none"/>
                    </w:rPr>
                  </w:pPr>
                </w:p>
              </w:tc>
              <w:tc>
                <w:tcPr>
                  <w:tcW w:w="1250" w:type="dxa"/>
                  <w:noWrap w:val="0"/>
                  <w:vAlign w:val="top"/>
                </w:tcPr>
                <w:p w14:paraId="4CF10F50">
                  <w:pPr>
                    <w:pStyle w:val="32"/>
                    <w:spacing w:line="280" w:lineRule="exact"/>
                    <w:rPr>
                      <w:rStyle w:val="19"/>
                      <w:rFonts w:hint="eastAsia" w:ascii="宋体" w:hAnsi="宋体" w:eastAsia="宋体" w:cs="Times New Roman"/>
                      <w:highlight w:val="none"/>
                    </w:rPr>
                  </w:pPr>
                </w:p>
              </w:tc>
              <w:tc>
                <w:tcPr>
                  <w:tcW w:w="919" w:type="dxa"/>
                  <w:noWrap w:val="0"/>
                  <w:vAlign w:val="top"/>
                </w:tcPr>
                <w:p w14:paraId="12C6300C">
                  <w:pPr>
                    <w:pStyle w:val="32"/>
                    <w:spacing w:line="280" w:lineRule="exact"/>
                    <w:rPr>
                      <w:rStyle w:val="19"/>
                      <w:rFonts w:hint="eastAsia" w:ascii="宋体" w:hAnsi="宋体" w:eastAsia="宋体" w:cs="Times New Roman"/>
                      <w:highlight w:val="none"/>
                    </w:rPr>
                  </w:pPr>
                </w:p>
              </w:tc>
            </w:tr>
            <w:tr w14:paraId="60B2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117E57A">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4.2</w:t>
                  </w:r>
                </w:p>
              </w:tc>
              <w:tc>
                <w:tcPr>
                  <w:tcW w:w="3275" w:type="dxa"/>
                  <w:noWrap w:val="0"/>
                  <w:vAlign w:val="top"/>
                </w:tcPr>
                <w:p w14:paraId="6708B07A">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本周期应扣减的金额</w:t>
                  </w:r>
                </w:p>
              </w:tc>
              <w:tc>
                <w:tcPr>
                  <w:tcW w:w="1328" w:type="dxa"/>
                  <w:noWrap w:val="0"/>
                  <w:vAlign w:val="top"/>
                </w:tcPr>
                <w:p w14:paraId="6D4537EB">
                  <w:pPr>
                    <w:pStyle w:val="32"/>
                    <w:spacing w:line="280" w:lineRule="exact"/>
                    <w:rPr>
                      <w:rStyle w:val="19"/>
                      <w:rFonts w:hint="eastAsia" w:ascii="宋体" w:hAnsi="宋体" w:eastAsia="宋体" w:cs="Times New Roman"/>
                      <w:highlight w:val="none"/>
                    </w:rPr>
                  </w:pPr>
                </w:p>
              </w:tc>
              <w:tc>
                <w:tcPr>
                  <w:tcW w:w="1426" w:type="dxa"/>
                  <w:noWrap w:val="0"/>
                  <w:vAlign w:val="top"/>
                </w:tcPr>
                <w:p w14:paraId="3ABADFDE">
                  <w:pPr>
                    <w:pStyle w:val="32"/>
                    <w:spacing w:line="280" w:lineRule="exact"/>
                    <w:rPr>
                      <w:rStyle w:val="19"/>
                      <w:rFonts w:hint="eastAsia" w:ascii="宋体" w:hAnsi="宋体" w:eastAsia="宋体" w:cs="Times New Roman"/>
                      <w:highlight w:val="none"/>
                    </w:rPr>
                  </w:pPr>
                </w:p>
              </w:tc>
              <w:tc>
                <w:tcPr>
                  <w:tcW w:w="1250" w:type="dxa"/>
                  <w:noWrap w:val="0"/>
                  <w:vAlign w:val="top"/>
                </w:tcPr>
                <w:p w14:paraId="2EBF5FAB">
                  <w:pPr>
                    <w:pStyle w:val="32"/>
                    <w:spacing w:line="280" w:lineRule="exact"/>
                    <w:rPr>
                      <w:rStyle w:val="19"/>
                      <w:rFonts w:hint="eastAsia" w:ascii="宋体" w:hAnsi="宋体" w:eastAsia="宋体" w:cs="Times New Roman"/>
                      <w:highlight w:val="none"/>
                    </w:rPr>
                  </w:pPr>
                </w:p>
              </w:tc>
              <w:tc>
                <w:tcPr>
                  <w:tcW w:w="919" w:type="dxa"/>
                  <w:noWrap w:val="0"/>
                  <w:vAlign w:val="top"/>
                </w:tcPr>
                <w:p w14:paraId="2AA5231E">
                  <w:pPr>
                    <w:pStyle w:val="32"/>
                    <w:spacing w:line="280" w:lineRule="exact"/>
                    <w:rPr>
                      <w:rStyle w:val="19"/>
                      <w:rFonts w:hint="eastAsia" w:ascii="宋体" w:hAnsi="宋体" w:eastAsia="宋体" w:cs="Times New Roman"/>
                      <w:highlight w:val="none"/>
                    </w:rPr>
                  </w:pPr>
                </w:p>
              </w:tc>
            </w:tr>
            <w:tr w14:paraId="53C2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B8C6166">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5</w:t>
                  </w:r>
                </w:p>
              </w:tc>
              <w:tc>
                <w:tcPr>
                  <w:tcW w:w="3275" w:type="dxa"/>
                  <w:noWrap w:val="0"/>
                  <w:vAlign w:val="top"/>
                </w:tcPr>
                <w:p w14:paraId="4DCA3628">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本周期应支付的合同价款</w:t>
                  </w:r>
                </w:p>
              </w:tc>
              <w:tc>
                <w:tcPr>
                  <w:tcW w:w="1328" w:type="dxa"/>
                  <w:noWrap w:val="0"/>
                  <w:vAlign w:val="top"/>
                </w:tcPr>
                <w:p w14:paraId="1B0ED957">
                  <w:pPr>
                    <w:pStyle w:val="32"/>
                    <w:spacing w:line="280" w:lineRule="exact"/>
                    <w:rPr>
                      <w:rStyle w:val="19"/>
                      <w:rFonts w:hint="eastAsia" w:ascii="宋体" w:hAnsi="宋体" w:eastAsia="宋体" w:cs="Times New Roman"/>
                      <w:highlight w:val="none"/>
                    </w:rPr>
                  </w:pPr>
                </w:p>
              </w:tc>
              <w:tc>
                <w:tcPr>
                  <w:tcW w:w="1426" w:type="dxa"/>
                  <w:noWrap w:val="0"/>
                  <w:vAlign w:val="top"/>
                </w:tcPr>
                <w:p w14:paraId="2811236D">
                  <w:pPr>
                    <w:pStyle w:val="32"/>
                    <w:spacing w:line="280" w:lineRule="exact"/>
                    <w:rPr>
                      <w:rStyle w:val="19"/>
                      <w:rFonts w:hint="eastAsia" w:ascii="宋体" w:hAnsi="宋体" w:eastAsia="宋体" w:cs="Times New Roman"/>
                      <w:highlight w:val="none"/>
                    </w:rPr>
                  </w:pPr>
                </w:p>
              </w:tc>
              <w:tc>
                <w:tcPr>
                  <w:tcW w:w="1250" w:type="dxa"/>
                  <w:noWrap w:val="0"/>
                  <w:vAlign w:val="top"/>
                </w:tcPr>
                <w:p w14:paraId="72BAEE3C">
                  <w:pPr>
                    <w:pStyle w:val="32"/>
                    <w:spacing w:line="280" w:lineRule="exact"/>
                    <w:rPr>
                      <w:rStyle w:val="19"/>
                      <w:rFonts w:hint="eastAsia" w:ascii="宋体" w:hAnsi="宋体" w:eastAsia="宋体" w:cs="Times New Roman"/>
                      <w:highlight w:val="none"/>
                    </w:rPr>
                  </w:pPr>
                </w:p>
              </w:tc>
              <w:tc>
                <w:tcPr>
                  <w:tcW w:w="919" w:type="dxa"/>
                  <w:noWrap w:val="0"/>
                  <w:vAlign w:val="top"/>
                </w:tcPr>
                <w:p w14:paraId="196D4B1B">
                  <w:pPr>
                    <w:pStyle w:val="32"/>
                    <w:spacing w:line="280" w:lineRule="exact"/>
                    <w:rPr>
                      <w:rStyle w:val="19"/>
                      <w:rFonts w:hint="eastAsia" w:ascii="宋体" w:hAnsi="宋体" w:eastAsia="宋体" w:cs="Times New Roman"/>
                      <w:highlight w:val="none"/>
                    </w:rPr>
                  </w:pPr>
                </w:p>
              </w:tc>
            </w:tr>
            <w:tr w14:paraId="1431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5631160">
                  <w:pPr>
                    <w:pStyle w:val="32"/>
                    <w:spacing w:line="280" w:lineRule="exact"/>
                    <w:jc w:val="center"/>
                    <w:rPr>
                      <w:rStyle w:val="19"/>
                      <w:rFonts w:hint="eastAsia" w:ascii="宋体" w:hAnsi="宋体" w:eastAsia="宋体" w:cs="Times New Roman"/>
                      <w:highlight w:val="none"/>
                    </w:rPr>
                  </w:pPr>
                </w:p>
              </w:tc>
              <w:tc>
                <w:tcPr>
                  <w:tcW w:w="3275" w:type="dxa"/>
                  <w:noWrap w:val="0"/>
                  <w:vAlign w:val="top"/>
                </w:tcPr>
                <w:p w14:paraId="0D14879C">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其中：人工费</w:t>
                  </w:r>
                </w:p>
              </w:tc>
              <w:tc>
                <w:tcPr>
                  <w:tcW w:w="1328" w:type="dxa"/>
                  <w:noWrap w:val="0"/>
                  <w:vAlign w:val="top"/>
                </w:tcPr>
                <w:p w14:paraId="20210534">
                  <w:pPr>
                    <w:pStyle w:val="32"/>
                    <w:spacing w:line="280" w:lineRule="exact"/>
                    <w:rPr>
                      <w:rStyle w:val="19"/>
                      <w:rFonts w:hint="eastAsia" w:ascii="宋体" w:hAnsi="宋体" w:eastAsia="宋体" w:cs="Times New Roman"/>
                      <w:highlight w:val="none"/>
                    </w:rPr>
                  </w:pPr>
                </w:p>
              </w:tc>
              <w:tc>
                <w:tcPr>
                  <w:tcW w:w="1426" w:type="dxa"/>
                  <w:noWrap w:val="0"/>
                  <w:vAlign w:val="top"/>
                </w:tcPr>
                <w:p w14:paraId="5BCA323E">
                  <w:pPr>
                    <w:pStyle w:val="32"/>
                    <w:spacing w:line="280" w:lineRule="exact"/>
                    <w:rPr>
                      <w:rStyle w:val="19"/>
                      <w:rFonts w:hint="eastAsia" w:ascii="宋体" w:hAnsi="宋体" w:eastAsia="宋体" w:cs="Times New Roman"/>
                      <w:highlight w:val="none"/>
                    </w:rPr>
                  </w:pPr>
                </w:p>
              </w:tc>
              <w:tc>
                <w:tcPr>
                  <w:tcW w:w="1250" w:type="dxa"/>
                  <w:noWrap w:val="0"/>
                  <w:vAlign w:val="top"/>
                </w:tcPr>
                <w:p w14:paraId="00FD19FD">
                  <w:pPr>
                    <w:pStyle w:val="32"/>
                    <w:spacing w:line="280" w:lineRule="exact"/>
                    <w:rPr>
                      <w:rStyle w:val="19"/>
                      <w:rFonts w:hint="eastAsia" w:ascii="宋体" w:hAnsi="宋体" w:eastAsia="宋体" w:cs="Times New Roman"/>
                      <w:highlight w:val="none"/>
                    </w:rPr>
                  </w:pPr>
                </w:p>
              </w:tc>
              <w:tc>
                <w:tcPr>
                  <w:tcW w:w="919" w:type="dxa"/>
                  <w:noWrap w:val="0"/>
                  <w:vAlign w:val="top"/>
                </w:tcPr>
                <w:p w14:paraId="6C626B27">
                  <w:pPr>
                    <w:pStyle w:val="32"/>
                    <w:spacing w:line="280" w:lineRule="exact"/>
                    <w:rPr>
                      <w:rStyle w:val="19"/>
                      <w:rFonts w:hint="eastAsia" w:ascii="宋体" w:hAnsi="宋体" w:eastAsia="宋体" w:cs="Times New Roman"/>
                      <w:highlight w:val="none"/>
                    </w:rPr>
                  </w:pPr>
                </w:p>
              </w:tc>
            </w:tr>
          </w:tbl>
          <w:p w14:paraId="070C1BFA">
            <w:pPr>
              <w:pStyle w:val="32"/>
              <w:wordWrap w:val="0"/>
              <w:spacing w:line="400" w:lineRule="exact"/>
              <w:ind w:right="420"/>
              <w:rPr>
                <w:rStyle w:val="19"/>
                <w:rFonts w:hint="eastAsia" w:ascii="宋体" w:hAnsi="宋体" w:eastAsia="宋体" w:cs="Times New Roman"/>
                <w:highlight w:val="none"/>
              </w:rPr>
            </w:pPr>
            <w:r>
              <w:rPr>
                <w:rStyle w:val="19"/>
                <w:rFonts w:hint="eastAsia" w:ascii="宋体" w:hAnsi="宋体" w:eastAsia="宋体" w:cs="Times New Roman"/>
                <w:highlight w:val="none"/>
              </w:rPr>
              <w:t>附：上述3、4详见附件清单。</w:t>
            </w:r>
          </w:p>
          <w:p w14:paraId="778A2F2A">
            <w:pPr>
              <w:pStyle w:val="32"/>
              <w:wordWrap w:val="0"/>
              <w:spacing w:line="400" w:lineRule="exact"/>
              <w:ind w:right="420"/>
              <w:rPr>
                <w:rStyle w:val="19"/>
                <w:rFonts w:hint="eastAsia" w:ascii="宋体" w:hAnsi="宋体" w:eastAsia="宋体" w:cs="Times New Roman"/>
                <w:highlight w:val="none"/>
              </w:rPr>
            </w:pPr>
            <w:r>
              <w:rPr>
                <w:rStyle w:val="19"/>
                <w:rFonts w:hint="eastAsia" w:ascii="宋体" w:hAnsi="宋体" w:eastAsia="宋体" w:cs="Times New Roman"/>
                <w:highlight w:val="none"/>
              </w:rPr>
              <w:t xml:space="preserve">                                            承包人（章）             </w:t>
            </w:r>
          </w:p>
          <w:p w14:paraId="700A17EE">
            <w:pPr>
              <w:pStyle w:val="32"/>
              <w:spacing w:line="400" w:lineRule="exact"/>
              <w:ind w:right="420" w:firstLine="435"/>
              <w:rPr>
                <w:rStyle w:val="19"/>
                <w:rFonts w:hint="eastAsia" w:ascii="宋体" w:hAnsi="宋体" w:eastAsia="宋体" w:cs="Times New Roman"/>
                <w:highlight w:val="none"/>
              </w:rPr>
            </w:pPr>
            <w:r>
              <w:rPr>
                <w:rStyle w:val="19"/>
                <w:rFonts w:hint="eastAsia" w:ascii="宋体" w:hAnsi="宋体" w:eastAsia="宋体" w:cs="Times New Roman"/>
                <w:highlight w:val="none"/>
              </w:rPr>
              <w:t>造价人员</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承包人代表</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r w14:paraId="3C20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2EF5D90E">
            <w:pPr>
              <w:pStyle w:val="32"/>
              <w:spacing w:line="36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复核意见：</w:t>
            </w:r>
          </w:p>
          <w:p w14:paraId="2B65A3DB">
            <w:pPr>
              <w:pStyle w:val="32"/>
              <w:spacing w:line="360" w:lineRule="exact"/>
              <w:ind w:firstLine="312"/>
              <w:rPr>
                <w:rStyle w:val="19"/>
                <w:rFonts w:hint="eastAsia" w:ascii="宋体" w:hAnsi="宋体" w:eastAsia="宋体" w:cs="Times New Roman"/>
                <w:highlight w:val="none"/>
              </w:rPr>
            </w:pPr>
            <w:r>
              <w:rPr>
                <w:rStyle w:val="19"/>
                <w:rFonts w:hint="eastAsia" w:ascii="宋体" w:hAnsi="宋体" w:eastAsia="宋体" w:cs="Times New Roman"/>
                <w:highlight w:val="none"/>
              </w:rPr>
              <w:t>□与实际施工情况不相符，修改意见见附件。</w:t>
            </w:r>
          </w:p>
          <w:p w14:paraId="2926B503">
            <w:pPr>
              <w:pStyle w:val="32"/>
              <w:spacing w:line="360" w:lineRule="exact"/>
              <w:ind w:firstLine="312"/>
              <w:rPr>
                <w:rStyle w:val="19"/>
                <w:rFonts w:hint="eastAsia" w:ascii="宋体" w:hAnsi="宋体" w:eastAsia="宋体" w:cs="Times New Roman"/>
                <w:highlight w:val="none"/>
              </w:rPr>
            </w:pPr>
            <w:r>
              <w:rPr>
                <w:rStyle w:val="19"/>
                <w:rFonts w:hint="eastAsia" w:ascii="宋体" w:hAnsi="宋体" w:eastAsia="宋体" w:cs="Times New Roman"/>
                <w:highlight w:val="none"/>
              </w:rPr>
              <w:t>□与实际施工情况相符，具体金额由造价工程师复核。</w:t>
            </w:r>
          </w:p>
          <w:p w14:paraId="6FC7D836">
            <w:pPr>
              <w:pStyle w:val="32"/>
              <w:spacing w:line="360" w:lineRule="exact"/>
              <w:ind w:firstLine="435"/>
              <w:jc w:val="right"/>
              <w:rPr>
                <w:rStyle w:val="19"/>
                <w:rFonts w:hint="eastAsia" w:ascii="宋体" w:hAnsi="宋体" w:eastAsia="宋体" w:cs="Times New Roman"/>
                <w:highlight w:val="none"/>
              </w:rPr>
            </w:pPr>
          </w:p>
          <w:p w14:paraId="61072B39">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监理工程师</w:t>
            </w:r>
            <w:r>
              <w:rPr>
                <w:rStyle w:val="19"/>
                <w:rFonts w:hint="eastAsia" w:ascii="宋体" w:hAnsi="宋体" w:eastAsia="宋体" w:cs="Times New Roman"/>
                <w:highlight w:val="none"/>
                <w:u w:val="single"/>
              </w:rPr>
              <w:t xml:space="preserve">           </w:t>
            </w:r>
          </w:p>
          <w:p w14:paraId="2E5BFC93">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日      期</w:t>
            </w:r>
            <w:r>
              <w:rPr>
                <w:rStyle w:val="19"/>
                <w:rFonts w:hint="eastAsia" w:ascii="宋体" w:hAnsi="宋体" w:eastAsia="宋体" w:cs="Times New Roman"/>
                <w:highlight w:val="none"/>
                <w:u w:val="single"/>
              </w:rPr>
              <w:t xml:space="preserve">           </w:t>
            </w:r>
          </w:p>
        </w:tc>
        <w:tc>
          <w:tcPr>
            <w:tcW w:w="4552" w:type="dxa"/>
            <w:noWrap w:val="0"/>
            <w:vAlign w:val="top"/>
          </w:tcPr>
          <w:p w14:paraId="36FE3267">
            <w:pPr>
              <w:pStyle w:val="32"/>
              <w:spacing w:line="36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复核意见：</w:t>
            </w:r>
          </w:p>
          <w:p w14:paraId="27508AE4">
            <w:pPr>
              <w:pStyle w:val="32"/>
              <w:spacing w:line="360" w:lineRule="exact"/>
              <w:ind w:firstLine="435"/>
              <w:rPr>
                <w:rStyle w:val="19"/>
                <w:rFonts w:hint="eastAsia" w:ascii="宋体" w:hAnsi="宋体" w:eastAsia="宋体" w:cs="Times New Roman"/>
                <w:highlight w:val="none"/>
              </w:rPr>
            </w:pPr>
            <w:r>
              <w:rPr>
                <w:rStyle w:val="19"/>
                <w:rFonts w:hint="eastAsia" w:ascii="宋体" w:hAnsi="宋体" w:eastAsia="宋体" w:cs="Times New Roman"/>
                <w:highlight w:val="none"/>
              </w:rPr>
              <w:t>你方提出的支付申请经复核，本周期已完成工程价款为(大写)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元，（小写）</w:t>
            </w:r>
          </w:p>
          <w:p w14:paraId="056A0536">
            <w:pPr>
              <w:pStyle w:val="32"/>
              <w:spacing w:line="360" w:lineRule="exact"/>
              <w:rPr>
                <w:rStyle w:val="19"/>
                <w:rFonts w:hint="eastAsia" w:ascii="宋体" w:hAnsi="宋体" w:eastAsia="宋体" w:cs="Times New Roman"/>
                <w:highlight w:val="none"/>
              </w:rPr>
            </w:pP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 xml:space="preserve"> 元，本期间应支付金额为（大写）</w:t>
            </w:r>
          </w:p>
          <w:p w14:paraId="7CBC1597">
            <w:pPr>
              <w:pStyle w:val="32"/>
              <w:spacing w:line="360" w:lineRule="exact"/>
              <w:rPr>
                <w:rStyle w:val="19"/>
                <w:rFonts w:hint="eastAsia" w:ascii="宋体" w:hAnsi="宋体" w:eastAsia="宋体" w:cs="Times New Roman"/>
                <w:highlight w:val="none"/>
                <w:u w:val="single"/>
              </w:rPr>
            </w:pP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元，（小写）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w:t>
            </w:r>
          </w:p>
          <w:p w14:paraId="3DB6F9F3">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造价工程师</w:t>
            </w:r>
            <w:r>
              <w:rPr>
                <w:rStyle w:val="19"/>
                <w:rFonts w:hint="eastAsia" w:ascii="宋体" w:hAnsi="宋体" w:eastAsia="宋体" w:cs="Times New Roman"/>
                <w:highlight w:val="none"/>
                <w:u w:val="single"/>
              </w:rPr>
              <w:t xml:space="preserve">           </w:t>
            </w:r>
          </w:p>
          <w:p w14:paraId="65BB0694">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r w14:paraId="75CA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2A01B977">
            <w:pPr>
              <w:pStyle w:val="32"/>
              <w:spacing w:line="40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审核意见：</w:t>
            </w:r>
          </w:p>
          <w:p w14:paraId="52C03040">
            <w:pPr>
              <w:pStyle w:val="32"/>
              <w:spacing w:line="400" w:lineRule="exact"/>
              <w:ind w:firstLine="435"/>
              <w:rPr>
                <w:rStyle w:val="19"/>
                <w:rFonts w:hint="eastAsia" w:ascii="宋体" w:hAnsi="宋体" w:eastAsia="宋体" w:cs="Times New Roman"/>
                <w:highlight w:val="none"/>
              </w:rPr>
            </w:pPr>
            <w:r>
              <w:rPr>
                <w:rStyle w:val="19"/>
                <w:rFonts w:hint="eastAsia" w:ascii="宋体" w:hAnsi="宋体" w:eastAsia="宋体" w:cs="Times New Roman"/>
                <w:highlight w:val="none"/>
              </w:rPr>
              <w:t>□不同意。</w:t>
            </w:r>
          </w:p>
          <w:p w14:paraId="341B0513">
            <w:pPr>
              <w:pStyle w:val="32"/>
              <w:spacing w:line="400" w:lineRule="exact"/>
              <w:ind w:firstLine="420" w:firstLineChars="200"/>
              <w:rPr>
                <w:rStyle w:val="19"/>
                <w:rFonts w:hint="eastAsia" w:ascii="宋体" w:hAnsi="宋体" w:eastAsia="宋体" w:cs="Times New Roman"/>
                <w:highlight w:val="none"/>
              </w:rPr>
            </w:pPr>
            <w:r>
              <w:rPr>
                <w:rStyle w:val="19"/>
                <w:rFonts w:hint="eastAsia" w:ascii="宋体" w:hAnsi="宋体" w:eastAsia="宋体" w:cs="Times New Roman"/>
                <w:highlight w:val="none"/>
              </w:rPr>
              <w:t>□同意，支付时间为本表签发后的15天内。</w:t>
            </w:r>
          </w:p>
          <w:p w14:paraId="0376F3C1">
            <w:pPr>
              <w:pStyle w:val="32"/>
              <w:wordWrap w:val="0"/>
              <w:spacing w:line="400" w:lineRule="exact"/>
              <w:ind w:firstLine="420" w:firstLineChars="200"/>
              <w:jc w:val="right"/>
              <w:rPr>
                <w:rStyle w:val="19"/>
                <w:rFonts w:hint="eastAsia" w:ascii="宋体" w:hAnsi="宋体" w:eastAsia="宋体" w:cs="Times New Roman"/>
                <w:highlight w:val="none"/>
              </w:rPr>
            </w:pPr>
            <w:r>
              <w:rPr>
                <w:rStyle w:val="19"/>
                <w:rFonts w:hint="eastAsia" w:ascii="宋体" w:hAnsi="宋体" w:eastAsia="宋体" w:cs="Times New Roman"/>
                <w:highlight w:val="none"/>
              </w:rPr>
              <w:t xml:space="preserve">发包人（章）           </w:t>
            </w:r>
          </w:p>
          <w:p w14:paraId="3FEADAA9">
            <w:pPr>
              <w:pStyle w:val="32"/>
              <w:wordWrap w:val="0"/>
              <w:spacing w:line="400" w:lineRule="exact"/>
              <w:ind w:firstLine="420" w:firstLineChars="200"/>
              <w:jc w:val="right"/>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发包人代表</w:t>
            </w:r>
            <w:r>
              <w:rPr>
                <w:rStyle w:val="19"/>
                <w:rFonts w:hint="eastAsia" w:ascii="宋体" w:hAnsi="宋体" w:eastAsia="宋体" w:cs="Times New Roman"/>
                <w:highlight w:val="none"/>
                <w:u w:val="single"/>
              </w:rPr>
              <w:t xml:space="preserve">             </w:t>
            </w:r>
          </w:p>
          <w:p w14:paraId="7CAC6AAF">
            <w:pPr>
              <w:pStyle w:val="32"/>
              <w:wordWrap w:val="0"/>
              <w:spacing w:line="400" w:lineRule="exact"/>
              <w:ind w:firstLine="420" w:firstLineChars="200"/>
              <w:jc w:val="right"/>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bl>
    <w:p w14:paraId="680B83E6">
      <w:pPr>
        <w:pStyle w:val="32"/>
        <w:spacing w:before="120" w:beforeLines="50"/>
        <w:ind w:firstLine="360" w:firstLineChars="200"/>
        <w:rPr>
          <w:rStyle w:val="19"/>
          <w:rFonts w:hint="eastAsia" w:ascii="宋体" w:hAnsi="宋体" w:eastAsia="宋体" w:cs="Times New Roman"/>
          <w:sz w:val="18"/>
          <w:szCs w:val="18"/>
          <w:highlight w:val="none"/>
        </w:rPr>
      </w:pPr>
      <w:r>
        <w:rPr>
          <w:rStyle w:val="19"/>
          <w:rFonts w:hint="eastAsia" w:ascii="宋体" w:hAnsi="宋体" w:eastAsia="宋体" w:cs="Times New Roman"/>
          <w:sz w:val="18"/>
          <w:szCs w:val="18"/>
          <w:highlight w:val="none"/>
        </w:rPr>
        <w:t xml:space="preserve">注：1.在选择栏中的“□”内作标识“√”。 </w:t>
      </w:r>
    </w:p>
    <w:p w14:paraId="401EFEC1">
      <w:pPr>
        <w:pStyle w:val="32"/>
        <w:spacing w:before="120" w:beforeLines="50"/>
        <w:ind w:left="720" w:hanging="720" w:hangingChars="400"/>
        <w:rPr>
          <w:rStyle w:val="19"/>
          <w:rFonts w:hint="eastAsia" w:ascii="宋体" w:hAnsi="宋体" w:eastAsia="宋体" w:cs="Times New Roman"/>
          <w:sz w:val="18"/>
          <w:szCs w:val="18"/>
          <w:highlight w:val="none"/>
        </w:rPr>
      </w:pPr>
      <w:r>
        <w:rPr>
          <w:rStyle w:val="19"/>
          <w:rFonts w:hint="eastAsia" w:ascii="宋体" w:hAnsi="宋体" w:eastAsia="宋体" w:cs="Times New Roman"/>
          <w:sz w:val="18"/>
          <w:szCs w:val="18"/>
          <w:highlight w:val="none"/>
        </w:rPr>
        <w:t xml:space="preserve">    </w:t>
      </w:r>
      <w:r>
        <w:rPr>
          <w:rStyle w:val="19"/>
          <w:rFonts w:ascii="宋体" w:hAnsi="宋体" w:eastAsia="宋体" w:cs="Times New Roman"/>
          <w:sz w:val="18"/>
          <w:szCs w:val="18"/>
          <w:highlight w:val="none"/>
        </w:rPr>
        <w:t xml:space="preserve">  </w:t>
      </w:r>
      <w:r>
        <w:rPr>
          <w:rStyle w:val="19"/>
          <w:rFonts w:hint="eastAsia" w:ascii="宋体" w:hAnsi="宋体" w:eastAsia="宋体" w:cs="Times New Roman"/>
          <w:sz w:val="18"/>
          <w:szCs w:val="18"/>
          <w:highlight w:val="none"/>
        </w:rPr>
        <w:t xml:space="preserve">  2.本表一式四份，由承包人填报，发包人、监理人、造价咨询人、承包人各存一份。</w:t>
      </w:r>
    </w:p>
    <w:p w14:paraId="683258C4">
      <w:pPr>
        <w:pStyle w:val="32"/>
        <w:jc w:val="left"/>
        <w:rPr>
          <w:rStyle w:val="19"/>
          <w:rFonts w:hint="eastAsia" w:ascii="宋体" w:hAnsi="宋体" w:eastAsia="宋体" w:cs="Times New Roman"/>
          <w:sz w:val="30"/>
          <w:szCs w:val="30"/>
          <w:highlight w:val="none"/>
        </w:rPr>
      </w:pPr>
      <w:r>
        <w:rPr>
          <w:rStyle w:val="19"/>
          <w:rFonts w:hint="eastAsia" w:ascii="宋体" w:hAnsi="宋体" w:eastAsia="宋体" w:cs="Times New Roman"/>
          <w:sz w:val="30"/>
          <w:szCs w:val="30"/>
          <w:highlight w:val="none"/>
        </w:rPr>
        <w:t>附件12</w:t>
      </w:r>
    </w:p>
    <w:p w14:paraId="2D5EC6FA">
      <w:pPr>
        <w:pStyle w:val="32"/>
        <w:jc w:val="center"/>
        <w:rPr>
          <w:rStyle w:val="19"/>
          <w:rFonts w:hint="eastAsia" w:ascii="宋体" w:hAnsi="宋体" w:eastAsia="宋体" w:cs="Times New Roman"/>
          <w:b/>
          <w:sz w:val="36"/>
          <w:szCs w:val="36"/>
          <w:highlight w:val="none"/>
        </w:rPr>
      </w:pPr>
      <w:r>
        <w:rPr>
          <w:rStyle w:val="19"/>
          <w:rFonts w:hint="eastAsia" w:ascii="宋体" w:hAnsi="宋体" w:eastAsia="宋体" w:cs="Times New Roman"/>
          <w:b/>
          <w:sz w:val="36"/>
          <w:szCs w:val="36"/>
          <w:highlight w:val="none"/>
        </w:rPr>
        <w:t>竣工结算款支付申请（核准）表</w:t>
      </w:r>
    </w:p>
    <w:p w14:paraId="24F463EE">
      <w:pPr>
        <w:pStyle w:val="32"/>
        <w:rPr>
          <w:rStyle w:val="19"/>
          <w:rFonts w:hint="eastAsia" w:ascii="宋体" w:hAnsi="宋体" w:eastAsia="宋体" w:cs="Times New Roman"/>
          <w:sz w:val="24"/>
          <w:szCs w:val="24"/>
          <w:highlight w:val="none"/>
        </w:rPr>
      </w:pPr>
      <w:r>
        <w:rPr>
          <w:rStyle w:val="19"/>
          <w:rFonts w:hint="eastAsia" w:ascii="宋体" w:hAnsi="宋体" w:eastAsia="宋体" w:cs="Times New Roman"/>
          <w:sz w:val="24"/>
          <w:szCs w:val="24"/>
          <w:highlight w:val="none"/>
        </w:rPr>
        <w:t>工程名称：                                              编号：</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77A9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55" w:hRule="atLeast"/>
          <w:jc w:val="center"/>
        </w:trPr>
        <w:tc>
          <w:tcPr>
            <w:tcW w:w="9072" w:type="dxa"/>
            <w:gridSpan w:val="2"/>
            <w:noWrap w:val="0"/>
            <w:vAlign w:val="top"/>
          </w:tcPr>
          <w:p w14:paraId="1A82699F">
            <w:pPr>
              <w:pStyle w:val="32"/>
              <w:spacing w:line="480" w:lineRule="exact"/>
              <w:ind w:left="525" w:leftChars="149" w:hanging="212" w:hangingChars="101"/>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致：</w:t>
            </w:r>
            <w:r>
              <w:rPr>
                <w:rStyle w:val="19"/>
                <w:rFonts w:hint="eastAsia" w:ascii="宋体" w:hAnsi="宋体" w:eastAsia="宋体" w:cs="Times New Roman"/>
                <w:highlight w:val="none"/>
                <w:u w:val="single"/>
              </w:rPr>
              <w:t xml:space="preserve">                                   （发包人全称）</w:t>
            </w:r>
          </w:p>
          <w:p w14:paraId="114DDEBE">
            <w:pPr>
              <w:pStyle w:val="32"/>
              <w:spacing w:line="400" w:lineRule="exact"/>
              <w:ind w:left="-4" w:leftChars="-2" w:firstLine="315" w:firstLineChars="150"/>
              <w:rPr>
                <w:rStyle w:val="19"/>
                <w:rFonts w:hint="eastAsia" w:ascii="宋体" w:hAnsi="宋体" w:eastAsia="宋体" w:cs="Times New Roman"/>
                <w:highlight w:val="none"/>
              </w:rPr>
            </w:pPr>
            <w:r>
              <w:rPr>
                <w:rStyle w:val="19"/>
                <w:rFonts w:hint="eastAsia" w:ascii="宋体" w:hAnsi="宋体" w:eastAsia="宋体" w:cs="Times New Roman"/>
                <w:highlight w:val="none"/>
              </w:rPr>
              <w:t>我方于</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至</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期间已完成了合同约定的工作，根据施工合同的约定，现申请支付竣工结算的工程款额为(大写)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元，(小写)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元，请予核准。</w:t>
            </w:r>
          </w:p>
          <w:tbl>
            <w:tblPr>
              <w:tblStyle w:val="18"/>
              <w:tblpPr w:leftFromText="180" w:rightFromText="180" w:vertAnchor="page" w:horzAnchor="margin" w:tblpY="1309"/>
              <w:tblOverlap w:val="never"/>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3362"/>
              <w:gridCol w:w="1605"/>
              <w:gridCol w:w="1605"/>
              <w:gridCol w:w="1628"/>
            </w:tblGrid>
            <w:tr w14:paraId="5CC8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3" w:type="dxa"/>
                  <w:noWrap w:val="0"/>
                  <w:vAlign w:val="center"/>
                </w:tcPr>
                <w:p w14:paraId="20C54956">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序号</w:t>
                  </w:r>
                </w:p>
              </w:tc>
              <w:tc>
                <w:tcPr>
                  <w:tcW w:w="3362" w:type="dxa"/>
                  <w:noWrap w:val="0"/>
                  <w:vAlign w:val="center"/>
                </w:tcPr>
                <w:p w14:paraId="4885D62F">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名      称</w:t>
                  </w:r>
                </w:p>
              </w:tc>
              <w:tc>
                <w:tcPr>
                  <w:tcW w:w="1605" w:type="dxa"/>
                  <w:noWrap w:val="0"/>
                  <w:vAlign w:val="center"/>
                </w:tcPr>
                <w:p w14:paraId="5A1D7353">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申请金额（元）</w:t>
                  </w:r>
                </w:p>
              </w:tc>
              <w:tc>
                <w:tcPr>
                  <w:tcW w:w="1605" w:type="dxa"/>
                  <w:noWrap w:val="0"/>
                  <w:vAlign w:val="center"/>
                </w:tcPr>
                <w:p w14:paraId="0987653B">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复核金额（元）</w:t>
                  </w:r>
                </w:p>
              </w:tc>
              <w:tc>
                <w:tcPr>
                  <w:tcW w:w="1628" w:type="dxa"/>
                  <w:noWrap w:val="0"/>
                  <w:vAlign w:val="center"/>
                </w:tcPr>
                <w:p w14:paraId="56A1B5A4">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备注</w:t>
                  </w:r>
                </w:p>
              </w:tc>
            </w:tr>
            <w:tr w14:paraId="03AE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0C870A6A">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1</w:t>
                  </w:r>
                </w:p>
              </w:tc>
              <w:tc>
                <w:tcPr>
                  <w:tcW w:w="3362" w:type="dxa"/>
                  <w:noWrap w:val="0"/>
                  <w:vAlign w:val="top"/>
                </w:tcPr>
                <w:p w14:paraId="023030CA">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竣工结算合同价款总额</w:t>
                  </w:r>
                </w:p>
              </w:tc>
              <w:tc>
                <w:tcPr>
                  <w:tcW w:w="1605" w:type="dxa"/>
                  <w:noWrap w:val="0"/>
                  <w:vAlign w:val="top"/>
                </w:tcPr>
                <w:p w14:paraId="047B80EC">
                  <w:pPr>
                    <w:pStyle w:val="32"/>
                    <w:spacing w:line="280" w:lineRule="exact"/>
                    <w:rPr>
                      <w:rStyle w:val="19"/>
                      <w:rFonts w:hint="eastAsia" w:ascii="宋体" w:hAnsi="宋体" w:eastAsia="宋体" w:cs="Times New Roman"/>
                      <w:highlight w:val="none"/>
                    </w:rPr>
                  </w:pPr>
                </w:p>
              </w:tc>
              <w:tc>
                <w:tcPr>
                  <w:tcW w:w="1605" w:type="dxa"/>
                  <w:noWrap w:val="0"/>
                  <w:vAlign w:val="top"/>
                </w:tcPr>
                <w:p w14:paraId="1B6237B6">
                  <w:pPr>
                    <w:pStyle w:val="32"/>
                    <w:spacing w:line="280" w:lineRule="exact"/>
                    <w:rPr>
                      <w:rStyle w:val="19"/>
                      <w:rFonts w:hint="eastAsia" w:ascii="宋体" w:hAnsi="宋体" w:eastAsia="宋体" w:cs="Times New Roman"/>
                      <w:highlight w:val="none"/>
                    </w:rPr>
                  </w:pPr>
                </w:p>
              </w:tc>
              <w:tc>
                <w:tcPr>
                  <w:tcW w:w="1628" w:type="dxa"/>
                  <w:noWrap w:val="0"/>
                  <w:vAlign w:val="top"/>
                </w:tcPr>
                <w:p w14:paraId="5217137A">
                  <w:pPr>
                    <w:pStyle w:val="32"/>
                    <w:spacing w:line="280" w:lineRule="exact"/>
                    <w:rPr>
                      <w:rStyle w:val="19"/>
                      <w:rFonts w:hint="eastAsia" w:ascii="宋体" w:hAnsi="宋体" w:eastAsia="宋体" w:cs="Times New Roman"/>
                      <w:highlight w:val="none"/>
                    </w:rPr>
                  </w:pPr>
                </w:p>
              </w:tc>
            </w:tr>
            <w:tr w14:paraId="08C5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1867C264">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2</w:t>
                  </w:r>
                </w:p>
              </w:tc>
              <w:tc>
                <w:tcPr>
                  <w:tcW w:w="3362" w:type="dxa"/>
                  <w:noWrap w:val="0"/>
                  <w:vAlign w:val="top"/>
                </w:tcPr>
                <w:p w14:paraId="3C0A9B90">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累计已实际支付的合同价款</w:t>
                  </w:r>
                </w:p>
              </w:tc>
              <w:tc>
                <w:tcPr>
                  <w:tcW w:w="1605" w:type="dxa"/>
                  <w:noWrap w:val="0"/>
                  <w:vAlign w:val="top"/>
                </w:tcPr>
                <w:p w14:paraId="59332295">
                  <w:pPr>
                    <w:pStyle w:val="32"/>
                    <w:spacing w:line="280" w:lineRule="exact"/>
                    <w:rPr>
                      <w:rStyle w:val="19"/>
                      <w:rFonts w:hint="eastAsia" w:ascii="宋体" w:hAnsi="宋体" w:eastAsia="宋体" w:cs="Times New Roman"/>
                      <w:highlight w:val="none"/>
                    </w:rPr>
                  </w:pPr>
                </w:p>
              </w:tc>
              <w:tc>
                <w:tcPr>
                  <w:tcW w:w="1605" w:type="dxa"/>
                  <w:noWrap w:val="0"/>
                  <w:vAlign w:val="top"/>
                </w:tcPr>
                <w:p w14:paraId="132AC63E">
                  <w:pPr>
                    <w:pStyle w:val="32"/>
                    <w:spacing w:line="280" w:lineRule="exact"/>
                    <w:rPr>
                      <w:rStyle w:val="19"/>
                      <w:rFonts w:hint="eastAsia" w:ascii="宋体" w:hAnsi="宋体" w:eastAsia="宋体" w:cs="Times New Roman"/>
                      <w:highlight w:val="none"/>
                    </w:rPr>
                  </w:pPr>
                </w:p>
              </w:tc>
              <w:tc>
                <w:tcPr>
                  <w:tcW w:w="1628" w:type="dxa"/>
                  <w:noWrap w:val="0"/>
                  <w:vAlign w:val="top"/>
                </w:tcPr>
                <w:p w14:paraId="2D229C4C">
                  <w:pPr>
                    <w:pStyle w:val="32"/>
                    <w:spacing w:line="280" w:lineRule="exact"/>
                    <w:rPr>
                      <w:rStyle w:val="19"/>
                      <w:rFonts w:hint="eastAsia" w:ascii="宋体" w:hAnsi="宋体" w:eastAsia="宋体" w:cs="Times New Roman"/>
                      <w:highlight w:val="none"/>
                    </w:rPr>
                  </w:pPr>
                </w:p>
              </w:tc>
            </w:tr>
            <w:tr w14:paraId="04EF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35E39FD2">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3</w:t>
                  </w:r>
                </w:p>
              </w:tc>
              <w:tc>
                <w:tcPr>
                  <w:tcW w:w="3362" w:type="dxa"/>
                  <w:noWrap w:val="0"/>
                  <w:vAlign w:val="top"/>
                </w:tcPr>
                <w:p w14:paraId="4B450A9A">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应预留的质量保证金</w:t>
                  </w:r>
                </w:p>
              </w:tc>
              <w:tc>
                <w:tcPr>
                  <w:tcW w:w="1605" w:type="dxa"/>
                  <w:noWrap w:val="0"/>
                  <w:vAlign w:val="top"/>
                </w:tcPr>
                <w:p w14:paraId="23E316D6">
                  <w:pPr>
                    <w:pStyle w:val="32"/>
                    <w:spacing w:line="280" w:lineRule="exact"/>
                    <w:rPr>
                      <w:rStyle w:val="19"/>
                      <w:rFonts w:hint="eastAsia" w:ascii="宋体" w:hAnsi="宋体" w:eastAsia="宋体" w:cs="Times New Roman"/>
                      <w:highlight w:val="none"/>
                    </w:rPr>
                  </w:pPr>
                </w:p>
              </w:tc>
              <w:tc>
                <w:tcPr>
                  <w:tcW w:w="1605" w:type="dxa"/>
                  <w:noWrap w:val="0"/>
                  <w:vAlign w:val="top"/>
                </w:tcPr>
                <w:p w14:paraId="486C27A7">
                  <w:pPr>
                    <w:pStyle w:val="32"/>
                    <w:spacing w:line="280" w:lineRule="exact"/>
                    <w:rPr>
                      <w:rStyle w:val="19"/>
                      <w:rFonts w:hint="eastAsia" w:ascii="宋体" w:hAnsi="宋体" w:eastAsia="宋体" w:cs="Times New Roman"/>
                      <w:highlight w:val="none"/>
                    </w:rPr>
                  </w:pPr>
                </w:p>
              </w:tc>
              <w:tc>
                <w:tcPr>
                  <w:tcW w:w="1628" w:type="dxa"/>
                  <w:noWrap w:val="0"/>
                  <w:vAlign w:val="top"/>
                </w:tcPr>
                <w:p w14:paraId="2FBDA742">
                  <w:pPr>
                    <w:pStyle w:val="32"/>
                    <w:spacing w:line="280" w:lineRule="exact"/>
                    <w:rPr>
                      <w:rStyle w:val="19"/>
                      <w:rFonts w:hint="eastAsia" w:ascii="宋体" w:hAnsi="宋体" w:eastAsia="宋体" w:cs="Times New Roman"/>
                      <w:highlight w:val="none"/>
                    </w:rPr>
                  </w:pPr>
                </w:p>
              </w:tc>
            </w:tr>
            <w:tr w14:paraId="0E0E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0C0D47FB">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4</w:t>
                  </w:r>
                </w:p>
              </w:tc>
              <w:tc>
                <w:tcPr>
                  <w:tcW w:w="3362" w:type="dxa"/>
                  <w:noWrap w:val="0"/>
                  <w:vAlign w:val="top"/>
                </w:tcPr>
                <w:p w14:paraId="0322FCCB">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应支付的竣工结算款金额</w:t>
                  </w:r>
                </w:p>
              </w:tc>
              <w:tc>
                <w:tcPr>
                  <w:tcW w:w="1605" w:type="dxa"/>
                  <w:noWrap w:val="0"/>
                  <w:vAlign w:val="top"/>
                </w:tcPr>
                <w:p w14:paraId="47E8FF22">
                  <w:pPr>
                    <w:pStyle w:val="32"/>
                    <w:spacing w:line="280" w:lineRule="exact"/>
                    <w:rPr>
                      <w:rStyle w:val="19"/>
                      <w:rFonts w:hint="eastAsia" w:ascii="宋体" w:hAnsi="宋体" w:eastAsia="宋体" w:cs="Times New Roman"/>
                      <w:highlight w:val="none"/>
                    </w:rPr>
                  </w:pPr>
                </w:p>
              </w:tc>
              <w:tc>
                <w:tcPr>
                  <w:tcW w:w="1605" w:type="dxa"/>
                  <w:noWrap w:val="0"/>
                  <w:vAlign w:val="top"/>
                </w:tcPr>
                <w:p w14:paraId="18D9E187">
                  <w:pPr>
                    <w:pStyle w:val="32"/>
                    <w:spacing w:line="280" w:lineRule="exact"/>
                    <w:rPr>
                      <w:rStyle w:val="19"/>
                      <w:rFonts w:hint="eastAsia" w:ascii="宋体" w:hAnsi="宋体" w:eastAsia="宋体" w:cs="Times New Roman"/>
                      <w:highlight w:val="none"/>
                    </w:rPr>
                  </w:pPr>
                </w:p>
              </w:tc>
              <w:tc>
                <w:tcPr>
                  <w:tcW w:w="1628" w:type="dxa"/>
                  <w:noWrap w:val="0"/>
                  <w:vAlign w:val="top"/>
                </w:tcPr>
                <w:p w14:paraId="669CD489">
                  <w:pPr>
                    <w:pStyle w:val="32"/>
                    <w:spacing w:line="280" w:lineRule="exact"/>
                    <w:rPr>
                      <w:rStyle w:val="19"/>
                      <w:rFonts w:hint="eastAsia" w:ascii="宋体" w:hAnsi="宋体" w:eastAsia="宋体" w:cs="Times New Roman"/>
                      <w:highlight w:val="none"/>
                    </w:rPr>
                  </w:pPr>
                </w:p>
              </w:tc>
            </w:tr>
            <w:tr w14:paraId="797C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769E40B7">
                  <w:pPr>
                    <w:pStyle w:val="32"/>
                    <w:spacing w:line="280" w:lineRule="exact"/>
                    <w:jc w:val="center"/>
                    <w:rPr>
                      <w:rStyle w:val="19"/>
                      <w:rFonts w:hint="eastAsia" w:ascii="宋体" w:hAnsi="宋体" w:eastAsia="宋体" w:cs="Times New Roman"/>
                      <w:highlight w:val="none"/>
                    </w:rPr>
                  </w:pPr>
                </w:p>
              </w:tc>
              <w:tc>
                <w:tcPr>
                  <w:tcW w:w="3362" w:type="dxa"/>
                  <w:noWrap w:val="0"/>
                  <w:vAlign w:val="top"/>
                </w:tcPr>
                <w:p w14:paraId="59B41D6C">
                  <w:pPr>
                    <w:pStyle w:val="32"/>
                    <w:spacing w:line="280" w:lineRule="exact"/>
                    <w:rPr>
                      <w:rStyle w:val="19"/>
                      <w:rFonts w:hint="eastAsia" w:ascii="宋体" w:hAnsi="宋体" w:eastAsia="宋体" w:cs="Times New Roman"/>
                      <w:highlight w:val="none"/>
                    </w:rPr>
                  </w:pPr>
                </w:p>
              </w:tc>
              <w:tc>
                <w:tcPr>
                  <w:tcW w:w="1605" w:type="dxa"/>
                  <w:noWrap w:val="0"/>
                  <w:vAlign w:val="top"/>
                </w:tcPr>
                <w:p w14:paraId="435ADED6">
                  <w:pPr>
                    <w:pStyle w:val="32"/>
                    <w:spacing w:line="280" w:lineRule="exact"/>
                    <w:rPr>
                      <w:rStyle w:val="19"/>
                      <w:rFonts w:hint="eastAsia" w:ascii="宋体" w:hAnsi="宋体" w:eastAsia="宋体" w:cs="Times New Roman"/>
                      <w:highlight w:val="none"/>
                    </w:rPr>
                  </w:pPr>
                </w:p>
              </w:tc>
              <w:tc>
                <w:tcPr>
                  <w:tcW w:w="1605" w:type="dxa"/>
                  <w:noWrap w:val="0"/>
                  <w:vAlign w:val="top"/>
                </w:tcPr>
                <w:p w14:paraId="1CFE49E1">
                  <w:pPr>
                    <w:pStyle w:val="32"/>
                    <w:spacing w:line="280" w:lineRule="exact"/>
                    <w:rPr>
                      <w:rStyle w:val="19"/>
                      <w:rFonts w:hint="eastAsia" w:ascii="宋体" w:hAnsi="宋体" w:eastAsia="宋体" w:cs="Times New Roman"/>
                      <w:highlight w:val="none"/>
                    </w:rPr>
                  </w:pPr>
                </w:p>
              </w:tc>
              <w:tc>
                <w:tcPr>
                  <w:tcW w:w="1628" w:type="dxa"/>
                  <w:noWrap w:val="0"/>
                  <w:vAlign w:val="top"/>
                </w:tcPr>
                <w:p w14:paraId="62D51FDE">
                  <w:pPr>
                    <w:pStyle w:val="32"/>
                    <w:spacing w:line="280" w:lineRule="exact"/>
                    <w:rPr>
                      <w:rStyle w:val="19"/>
                      <w:rFonts w:hint="eastAsia" w:ascii="宋体" w:hAnsi="宋体" w:eastAsia="宋体" w:cs="Times New Roman"/>
                      <w:highlight w:val="none"/>
                    </w:rPr>
                  </w:pPr>
                </w:p>
              </w:tc>
            </w:tr>
            <w:tr w14:paraId="1828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30130767">
                  <w:pPr>
                    <w:pStyle w:val="32"/>
                    <w:spacing w:line="280" w:lineRule="exact"/>
                    <w:jc w:val="center"/>
                    <w:rPr>
                      <w:rStyle w:val="19"/>
                      <w:rFonts w:hint="eastAsia" w:ascii="宋体" w:hAnsi="宋体" w:eastAsia="宋体" w:cs="Times New Roman"/>
                      <w:highlight w:val="none"/>
                    </w:rPr>
                  </w:pPr>
                </w:p>
              </w:tc>
              <w:tc>
                <w:tcPr>
                  <w:tcW w:w="3362" w:type="dxa"/>
                  <w:noWrap w:val="0"/>
                  <w:vAlign w:val="top"/>
                </w:tcPr>
                <w:p w14:paraId="669C0F3C">
                  <w:pPr>
                    <w:pStyle w:val="32"/>
                    <w:spacing w:line="280" w:lineRule="exact"/>
                    <w:rPr>
                      <w:rStyle w:val="19"/>
                      <w:rFonts w:hint="eastAsia" w:ascii="宋体" w:hAnsi="宋体" w:eastAsia="宋体" w:cs="Times New Roman"/>
                      <w:highlight w:val="none"/>
                    </w:rPr>
                  </w:pPr>
                </w:p>
              </w:tc>
              <w:tc>
                <w:tcPr>
                  <w:tcW w:w="1605" w:type="dxa"/>
                  <w:noWrap w:val="0"/>
                  <w:vAlign w:val="top"/>
                </w:tcPr>
                <w:p w14:paraId="778177BF">
                  <w:pPr>
                    <w:pStyle w:val="32"/>
                    <w:spacing w:line="280" w:lineRule="exact"/>
                    <w:rPr>
                      <w:rStyle w:val="19"/>
                      <w:rFonts w:hint="eastAsia" w:ascii="宋体" w:hAnsi="宋体" w:eastAsia="宋体" w:cs="Times New Roman"/>
                      <w:highlight w:val="none"/>
                    </w:rPr>
                  </w:pPr>
                </w:p>
              </w:tc>
              <w:tc>
                <w:tcPr>
                  <w:tcW w:w="1605" w:type="dxa"/>
                  <w:noWrap w:val="0"/>
                  <w:vAlign w:val="top"/>
                </w:tcPr>
                <w:p w14:paraId="23B94D17">
                  <w:pPr>
                    <w:pStyle w:val="32"/>
                    <w:spacing w:line="280" w:lineRule="exact"/>
                    <w:rPr>
                      <w:rStyle w:val="19"/>
                      <w:rFonts w:hint="eastAsia" w:ascii="宋体" w:hAnsi="宋体" w:eastAsia="宋体" w:cs="Times New Roman"/>
                      <w:highlight w:val="none"/>
                    </w:rPr>
                  </w:pPr>
                </w:p>
              </w:tc>
              <w:tc>
                <w:tcPr>
                  <w:tcW w:w="1628" w:type="dxa"/>
                  <w:noWrap w:val="0"/>
                  <w:vAlign w:val="top"/>
                </w:tcPr>
                <w:p w14:paraId="259BA649">
                  <w:pPr>
                    <w:pStyle w:val="32"/>
                    <w:spacing w:line="280" w:lineRule="exact"/>
                    <w:rPr>
                      <w:rStyle w:val="19"/>
                      <w:rFonts w:hint="eastAsia" w:ascii="宋体" w:hAnsi="宋体" w:eastAsia="宋体" w:cs="Times New Roman"/>
                      <w:highlight w:val="none"/>
                    </w:rPr>
                  </w:pPr>
                </w:p>
              </w:tc>
            </w:tr>
          </w:tbl>
          <w:p w14:paraId="13CAB5AC">
            <w:pPr>
              <w:pStyle w:val="32"/>
              <w:spacing w:line="400" w:lineRule="exact"/>
              <w:ind w:right="420" w:firstLine="435"/>
              <w:jc w:val="center"/>
              <w:rPr>
                <w:rStyle w:val="19"/>
                <w:rFonts w:hint="eastAsia" w:ascii="宋体" w:hAnsi="宋体" w:eastAsia="宋体" w:cs="Times New Roman"/>
                <w:highlight w:val="none"/>
              </w:rPr>
            </w:pPr>
          </w:p>
          <w:p w14:paraId="52970097">
            <w:pPr>
              <w:pStyle w:val="32"/>
              <w:spacing w:line="400" w:lineRule="exact"/>
              <w:ind w:right="420" w:firstLine="435"/>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 xml:space="preserve">                                            承包人（章）             </w:t>
            </w:r>
          </w:p>
          <w:p w14:paraId="42CDAB31">
            <w:pPr>
              <w:pStyle w:val="32"/>
              <w:spacing w:line="400" w:lineRule="exact"/>
              <w:ind w:right="420" w:firstLine="435"/>
              <w:rPr>
                <w:rStyle w:val="19"/>
                <w:rFonts w:hint="eastAsia" w:ascii="宋体" w:hAnsi="宋体" w:eastAsia="宋体" w:cs="Times New Roman"/>
                <w:highlight w:val="none"/>
              </w:rPr>
            </w:pPr>
            <w:r>
              <w:rPr>
                <w:rStyle w:val="19"/>
                <w:rFonts w:hint="eastAsia" w:ascii="宋体" w:hAnsi="宋体" w:eastAsia="宋体" w:cs="Times New Roman"/>
                <w:highlight w:val="none"/>
              </w:rPr>
              <w:t>造价人员</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承包人代表</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r w14:paraId="7501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4B127F07">
            <w:pPr>
              <w:pStyle w:val="32"/>
              <w:spacing w:line="36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复核意见：</w:t>
            </w:r>
          </w:p>
          <w:p w14:paraId="1A3FA1EB">
            <w:pPr>
              <w:pStyle w:val="32"/>
              <w:spacing w:line="360" w:lineRule="exact"/>
              <w:ind w:firstLine="312"/>
              <w:rPr>
                <w:rStyle w:val="19"/>
                <w:rFonts w:hint="eastAsia" w:ascii="宋体" w:hAnsi="宋体" w:eastAsia="宋体" w:cs="Times New Roman"/>
                <w:highlight w:val="none"/>
              </w:rPr>
            </w:pPr>
            <w:r>
              <w:rPr>
                <w:rStyle w:val="19"/>
                <w:rFonts w:hint="eastAsia" w:ascii="宋体" w:hAnsi="宋体" w:eastAsia="宋体" w:cs="Times New Roman"/>
                <w:highlight w:val="none"/>
              </w:rPr>
              <w:t>□与实际施工情况不相符，修改意见见附件。</w:t>
            </w:r>
          </w:p>
          <w:p w14:paraId="6699130C">
            <w:pPr>
              <w:pStyle w:val="32"/>
              <w:spacing w:line="360" w:lineRule="exact"/>
              <w:ind w:firstLine="312"/>
              <w:rPr>
                <w:rStyle w:val="19"/>
                <w:rFonts w:hint="eastAsia" w:ascii="宋体" w:hAnsi="宋体" w:eastAsia="宋体" w:cs="Times New Roman"/>
                <w:highlight w:val="none"/>
              </w:rPr>
            </w:pPr>
            <w:r>
              <w:rPr>
                <w:rStyle w:val="19"/>
                <w:rFonts w:hint="eastAsia" w:ascii="宋体" w:hAnsi="宋体" w:eastAsia="宋体" w:cs="Times New Roman"/>
                <w:highlight w:val="none"/>
              </w:rPr>
              <w:t>□与实际施工情况相符，具体金额由造价工程师复核。</w:t>
            </w:r>
          </w:p>
          <w:p w14:paraId="3533882C">
            <w:pPr>
              <w:pStyle w:val="32"/>
              <w:spacing w:line="360" w:lineRule="exact"/>
              <w:ind w:firstLine="435"/>
              <w:jc w:val="right"/>
              <w:rPr>
                <w:rStyle w:val="19"/>
                <w:rFonts w:hint="eastAsia" w:ascii="宋体" w:hAnsi="宋体" w:eastAsia="宋体" w:cs="Times New Roman"/>
                <w:highlight w:val="none"/>
              </w:rPr>
            </w:pPr>
          </w:p>
          <w:p w14:paraId="4E004669">
            <w:pPr>
              <w:pStyle w:val="32"/>
              <w:spacing w:line="360" w:lineRule="exact"/>
              <w:ind w:firstLine="435"/>
              <w:jc w:val="right"/>
              <w:rPr>
                <w:rStyle w:val="19"/>
                <w:rFonts w:hint="eastAsia" w:ascii="宋体" w:hAnsi="宋体" w:eastAsia="宋体" w:cs="Times New Roman"/>
                <w:highlight w:val="none"/>
              </w:rPr>
            </w:pPr>
          </w:p>
          <w:p w14:paraId="7D948C78">
            <w:pPr>
              <w:pStyle w:val="32"/>
              <w:spacing w:line="360" w:lineRule="exact"/>
              <w:ind w:firstLine="435"/>
              <w:jc w:val="center"/>
              <w:rPr>
                <w:rStyle w:val="19"/>
                <w:rFonts w:hint="eastAsia" w:ascii="宋体" w:hAnsi="宋体" w:eastAsia="宋体" w:cs="Times New Roman"/>
                <w:highlight w:val="non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p>
          <w:p w14:paraId="3EDDD190">
            <w:pPr>
              <w:pStyle w:val="32"/>
              <w:spacing w:line="360" w:lineRule="exact"/>
              <w:ind w:firstLine="435"/>
              <w:jc w:val="center"/>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 xml:space="preserve">      监理工程师</w:t>
            </w:r>
            <w:r>
              <w:rPr>
                <w:rStyle w:val="19"/>
                <w:rFonts w:hint="eastAsia" w:ascii="宋体" w:hAnsi="宋体" w:eastAsia="宋体" w:cs="Times New Roman"/>
                <w:highlight w:val="none"/>
                <w:u w:val="single"/>
              </w:rPr>
              <w:t xml:space="preserve">           </w:t>
            </w:r>
          </w:p>
          <w:p w14:paraId="12E6D3F0">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日      期</w:t>
            </w:r>
            <w:r>
              <w:rPr>
                <w:rStyle w:val="19"/>
                <w:rFonts w:hint="eastAsia" w:ascii="宋体" w:hAnsi="宋体" w:eastAsia="宋体" w:cs="Times New Roman"/>
                <w:highlight w:val="none"/>
                <w:u w:val="single"/>
              </w:rPr>
              <w:t xml:space="preserve">           </w:t>
            </w:r>
          </w:p>
        </w:tc>
        <w:tc>
          <w:tcPr>
            <w:tcW w:w="4533" w:type="dxa"/>
            <w:noWrap w:val="0"/>
            <w:vAlign w:val="top"/>
          </w:tcPr>
          <w:p w14:paraId="3274A2F9">
            <w:pPr>
              <w:pStyle w:val="32"/>
              <w:spacing w:line="36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复核意见：</w:t>
            </w:r>
          </w:p>
          <w:p w14:paraId="3C2E0759">
            <w:pPr>
              <w:pStyle w:val="32"/>
              <w:spacing w:line="360" w:lineRule="exact"/>
              <w:ind w:firstLine="435"/>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你方提出的竣工结算支付申请经复核，竣工结算款总额为(大写)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元，（小写）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 xml:space="preserve"> 元，扣除前期支付以及质量保证金后应支付金额为（大写）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元，（小写）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w:t>
            </w:r>
          </w:p>
          <w:p w14:paraId="5E4CA3CA">
            <w:pPr>
              <w:pStyle w:val="32"/>
              <w:spacing w:line="360" w:lineRule="exact"/>
              <w:ind w:firstLine="435"/>
              <w:jc w:val="center"/>
              <w:rPr>
                <w:rStyle w:val="19"/>
                <w:rFonts w:hint="eastAsia" w:ascii="宋体" w:hAnsi="宋体" w:eastAsia="宋体" w:cs="Times New Roman"/>
                <w:highlight w:val="none"/>
              </w:rPr>
            </w:pPr>
            <w:r>
              <w:rPr>
                <w:rStyle w:val="19"/>
                <w:rFonts w:ascii="宋体" w:hAnsi="宋体" w:eastAsia="宋体" w:cs="Times New Roman"/>
                <w:highlight w:val="none"/>
              </w:rPr>
              <w:t xml:space="preserve">    </w:t>
            </w:r>
          </w:p>
          <w:p w14:paraId="21627A78">
            <w:pPr>
              <w:pStyle w:val="32"/>
              <w:spacing w:line="360" w:lineRule="exact"/>
              <w:ind w:firstLine="435"/>
              <w:jc w:val="center"/>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 xml:space="preserve">    造价工程师</w:t>
            </w:r>
            <w:r>
              <w:rPr>
                <w:rStyle w:val="19"/>
                <w:rFonts w:hint="eastAsia" w:ascii="宋体" w:hAnsi="宋体" w:eastAsia="宋体" w:cs="Times New Roman"/>
                <w:highlight w:val="none"/>
                <w:u w:val="single"/>
              </w:rPr>
              <w:t xml:space="preserve">           </w:t>
            </w:r>
          </w:p>
          <w:p w14:paraId="435CB550">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r w14:paraId="2810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5018B07A">
            <w:pPr>
              <w:pStyle w:val="32"/>
              <w:spacing w:line="40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审核意见：</w:t>
            </w:r>
          </w:p>
          <w:p w14:paraId="5CEAF7E9">
            <w:pPr>
              <w:pStyle w:val="32"/>
              <w:spacing w:line="400" w:lineRule="exact"/>
              <w:ind w:firstLine="435"/>
              <w:rPr>
                <w:rStyle w:val="19"/>
                <w:rFonts w:hint="eastAsia" w:ascii="宋体" w:hAnsi="宋体" w:eastAsia="宋体" w:cs="Times New Roman"/>
                <w:highlight w:val="none"/>
              </w:rPr>
            </w:pPr>
            <w:r>
              <w:rPr>
                <w:rStyle w:val="19"/>
                <w:rFonts w:hint="eastAsia" w:ascii="宋体" w:hAnsi="宋体" w:eastAsia="宋体" w:cs="Times New Roman"/>
                <w:highlight w:val="none"/>
              </w:rPr>
              <w:t>□不同意。</w:t>
            </w:r>
          </w:p>
          <w:p w14:paraId="7821D24F">
            <w:pPr>
              <w:pStyle w:val="32"/>
              <w:spacing w:line="400" w:lineRule="exact"/>
              <w:ind w:firstLine="420" w:firstLineChars="200"/>
              <w:rPr>
                <w:rStyle w:val="19"/>
                <w:rFonts w:hint="eastAsia" w:ascii="宋体" w:hAnsi="宋体" w:eastAsia="宋体" w:cs="Times New Roman"/>
                <w:highlight w:val="none"/>
              </w:rPr>
            </w:pPr>
            <w:r>
              <w:rPr>
                <w:rStyle w:val="19"/>
                <w:rFonts w:hint="eastAsia" w:ascii="宋体" w:hAnsi="宋体" w:eastAsia="宋体" w:cs="Times New Roman"/>
                <w:highlight w:val="none"/>
              </w:rPr>
              <w:t>□同意，支付时间为本表签发后的15天内。</w:t>
            </w:r>
          </w:p>
          <w:p w14:paraId="69410384">
            <w:pPr>
              <w:pStyle w:val="32"/>
              <w:wordWrap w:val="0"/>
              <w:spacing w:line="400" w:lineRule="exact"/>
              <w:ind w:firstLine="420" w:firstLineChars="200"/>
              <w:jc w:val="right"/>
              <w:rPr>
                <w:rStyle w:val="19"/>
                <w:rFonts w:hint="eastAsia" w:ascii="宋体" w:hAnsi="宋体" w:eastAsia="宋体" w:cs="Times New Roman"/>
                <w:highlight w:val="none"/>
              </w:rPr>
            </w:pPr>
            <w:r>
              <w:rPr>
                <w:rStyle w:val="19"/>
                <w:rFonts w:hint="eastAsia" w:ascii="宋体" w:hAnsi="宋体" w:eastAsia="宋体" w:cs="Times New Roman"/>
                <w:highlight w:val="none"/>
              </w:rPr>
              <w:t xml:space="preserve">发包人（章）           </w:t>
            </w:r>
          </w:p>
          <w:p w14:paraId="5A06AF75">
            <w:pPr>
              <w:pStyle w:val="32"/>
              <w:wordWrap w:val="0"/>
              <w:spacing w:line="400" w:lineRule="exact"/>
              <w:ind w:firstLine="420" w:firstLineChars="200"/>
              <w:jc w:val="right"/>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发包人代表</w:t>
            </w:r>
            <w:r>
              <w:rPr>
                <w:rStyle w:val="19"/>
                <w:rFonts w:hint="eastAsia" w:ascii="宋体" w:hAnsi="宋体" w:eastAsia="宋体" w:cs="Times New Roman"/>
                <w:highlight w:val="none"/>
                <w:u w:val="single"/>
              </w:rPr>
              <w:t xml:space="preserve">             </w:t>
            </w:r>
          </w:p>
          <w:p w14:paraId="274C48BC">
            <w:pPr>
              <w:pStyle w:val="32"/>
              <w:wordWrap w:val="0"/>
              <w:spacing w:line="400" w:lineRule="exact"/>
              <w:ind w:firstLine="420" w:firstLineChars="200"/>
              <w:jc w:val="right"/>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bl>
    <w:p w14:paraId="653AA377">
      <w:pPr>
        <w:pStyle w:val="32"/>
        <w:spacing w:before="120" w:beforeLines="50"/>
        <w:ind w:firstLine="360" w:firstLineChars="200"/>
        <w:rPr>
          <w:rStyle w:val="19"/>
          <w:rFonts w:hint="eastAsia" w:ascii="宋体" w:hAnsi="宋体" w:eastAsia="宋体" w:cs="Times New Roman"/>
          <w:sz w:val="18"/>
          <w:szCs w:val="18"/>
          <w:highlight w:val="none"/>
        </w:rPr>
      </w:pPr>
      <w:r>
        <w:rPr>
          <w:rStyle w:val="19"/>
          <w:rFonts w:hint="eastAsia" w:ascii="宋体" w:hAnsi="宋体" w:eastAsia="宋体" w:cs="Times New Roman"/>
          <w:sz w:val="18"/>
          <w:szCs w:val="18"/>
          <w:highlight w:val="none"/>
        </w:rPr>
        <w:t xml:space="preserve">注：1.在选择栏中的“□”内作标识“√”。 </w:t>
      </w:r>
    </w:p>
    <w:p w14:paraId="1A461988">
      <w:pPr>
        <w:pStyle w:val="32"/>
        <w:spacing w:before="120" w:beforeLines="50"/>
        <w:ind w:left="720" w:hanging="720" w:hangingChars="400"/>
        <w:rPr>
          <w:rStyle w:val="19"/>
          <w:rFonts w:hint="eastAsia" w:ascii="宋体" w:hAnsi="宋体" w:eastAsia="宋体" w:cs="Times New Roman"/>
          <w:sz w:val="18"/>
          <w:szCs w:val="18"/>
          <w:highlight w:val="none"/>
        </w:rPr>
      </w:pPr>
      <w:r>
        <w:rPr>
          <w:rStyle w:val="19"/>
          <w:rFonts w:hint="eastAsia" w:ascii="宋体" w:hAnsi="宋体" w:eastAsia="宋体" w:cs="Times New Roman"/>
          <w:sz w:val="18"/>
          <w:szCs w:val="18"/>
          <w:highlight w:val="none"/>
        </w:rPr>
        <w:t xml:space="preserve">    </w:t>
      </w:r>
      <w:r>
        <w:rPr>
          <w:rStyle w:val="19"/>
          <w:rFonts w:ascii="宋体" w:hAnsi="宋体" w:eastAsia="宋体" w:cs="Times New Roman"/>
          <w:sz w:val="18"/>
          <w:szCs w:val="18"/>
          <w:highlight w:val="none"/>
        </w:rPr>
        <w:t xml:space="preserve">  </w:t>
      </w:r>
      <w:r>
        <w:rPr>
          <w:rStyle w:val="19"/>
          <w:rFonts w:hint="eastAsia" w:ascii="宋体" w:hAnsi="宋体" w:eastAsia="宋体" w:cs="Times New Roman"/>
          <w:sz w:val="18"/>
          <w:szCs w:val="18"/>
          <w:highlight w:val="none"/>
        </w:rPr>
        <w:t xml:space="preserve">  2.本表一式四份，由承包人填报，发包人、监理人、造价咨询人、承包人各存一份。                                                                                            </w:t>
      </w:r>
    </w:p>
    <w:p w14:paraId="2FC5A709">
      <w:pPr>
        <w:pStyle w:val="32"/>
        <w:jc w:val="center"/>
        <w:rPr>
          <w:rStyle w:val="19"/>
          <w:rFonts w:hint="eastAsia" w:ascii="宋体" w:hAnsi="宋体" w:eastAsia="宋体" w:cs="宋体"/>
          <w:highlight w:val="none"/>
        </w:rPr>
      </w:pPr>
    </w:p>
    <w:p w14:paraId="4853A420">
      <w:pPr>
        <w:pStyle w:val="32"/>
        <w:jc w:val="left"/>
        <w:rPr>
          <w:rStyle w:val="19"/>
          <w:rFonts w:hint="eastAsia" w:ascii="宋体" w:hAnsi="宋体" w:eastAsia="宋体" w:cs="Times New Roman"/>
          <w:b/>
          <w:sz w:val="30"/>
          <w:szCs w:val="30"/>
          <w:highlight w:val="none"/>
        </w:rPr>
      </w:pPr>
      <w:r>
        <w:rPr>
          <w:rStyle w:val="19"/>
          <w:rFonts w:hint="eastAsia" w:ascii="宋体" w:hAnsi="宋体" w:eastAsia="宋体" w:cs="宋体"/>
          <w:sz w:val="30"/>
          <w:szCs w:val="30"/>
          <w:highlight w:val="none"/>
        </w:rPr>
        <w:br w:type="page"/>
      </w:r>
      <w:r>
        <w:rPr>
          <w:rStyle w:val="19"/>
          <w:rFonts w:hint="eastAsia" w:ascii="宋体" w:hAnsi="宋体" w:eastAsia="宋体" w:cs="宋体"/>
          <w:sz w:val="30"/>
          <w:szCs w:val="30"/>
          <w:highlight w:val="none"/>
        </w:rPr>
        <w:t>附件13：</w:t>
      </w:r>
    </w:p>
    <w:p w14:paraId="51BC878B">
      <w:pPr>
        <w:pStyle w:val="32"/>
        <w:jc w:val="center"/>
        <w:rPr>
          <w:rStyle w:val="19"/>
          <w:rFonts w:hint="eastAsia" w:ascii="宋体" w:hAnsi="宋体" w:eastAsia="宋体" w:cs="Times New Roman"/>
          <w:b/>
          <w:sz w:val="36"/>
          <w:szCs w:val="36"/>
          <w:highlight w:val="none"/>
        </w:rPr>
      </w:pPr>
      <w:r>
        <w:rPr>
          <w:rStyle w:val="19"/>
          <w:rFonts w:hint="eastAsia" w:ascii="宋体" w:hAnsi="宋体" w:eastAsia="宋体" w:cs="Times New Roman"/>
          <w:b/>
          <w:sz w:val="36"/>
          <w:szCs w:val="36"/>
          <w:highlight w:val="none"/>
        </w:rPr>
        <w:t>最终结算款支付申请（核准）表</w:t>
      </w:r>
    </w:p>
    <w:p w14:paraId="0F9609D1">
      <w:pPr>
        <w:pStyle w:val="32"/>
        <w:rPr>
          <w:rStyle w:val="19"/>
          <w:rFonts w:hint="eastAsia" w:ascii="宋体" w:hAnsi="宋体" w:eastAsia="宋体" w:cs="Times New Roman"/>
          <w:sz w:val="24"/>
          <w:szCs w:val="24"/>
          <w:highlight w:val="none"/>
        </w:rPr>
      </w:pPr>
      <w:r>
        <w:rPr>
          <w:rStyle w:val="19"/>
          <w:rFonts w:hint="eastAsia" w:ascii="宋体" w:hAnsi="宋体" w:eastAsia="宋体" w:cs="Times New Roman"/>
          <w:sz w:val="24"/>
          <w:szCs w:val="24"/>
          <w:highlight w:val="none"/>
        </w:rPr>
        <w:t>工程名称：                                             编号：</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0"/>
        <w:gridCol w:w="4532"/>
      </w:tblGrid>
      <w:tr w14:paraId="2570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58" w:hRule="atLeast"/>
          <w:jc w:val="center"/>
        </w:trPr>
        <w:tc>
          <w:tcPr>
            <w:tcW w:w="9072" w:type="dxa"/>
            <w:gridSpan w:val="2"/>
            <w:noWrap w:val="0"/>
            <w:vAlign w:val="top"/>
          </w:tcPr>
          <w:p w14:paraId="39BC33FE">
            <w:pPr>
              <w:pStyle w:val="32"/>
              <w:spacing w:line="480" w:lineRule="exact"/>
              <w:ind w:left="525" w:leftChars="149" w:hanging="212" w:hangingChars="101"/>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致：</w:t>
            </w:r>
            <w:r>
              <w:rPr>
                <w:rStyle w:val="19"/>
                <w:rFonts w:hint="eastAsia" w:ascii="宋体" w:hAnsi="宋体" w:eastAsia="宋体" w:cs="Times New Roman"/>
                <w:highlight w:val="none"/>
                <w:u w:val="single"/>
              </w:rPr>
              <w:t xml:space="preserve">                                   （发包人全称）</w:t>
            </w:r>
          </w:p>
          <w:p w14:paraId="24C0B31E">
            <w:pPr>
              <w:pStyle w:val="32"/>
              <w:spacing w:line="400" w:lineRule="exact"/>
              <w:ind w:left="-4" w:leftChars="-2" w:firstLine="315" w:firstLineChars="150"/>
              <w:rPr>
                <w:rStyle w:val="19"/>
                <w:rFonts w:hint="eastAsia" w:ascii="宋体" w:hAnsi="宋体" w:eastAsia="宋体" w:cs="Times New Roman"/>
                <w:highlight w:val="none"/>
              </w:rPr>
            </w:pPr>
            <w:r>
              <w:rPr>
                <w:rStyle w:val="19"/>
                <w:rFonts w:hint="eastAsia" w:ascii="宋体" w:hAnsi="宋体" w:eastAsia="宋体" w:cs="Times New Roman"/>
                <w:highlight w:val="none"/>
              </w:rPr>
              <w:t>我方于</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至</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期间已完成了缺陷修复工作，根据施工合同的约定，现申请支付最终结清合同款额为(大写)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元，(小写)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元，请予核准。</w:t>
            </w:r>
          </w:p>
          <w:tbl>
            <w:tblPr>
              <w:tblStyle w:val="18"/>
              <w:tblpPr w:leftFromText="180" w:rightFromText="180" w:vertAnchor="page" w:horzAnchor="margin" w:tblpY="1309"/>
              <w:tblOverlap w:val="never"/>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3364"/>
              <w:gridCol w:w="1605"/>
              <w:gridCol w:w="1605"/>
              <w:gridCol w:w="1627"/>
            </w:tblGrid>
            <w:tr w14:paraId="6313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2" w:type="dxa"/>
                  <w:noWrap w:val="0"/>
                  <w:vAlign w:val="center"/>
                </w:tcPr>
                <w:p w14:paraId="796515E4">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序号</w:t>
                  </w:r>
                </w:p>
              </w:tc>
              <w:tc>
                <w:tcPr>
                  <w:tcW w:w="3364" w:type="dxa"/>
                  <w:noWrap w:val="0"/>
                  <w:vAlign w:val="center"/>
                </w:tcPr>
                <w:p w14:paraId="28A34DD4">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名      称</w:t>
                  </w:r>
                </w:p>
              </w:tc>
              <w:tc>
                <w:tcPr>
                  <w:tcW w:w="1605" w:type="dxa"/>
                  <w:noWrap w:val="0"/>
                  <w:vAlign w:val="center"/>
                </w:tcPr>
                <w:p w14:paraId="6981DE7B">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申请金额（元）</w:t>
                  </w:r>
                </w:p>
              </w:tc>
              <w:tc>
                <w:tcPr>
                  <w:tcW w:w="1605" w:type="dxa"/>
                  <w:noWrap w:val="0"/>
                  <w:vAlign w:val="center"/>
                </w:tcPr>
                <w:p w14:paraId="0417E7C7">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复核金额（元）</w:t>
                  </w:r>
                </w:p>
              </w:tc>
              <w:tc>
                <w:tcPr>
                  <w:tcW w:w="1627" w:type="dxa"/>
                  <w:noWrap w:val="0"/>
                  <w:vAlign w:val="center"/>
                </w:tcPr>
                <w:p w14:paraId="05F97E1A">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备注</w:t>
                  </w:r>
                </w:p>
              </w:tc>
            </w:tr>
            <w:tr w14:paraId="5AE9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6C296106">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1</w:t>
                  </w:r>
                </w:p>
              </w:tc>
              <w:tc>
                <w:tcPr>
                  <w:tcW w:w="3364" w:type="dxa"/>
                  <w:noWrap w:val="0"/>
                  <w:vAlign w:val="top"/>
                </w:tcPr>
                <w:p w14:paraId="3CD84D99">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已预留的质量保证金</w:t>
                  </w:r>
                </w:p>
              </w:tc>
              <w:tc>
                <w:tcPr>
                  <w:tcW w:w="1605" w:type="dxa"/>
                  <w:noWrap w:val="0"/>
                  <w:vAlign w:val="top"/>
                </w:tcPr>
                <w:p w14:paraId="7DE273A9">
                  <w:pPr>
                    <w:pStyle w:val="32"/>
                    <w:spacing w:line="280" w:lineRule="exact"/>
                    <w:rPr>
                      <w:rStyle w:val="19"/>
                      <w:rFonts w:hint="eastAsia" w:ascii="宋体" w:hAnsi="宋体" w:eastAsia="宋体" w:cs="Times New Roman"/>
                      <w:highlight w:val="none"/>
                    </w:rPr>
                  </w:pPr>
                </w:p>
              </w:tc>
              <w:tc>
                <w:tcPr>
                  <w:tcW w:w="1605" w:type="dxa"/>
                  <w:noWrap w:val="0"/>
                  <w:vAlign w:val="top"/>
                </w:tcPr>
                <w:p w14:paraId="19F12328">
                  <w:pPr>
                    <w:pStyle w:val="32"/>
                    <w:spacing w:line="280" w:lineRule="exact"/>
                    <w:rPr>
                      <w:rStyle w:val="19"/>
                      <w:rFonts w:hint="eastAsia" w:ascii="宋体" w:hAnsi="宋体" w:eastAsia="宋体" w:cs="Times New Roman"/>
                      <w:highlight w:val="none"/>
                    </w:rPr>
                  </w:pPr>
                </w:p>
              </w:tc>
              <w:tc>
                <w:tcPr>
                  <w:tcW w:w="1627" w:type="dxa"/>
                  <w:noWrap w:val="0"/>
                  <w:vAlign w:val="top"/>
                </w:tcPr>
                <w:p w14:paraId="2B055B08">
                  <w:pPr>
                    <w:pStyle w:val="32"/>
                    <w:spacing w:line="280" w:lineRule="exact"/>
                    <w:rPr>
                      <w:rStyle w:val="19"/>
                      <w:rFonts w:hint="eastAsia" w:ascii="宋体" w:hAnsi="宋体" w:eastAsia="宋体" w:cs="Times New Roman"/>
                      <w:highlight w:val="none"/>
                    </w:rPr>
                  </w:pPr>
                </w:p>
              </w:tc>
            </w:tr>
            <w:tr w14:paraId="74C6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22CA93BC">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2</w:t>
                  </w:r>
                </w:p>
              </w:tc>
              <w:tc>
                <w:tcPr>
                  <w:tcW w:w="3364" w:type="dxa"/>
                  <w:noWrap w:val="0"/>
                  <w:vAlign w:val="top"/>
                </w:tcPr>
                <w:p w14:paraId="29D09076">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应增加因发包人原因造成缺陷的修复金额</w:t>
                  </w:r>
                </w:p>
              </w:tc>
              <w:tc>
                <w:tcPr>
                  <w:tcW w:w="1605" w:type="dxa"/>
                  <w:noWrap w:val="0"/>
                  <w:vAlign w:val="top"/>
                </w:tcPr>
                <w:p w14:paraId="6CAB5AA9">
                  <w:pPr>
                    <w:pStyle w:val="32"/>
                    <w:spacing w:line="280" w:lineRule="exact"/>
                    <w:rPr>
                      <w:rStyle w:val="19"/>
                      <w:rFonts w:hint="eastAsia" w:ascii="宋体" w:hAnsi="宋体" w:eastAsia="宋体" w:cs="Times New Roman"/>
                      <w:highlight w:val="none"/>
                    </w:rPr>
                  </w:pPr>
                </w:p>
              </w:tc>
              <w:tc>
                <w:tcPr>
                  <w:tcW w:w="1605" w:type="dxa"/>
                  <w:noWrap w:val="0"/>
                  <w:vAlign w:val="top"/>
                </w:tcPr>
                <w:p w14:paraId="7EA6AD78">
                  <w:pPr>
                    <w:pStyle w:val="32"/>
                    <w:spacing w:line="280" w:lineRule="exact"/>
                    <w:rPr>
                      <w:rStyle w:val="19"/>
                      <w:rFonts w:hint="eastAsia" w:ascii="宋体" w:hAnsi="宋体" w:eastAsia="宋体" w:cs="Times New Roman"/>
                      <w:highlight w:val="none"/>
                    </w:rPr>
                  </w:pPr>
                </w:p>
              </w:tc>
              <w:tc>
                <w:tcPr>
                  <w:tcW w:w="1627" w:type="dxa"/>
                  <w:noWrap w:val="0"/>
                  <w:vAlign w:val="top"/>
                </w:tcPr>
                <w:p w14:paraId="14B99AF7">
                  <w:pPr>
                    <w:pStyle w:val="32"/>
                    <w:spacing w:line="280" w:lineRule="exact"/>
                    <w:rPr>
                      <w:rStyle w:val="19"/>
                      <w:rFonts w:hint="eastAsia" w:ascii="宋体" w:hAnsi="宋体" w:eastAsia="宋体" w:cs="Times New Roman"/>
                      <w:highlight w:val="none"/>
                    </w:rPr>
                  </w:pPr>
                </w:p>
              </w:tc>
            </w:tr>
            <w:tr w14:paraId="1473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26970FBA">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3</w:t>
                  </w:r>
                </w:p>
              </w:tc>
              <w:tc>
                <w:tcPr>
                  <w:tcW w:w="3364" w:type="dxa"/>
                  <w:noWrap w:val="0"/>
                  <w:vAlign w:val="top"/>
                </w:tcPr>
                <w:p w14:paraId="07C6DA58">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应扣减承包人不修复缺陷、发包人组织修复的金额</w:t>
                  </w:r>
                </w:p>
              </w:tc>
              <w:tc>
                <w:tcPr>
                  <w:tcW w:w="1605" w:type="dxa"/>
                  <w:noWrap w:val="0"/>
                  <w:vAlign w:val="top"/>
                </w:tcPr>
                <w:p w14:paraId="5F158940">
                  <w:pPr>
                    <w:pStyle w:val="32"/>
                    <w:spacing w:line="280" w:lineRule="exact"/>
                    <w:rPr>
                      <w:rStyle w:val="19"/>
                      <w:rFonts w:hint="eastAsia" w:ascii="宋体" w:hAnsi="宋体" w:eastAsia="宋体" w:cs="Times New Roman"/>
                      <w:highlight w:val="none"/>
                    </w:rPr>
                  </w:pPr>
                </w:p>
              </w:tc>
              <w:tc>
                <w:tcPr>
                  <w:tcW w:w="1605" w:type="dxa"/>
                  <w:noWrap w:val="0"/>
                  <w:vAlign w:val="top"/>
                </w:tcPr>
                <w:p w14:paraId="3B601DB6">
                  <w:pPr>
                    <w:pStyle w:val="32"/>
                    <w:spacing w:line="280" w:lineRule="exact"/>
                    <w:rPr>
                      <w:rStyle w:val="19"/>
                      <w:rFonts w:hint="eastAsia" w:ascii="宋体" w:hAnsi="宋体" w:eastAsia="宋体" w:cs="Times New Roman"/>
                      <w:highlight w:val="none"/>
                    </w:rPr>
                  </w:pPr>
                </w:p>
              </w:tc>
              <w:tc>
                <w:tcPr>
                  <w:tcW w:w="1627" w:type="dxa"/>
                  <w:noWrap w:val="0"/>
                  <w:vAlign w:val="top"/>
                </w:tcPr>
                <w:p w14:paraId="299991DB">
                  <w:pPr>
                    <w:pStyle w:val="32"/>
                    <w:spacing w:line="280" w:lineRule="exact"/>
                    <w:rPr>
                      <w:rStyle w:val="19"/>
                      <w:rFonts w:hint="eastAsia" w:ascii="宋体" w:hAnsi="宋体" w:eastAsia="宋体" w:cs="Times New Roman"/>
                      <w:highlight w:val="none"/>
                    </w:rPr>
                  </w:pPr>
                </w:p>
              </w:tc>
            </w:tr>
            <w:tr w14:paraId="64DB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28D1A607">
                  <w:pPr>
                    <w:pStyle w:val="32"/>
                    <w:spacing w:line="280" w:lineRule="exact"/>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4</w:t>
                  </w:r>
                </w:p>
              </w:tc>
              <w:tc>
                <w:tcPr>
                  <w:tcW w:w="3364" w:type="dxa"/>
                  <w:noWrap w:val="0"/>
                  <w:vAlign w:val="top"/>
                </w:tcPr>
                <w:p w14:paraId="0EC62D7E">
                  <w:pPr>
                    <w:pStyle w:val="32"/>
                    <w:spacing w:line="28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最终应支付的合同价款</w:t>
                  </w:r>
                </w:p>
              </w:tc>
              <w:tc>
                <w:tcPr>
                  <w:tcW w:w="1605" w:type="dxa"/>
                  <w:noWrap w:val="0"/>
                  <w:vAlign w:val="top"/>
                </w:tcPr>
                <w:p w14:paraId="30F126BC">
                  <w:pPr>
                    <w:pStyle w:val="32"/>
                    <w:spacing w:line="280" w:lineRule="exact"/>
                    <w:rPr>
                      <w:rStyle w:val="19"/>
                      <w:rFonts w:hint="eastAsia" w:ascii="宋体" w:hAnsi="宋体" w:eastAsia="宋体" w:cs="Times New Roman"/>
                      <w:highlight w:val="none"/>
                    </w:rPr>
                  </w:pPr>
                </w:p>
              </w:tc>
              <w:tc>
                <w:tcPr>
                  <w:tcW w:w="1605" w:type="dxa"/>
                  <w:noWrap w:val="0"/>
                  <w:vAlign w:val="top"/>
                </w:tcPr>
                <w:p w14:paraId="4BA3A3BF">
                  <w:pPr>
                    <w:pStyle w:val="32"/>
                    <w:spacing w:line="280" w:lineRule="exact"/>
                    <w:rPr>
                      <w:rStyle w:val="19"/>
                      <w:rFonts w:hint="eastAsia" w:ascii="宋体" w:hAnsi="宋体" w:eastAsia="宋体" w:cs="Times New Roman"/>
                      <w:highlight w:val="none"/>
                    </w:rPr>
                  </w:pPr>
                </w:p>
              </w:tc>
              <w:tc>
                <w:tcPr>
                  <w:tcW w:w="1627" w:type="dxa"/>
                  <w:noWrap w:val="0"/>
                  <w:vAlign w:val="top"/>
                </w:tcPr>
                <w:p w14:paraId="0AEEB643">
                  <w:pPr>
                    <w:pStyle w:val="32"/>
                    <w:spacing w:line="280" w:lineRule="exact"/>
                    <w:rPr>
                      <w:rStyle w:val="19"/>
                      <w:rFonts w:hint="eastAsia" w:ascii="宋体" w:hAnsi="宋体" w:eastAsia="宋体" w:cs="Times New Roman"/>
                      <w:highlight w:val="none"/>
                    </w:rPr>
                  </w:pPr>
                </w:p>
              </w:tc>
            </w:tr>
            <w:tr w14:paraId="3D61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13BA36B0">
                  <w:pPr>
                    <w:pStyle w:val="32"/>
                    <w:spacing w:line="280" w:lineRule="exact"/>
                    <w:jc w:val="center"/>
                    <w:rPr>
                      <w:rStyle w:val="19"/>
                      <w:rFonts w:hint="eastAsia" w:ascii="宋体" w:hAnsi="宋体" w:eastAsia="宋体" w:cs="Times New Roman"/>
                      <w:highlight w:val="none"/>
                    </w:rPr>
                  </w:pPr>
                </w:p>
              </w:tc>
              <w:tc>
                <w:tcPr>
                  <w:tcW w:w="3364" w:type="dxa"/>
                  <w:noWrap w:val="0"/>
                  <w:vAlign w:val="top"/>
                </w:tcPr>
                <w:p w14:paraId="62DF82E1">
                  <w:pPr>
                    <w:pStyle w:val="32"/>
                    <w:spacing w:line="280" w:lineRule="exact"/>
                    <w:rPr>
                      <w:rStyle w:val="19"/>
                      <w:rFonts w:hint="eastAsia" w:ascii="宋体" w:hAnsi="宋体" w:eastAsia="宋体" w:cs="Times New Roman"/>
                      <w:highlight w:val="none"/>
                    </w:rPr>
                  </w:pPr>
                </w:p>
              </w:tc>
              <w:tc>
                <w:tcPr>
                  <w:tcW w:w="1605" w:type="dxa"/>
                  <w:noWrap w:val="0"/>
                  <w:vAlign w:val="top"/>
                </w:tcPr>
                <w:p w14:paraId="58F739C3">
                  <w:pPr>
                    <w:pStyle w:val="32"/>
                    <w:spacing w:line="280" w:lineRule="exact"/>
                    <w:rPr>
                      <w:rStyle w:val="19"/>
                      <w:rFonts w:hint="eastAsia" w:ascii="宋体" w:hAnsi="宋体" w:eastAsia="宋体" w:cs="Times New Roman"/>
                      <w:highlight w:val="none"/>
                    </w:rPr>
                  </w:pPr>
                </w:p>
              </w:tc>
              <w:tc>
                <w:tcPr>
                  <w:tcW w:w="1605" w:type="dxa"/>
                  <w:noWrap w:val="0"/>
                  <w:vAlign w:val="top"/>
                </w:tcPr>
                <w:p w14:paraId="5E2A424C">
                  <w:pPr>
                    <w:pStyle w:val="32"/>
                    <w:spacing w:line="280" w:lineRule="exact"/>
                    <w:rPr>
                      <w:rStyle w:val="19"/>
                      <w:rFonts w:hint="eastAsia" w:ascii="宋体" w:hAnsi="宋体" w:eastAsia="宋体" w:cs="Times New Roman"/>
                      <w:highlight w:val="none"/>
                    </w:rPr>
                  </w:pPr>
                </w:p>
              </w:tc>
              <w:tc>
                <w:tcPr>
                  <w:tcW w:w="1627" w:type="dxa"/>
                  <w:noWrap w:val="0"/>
                  <w:vAlign w:val="top"/>
                </w:tcPr>
                <w:p w14:paraId="5FFD2217">
                  <w:pPr>
                    <w:pStyle w:val="32"/>
                    <w:spacing w:line="280" w:lineRule="exact"/>
                    <w:rPr>
                      <w:rStyle w:val="19"/>
                      <w:rFonts w:hint="eastAsia" w:ascii="宋体" w:hAnsi="宋体" w:eastAsia="宋体" w:cs="Times New Roman"/>
                      <w:highlight w:val="none"/>
                    </w:rPr>
                  </w:pPr>
                </w:p>
              </w:tc>
            </w:tr>
            <w:tr w14:paraId="6BE9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79A83CCA">
                  <w:pPr>
                    <w:pStyle w:val="32"/>
                    <w:spacing w:line="280" w:lineRule="exact"/>
                    <w:jc w:val="center"/>
                    <w:rPr>
                      <w:rStyle w:val="19"/>
                      <w:rFonts w:hint="eastAsia" w:ascii="宋体" w:hAnsi="宋体" w:eastAsia="宋体" w:cs="Times New Roman"/>
                      <w:highlight w:val="none"/>
                    </w:rPr>
                  </w:pPr>
                </w:p>
              </w:tc>
              <w:tc>
                <w:tcPr>
                  <w:tcW w:w="3364" w:type="dxa"/>
                  <w:noWrap w:val="0"/>
                  <w:vAlign w:val="top"/>
                </w:tcPr>
                <w:p w14:paraId="099734FF">
                  <w:pPr>
                    <w:pStyle w:val="32"/>
                    <w:spacing w:line="280" w:lineRule="exact"/>
                    <w:rPr>
                      <w:rStyle w:val="19"/>
                      <w:rFonts w:hint="eastAsia" w:ascii="宋体" w:hAnsi="宋体" w:eastAsia="宋体" w:cs="Times New Roman"/>
                      <w:highlight w:val="none"/>
                    </w:rPr>
                  </w:pPr>
                </w:p>
              </w:tc>
              <w:tc>
                <w:tcPr>
                  <w:tcW w:w="1605" w:type="dxa"/>
                  <w:noWrap w:val="0"/>
                  <w:vAlign w:val="top"/>
                </w:tcPr>
                <w:p w14:paraId="5A5F69FB">
                  <w:pPr>
                    <w:pStyle w:val="32"/>
                    <w:spacing w:line="280" w:lineRule="exact"/>
                    <w:rPr>
                      <w:rStyle w:val="19"/>
                      <w:rFonts w:hint="eastAsia" w:ascii="宋体" w:hAnsi="宋体" w:eastAsia="宋体" w:cs="Times New Roman"/>
                      <w:highlight w:val="none"/>
                    </w:rPr>
                  </w:pPr>
                </w:p>
              </w:tc>
              <w:tc>
                <w:tcPr>
                  <w:tcW w:w="1605" w:type="dxa"/>
                  <w:noWrap w:val="0"/>
                  <w:vAlign w:val="top"/>
                </w:tcPr>
                <w:p w14:paraId="5CFC442C">
                  <w:pPr>
                    <w:pStyle w:val="32"/>
                    <w:spacing w:line="280" w:lineRule="exact"/>
                    <w:rPr>
                      <w:rStyle w:val="19"/>
                      <w:rFonts w:hint="eastAsia" w:ascii="宋体" w:hAnsi="宋体" w:eastAsia="宋体" w:cs="Times New Roman"/>
                      <w:highlight w:val="none"/>
                    </w:rPr>
                  </w:pPr>
                </w:p>
              </w:tc>
              <w:tc>
                <w:tcPr>
                  <w:tcW w:w="1627" w:type="dxa"/>
                  <w:noWrap w:val="0"/>
                  <w:vAlign w:val="top"/>
                </w:tcPr>
                <w:p w14:paraId="407ECBE8">
                  <w:pPr>
                    <w:pStyle w:val="32"/>
                    <w:spacing w:line="280" w:lineRule="exact"/>
                    <w:rPr>
                      <w:rStyle w:val="19"/>
                      <w:rFonts w:hint="eastAsia" w:ascii="宋体" w:hAnsi="宋体" w:eastAsia="宋体" w:cs="Times New Roman"/>
                      <w:highlight w:val="none"/>
                    </w:rPr>
                  </w:pPr>
                </w:p>
              </w:tc>
            </w:tr>
          </w:tbl>
          <w:p w14:paraId="6E40EFCC">
            <w:pPr>
              <w:pStyle w:val="32"/>
              <w:spacing w:line="400" w:lineRule="exact"/>
              <w:ind w:right="420" w:firstLine="435"/>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 xml:space="preserve">                                            承包人（章）             </w:t>
            </w:r>
          </w:p>
          <w:p w14:paraId="65B0DF9D">
            <w:pPr>
              <w:pStyle w:val="32"/>
              <w:spacing w:line="400" w:lineRule="exact"/>
              <w:ind w:right="420" w:firstLine="435"/>
              <w:rPr>
                <w:rStyle w:val="19"/>
                <w:rFonts w:hint="eastAsia" w:ascii="宋体" w:hAnsi="宋体" w:eastAsia="宋体" w:cs="Times New Roman"/>
                <w:highlight w:val="none"/>
              </w:rPr>
            </w:pPr>
            <w:r>
              <w:rPr>
                <w:rStyle w:val="19"/>
                <w:rFonts w:hint="eastAsia" w:ascii="宋体" w:hAnsi="宋体" w:eastAsia="宋体" w:cs="Times New Roman"/>
                <w:highlight w:val="none"/>
              </w:rPr>
              <w:t>造价人员</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承包人代表</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r w14:paraId="4455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40" w:type="dxa"/>
            <w:noWrap w:val="0"/>
            <w:vAlign w:val="top"/>
          </w:tcPr>
          <w:p w14:paraId="4E346F90">
            <w:pPr>
              <w:pStyle w:val="32"/>
              <w:spacing w:line="36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复核意见：</w:t>
            </w:r>
          </w:p>
          <w:p w14:paraId="689699C1">
            <w:pPr>
              <w:pStyle w:val="32"/>
              <w:spacing w:line="360" w:lineRule="exact"/>
              <w:ind w:firstLine="312"/>
              <w:rPr>
                <w:rStyle w:val="19"/>
                <w:rFonts w:hint="eastAsia" w:ascii="宋体" w:hAnsi="宋体" w:eastAsia="宋体" w:cs="Times New Roman"/>
                <w:highlight w:val="none"/>
              </w:rPr>
            </w:pPr>
            <w:r>
              <w:rPr>
                <w:rStyle w:val="19"/>
                <w:rFonts w:hint="eastAsia" w:ascii="宋体" w:hAnsi="宋体" w:eastAsia="宋体" w:cs="Times New Roman"/>
                <w:highlight w:val="none"/>
              </w:rPr>
              <w:t>□与实际施工情况不相符，修改意见见附件。</w:t>
            </w:r>
          </w:p>
          <w:p w14:paraId="2FCD50BA">
            <w:pPr>
              <w:pStyle w:val="32"/>
              <w:spacing w:line="360" w:lineRule="exact"/>
              <w:ind w:firstLine="312"/>
              <w:rPr>
                <w:rStyle w:val="19"/>
                <w:rFonts w:hint="eastAsia" w:ascii="宋体" w:hAnsi="宋体" w:eastAsia="宋体" w:cs="Times New Roman"/>
                <w:highlight w:val="none"/>
              </w:rPr>
            </w:pPr>
            <w:r>
              <w:rPr>
                <w:rStyle w:val="19"/>
                <w:rFonts w:hint="eastAsia" w:ascii="宋体" w:hAnsi="宋体" w:eastAsia="宋体" w:cs="Times New Roman"/>
                <w:highlight w:val="none"/>
              </w:rPr>
              <w:t>□与实际施工情况相符，具体金额由造价工程师复核。</w:t>
            </w:r>
          </w:p>
          <w:p w14:paraId="381368ED">
            <w:pPr>
              <w:pStyle w:val="32"/>
              <w:spacing w:line="360" w:lineRule="exact"/>
              <w:ind w:firstLine="435"/>
              <w:jc w:val="right"/>
              <w:rPr>
                <w:rStyle w:val="19"/>
                <w:rFonts w:hint="eastAsia" w:ascii="宋体" w:hAnsi="宋体" w:eastAsia="宋体" w:cs="Times New Roman"/>
                <w:highlight w:val="none"/>
              </w:rPr>
            </w:pPr>
          </w:p>
          <w:p w14:paraId="259A4CDF">
            <w:pPr>
              <w:pStyle w:val="32"/>
              <w:spacing w:line="360" w:lineRule="exact"/>
              <w:ind w:firstLine="435"/>
              <w:jc w:val="right"/>
              <w:rPr>
                <w:rStyle w:val="19"/>
                <w:rFonts w:hint="eastAsia" w:ascii="宋体" w:hAnsi="宋体" w:eastAsia="宋体" w:cs="Times New Roman"/>
                <w:highlight w:val="none"/>
              </w:rPr>
            </w:pPr>
          </w:p>
          <w:p w14:paraId="3907A43A">
            <w:pPr>
              <w:pStyle w:val="32"/>
              <w:spacing w:line="360" w:lineRule="exact"/>
              <w:ind w:firstLine="435"/>
              <w:jc w:val="center"/>
              <w:rPr>
                <w:rStyle w:val="19"/>
                <w:rFonts w:hint="eastAsia" w:ascii="宋体" w:hAnsi="宋体" w:eastAsia="宋体" w:cs="Times New Roman"/>
                <w:highlight w:val="non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w:t>
            </w:r>
          </w:p>
          <w:p w14:paraId="55C29504">
            <w:pPr>
              <w:pStyle w:val="32"/>
              <w:spacing w:line="360" w:lineRule="exact"/>
              <w:ind w:firstLine="435"/>
              <w:jc w:val="center"/>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 xml:space="preserve">        监理工程师</w:t>
            </w:r>
            <w:r>
              <w:rPr>
                <w:rStyle w:val="19"/>
                <w:rFonts w:hint="eastAsia" w:ascii="宋体" w:hAnsi="宋体" w:eastAsia="宋体" w:cs="Times New Roman"/>
                <w:highlight w:val="none"/>
                <w:u w:val="single"/>
              </w:rPr>
              <w:t xml:space="preserve">           </w:t>
            </w:r>
          </w:p>
          <w:p w14:paraId="11E9F68E">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日      期</w:t>
            </w:r>
            <w:r>
              <w:rPr>
                <w:rStyle w:val="19"/>
                <w:rFonts w:hint="eastAsia" w:ascii="宋体" w:hAnsi="宋体" w:eastAsia="宋体" w:cs="Times New Roman"/>
                <w:highlight w:val="none"/>
                <w:u w:val="single"/>
              </w:rPr>
              <w:t xml:space="preserve">           </w:t>
            </w:r>
          </w:p>
        </w:tc>
        <w:tc>
          <w:tcPr>
            <w:tcW w:w="4532" w:type="dxa"/>
            <w:noWrap w:val="0"/>
            <w:vAlign w:val="top"/>
          </w:tcPr>
          <w:p w14:paraId="1D2FD7ED">
            <w:pPr>
              <w:pStyle w:val="32"/>
              <w:spacing w:line="36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复核意见：</w:t>
            </w:r>
          </w:p>
          <w:p w14:paraId="787B3EB0">
            <w:pPr>
              <w:pStyle w:val="32"/>
              <w:spacing w:line="360" w:lineRule="exact"/>
              <w:ind w:firstLine="435"/>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你方提出的支付申请经复核，最终应支付金额为（大写）</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 xml:space="preserve">元，（小写）  </w:t>
            </w:r>
            <w:r>
              <w:rPr>
                <w:rStyle w:val="19"/>
                <w:rFonts w:hint="eastAsia" w:ascii="宋体" w:hAnsi="宋体" w:eastAsia="宋体" w:cs="Times New Roman"/>
                <w:highlight w:val="none"/>
                <w:u w:val="single"/>
              </w:rPr>
              <w:t xml:space="preserve">       </w:t>
            </w:r>
            <w:r>
              <w:rPr>
                <w:rStyle w:val="19"/>
                <w:rFonts w:hint="eastAsia" w:ascii="宋体" w:hAnsi="宋体" w:eastAsia="宋体" w:cs="Times New Roman"/>
                <w:highlight w:val="none"/>
              </w:rPr>
              <w:t>元。</w:t>
            </w:r>
          </w:p>
          <w:p w14:paraId="0480DF0C">
            <w:pPr>
              <w:pStyle w:val="32"/>
              <w:spacing w:line="360" w:lineRule="exact"/>
              <w:ind w:firstLine="435"/>
              <w:jc w:val="center"/>
              <w:rPr>
                <w:rStyle w:val="19"/>
                <w:rFonts w:hint="eastAsia" w:ascii="宋体" w:hAnsi="宋体" w:eastAsia="宋体" w:cs="Times New Roman"/>
                <w:highlight w:val="none"/>
              </w:rPr>
            </w:pPr>
            <w:r>
              <w:rPr>
                <w:rStyle w:val="19"/>
                <w:rFonts w:ascii="宋体" w:hAnsi="宋体" w:eastAsia="宋体" w:cs="Times New Roman"/>
                <w:highlight w:val="none"/>
              </w:rPr>
              <w:t xml:space="preserve">    </w:t>
            </w:r>
          </w:p>
          <w:p w14:paraId="6AAD799B">
            <w:pPr>
              <w:pStyle w:val="32"/>
              <w:spacing w:line="360" w:lineRule="exact"/>
              <w:ind w:firstLine="435"/>
              <w:jc w:val="center"/>
              <w:rPr>
                <w:rStyle w:val="19"/>
                <w:rFonts w:hint="eastAsia" w:ascii="宋体" w:hAnsi="宋体" w:eastAsia="宋体" w:cs="Times New Roman"/>
                <w:highlight w:val="none"/>
              </w:rPr>
            </w:pPr>
          </w:p>
          <w:p w14:paraId="292E0A30">
            <w:pPr>
              <w:pStyle w:val="32"/>
              <w:spacing w:line="360" w:lineRule="exact"/>
              <w:ind w:firstLine="435"/>
              <w:jc w:val="center"/>
              <w:rPr>
                <w:rStyle w:val="19"/>
                <w:rFonts w:hint="eastAsia" w:ascii="宋体" w:hAnsi="宋体" w:eastAsia="宋体" w:cs="Times New Roman"/>
                <w:highlight w:val="none"/>
              </w:rPr>
            </w:pPr>
          </w:p>
          <w:p w14:paraId="100CFE78">
            <w:pPr>
              <w:pStyle w:val="32"/>
              <w:spacing w:line="360" w:lineRule="exact"/>
              <w:ind w:firstLine="435"/>
              <w:jc w:val="center"/>
              <w:rPr>
                <w:rStyle w:val="19"/>
                <w:rFonts w:hint="eastAsia" w:ascii="宋体" w:hAnsi="宋体" w:eastAsia="宋体" w:cs="Times New Roman"/>
                <w:highlight w:val="none"/>
              </w:rPr>
            </w:pPr>
          </w:p>
          <w:p w14:paraId="5EF3BC4F">
            <w:pPr>
              <w:pStyle w:val="32"/>
              <w:spacing w:line="360" w:lineRule="exact"/>
              <w:ind w:firstLine="435"/>
              <w:jc w:val="center"/>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 xml:space="preserve">    造价工程师</w:t>
            </w:r>
            <w:r>
              <w:rPr>
                <w:rStyle w:val="19"/>
                <w:rFonts w:hint="eastAsia" w:ascii="宋体" w:hAnsi="宋体" w:eastAsia="宋体" w:cs="Times New Roman"/>
                <w:highlight w:val="none"/>
                <w:u w:val="single"/>
              </w:rPr>
              <w:t xml:space="preserve">           </w:t>
            </w:r>
          </w:p>
          <w:p w14:paraId="61168341">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r w14:paraId="124D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51D04E6E">
            <w:pPr>
              <w:pStyle w:val="32"/>
              <w:spacing w:line="400" w:lineRule="exact"/>
              <w:rPr>
                <w:rStyle w:val="19"/>
                <w:rFonts w:hint="eastAsia" w:ascii="宋体" w:hAnsi="宋体" w:eastAsia="宋体" w:cs="Times New Roman"/>
                <w:highlight w:val="none"/>
              </w:rPr>
            </w:pPr>
            <w:r>
              <w:rPr>
                <w:rStyle w:val="19"/>
                <w:rFonts w:hint="eastAsia" w:ascii="宋体" w:hAnsi="宋体" w:eastAsia="宋体" w:cs="Times New Roman"/>
                <w:highlight w:val="none"/>
              </w:rPr>
              <w:t>审核意见：</w:t>
            </w:r>
          </w:p>
          <w:p w14:paraId="20A57E2F">
            <w:pPr>
              <w:pStyle w:val="32"/>
              <w:spacing w:line="400" w:lineRule="exact"/>
              <w:ind w:firstLine="435"/>
              <w:rPr>
                <w:rStyle w:val="19"/>
                <w:rFonts w:hint="eastAsia" w:ascii="宋体" w:hAnsi="宋体" w:eastAsia="宋体" w:cs="Times New Roman"/>
                <w:highlight w:val="none"/>
              </w:rPr>
            </w:pPr>
            <w:r>
              <w:rPr>
                <w:rStyle w:val="19"/>
                <w:rFonts w:hint="eastAsia" w:ascii="宋体" w:hAnsi="宋体" w:eastAsia="宋体" w:cs="Times New Roman"/>
                <w:highlight w:val="none"/>
              </w:rPr>
              <w:t>□不同意。</w:t>
            </w:r>
          </w:p>
          <w:p w14:paraId="26E640B1">
            <w:pPr>
              <w:pStyle w:val="32"/>
              <w:spacing w:line="400" w:lineRule="exact"/>
              <w:ind w:firstLine="420" w:firstLineChars="200"/>
              <w:rPr>
                <w:rStyle w:val="19"/>
                <w:rFonts w:hint="eastAsia" w:ascii="宋体" w:hAnsi="宋体" w:eastAsia="宋体" w:cs="Times New Roman"/>
                <w:highlight w:val="none"/>
              </w:rPr>
            </w:pPr>
            <w:r>
              <w:rPr>
                <w:rStyle w:val="19"/>
                <w:rFonts w:hint="eastAsia" w:ascii="宋体" w:hAnsi="宋体" w:eastAsia="宋体" w:cs="Times New Roman"/>
                <w:highlight w:val="none"/>
              </w:rPr>
              <w:t>□同意，支付时间为本表签发后的15天内。</w:t>
            </w:r>
          </w:p>
          <w:p w14:paraId="5A03C4D9">
            <w:pPr>
              <w:pStyle w:val="32"/>
              <w:wordWrap w:val="0"/>
              <w:spacing w:line="400" w:lineRule="exact"/>
              <w:ind w:firstLine="420" w:firstLineChars="200"/>
              <w:jc w:val="right"/>
              <w:rPr>
                <w:rStyle w:val="19"/>
                <w:rFonts w:hint="eastAsia" w:ascii="宋体" w:hAnsi="宋体" w:eastAsia="宋体" w:cs="Times New Roman"/>
                <w:highlight w:val="none"/>
              </w:rPr>
            </w:pPr>
            <w:r>
              <w:rPr>
                <w:rStyle w:val="19"/>
                <w:rFonts w:hint="eastAsia" w:ascii="宋体" w:hAnsi="宋体" w:eastAsia="宋体" w:cs="Times New Roman"/>
                <w:highlight w:val="none"/>
              </w:rPr>
              <w:t xml:space="preserve">发包人（章）           </w:t>
            </w:r>
          </w:p>
          <w:p w14:paraId="1689E4C9">
            <w:pPr>
              <w:pStyle w:val="32"/>
              <w:wordWrap w:val="0"/>
              <w:spacing w:line="400" w:lineRule="exact"/>
              <w:ind w:firstLine="420" w:firstLineChars="200"/>
              <w:jc w:val="right"/>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发包人代表</w:t>
            </w:r>
            <w:r>
              <w:rPr>
                <w:rStyle w:val="19"/>
                <w:rFonts w:hint="eastAsia" w:ascii="宋体" w:hAnsi="宋体" w:eastAsia="宋体" w:cs="Times New Roman"/>
                <w:highlight w:val="none"/>
                <w:u w:val="single"/>
              </w:rPr>
              <w:t xml:space="preserve">             </w:t>
            </w:r>
          </w:p>
          <w:p w14:paraId="1CDF1DB5">
            <w:pPr>
              <w:pStyle w:val="32"/>
              <w:wordWrap w:val="0"/>
              <w:spacing w:line="400" w:lineRule="exact"/>
              <w:ind w:firstLine="420" w:firstLineChars="200"/>
              <w:jc w:val="right"/>
              <w:rPr>
                <w:rStyle w:val="19"/>
                <w:rFonts w:hint="eastAsia" w:ascii="宋体" w:hAnsi="宋体" w:eastAsia="宋体" w:cs="Times New Roman"/>
                <w:highlight w:val="none"/>
                <w:u w:val="single"/>
              </w:rPr>
            </w:pPr>
            <w:r>
              <w:rPr>
                <w:rStyle w:val="19"/>
                <w:rFonts w:hint="eastAsia" w:ascii="宋体" w:hAnsi="宋体" w:eastAsia="宋体" w:cs="Times New Roman"/>
                <w:highlight w:val="none"/>
              </w:rPr>
              <w:t>日      期</w:t>
            </w:r>
            <w:r>
              <w:rPr>
                <w:rStyle w:val="19"/>
                <w:rFonts w:hint="eastAsia" w:ascii="宋体" w:hAnsi="宋体" w:eastAsia="宋体" w:cs="Times New Roman"/>
                <w:highlight w:val="none"/>
                <w:u w:val="single"/>
              </w:rPr>
              <w:t xml:space="preserve">             </w:t>
            </w:r>
          </w:p>
        </w:tc>
      </w:tr>
    </w:tbl>
    <w:p w14:paraId="27BA233D">
      <w:pPr>
        <w:pStyle w:val="32"/>
        <w:spacing w:before="120" w:beforeLines="50"/>
        <w:ind w:firstLine="360" w:firstLineChars="200"/>
        <w:rPr>
          <w:rStyle w:val="19"/>
          <w:rFonts w:hint="eastAsia" w:ascii="宋体" w:hAnsi="宋体" w:eastAsia="宋体" w:cs="Times New Roman"/>
          <w:sz w:val="18"/>
          <w:szCs w:val="18"/>
          <w:highlight w:val="none"/>
        </w:rPr>
      </w:pPr>
      <w:r>
        <w:rPr>
          <w:rStyle w:val="19"/>
          <w:rFonts w:hint="eastAsia" w:ascii="宋体" w:hAnsi="宋体" w:eastAsia="宋体" w:cs="Times New Roman"/>
          <w:sz w:val="18"/>
          <w:szCs w:val="18"/>
          <w:highlight w:val="none"/>
        </w:rPr>
        <w:t>注：1.在选择栏中的“□”内作标识“√”。 如监理人已退场，监理工程师栏可空缺。</w:t>
      </w:r>
    </w:p>
    <w:p w14:paraId="73B7EA30">
      <w:pPr>
        <w:pStyle w:val="32"/>
        <w:spacing w:before="120" w:beforeLines="50"/>
        <w:ind w:left="720" w:hanging="720" w:hangingChars="400"/>
        <w:rPr>
          <w:rStyle w:val="19"/>
          <w:rFonts w:hint="eastAsia" w:ascii="宋体" w:hAnsi="宋体" w:eastAsia="宋体" w:cs="Times New Roman"/>
          <w:sz w:val="18"/>
          <w:szCs w:val="18"/>
          <w:highlight w:val="none"/>
        </w:rPr>
      </w:pPr>
      <w:r>
        <w:rPr>
          <w:rStyle w:val="19"/>
          <w:rFonts w:hint="eastAsia" w:ascii="宋体" w:hAnsi="宋体" w:eastAsia="宋体" w:cs="Times New Roman"/>
          <w:sz w:val="18"/>
          <w:szCs w:val="18"/>
          <w:highlight w:val="none"/>
        </w:rPr>
        <w:t xml:space="preserve">    </w:t>
      </w:r>
      <w:r>
        <w:rPr>
          <w:rStyle w:val="19"/>
          <w:rFonts w:ascii="宋体" w:hAnsi="宋体" w:eastAsia="宋体" w:cs="Times New Roman"/>
          <w:sz w:val="18"/>
          <w:szCs w:val="18"/>
          <w:highlight w:val="none"/>
        </w:rPr>
        <w:t xml:space="preserve">  </w:t>
      </w:r>
      <w:r>
        <w:rPr>
          <w:rStyle w:val="19"/>
          <w:rFonts w:hint="eastAsia" w:ascii="宋体" w:hAnsi="宋体" w:eastAsia="宋体" w:cs="Times New Roman"/>
          <w:sz w:val="18"/>
          <w:szCs w:val="18"/>
          <w:highlight w:val="none"/>
        </w:rPr>
        <w:t xml:space="preserve">  2.本表一式四份，由承包人填报，发包人、监理人、造价咨询人、承包人各存一份。</w:t>
      </w:r>
    </w:p>
    <w:p w14:paraId="6A0BBD80">
      <w:pPr>
        <w:pStyle w:val="32"/>
        <w:spacing w:line="360" w:lineRule="auto"/>
        <w:jc w:val="left"/>
        <w:rPr>
          <w:rStyle w:val="19"/>
          <w:rFonts w:hint="eastAsia" w:ascii="宋体" w:hAnsi="宋体" w:eastAsia="宋体" w:cs="宋体"/>
          <w:sz w:val="30"/>
          <w:szCs w:val="30"/>
          <w:highlight w:val="none"/>
        </w:rPr>
      </w:pPr>
      <w:r>
        <w:rPr>
          <w:rStyle w:val="19"/>
          <w:rFonts w:hint="eastAsia" w:ascii="宋体" w:hAnsi="宋体" w:eastAsia="宋体" w:cs="Times New Roman"/>
          <w:sz w:val="30"/>
          <w:szCs w:val="30"/>
          <w:highlight w:val="none"/>
        </w:rPr>
        <w:br w:type="page"/>
      </w:r>
      <w:r>
        <w:rPr>
          <w:rStyle w:val="19"/>
          <w:rFonts w:hint="eastAsia" w:ascii="宋体" w:hAnsi="宋体" w:eastAsia="宋体" w:cs="Times New Roman"/>
          <w:sz w:val="30"/>
          <w:szCs w:val="30"/>
          <w:highlight w:val="none"/>
        </w:rPr>
        <w:t>附件14：</w:t>
      </w:r>
    </w:p>
    <w:p w14:paraId="6FF22DFD">
      <w:pPr>
        <w:pStyle w:val="32"/>
        <w:spacing w:line="360" w:lineRule="auto"/>
        <w:ind w:firstLine="720" w:firstLineChars="200"/>
        <w:jc w:val="center"/>
        <w:rPr>
          <w:rStyle w:val="19"/>
          <w:rFonts w:hint="eastAsia" w:ascii="宋体" w:hAnsi="宋体" w:eastAsia="宋体" w:cs="宋体"/>
          <w:kern w:val="0"/>
          <w:sz w:val="36"/>
          <w:szCs w:val="36"/>
          <w:highlight w:val="none"/>
        </w:rPr>
      </w:pPr>
      <w:r>
        <w:rPr>
          <w:rStyle w:val="19"/>
          <w:rFonts w:hint="eastAsia" w:ascii="宋体" w:hAnsi="宋体" w:eastAsia="宋体" w:cs="宋体"/>
          <w:kern w:val="0"/>
          <w:sz w:val="36"/>
          <w:szCs w:val="36"/>
          <w:highlight w:val="none"/>
        </w:rPr>
        <w:t>总价合同进度款支付分解表</w:t>
      </w:r>
    </w:p>
    <w:p w14:paraId="6C0CFC12">
      <w:pPr>
        <w:pStyle w:val="32"/>
        <w:spacing w:line="360" w:lineRule="auto"/>
        <w:rPr>
          <w:rStyle w:val="19"/>
          <w:rFonts w:hint="eastAsia" w:ascii="宋体" w:hAnsi="宋体" w:eastAsia="宋体" w:cs="宋体"/>
          <w:kern w:val="0"/>
          <w:highlight w:val="none"/>
        </w:rPr>
      </w:pPr>
      <w:r>
        <w:rPr>
          <w:rStyle w:val="19"/>
          <w:rFonts w:hint="eastAsia" w:ascii="宋体" w:hAnsi="宋体" w:eastAsia="宋体" w:cs="宋体"/>
          <w:kern w:val="0"/>
          <w:highlight w:val="none"/>
        </w:rPr>
        <w:t>工程名称：</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2CE49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3951BA5">
            <w:pPr>
              <w:pStyle w:val="32"/>
              <w:spacing w:line="360" w:lineRule="auto"/>
              <w:jc w:val="center"/>
              <w:rPr>
                <w:rStyle w:val="19"/>
                <w:rFonts w:hint="eastAsia" w:ascii="宋体" w:hAnsi="宋体" w:eastAsia="宋体" w:cs="宋体"/>
                <w:kern w:val="0"/>
                <w:highlight w:val="none"/>
              </w:rPr>
            </w:pPr>
            <w:r>
              <w:rPr>
                <w:rStyle w:val="19"/>
                <w:rFonts w:hint="eastAsia" w:ascii="宋体" w:hAnsi="宋体" w:eastAsia="宋体" w:cs="宋体"/>
                <w:kern w:val="0"/>
                <w:highlight w:val="none"/>
              </w:rPr>
              <w:t>进度款期次</w:t>
            </w:r>
          </w:p>
        </w:tc>
        <w:tc>
          <w:tcPr>
            <w:tcW w:w="3794" w:type="dxa"/>
            <w:gridSpan w:val="2"/>
            <w:noWrap w:val="0"/>
            <w:vAlign w:val="top"/>
          </w:tcPr>
          <w:p w14:paraId="037ACEB4">
            <w:pPr>
              <w:pStyle w:val="32"/>
              <w:spacing w:line="360" w:lineRule="auto"/>
              <w:jc w:val="center"/>
              <w:rPr>
                <w:rStyle w:val="19"/>
                <w:rFonts w:hint="eastAsia" w:ascii="宋体" w:hAnsi="宋体" w:eastAsia="宋体" w:cs="宋体"/>
                <w:kern w:val="0"/>
                <w:highlight w:val="none"/>
              </w:rPr>
            </w:pPr>
            <w:r>
              <w:rPr>
                <w:rStyle w:val="19"/>
                <w:rFonts w:hint="eastAsia" w:ascii="宋体" w:hAnsi="宋体" w:eastAsia="宋体" w:cs="宋体"/>
                <w:kern w:val="0"/>
                <w:highlight w:val="none"/>
              </w:rPr>
              <w:t>形象进度</w:t>
            </w:r>
          </w:p>
        </w:tc>
        <w:tc>
          <w:tcPr>
            <w:tcW w:w="2268" w:type="dxa"/>
            <w:noWrap w:val="0"/>
            <w:vAlign w:val="top"/>
          </w:tcPr>
          <w:p w14:paraId="2957419D">
            <w:pPr>
              <w:pStyle w:val="32"/>
              <w:spacing w:line="360" w:lineRule="auto"/>
              <w:jc w:val="center"/>
              <w:rPr>
                <w:rStyle w:val="19"/>
                <w:rFonts w:hint="eastAsia" w:ascii="宋体" w:hAnsi="宋体" w:eastAsia="宋体" w:cs="宋体"/>
                <w:kern w:val="0"/>
                <w:highlight w:val="none"/>
              </w:rPr>
            </w:pPr>
            <w:r>
              <w:rPr>
                <w:rStyle w:val="19"/>
                <w:rFonts w:hint="eastAsia" w:ascii="宋体" w:hAnsi="宋体" w:eastAsia="宋体" w:cs="宋体"/>
                <w:kern w:val="0"/>
                <w:highlight w:val="none"/>
              </w:rPr>
              <w:t>进度款付款金额（元）</w:t>
            </w:r>
          </w:p>
        </w:tc>
        <w:tc>
          <w:tcPr>
            <w:tcW w:w="1276" w:type="dxa"/>
            <w:noWrap w:val="0"/>
            <w:vAlign w:val="top"/>
          </w:tcPr>
          <w:p w14:paraId="3B29FC5D">
            <w:pPr>
              <w:pStyle w:val="32"/>
              <w:spacing w:line="360" w:lineRule="auto"/>
              <w:jc w:val="center"/>
              <w:rPr>
                <w:rStyle w:val="19"/>
                <w:rFonts w:hint="eastAsia" w:ascii="宋体" w:hAnsi="宋体" w:eastAsia="宋体" w:cs="宋体"/>
                <w:kern w:val="0"/>
                <w:highlight w:val="none"/>
              </w:rPr>
            </w:pPr>
            <w:r>
              <w:rPr>
                <w:rStyle w:val="19"/>
                <w:rFonts w:hint="eastAsia" w:ascii="宋体" w:hAnsi="宋体" w:eastAsia="宋体" w:cs="宋体"/>
                <w:kern w:val="0"/>
                <w:highlight w:val="none"/>
              </w:rPr>
              <w:t>备注</w:t>
            </w:r>
          </w:p>
        </w:tc>
      </w:tr>
      <w:tr w14:paraId="68C4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8341246">
            <w:pPr>
              <w:pStyle w:val="32"/>
              <w:spacing w:line="360" w:lineRule="auto"/>
              <w:jc w:val="center"/>
              <w:rPr>
                <w:rStyle w:val="19"/>
                <w:rFonts w:hint="eastAsia" w:ascii="宋体" w:hAnsi="宋体" w:eastAsia="宋体" w:cs="宋体"/>
                <w:kern w:val="0"/>
                <w:highlight w:val="none"/>
              </w:rPr>
            </w:pPr>
            <w:r>
              <w:rPr>
                <w:rStyle w:val="19"/>
                <w:rFonts w:hint="eastAsia" w:ascii="宋体" w:hAnsi="宋体" w:eastAsia="宋体" w:cs="宋体"/>
                <w:kern w:val="0"/>
                <w:highlight w:val="none"/>
              </w:rPr>
              <w:t>第一期</w:t>
            </w:r>
          </w:p>
        </w:tc>
        <w:tc>
          <w:tcPr>
            <w:tcW w:w="3794" w:type="dxa"/>
            <w:gridSpan w:val="2"/>
            <w:noWrap w:val="0"/>
            <w:vAlign w:val="top"/>
          </w:tcPr>
          <w:p w14:paraId="4E65D2EB">
            <w:pPr>
              <w:pStyle w:val="32"/>
              <w:spacing w:line="360" w:lineRule="auto"/>
              <w:jc w:val="center"/>
              <w:rPr>
                <w:rStyle w:val="19"/>
                <w:rFonts w:hint="eastAsia" w:ascii="宋体" w:hAnsi="宋体" w:eastAsia="宋体" w:cs="宋体"/>
                <w:kern w:val="0"/>
                <w:highlight w:val="none"/>
              </w:rPr>
            </w:pPr>
          </w:p>
        </w:tc>
        <w:tc>
          <w:tcPr>
            <w:tcW w:w="2268" w:type="dxa"/>
            <w:noWrap w:val="0"/>
            <w:vAlign w:val="top"/>
          </w:tcPr>
          <w:p w14:paraId="13041C7D">
            <w:pPr>
              <w:pStyle w:val="32"/>
              <w:spacing w:line="360" w:lineRule="auto"/>
              <w:jc w:val="center"/>
              <w:rPr>
                <w:rStyle w:val="19"/>
                <w:rFonts w:hint="eastAsia" w:ascii="宋体" w:hAnsi="宋体" w:eastAsia="宋体" w:cs="宋体"/>
                <w:kern w:val="0"/>
                <w:highlight w:val="none"/>
              </w:rPr>
            </w:pPr>
          </w:p>
        </w:tc>
        <w:tc>
          <w:tcPr>
            <w:tcW w:w="1276" w:type="dxa"/>
            <w:noWrap w:val="0"/>
            <w:vAlign w:val="top"/>
          </w:tcPr>
          <w:p w14:paraId="3A61A408">
            <w:pPr>
              <w:pStyle w:val="32"/>
              <w:spacing w:line="360" w:lineRule="auto"/>
              <w:jc w:val="center"/>
              <w:rPr>
                <w:rStyle w:val="19"/>
                <w:rFonts w:hint="eastAsia" w:ascii="宋体" w:hAnsi="宋体" w:eastAsia="宋体" w:cs="宋体"/>
                <w:kern w:val="0"/>
                <w:highlight w:val="none"/>
              </w:rPr>
            </w:pPr>
          </w:p>
        </w:tc>
      </w:tr>
      <w:tr w14:paraId="0905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32385B96">
            <w:pPr>
              <w:pStyle w:val="32"/>
              <w:spacing w:line="360" w:lineRule="auto"/>
              <w:jc w:val="center"/>
              <w:rPr>
                <w:rStyle w:val="19"/>
                <w:rFonts w:hint="eastAsia" w:ascii="宋体" w:hAnsi="宋体" w:eastAsia="宋体" w:cs="宋体"/>
                <w:kern w:val="0"/>
                <w:highlight w:val="none"/>
              </w:rPr>
            </w:pPr>
            <w:r>
              <w:rPr>
                <w:rStyle w:val="19"/>
                <w:rFonts w:hint="eastAsia" w:ascii="宋体" w:hAnsi="宋体" w:eastAsia="宋体" w:cs="宋体"/>
                <w:kern w:val="0"/>
                <w:highlight w:val="none"/>
              </w:rPr>
              <w:t>第二期</w:t>
            </w:r>
          </w:p>
        </w:tc>
        <w:tc>
          <w:tcPr>
            <w:tcW w:w="3794" w:type="dxa"/>
            <w:gridSpan w:val="2"/>
            <w:noWrap w:val="0"/>
            <w:vAlign w:val="top"/>
          </w:tcPr>
          <w:p w14:paraId="1A65B748">
            <w:pPr>
              <w:pStyle w:val="32"/>
              <w:spacing w:line="360" w:lineRule="auto"/>
              <w:jc w:val="center"/>
              <w:rPr>
                <w:rStyle w:val="19"/>
                <w:rFonts w:hint="eastAsia" w:ascii="宋体" w:hAnsi="宋体" w:eastAsia="宋体" w:cs="宋体"/>
                <w:kern w:val="0"/>
                <w:highlight w:val="none"/>
              </w:rPr>
            </w:pPr>
          </w:p>
        </w:tc>
        <w:tc>
          <w:tcPr>
            <w:tcW w:w="2268" w:type="dxa"/>
            <w:noWrap w:val="0"/>
            <w:vAlign w:val="top"/>
          </w:tcPr>
          <w:p w14:paraId="5EC15D3B">
            <w:pPr>
              <w:pStyle w:val="32"/>
              <w:spacing w:line="360" w:lineRule="auto"/>
              <w:jc w:val="center"/>
              <w:rPr>
                <w:rStyle w:val="19"/>
                <w:rFonts w:hint="eastAsia" w:ascii="宋体" w:hAnsi="宋体" w:eastAsia="宋体" w:cs="宋体"/>
                <w:kern w:val="0"/>
                <w:highlight w:val="none"/>
              </w:rPr>
            </w:pPr>
          </w:p>
        </w:tc>
        <w:tc>
          <w:tcPr>
            <w:tcW w:w="1276" w:type="dxa"/>
            <w:noWrap w:val="0"/>
            <w:vAlign w:val="top"/>
          </w:tcPr>
          <w:p w14:paraId="5C777367">
            <w:pPr>
              <w:pStyle w:val="32"/>
              <w:spacing w:line="360" w:lineRule="auto"/>
              <w:jc w:val="center"/>
              <w:rPr>
                <w:rStyle w:val="19"/>
                <w:rFonts w:hint="eastAsia" w:ascii="宋体" w:hAnsi="宋体" w:eastAsia="宋体" w:cs="宋体"/>
                <w:kern w:val="0"/>
                <w:highlight w:val="none"/>
              </w:rPr>
            </w:pPr>
          </w:p>
        </w:tc>
      </w:tr>
      <w:tr w14:paraId="3252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28E5F691">
            <w:pPr>
              <w:pStyle w:val="32"/>
              <w:spacing w:line="360" w:lineRule="auto"/>
              <w:jc w:val="center"/>
              <w:rPr>
                <w:rStyle w:val="19"/>
                <w:rFonts w:hint="eastAsia" w:ascii="宋体" w:hAnsi="宋体" w:eastAsia="宋体" w:cs="宋体"/>
                <w:kern w:val="0"/>
                <w:highlight w:val="none"/>
              </w:rPr>
            </w:pPr>
            <w:r>
              <w:rPr>
                <w:rStyle w:val="19"/>
                <w:rFonts w:hint="eastAsia" w:ascii="宋体" w:hAnsi="宋体" w:eastAsia="宋体" w:cs="宋体"/>
                <w:kern w:val="0"/>
                <w:highlight w:val="none"/>
              </w:rPr>
              <w:t>第三期</w:t>
            </w:r>
          </w:p>
        </w:tc>
        <w:tc>
          <w:tcPr>
            <w:tcW w:w="3794" w:type="dxa"/>
            <w:gridSpan w:val="2"/>
            <w:noWrap w:val="0"/>
            <w:vAlign w:val="top"/>
          </w:tcPr>
          <w:p w14:paraId="2DBF1374">
            <w:pPr>
              <w:pStyle w:val="32"/>
              <w:spacing w:line="360" w:lineRule="auto"/>
              <w:jc w:val="center"/>
              <w:rPr>
                <w:rStyle w:val="19"/>
                <w:rFonts w:hint="eastAsia" w:ascii="宋体" w:hAnsi="宋体" w:eastAsia="宋体" w:cs="宋体"/>
                <w:kern w:val="0"/>
                <w:highlight w:val="none"/>
              </w:rPr>
            </w:pPr>
          </w:p>
        </w:tc>
        <w:tc>
          <w:tcPr>
            <w:tcW w:w="2268" w:type="dxa"/>
            <w:noWrap w:val="0"/>
            <w:vAlign w:val="top"/>
          </w:tcPr>
          <w:p w14:paraId="5CA39586">
            <w:pPr>
              <w:pStyle w:val="32"/>
              <w:spacing w:line="360" w:lineRule="auto"/>
              <w:jc w:val="center"/>
              <w:rPr>
                <w:rStyle w:val="19"/>
                <w:rFonts w:hint="eastAsia" w:ascii="宋体" w:hAnsi="宋体" w:eastAsia="宋体" w:cs="宋体"/>
                <w:kern w:val="0"/>
                <w:highlight w:val="none"/>
              </w:rPr>
            </w:pPr>
          </w:p>
        </w:tc>
        <w:tc>
          <w:tcPr>
            <w:tcW w:w="1276" w:type="dxa"/>
            <w:noWrap w:val="0"/>
            <w:vAlign w:val="top"/>
          </w:tcPr>
          <w:p w14:paraId="318A403F">
            <w:pPr>
              <w:pStyle w:val="32"/>
              <w:spacing w:line="360" w:lineRule="auto"/>
              <w:jc w:val="center"/>
              <w:rPr>
                <w:rStyle w:val="19"/>
                <w:rFonts w:hint="eastAsia" w:ascii="宋体" w:hAnsi="宋体" w:eastAsia="宋体" w:cs="宋体"/>
                <w:kern w:val="0"/>
                <w:highlight w:val="none"/>
              </w:rPr>
            </w:pPr>
          </w:p>
        </w:tc>
      </w:tr>
      <w:tr w14:paraId="290A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2B4A65C2">
            <w:pPr>
              <w:pStyle w:val="32"/>
              <w:spacing w:line="360" w:lineRule="auto"/>
              <w:jc w:val="center"/>
              <w:rPr>
                <w:rStyle w:val="19"/>
                <w:rFonts w:hint="eastAsia" w:ascii="宋体" w:hAnsi="宋体" w:eastAsia="宋体" w:cs="宋体"/>
                <w:kern w:val="0"/>
                <w:highlight w:val="none"/>
              </w:rPr>
            </w:pPr>
            <w:r>
              <w:rPr>
                <w:rStyle w:val="19"/>
                <w:rFonts w:ascii="宋体" w:hAnsi="宋体" w:eastAsia="宋体" w:cs="宋体"/>
                <w:kern w:val="0"/>
                <w:highlight w:val="none"/>
              </w:rPr>
              <w:t>……</w:t>
            </w:r>
          </w:p>
        </w:tc>
        <w:tc>
          <w:tcPr>
            <w:tcW w:w="3794" w:type="dxa"/>
            <w:gridSpan w:val="2"/>
            <w:noWrap w:val="0"/>
            <w:vAlign w:val="top"/>
          </w:tcPr>
          <w:p w14:paraId="019D5DCF">
            <w:pPr>
              <w:pStyle w:val="32"/>
              <w:spacing w:line="360" w:lineRule="auto"/>
              <w:jc w:val="center"/>
              <w:rPr>
                <w:rStyle w:val="19"/>
                <w:rFonts w:hint="eastAsia" w:ascii="宋体" w:hAnsi="宋体" w:eastAsia="宋体" w:cs="宋体"/>
                <w:kern w:val="0"/>
                <w:highlight w:val="none"/>
              </w:rPr>
            </w:pPr>
          </w:p>
        </w:tc>
        <w:tc>
          <w:tcPr>
            <w:tcW w:w="2268" w:type="dxa"/>
            <w:noWrap w:val="0"/>
            <w:vAlign w:val="top"/>
          </w:tcPr>
          <w:p w14:paraId="39E1D11E">
            <w:pPr>
              <w:pStyle w:val="32"/>
              <w:spacing w:line="360" w:lineRule="auto"/>
              <w:jc w:val="center"/>
              <w:rPr>
                <w:rStyle w:val="19"/>
                <w:rFonts w:hint="eastAsia" w:ascii="宋体" w:hAnsi="宋体" w:eastAsia="宋体" w:cs="宋体"/>
                <w:kern w:val="0"/>
                <w:highlight w:val="none"/>
              </w:rPr>
            </w:pPr>
          </w:p>
        </w:tc>
        <w:tc>
          <w:tcPr>
            <w:tcW w:w="1276" w:type="dxa"/>
            <w:noWrap w:val="0"/>
            <w:vAlign w:val="top"/>
          </w:tcPr>
          <w:p w14:paraId="02D3FEE9">
            <w:pPr>
              <w:pStyle w:val="32"/>
              <w:spacing w:line="360" w:lineRule="auto"/>
              <w:jc w:val="center"/>
              <w:rPr>
                <w:rStyle w:val="19"/>
                <w:rFonts w:hint="eastAsia" w:ascii="宋体" w:hAnsi="宋体" w:eastAsia="宋体" w:cs="宋体"/>
                <w:kern w:val="0"/>
                <w:highlight w:val="none"/>
              </w:rPr>
            </w:pPr>
          </w:p>
        </w:tc>
      </w:tr>
      <w:tr w14:paraId="7016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2321B6E5">
            <w:pPr>
              <w:pStyle w:val="32"/>
              <w:spacing w:line="360" w:lineRule="exact"/>
              <w:ind w:firstLine="435"/>
              <w:jc w:val="right"/>
              <w:rPr>
                <w:rStyle w:val="19"/>
                <w:rFonts w:hint="eastAsia" w:ascii="宋体" w:hAnsi="宋体" w:eastAsia="宋体" w:cs="Times New Roman"/>
                <w:highlight w:val="none"/>
              </w:rPr>
            </w:pPr>
          </w:p>
          <w:p w14:paraId="0DDBF325">
            <w:pPr>
              <w:pStyle w:val="32"/>
              <w:spacing w:line="360" w:lineRule="exact"/>
              <w:ind w:firstLine="435"/>
              <w:jc w:val="center"/>
              <w:rPr>
                <w:rStyle w:val="19"/>
                <w:rFonts w:hint="eastAsia" w:ascii="宋体" w:hAnsi="宋体" w:eastAsia="宋体" w:cs="Times New Roman"/>
                <w:highlight w:val="none"/>
              </w:rPr>
            </w:pPr>
          </w:p>
          <w:p w14:paraId="1B4B3221">
            <w:pPr>
              <w:pStyle w:val="32"/>
              <w:spacing w:line="360" w:lineRule="exact"/>
              <w:ind w:firstLine="435"/>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发包人代表签字：</w:t>
            </w:r>
          </w:p>
          <w:p w14:paraId="066F1319">
            <w:pPr>
              <w:pStyle w:val="32"/>
              <w:spacing w:line="360" w:lineRule="exact"/>
              <w:ind w:firstLine="435"/>
              <w:jc w:val="center"/>
              <w:rPr>
                <w:rStyle w:val="19"/>
                <w:rFonts w:hint="eastAsia" w:ascii="宋体" w:hAnsi="宋体" w:eastAsia="宋体" w:cs="Times New Roman"/>
                <w:highlight w:val="none"/>
              </w:rPr>
            </w:pPr>
          </w:p>
          <w:p w14:paraId="4AABB004">
            <w:pPr>
              <w:pStyle w:val="32"/>
              <w:spacing w:line="360" w:lineRule="exact"/>
              <w:ind w:firstLine="435"/>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发包人（盖公章）</w:t>
            </w:r>
          </w:p>
          <w:p w14:paraId="4B5C5A0C">
            <w:pPr>
              <w:pStyle w:val="32"/>
              <w:spacing w:line="360" w:lineRule="exact"/>
              <w:ind w:firstLine="435"/>
              <w:jc w:val="center"/>
              <w:rPr>
                <w:rStyle w:val="19"/>
                <w:rFonts w:hint="eastAsia" w:ascii="宋体" w:hAnsi="宋体" w:eastAsia="宋体" w:cs="Times New Roman"/>
                <w:highlight w:val="none"/>
              </w:rPr>
            </w:pPr>
          </w:p>
          <w:p w14:paraId="69581A90">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日      期</w:t>
            </w:r>
            <w:r>
              <w:rPr>
                <w:rStyle w:val="19"/>
                <w:rFonts w:hint="eastAsia" w:ascii="宋体" w:hAnsi="宋体" w:eastAsia="宋体" w:cs="Times New Roman"/>
                <w:highlight w:val="none"/>
                <w:u w:val="single"/>
              </w:rPr>
              <w:t xml:space="preserve">           </w:t>
            </w:r>
          </w:p>
        </w:tc>
        <w:tc>
          <w:tcPr>
            <w:tcW w:w="4219" w:type="dxa"/>
            <w:gridSpan w:val="3"/>
            <w:noWrap w:val="0"/>
            <w:vAlign w:val="top"/>
          </w:tcPr>
          <w:p w14:paraId="4DA66CF8">
            <w:pPr>
              <w:pStyle w:val="32"/>
              <w:spacing w:line="360" w:lineRule="exact"/>
              <w:ind w:firstLine="435"/>
              <w:jc w:val="center"/>
              <w:rPr>
                <w:rStyle w:val="19"/>
                <w:rFonts w:hint="eastAsia" w:ascii="宋体" w:hAnsi="宋体" w:eastAsia="宋体" w:cs="Times New Roman"/>
                <w:highlight w:val="none"/>
              </w:rPr>
            </w:pPr>
          </w:p>
          <w:p w14:paraId="5669589B">
            <w:pPr>
              <w:pStyle w:val="32"/>
              <w:spacing w:line="360" w:lineRule="exact"/>
              <w:ind w:firstLine="435"/>
              <w:jc w:val="center"/>
              <w:rPr>
                <w:rStyle w:val="19"/>
                <w:rFonts w:hint="eastAsia" w:ascii="宋体" w:hAnsi="宋体" w:eastAsia="宋体" w:cs="Times New Roman"/>
                <w:highlight w:val="none"/>
                <w:u w:val="single"/>
              </w:rPr>
            </w:pPr>
          </w:p>
          <w:p w14:paraId="770B334B">
            <w:pPr>
              <w:pStyle w:val="32"/>
              <w:spacing w:line="360" w:lineRule="exact"/>
              <w:ind w:firstLine="435"/>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承包人代表签字：</w:t>
            </w:r>
          </w:p>
          <w:p w14:paraId="7BFF1B05">
            <w:pPr>
              <w:pStyle w:val="32"/>
              <w:spacing w:line="360" w:lineRule="exact"/>
              <w:ind w:firstLine="435"/>
              <w:jc w:val="center"/>
              <w:rPr>
                <w:rStyle w:val="19"/>
                <w:rFonts w:hint="eastAsia" w:ascii="宋体" w:hAnsi="宋体" w:eastAsia="宋体" w:cs="Times New Roman"/>
                <w:highlight w:val="none"/>
              </w:rPr>
            </w:pPr>
          </w:p>
          <w:p w14:paraId="469B2245">
            <w:pPr>
              <w:pStyle w:val="32"/>
              <w:spacing w:line="360" w:lineRule="exact"/>
              <w:ind w:firstLine="435"/>
              <w:jc w:val="center"/>
              <w:rPr>
                <w:rStyle w:val="19"/>
                <w:rFonts w:hint="eastAsia" w:ascii="宋体" w:hAnsi="宋体" w:eastAsia="宋体" w:cs="Times New Roman"/>
                <w:highlight w:val="none"/>
              </w:rPr>
            </w:pPr>
            <w:r>
              <w:rPr>
                <w:rStyle w:val="19"/>
                <w:rFonts w:hint="eastAsia" w:ascii="宋体" w:hAnsi="宋体" w:eastAsia="宋体" w:cs="Times New Roman"/>
                <w:highlight w:val="none"/>
              </w:rPr>
              <w:t>承包人（盖公章）</w:t>
            </w:r>
          </w:p>
          <w:p w14:paraId="1D0D55D5">
            <w:pPr>
              <w:pStyle w:val="32"/>
              <w:spacing w:line="360" w:lineRule="exact"/>
              <w:ind w:firstLine="435"/>
              <w:jc w:val="center"/>
              <w:rPr>
                <w:rStyle w:val="19"/>
                <w:rFonts w:hint="eastAsia" w:ascii="宋体" w:hAnsi="宋体" w:eastAsia="宋体" w:cs="Times New Roman"/>
                <w:highlight w:val="none"/>
              </w:rPr>
            </w:pPr>
          </w:p>
          <w:p w14:paraId="356BCC4C">
            <w:pPr>
              <w:pStyle w:val="32"/>
              <w:spacing w:line="360" w:lineRule="exact"/>
              <w:ind w:firstLine="435"/>
              <w:jc w:val="center"/>
              <w:rPr>
                <w:rStyle w:val="19"/>
                <w:rFonts w:hint="eastAsia" w:ascii="宋体" w:hAnsi="宋体" w:eastAsia="宋体" w:cs="Times New Roman"/>
                <w:highlight w:val="none"/>
                <w:u w:val="single"/>
              </w:rPr>
            </w:pPr>
            <w:r>
              <w:rPr>
                <w:rStyle w:val="19"/>
                <w:rFonts w:ascii="宋体" w:hAnsi="宋体" w:eastAsia="宋体" w:cs="Times New Roman"/>
                <w:highlight w:val="none"/>
              </w:rPr>
              <w:t xml:space="preserve">    </w:t>
            </w:r>
            <w:r>
              <w:rPr>
                <w:rStyle w:val="19"/>
                <w:rFonts w:hint="eastAsia" w:ascii="宋体" w:hAnsi="宋体" w:eastAsia="宋体" w:cs="Times New Roman"/>
                <w:highlight w:val="none"/>
              </w:rPr>
              <w:t xml:space="preserve">    日      期</w:t>
            </w:r>
            <w:r>
              <w:rPr>
                <w:rStyle w:val="19"/>
                <w:rFonts w:hint="eastAsia" w:ascii="宋体" w:hAnsi="宋体" w:eastAsia="宋体" w:cs="Times New Roman"/>
                <w:highlight w:val="none"/>
                <w:u w:val="single"/>
              </w:rPr>
              <w:t xml:space="preserve">        </w:t>
            </w:r>
          </w:p>
        </w:tc>
      </w:tr>
    </w:tbl>
    <w:p w14:paraId="5C09EB6E">
      <w:pPr>
        <w:pStyle w:val="32"/>
        <w:spacing w:line="360" w:lineRule="auto"/>
        <w:rPr>
          <w:rStyle w:val="19"/>
          <w:rFonts w:ascii="宋体" w:hAnsi="宋体" w:eastAsia="宋体" w:cs="Times New Roman"/>
          <w:highlight w:val="none"/>
        </w:rPr>
      </w:pPr>
    </w:p>
    <w:p w14:paraId="02EEE82F">
      <w:pPr>
        <w:pStyle w:val="32"/>
        <w:spacing w:line="360" w:lineRule="auto"/>
        <w:rPr>
          <w:rStyle w:val="19"/>
          <w:rFonts w:ascii="宋体" w:hAnsi="宋体" w:eastAsia="宋体" w:cs="Times New Roman"/>
          <w:highlight w:val="none"/>
        </w:rPr>
      </w:pPr>
    </w:p>
    <w:p w14:paraId="2DC24FCC">
      <w:pPr>
        <w:pStyle w:val="32"/>
        <w:spacing w:line="360" w:lineRule="auto"/>
        <w:rPr>
          <w:rStyle w:val="19"/>
          <w:rFonts w:ascii="宋体" w:hAnsi="宋体" w:eastAsia="宋体" w:cs="Times New Roman"/>
          <w:highlight w:val="none"/>
        </w:rPr>
      </w:pPr>
    </w:p>
    <w:p w14:paraId="7960B286">
      <w:pPr>
        <w:pStyle w:val="32"/>
        <w:spacing w:line="360" w:lineRule="auto"/>
        <w:rPr>
          <w:rStyle w:val="19"/>
          <w:rFonts w:ascii="宋体" w:hAnsi="宋体" w:eastAsia="宋体" w:cs="Times New Roman"/>
          <w:highlight w:val="none"/>
        </w:rPr>
      </w:pPr>
    </w:p>
    <w:p w14:paraId="7A05F9C7">
      <w:pPr>
        <w:pStyle w:val="32"/>
        <w:spacing w:line="360" w:lineRule="auto"/>
        <w:rPr>
          <w:rStyle w:val="19"/>
          <w:rFonts w:ascii="宋体" w:hAnsi="宋体" w:eastAsia="宋体" w:cs="Times New Roman"/>
          <w:highlight w:val="none"/>
        </w:rPr>
      </w:pPr>
    </w:p>
    <w:p w14:paraId="288DE57B">
      <w:pPr>
        <w:pStyle w:val="32"/>
        <w:spacing w:line="360" w:lineRule="auto"/>
        <w:rPr>
          <w:rStyle w:val="19"/>
          <w:rFonts w:ascii="宋体" w:hAnsi="宋体" w:eastAsia="宋体" w:cs="Times New Roman"/>
          <w:highlight w:val="none"/>
        </w:rPr>
      </w:pPr>
    </w:p>
    <w:p w14:paraId="0C753C5E">
      <w:pPr>
        <w:pStyle w:val="32"/>
        <w:spacing w:line="360" w:lineRule="auto"/>
        <w:rPr>
          <w:rStyle w:val="19"/>
          <w:rFonts w:ascii="宋体" w:hAnsi="宋体" w:eastAsia="宋体" w:cs="Times New Roman"/>
          <w:highlight w:val="none"/>
        </w:rPr>
      </w:pPr>
    </w:p>
    <w:p w14:paraId="26F915FF">
      <w:pPr>
        <w:pStyle w:val="32"/>
        <w:spacing w:line="360" w:lineRule="auto"/>
        <w:rPr>
          <w:rStyle w:val="19"/>
          <w:rFonts w:ascii="宋体" w:hAnsi="宋体" w:eastAsia="宋体" w:cs="Times New Roman"/>
          <w:highlight w:val="none"/>
        </w:rPr>
      </w:pPr>
    </w:p>
    <w:p w14:paraId="3CF330F1">
      <w:pPr>
        <w:pStyle w:val="32"/>
        <w:spacing w:line="360" w:lineRule="auto"/>
        <w:rPr>
          <w:rStyle w:val="19"/>
          <w:rFonts w:ascii="宋体" w:hAnsi="宋体" w:eastAsia="宋体" w:cs="Times New Roman"/>
          <w:highlight w:val="none"/>
        </w:rPr>
      </w:pPr>
    </w:p>
    <w:p w14:paraId="2EE4DC6A">
      <w:pPr>
        <w:pStyle w:val="32"/>
        <w:spacing w:line="360" w:lineRule="auto"/>
        <w:rPr>
          <w:rStyle w:val="19"/>
          <w:rFonts w:ascii="宋体" w:hAnsi="宋体" w:eastAsia="宋体" w:cs="Times New Roman"/>
          <w:highlight w:val="none"/>
        </w:rPr>
      </w:pPr>
    </w:p>
    <w:p w14:paraId="4DC13F86">
      <w:pPr>
        <w:pStyle w:val="32"/>
        <w:spacing w:line="360" w:lineRule="auto"/>
        <w:rPr>
          <w:rStyle w:val="19"/>
          <w:rFonts w:ascii="宋体" w:hAnsi="宋体" w:eastAsia="宋体" w:cs="Times New Roman"/>
          <w:highlight w:val="none"/>
        </w:rPr>
      </w:pPr>
    </w:p>
    <w:p w14:paraId="16469515">
      <w:pPr>
        <w:pStyle w:val="32"/>
        <w:spacing w:line="360" w:lineRule="auto"/>
        <w:rPr>
          <w:rStyle w:val="19"/>
          <w:rFonts w:ascii="宋体" w:hAnsi="宋体" w:eastAsia="宋体" w:cs="Times New Roman"/>
          <w:highlight w:val="none"/>
        </w:rPr>
      </w:pPr>
    </w:p>
    <w:p w14:paraId="32FE40E8">
      <w:pPr>
        <w:pStyle w:val="32"/>
        <w:spacing w:line="360" w:lineRule="auto"/>
        <w:rPr>
          <w:rStyle w:val="19"/>
          <w:rFonts w:ascii="宋体" w:hAnsi="宋体" w:eastAsia="宋体" w:cs="Times New Roman"/>
          <w:highlight w:val="none"/>
        </w:rPr>
      </w:pPr>
    </w:p>
    <w:p w14:paraId="55F1C479">
      <w:pPr>
        <w:pStyle w:val="32"/>
        <w:spacing w:line="360" w:lineRule="auto"/>
        <w:rPr>
          <w:rStyle w:val="19"/>
          <w:rFonts w:ascii="宋体" w:hAnsi="宋体" w:eastAsia="宋体" w:cs="Times New Roman"/>
          <w:highlight w:val="none"/>
        </w:rPr>
      </w:pPr>
    </w:p>
    <w:p w14:paraId="321DD762">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r>
        <w:rPr>
          <w:rStyle w:val="19"/>
          <w:rFonts w:hint="eastAsia" w:ascii="宋体" w:hAnsi="宋体" w:eastAsia="宋体" w:cs="Times New Roman"/>
          <w:sz w:val="30"/>
          <w:szCs w:val="30"/>
          <w:highlight w:val="none"/>
        </w:rPr>
        <w:br w:type="page"/>
      </w:r>
      <w:r>
        <w:rPr>
          <w:rStyle w:val="19"/>
          <w:rFonts w:hint="eastAsia" w:ascii="宋体" w:hAnsi="宋体" w:eastAsia="宋体" w:cs="Times New Roman"/>
          <w:sz w:val="30"/>
          <w:szCs w:val="30"/>
          <w:highlight w:val="none"/>
        </w:rPr>
        <w:t>附件1</w:t>
      </w:r>
      <w:r>
        <w:rPr>
          <w:rStyle w:val="19"/>
          <w:rFonts w:ascii="宋体" w:hAnsi="宋体" w:eastAsia="宋体" w:cs="Times New Roman"/>
          <w:sz w:val="30"/>
          <w:szCs w:val="30"/>
          <w:highlight w:val="none"/>
        </w:rPr>
        <w:t>5</w:t>
      </w:r>
      <w:r>
        <w:rPr>
          <w:rStyle w:val="19"/>
          <w:rFonts w:hint="eastAsia" w:ascii="宋体" w:hAnsi="宋体" w:eastAsia="宋体" w:cs="Times New Roman"/>
          <w:sz w:val="30"/>
          <w:szCs w:val="30"/>
          <w:highlight w:val="none"/>
        </w:rPr>
        <w:t>：施工安全生产责任书</w:t>
      </w:r>
    </w:p>
    <w:p w14:paraId="50A4EB03">
      <w:pPr>
        <w:pStyle w:val="92"/>
        <w:keepNext w:val="0"/>
        <w:keepLines w:val="0"/>
        <w:pageBreakBefore w:val="0"/>
        <w:kinsoku/>
        <w:wordWrap/>
        <w:overflowPunct/>
        <w:topLinePunct w:val="0"/>
        <w:autoSpaceDE/>
        <w:autoSpaceDN/>
        <w:bidi w:val="0"/>
        <w:adjustRightInd/>
        <w:spacing w:line="360" w:lineRule="auto"/>
        <w:rPr>
          <w:rStyle w:val="19"/>
          <w:rFonts w:hint="eastAsia" w:ascii="宋体" w:hAnsi="宋体" w:eastAsia="宋体" w:cs="仿宋"/>
          <w:sz w:val="24"/>
          <w:highlight w:val="none"/>
        </w:rPr>
      </w:pPr>
      <w:r>
        <w:rPr>
          <w:rStyle w:val="19"/>
          <w:rFonts w:hint="eastAsia" w:ascii="宋体" w:hAnsi="宋体" w:eastAsia="宋体" w:cs="仿宋"/>
          <w:sz w:val="24"/>
          <w:highlight w:val="none"/>
        </w:rPr>
        <w:t>发包人（全称）：广西壮族自治区人民医院（以下简称甲方）</w:t>
      </w:r>
    </w:p>
    <w:p w14:paraId="14B6A512">
      <w:pPr>
        <w:pStyle w:val="92"/>
        <w:keepNext w:val="0"/>
        <w:keepLines w:val="0"/>
        <w:pageBreakBefore w:val="0"/>
        <w:kinsoku/>
        <w:wordWrap/>
        <w:overflowPunct/>
        <w:topLinePunct w:val="0"/>
        <w:autoSpaceDE/>
        <w:autoSpaceDN/>
        <w:bidi w:val="0"/>
        <w:adjustRightInd/>
        <w:spacing w:line="360" w:lineRule="auto"/>
        <w:rPr>
          <w:rStyle w:val="19"/>
          <w:rFonts w:hint="eastAsia" w:ascii="宋体" w:hAnsi="宋体" w:eastAsia="宋体" w:cs="仿宋"/>
          <w:sz w:val="24"/>
          <w:highlight w:val="none"/>
        </w:rPr>
      </w:pPr>
      <w:r>
        <w:rPr>
          <w:rStyle w:val="19"/>
          <w:rFonts w:hint="eastAsia" w:ascii="宋体" w:hAnsi="宋体" w:eastAsia="宋体" w:cs="仿宋"/>
          <w:sz w:val="24"/>
          <w:highlight w:val="none"/>
        </w:rPr>
        <w:t xml:space="preserve">承包人（全称）：（以下简称乙方）                             </w:t>
      </w:r>
    </w:p>
    <w:p w14:paraId="0C2F3D0B">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p>
    <w:p w14:paraId="278F9267">
      <w:pPr>
        <w:pStyle w:val="92"/>
        <w:keepNext w:val="0"/>
        <w:keepLines w:val="0"/>
        <w:pageBreakBefore w:val="0"/>
        <w:kinsoku/>
        <w:wordWrap/>
        <w:overflowPunct/>
        <w:topLinePunct w:val="0"/>
        <w:autoSpaceDE/>
        <w:autoSpaceDN/>
        <w:bidi w:val="0"/>
        <w:adjustRightInd/>
        <w:spacing w:line="360" w:lineRule="auto"/>
        <w:ind w:firstLine="480" w:firstLineChars="200"/>
        <w:jc w:val="left"/>
        <w:rPr>
          <w:rStyle w:val="19"/>
          <w:rFonts w:hint="eastAsia" w:ascii="宋体" w:hAnsi="宋体" w:eastAsia="宋体" w:cs="仿宋"/>
          <w:sz w:val="24"/>
          <w:szCs w:val="24"/>
          <w:highlight w:val="none"/>
        </w:rPr>
      </w:pPr>
      <w:r>
        <w:rPr>
          <w:rStyle w:val="19"/>
          <w:rFonts w:hint="eastAsia" w:ascii="宋体" w:hAnsi="宋体" w:eastAsia="宋体" w:cs="仿宋"/>
          <w:sz w:val="24"/>
          <w:highlight w:val="none"/>
        </w:rPr>
        <w:t>根据甲方乙方双方的约定，乙方承建</w:t>
      </w:r>
      <w:r>
        <w:rPr>
          <w:rStyle w:val="19"/>
          <w:rFonts w:hint="eastAsia" w:ascii="宋体" w:hAnsi="宋体" w:eastAsia="宋体" w:cs="仿宋"/>
          <w:sz w:val="24"/>
          <w:szCs w:val="24"/>
          <w:highlight w:val="none"/>
        </w:rPr>
        <w:t>甲方施工任务，经协商一致签订施工安全生产责任书。</w:t>
      </w:r>
    </w:p>
    <w:p w14:paraId="27EE6141">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szCs w:val="24"/>
          <w:highlight w:val="none"/>
        </w:rPr>
        <w:t>在施工准备阶段和施工过程中，甲方乙</w:t>
      </w:r>
      <w:r>
        <w:rPr>
          <w:rStyle w:val="19"/>
          <w:rFonts w:hint="eastAsia" w:ascii="宋体" w:hAnsi="宋体" w:eastAsia="宋体" w:cs="仿宋"/>
          <w:sz w:val="24"/>
          <w:highlight w:val="none"/>
        </w:rPr>
        <w:t>方都应贯彻执行《中华人民共和国建筑法》、《中华人民共和国安全生产法》等国家法律法规，以及有关建筑施工安全和文明施工，现场管理方面的法律、法规及行业安全操作、规范、标准，并确定履行法、法规所赋予双方各自的安全职责。以确保建筑工程施工始终在安全文明的前提下进行。现经甲方乙方商定，进一步确认，同意就施工过程中的安全责任事宜明确如下，并就有关安全管理事项制定以下协议内容，以供双方共同遵守。</w:t>
      </w:r>
    </w:p>
    <w:p w14:paraId="4E258C8C">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一、乙方进场后应遵守国家和南宁市对安全及文明施工的有关文件规定，包括行业安全操作规程、规范及标准，以及甲方规定的各项规章制度和管理规定。乙方对施工现场的安全管理负全责，凡在施工现场内（含生产现场和生活区）因违章指挥、违章操作导致发生高空坠落、物体打击、机械事故、触电土方坍塌事故及管线折断、破裂、泄漏事故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00790F4D">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73405A1F">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三、乙方项目经理为安全生产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挥违章指挥、  违章操作的行为要及时指出、坚决制止。</w:t>
      </w:r>
    </w:p>
    <w:p w14:paraId="554F26FE">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四、乙方须严格按照相关法律、法规和操作规程、规范及标准进行施工，并做到：</w:t>
      </w:r>
    </w:p>
    <w:p w14:paraId="3D201DA4">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1、土方作业应根据基坑、基槽等和开挖深度、土质类别选择开挖方案，明确边坡或采取相应护坡支撑和护堤桩以防塌方。边坡周围施加静载（土堆等）或动载（泵车浇筑等）应符合相应安全规定。</w:t>
      </w:r>
    </w:p>
    <w:p w14:paraId="5D8939E4">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2、据甲方提供的资料对施工现场及其影响的区域内地下的障碍物清理或采取相应的措施，对周围道路管线采取保护措施。</w:t>
      </w:r>
    </w:p>
    <w:p w14:paraId="6FF2B483">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3、加强新型冠状病毒肺炎疫情的有效防控，严格按照南宁市新冠疫情防控方案执行。</w:t>
      </w:r>
    </w:p>
    <w:p w14:paraId="39FA195F">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4、施工作业前需对机械、设备、仪器、仪表、工具器材等进行检查，确认完好无误后方可使用。电气设备、电源线路必须绝缘良好，不得与金属物浸水位置（导电物品）搭接捆绑在一起，各种临时电源线，绝缘皮要防止摩擦破损和被重物埋压。电动机、配电箱应按规定安装防护设置、漏电保护器及接地、接零和设备专一电闸等有效控制。当临时停电或停工休息时必须拉闸、上锁。</w:t>
      </w:r>
    </w:p>
    <w:p w14:paraId="273E29B2">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5、在施工中动用明火（如进行电气焊作业）或高处作业等必须实行《动火证》审批制度和安全防护措施，现场（含生活区）的消防设备、器材按有关规定配置，对易燃易爆的危险品运输、储存、保管要符合安全规定要求。</w:t>
      </w:r>
    </w:p>
    <w:p w14:paraId="75F552F0">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6、督促施工人员做好下班后清理检查工作，对作业区域存在的危险因素（如管道沟、槽，管道井及高低压线路、变电、配电设施）要采取防护措施，设置防护围栏，设置警示标识（含晚间设置警示灯）。要严加防范、重点监控。在管道井下或密闭容器作业应严守操作规程并注意通风、照明和保持通讯联络，并有两个以上人员作业，以防因缺氧造成的事故。</w:t>
      </w:r>
    </w:p>
    <w:p w14:paraId="6C0B2514">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7、实施挖土作业和拆除工程中发现管道、电缆及其它埋设物应及时报告，不得擅自处理。</w:t>
      </w:r>
    </w:p>
    <w:p w14:paraId="5D60ED53">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8、按规范要求及现场实际情况布置现场消防通道、消防栓、灭火器、消防水龙带、消防专职安全员。</w:t>
      </w:r>
    </w:p>
    <w:p w14:paraId="76C3A9F1">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9、禁止将火种带入施工现场,禁止将烟卷带入施工区域。</w:t>
      </w:r>
    </w:p>
    <w:p w14:paraId="4064D9CC">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五、乙方应按规定要求制定劳保技术措施，保证操作人员劳保用品和用工规范要求。</w:t>
      </w:r>
    </w:p>
    <w:p w14:paraId="10731BA0">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六、乙方应按施工现场安全文明和环保、环卫的有关规定设置宿舍、食堂、饮用水及其他卫生设施。对施工现场的环境（如现场废水、尘雾、噪声、振动、坠落物等）进行有效地控制，为防止职业危害提供良好的作业环境。</w:t>
      </w:r>
    </w:p>
    <w:p w14:paraId="29463327">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七、关心职工及外地施工队伍的生活，及时了解思想动态，最大可能满足他们的合理要求，帮助他们克服工作、生活上的困难，确保其思想稳定生产安全。</w:t>
      </w:r>
    </w:p>
    <w:p w14:paraId="7A3EA03D">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八、保证责任区内符合安全、环保、环卫要求，做到：不起尘无遗洒、进出车辆保洁，路面有人清扫，落实门前三包。</w:t>
      </w:r>
    </w:p>
    <w:p w14:paraId="7F12E79F">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九、甲方有权对乙方施工全过程的安全进行监督，对各种不安全因素、隐患有权提出整改意见。对甲方提出的不安全问题及隐患乙方应立即整改，对当时难以解决的问题应采取临时可靠措施加以控制，对经指出不予整改的或乙方失职失误造成的事故案件的，甲方有权按违约给予承包人相应处罚。</w:t>
      </w:r>
    </w:p>
    <w:p w14:paraId="514470D4">
      <w:pPr>
        <w:pStyle w:val="92"/>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highlight w:val="none"/>
        </w:rPr>
      </w:pPr>
      <w:r>
        <w:rPr>
          <w:rStyle w:val="19"/>
          <w:rFonts w:hint="eastAsia" w:ascii="宋体" w:hAnsi="宋体" w:eastAsia="宋体" w:cs="仿宋"/>
          <w:sz w:val="24"/>
          <w:highlight w:val="none"/>
        </w:rPr>
        <w:t>十、施工安全生产责任书由发包人、承包人在工程开工前共同签署，作为施工合同附件，其有效期限至保修期满。</w:t>
      </w:r>
    </w:p>
    <w:p w14:paraId="4DBD51F8">
      <w:pPr>
        <w:pStyle w:val="92"/>
        <w:keepNext w:val="0"/>
        <w:keepLines w:val="0"/>
        <w:pageBreakBefore w:val="0"/>
        <w:kinsoku/>
        <w:wordWrap/>
        <w:overflowPunct/>
        <w:topLinePunct w:val="0"/>
        <w:autoSpaceDE/>
        <w:autoSpaceDN/>
        <w:bidi w:val="0"/>
        <w:adjustRightInd/>
        <w:spacing w:line="360" w:lineRule="auto"/>
        <w:rPr>
          <w:rStyle w:val="19"/>
          <w:rFonts w:hint="eastAsia" w:ascii="宋体" w:hAnsi="宋体" w:eastAsia="宋体" w:cs="仿宋"/>
          <w:sz w:val="28"/>
          <w:szCs w:val="28"/>
          <w:highlight w:val="none"/>
        </w:rPr>
      </w:pPr>
    </w:p>
    <w:p w14:paraId="5A116006">
      <w:pPr>
        <w:pStyle w:val="92"/>
        <w:keepNext w:val="0"/>
        <w:keepLines w:val="0"/>
        <w:pageBreakBefore w:val="0"/>
        <w:kinsoku/>
        <w:wordWrap/>
        <w:overflowPunct/>
        <w:topLinePunct w:val="0"/>
        <w:autoSpaceDE/>
        <w:autoSpaceDN/>
        <w:bidi w:val="0"/>
        <w:adjustRightInd/>
        <w:spacing w:line="360" w:lineRule="auto"/>
        <w:jc w:val="center"/>
        <w:rPr>
          <w:rStyle w:val="19"/>
          <w:rFonts w:ascii="宋体" w:hAnsi="宋体" w:eastAsia="宋体" w:cs="仿宋"/>
          <w:sz w:val="24"/>
          <w:highlight w:val="none"/>
        </w:rPr>
      </w:pPr>
      <w:r>
        <w:rPr>
          <w:rStyle w:val="19"/>
          <w:rFonts w:hint="eastAsia" w:ascii="宋体" w:hAnsi="宋体" w:eastAsia="宋体" w:cs="仿宋"/>
          <w:sz w:val="24"/>
          <w:highlight w:val="none"/>
        </w:rPr>
        <w:t>（以下无正文）</w:t>
      </w:r>
    </w:p>
    <w:tbl>
      <w:tblPr>
        <w:tblStyle w:val="18"/>
        <w:tblpPr w:leftFromText="180" w:rightFromText="180" w:vertAnchor="text" w:horzAnchor="page" w:tblpX="1784" w:tblpY="198"/>
        <w:tblOverlap w:val="never"/>
        <w:tblW w:w="0" w:type="auto"/>
        <w:tblInd w:w="0" w:type="dxa"/>
        <w:tblLayout w:type="fixed"/>
        <w:tblCellMar>
          <w:top w:w="0" w:type="dxa"/>
          <w:left w:w="0" w:type="dxa"/>
          <w:bottom w:w="0" w:type="dxa"/>
          <w:right w:w="0" w:type="dxa"/>
        </w:tblCellMar>
      </w:tblPr>
      <w:tblGrid>
        <w:gridCol w:w="4275"/>
        <w:gridCol w:w="4275"/>
      </w:tblGrid>
      <w:tr w14:paraId="68B3B8A6">
        <w:tblPrEx>
          <w:tblCellMar>
            <w:top w:w="0" w:type="dxa"/>
            <w:left w:w="0" w:type="dxa"/>
            <w:bottom w:w="0" w:type="dxa"/>
            <w:right w:w="0" w:type="dxa"/>
          </w:tblCellMar>
        </w:tblPrEx>
        <w:trPr>
          <w:trHeight w:val="500" w:hRule="atLeast"/>
        </w:trPr>
        <w:tc>
          <w:tcPr>
            <w:tcW w:w="4275" w:type="dxa"/>
            <w:tcBorders>
              <w:top w:val="nil"/>
              <w:left w:val="nil"/>
              <w:bottom w:val="nil"/>
              <w:right w:val="nil"/>
            </w:tcBorders>
            <w:noWrap w:val="0"/>
            <w:tcMar>
              <w:top w:w="15" w:type="dxa"/>
              <w:left w:w="15" w:type="dxa"/>
              <w:right w:w="15" w:type="dxa"/>
            </w:tcMar>
            <w:vAlign w:val="center"/>
          </w:tcPr>
          <w:p w14:paraId="6F997146">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kern w:val="0"/>
                <w:sz w:val="24"/>
                <w:szCs w:val="24"/>
                <w:highlight w:val="none"/>
                <w:lang w:bidi="ar"/>
              </w:rPr>
            </w:pPr>
            <w:r>
              <w:rPr>
                <w:rStyle w:val="19"/>
                <w:rFonts w:hint="eastAsia" w:ascii="宋体" w:hAnsi="宋体" w:eastAsia="宋体" w:cs="仿宋"/>
                <w:kern w:val="0"/>
                <w:sz w:val="24"/>
                <w:szCs w:val="24"/>
                <w:highlight w:val="none"/>
                <w:lang w:bidi="ar"/>
              </w:rPr>
              <w:t>发包人（公章）：广西壮族自治区人民医院</w:t>
            </w:r>
          </w:p>
        </w:tc>
        <w:tc>
          <w:tcPr>
            <w:tcW w:w="4275" w:type="dxa"/>
            <w:tcBorders>
              <w:top w:val="nil"/>
              <w:left w:val="nil"/>
              <w:bottom w:val="nil"/>
              <w:right w:val="nil"/>
            </w:tcBorders>
            <w:noWrap w:val="0"/>
            <w:tcMar>
              <w:top w:w="15" w:type="dxa"/>
              <w:left w:w="15" w:type="dxa"/>
              <w:right w:w="15" w:type="dxa"/>
            </w:tcMar>
            <w:vAlign w:val="center"/>
          </w:tcPr>
          <w:tbl>
            <w:tblPr>
              <w:tblStyle w:val="18"/>
              <w:tblpPr w:leftFromText="180" w:rightFromText="180" w:vertAnchor="text" w:horzAnchor="page" w:tblpX="1784" w:tblpY="198"/>
              <w:tblOverlap w:val="never"/>
              <w:tblW w:w="0" w:type="auto"/>
              <w:tblInd w:w="15" w:type="dxa"/>
              <w:tblLayout w:type="fixed"/>
              <w:tblCellMar>
                <w:top w:w="0" w:type="dxa"/>
                <w:left w:w="0" w:type="dxa"/>
                <w:bottom w:w="0" w:type="dxa"/>
                <w:right w:w="0" w:type="dxa"/>
              </w:tblCellMar>
            </w:tblPr>
            <w:tblGrid>
              <w:gridCol w:w="4275"/>
            </w:tblGrid>
            <w:tr w14:paraId="07EC841B">
              <w:tblPrEx>
                <w:tblCellMar>
                  <w:top w:w="0" w:type="dxa"/>
                  <w:left w:w="0" w:type="dxa"/>
                  <w:bottom w:w="0" w:type="dxa"/>
                  <w:right w:w="0" w:type="dxa"/>
                </w:tblCellMar>
              </w:tblPrEx>
              <w:trPr>
                <w:trHeight w:val="500" w:hRule="atLeast"/>
              </w:trPr>
              <w:tc>
                <w:tcPr>
                  <w:tcW w:w="4275" w:type="dxa"/>
                  <w:tcBorders>
                    <w:top w:val="nil"/>
                    <w:left w:val="nil"/>
                    <w:bottom w:val="nil"/>
                    <w:right w:val="nil"/>
                  </w:tcBorders>
                  <w:noWrap w:val="0"/>
                  <w:tcMar>
                    <w:top w:w="15" w:type="dxa"/>
                    <w:left w:w="15" w:type="dxa"/>
                    <w:right w:w="15" w:type="dxa"/>
                  </w:tcMar>
                  <w:vAlign w:val="center"/>
                </w:tcPr>
                <w:p w14:paraId="556FF984">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kern w:val="0"/>
                      <w:sz w:val="24"/>
                      <w:szCs w:val="24"/>
                      <w:highlight w:val="none"/>
                      <w:lang w:eastAsia="zh-CN" w:bidi="ar"/>
                    </w:rPr>
                  </w:pPr>
                  <w:r>
                    <w:rPr>
                      <w:rStyle w:val="19"/>
                      <w:rFonts w:hint="eastAsia" w:ascii="宋体" w:hAnsi="宋体" w:eastAsia="宋体" w:cs="仿宋"/>
                      <w:kern w:val="0"/>
                      <w:sz w:val="24"/>
                      <w:szCs w:val="24"/>
                      <w:highlight w:val="none"/>
                      <w:lang w:bidi="ar"/>
                    </w:rPr>
                    <w:t xml:space="preserve">承包人（公章）： </w:t>
                  </w:r>
                  <w:r>
                    <w:rPr>
                      <w:rStyle w:val="19"/>
                      <w:rFonts w:hint="eastAsia" w:ascii="宋体" w:hAnsi="宋体" w:eastAsia="宋体" w:cs="仿宋"/>
                      <w:kern w:val="0"/>
                      <w:sz w:val="24"/>
                      <w:szCs w:val="24"/>
                      <w:highlight w:val="none"/>
                      <w:lang w:val="en-US" w:eastAsia="zh-CN" w:bidi="ar"/>
                    </w:rPr>
                    <w:t xml:space="preserve"> </w:t>
                  </w:r>
                </w:p>
              </w:tc>
            </w:tr>
          </w:tbl>
          <w:p w14:paraId="77A9533A">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kern w:val="0"/>
                <w:sz w:val="24"/>
                <w:szCs w:val="24"/>
                <w:highlight w:val="none"/>
                <w:lang w:bidi="ar"/>
              </w:rPr>
            </w:pPr>
          </w:p>
        </w:tc>
      </w:tr>
      <w:tr w14:paraId="516254FC">
        <w:tblPrEx>
          <w:tblCellMar>
            <w:top w:w="0" w:type="dxa"/>
            <w:left w:w="0" w:type="dxa"/>
            <w:bottom w:w="0" w:type="dxa"/>
            <w:right w:w="0" w:type="dxa"/>
          </w:tblCellMar>
        </w:tblPrEx>
        <w:trPr>
          <w:trHeight w:val="500" w:hRule="atLeast"/>
        </w:trPr>
        <w:tc>
          <w:tcPr>
            <w:tcW w:w="4275" w:type="dxa"/>
            <w:tcBorders>
              <w:top w:val="nil"/>
              <w:left w:val="nil"/>
              <w:bottom w:val="nil"/>
              <w:right w:val="nil"/>
            </w:tcBorders>
            <w:noWrap w:val="0"/>
            <w:tcMar>
              <w:top w:w="15" w:type="dxa"/>
              <w:left w:w="15" w:type="dxa"/>
              <w:right w:w="15" w:type="dxa"/>
            </w:tcMar>
            <w:vAlign w:val="center"/>
          </w:tcPr>
          <w:p w14:paraId="0C937F25">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kern w:val="0"/>
                <w:sz w:val="24"/>
                <w:szCs w:val="24"/>
                <w:highlight w:val="none"/>
                <w:lang w:bidi="ar"/>
              </w:rPr>
            </w:pPr>
            <w:r>
              <w:rPr>
                <w:rStyle w:val="19"/>
                <w:rFonts w:hint="eastAsia" w:ascii="宋体" w:hAnsi="宋体" w:eastAsia="宋体" w:cs="仿宋"/>
                <w:sz w:val="24"/>
                <w:szCs w:val="24"/>
                <w:highlight w:val="none"/>
              </w:rPr>
              <w:t>法定代表人（签字）：</w:t>
            </w:r>
            <w:r>
              <w:rPr>
                <w:rStyle w:val="19"/>
                <w:rFonts w:hint="eastAsia" w:ascii="宋体" w:hAnsi="宋体" w:eastAsia="宋体" w:cs="仿宋"/>
                <w:sz w:val="24"/>
                <w:szCs w:val="24"/>
                <w:highlight w:val="none"/>
                <w:u w:val="single"/>
              </w:rPr>
              <w:t xml:space="preserve">      </w:t>
            </w:r>
            <w:r>
              <w:rPr>
                <w:rStyle w:val="19"/>
                <w:rFonts w:hint="eastAsia" w:ascii="宋体" w:hAnsi="宋体" w:eastAsia="宋体" w:cs="仿宋"/>
                <w:sz w:val="24"/>
                <w:szCs w:val="24"/>
                <w:highlight w:val="none"/>
              </w:rPr>
              <w:t xml:space="preserve">          </w:t>
            </w:r>
          </w:p>
        </w:tc>
        <w:tc>
          <w:tcPr>
            <w:tcW w:w="4275" w:type="dxa"/>
            <w:tcBorders>
              <w:top w:val="nil"/>
              <w:left w:val="nil"/>
              <w:bottom w:val="nil"/>
              <w:right w:val="nil"/>
            </w:tcBorders>
            <w:noWrap w:val="0"/>
            <w:tcMar>
              <w:top w:w="15" w:type="dxa"/>
              <w:left w:w="15" w:type="dxa"/>
              <w:right w:w="15" w:type="dxa"/>
            </w:tcMar>
            <w:vAlign w:val="center"/>
          </w:tcPr>
          <w:p w14:paraId="1036B73D">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kern w:val="0"/>
                <w:sz w:val="24"/>
                <w:szCs w:val="24"/>
                <w:highlight w:val="none"/>
                <w:lang w:bidi="ar"/>
              </w:rPr>
            </w:pPr>
            <w:r>
              <w:rPr>
                <w:rStyle w:val="19"/>
                <w:rFonts w:hint="eastAsia" w:ascii="宋体" w:hAnsi="宋体" w:eastAsia="宋体" w:cs="仿宋"/>
                <w:kern w:val="0"/>
                <w:sz w:val="24"/>
                <w:szCs w:val="24"/>
                <w:highlight w:val="none"/>
                <w:lang w:bidi="ar"/>
              </w:rPr>
              <w:t xml:space="preserve">法定代表人（签字）：               </w:t>
            </w:r>
          </w:p>
        </w:tc>
      </w:tr>
      <w:tr w14:paraId="457A1CA6">
        <w:tblPrEx>
          <w:tblCellMar>
            <w:top w:w="0" w:type="dxa"/>
            <w:left w:w="0" w:type="dxa"/>
            <w:bottom w:w="0" w:type="dxa"/>
            <w:right w:w="0" w:type="dxa"/>
          </w:tblCellMar>
        </w:tblPrEx>
        <w:trPr>
          <w:trHeight w:val="500" w:hRule="atLeast"/>
        </w:trPr>
        <w:tc>
          <w:tcPr>
            <w:tcW w:w="4275" w:type="dxa"/>
            <w:tcBorders>
              <w:top w:val="nil"/>
              <w:left w:val="nil"/>
              <w:bottom w:val="nil"/>
              <w:right w:val="nil"/>
            </w:tcBorders>
            <w:noWrap w:val="0"/>
            <w:tcMar>
              <w:top w:w="15" w:type="dxa"/>
              <w:left w:w="15" w:type="dxa"/>
              <w:right w:w="15" w:type="dxa"/>
            </w:tcMar>
            <w:vAlign w:val="center"/>
          </w:tcPr>
          <w:p w14:paraId="37B3C92A">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或委托代理人（签字）：</w:t>
            </w:r>
            <w:r>
              <w:rPr>
                <w:rStyle w:val="19"/>
                <w:rFonts w:hint="eastAsia" w:ascii="宋体" w:hAnsi="宋体" w:eastAsia="宋体" w:cs="仿宋"/>
                <w:sz w:val="24"/>
                <w:szCs w:val="24"/>
                <w:highlight w:val="none"/>
                <w:u w:val="single"/>
              </w:rPr>
              <w:t xml:space="preserve">      </w:t>
            </w:r>
          </w:p>
        </w:tc>
        <w:tc>
          <w:tcPr>
            <w:tcW w:w="4275" w:type="dxa"/>
            <w:tcBorders>
              <w:top w:val="nil"/>
              <w:left w:val="nil"/>
              <w:bottom w:val="nil"/>
              <w:right w:val="nil"/>
            </w:tcBorders>
            <w:noWrap w:val="0"/>
            <w:tcMar>
              <w:top w:w="15" w:type="dxa"/>
              <w:left w:w="15" w:type="dxa"/>
              <w:right w:w="15" w:type="dxa"/>
            </w:tcMar>
            <w:vAlign w:val="center"/>
          </w:tcPr>
          <w:p w14:paraId="647A5E8C">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或委托代理人（签字）：</w:t>
            </w:r>
            <w:r>
              <w:rPr>
                <w:rStyle w:val="19"/>
                <w:rFonts w:hint="eastAsia" w:ascii="宋体" w:hAnsi="宋体" w:eastAsia="宋体" w:cs="仿宋"/>
                <w:sz w:val="24"/>
                <w:szCs w:val="24"/>
                <w:highlight w:val="none"/>
                <w:u w:val="single"/>
              </w:rPr>
              <w:t xml:space="preserve">  </w:t>
            </w:r>
            <w:r>
              <w:rPr>
                <w:rStyle w:val="19"/>
                <w:rFonts w:hint="eastAsia" w:ascii="宋体" w:hAnsi="宋体" w:eastAsia="宋体" w:cs="仿宋"/>
                <w:sz w:val="24"/>
                <w:szCs w:val="24"/>
                <w:highlight w:val="none"/>
                <w:u w:val="single"/>
                <w:lang w:eastAsia="zh-CN"/>
              </w:rPr>
              <w:t>无</w:t>
            </w:r>
            <w:r>
              <w:rPr>
                <w:rStyle w:val="19"/>
                <w:rFonts w:hint="eastAsia" w:ascii="宋体" w:hAnsi="宋体" w:eastAsia="宋体" w:cs="仿宋"/>
                <w:sz w:val="24"/>
                <w:szCs w:val="24"/>
                <w:highlight w:val="none"/>
                <w:u w:val="single"/>
              </w:rPr>
              <w:t xml:space="preserve">   </w:t>
            </w:r>
          </w:p>
        </w:tc>
      </w:tr>
      <w:tr w14:paraId="27E5D433">
        <w:tblPrEx>
          <w:tblCellMar>
            <w:top w:w="0" w:type="dxa"/>
            <w:left w:w="0" w:type="dxa"/>
            <w:bottom w:w="0" w:type="dxa"/>
            <w:right w:w="0" w:type="dxa"/>
          </w:tblCellMar>
        </w:tblPrEx>
        <w:trPr>
          <w:trHeight w:val="500" w:hRule="atLeast"/>
        </w:trPr>
        <w:tc>
          <w:tcPr>
            <w:tcW w:w="4275" w:type="dxa"/>
            <w:tcBorders>
              <w:top w:val="nil"/>
              <w:left w:val="nil"/>
              <w:bottom w:val="nil"/>
              <w:right w:val="nil"/>
            </w:tcBorders>
            <w:noWrap w:val="0"/>
            <w:tcMar>
              <w:top w:w="15" w:type="dxa"/>
              <w:left w:w="15" w:type="dxa"/>
              <w:right w:w="15" w:type="dxa"/>
            </w:tcMar>
            <w:vAlign w:val="center"/>
          </w:tcPr>
          <w:p w14:paraId="342228B3">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签订日期：202</w:t>
            </w:r>
            <w:r>
              <w:rPr>
                <w:rStyle w:val="19"/>
                <w:rFonts w:hint="eastAsia" w:ascii="宋体" w:hAnsi="宋体" w:eastAsia="宋体" w:cs="仿宋"/>
                <w:sz w:val="24"/>
                <w:szCs w:val="24"/>
                <w:highlight w:val="none"/>
                <w:lang w:val="en-US" w:eastAsia="zh-CN"/>
              </w:rPr>
              <w:t>6</w:t>
            </w:r>
            <w:r>
              <w:rPr>
                <w:rStyle w:val="19"/>
                <w:rFonts w:hint="eastAsia" w:ascii="宋体" w:hAnsi="宋体" w:eastAsia="宋体" w:cs="仿宋"/>
                <w:sz w:val="24"/>
                <w:szCs w:val="24"/>
                <w:highlight w:val="none"/>
              </w:rPr>
              <w:t>年</w:t>
            </w:r>
            <w:r>
              <w:rPr>
                <w:rStyle w:val="19"/>
                <w:rFonts w:hint="eastAsia" w:ascii="宋体" w:hAnsi="宋体" w:eastAsia="宋体" w:cs="仿宋"/>
                <w:sz w:val="24"/>
                <w:szCs w:val="24"/>
                <w:highlight w:val="none"/>
                <w:lang w:val="en-US" w:eastAsia="zh-CN"/>
              </w:rPr>
              <w:t xml:space="preserve">  </w:t>
            </w:r>
            <w:r>
              <w:rPr>
                <w:rStyle w:val="19"/>
                <w:rFonts w:hint="eastAsia" w:ascii="宋体" w:hAnsi="宋体" w:eastAsia="宋体" w:cs="仿宋"/>
                <w:sz w:val="24"/>
                <w:szCs w:val="24"/>
                <w:highlight w:val="none"/>
              </w:rPr>
              <w:t>月</w:t>
            </w:r>
            <w:r>
              <w:rPr>
                <w:rStyle w:val="19"/>
                <w:rFonts w:hint="eastAsia" w:ascii="宋体" w:hAnsi="宋体" w:eastAsia="宋体" w:cs="仿宋"/>
                <w:sz w:val="24"/>
                <w:szCs w:val="24"/>
                <w:highlight w:val="none"/>
                <w:lang w:val="en-US" w:eastAsia="zh-CN"/>
              </w:rPr>
              <w:t xml:space="preserve">  </w:t>
            </w:r>
            <w:r>
              <w:rPr>
                <w:rStyle w:val="19"/>
                <w:rFonts w:hint="eastAsia" w:ascii="宋体" w:hAnsi="宋体" w:eastAsia="宋体" w:cs="仿宋"/>
                <w:sz w:val="24"/>
                <w:szCs w:val="24"/>
                <w:highlight w:val="none"/>
              </w:rPr>
              <w:t>日</w:t>
            </w:r>
          </w:p>
        </w:tc>
        <w:tc>
          <w:tcPr>
            <w:tcW w:w="4275" w:type="dxa"/>
            <w:tcBorders>
              <w:top w:val="nil"/>
              <w:left w:val="nil"/>
              <w:bottom w:val="nil"/>
              <w:right w:val="nil"/>
            </w:tcBorders>
            <w:noWrap w:val="0"/>
            <w:tcMar>
              <w:top w:w="15" w:type="dxa"/>
              <w:left w:w="15" w:type="dxa"/>
              <w:right w:w="15" w:type="dxa"/>
            </w:tcMar>
            <w:vAlign w:val="center"/>
          </w:tcPr>
          <w:p w14:paraId="7E6A1862">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签订日期：202</w:t>
            </w:r>
            <w:r>
              <w:rPr>
                <w:rStyle w:val="19"/>
                <w:rFonts w:hint="eastAsia" w:ascii="宋体" w:hAnsi="宋体" w:eastAsia="宋体" w:cs="仿宋"/>
                <w:sz w:val="24"/>
                <w:szCs w:val="24"/>
                <w:highlight w:val="none"/>
                <w:lang w:val="en-US" w:eastAsia="zh-CN"/>
              </w:rPr>
              <w:t>6</w:t>
            </w:r>
            <w:r>
              <w:rPr>
                <w:rStyle w:val="19"/>
                <w:rFonts w:hint="eastAsia" w:ascii="宋体" w:hAnsi="宋体" w:eastAsia="宋体" w:cs="仿宋"/>
                <w:sz w:val="24"/>
                <w:szCs w:val="24"/>
                <w:highlight w:val="none"/>
              </w:rPr>
              <w:t>年</w:t>
            </w:r>
            <w:r>
              <w:rPr>
                <w:rStyle w:val="19"/>
                <w:rFonts w:hint="eastAsia" w:ascii="宋体" w:hAnsi="宋体" w:eastAsia="宋体" w:cs="仿宋"/>
                <w:sz w:val="24"/>
                <w:szCs w:val="24"/>
                <w:highlight w:val="none"/>
                <w:lang w:val="en-US" w:eastAsia="zh-CN"/>
              </w:rPr>
              <w:t xml:space="preserve">  </w:t>
            </w:r>
            <w:r>
              <w:rPr>
                <w:rStyle w:val="19"/>
                <w:rFonts w:hint="eastAsia" w:ascii="宋体" w:hAnsi="宋体" w:eastAsia="宋体" w:cs="仿宋"/>
                <w:sz w:val="24"/>
                <w:szCs w:val="24"/>
                <w:highlight w:val="none"/>
              </w:rPr>
              <w:t>月</w:t>
            </w:r>
            <w:r>
              <w:rPr>
                <w:rStyle w:val="19"/>
                <w:rFonts w:hint="eastAsia" w:ascii="宋体" w:hAnsi="宋体" w:eastAsia="宋体" w:cs="仿宋"/>
                <w:sz w:val="24"/>
                <w:szCs w:val="24"/>
                <w:highlight w:val="none"/>
                <w:lang w:val="en-US" w:eastAsia="zh-CN"/>
              </w:rPr>
              <w:t xml:space="preserve">  </w:t>
            </w:r>
            <w:r>
              <w:rPr>
                <w:rStyle w:val="19"/>
                <w:rFonts w:hint="eastAsia" w:ascii="宋体" w:hAnsi="宋体" w:eastAsia="宋体" w:cs="仿宋"/>
                <w:sz w:val="24"/>
                <w:szCs w:val="24"/>
                <w:highlight w:val="none"/>
              </w:rPr>
              <w:t>日</w:t>
            </w:r>
            <w:r>
              <w:rPr>
                <w:rStyle w:val="19"/>
                <w:rFonts w:hint="eastAsia" w:ascii="宋体" w:hAnsi="宋体" w:eastAsia="宋体" w:cs="仿宋"/>
                <w:sz w:val="24"/>
                <w:szCs w:val="24"/>
                <w:highlight w:val="none"/>
                <w:lang w:bidi="ar"/>
              </w:rPr>
              <w:t xml:space="preserve">   </w:t>
            </w:r>
          </w:p>
        </w:tc>
      </w:tr>
    </w:tbl>
    <w:p w14:paraId="6E2BB4B3">
      <w:pPr>
        <w:pStyle w:val="92"/>
        <w:keepNext w:val="0"/>
        <w:keepLines w:val="0"/>
        <w:pageBreakBefore w:val="0"/>
        <w:kinsoku/>
        <w:wordWrap/>
        <w:overflowPunct/>
        <w:topLinePunct w:val="0"/>
        <w:autoSpaceDE/>
        <w:autoSpaceDN/>
        <w:bidi w:val="0"/>
        <w:adjustRightInd/>
        <w:spacing w:line="360" w:lineRule="auto"/>
        <w:ind w:firstLine="560" w:firstLineChars="200"/>
        <w:rPr>
          <w:rStyle w:val="19"/>
          <w:rFonts w:hint="eastAsia" w:ascii="宋体" w:hAnsi="宋体" w:eastAsia="宋体" w:cs="仿宋"/>
          <w:sz w:val="28"/>
          <w:szCs w:val="28"/>
          <w:highlight w:val="none"/>
        </w:rPr>
      </w:pPr>
    </w:p>
    <w:p w14:paraId="5953FA20">
      <w:pPr>
        <w:pStyle w:val="3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宋体"/>
          <w:sz w:val="30"/>
          <w:szCs w:val="30"/>
          <w:highlight w:val="none"/>
        </w:rPr>
      </w:pPr>
    </w:p>
    <w:p w14:paraId="23A73D5B">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23B8E718">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23FCA9F0">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5C01EE43">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52816507">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08724A56">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7DEA5F71">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08D05259">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6CC2217D">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48A2ABA5">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6610139A">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7A72A253">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79E82214">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57425505">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36E5705F">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5FC92E2B">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409B6322">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72F48B4E">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626BB280">
      <w:pPr>
        <w:pStyle w:val="32"/>
        <w:keepNext w:val="0"/>
        <w:keepLines w:val="0"/>
        <w:pageBreakBefore w:val="0"/>
        <w:kinsoku/>
        <w:wordWrap/>
        <w:overflowPunct/>
        <w:topLinePunct w:val="0"/>
        <w:autoSpaceDE/>
        <w:autoSpaceDN/>
        <w:bidi w:val="0"/>
        <w:adjustRightInd/>
        <w:spacing w:line="360" w:lineRule="auto"/>
        <w:rPr>
          <w:rStyle w:val="19"/>
          <w:rFonts w:ascii="宋体" w:hAnsi="宋体" w:eastAsia="宋体" w:cs="Times New Roman"/>
          <w:highlight w:val="none"/>
        </w:rPr>
      </w:pPr>
    </w:p>
    <w:p w14:paraId="3EA73545">
      <w:pPr>
        <w:pStyle w:val="32"/>
        <w:rPr>
          <w:rStyle w:val="19"/>
          <w:rFonts w:hint="eastAsia" w:ascii="宋体" w:hAnsi="宋体" w:eastAsia="宋体" w:cs="Times New Roman"/>
          <w:sz w:val="30"/>
          <w:szCs w:val="30"/>
          <w:highlight w:val="none"/>
        </w:rPr>
      </w:pPr>
      <w:r>
        <w:rPr>
          <w:rStyle w:val="19"/>
          <w:rFonts w:hint="eastAsia" w:ascii="宋体" w:hAnsi="宋体" w:eastAsia="宋体" w:cs="Times New Roman"/>
          <w:sz w:val="30"/>
          <w:szCs w:val="30"/>
          <w:highlight w:val="none"/>
        </w:rPr>
        <w:t>附件1</w:t>
      </w:r>
      <w:r>
        <w:rPr>
          <w:rStyle w:val="19"/>
          <w:rFonts w:ascii="宋体" w:hAnsi="宋体" w:eastAsia="宋体" w:cs="Times New Roman"/>
          <w:sz w:val="30"/>
          <w:szCs w:val="30"/>
          <w:highlight w:val="none"/>
        </w:rPr>
        <w:t>6</w:t>
      </w:r>
      <w:r>
        <w:rPr>
          <w:rStyle w:val="19"/>
          <w:rFonts w:hint="eastAsia" w:ascii="宋体" w:hAnsi="宋体" w:eastAsia="宋体" w:cs="Times New Roman"/>
          <w:sz w:val="30"/>
          <w:szCs w:val="30"/>
          <w:highlight w:val="none"/>
        </w:rPr>
        <w:t>中标工程量清</w:t>
      </w:r>
      <w:r>
        <w:rPr>
          <w:rStyle w:val="19"/>
          <w:rFonts w:hint="eastAsia" w:ascii="宋体" w:hAnsi="宋体" w:eastAsia="宋体" w:cs="Times New Roman"/>
          <w:sz w:val="30"/>
          <w:szCs w:val="30"/>
          <w:highlight w:val="none"/>
          <w:lang w:val="en-US" w:eastAsia="zh-CN"/>
        </w:rPr>
        <w:t>单</w:t>
      </w:r>
    </w:p>
    <w:p w14:paraId="27433EE7">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46FC2FA2">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6013A5A5">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063C3F41">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0921F3C8">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1646A3F1">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1E59D787">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1775F445">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650DCB5E">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1A1C4C58">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1420992C">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3E639E09">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44452B48">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39C7CFB6">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336D3C1B">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2AFE1A9F">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4965699E">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2CB4793E">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0437D2F1">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0D9145A8">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55A74C61">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p>
    <w:p w14:paraId="4D2E5911">
      <w:pPr>
        <w:pStyle w:val="92"/>
        <w:keepNext w:val="0"/>
        <w:keepLines w:val="0"/>
        <w:pageBreakBefore w:val="0"/>
        <w:kinsoku/>
        <w:wordWrap/>
        <w:overflowPunct/>
        <w:topLinePunct w:val="0"/>
        <w:autoSpaceDE/>
        <w:autoSpaceDN/>
        <w:bidi w:val="0"/>
        <w:adjustRightInd/>
        <w:spacing w:line="360" w:lineRule="auto"/>
        <w:jc w:val="left"/>
        <w:rPr>
          <w:rStyle w:val="19"/>
          <w:rFonts w:hint="eastAsia" w:ascii="宋体" w:hAnsi="宋体" w:eastAsia="宋体" w:cs="Times New Roman"/>
          <w:sz w:val="30"/>
          <w:szCs w:val="30"/>
          <w:highlight w:val="none"/>
        </w:rPr>
      </w:pPr>
      <w:r>
        <w:rPr>
          <w:rStyle w:val="19"/>
          <w:rFonts w:hint="eastAsia" w:ascii="宋体" w:hAnsi="宋体" w:eastAsia="宋体" w:cs="Times New Roman"/>
          <w:sz w:val="30"/>
          <w:szCs w:val="30"/>
          <w:highlight w:val="none"/>
        </w:rPr>
        <w:t>附件1</w:t>
      </w:r>
      <w:r>
        <w:rPr>
          <w:rStyle w:val="19"/>
          <w:rFonts w:ascii="宋体" w:hAnsi="宋体" w:eastAsia="宋体" w:cs="Times New Roman"/>
          <w:sz w:val="30"/>
          <w:szCs w:val="30"/>
          <w:highlight w:val="none"/>
        </w:rPr>
        <w:t>7</w:t>
      </w:r>
      <w:r>
        <w:rPr>
          <w:rStyle w:val="19"/>
          <w:rFonts w:hint="eastAsia" w:ascii="宋体" w:hAnsi="宋体" w:eastAsia="宋体" w:cs="Times New Roman"/>
          <w:sz w:val="30"/>
          <w:szCs w:val="30"/>
          <w:highlight w:val="none"/>
        </w:rPr>
        <w:t>：廉洁协议</w:t>
      </w:r>
    </w:p>
    <w:p w14:paraId="19B43D87">
      <w:pPr>
        <w:pStyle w:val="92"/>
        <w:keepNext w:val="0"/>
        <w:keepLines w:val="0"/>
        <w:pageBreakBefore w:val="0"/>
        <w:kinsoku/>
        <w:wordWrap/>
        <w:overflowPunct/>
        <w:topLinePunct w:val="0"/>
        <w:autoSpaceDE/>
        <w:autoSpaceDN/>
        <w:bidi w:val="0"/>
        <w:adjustRightInd/>
        <w:spacing w:line="360" w:lineRule="auto"/>
        <w:rPr>
          <w:rStyle w:val="19"/>
          <w:rFonts w:hint="eastAsia" w:ascii="宋体" w:hAnsi="宋体" w:eastAsia="宋体" w:cs="仿宋"/>
          <w:sz w:val="24"/>
          <w:highlight w:val="none"/>
        </w:rPr>
      </w:pPr>
      <w:r>
        <w:rPr>
          <w:rStyle w:val="19"/>
          <w:rFonts w:hint="eastAsia" w:ascii="宋体" w:hAnsi="宋体" w:eastAsia="宋体" w:cs="仿宋"/>
          <w:sz w:val="24"/>
          <w:highlight w:val="none"/>
        </w:rPr>
        <w:t>发包人（全称）：广西壮族自治区人民医院（以下简称甲方）</w:t>
      </w:r>
    </w:p>
    <w:p w14:paraId="082474A7">
      <w:pPr>
        <w:pStyle w:val="90"/>
        <w:keepNext w:val="0"/>
        <w:keepLines w:val="0"/>
        <w:pageBreakBefore w:val="0"/>
        <w:kinsoku/>
        <w:wordWrap/>
        <w:overflowPunct/>
        <w:topLinePunct w:val="0"/>
        <w:autoSpaceDE/>
        <w:autoSpaceDN/>
        <w:bidi w:val="0"/>
        <w:adjustRightInd/>
        <w:spacing w:line="360" w:lineRule="auto"/>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承包人（全称）：</w:t>
      </w:r>
      <w:r>
        <w:rPr>
          <w:rStyle w:val="19"/>
          <w:rFonts w:hint="eastAsia" w:ascii="宋体" w:hAnsi="宋体" w:eastAsia="宋体" w:cs="仿宋"/>
          <w:sz w:val="24"/>
          <w:szCs w:val="24"/>
          <w:highlight w:val="none"/>
          <w:lang w:val="en-US" w:eastAsia="zh-CN"/>
        </w:rPr>
        <w:t xml:space="preserve"> </w:t>
      </w:r>
      <w:r>
        <w:rPr>
          <w:rStyle w:val="19"/>
          <w:rFonts w:hint="eastAsia" w:ascii="宋体" w:hAnsi="宋体" w:eastAsia="宋体" w:cs="仿宋"/>
          <w:sz w:val="24"/>
          <w:szCs w:val="24"/>
          <w:highlight w:val="none"/>
        </w:rPr>
        <w:t>（以下简称乙方）</w:t>
      </w:r>
    </w:p>
    <w:p w14:paraId="44827F14">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为了在工程建设中保持廉洁自律的工作作风，防止各种不正当行为的发生，根据国家和自治区有关工程承发包和廉政建设的各项规定以及自治区关于《建设工程承发包双方签订廉洁协议的暂行规定》，特立如下协议：</w:t>
      </w:r>
    </w:p>
    <w:p w14:paraId="6DE64A55">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甲乙双方应当共同自觉遵守国家和自治区关于党风廉政建设和各项规定和关于建设工程承发包的各项规定。</w:t>
      </w:r>
    </w:p>
    <w:p w14:paraId="7C4FF745">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一、甲乙双方应当共同自觉遵守国家和自治区关于党风廉政建设的各项规定和关于建设工程承发包的各项规定。</w:t>
      </w:r>
    </w:p>
    <w:p w14:paraId="7D12B4D9">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二、甲方及其工作人员应做到：</w:t>
      </w:r>
    </w:p>
    <w:p w14:paraId="6541F679">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（一）甲方工作人员（含家属、子女、下同）不得以任何形式向乙方索要赞助和收受回扣等好处费。</w:t>
      </w:r>
    </w:p>
    <w:p w14:paraId="43BD5081">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二）甲方工作人员应当保持与乙方的正常业务交往，不得接受乙方的礼金、有价证券和贵重物品，不得向乙方索要（或接受）通讯工具、交通工具家电及高档办公用品，不得在乙方报销任何应由单位或个人支付的费用。</w:t>
      </w:r>
    </w:p>
    <w:p w14:paraId="1246016A">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（三）甲方工作人员不得参加可能影响公正招待公务的宴请和高消费的娱乐活动。</w:t>
      </w:r>
    </w:p>
    <w:p w14:paraId="0638B906">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（四）甲方工作人员不得要求或者接受乙方为其住房装修、婚丧嫁娶、家属和子女的工作安排，以及出国、出境提供方便。</w:t>
      </w:r>
    </w:p>
    <w:p w14:paraId="1D29EB9D">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（五）甲方工作人员不得向乙方介绍家属或亲友从事与甲方工作有关的材料设备供应、工程分包等经济活动。</w:t>
      </w:r>
    </w:p>
    <w:p w14:paraId="06851A0F">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三、乙方及其工作人员应做到：</w:t>
      </w:r>
    </w:p>
    <w:p w14:paraId="456B703F">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（一）乙方应当通过正常途径开展相对业务工作，不得为获取某些不正当利益而向甲方工作人员（含家属、子女、下同）赠送礼金、有价证券和贵重物品等。</w:t>
      </w:r>
    </w:p>
    <w:p w14:paraId="4D37EEAA">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（二）乙方工作人员不得为谋取私利擅自与甲方工作人员就工程承包、工程费用、材料设备供应、工程量变动、工程验收、工程质量问题处理等进行私下商谈或者达成默契。</w:t>
      </w:r>
    </w:p>
    <w:p w14:paraId="1D3BB0F7">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（三）乙方不得以洽谈业务、签订经济合同为借口，邀请甲方工作人员外出旅游或进入营业性高档娱乐场所。</w:t>
      </w:r>
    </w:p>
    <w:p w14:paraId="5A61F5AE">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（四）乙方不得为甲方单位和个人购置或者提供通讯工具、交通工具、家电、高档办公用品等物品。</w:t>
      </w:r>
    </w:p>
    <w:p w14:paraId="78826883">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四、乙方如发现甲方及其工作台人员有违反上述协议者，应当向甲方领导或者甲方上级单位举报，甲方不得找任何借口对乙方进行报复或刁难、延误工作。</w:t>
      </w:r>
    </w:p>
    <w:p w14:paraId="70FF2A05">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rPr>
        <w:t>五、甲方发现乙方有违反本协议或者彩不正当的手段贿赂甲方工作人员，甲方应向乙方上级领导或有关部门举报，由此给甲方单位造成的损失均由乙方承担。</w:t>
      </w:r>
    </w:p>
    <w:p w14:paraId="4440EA28">
      <w:pPr>
        <w:pStyle w:val="90"/>
        <w:keepNext w:val="0"/>
        <w:keepLines w:val="0"/>
        <w:pageBreakBefore w:val="0"/>
        <w:kinsoku/>
        <w:wordWrap/>
        <w:overflowPunct/>
        <w:topLinePunct w:val="0"/>
        <w:autoSpaceDE/>
        <w:autoSpaceDN/>
        <w:bidi w:val="0"/>
        <w:adjustRightInd/>
        <w:spacing w:line="360" w:lineRule="auto"/>
        <w:ind w:firstLine="480" w:firstLineChars="200"/>
        <w:rPr>
          <w:rStyle w:val="19"/>
          <w:rFonts w:ascii="宋体" w:hAnsi="宋体" w:eastAsia="宋体" w:cs="仿宋"/>
          <w:sz w:val="24"/>
          <w:szCs w:val="24"/>
          <w:highlight w:val="none"/>
        </w:rPr>
      </w:pPr>
      <w:r>
        <w:rPr>
          <w:rStyle w:val="19"/>
          <w:rFonts w:hint="eastAsia" w:ascii="宋体" w:hAnsi="宋体" w:eastAsia="宋体" w:cs="仿宋"/>
          <w:sz w:val="24"/>
          <w:szCs w:val="24"/>
          <w:highlight w:val="none"/>
        </w:rPr>
        <w:t>六、本廉洁协议作为工程承发包合同的附件，经协议双方签署后立即生效。</w:t>
      </w:r>
    </w:p>
    <w:tbl>
      <w:tblPr>
        <w:tblStyle w:val="18"/>
        <w:tblpPr w:leftFromText="180" w:rightFromText="180" w:vertAnchor="text" w:horzAnchor="page" w:tblpX="1784" w:tblpY="198"/>
        <w:tblOverlap w:val="never"/>
        <w:tblW w:w="0" w:type="auto"/>
        <w:tblInd w:w="0" w:type="dxa"/>
        <w:tblLayout w:type="fixed"/>
        <w:tblCellMar>
          <w:top w:w="0" w:type="dxa"/>
          <w:left w:w="0" w:type="dxa"/>
          <w:bottom w:w="0" w:type="dxa"/>
          <w:right w:w="0" w:type="dxa"/>
        </w:tblCellMar>
      </w:tblPr>
      <w:tblGrid>
        <w:gridCol w:w="4551"/>
        <w:gridCol w:w="3999"/>
      </w:tblGrid>
      <w:tr w14:paraId="4004F7D6">
        <w:tblPrEx>
          <w:tblCellMar>
            <w:top w:w="0" w:type="dxa"/>
            <w:left w:w="0" w:type="dxa"/>
            <w:bottom w:w="0" w:type="dxa"/>
            <w:right w:w="0" w:type="dxa"/>
          </w:tblCellMar>
        </w:tblPrEx>
        <w:trPr>
          <w:trHeight w:val="500" w:hRule="atLeast"/>
        </w:trPr>
        <w:tc>
          <w:tcPr>
            <w:tcW w:w="4551" w:type="dxa"/>
            <w:noWrap w:val="0"/>
            <w:tcMar>
              <w:top w:w="15" w:type="dxa"/>
              <w:left w:w="15" w:type="dxa"/>
              <w:right w:w="15" w:type="dxa"/>
            </w:tcMar>
            <w:vAlign w:val="center"/>
          </w:tcPr>
          <w:p w14:paraId="1F06F8A9">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sz w:val="24"/>
                <w:szCs w:val="24"/>
                <w:highlight w:val="none"/>
              </w:rPr>
            </w:pPr>
            <w:r>
              <w:rPr>
                <w:rStyle w:val="19"/>
                <w:rFonts w:hint="eastAsia" w:ascii="宋体" w:hAnsi="宋体" w:eastAsia="宋体" w:cs="仿宋"/>
                <w:kern w:val="0"/>
                <w:sz w:val="24"/>
                <w:szCs w:val="24"/>
                <w:highlight w:val="none"/>
                <w:lang w:bidi="ar"/>
              </w:rPr>
              <w:t>发包人（公章）：广西壮族自治区人民医院</w:t>
            </w:r>
          </w:p>
        </w:tc>
        <w:tc>
          <w:tcPr>
            <w:tcW w:w="3999" w:type="dxa"/>
            <w:noWrap w:val="0"/>
            <w:tcMar>
              <w:top w:w="15" w:type="dxa"/>
              <w:left w:w="15" w:type="dxa"/>
              <w:right w:w="15" w:type="dxa"/>
            </w:tcMar>
            <w:vAlign w:val="center"/>
          </w:tcPr>
          <w:p w14:paraId="3A6C1A99">
            <w:pPr>
              <w:pStyle w:val="32"/>
              <w:keepNext w:val="0"/>
              <w:keepLines w:val="0"/>
              <w:pageBreakBefore w:val="0"/>
              <w:widowControl/>
              <w:kinsoku/>
              <w:wordWrap/>
              <w:overflowPunct/>
              <w:topLinePunct w:val="0"/>
              <w:autoSpaceDE/>
              <w:autoSpaceDN/>
              <w:bidi w:val="0"/>
              <w:adjustRightInd/>
              <w:spacing w:line="360" w:lineRule="auto"/>
              <w:ind w:firstLine="240" w:firstLineChars="100"/>
              <w:jc w:val="left"/>
              <w:textAlignment w:val="center"/>
              <w:rPr>
                <w:rStyle w:val="19"/>
                <w:rFonts w:hint="eastAsia" w:ascii="宋体" w:hAnsi="宋体" w:eastAsia="宋体" w:cs="仿宋"/>
                <w:sz w:val="24"/>
                <w:szCs w:val="24"/>
                <w:highlight w:val="none"/>
              </w:rPr>
            </w:pPr>
            <w:r>
              <w:rPr>
                <w:rStyle w:val="19"/>
                <w:rFonts w:hint="eastAsia" w:ascii="宋体" w:hAnsi="宋体" w:eastAsia="宋体" w:cs="仿宋"/>
                <w:kern w:val="0"/>
                <w:sz w:val="24"/>
                <w:szCs w:val="24"/>
                <w:highlight w:val="none"/>
                <w:lang w:bidi="ar"/>
              </w:rPr>
              <w:t xml:space="preserve">承包人（公章）： </w:t>
            </w:r>
            <w:r>
              <w:rPr>
                <w:rStyle w:val="19"/>
                <w:rFonts w:hint="eastAsia" w:ascii="宋体" w:hAnsi="宋体" w:eastAsia="宋体" w:cs="仿宋"/>
                <w:kern w:val="0"/>
                <w:sz w:val="24"/>
                <w:szCs w:val="24"/>
                <w:highlight w:val="none"/>
                <w:lang w:val="en-US" w:eastAsia="zh-CN" w:bidi="ar"/>
              </w:rPr>
              <w:t xml:space="preserve"> </w:t>
            </w:r>
          </w:p>
        </w:tc>
      </w:tr>
      <w:tr w14:paraId="506E5895">
        <w:tblPrEx>
          <w:tblCellMar>
            <w:top w:w="0" w:type="dxa"/>
            <w:left w:w="0" w:type="dxa"/>
            <w:bottom w:w="0" w:type="dxa"/>
            <w:right w:w="0" w:type="dxa"/>
          </w:tblCellMar>
        </w:tblPrEx>
        <w:trPr>
          <w:trHeight w:val="500" w:hRule="atLeast"/>
        </w:trPr>
        <w:tc>
          <w:tcPr>
            <w:tcW w:w="4551" w:type="dxa"/>
            <w:noWrap w:val="0"/>
            <w:tcMar>
              <w:top w:w="15" w:type="dxa"/>
              <w:left w:w="15" w:type="dxa"/>
              <w:right w:w="15" w:type="dxa"/>
            </w:tcMar>
            <w:vAlign w:val="center"/>
          </w:tcPr>
          <w:p w14:paraId="1C0B40CB">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u w:val="single"/>
              </w:rPr>
              <w:t>签订日期：202</w:t>
            </w:r>
            <w:r>
              <w:rPr>
                <w:rStyle w:val="19"/>
                <w:rFonts w:hint="eastAsia" w:ascii="宋体" w:hAnsi="宋体" w:eastAsia="宋体" w:cs="仿宋"/>
                <w:sz w:val="24"/>
                <w:szCs w:val="24"/>
                <w:highlight w:val="none"/>
                <w:u w:val="single"/>
                <w:lang w:val="en-US" w:eastAsia="zh-CN"/>
              </w:rPr>
              <w:t>6</w:t>
            </w:r>
            <w:r>
              <w:rPr>
                <w:rStyle w:val="19"/>
                <w:rFonts w:hint="eastAsia" w:ascii="宋体" w:hAnsi="宋体" w:eastAsia="宋体" w:cs="仿宋"/>
                <w:sz w:val="24"/>
                <w:szCs w:val="24"/>
                <w:highlight w:val="none"/>
                <w:u w:val="single"/>
              </w:rPr>
              <w:t>年</w:t>
            </w:r>
            <w:r>
              <w:rPr>
                <w:rStyle w:val="19"/>
                <w:rFonts w:hint="eastAsia" w:ascii="宋体" w:hAnsi="宋体" w:eastAsia="宋体" w:cs="仿宋"/>
                <w:sz w:val="24"/>
                <w:szCs w:val="24"/>
                <w:highlight w:val="none"/>
                <w:u w:val="single"/>
                <w:lang w:val="en-US" w:eastAsia="zh-CN"/>
              </w:rPr>
              <w:t xml:space="preserve">  </w:t>
            </w:r>
            <w:r>
              <w:rPr>
                <w:rStyle w:val="19"/>
                <w:rFonts w:hint="eastAsia" w:ascii="宋体" w:hAnsi="宋体" w:eastAsia="宋体" w:cs="仿宋"/>
                <w:sz w:val="24"/>
                <w:szCs w:val="24"/>
                <w:highlight w:val="none"/>
                <w:u w:val="single"/>
              </w:rPr>
              <w:t>月</w:t>
            </w:r>
            <w:r>
              <w:rPr>
                <w:rStyle w:val="19"/>
                <w:rFonts w:hint="eastAsia" w:ascii="宋体" w:hAnsi="宋体" w:eastAsia="宋体" w:cs="仿宋"/>
                <w:sz w:val="24"/>
                <w:szCs w:val="24"/>
                <w:highlight w:val="none"/>
                <w:u w:val="single"/>
                <w:lang w:val="en-US" w:eastAsia="zh-CN"/>
              </w:rPr>
              <w:t xml:space="preserve">  </w:t>
            </w:r>
            <w:r>
              <w:rPr>
                <w:rStyle w:val="19"/>
                <w:rFonts w:hint="eastAsia" w:ascii="宋体" w:hAnsi="宋体" w:eastAsia="宋体" w:cs="仿宋"/>
                <w:sz w:val="24"/>
                <w:szCs w:val="24"/>
                <w:highlight w:val="none"/>
                <w:u w:val="single"/>
              </w:rPr>
              <w:t>日</w:t>
            </w:r>
          </w:p>
        </w:tc>
        <w:tc>
          <w:tcPr>
            <w:tcW w:w="3999" w:type="dxa"/>
            <w:noWrap w:val="0"/>
            <w:tcMar>
              <w:top w:w="15" w:type="dxa"/>
              <w:left w:w="15" w:type="dxa"/>
              <w:right w:w="15" w:type="dxa"/>
            </w:tcMar>
            <w:vAlign w:val="center"/>
          </w:tcPr>
          <w:p w14:paraId="5DB76835">
            <w:pPr>
              <w:pStyle w:val="32"/>
              <w:keepNext w:val="0"/>
              <w:keepLines w:val="0"/>
              <w:pageBreakBefore w:val="0"/>
              <w:widowControl/>
              <w:kinsoku/>
              <w:wordWrap/>
              <w:overflowPunct/>
              <w:topLinePunct w:val="0"/>
              <w:autoSpaceDE/>
              <w:autoSpaceDN/>
              <w:bidi w:val="0"/>
              <w:adjustRightInd/>
              <w:spacing w:line="360" w:lineRule="auto"/>
              <w:jc w:val="left"/>
              <w:textAlignment w:val="center"/>
              <w:rPr>
                <w:rStyle w:val="19"/>
                <w:rFonts w:hint="eastAsia" w:ascii="宋体" w:hAnsi="宋体" w:eastAsia="宋体" w:cs="仿宋"/>
                <w:sz w:val="24"/>
                <w:szCs w:val="24"/>
                <w:highlight w:val="none"/>
              </w:rPr>
            </w:pPr>
            <w:r>
              <w:rPr>
                <w:rStyle w:val="19"/>
                <w:rFonts w:hint="eastAsia" w:ascii="宋体" w:hAnsi="宋体" w:eastAsia="宋体" w:cs="仿宋"/>
                <w:sz w:val="24"/>
                <w:szCs w:val="24"/>
                <w:highlight w:val="none"/>
                <w:u w:val="single"/>
              </w:rPr>
              <w:t xml:space="preserve">    签订日期：202</w:t>
            </w:r>
            <w:r>
              <w:rPr>
                <w:rStyle w:val="19"/>
                <w:rFonts w:hint="eastAsia" w:ascii="宋体" w:hAnsi="宋体" w:eastAsia="宋体" w:cs="仿宋"/>
                <w:sz w:val="24"/>
                <w:szCs w:val="24"/>
                <w:highlight w:val="none"/>
                <w:u w:val="single"/>
                <w:lang w:val="en-US" w:eastAsia="zh-CN"/>
              </w:rPr>
              <w:t>6</w:t>
            </w:r>
            <w:r>
              <w:rPr>
                <w:rStyle w:val="19"/>
                <w:rFonts w:hint="eastAsia" w:ascii="宋体" w:hAnsi="宋体" w:eastAsia="宋体" w:cs="仿宋"/>
                <w:sz w:val="24"/>
                <w:szCs w:val="24"/>
                <w:highlight w:val="none"/>
                <w:u w:val="single"/>
              </w:rPr>
              <w:t>年</w:t>
            </w:r>
            <w:r>
              <w:rPr>
                <w:rStyle w:val="19"/>
                <w:rFonts w:hint="eastAsia" w:ascii="宋体" w:hAnsi="宋体" w:eastAsia="宋体" w:cs="仿宋"/>
                <w:sz w:val="24"/>
                <w:szCs w:val="24"/>
                <w:highlight w:val="none"/>
                <w:u w:val="single"/>
                <w:lang w:val="en-US" w:eastAsia="zh-CN"/>
              </w:rPr>
              <w:t xml:space="preserve">  </w:t>
            </w:r>
            <w:r>
              <w:rPr>
                <w:rStyle w:val="19"/>
                <w:rFonts w:hint="eastAsia" w:ascii="宋体" w:hAnsi="宋体" w:eastAsia="宋体" w:cs="仿宋"/>
                <w:sz w:val="24"/>
                <w:szCs w:val="24"/>
                <w:highlight w:val="none"/>
                <w:u w:val="single"/>
              </w:rPr>
              <w:t>月</w:t>
            </w:r>
            <w:r>
              <w:rPr>
                <w:rStyle w:val="19"/>
                <w:rFonts w:hint="eastAsia" w:ascii="宋体" w:hAnsi="宋体" w:eastAsia="宋体" w:cs="仿宋"/>
                <w:sz w:val="24"/>
                <w:szCs w:val="24"/>
                <w:highlight w:val="none"/>
                <w:u w:val="single"/>
                <w:lang w:val="en-US" w:eastAsia="zh-CN"/>
              </w:rPr>
              <w:t xml:space="preserve">  </w:t>
            </w:r>
            <w:r>
              <w:rPr>
                <w:rStyle w:val="19"/>
                <w:rFonts w:hint="eastAsia" w:ascii="宋体" w:hAnsi="宋体" w:eastAsia="宋体" w:cs="仿宋"/>
                <w:sz w:val="24"/>
                <w:szCs w:val="24"/>
                <w:highlight w:val="none"/>
                <w:u w:val="single"/>
              </w:rPr>
              <w:t>日</w:t>
            </w:r>
          </w:p>
        </w:tc>
      </w:tr>
    </w:tbl>
    <w:p w14:paraId="216B4B7A">
      <w:pPr>
        <w:keepNext w:val="0"/>
        <w:keepLines w:val="0"/>
        <w:pageBreakBefore w:val="0"/>
        <w:kinsoku/>
        <w:wordWrap/>
        <w:overflowPunct/>
        <w:topLinePunct w:val="0"/>
        <w:autoSpaceDE/>
        <w:autoSpaceDN/>
        <w:bidi w:val="0"/>
        <w:adjustRightInd/>
        <w:spacing w:line="360" w:lineRule="auto"/>
        <w:rPr>
          <w:rFonts w:hint="eastAsia"/>
          <w:color w:val="000080"/>
          <w:sz w:val="20"/>
          <w:highlight w:val="none"/>
        </w:rPr>
      </w:pPr>
      <w:bookmarkStart w:id="1468" w:name="EBe5284d1842b94f0c98d02c465f9a426c"/>
      <w:r>
        <w:rPr>
          <w:rFonts w:hint="eastAsia"/>
          <w:color w:val="000080"/>
          <w:sz w:val="20"/>
          <w:highlight w:val="none"/>
        </w:rPr>
        <w:t xml:space="preserve"> </w:t>
      </w:r>
      <w:bookmarkEnd w:id="1468"/>
    </w:p>
    <w:p w14:paraId="2EA682E5">
      <w:pPr>
        <w:keepNext w:val="0"/>
        <w:keepLines w:val="0"/>
        <w:pageBreakBefore w:val="0"/>
        <w:kinsoku/>
        <w:wordWrap/>
        <w:overflowPunct/>
        <w:topLinePunct w:val="0"/>
        <w:autoSpaceDE/>
        <w:autoSpaceDN/>
        <w:bidi w:val="0"/>
        <w:adjustRightInd/>
        <w:spacing w:line="360" w:lineRule="auto"/>
        <w:jc w:val="center"/>
        <w:rPr>
          <w:rFonts w:hAnsi="宋体" w:cs="宋体"/>
          <w:b/>
          <w:bCs/>
          <w:color w:val="000000"/>
          <w:kern w:val="0"/>
          <w:highlight w:val="none"/>
        </w:rPr>
      </w:pPr>
    </w:p>
    <w:p w14:paraId="0ED5A9D6">
      <w:pPr>
        <w:rPr>
          <w:rFonts w:hint="eastAsia" w:asciiTheme="minorEastAsia" w:hAnsiTheme="minorEastAsia" w:eastAsiaTheme="minorEastAsia" w:cstheme="minorEastAsia"/>
          <w:color w:val="auto"/>
          <w:sz w:val="21"/>
          <w:szCs w:val="21"/>
          <w:highlight w:val="none"/>
        </w:rPr>
      </w:pPr>
    </w:p>
    <w:sectPr>
      <w:headerReference r:id="rId12" w:type="default"/>
      <w:footerReference r:id="rId13" w:type="default"/>
      <w:pgSz w:w="11906" w:h="16838"/>
      <w:pgMar w:top="1440" w:right="1080" w:bottom="1440" w:left="1080" w:header="283" w:footer="850"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宋体;SimSun">
    <w:altName w:val="宋体"/>
    <w:panose1 w:val="00000000000000000000"/>
    <w:charset w:val="00"/>
    <w:family w:val="roman"/>
    <w:pitch w:val="default"/>
    <w:sig w:usb0="00000000" w:usb1="00000000" w:usb2="00000000" w:usb3="00000000" w:csb0="00040001" w:csb1="00000000"/>
  </w:font>
  <w:font w:name="MingLiU_HKSCS">
    <w:panose1 w:val="02020500000000000000"/>
    <w:charset w:val="88"/>
    <w:family w:val="roman"/>
    <w:pitch w:val="default"/>
    <w:sig w:usb0="A00002FF" w:usb1="3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CE955">
    <w:pPr>
      <w:pStyle w:val="13"/>
      <w:jc w:val="center"/>
    </w:pPr>
  </w:p>
  <w:p w14:paraId="009E3649">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D6A21">
    <w:pPr>
      <w:pStyle w:val="13"/>
      <w:tabs>
        <w:tab w:val="center" w:pos="4873"/>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4F90C">
                          <w:pPr>
                            <w:pStyle w:val="1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fQw0AgAAZQQAAA4AAABkcnMvZTJvRG9jLnhtbK1UzY7TMBC+I/EO&#10;lu80adGu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99e5d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oH0MNAIAAGUEAAAOAAAAAAAAAAEAIAAAAB8BAABkcnMvZTJvRG9jLnhtbFBL&#10;BQYAAAAABgAGAFkBAADFBQAAAAA=&#10;">
              <v:fill on="f" focussize="0,0"/>
              <v:stroke on="f" weight="0.5pt"/>
              <v:imagedata o:title=""/>
              <o:lock v:ext="edit" aspectratio="f"/>
              <v:textbox inset="0mm,0mm,0mm,0mm" style="mso-fit-shape-to-text:t;">
                <w:txbxContent>
                  <w:p w14:paraId="3214F90C">
                    <w:pPr>
                      <w:pStyle w:val="13"/>
                    </w:pP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AB6C2">
    <w:pPr>
      <w:pStyle w:val="13"/>
      <w:tabs>
        <w:tab w:val="center" w:pos="4782"/>
        <w:tab w:val="clear" w:pos="41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3CCFB">
    <w:pPr>
      <w:spacing w:line="176" w:lineRule="auto"/>
      <w:ind w:left="47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D1DFA">
                          <w:pPr>
                            <w:pStyle w:val="1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TBMpg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kwTKYNAIAAGUEAAAOAAAAAAAAAAEAIAAAAB8BAABkcnMvZTJvRG9jLnhtbFBL&#10;BQYAAAAABgAGAFkBAADFBQAAAAA=&#10;">
              <v:fill on="f" focussize="0,0"/>
              <v:stroke on="f" weight="0.5pt"/>
              <v:imagedata o:title=""/>
              <o:lock v:ext="edit" aspectratio="f"/>
              <v:textbox inset="0mm,0mm,0mm,0mm" style="mso-fit-shape-to-text:t;">
                <w:txbxContent>
                  <w:p w14:paraId="30AD1DFA">
                    <w:pPr>
                      <w:pStyle w:val="1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BD646">
    <w:pPr>
      <w:spacing w:line="176" w:lineRule="auto"/>
      <w:ind w:left="47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F08030">
                          <w:pPr>
                            <w:pStyle w:val="1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yGFI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AE8M0Sn768f30&#10;8+H06xtJh5CocWGGyHuH2Ni+sy3Ch/OAw8S8rbxOX3Ai8APseBFYtJHwdGk6mU5zuDh8wwb42eN1&#10;50N8L6wmySioRwU7YdlhE2IfOoSkbMaupVJdFZUhTUGvXr/N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yGFIzAgAAZQQAAA4AAAAAAAAAAQAgAAAAHwEAAGRycy9lMm9Eb2MueG1sUEsF&#10;BgAAAAAGAAYAWQEAAMQFAAAAAA==&#10;">
              <v:fill on="f" focussize="0,0"/>
              <v:stroke on="f" weight="0.5pt"/>
              <v:imagedata o:title=""/>
              <o:lock v:ext="edit" aspectratio="f"/>
              <v:textbox inset="0mm,0mm,0mm,0mm" style="mso-fit-shape-to-text:t;">
                <w:txbxContent>
                  <w:p w14:paraId="6DF08030">
                    <w:pPr>
                      <w:pStyle w:val="1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8FE32">
    <w:pPr>
      <w:spacing w:line="173" w:lineRule="auto"/>
      <w:ind w:left="47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A2449">
                          <w:pPr>
                            <w:pStyle w:val="13"/>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6BEA2449">
                    <w:pPr>
                      <w:pStyle w:val="13"/>
                    </w:pPr>
                    <w:r>
                      <w:fldChar w:fldCharType="begin"/>
                    </w:r>
                    <w:r>
                      <w:instrText xml:space="preserve"> PAGE  \* MERGEFORMAT </w:instrText>
                    </w:r>
                    <w:r>
                      <w:fldChar w:fldCharType="separate"/>
                    </w:r>
                    <w:r>
                      <w:t>61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3045460</wp:posOffset>
              </wp:positionH>
              <wp:positionV relativeFrom="paragraph">
                <wp:posOffset>124460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189A6">
                          <w:pPr>
                            <w:pStyle w:val="1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9.8pt;margin-top:9.8pt;height:144pt;width:144pt;mso-position-horizontal-relative:margin;mso-wrap-style:none;z-index:251659264;mso-width-relative:page;mso-height-relative:page;" filled="f" stroked="f" coordsize="21600,21600" o:gfxdata="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bKO2NYAAAAKAQAADwAAAAAAAAABACAAAAAiAAAAZHJzL2Rvd25yZXYueG1s&#10;UEsBAhQAFAAAAAgAh07iQJYzS4AzAgAAYwQAAA4AAAAAAAAAAQAgAAAAJQEAAGRycy9lMm9Eb2Mu&#10;eG1sUEsFBgAAAAAGAAYAWQEAAMoFAAAAAA==&#10;">
              <v:fill on="f" focussize="0,0"/>
              <v:stroke on="f" weight="0.5pt"/>
              <v:imagedata o:title=""/>
              <o:lock v:ext="edit" aspectratio="f"/>
              <v:textbox inset="0mm,0mm,0mm,0mm" style="mso-fit-shape-to-text:t;">
                <w:txbxContent>
                  <w:p w14:paraId="3E8189A6">
                    <w:pPr>
                      <w:pStyle w:val="13"/>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30200">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D00115">
                          <w:pPr>
                            <w:pStyle w:val="13"/>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5r8z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t/5r8zAgAAZQQAAA4AAAAAAAAAAQAgAAAAHwEAAGRycy9lMm9Eb2MueG1sUEsF&#10;BgAAAAAGAAYAWQEAAMQFAAAAAA==&#10;">
              <v:fill on="f" focussize="0,0"/>
              <v:stroke on="f" weight="0.5pt"/>
              <v:imagedata o:title=""/>
              <o:lock v:ext="edit" aspectratio="f"/>
              <v:textbox inset="0mm,0mm,0mm,0mm" style="mso-fit-shape-to-text:t;">
                <w:txbxContent>
                  <w:p w14:paraId="6ED00115">
                    <w:pPr>
                      <w:pStyle w:val="13"/>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D9889">
    <w:pPr>
      <w:pStyle w:val="14"/>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38612">
    <w:pPr>
      <w:pStyle w:val="14"/>
      <w:pBdr>
        <w:bottom w:val="none" w:color="auto" w:sz="0" w:space="1"/>
      </w:pBdr>
      <w:jc w:val="both"/>
      <w:rPr>
        <w:rFonts w:hint="eastAsia"/>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94AC8">
    <w:pPr>
      <w:pStyle w:val="1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F2B01">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AED641"/>
    <w:multiLevelType w:val="singleLevel"/>
    <w:tmpl w:val="8AAED641"/>
    <w:lvl w:ilvl="0" w:tentative="0">
      <w:start w:val="5"/>
      <w:numFmt w:val="decimal"/>
      <w:lvlText w:val="%1."/>
      <w:lvlJc w:val="left"/>
      <w:pPr>
        <w:tabs>
          <w:tab w:val="left" w:pos="312"/>
        </w:tabs>
      </w:pPr>
    </w:lvl>
  </w:abstractNum>
  <w:abstractNum w:abstractNumId="1">
    <w:nsid w:val="2853201D"/>
    <w:multiLevelType w:val="singleLevel"/>
    <w:tmpl w:val="2853201D"/>
    <w:lvl w:ilvl="0" w:tentative="0">
      <w:start w:val="1"/>
      <w:numFmt w:val="decimal"/>
      <w:pStyle w:val="6"/>
      <w:lvlText w:val="%1."/>
      <w:lvlJc w:val="left"/>
      <w:pPr>
        <w:tabs>
          <w:tab w:val="left" w:pos="360"/>
        </w:tabs>
        <w:ind w:left="360" w:hanging="360"/>
      </w:pPr>
    </w:lvl>
  </w:abstractNum>
  <w:abstractNum w:abstractNumId="2">
    <w:nsid w:val="324499CC"/>
    <w:multiLevelType w:val="singleLevel"/>
    <w:tmpl w:val="324499CC"/>
    <w:lvl w:ilvl="0" w:tentative="0">
      <w:start w:val="2"/>
      <w:numFmt w:val="decimal"/>
      <w:suff w:val="nothing"/>
      <w:lvlText w:val="（%1）"/>
      <w:lvlJc w:val="left"/>
    </w:lvl>
  </w:abstractNum>
  <w:abstractNum w:abstractNumId="3">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4">
    <w:nsid w:val="61CFA4BB"/>
    <w:multiLevelType w:val="singleLevel"/>
    <w:tmpl w:val="61CFA4BB"/>
    <w:lvl w:ilvl="0" w:tentative="0">
      <w:start w:val="1"/>
      <w:numFmt w:val="decimal"/>
      <w:lvlText w:val="%1."/>
      <w:lvlJc w:val="left"/>
      <w:pPr>
        <w:tabs>
          <w:tab w:val="left" w:pos="312"/>
        </w:tabs>
      </w:pPr>
    </w:lvl>
  </w:abstractNum>
  <w:abstractNum w:abstractNumId="5">
    <w:nsid w:val="7D335EF9"/>
    <w:multiLevelType w:val="multilevel"/>
    <w:tmpl w:val="7D335EF9"/>
    <w:lvl w:ilvl="0" w:tentative="0">
      <w:start w:val="1"/>
      <w:numFmt w:val="decimal"/>
      <w:suff w:val="nothing"/>
      <w:lvlText w:val="（%1）"/>
      <w:lvlJc w:val="left"/>
      <w:pPr>
        <w:ind w:left="21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E6C8E"/>
    <w:rsid w:val="02AC2AFE"/>
    <w:rsid w:val="07CA4C73"/>
    <w:rsid w:val="092E1019"/>
    <w:rsid w:val="093E76C7"/>
    <w:rsid w:val="09531A76"/>
    <w:rsid w:val="0B885557"/>
    <w:rsid w:val="0C770DFE"/>
    <w:rsid w:val="0CDA7CB4"/>
    <w:rsid w:val="0D0E5602"/>
    <w:rsid w:val="0FA21DD1"/>
    <w:rsid w:val="105511F3"/>
    <w:rsid w:val="106519DD"/>
    <w:rsid w:val="109220A6"/>
    <w:rsid w:val="10C04E65"/>
    <w:rsid w:val="13CE5AEB"/>
    <w:rsid w:val="1432607A"/>
    <w:rsid w:val="14EB1A29"/>
    <w:rsid w:val="156A5D09"/>
    <w:rsid w:val="162201D7"/>
    <w:rsid w:val="173345B4"/>
    <w:rsid w:val="1912797C"/>
    <w:rsid w:val="198A015E"/>
    <w:rsid w:val="19B55C34"/>
    <w:rsid w:val="19E27C50"/>
    <w:rsid w:val="1A6E4E79"/>
    <w:rsid w:val="1D7414B2"/>
    <w:rsid w:val="1E043558"/>
    <w:rsid w:val="1FC4505B"/>
    <w:rsid w:val="20BA32F2"/>
    <w:rsid w:val="219676E9"/>
    <w:rsid w:val="21AE6A9F"/>
    <w:rsid w:val="21FC7E92"/>
    <w:rsid w:val="23E822B1"/>
    <w:rsid w:val="26944636"/>
    <w:rsid w:val="26AA5F44"/>
    <w:rsid w:val="27787DF0"/>
    <w:rsid w:val="27ED433A"/>
    <w:rsid w:val="29E12EF9"/>
    <w:rsid w:val="2C7B2D84"/>
    <w:rsid w:val="30E16A06"/>
    <w:rsid w:val="31611710"/>
    <w:rsid w:val="321B5F48"/>
    <w:rsid w:val="329E0C70"/>
    <w:rsid w:val="36767BF1"/>
    <w:rsid w:val="368F4A38"/>
    <w:rsid w:val="377F0BBE"/>
    <w:rsid w:val="37F012DD"/>
    <w:rsid w:val="3DBC05DF"/>
    <w:rsid w:val="3E725142"/>
    <w:rsid w:val="3F6530F9"/>
    <w:rsid w:val="40867D6F"/>
    <w:rsid w:val="421539D8"/>
    <w:rsid w:val="45561319"/>
    <w:rsid w:val="45A71B75"/>
    <w:rsid w:val="46E403A5"/>
    <w:rsid w:val="471C20EE"/>
    <w:rsid w:val="47C6205A"/>
    <w:rsid w:val="495946D9"/>
    <w:rsid w:val="4B793796"/>
    <w:rsid w:val="4D2A4B22"/>
    <w:rsid w:val="526C478D"/>
    <w:rsid w:val="54060DDF"/>
    <w:rsid w:val="565126CC"/>
    <w:rsid w:val="5A4D76B3"/>
    <w:rsid w:val="5AB02E22"/>
    <w:rsid w:val="5B3710C3"/>
    <w:rsid w:val="5BA8621A"/>
    <w:rsid w:val="5C106CE5"/>
    <w:rsid w:val="5E465BF2"/>
    <w:rsid w:val="5F5E109E"/>
    <w:rsid w:val="61BE18D7"/>
    <w:rsid w:val="626B3997"/>
    <w:rsid w:val="643A4313"/>
    <w:rsid w:val="648A369D"/>
    <w:rsid w:val="65F95E0A"/>
    <w:rsid w:val="6841155D"/>
    <w:rsid w:val="68795138"/>
    <w:rsid w:val="6AB36086"/>
    <w:rsid w:val="6AE10DD5"/>
    <w:rsid w:val="6C6D3FB3"/>
    <w:rsid w:val="6CB5251A"/>
    <w:rsid w:val="6EA711FC"/>
    <w:rsid w:val="6F1475C7"/>
    <w:rsid w:val="70534214"/>
    <w:rsid w:val="71770A1B"/>
    <w:rsid w:val="71FA4ED0"/>
    <w:rsid w:val="76294D9D"/>
    <w:rsid w:val="76527D05"/>
    <w:rsid w:val="76607052"/>
    <w:rsid w:val="77C520DF"/>
    <w:rsid w:val="7AB3460E"/>
    <w:rsid w:val="7ACA0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eastAsia="黑体"/>
      <w:b/>
      <w:kern w:val="44"/>
      <w:sz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9"/>
    <w:pPr>
      <w:keepNext/>
      <w:keepLines/>
      <w:spacing w:before="280" w:after="290" w:line="376" w:lineRule="auto"/>
      <w:outlineLvl w:val="3"/>
    </w:pPr>
    <w:rPr>
      <w:rFonts w:ascii="Cambria" w:hAnsi="Cambria"/>
      <w:b/>
      <w:bCs/>
      <w:sz w:val="28"/>
      <w:szCs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2940"/>
    </w:pPr>
  </w:style>
  <w:style w:type="paragraph" w:styleId="6">
    <w:name w:val="List Number"/>
    <w:basedOn w:val="1"/>
    <w:qFormat/>
    <w:uiPriority w:val="0"/>
    <w:pPr>
      <w:numPr>
        <w:ilvl w:val="0"/>
        <w:numId w:val="1"/>
      </w:numPr>
    </w:pPr>
  </w:style>
  <w:style w:type="paragraph" w:styleId="7">
    <w:name w:val="Normal Indent"/>
    <w:basedOn w:val="1"/>
    <w:qFormat/>
    <w:uiPriority w:val="0"/>
    <w:pPr>
      <w:ind w:firstLine="420"/>
    </w:pPr>
    <w:rPr>
      <w:szCs w:val="20"/>
    </w:rPr>
  </w:style>
  <w:style w:type="paragraph" w:styleId="8">
    <w:name w:val="annotation text"/>
    <w:basedOn w:val="1"/>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cs="Times New Roman"/>
      <w:kern w:val="2"/>
      <w:sz w:val="21"/>
      <w:szCs w:val="21"/>
      <w:lang w:val="en-US" w:eastAsia="zh-CN" w:bidi="ar"/>
    </w:rPr>
  </w:style>
  <w:style w:type="paragraph" w:styleId="9">
    <w:name w:val="Body Text"/>
    <w:basedOn w:val="1"/>
    <w:qFormat/>
    <w:uiPriority w:val="0"/>
    <w:pPr>
      <w:spacing w:after="120"/>
    </w:pPr>
  </w:style>
  <w:style w:type="paragraph" w:styleId="10">
    <w:name w:val="List 2"/>
    <w:basedOn w:val="1"/>
    <w:qFormat/>
    <w:uiPriority w:val="0"/>
    <w:pPr>
      <w:ind w:left="100" w:leftChars="200" w:hanging="200" w:hangingChars="200"/>
      <w:contextualSpacing/>
    </w:pPr>
  </w:style>
  <w:style w:type="paragraph" w:styleId="11">
    <w:name w:val="toc 3"/>
    <w:basedOn w:val="1"/>
    <w:next w:val="1"/>
    <w:qFormat/>
    <w:uiPriority w:val="0"/>
    <w:pPr>
      <w:ind w:left="840" w:leftChars="400"/>
    </w:pPr>
  </w:style>
  <w:style w:type="paragraph" w:styleId="12">
    <w:name w:val="Plain Text"/>
    <w:basedOn w:val="1"/>
    <w:qFormat/>
    <w:uiPriority w:val="0"/>
    <w:rPr>
      <w:rFonts w:ascii="宋体" w:hAnsi="Courier New"/>
      <w:kern w:val="0"/>
      <w:sz w:val="20"/>
      <w:szCs w:val="21"/>
    </w:rPr>
  </w:style>
  <w:style w:type="paragraph" w:styleId="13">
    <w:name w:val="footer"/>
    <w:basedOn w:val="1"/>
    <w:qFormat/>
    <w:uiPriority w:val="0"/>
    <w:pPr>
      <w:tabs>
        <w:tab w:val="center" w:pos="4153"/>
        <w:tab w:val="right" w:pos="8306"/>
      </w:tabs>
      <w:snapToGrid w:val="0"/>
      <w:jc w:val="left"/>
    </w:pPr>
    <w:rPr>
      <w:kern w:val="0"/>
      <w:sz w:val="18"/>
      <w:szCs w:val="18"/>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qFormat/>
    <w:uiPriority w:val="0"/>
    <w:pPr>
      <w:spacing w:before="360" w:after="360"/>
      <w:jc w:val="left"/>
    </w:pPr>
    <w:rPr>
      <w:rFonts w:ascii="Calibri" w:hAnsi="Calibri"/>
      <w:b/>
      <w:bCs/>
      <w:caps/>
      <w:sz w:val="22"/>
      <w:szCs w:val="22"/>
      <w:u w:val="single"/>
    </w:rPr>
  </w:style>
  <w:style w:type="paragraph" w:styleId="16">
    <w:name w:val="toc 2"/>
    <w:basedOn w:val="1"/>
    <w:next w:val="1"/>
    <w:qFormat/>
    <w:uiPriority w:val="0"/>
    <w:pPr>
      <w:tabs>
        <w:tab w:val="right" w:leader="dot" w:pos="8296"/>
      </w:tabs>
      <w:ind w:left="420" w:leftChars="200"/>
    </w:pPr>
  </w:style>
  <w:style w:type="paragraph" w:styleId="17">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character" w:styleId="20">
    <w:name w:val="Strong"/>
    <w:basedOn w:val="19"/>
    <w:qFormat/>
    <w:uiPriority w:val="0"/>
    <w:rPr>
      <w:b/>
      <w:bCs/>
    </w:rPr>
  </w:style>
  <w:style w:type="character" w:styleId="21">
    <w:name w:val="FollowedHyperlink"/>
    <w:basedOn w:val="19"/>
    <w:qFormat/>
    <w:uiPriority w:val="0"/>
    <w:rPr>
      <w:color w:val="4D7AD8"/>
      <w:u w:val="none"/>
    </w:rPr>
  </w:style>
  <w:style w:type="character" w:styleId="22">
    <w:name w:val="HTML Definition"/>
    <w:basedOn w:val="19"/>
    <w:qFormat/>
    <w:uiPriority w:val="0"/>
    <w:rPr>
      <w:i/>
      <w:iCs/>
    </w:rPr>
  </w:style>
  <w:style w:type="character" w:styleId="23">
    <w:name w:val="Hyperlink"/>
    <w:basedOn w:val="19"/>
    <w:qFormat/>
    <w:uiPriority w:val="0"/>
    <w:rPr>
      <w:color w:val="4D7AD8"/>
      <w:u w:val="none"/>
    </w:rPr>
  </w:style>
  <w:style w:type="character" w:styleId="24">
    <w:name w:val="HTML Code"/>
    <w:basedOn w:val="19"/>
    <w:qFormat/>
    <w:uiPriority w:val="0"/>
    <w:rPr>
      <w:rFonts w:hint="default" w:ascii="Consolas" w:hAnsi="Consolas" w:eastAsia="Consolas" w:cs="Consolas"/>
      <w:sz w:val="21"/>
      <w:szCs w:val="21"/>
    </w:rPr>
  </w:style>
  <w:style w:type="character" w:styleId="25">
    <w:name w:val="HTML Keyboard"/>
    <w:basedOn w:val="19"/>
    <w:qFormat/>
    <w:uiPriority w:val="0"/>
    <w:rPr>
      <w:rFonts w:hint="default" w:ascii="Consolas" w:hAnsi="Consolas" w:eastAsia="Consolas" w:cs="Consolas"/>
      <w:sz w:val="21"/>
      <w:szCs w:val="21"/>
    </w:rPr>
  </w:style>
  <w:style w:type="character" w:styleId="26">
    <w:name w:val="HTML Sample"/>
    <w:basedOn w:val="19"/>
    <w:qFormat/>
    <w:uiPriority w:val="0"/>
    <w:rPr>
      <w:rFonts w:ascii="Consolas" w:hAnsi="Consolas" w:eastAsia="Consolas" w:cs="Consolas"/>
      <w:sz w:val="21"/>
      <w:szCs w:val="21"/>
    </w:rPr>
  </w:style>
  <w:style w:type="paragraph" w:customStyle="1" w:styleId="27">
    <w:name w:val="标题 2_0"/>
    <w:next w:val="28"/>
    <w:qFormat/>
    <w:uiPriority w:val="0"/>
    <w:pPr>
      <w:keepNext/>
      <w:keepLines/>
      <w:widowControl w:val="0"/>
      <w:suppressLineNumbers w:val="0"/>
      <w:spacing w:before="60" w:beforeAutospacing="0" w:after="60" w:afterAutospacing="0" w:line="412" w:lineRule="auto"/>
      <w:ind w:left="0" w:right="0"/>
      <w:jc w:val="both"/>
      <w:outlineLvl w:val="1"/>
    </w:pPr>
    <w:rPr>
      <w:rFonts w:ascii="Arial" w:hAnsi="Arial" w:eastAsia="黑体" w:cs="Times New Roman"/>
      <w:b/>
      <w:bCs/>
      <w:kern w:val="2"/>
      <w:sz w:val="21"/>
      <w:szCs w:val="32"/>
      <w:lang w:val="en-US" w:eastAsia="zh-CN" w:bidi="ar"/>
    </w:rPr>
  </w:style>
  <w:style w:type="paragraph" w:customStyle="1" w:styleId="28">
    <w:name w:val="正文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29">
    <w:name w:val="标题 3_0"/>
    <w:next w:val="28"/>
    <w:qFormat/>
    <w:uiPriority w:val="0"/>
    <w:pPr>
      <w:keepNext/>
      <w:keepLines/>
      <w:widowControl w:val="0"/>
      <w:suppressLineNumbers w:val="0"/>
      <w:spacing w:before="0" w:beforeAutospacing="0" w:after="0" w:afterAutospacing="0" w:line="360" w:lineRule="auto"/>
      <w:ind w:left="0" w:right="0"/>
      <w:jc w:val="both"/>
      <w:outlineLvl w:val="2"/>
    </w:pPr>
    <w:rPr>
      <w:rFonts w:hint="default" w:ascii="Times New Roman" w:hAnsi="Times New Roman" w:eastAsia="黑体" w:cs="Times New Roman"/>
      <w:b/>
      <w:bCs/>
      <w:kern w:val="2"/>
      <w:sz w:val="21"/>
      <w:szCs w:val="32"/>
      <w:lang w:val="en-US" w:eastAsia="zh-CN" w:bidi="ar"/>
    </w:rPr>
  </w:style>
  <w:style w:type="paragraph" w:customStyle="1" w:styleId="30">
    <w:name w:val="纯文本_0"/>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4"/>
      <w:lang w:val="en-US" w:eastAsia="zh-CN" w:bidi="ar"/>
    </w:rPr>
  </w:style>
  <w:style w:type="paragraph" w:customStyle="1" w:styleId="31">
    <w:name w:val="正文_0"/>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color w:val="auto"/>
      <w:kern w:val="2"/>
      <w:sz w:val="21"/>
      <w:szCs w:val="24"/>
      <w:lang w:val="en-US" w:eastAsia="zh-CN" w:bidi="ar"/>
    </w:rPr>
  </w:style>
  <w:style w:type="paragraph" w:customStyle="1" w:styleId="32">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Table Text"/>
    <w:basedOn w:val="1"/>
    <w:semiHidden/>
    <w:qFormat/>
    <w:uiPriority w:val="0"/>
    <w:rPr>
      <w:rFonts w:ascii="宋体" w:hAnsi="宋体" w:eastAsia="宋体" w:cs="宋体"/>
      <w:sz w:val="20"/>
      <w:szCs w:val="20"/>
      <w:lang w:val="en-US" w:eastAsia="en-US" w:bidi="ar-SA"/>
    </w:rPr>
  </w:style>
  <w:style w:type="table" w:customStyle="1" w:styleId="34">
    <w:name w:val="Table Normal"/>
    <w:semiHidden/>
    <w:unhideWhenUsed/>
    <w:qFormat/>
    <w:uiPriority w:val="0"/>
    <w:tblPr>
      <w:tblCellMar>
        <w:top w:w="0" w:type="dxa"/>
        <w:left w:w="0" w:type="dxa"/>
        <w:bottom w:w="0" w:type="dxa"/>
        <w:right w:w="0" w:type="dxa"/>
      </w:tblCellMar>
    </w:tblPr>
  </w:style>
  <w:style w:type="character" w:customStyle="1" w:styleId="35">
    <w:name w:val="label16"/>
    <w:basedOn w:val="19"/>
    <w:qFormat/>
    <w:uiPriority w:val="0"/>
  </w:style>
  <w:style w:type="character" w:customStyle="1" w:styleId="36">
    <w:name w:val="hover"/>
    <w:basedOn w:val="19"/>
    <w:qFormat/>
    <w:uiPriority w:val="0"/>
    <w:rPr>
      <w:color w:val="009DFF"/>
    </w:rPr>
  </w:style>
  <w:style w:type="character" w:customStyle="1" w:styleId="37">
    <w:name w:val="hover1"/>
    <w:basedOn w:val="19"/>
    <w:qFormat/>
    <w:uiPriority w:val="0"/>
    <w:rPr>
      <w:color w:val="009DFF"/>
    </w:rPr>
  </w:style>
  <w:style w:type="character" w:customStyle="1" w:styleId="38">
    <w:name w:val="ant-select-tree-checkbox"/>
    <w:basedOn w:val="19"/>
    <w:qFormat/>
    <w:uiPriority w:val="0"/>
  </w:style>
  <w:style w:type="character" w:customStyle="1" w:styleId="39">
    <w:name w:val="top-label"/>
    <w:basedOn w:val="19"/>
    <w:qFormat/>
    <w:uiPriority w:val="0"/>
  </w:style>
  <w:style w:type="character" w:customStyle="1" w:styleId="40">
    <w:name w:val="ant-tree-checkbox"/>
    <w:basedOn w:val="19"/>
    <w:qFormat/>
    <w:uiPriority w:val="0"/>
  </w:style>
  <w:style w:type="character" w:customStyle="1" w:styleId="41">
    <w:name w:val="ant-tree-iconele"/>
    <w:basedOn w:val="19"/>
    <w:qFormat/>
    <w:uiPriority w:val="0"/>
  </w:style>
  <w:style w:type="character" w:customStyle="1" w:styleId="42">
    <w:name w:val="ant-tree-switcher16"/>
    <w:basedOn w:val="19"/>
    <w:qFormat/>
    <w:uiPriority w:val="0"/>
  </w:style>
  <w:style w:type="character" w:customStyle="1" w:styleId="43">
    <w:name w:val="ant-radio+*"/>
    <w:basedOn w:val="19"/>
    <w:qFormat/>
    <w:uiPriority w:val="0"/>
  </w:style>
  <w:style w:type="character" w:customStyle="1" w:styleId="44">
    <w:name w:val="first-child2"/>
    <w:basedOn w:val="19"/>
    <w:qFormat/>
    <w:uiPriority w:val="0"/>
    <w:rPr>
      <w:color w:val="999999"/>
      <w:sz w:val="33"/>
      <w:szCs w:val="33"/>
    </w:rPr>
  </w:style>
  <w:style w:type="character" w:customStyle="1" w:styleId="45">
    <w:name w:val="disabled4"/>
    <w:basedOn w:val="19"/>
    <w:qFormat/>
    <w:uiPriority w:val="0"/>
    <w:rPr>
      <w:color w:val="AAAAAA"/>
      <w:shd w:val="clear" w:fill="F7F7F7"/>
    </w:rPr>
  </w:style>
  <w:style w:type="character" w:customStyle="1" w:styleId="46">
    <w:name w:val="passed-node"/>
    <w:basedOn w:val="19"/>
    <w:qFormat/>
    <w:uiPriority w:val="0"/>
    <w:rPr>
      <w:bdr w:val="single" w:color="49A8D4" w:sz="6" w:space="0"/>
      <w:shd w:val="clear" w:fill="A9E3FF"/>
    </w:rPr>
  </w:style>
  <w:style w:type="character" w:customStyle="1" w:styleId="47">
    <w:name w:val="ant-select-tree-switcher"/>
    <w:basedOn w:val="19"/>
    <w:qFormat/>
    <w:uiPriority w:val="0"/>
  </w:style>
  <w:style w:type="character" w:customStyle="1" w:styleId="48">
    <w:name w:val="wea-thumbnails-doc-content-subtitle"/>
    <w:basedOn w:val="19"/>
    <w:qFormat/>
    <w:uiPriority w:val="0"/>
    <w:rPr>
      <w:color w:val="9A9A9A"/>
    </w:rPr>
  </w:style>
  <w:style w:type="character" w:customStyle="1" w:styleId="49">
    <w:name w:val="button"/>
    <w:basedOn w:val="19"/>
    <w:qFormat/>
    <w:uiPriority w:val="0"/>
  </w:style>
  <w:style w:type="character" w:customStyle="1" w:styleId="50">
    <w:name w:val="button1"/>
    <w:basedOn w:val="19"/>
    <w:qFormat/>
    <w:uiPriority w:val="0"/>
  </w:style>
  <w:style w:type="character" w:customStyle="1" w:styleId="51">
    <w:name w:val="first-of-type"/>
    <w:basedOn w:val="19"/>
    <w:qFormat/>
    <w:uiPriority w:val="0"/>
    <w:rPr>
      <w:color w:val="FF0000"/>
    </w:rPr>
  </w:style>
  <w:style w:type="character" w:customStyle="1" w:styleId="52">
    <w:name w:val="first-of-type1"/>
    <w:basedOn w:val="19"/>
    <w:qFormat/>
    <w:uiPriority w:val="0"/>
    <w:rPr>
      <w:color w:val="FF0000"/>
    </w:rPr>
  </w:style>
  <w:style w:type="character" w:customStyle="1" w:styleId="53">
    <w:name w:val="first-of-type2"/>
    <w:basedOn w:val="19"/>
    <w:qFormat/>
    <w:uiPriority w:val="0"/>
    <w:rPr>
      <w:color w:val="FF0000"/>
    </w:rPr>
  </w:style>
  <w:style w:type="character" w:customStyle="1" w:styleId="54">
    <w:name w:val="nth-child(2)2"/>
    <w:basedOn w:val="19"/>
    <w:qFormat/>
    <w:uiPriority w:val="0"/>
  </w:style>
  <w:style w:type="character" w:customStyle="1" w:styleId="55">
    <w:name w:val="tmpztreemove_arrow"/>
    <w:basedOn w:val="19"/>
    <w:qFormat/>
    <w:uiPriority w:val="0"/>
  </w:style>
  <w:style w:type="character" w:customStyle="1" w:styleId="56">
    <w:name w:val="ant-table-row-expand-icon4"/>
    <w:basedOn w:val="19"/>
    <w:qFormat/>
    <w:uiPriority w:val="0"/>
    <w:rPr>
      <w:vanish/>
    </w:rPr>
  </w:style>
  <w:style w:type="character" w:customStyle="1" w:styleId="57">
    <w:name w:val="ant-select-tree-iconele"/>
    <w:basedOn w:val="19"/>
    <w:qFormat/>
    <w:uiPriority w:val="0"/>
  </w:style>
  <w:style w:type="character" w:customStyle="1" w:styleId="58">
    <w:name w:val="auto-pass-node"/>
    <w:basedOn w:val="19"/>
    <w:qFormat/>
    <w:uiPriority w:val="0"/>
    <w:rPr>
      <w:bdr w:val="single" w:color="DC4446" w:sz="6" w:space="0"/>
      <w:shd w:val="clear" w:fill="A9E2FF"/>
    </w:rPr>
  </w:style>
  <w:style w:type="character" w:customStyle="1" w:styleId="59">
    <w:name w:val="not-pass-node"/>
    <w:basedOn w:val="19"/>
    <w:qFormat/>
    <w:uiPriority w:val="0"/>
    <w:rPr>
      <w:bdr w:val="single" w:color="5ABD6B" w:sz="6" w:space="0"/>
      <w:shd w:val="clear" w:fill="BFF3C3"/>
    </w:rPr>
  </w:style>
  <w:style w:type="character" w:customStyle="1" w:styleId="60">
    <w:name w:val="current-node"/>
    <w:basedOn w:val="19"/>
    <w:qFormat/>
    <w:uiPriority w:val="0"/>
    <w:rPr>
      <w:bdr w:val="single" w:color="F5B87B" w:sz="6" w:space="0"/>
      <w:shd w:val="clear" w:fill="FFE8CC"/>
    </w:rPr>
  </w:style>
  <w:style w:type="character" w:customStyle="1" w:styleId="61">
    <w:name w:val="isrevision"/>
    <w:basedOn w:val="19"/>
    <w:qFormat/>
    <w:uiPriority w:val="0"/>
    <w:rPr>
      <w:color w:val="000000"/>
      <w:sz w:val="18"/>
      <w:szCs w:val="18"/>
      <w:bdr w:val="single" w:color="E9E9E9" w:sz="6" w:space="0"/>
      <w:shd w:val="clear" w:fill="FFFFFF"/>
    </w:rPr>
  </w:style>
  <w:style w:type="character" w:customStyle="1" w:styleId="62">
    <w:name w:val="last-child1"/>
    <w:basedOn w:val="19"/>
    <w:qFormat/>
    <w:uiPriority w:val="0"/>
  </w:style>
  <w:style w:type="character" w:customStyle="1" w:styleId="63">
    <w:name w:val="wea-dropdown-triangle2"/>
    <w:basedOn w:val="19"/>
    <w:qFormat/>
    <w:uiPriority w:val="0"/>
  </w:style>
  <w:style w:type="character" w:customStyle="1" w:styleId="64">
    <w:name w:val="nth-child(2)"/>
    <w:basedOn w:val="19"/>
    <w:qFormat/>
    <w:uiPriority w:val="0"/>
  </w:style>
  <w:style w:type="character" w:customStyle="1" w:styleId="65">
    <w:name w:val="first-child3"/>
    <w:basedOn w:val="19"/>
    <w:qFormat/>
    <w:uiPriority w:val="0"/>
  </w:style>
  <w:style w:type="character" w:customStyle="1" w:styleId="66">
    <w:name w:val="ant-tree-checkbox8"/>
    <w:basedOn w:val="19"/>
    <w:qFormat/>
    <w:uiPriority w:val="0"/>
  </w:style>
  <w:style w:type="character" w:customStyle="1" w:styleId="67">
    <w:name w:val="hover34"/>
    <w:basedOn w:val="19"/>
    <w:qFormat/>
    <w:uiPriority w:val="0"/>
    <w:rPr>
      <w:color w:val="009DFF"/>
    </w:rPr>
  </w:style>
  <w:style w:type="character" w:customStyle="1" w:styleId="68">
    <w:name w:val="hover35"/>
    <w:basedOn w:val="19"/>
    <w:qFormat/>
    <w:uiPriority w:val="0"/>
    <w:rPr>
      <w:color w:val="009DFF"/>
    </w:rPr>
  </w:style>
  <w:style w:type="character" w:customStyle="1" w:styleId="69">
    <w:name w:val="last-child"/>
    <w:basedOn w:val="19"/>
    <w:qFormat/>
    <w:uiPriority w:val="0"/>
  </w:style>
  <w:style w:type="character" w:customStyle="1" w:styleId="70">
    <w:name w:val="label17"/>
    <w:basedOn w:val="19"/>
    <w:qFormat/>
    <w:uiPriority w:val="0"/>
  </w:style>
  <w:style w:type="character" w:customStyle="1" w:styleId="71">
    <w:name w:val="disabled"/>
    <w:basedOn w:val="19"/>
    <w:qFormat/>
    <w:uiPriority w:val="0"/>
    <w:rPr>
      <w:color w:val="AAAAAA"/>
      <w:shd w:val="clear" w:fill="F7F7F7"/>
    </w:rPr>
  </w:style>
  <w:style w:type="character" w:customStyle="1" w:styleId="72">
    <w:name w:val="ant-tree-switcher"/>
    <w:basedOn w:val="19"/>
    <w:qFormat/>
    <w:uiPriority w:val="0"/>
  </w:style>
  <w:style w:type="character" w:customStyle="1" w:styleId="73">
    <w:name w:val="hover40"/>
    <w:basedOn w:val="19"/>
    <w:qFormat/>
    <w:uiPriority w:val="0"/>
    <w:rPr>
      <w:color w:val="009DFF"/>
    </w:rPr>
  </w:style>
  <w:style w:type="character" w:customStyle="1" w:styleId="74">
    <w:name w:val="hover41"/>
    <w:basedOn w:val="19"/>
    <w:qFormat/>
    <w:uiPriority w:val="0"/>
    <w:rPr>
      <w:color w:val="009DFF"/>
    </w:rPr>
  </w:style>
  <w:style w:type="character" w:customStyle="1" w:styleId="75">
    <w:name w:val="ant-tree-switcher15"/>
    <w:basedOn w:val="19"/>
    <w:qFormat/>
    <w:uiPriority w:val="0"/>
  </w:style>
  <w:style w:type="character" w:customStyle="1" w:styleId="76">
    <w:name w:val="ant-select-tree-checkbox2"/>
    <w:basedOn w:val="19"/>
    <w:qFormat/>
    <w:uiPriority w:val="0"/>
  </w:style>
  <w:style w:type="character" w:customStyle="1" w:styleId="77">
    <w:name w:val="ant-table-row-expand-icon"/>
    <w:basedOn w:val="19"/>
    <w:qFormat/>
    <w:uiPriority w:val="0"/>
    <w:rPr>
      <w:vanish/>
    </w:rPr>
  </w:style>
  <w:style w:type="character" w:customStyle="1" w:styleId="78">
    <w:name w:val="wea-dropdown-triangle"/>
    <w:basedOn w:val="19"/>
    <w:qFormat/>
    <w:uiPriority w:val="0"/>
  </w:style>
  <w:style w:type="character" w:customStyle="1" w:styleId="79">
    <w:name w:val="disabled3"/>
    <w:basedOn w:val="19"/>
    <w:qFormat/>
    <w:uiPriority w:val="0"/>
    <w:rPr>
      <w:color w:val="AAAAAA"/>
      <w:shd w:val="clear" w:fill="F7F7F7"/>
    </w:rPr>
  </w:style>
  <w:style w:type="character" w:customStyle="1" w:styleId="80">
    <w:name w:val="first-child4"/>
    <w:basedOn w:val="19"/>
    <w:qFormat/>
    <w:uiPriority w:val="0"/>
  </w:style>
  <w:style w:type="character" w:customStyle="1" w:styleId="81">
    <w:name w:val="first-child"/>
    <w:basedOn w:val="19"/>
    <w:qFormat/>
    <w:uiPriority w:val="0"/>
  </w:style>
  <w:style w:type="character" w:customStyle="1" w:styleId="82">
    <w:name w:val="first-child1"/>
    <w:basedOn w:val="19"/>
    <w:qFormat/>
    <w:uiPriority w:val="0"/>
    <w:rPr>
      <w:color w:val="999999"/>
      <w:sz w:val="33"/>
      <w:szCs w:val="33"/>
    </w:rPr>
  </w:style>
  <w:style w:type="character" w:customStyle="1" w:styleId="83">
    <w:name w:val="hover42"/>
    <w:basedOn w:val="19"/>
    <w:qFormat/>
    <w:uiPriority w:val="0"/>
    <w:rPr>
      <w:color w:val="009DFF"/>
    </w:rPr>
  </w:style>
  <w:style w:type="character" w:customStyle="1" w:styleId="84">
    <w:name w:val="hover43"/>
    <w:basedOn w:val="19"/>
    <w:qFormat/>
    <w:uiPriority w:val="0"/>
    <w:rPr>
      <w:color w:val="009DFF"/>
    </w:rPr>
  </w:style>
  <w:style w:type="character" w:customStyle="1" w:styleId="85">
    <w:name w:val="ant-table-row-expand-icon3"/>
    <w:basedOn w:val="19"/>
    <w:qFormat/>
    <w:uiPriority w:val="0"/>
    <w:rPr>
      <w:vanish/>
    </w:rPr>
  </w:style>
  <w:style w:type="character" w:customStyle="1" w:styleId="86">
    <w:name w:val="hover36"/>
    <w:basedOn w:val="19"/>
    <w:qFormat/>
    <w:uiPriority w:val="0"/>
    <w:rPr>
      <w:color w:val="009DFF"/>
    </w:rPr>
  </w:style>
  <w:style w:type="character" w:customStyle="1" w:styleId="87">
    <w:name w:val="hover37"/>
    <w:basedOn w:val="19"/>
    <w:qFormat/>
    <w:uiPriority w:val="0"/>
    <w:rPr>
      <w:color w:val="009DFF"/>
    </w:rPr>
  </w:style>
  <w:style w:type="paragraph" w:customStyle="1" w:styleId="88">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0">
    <w:name w:val="页脚_1"/>
    <w:basedOn w:val="28"/>
    <w:unhideWhenUsed/>
    <w:qFormat/>
    <w:uiPriority w:val="99"/>
    <w:pPr>
      <w:tabs>
        <w:tab w:val="center" w:pos="4153"/>
        <w:tab w:val="right" w:pos="8306"/>
      </w:tabs>
      <w:snapToGrid w:val="0"/>
      <w:jc w:val="left"/>
    </w:pPr>
    <w:rPr>
      <w:kern w:val="0"/>
      <w:sz w:val="18"/>
      <w:szCs w:val="18"/>
    </w:rPr>
  </w:style>
  <w:style w:type="paragraph" w:customStyle="1" w:styleId="91">
    <w:name w:val="正文文本_0"/>
    <w:basedOn w:val="28"/>
    <w:qFormat/>
    <w:uiPriority w:val="0"/>
    <w:pPr>
      <w:spacing w:after="120"/>
    </w:pPr>
    <w:rPr>
      <w:rFonts w:ascii="Times New Roman" w:hAnsi="Times New Roman"/>
      <w:szCs w:val="24"/>
    </w:rPr>
  </w:style>
  <w:style w:type="paragraph" w:customStyle="1" w:styleId="92">
    <w:name w:val="正文_5"/>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153</Pages>
  <Words>66823</Words>
  <Characters>70864</Characters>
  <Lines>0</Lines>
  <Paragraphs>0</Paragraphs>
  <TotalTime>12</TotalTime>
  <ScaleCrop>false</ScaleCrop>
  <LinksUpToDate>false</LinksUpToDate>
  <CharactersWithSpaces>74234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2026-03-30T00:37:00Z</dcterms:created>
  <dc:creator>Administrator</dc:creator>
  <cp:lastModifiedBy>お　面无表情的狞笑着</cp:lastModifiedBy>
  <dcterms:modified xsi:type="dcterms:W3CDTF">2026-06-22T00:37:34Z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eyJoZGlkIjoiYmI2YjBmODIzN2YyMDMzMDU2MWRmZTlmNjAxYzk0NjYiLCJ1c2VySWQiOiIxMjAxOTYzMTM4In0=</vt:lpwstr>
  </property>
  <property fmtid="{D5CDD505-2E9C-101B-9397-08002B2CF9AE}" pid="4" name="ICV">
    <vt:lpwstr>6BF52CC54723418AAB1424EC1B1EE7FF_12</vt:lpwstr>
  </property>
</Properties>
</file>