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D8C6D06">
      <w:pPr>
        <w:jc w:val="both"/>
        <w:rPr>
          <w:rFonts w:ascii="宋体" w:hAnsi="宋体" w:eastAsia="宋体" w:cs="宋体"/>
          <w:color w:val="auto"/>
          <w:sz w:val="24"/>
          <w:szCs w:val="24"/>
          <w:highlight w:val="none"/>
        </w:rPr>
      </w:pPr>
      <w:bookmarkStart w:id="0" w:name="OLE_LINK15"/>
      <w:bookmarkStart w:id="1" w:name="OLE_LINK7"/>
      <w:bookmarkStart w:id="2" w:name="OLE_LINK10"/>
      <w:bookmarkStart w:id="3" w:name="OLE_LINK8"/>
      <w:bookmarkStart w:id="4" w:name="OLE_LINK11"/>
    </w:p>
    <w:p w14:paraId="04F04218">
      <w:pPr>
        <w:jc w:val="both"/>
        <w:rPr>
          <w:rFonts w:hint="eastAsia" w:ascii="宋体" w:hAnsi="宋体" w:cs="宋体"/>
          <w:b/>
          <w:bCs/>
          <w:color w:val="auto"/>
          <w:sz w:val="48"/>
          <w:szCs w:val="48"/>
          <w:highlight w:val="none"/>
        </w:rPr>
      </w:pPr>
      <w:r>
        <w:rPr>
          <w:rFonts w:hint="eastAsia" w:hAnsi="宋体" w:eastAsia="宋体" w:cs="宋体"/>
          <w:color w:val="auto"/>
          <w:sz w:val="72"/>
          <w:szCs w:val="72"/>
          <w:highlight w:val="none"/>
          <w:lang w:eastAsia="zh-CN"/>
        </w:rPr>
        <w:drawing>
          <wp:inline distT="0" distB="0" distL="114300" distR="114300">
            <wp:extent cx="5673090" cy="893445"/>
            <wp:effectExtent l="0" t="0" r="3810" b="1905"/>
            <wp:docPr id="12" name="图片 12" descr="YU}EE0YOVJ4V1)7X7(`{V)F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YU}EE0YOVJ4V1)7X7(`{V)F_01"/>
                    <pic:cNvPicPr>
                      <a:picLocks noChangeAspect="1"/>
                    </pic:cNvPicPr>
                  </pic:nvPicPr>
                  <pic:blipFill>
                    <a:blip r:embed="rId19"/>
                    <a:srcRect l="20121" t="43716" r="19340" b="42802"/>
                    <a:stretch>
                      <a:fillRect/>
                    </a:stretch>
                  </pic:blipFill>
                  <pic:spPr>
                    <a:xfrm>
                      <a:off x="0" y="0"/>
                      <a:ext cx="5673090" cy="893445"/>
                    </a:xfrm>
                    <a:prstGeom prst="rect">
                      <a:avLst/>
                    </a:prstGeom>
                  </pic:spPr>
                </pic:pic>
              </a:graphicData>
            </a:graphic>
          </wp:inline>
        </w:drawing>
      </w:r>
    </w:p>
    <w:p w14:paraId="5BD50E2B">
      <w:pPr>
        <w:jc w:val="both"/>
        <w:rPr>
          <w:rFonts w:hint="eastAsia" w:ascii="宋体" w:hAnsi="宋体" w:cs="宋体"/>
          <w:b/>
          <w:bCs/>
          <w:color w:val="auto"/>
          <w:sz w:val="48"/>
          <w:szCs w:val="48"/>
          <w:highlight w:val="none"/>
        </w:rPr>
      </w:pPr>
      <w:r>
        <w:rPr>
          <w:rFonts w:hint="eastAsia" w:ascii="宋体" w:hAnsi="宋体" w:cs="宋体"/>
          <w:color w:val="auto"/>
          <w:sz w:val="20"/>
          <w:highlight w:val="none"/>
        </w:rPr>
        <mc:AlternateContent>
          <mc:Choice Requires="wps">
            <w:drawing>
              <wp:anchor distT="0" distB="0" distL="114300" distR="114300" simplePos="0" relativeHeight="251659264" behindDoc="0" locked="0" layoutInCell="1" allowOverlap="1">
                <wp:simplePos x="0" y="0"/>
                <wp:positionH relativeFrom="column">
                  <wp:posOffset>-234315</wp:posOffset>
                </wp:positionH>
                <wp:positionV relativeFrom="paragraph">
                  <wp:posOffset>160655</wp:posOffset>
                </wp:positionV>
                <wp:extent cx="5891530" cy="15875"/>
                <wp:effectExtent l="0" t="0" r="0" b="0"/>
                <wp:wrapNone/>
                <wp:docPr id="1" name="直线 2"/>
                <wp:cNvGraphicFramePr/>
                <a:graphic xmlns:a="http://schemas.openxmlformats.org/drawingml/2006/main">
                  <a:graphicData uri="http://schemas.microsoft.com/office/word/2010/wordprocessingShape">
                    <wps:wsp>
                      <wps:cNvCnPr/>
                      <wps:spPr>
                        <a:xfrm flipV="1">
                          <a:off x="0" y="0"/>
                          <a:ext cx="5891530" cy="15875"/>
                        </a:xfrm>
                        <a:prstGeom prst="line">
                          <a:avLst/>
                        </a:prstGeom>
                        <a:ln w="28575" cap="flat" cmpd="sng">
                          <a:solidFill>
                            <a:srgbClr val="000000"/>
                          </a:solidFill>
                          <a:prstDash val="solid"/>
                          <a:headEnd type="none" w="med" len="med"/>
                          <a:tailEnd type="none" w="med" len="med"/>
                        </a:ln>
                        <a:effectLst/>
                      </wps:spPr>
                      <wps:bodyPr upright="1"/>
                    </wps:wsp>
                  </a:graphicData>
                </a:graphic>
              </wp:anchor>
            </w:drawing>
          </mc:Choice>
          <mc:Fallback>
            <w:pict>
              <v:line id="直线 2" o:spid="_x0000_s1026" o:spt="20" style="position:absolute;left:0pt;flip:y;margin-left:-18.45pt;margin-top:12.65pt;height:1.25pt;width:463.9pt;z-index:251659264;mso-width-relative:page;mso-height-relative:page;" filled="f" stroked="t" coordsize="21600,21600" o:gfxdata="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XEOA99cAAAAJAQAADwAAAAAAAAABACAAAAAiAAAAZHJzL2Rvd25yZXYueG1sUEsB&#10;AhQAFAAAAAgAh07iQGXZMKX2AQAA+AMAAA4AAAAAAAAAAQAgAAAAJgEAAGRycy9lMm9Eb2MueG1s&#10;UEsFBgAAAAAGAAYAWQEAAI4FAAAAAA==&#10;">
                <v:fill on="f" focussize="0,0"/>
                <v:stroke weight="2.25pt" color="#000000" joinstyle="round"/>
                <v:imagedata o:title=""/>
                <o:lock v:ext="edit" aspectratio="f"/>
              </v:line>
            </w:pict>
          </mc:Fallback>
        </mc:AlternateContent>
      </w:r>
    </w:p>
    <w:bookmarkEnd w:id="0"/>
    <w:p w14:paraId="1C449893">
      <w:pPr>
        <w:spacing w:line="360" w:lineRule="auto"/>
        <w:jc w:val="center"/>
        <w:rPr>
          <w:rFonts w:hint="eastAsia" w:ascii="宋体" w:hAnsi="宋体" w:cs="宋体"/>
          <w:b/>
          <w:color w:val="auto"/>
          <w:sz w:val="36"/>
          <w:szCs w:val="36"/>
          <w:highlight w:val="none"/>
        </w:rPr>
      </w:pPr>
      <w:r>
        <w:rPr>
          <w:rFonts w:hint="eastAsia" w:ascii="宋体" w:hAnsi="宋体" w:cs="宋体"/>
          <w:b/>
          <w:bCs/>
          <w:color w:val="auto"/>
          <w:sz w:val="10"/>
          <w:highlight w:val="none"/>
        </w:rPr>
        <w:t xml:space="preserve">                                                                         </w:t>
      </w:r>
    </w:p>
    <w:p w14:paraId="39190DC4">
      <w:pPr>
        <w:pStyle w:val="22"/>
        <w:jc w:val="center"/>
        <w:rPr>
          <w:rFonts w:hint="eastAsia" w:hAnsi="宋体" w:eastAsia="宋体" w:cs="宋体"/>
          <w:color w:val="auto"/>
          <w:sz w:val="72"/>
          <w:szCs w:val="72"/>
          <w:highlight w:val="none"/>
          <w:lang w:eastAsia="zh-CN"/>
        </w:rPr>
      </w:pPr>
    </w:p>
    <w:p w14:paraId="6191EBB8">
      <w:pPr>
        <w:pStyle w:val="22"/>
        <w:jc w:val="center"/>
        <w:rPr>
          <w:rFonts w:hint="eastAsia" w:hAnsi="宋体" w:cs="宋体"/>
          <w:b/>
          <w:bCs/>
          <w:color w:val="auto"/>
          <w:sz w:val="110"/>
          <w:szCs w:val="110"/>
          <w:highlight w:val="none"/>
        </w:rPr>
      </w:pPr>
      <w:r>
        <w:rPr>
          <w:rFonts w:hint="eastAsia" w:hAnsi="宋体" w:cs="宋体"/>
          <w:color w:val="auto"/>
          <w:sz w:val="110"/>
          <w:szCs w:val="110"/>
          <w:highlight w:val="none"/>
        </w:rPr>
        <w:t>招 标 文 件</w:t>
      </w:r>
    </w:p>
    <w:p w14:paraId="7E24C0FD">
      <w:pPr>
        <w:jc w:val="center"/>
        <w:rPr>
          <w:rFonts w:hint="eastAsia" w:ascii="宋体" w:hAnsi="宋体" w:cs="宋体"/>
          <w:b/>
          <w:color w:val="auto"/>
          <w:sz w:val="36"/>
          <w:szCs w:val="36"/>
          <w:highlight w:val="none"/>
        </w:rPr>
      </w:pPr>
    </w:p>
    <w:p w14:paraId="23E33B88">
      <w:pPr>
        <w:pStyle w:val="22"/>
        <w:spacing w:line="360" w:lineRule="auto"/>
        <w:ind w:firstLine="753" w:firstLineChars="250"/>
        <w:jc w:val="left"/>
        <w:rPr>
          <w:rFonts w:hint="eastAsia" w:hAnsi="宋体" w:cs="宋体"/>
          <w:b/>
          <w:color w:val="auto"/>
          <w:sz w:val="30"/>
          <w:szCs w:val="30"/>
          <w:highlight w:val="none"/>
        </w:rPr>
      </w:pPr>
    </w:p>
    <w:p w14:paraId="58400002">
      <w:pPr>
        <w:snapToGrid w:val="0"/>
        <w:spacing w:before="120" w:beforeLines="50" w:line="360" w:lineRule="auto"/>
        <w:jc w:val="center"/>
        <w:rPr>
          <w:rFonts w:hint="eastAsia" w:ascii="宋体" w:hAnsi="宋体" w:cs="宋体"/>
          <w:b/>
          <w:color w:val="auto"/>
          <w:sz w:val="48"/>
          <w:szCs w:val="48"/>
          <w:highlight w:val="none"/>
        </w:rPr>
      </w:pPr>
      <w:r>
        <w:rPr>
          <w:rFonts w:hint="eastAsia" w:ascii="宋体" w:hAnsi="宋体" w:cs="宋体"/>
          <w:b/>
          <w:color w:val="auto"/>
          <w:sz w:val="48"/>
          <w:szCs w:val="48"/>
          <w:highlight w:val="none"/>
        </w:rPr>
        <w:t>（全流程电子化采购）</w:t>
      </w:r>
    </w:p>
    <w:p w14:paraId="6D9E906B">
      <w:pPr>
        <w:pStyle w:val="22"/>
        <w:spacing w:line="360" w:lineRule="auto"/>
        <w:jc w:val="left"/>
        <w:rPr>
          <w:rFonts w:hint="eastAsia" w:hAnsi="宋体" w:cs="宋体"/>
          <w:b/>
          <w:color w:val="auto"/>
          <w:sz w:val="30"/>
          <w:szCs w:val="30"/>
          <w:highlight w:val="none"/>
        </w:rPr>
      </w:pPr>
    </w:p>
    <w:p w14:paraId="041D670D">
      <w:pPr>
        <w:pStyle w:val="22"/>
        <w:spacing w:line="360" w:lineRule="auto"/>
        <w:ind w:firstLine="753" w:firstLineChars="250"/>
        <w:jc w:val="left"/>
        <w:rPr>
          <w:rFonts w:hint="eastAsia" w:hAnsi="宋体" w:cs="宋体"/>
          <w:b/>
          <w:color w:val="auto"/>
          <w:sz w:val="30"/>
          <w:szCs w:val="30"/>
          <w:highlight w:val="none"/>
        </w:rPr>
      </w:pPr>
    </w:p>
    <w:p w14:paraId="656A469A">
      <w:pPr>
        <w:pStyle w:val="22"/>
        <w:spacing w:line="360" w:lineRule="auto"/>
        <w:ind w:left="2258" w:leftChars="358" w:hanging="1506" w:hangingChars="500"/>
        <w:jc w:val="left"/>
        <w:rPr>
          <w:rFonts w:hint="eastAsia" w:hAnsi="宋体" w:eastAsia="宋体" w:cs="宋体"/>
          <w:b/>
          <w:color w:val="auto"/>
          <w:sz w:val="30"/>
          <w:szCs w:val="30"/>
          <w:highlight w:val="none"/>
          <w:lang w:eastAsia="zh-CN"/>
        </w:rPr>
      </w:pPr>
      <w:r>
        <w:rPr>
          <w:rFonts w:hint="eastAsia" w:hAnsi="宋体" w:cs="宋体"/>
          <w:b/>
          <w:color w:val="auto"/>
          <w:sz w:val="30"/>
          <w:szCs w:val="30"/>
          <w:highlight w:val="none"/>
        </w:rPr>
        <w:t>项目名称：</w:t>
      </w:r>
      <w:r>
        <w:rPr>
          <w:rFonts w:hint="eastAsia" w:hAnsi="宋体" w:cs="宋体"/>
          <w:b/>
          <w:color w:val="auto"/>
          <w:sz w:val="30"/>
          <w:szCs w:val="30"/>
          <w:highlight w:val="none"/>
          <w:lang w:eastAsia="zh-CN"/>
        </w:rPr>
        <w:t>广西壮族自治区妇幼保健院厢竹院区及广西儿童医疗中心医疗废物收集清运处置服务项目（重2）</w:t>
      </w:r>
    </w:p>
    <w:p w14:paraId="5439D2A0">
      <w:pPr>
        <w:pStyle w:val="22"/>
        <w:spacing w:line="360" w:lineRule="auto"/>
        <w:ind w:firstLine="753" w:firstLineChars="250"/>
        <w:jc w:val="left"/>
        <w:rPr>
          <w:rFonts w:hint="default" w:hAnsi="宋体" w:eastAsia="宋体" w:cs="宋体"/>
          <w:b/>
          <w:color w:val="auto"/>
          <w:sz w:val="30"/>
          <w:szCs w:val="30"/>
          <w:highlight w:val="none"/>
          <w:lang w:val="en-US" w:eastAsia="zh-CN"/>
        </w:rPr>
      </w:pPr>
      <w:r>
        <w:rPr>
          <w:rFonts w:hint="eastAsia" w:hAnsi="宋体" w:cs="宋体"/>
          <w:b/>
          <w:color w:val="auto"/>
          <w:sz w:val="30"/>
          <w:szCs w:val="30"/>
          <w:highlight w:val="none"/>
        </w:rPr>
        <w:t>项目编号：</w:t>
      </w:r>
      <w:r>
        <w:rPr>
          <w:rFonts w:hint="eastAsia" w:hAnsi="宋体" w:cs="宋体"/>
          <w:b/>
          <w:color w:val="auto"/>
          <w:sz w:val="30"/>
          <w:szCs w:val="30"/>
          <w:highlight w:val="none"/>
          <w:lang w:val="en-US" w:eastAsia="zh-CN"/>
        </w:rPr>
        <w:t xml:space="preserve">GXZC2026-G3-002378-JGJD </w:t>
      </w:r>
    </w:p>
    <w:p w14:paraId="0816937E">
      <w:pPr>
        <w:spacing w:line="600" w:lineRule="exact"/>
        <w:ind w:left="2"/>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mc:AlternateContent>
          <mc:Choice Requires="wps">
            <w:drawing>
              <wp:anchor distT="0" distB="0" distL="114300" distR="114300" simplePos="0" relativeHeight="251660288" behindDoc="0" locked="0" layoutInCell="1" allowOverlap="1">
                <wp:simplePos x="0" y="0"/>
                <wp:positionH relativeFrom="column">
                  <wp:posOffset>-89535</wp:posOffset>
                </wp:positionH>
                <wp:positionV relativeFrom="paragraph">
                  <wp:posOffset>144145</wp:posOffset>
                </wp:positionV>
                <wp:extent cx="5944235" cy="8255"/>
                <wp:effectExtent l="0" t="0" r="0" b="0"/>
                <wp:wrapNone/>
                <wp:docPr id="3" name="直线 2"/>
                <wp:cNvGraphicFramePr/>
                <a:graphic xmlns:a="http://schemas.openxmlformats.org/drawingml/2006/main">
                  <a:graphicData uri="http://schemas.microsoft.com/office/word/2010/wordprocessingShape">
                    <wps:wsp>
                      <wps:cNvCnPr/>
                      <wps:spPr>
                        <a:xfrm flipV="1">
                          <a:off x="0" y="0"/>
                          <a:ext cx="5944235" cy="8255"/>
                        </a:xfrm>
                        <a:prstGeom prst="line">
                          <a:avLst/>
                        </a:prstGeom>
                        <a:ln w="28575" cap="flat" cmpd="sng">
                          <a:solidFill>
                            <a:srgbClr val="000000"/>
                          </a:solidFill>
                          <a:prstDash val="solid"/>
                          <a:headEnd type="none" w="med" len="med"/>
                          <a:tailEnd type="none" w="med" len="med"/>
                        </a:ln>
                        <a:effectLst/>
                      </wps:spPr>
                      <wps:bodyPr upright="1"/>
                    </wps:wsp>
                  </a:graphicData>
                </a:graphic>
              </wp:anchor>
            </w:drawing>
          </mc:Choice>
          <mc:Fallback>
            <w:pict>
              <v:line id="直线 2" o:spid="_x0000_s1026" o:spt="20" style="position:absolute;left:0pt;flip:y;margin-left:-7.05pt;margin-top:11.35pt;height:0.65pt;width:468.05pt;z-index:251660288;mso-width-relative:page;mso-height-relative:page;" filled="f" stroked="t" coordsize="21600,21600" o:gfxdata="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wvzFLNcAAAAJAQAADwAAAAAAAAABACAAAAAiAAAAZHJzL2Rvd25yZXYueG1sUEsB&#10;AhQAFAAAAAgAh07iQNV1L+72AQAA9wMAAA4AAAAAAAAAAQAgAAAAJgEAAGRycy9lMm9Eb2MueG1s&#10;UEsFBgAAAAAGAAYAWQEAAI4FAAAAAA==&#10;">
                <v:fill on="f" focussize="0,0"/>
                <v:stroke weight="2.25pt" color="#000000" joinstyle="round"/>
                <v:imagedata o:title=""/>
                <o:lock v:ext="edit" aspectratio="f"/>
              </v:line>
            </w:pict>
          </mc:Fallback>
        </mc:AlternateContent>
      </w:r>
    </w:p>
    <w:p w14:paraId="7C9E7287">
      <w:pPr>
        <w:pStyle w:val="22"/>
        <w:spacing w:line="360" w:lineRule="auto"/>
        <w:ind w:firstLine="753" w:firstLineChars="250"/>
        <w:jc w:val="left"/>
        <w:rPr>
          <w:rFonts w:hint="eastAsia" w:hAnsi="宋体" w:eastAsia="宋体" w:cs="宋体"/>
          <w:b/>
          <w:color w:val="auto"/>
          <w:sz w:val="30"/>
          <w:szCs w:val="30"/>
          <w:highlight w:val="none"/>
          <w:lang w:eastAsia="zh-CN"/>
        </w:rPr>
      </w:pPr>
      <w:r>
        <w:rPr>
          <w:rFonts w:hint="eastAsia" w:hAnsi="宋体" w:cs="宋体"/>
          <w:b/>
          <w:color w:val="auto"/>
          <w:sz w:val="30"/>
          <w:szCs w:val="30"/>
          <w:highlight w:val="none"/>
        </w:rPr>
        <w:t>采购人：</w:t>
      </w:r>
      <w:r>
        <w:rPr>
          <w:rFonts w:hint="eastAsia" w:hAnsi="宋体" w:cs="宋体"/>
          <w:b/>
          <w:color w:val="auto"/>
          <w:sz w:val="30"/>
          <w:szCs w:val="30"/>
          <w:highlight w:val="none"/>
          <w:lang w:eastAsia="zh-CN"/>
        </w:rPr>
        <w:t>广西壮族自治区妇幼保健院</w:t>
      </w:r>
    </w:p>
    <w:p w14:paraId="0718696E">
      <w:pPr>
        <w:pStyle w:val="22"/>
        <w:spacing w:line="360" w:lineRule="auto"/>
        <w:ind w:firstLine="753" w:firstLineChars="250"/>
        <w:jc w:val="left"/>
        <w:rPr>
          <w:rFonts w:hint="eastAsia" w:hAnsi="宋体" w:eastAsia="宋体" w:cs="宋体"/>
          <w:b/>
          <w:color w:val="auto"/>
          <w:sz w:val="30"/>
          <w:szCs w:val="30"/>
          <w:highlight w:val="none"/>
          <w:lang w:eastAsia="zh-CN"/>
        </w:rPr>
      </w:pPr>
      <w:r>
        <w:rPr>
          <w:rFonts w:hint="eastAsia" w:hAnsi="宋体" w:cs="宋体"/>
          <w:b/>
          <w:color w:val="auto"/>
          <w:sz w:val="30"/>
          <w:szCs w:val="30"/>
          <w:highlight w:val="none"/>
        </w:rPr>
        <w:t>采购代理机构：</w:t>
      </w:r>
      <w:r>
        <w:rPr>
          <w:rFonts w:hint="eastAsia" w:hAnsi="宋体" w:cs="宋体"/>
          <w:b/>
          <w:color w:val="auto"/>
          <w:sz w:val="30"/>
          <w:szCs w:val="30"/>
          <w:highlight w:val="none"/>
          <w:lang w:eastAsia="zh-CN"/>
        </w:rPr>
        <w:t>广西建设工程机电设备招标中心有限公司</w:t>
      </w:r>
    </w:p>
    <w:p w14:paraId="403DD390">
      <w:pPr>
        <w:pStyle w:val="22"/>
        <w:spacing w:line="360" w:lineRule="auto"/>
        <w:jc w:val="center"/>
        <w:rPr>
          <w:rFonts w:hint="eastAsia" w:hAnsi="宋体" w:cs="宋体"/>
          <w:b/>
          <w:color w:val="auto"/>
          <w:sz w:val="30"/>
          <w:szCs w:val="30"/>
          <w:highlight w:val="none"/>
        </w:rPr>
      </w:pPr>
    </w:p>
    <w:p w14:paraId="3DA574A3">
      <w:pPr>
        <w:pStyle w:val="22"/>
        <w:spacing w:line="360" w:lineRule="auto"/>
        <w:jc w:val="center"/>
        <w:rPr>
          <w:rFonts w:hint="default" w:hAnsi="宋体" w:eastAsia="宋体" w:cs="宋体"/>
          <w:b/>
          <w:bCs/>
          <w:color w:val="auto"/>
          <w:spacing w:val="-27"/>
          <w:sz w:val="60"/>
          <w:szCs w:val="60"/>
          <w:highlight w:val="none"/>
          <w:lang w:val="en-US" w:eastAsia="zh-CN"/>
        </w:rPr>
      </w:pPr>
      <w:r>
        <w:rPr>
          <w:rFonts w:hint="eastAsia" w:hAnsi="宋体" w:cs="宋体"/>
          <w:b/>
          <w:color w:val="auto"/>
          <w:sz w:val="30"/>
          <w:szCs w:val="30"/>
          <w:highlight w:val="none"/>
        </w:rPr>
        <w:t>202</w:t>
      </w:r>
      <w:r>
        <w:rPr>
          <w:rFonts w:hint="eastAsia" w:hAnsi="宋体" w:cs="宋体"/>
          <w:b/>
          <w:color w:val="auto"/>
          <w:sz w:val="30"/>
          <w:szCs w:val="30"/>
          <w:highlight w:val="none"/>
          <w:lang w:val="en-US" w:eastAsia="zh-CN"/>
        </w:rPr>
        <w:t>6</w:t>
      </w:r>
      <w:r>
        <w:rPr>
          <w:rFonts w:hint="eastAsia" w:hAnsi="宋体" w:cs="宋体"/>
          <w:b/>
          <w:color w:val="auto"/>
          <w:sz w:val="30"/>
          <w:szCs w:val="30"/>
          <w:highlight w:val="none"/>
        </w:rPr>
        <w:t>年</w:t>
      </w:r>
      <w:r>
        <w:rPr>
          <w:rFonts w:hint="eastAsia" w:hAnsi="宋体" w:cs="宋体"/>
          <w:b/>
          <w:color w:val="auto"/>
          <w:sz w:val="30"/>
          <w:szCs w:val="30"/>
          <w:highlight w:val="none"/>
          <w:lang w:val="en-US" w:eastAsia="zh-CN"/>
        </w:rPr>
        <w:t>7</w:t>
      </w:r>
      <w:r>
        <w:rPr>
          <w:rFonts w:hint="eastAsia" w:hAnsi="宋体" w:cs="宋体"/>
          <w:b/>
          <w:color w:val="auto"/>
          <w:sz w:val="30"/>
          <w:szCs w:val="30"/>
          <w:highlight w:val="none"/>
        </w:rPr>
        <w:t>月</w:t>
      </w:r>
      <w:r>
        <w:rPr>
          <w:rFonts w:hint="eastAsia" w:hAnsi="宋体" w:cs="宋体"/>
          <w:b/>
          <w:color w:val="auto"/>
          <w:sz w:val="30"/>
          <w:szCs w:val="30"/>
          <w:highlight w:val="none"/>
          <w:lang w:val="en-US" w:eastAsia="zh-CN"/>
        </w:rPr>
        <w:t>27日</w:t>
      </w:r>
    </w:p>
    <w:p w14:paraId="35362ABB">
      <w:pPr>
        <w:pStyle w:val="22"/>
        <w:spacing w:before="120" w:after="120" w:line="360" w:lineRule="auto"/>
        <w:jc w:val="center"/>
        <w:rPr>
          <w:rFonts w:hint="eastAsia" w:hAnsi="宋体" w:cs="宋体"/>
          <w:b/>
          <w:color w:val="auto"/>
          <w:sz w:val="44"/>
          <w:szCs w:val="44"/>
          <w:highlight w:val="none"/>
        </w:rPr>
        <w:sectPr>
          <w:footerReference r:id="rId6" w:type="first"/>
          <w:headerReference r:id="rId3" w:type="default"/>
          <w:footerReference r:id="rId4" w:type="default"/>
          <w:footerReference r:id="rId5" w:type="even"/>
          <w:pgSz w:w="11906" w:h="16838"/>
          <w:pgMar w:top="1440" w:right="1757" w:bottom="1440" w:left="1803" w:header="850" w:footer="850" w:gutter="0"/>
          <w:pgNumType w:start="0"/>
          <w:cols w:space="720" w:num="1"/>
          <w:titlePg/>
          <w:docGrid w:linePitch="312" w:charSpace="0"/>
        </w:sectPr>
      </w:pPr>
    </w:p>
    <w:p w14:paraId="0F5D5988">
      <w:pPr>
        <w:pStyle w:val="22"/>
        <w:keepNext w:val="0"/>
        <w:keepLines w:val="0"/>
        <w:pageBreakBefore w:val="0"/>
        <w:widowControl w:val="0"/>
        <w:kinsoku/>
        <w:wordWrap/>
        <w:overflowPunct/>
        <w:topLinePunct w:val="0"/>
        <w:autoSpaceDE/>
        <w:autoSpaceDN/>
        <w:bidi w:val="0"/>
        <w:adjustRightInd/>
        <w:spacing w:before="120" w:after="120" w:line="360" w:lineRule="auto"/>
        <w:jc w:val="center"/>
        <w:textAlignment w:val="auto"/>
        <w:rPr>
          <w:rFonts w:hint="eastAsia" w:hAnsi="宋体" w:cs="宋体"/>
          <w:b/>
          <w:color w:val="auto"/>
          <w:sz w:val="44"/>
          <w:szCs w:val="44"/>
          <w:highlight w:val="none"/>
        </w:rPr>
      </w:pPr>
      <w:r>
        <w:rPr>
          <w:rFonts w:hint="eastAsia" w:hAnsi="宋体" w:cs="宋体"/>
          <w:b/>
          <w:color w:val="auto"/>
          <w:sz w:val="44"/>
          <w:szCs w:val="44"/>
          <w:highlight w:val="none"/>
        </w:rPr>
        <w:t>目  录</w:t>
      </w:r>
    </w:p>
    <w:p w14:paraId="24695138">
      <w:pPr>
        <w:pStyle w:val="29"/>
        <w:keepNext w:val="0"/>
        <w:keepLines w:val="0"/>
        <w:pageBreakBefore w:val="0"/>
        <w:widowControl w:val="0"/>
        <w:tabs>
          <w:tab w:val="right" w:leader="dot" w:pos="9242"/>
        </w:tabs>
        <w:kinsoku/>
        <w:wordWrap/>
        <w:overflowPunct/>
        <w:topLinePunct w:val="0"/>
        <w:autoSpaceDE/>
        <w:autoSpaceDN/>
        <w:bidi w:val="0"/>
        <w:adjustRightInd/>
        <w:snapToGrid/>
        <w:spacing w:before="0" w:after="0" w:line="360" w:lineRule="auto"/>
        <w:textAlignment w:val="auto"/>
        <w:rPr>
          <w:color w:val="auto"/>
          <w:highlight w:val="none"/>
        </w:rPr>
      </w:pPr>
      <w:bookmarkStart w:id="5" w:name="OLE_LINK9"/>
      <w:bookmarkStart w:id="6" w:name="OLE_LINK6"/>
      <w:r>
        <w:rPr>
          <w:rFonts w:hint="eastAsia" w:cs="宋体"/>
          <w:b w:val="0"/>
          <w:bCs w:val="0"/>
          <w:color w:val="auto"/>
          <w:highlight w:val="none"/>
        </w:rPr>
        <w:fldChar w:fldCharType="begin"/>
      </w:r>
      <w:r>
        <w:rPr>
          <w:rFonts w:hint="eastAsia" w:cs="宋体"/>
          <w:b w:val="0"/>
          <w:bCs w:val="0"/>
          <w:color w:val="auto"/>
          <w:highlight w:val="none"/>
        </w:rPr>
        <w:instrText xml:space="preserve">TOC \o "1-3" \h \u </w:instrText>
      </w:r>
      <w:r>
        <w:rPr>
          <w:rFonts w:hint="eastAsia" w:cs="宋体"/>
          <w:b w:val="0"/>
          <w:bCs w:val="0"/>
          <w:color w:val="auto"/>
          <w:highlight w:val="none"/>
        </w:rPr>
        <w:fldChar w:fldCharType="separate"/>
      </w:r>
      <w:r>
        <w:rPr>
          <w:rFonts w:hint="eastAsia" w:cs="宋体"/>
          <w:bCs w:val="0"/>
          <w:color w:val="auto"/>
          <w:highlight w:val="none"/>
        </w:rPr>
        <w:fldChar w:fldCharType="begin"/>
      </w:r>
      <w:r>
        <w:rPr>
          <w:rFonts w:hint="eastAsia" w:cs="宋体"/>
          <w:bCs w:val="0"/>
          <w:color w:val="auto"/>
          <w:highlight w:val="none"/>
        </w:rPr>
        <w:instrText xml:space="preserve"> HYPERLINK \l _Toc21030 </w:instrText>
      </w:r>
      <w:r>
        <w:rPr>
          <w:rFonts w:hint="eastAsia" w:cs="宋体"/>
          <w:bCs w:val="0"/>
          <w:color w:val="auto"/>
          <w:highlight w:val="none"/>
        </w:rPr>
        <w:fldChar w:fldCharType="separate"/>
      </w:r>
      <w:r>
        <w:rPr>
          <w:rFonts w:hint="eastAsia" w:ascii="宋体" w:hAnsi="宋体" w:cs="宋体"/>
          <w:color w:val="auto"/>
          <w:highlight w:val="none"/>
        </w:rPr>
        <w:t>第一章  招标公告</w:t>
      </w:r>
      <w:r>
        <w:rPr>
          <w:color w:val="auto"/>
          <w:highlight w:val="none"/>
        </w:rPr>
        <w:tab/>
      </w:r>
      <w:r>
        <w:rPr>
          <w:color w:val="auto"/>
          <w:highlight w:val="none"/>
        </w:rPr>
        <w:fldChar w:fldCharType="begin"/>
      </w:r>
      <w:r>
        <w:rPr>
          <w:color w:val="auto"/>
          <w:highlight w:val="none"/>
        </w:rPr>
        <w:instrText xml:space="preserve"> PAGEREF _Toc21030 \h </w:instrText>
      </w:r>
      <w:r>
        <w:rPr>
          <w:color w:val="auto"/>
          <w:highlight w:val="none"/>
        </w:rPr>
        <w:fldChar w:fldCharType="separate"/>
      </w:r>
      <w:r>
        <w:rPr>
          <w:color w:val="auto"/>
          <w:highlight w:val="none"/>
        </w:rPr>
        <w:t>1</w:t>
      </w:r>
      <w:r>
        <w:rPr>
          <w:color w:val="auto"/>
          <w:highlight w:val="none"/>
        </w:rPr>
        <w:fldChar w:fldCharType="end"/>
      </w:r>
      <w:r>
        <w:rPr>
          <w:rFonts w:hint="eastAsia" w:cs="宋体"/>
          <w:bCs w:val="0"/>
          <w:color w:val="auto"/>
          <w:highlight w:val="none"/>
        </w:rPr>
        <w:fldChar w:fldCharType="end"/>
      </w:r>
    </w:p>
    <w:p w14:paraId="50DDEA17">
      <w:pPr>
        <w:pStyle w:val="29"/>
        <w:keepNext w:val="0"/>
        <w:keepLines w:val="0"/>
        <w:pageBreakBefore w:val="0"/>
        <w:widowControl w:val="0"/>
        <w:tabs>
          <w:tab w:val="right" w:leader="dot" w:pos="9242"/>
        </w:tabs>
        <w:kinsoku/>
        <w:wordWrap/>
        <w:overflowPunct/>
        <w:topLinePunct w:val="0"/>
        <w:autoSpaceDE/>
        <w:autoSpaceDN/>
        <w:bidi w:val="0"/>
        <w:adjustRightInd/>
        <w:snapToGrid/>
        <w:spacing w:before="0" w:after="0"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_Toc12941 </w:instrText>
      </w:r>
      <w:r>
        <w:rPr>
          <w:rFonts w:hint="eastAsia" w:ascii="宋体" w:hAnsi="宋体" w:cs="宋体"/>
          <w:color w:val="auto"/>
          <w:highlight w:val="none"/>
        </w:rPr>
        <w:fldChar w:fldCharType="separate"/>
      </w:r>
      <w:r>
        <w:rPr>
          <w:rFonts w:hint="eastAsia" w:ascii="宋体" w:hAnsi="宋体" w:cs="宋体"/>
          <w:color w:val="auto"/>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_Toc12941 \h </w:instrText>
      </w:r>
      <w:r>
        <w:rPr>
          <w:color w:val="auto"/>
          <w:highlight w:val="none"/>
        </w:rPr>
        <w:fldChar w:fldCharType="separate"/>
      </w:r>
      <w:r>
        <w:rPr>
          <w:color w:val="auto"/>
          <w:highlight w:val="none"/>
        </w:rPr>
        <w:t>5</w:t>
      </w:r>
      <w:r>
        <w:rPr>
          <w:color w:val="auto"/>
          <w:highlight w:val="none"/>
        </w:rPr>
        <w:fldChar w:fldCharType="end"/>
      </w:r>
      <w:r>
        <w:rPr>
          <w:rFonts w:hint="eastAsia" w:ascii="宋体" w:hAnsi="宋体" w:cs="宋体"/>
          <w:color w:val="auto"/>
          <w:highlight w:val="none"/>
        </w:rPr>
        <w:fldChar w:fldCharType="end"/>
      </w:r>
    </w:p>
    <w:p w14:paraId="517E542C">
      <w:pPr>
        <w:pStyle w:val="29"/>
        <w:keepNext w:val="0"/>
        <w:keepLines w:val="0"/>
        <w:pageBreakBefore w:val="0"/>
        <w:widowControl w:val="0"/>
        <w:tabs>
          <w:tab w:val="right" w:leader="dot" w:pos="9242"/>
        </w:tabs>
        <w:kinsoku/>
        <w:wordWrap/>
        <w:overflowPunct/>
        <w:topLinePunct w:val="0"/>
        <w:autoSpaceDE/>
        <w:autoSpaceDN/>
        <w:bidi w:val="0"/>
        <w:adjustRightInd/>
        <w:snapToGrid/>
        <w:spacing w:before="0" w:after="0"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_Toc24453 </w:instrText>
      </w:r>
      <w:r>
        <w:rPr>
          <w:rFonts w:hint="eastAsia" w:ascii="宋体" w:hAnsi="宋体" w:cs="宋体"/>
          <w:color w:val="auto"/>
          <w:highlight w:val="none"/>
        </w:rPr>
        <w:fldChar w:fldCharType="separate"/>
      </w:r>
      <w:r>
        <w:rPr>
          <w:rFonts w:hint="eastAsia" w:ascii="宋体" w:hAnsi="宋体" w:cs="宋体"/>
          <w:color w:val="auto"/>
          <w:highlight w:val="none"/>
        </w:rPr>
        <w:t>第三章  投标人须知</w:t>
      </w:r>
      <w:r>
        <w:rPr>
          <w:color w:val="auto"/>
          <w:highlight w:val="none"/>
        </w:rPr>
        <w:tab/>
      </w:r>
      <w:r>
        <w:rPr>
          <w:color w:val="auto"/>
          <w:highlight w:val="none"/>
        </w:rPr>
        <w:fldChar w:fldCharType="begin"/>
      </w:r>
      <w:r>
        <w:rPr>
          <w:color w:val="auto"/>
          <w:highlight w:val="none"/>
        </w:rPr>
        <w:instrText xml:space="preserve"> PAGEREF _Toc24453 \h </w:instrText>
      </w:r>
      <w:r>
        <w:rPr>
          <w:color w:val="auto"/>
          <w:highlight w:val="none"/>
        </w:rPr>
        <w:fldChar w:fldCharType="separate"/>
      </w:r>
      <w:r>
        <w:rPr>
          <w:color w:val="auto"/>
          <w:highlight w:val="none"/>
        </w:rPr>
        <w:t>10</w:t>
      </w:r>
      <w:r>
        <w:rPr>
          <w:color w:val="auto"/>
          <w:highlight w:val="none"/>
        </w:rPr>
        <w:fldChar w:fldCharType="end"/>
      </w:r>
      <w:r>
        <w:rPr>
          <w:rFonts w:hint="eastAsia" w:ascii="宋体" w:hAnsi="宋体" w:cs="宋体"/>
          <w:color w:val="auto"/>
          <w:highlight w:val="none"/>
        </w:rPr>
        <w:fldChar w:fldCharType="end"/>
      </w:r>
    </w:p>
    <w:p w14:paraId="0BE94ACD">
      <w:pPr>
        <w:pStyle w:val="34"/>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_Toc3016 </w:instrText>
      </w:r>
      <w:r>
        <w:rPr>
          <w:rFonts w:hint="eastAsia" w:ascii="宋体" w:hAnsi="宋体" w:cs="宋体"/>
          <w:color w:val="auto"/>
          <w:highlight w:val="none"/>
        </w:rPr>
        <w:fldChar w:fldCharType="separate"/>
      </w:r>
      <w:r>
        <w:rPr>
          <w:rFonts w:hint="eastAsia" w:ascii="宋体" w:hAnsi="宋体" w:cs="宋体"/>
          <w:color w:val="auto"/>
          <w:szCs w:val="36"/>
          <w:highlight w:val="none"/>
        </w:rPr>
        <w:t>投标人须知前附表</w:t>
      </w:r>
      <w:r>
        <w:rPr>
          <w:color w:val="auto"/>
          <w:highlight w:val="none"/>
        </w:rPr>
        <w:tab/>
      </w:r>
      <w:r>
        <w:rPr>
          <w:color w:val="auto"/>
          <w:highlight w:val="none"/>
        </w:rPr>
        <w:fldChar w:fldCharType="begin"/>
      </w:r>
      <w:r>
        <w:rPr>
          <w:color w:val="auto"/>
          <w:highlight w:val="none"/>
        </w:rPr>
        <w:instrText xml:space="preserve"> PAGEREF _Toc3016 \h </w:instrText>
      </w:r>
      <w:r>
        <w:rPr>
          <w:color w:val="auto"/>
          <w:highlight w:val="none"/>
        </w:rPr>
        <w:fldChar w:fldCharType="separate"/>
      </w:r>
      <w:r>
        <w:rPr>
          <w:color w:val="auto"/>
          <w:highlight w:val="none"/>
        </w:rPr>
        <w:t>10</w:t>
      </w:r>
      <w:r>
        <w:rPr>
          <w:color w:val="auto"/>
          <w:highlight w:val="none"/>
        </w:rPr>
        <w:fldChar w:fldCharType="end"/>
      </w:r>
      <w:r>
        <w:rPr>
          <w:rFonts w:hint="eastAsia" w:ascii="宋体" w:hAnsi="宋体" w:cs="宋体"/>
          <w:color w:val="auto"/>
          <w:highlight w:val="none"/>
        </w:rPr>
        <w:fldChar w:fldCharType="end"/>
      </w:r>
    </w:p>
    <w:p w14:paraId="7AB4C955">
      <w:pPr>
        <w:pStyle w:val="34"/>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_Toc21607 </w:instrText>
      </w:r>
      <w:r>
        <w:rPr>
          <w:rFonts w:hint="eastAsia" w:ascii="宋体" w:hAnsi="宋体" w:cs="宋体"/>
          <w:color w:val="auto"/>
          <w:highlight w:val="none"/>
        </w:rPr>
        <w:fldChar w:fldCharType="separate"/>
      </w:r>
      <w:r>
        <w:rPr>
          <w:rFonts w:hint="eastAsia" w:ascii="宋体" w:hAnsi="宋体" w:cs="宋体"/>
          <w:color w:val="auto"/>
          <w:highlight w:val="none"/>
        </w:rPr>
        <w:t>投标人须知正文</w:t>
      </w:r>
      <w:r>
        <w:rPr>
          <w:color w:val="auto"/>
          <w:highlight w:val="none"/>
        </w:rPr>
        <w:tab/>
      </w:r>
      <w:r>
        <w:rPr>
          <w:color w:val="auto"/>
          <w:highlight w:val="none"/>
        </w:rPr>
        <w:fldChar w:fldCharType="begin"/>
      </w:r>
      <w:r>
        <w:rPr>
          <w:color w:val="auto"/>
          <w:highlight w:val="none"/>
        </w:rPr>
        <w:instrText xml:space="preserve"> PAGEREF _Toc21607 \h </w:instrText>
      </w:r>
      <w:r>
        <w:rPr>
          <w:color w:val="auto"/>
          <w:highlight w:val="none"/>
        </w:rPr>
        <w:fldChar w:fldCharType="separate"/>
      </w:r>
      <w:r>
        <w:rPr>
          <w:color w:val="auto"/>
          <w:highlight w:val="none"/>
        </w:rPr>
        <w:t>18</w:t>
      </w:r>
      <w:r>
        <w:rPr>
          <w:color w:val="auto"/>
          <w:highlight w:val="none"/>
        </w:rPr>
        <w:fldChar w:fldCharType="end"/>
      </w:r>
      <w:r>
        <w:rPr>
          <w:rFonts w:hint="eastAsia" w:ascii="宋体" w:hAnsi="宋体" w:cs="宋体"/>
          <w:color w:val="auto"/>
          <w:highlight w:val="none"/>
        </w:rPr>
        <w:fldChar w:fldCharType="end"/>
      </w:r>
    </w:p>
    <w:p w14:paraId="589171A3">
      <w:pPr>
        <w:pStyle w:val="21"/>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_Toc7551 </w:instrText>
      </w:r>
      <w:r>
        <w:rPr>
          <w:rFonts w:hint="eastAsia" w:ascii="宋体" w:hAnsi="宋体" w:cs="宋体"/>
          <w:color w:val="auto"/>
          <w:highlight w:val="none"/>
        </w:rPr>
        <w:fldChar w:fldCharType="separate"/>
      </w:r>
      <w:r>
        <w:rPr>
          <w:rFonts w:hint="eastAsia" w:ascii="宋体" w:hAnsi="宋体" w:cs="宋体"/>
          <w:color w:val="auto"/>
          <w:highlight w:val="none"/>
        </w:rPr>
        <w:t>一、总  则</w:t>
      </w:r>
      <w:r>
        <w:rPr>
          <w:color w:val="auto"/>
          <w:highlight w:val="none"/>
        </w:rPr>
        <w:tab/>
      </w:r>
      <w:r>
        <w:rPr>
          <w:color w:val="auto"/>
          <w:highlight w:val="none"/>
        </w:rPr>
        <w:fldChar w:fldCharType="begin"/>
      </w:r>
      <w:r>
        <w:rPr>
          <w:color w:val="auto"/>
          <w:highlight w:val="none"/>
        </w:rPr>
        <w:instrText xml:space="preserve"> PAGEREF _Toc7551 \h </w:instrText>
      </w:r>
      <w:r>
        <w:rPr>
          <w:color w:val="auto"/>
          <w:highlight w:val="none"/>
        </w:rPr>
        <w:fldChar w:fldCharType="separate"/>
      </w:r>
      <w:r>
        <w:rPr>
          <w:color w:val="auto"/>
          <w:highlight w:val="none"/>
        </w:rPr>
        <w:t>18</w:t>
      </w:r>
      <w:r>
        <w:rPr>
          <w:color w:val="auto"/>
          <w:highlight w:val="none"/>
        </w:rPr>
        <w:fldChar w:fldCharType="end"/>
      </w:r>
      <w:r>
        <w:rPr>
          <w:rFonts w:hint="eastAsia" w:ascii="宋体" w:hAnsi="宋体" w:cs="宋体"/>
          <w:color w:val="auto"/>
          <w:highlight w:val="none"/>
        </w:rPr>
        <w:fldChar w:fldCharType="end"/>
      </w:r>
    </w:p>
    <w:p w14:paraId="2E134AAD">
      <w:pPr>
        <w:pStyle w:val="21"/>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_Toc30666 </w:instrText>
      </w:r>
      <w:r>
        <w:rPr>
          <w:rFonts w:hint="eastAsia" w:ascii="宋体" w:hAnsi="宋体" w:cs="宋体"/>
          <w:color w:val="auto"/>
          <w:highlight w:val="none"/>
        </w:rPr>
        <w:fldChar w:fldCharType="separate"/>
      </w:r>
      <w:r>
        <w:rPr>
          <w:rFonts w:hint="eastAsia" w:ascii="宋体" w:hAnsi="宋体" w:cs="宋体"/>
          <w:color w:val="auto"/>
          <w:highlight w:val="none"/>
        </w:rPr>
        <w:t>二、招标文件</w:t>
      </w:r>
      <w:r>
        <w:rPr>
          <w:color w:val="auto"/>
          <w:highlight w:val="none"/>
        </w:rPr>
        <w:tab/>
      </w:r>
      <w:r>
        <w:rPr>
          <w:color w:val="auto"/>
          <w:highlight w:val="none"/>
        </w:rPr>
        <w:fldChar w:fldCharType="begin"/>
      </w:r>
      <w:r>
        <w:rPr>
          <w:color w:val="auto"/>
          <w:highlight w:val="none"/>
        </w:rPr>
        <w:instrText xml:space="preserve"> PAGEREF _Toc30666 \h </w:instrText>
      </w:r>
      <w:r>
        <w:rPr>
          <w:color w:val="auto"/>
          <w:highlight w:val="none"/>
        </w:rPr>
        <w:fldChar w:fldCharType="separate"/>
      </w:r>
      <w:r>
        <w:rPr>
          <w:color w:val="auto"/>
          <w:highlight w:val="none"/>
        </w:rPr>
        <w:t>20</w:t>
      </w:r>
      <w:r>
        <w:rPr>
          <w:color w:val="auto"/>
          <w:highlight w:val="none"/>
        </w:rPr>
        <w:fldChar w:fldCharType="end"/>
      </w:r>
      <w:r>
        <w:rPr>
          <w:rFonts w:hint="eastAsia" w:ascii="宋体" w:hAnsi="宋体" w:cs="宋体"/>
          <w:color w:val="auto"/>
          <w:highlight w:val="none"/>
        </w:rPr>
        <w:fldChar w:fldCharType="end"/>
      </w:r>
    </w:p>
    <w:p w14:paraId="39A13940">
      <w:pPr>
        <w:pStyle w:val="21"/>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_Toc11493 </w:instrText>
      </w:r>
      <w:r>
        <w:rPr>
          <w:rFonts w:hint="eastAsia" w:ascii="宋体" w:hAnsi="宋体" w:cs="宋体"/>
          <w:color w:val="auto"/>
          <w:highlight w:val="none"/>
        </w:rPr>
        <w:fldChar w:fldCharType="separate"/>
      </w:r>
      <w:r>
        <w:rPr>
          <w:rFonts w:hint="eastAsia" w:ascii="宋体" w:hAnsi="宋体" w:cs="宋体"/>
          <w:color w:val="auto"/>
          <w:highlight w:val="none"/>
        </w:rPr>
        <w:t>三、投标文件的编制</w:t>
      </w:r>
      <w:r>
        <w:rPr>
          <w:color w:val="auto"/>
          <w:highlight w:val="none"/>
        </w:rPr>
        <w:tab/>
      </w:r>
      <w:r>
        <w:rPr>
          <w:color w:val="auto"/>
          <w:highlight w:val="none"/>
        </w:rPr>
        <w:fldChar w:fldCharType="begin"/>
      </w:r>
      <w:r>
        <w:rPr>
          <w:color w:val="auto"/>
          <w:highlight w:val="none"/>
        </w:rPr>
        <w:instrText xml:space="preserve"> PAGEREF _Toc11493 \h </w:instrText>
      </w:r>
      <w:r>
        <w:rPr>
          <w:color w:val="auto"/>
          <w:highlight w:val="none"/>
        </w:rPr>
        <w:fldChar w:fldCharType="separate"/>
      </w:r>
      <w:r>
        <w:rPr>
          <w:color w:val="auto"/>
          <w:highlight w:val="none"/>
        </w:rPr>
        <w:t>21</w:t>
      </w:r>
      <w:r>
        <w:rPr>
          <w:color w:val="auto"/>
          <w:highlight w:val="none"/>
        </w:rPr>
        <w:fldChar w:fldCharType="end"/>
      </w:r>
      <w:r>
        <w:rPr>
          <w:rFonts w:hint="eastAsia" w:ascii="宋体" w:hAnsi="宋体" w:cs="宋体"/>
          <w:color w:val="auto"/>
          <w:highlight w:val="none"/>
        </w:rPr>
        <w:fldChar w:fldCharType="end"/>
      </w:r>
    </w:p>
    <w:p w14:paraId="473DDD58">
      <w:pPr>
        <w:pStyle w:val="21"/>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_Toc21393 </w:instrText>
      </w:r>
      <w:r>
        <w:rPr>
          <w:rFonts w:hint="eastAsia" w:ascii="宋体" w:hAnsi="宋体" w:cs="宋体"/>
          <w:color w:val="auto"/>
          <w:highlight w:val="none"/>
        </w:rPr>
        <w:fldChar w:fldCharType="separate"/>
      </w:r>
      <w:r>
        <w:rPr>
          <w:rFonts w:hint="eastAsia" w:ascii="宋体" w:hAnsi="宋体" w:cs="宋体"/>
          <w:color w:val="auto"/>
          <w:highlight w:val="none"/>
        </w:rPr>
        <w:t>四、开  标</w:t>
      </w:r>
      <w:r>
        <w:rPr>
          <w:color w:val="auto"/>
          <w:highlight w:val="none"/>
        </w:rPr>
        <w:tab/>
      </w:r>
      <w:r>
        <w:rPr>
          <w:color w:val="auto"/>
          <w:highlight w:val="none"/>
        </w:rPr>
        <w:fldChar w:fldCharType="begin"/>
      </w:r>
      <w:r>
        <w:rPr>
          <w:color w:val="auto"/>
          <w:highlight w:val="none"/>
        </w:rPr>
        <w:instrText xml:space="preserve"> PAGEREF _Toc21393 \h </w:instrText>
      </w:r>
      <w:r>
        <w:rPr>
          <w:color w:val="auto"/>
          <w:highlight w:val="none"/>
        </w:rPr>
        <w:fldChar w:fldCharType="separate"/>
      </w:r>
      <w:r>
        <w:rPr>
          <w:color w:val="auto"/>
          <w:highlight w:val="none"/>
        </w:rPr>
        <w:t>23</w:t>
      </w:r>
      <w:r>
        <w:rPr>
          <w:color w:val="auto"/>
          <w:highlight w:val="none"/>
        </w:rPr>
        <w:fldChar w:fldCharType="end"/>
      </w:r>
      <w:r>
        <w:rPr>
          <w:rFonts w:hint="eastAsia" w:ascii="宋体" w:hAnsi="宋体" w:cs="宋体"/>
          <w:color w:val="auto"/>
          <w:highlight w:val="none"/>
        </w:rPr>
        <w:fldChar w:fldCharType="end"/>
      </w:r>
    </w:p>
    <w:p w14:paraId="3EDC5330">
      <w:pPr>
        <w:pStyle w:val="21"/>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_Toc6086 </w:instrText>
      </w:r>
      <w:r>
        <w:rPr>
          <w:rFonts w:hint="eastAsia" w:ascii="宋体" w:hAnsi="宋体" w:cs="宋体"/>
          <w:color w:val="auto"/>
          <w:highlight w:val="none"/>
        </w:rPr>
        <w:fldChar w:fldCharType="separate"/>
      </w:r>
      <w:r>
        <w:rPr>
          <w:rFonts w:hint="eastAsia" w:ascii="宋体" w:hAnsi="宋体" w:cs="宋体"/>
          <w:color w:val="auto"/>
          <w:highlight w:val="none"/>
        </w:rPr>
        <w:t>五、资格审查</w:t>
      </w:r>
      <w:r>
        <w:rPr>
          <w:color w:val="auto"/>
          <w:highlight w:val="none"/>
        </w:rPr>
        <w:tab/>
      </w:r>
      <w:r>
        <w:rPr>
          <w:color w:val="auto"/>
          <w:highlight w:val="none"/>
        </w:rPr>
        <w:fldChar w:fldCharType="begin"/>
      </w:r>
      <w:r>
        <w:rPr>
          <w:color w:val="auto"/>
          <w:highlight w:val="none"/>
        </w:rPr>
        <w:instrText xml:space="preserve"> PAGEREF _Toc6086 \h </w:instrText>
      </w:r>
      <w:r>
        <w:rPr>
          <w:color w:val="auto"/>
          <w:highlight w:val="none"/>
        </w:rPr>
        <w:fldChar w:fldCharType="separate"/>
      </w:r>
      <w:r>
        <w:rPr>
          <w:color w:val="auto"/>
          <w:highlight w:val="none"/>
        </w:rPr>
        <w:t>24</w:t>
      </w:r>
      <w:r>
        <w:rPr>
          <w:color w:val="auto"/>
          <w:highlight w:val="none"/>
        </w:rPr>
        <w:fldChar w:fldCharType="end"/>
      </w:r>
      <w:r>
        <w:rPr>
          <w:rFonts w:hint="eastAsia" w:ascii="宋体" w:hAnsi="宋体" w:cs="宋体"/>
          <w:color w:val="auto"/>
          <w:highlight w:val="none"/>
        </w:rPr>
        <w:fldChar w:fldCharType="end"/>
      </w:r>
    </w:p>
    <w:p w14:paraId="2487AE6B">
      <w:pPr>
        <w:pStyle w:val="21"/>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_Toc17386 </w:instrText>
      </w:r>
      <w:r>
        <w:rPr>
          <w:rFonts w:hint="eastAsia" w:ascii="宋体" w:hAnsi="宋体" w:cs="宋体"/>
          <w:color w:val="auto"/>
          <w:highlight w:val="none"/>
        </w:rPr>
        <w:fldChar w:fldCharType="separate"/>
      </w:r>
      <w:r>
        <w:rPr>
          <w:rFonts w:hint="eastAsia" w:ascii="宋体" w:hAnsi="宋体" w:cs="宋体"/>
          <w:color w:val="auto"/>
          <w:highlight w:val="none"/>
        </w:rPr>
        <w:t>六、评  标</w:t>
      </w:r>
      <w:r>
        <w:rPr>
          <w:color w:val="auto"/>
          <w:highlight w:val="none"/>
        </w:rPr>
        <w:tab/>
      </w:r>
      <w:r>
        <w:rPr>
          <w:color w:val="auto"/>
          <w:highlight w:val="none"/>
        </w:rPr>
        <w:fldChar w:fldCharType="begin"/>
      </w:r>
      <w:r>
        <w:rPr>
          <w:color w:val="auto"/>
          <w:highlight w:val="none"/>
        </w:rPr>
        <w:instrText xml:space="preserve"> PAGEREF _Toc17386 \h </w:instrText>
      </w:r>
      <w:r>
        <w:rPr>
          <w:color w:val="auto"/>
          <w:highlight w:val="none"/>
        </w:rPr>
        <w:fldChar w:fldCharType="separate"/>
      </w:r>
      <w:r>
        <w:rPr>
          <w:color w:val="auto"/>
          <w:highlight w:val="none"/>
        </w:rPr>
        <w:t>25</w:t>
      </w:r>
      <w:r>
        <w:rPr>
          <w:color w:val="auto"/>
          <w:highlight w:val="none"/>
        </w:rPr>
        <w:fldChar w:fldCharType="end"/>
      </w:r>
      <w:r>
        <w:rPr>
          <w:rFonts w:hint="eastAsia" w:ascii="宋体" w:hAnsi="宋体" w:cs="宋体"/>
          <w:color w:val="auto"/>
          <w:highlight w:val="none"/>
        </w:rPr>
        <w:fldChar w:fldCharType="end"/>
      </w:r>
    </w:p>
    <w:p w14:paraId="3E40C31F">
      <w:pPr>
        <w:pStyle w:val="21"/>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_Toc12517 </w:instrText>
      </w:r>
      <w:r>
        <w:rPr>
          <w:rFonts w:hint="eastAsia" w:ascii="宋体" w:hAnsi="宋体" w:cs="宋体"/>
          <w:color w:val="auto"/>
          <w:highlight w:val="none"/>
        </w:rPr>
        <w:fldChar w:fldCharType="separate"/>
      </w:r>
      <w:r>
        <w:rPr>
          <w:rFonts w:hint="eastAsia" w:ascii="宋体" w:hAnsi="宋体" w:cs="宋体"/>
          <w:color w:val="auto"/>
          <w:highlight w:val="none"/>
        </w:rPr>
        <w:t>七、中标和合同</w:t>
      </w:r>
      <w:r>
        <w:rPr>
          <w:color w:val="auto"/>
          <w:highlight w:val="none"/>
        </w:rPr>
        <w:tab/>
      </w:r>
      <w:r>
        <w:rPr>
          <w:color w:val="auto"/>
          <w:highlight w:val="none"/>
        </w:rPr>
        <w:fldChar w:fldCharType="begin"/>
      </w:r>
      <w:r>
        <w:rPr>
          <w:color w:val="auto"/>
          <w:highlight w:val="none"/>
        </w:rPr>
        <w:instrText xml:space="preserve"> PAGEREF _Toc12517 \h </w:instrText>
      </w:r>
      <w:r>
        <w:rPr>
          <w:color w:val="auto"/>
          <w:highlight w:val="none"/>
        </w:rPr>
        <w:fldChar w:fldCharType="separate"/>
      </w:r>
      <w:r>
        <w:rPr>
          <w:color w:val="auto"/>
          <w:highlight w:val="none"/>
        </w:rPr>
        <w:t>26</w:t>
      </w:r>
      <w:r>
        <w:rPr>
          <w:color w:val="auto"/>
          <w:highlight w:val="none"/>
        </w:rPr>
        <w:fldChar w:fldCharType="end"/>
      </w:r>
      <w:r>
        <w:rPr>
          <w:rFonts w:hint="eastAsia" w:ascii="宋体" w:hAnsi="宋体" w:cs="宋体"/>
          <w:color w:val="auto"/>
          <w:highlight w:val="none"/>
        </w:rPr>
        <w:fldChar w:fldCharType="end"/>
      </w:r>
    </w:p>
    <w:p w14:paraId="6600E53A">
      <w:pPr>
        <w:pStyle w:val="21"/>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_Toc17072 </w:instrText>
      </w:r>
      <w:r>
        <w:rPr>
          <w:rFonts w:hint="eastAsia" w:ascii="宋体" w:hAnsi="宋体" w:cs="宋体"/>
          <w:color w:val="auto"/>
          <w:highlight w:val="none"/>
        </w:rPr>
        <w:fldChar w:fldCharType="separate"/>
      </w:r>
      <w:r>
        <w:rPr>
          <w:rFonts w:hint="eastAsia" w:ascii="宋体" w:hAnsi="宋体" w:cs="宋体"/>
          <w:color w:val="auto"/>
          <w:highlight w:val="none"/>
        </w:rPr>
        <w:t>八、其他事项</w:t>
      </w:r>
      <w:r>
        <w:rPr>
          <w:color w:val="auto"/>
          <w:highlight w:val="none"/>
        </w:rPr>
        <w:tab/>
      </w:r>
      <w:r>
        <w:rPr>
          <w:color w:val="auto"/>
          <w:highlight w:val="none"/>
        </w:rPr>
        <w:fldChar w:fldCharType="begin"/>
      </w:r>
      <w:r>
        <w:rPr>
          <w:color w:val="auto"/>
          <w:highlight w:val="none"/>
        </w:rPr>
        <w:instrText xml:space="preserve"> PAGEREF _Toc17072 \h </w:instrText>
      </w:r>
      <w:r>
        <w:rPr>
          <w:color w:val="auto"/>
          <w:highlight w:val="none"/>
        </w:rPr>
        <w:fldChar w:fldCharType="separate"/>
      </w:r>
      <w:r>
        <w:rPr>
          <w:color w:val="auto"/>
          <w:highlight w:val="none"/>
        </w:rPr>
        <w:t>29</w:t>
      </w:r>
      <w:r>
        <w:rPr>
          <w:color w:val="auto"/>
          <w:highlight w:val="none"/>
        </w:rPr>
        <w:fldChar w:fldCharType="end"/>
      </w:r>
      <w:r>
        <w:rPr>
          <w:rFonts w:hint="eastAsia" w:ascii="宋体" w:hAnsi="宋体" w:cs="宋体"/>
          <w:color w:val="auto"/>
          <w:highlight w:val="none"/>
        </w:rPr>
        <w:fldChar w:fldCharType="end"/>
      </w:r>
    </w:p>
    <w:p w14:paraId="72198096">
      <w:pPr>
        <w:pStyle w:val="29"/>
        <w:keepNext w:val="0"/>
        <w:keepLines w:val="0"/>
        <w:pageBreakBefore w:val="0"/>
        <w:widowControl w:val="0"/>
        <w:tabs>
          <w:tab w:val="right" w:leader="dot" w:pos="9242"/>
        </w:tabs>
        <w:kinsoku/>
        <w:wordWrap/>
        <w:overflowPunct/>
        <w:topLinePunct w:val="0"/>
        <w:autoSpaceDE/>
        <w:autoSpaceDN/>
        <w:bidi w:val="0"/>
        <w:adjustRightInd/>
        <w:snapToGrid/>
        <w:spacing w:before="0" w:after="0"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_Toc15433 </w:instrText>
      </w:r>
      <w:r>
        <w:rPr>
          <w:rFonts w:hint="eastAsia" w:ascii="宋体" w:hAnsi="宋体" w:cs="宋体"/>
          <w:color w:val="auto"/>
          <w:highlight w:val="none"/>
        </w:rPr>
        <w:fldChar w:fldCharType="separate"/>
      </w:r>
      <w:r>
        <w:rPr>
          <w:rFonts w:hint="eastAsia" w:ascii="宋体" w:hAnsi="宋体" w:cs="宋体"/>
          <w:color w:val="auto"/>
          <w:highlight w:val="none"/>
        </w:rPr>
        <w:t>第四章  评标方法及评标标准</w:t>
      </w:r>
      <w:r>
        <w:rPr>
          <w:color w:val="auto"/>
          <w:highlight w:val="none"/>
        </w:rPr>
        <w:tab/>
      </w:r>
      <w:r>
        <w:rPr>
          <w:color w:val="auto"/>
          <w:highlight w:val="none"/>
        </w:rPr>
        <w:fldChar w:fldCharType="begin"/>
      </w:r>
      <w:r>
        <w:rPr>
          <w:color w:val="auto"/>
          <w:highlight w:val="none"/>
        </w:rPr>
        <w:instrText xml:space="preserve"> PAGEREF _Toc15433 \h </w:instrText>
      </w:r>
      <w:r>
        <w:rPr>
          <w:color w:val="auto"/>
          <w:highlight w:val="none"/>
        </w:rPr>
        <w:fldChar w:fldCharType="separate"/>
      </w:r>
      <w:r>
        <w:rPr>
          <w:color w:val="auto"/>
          <w:highlight w:val="none"/>
        </w:rPr>
        <w:t>33</w:t>
      </w:r>
      <w:r>
        <w:rPr>
          <w:color w:val="auto"/>
          <w:highlight w:val="none"/>
        </w:rPr>
        <w:fldChar w:fldCharType="end"/>
      </w:r>
      <w:r>
        <w:rPr>
          <w:rFonts w:hint="eastAsia" w:ascii="宋体" w:hAnsi="宋体" w:cs="宋体"/>
          <w:color w:val="auto"/>
          <w:highlight w:val="none"/>
        </w:rPr>
        <w:fldChar w:fldCharType="end"/>
      </w:r>
    </w:p>
    <w:p w14:paraId="6809E0D7">
      <w:pPr>
        <w:pStyle w:val="34"/>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_Toc22273 </w:instrText>
      </w:r>
      <w:r>
        <w:rPr>
          <w:rFonts w:hint="eastAsia" w:ascii="宋体" w:hAnsi="宋体" w:cs="宋体"/>
          <w:color w:val="auto"/>
          <w:highlight w:val="none"/>
        </w:rPr>
        <w:fldChar w:fldCharType="separate"/>
      </w:r>
      <w:r>
        <w:rPr>
          <w:rFonts w:hint="eastAsia" w:ascii="宋体" w:hAnsi="宋体" w:cs="宋体"/>
          <w:color w:val="auto"/>
          <w:highlight w:val="none"/>
        </w:rPr>
        <w:t>一、评标方法</w:t>
      </w:r>
      <w:r>
        <w:rPr>
          <w:color w:val="auto"/>
          <w:highlight w:val="none"/>
        </w:rPr>
        <w:tab/>
      </w:r>
      <w:r>
        <w:rPr>
          <w:color w:val="auto"/>
          <w:highlight w:val="none"/>
        </w:rPr>
        <w:fldChar w:fldCharType="begin"/>
      </w:r>
      <w:r>
        <w:rPr>
          <w:color w:val="auto"/>
          <w:highlight w:val="none"/>
        </w:rPr>
        <w:instrText xml:space="preserve"> PAGEREF _Toc22273 \h </w:instrText>
      </w:r>
      <w:r>
        <w:rPr>
          <w:color w:val="auto"/>
          <w:highlight w:val="none"/>
        </w:rPr>
        <w:fldChar w:fldCharType="separate"/>
      </w:r>
      <w:r>
        <w:rPr>
          <w:color w:val="auto"/>
          <w:highlight w:val="none"/>
        </w:rPr>
        <w:t>33</w:t>
      </w:r>
      <w:r>
        <w:rPr>
          <w:color w:val="auto"/>
          <w:highlight w:val="none"/>
        </w:rPr>
        <w:fldChar w:fldCharType="end"/>
      </w:r>
      <w:r>
        <w:rPr>
          <w:rFonts w:hint="eastAsia" w:ascii="宋体" w:hAnsi="宋体" w:cs="宋体"/>
          <w:color w:val="auto"/>
          <w:highlight w:val="none"/>
        </w:rPr>
        <w:fldChar w:fldCharType="end"/>
      </w:r>
    </w:p>
    <w:p w14:paraId="11BEC00F">
      <w:pPr>
        <w:pStyle w:val="34"/>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_Toc29445 </w:instrText>
      </w:r>
      <w:r>
        <w:rPr>
          <w:rFonts w:hint="eastAsia" w:ascii="宋体" w:hAnsi="宋体" w:cs="宋体"/>
          <w:color w:val="auto"/>
          <w:highlight w:val="none"/>
        </w:rPr>
        <w:fldChar w:fldCharType="separate"/>
      </w:r>
      <w:r>
        <w:rPr>
          <w:rFonts w:hint="eastAsia" w:ascii="宋体" w:hAnsi="宋体" w:cs="宋体"/>
          <w:color w:val="auto"/>
          <w:highlight w:val="none"/>
        </w:rPr>
        <w:t>二、评标程序</w:t>
      </w:r>
      <w:r>
        <w:rPr>
          <w:color w:val="auto"/>
          <w:highlight w:val="none"/>
        </w:rPr>
        <w:tab/>
      </w:r>
      <w:r>
        <w:rPr>
          <w:color w:val="auto"/>
          <w:highlight w:val="none"/>
        </w:rPr>
        <w:fldChar w:fldCharType="begin"/>
      </w:r>
      <w:r>
        <w:rPr>
          <w:color w:val="auto"/>
          <w:highlight w:val="none"/>
        </w:rPr>
        <w:instrText xml:space="preserve"> PAGEREF _Toc29445 \h </w:instrText>
      </w:r>
      <w:r>
        <w:rPr>
          <w:color w:val="auto"/>
          <w:highlight w:val="none"/>
        </w:rPr>
        <w:fldChar w:fldCharType="separate"/>
      </w:r>
      <w:r>
        <w:rPr>
          <w:color w:val="auto"/>
          <w:highlight w:val="none"/>
        </w:rPr>
        <w:t>33</w:t>
      </w:r>
      <w:r>
        <w:rPr>
          <w:color w:val="auto"/>
          <w:highlight w:val="none"/>
        </w:rPr>
        <w:fldChar w:fldCharType="end"/>
      </w:r>
      <w:r>
        <w:rPr>
          <w:rFonts w:hint="eastAsia" w:ascii="宋体" w:hAnsi="宋体" w:cs="宋体"/>
          <w:color w:val="auto"/>
          <w:highlight w:val="none"/>
        </w:rPr>
        <w:fldChar w:fldCharType="end"/>
      </w:r>
    </w:p>
    <w:p w14:paraId="2F56B9D2">
      <w:pPr>
        <w:pStyle w:val="34"/>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_Toc4705 </w:instrText>
      </w:r>
      <w:r>
        <w:rPr>
          <w:rFonts w:hint="eastAsia" w:ascii="宋体" w:hAnsi="宋体" w:cs="宋体"/>
          <w:color w:val="auto"/>
          <w:highlight w:val="none"/>
        </w:rPr>
        <w:fldChar w:fldCharType="separate"/>
      </w:r>
      <w:r>
        <w:rPr>
          <w:rFonts w:hint="eastAsia" w:ascii="宋体" w:hAnsi="宋体" w:cs="宋体"/>
          <w:color w:val="auto"/>
          <w:highlight w:val="none"/>
        </w:rPr>
        <w:t>三、评标标准</w:t>
      </w:r>
      <w:r>
        <w:rPr>
          <w:color w:val="auto"/>
          <w:highlight w:val="none"/>
        </w:rPr>
        <w:tab/>
      </w:r>
      <w:r>
        <w:rPr>
          <w:color w:val="auto"/>
          <w:highlight w:val="none"/>
        </w:rPr>
        <w:fldChar w:fldCharType="begin"/>
      </w:r>
      <w:r>
        <w:rPr>
          <w:color w:val="auto"/>
          <w:highlight w:val="none"/>
        </w:rPr>
        <w:instrText xml:space="preserve"> PAGEREF _Toc4705 \h </w:instrText>
      </w:r>
      <w:r>
        <w:rPr>
          <w:color w:val="auto"/>
          <w:highlight w:val="none"/>
        </w:rPr>
        <w:fldChar w:fldCharType="separate"/>
      </w:r>
      <w:r>
        <w:rPr>
          <w:color w:val="auto"/>
          <w:highlight w:val="none"/>
        </w:rPr>
        <w:t>36</w:t>
      </w:r>
      <w:r>
        <w:rPr>
          <w:color w:val="auto"/>
          <w:highlight w:val="none"/>
        </w:rPr>
        <w:fldChar w:fldCharType="end"/>
      </w:r>
      <w:r>
        <w:rPr>
          <w:rFonts w:hint="eastAsia" w:ascii="宋体" w:hAnsi="宋体" w:cs="宋体"/>
          <w:color w:val="auto"/>
          <w:highlight w:val="none"/>
        </w:rPr>
        <w:fldChar w:fldCharType="end"/>
      </w:r>
    </w:p>
    <w:p w14:paraId="0040E925">
      <w:pPr>
        <w:pStyle w:val="34"/>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_Toc29253 </w:instrText>
      </w:r>
      <w:r>
        <w:rPr>
          <w:rFonts w:hint="eastAsia" w:ascii="宋体" w:hAnsi="宋体" w:cs="宋体"/>
          <w:color w:val="auto"/>
          <w:highlight w:val="none"/>
        </w:rPr>
        <w:fldChar w:fldCharType="separate"/>
      </w:r>
      <w:r>
        <w:rPr>
          <w:rFonts w:hint="eastAsia" w:ascii="宋体" w:hAnsi="宋体" w:cs="宋体"/>
          <w:color w:val="auto"/>
          <w:highlight w:val="none"/>
        </w:rPr>
        <w:t>评分标准（综合评分法）</w:t>
      </w:r>
      <w:r>
        <w:rPr>
          <w:color w:val="auto"/>
          <w:highlight w:val="none"/>
        </w:rPr>
        <w:tab/>
      </w:r>
      <w:r>
        <w:rPr>
          <w:color w:val="auto"/>
          <w:highlight w:val="none"/>
        </w:rPr>
        <w:fldChar w:fldCharType="begin"/>
      </w:r>
      <w:r>
        <w:rPr>
          <w:color w:val="auto"/>
          <w:highlight w:val="none"/>
        </w:rPr>
        <w:instrText xml:space="preserve"> PAGEREF _Toc29253 \h </w:instrText>
      </w:r>
      <w:r>
        <w:rPr>
          <w:color w:val="auto"/>
          <w:highlight w:val="none"/>
        </w:rPr>
        <w:fldChar w:fldCharType="separate"/>
      </w:r>
      <w:r>
        <w:rPr>
          <w:color w:val="auto"/>
          <w:highlight w:val="none"/>
        </w:rPr>
        <w:t>37</w:t>
      </w:r>
      <w:r>
        <w:rPr>
          <w:color w:val="auto"/>
          <w:highlight w:val="none"/>
        </w:rPr>
        <w:fldChar w:fldCharType="end"/>
      </w:r>
      <w:r>
        <w:rPr>
          <w:rFonts w:hint="eastAsia" w:ascii="宋体" w:hAnsi="宋体" w:cs="宋体"/>
          <w:color w:val="auto"/>
          <w:highlight w:val="none"/>
        </w:rPr>
        <w:fldChar w:fldCharType="end"/>
      </w:r>
    </w:p>
    <w:p w14:paraId="34C7FD1B">
      <w:pPr>
        <w:pStyle w:val="34"/>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_Toc4130 </w:instrText>
      </w:r>
      <w:r>
        <w:rPr>
          <w:rFonts w:hint="eastAsia" w:ascii="宋体" w:hAnsi="宋体" w:cs="宋体"/>
          <w:color w:val="auto"/>
          <w:highlight w:val="none"/>
        </w:rPr>
        <w:fldChar w:fldCharType="separate"/>
      </w:r>
      <w:r>
        <w:rPr>
          <w:rFonts w:hint="eastAsia" w:ascii="宋体" w:hAnsi="宋体" w:cs="宋体"/>
          <w:color w:val="auto"/>
          <w:highlight w:val="none"/>
        </w:rPr>
        <w:t>四、中标候选人推荐原则</w:t>
      </w:r>
      <w:r>
        <w:rPr>
          <w:color w:val="auto"/>
          <w:highlight w:val="none"/>
        </w:rPr>
        <w:tab/>
      </w:r>
      <w:r>
        <w:rPr>
          <w:color w:val="auto"/>
          <w:highlight w:val="none"/>
        </w:rPr>
        <w:fldChar w:fldCharType="begin"/>
      </w:r>
      <w:r>
        <w:rPr>
          <w:color w:val="auto"/>
          <w:highlight w:val="none"/>
        </w:rPr>
        <w:instrText xml:space="preserve"> PAGEREF _Toc4130 \h </w:instrText>
      </w:r>
      <w:r>
        <w:rPr>
          <w:color w:val="auto"/>
          <w:highlight w:val="none"/>
        </w:rPr>
        <w:fldChar w:fldCharType="separate"/>
      </w:r>
      <w:r>
        <w:rPr>
          <w:color w:val="auto"/>
          <w:highlight w:val="none"/>
        </w:rPr>
        <w:t>37</w:t>
      </w:r>
      <w:r>
        <w:rPr>
          <w:color w:val="auto"/>
          <w:highlight w:val="none"/>
        </w:rPr>
        <w:fldChar w:fldCharType="end"/>
      </w:r>
      <w:r>
        <w:rPr>
          <w:rFonts w:hint="eastAsia" w:ascii="宋体" w:hAnsi="宋体" w:cs="宋体"/>
          <w:color w:val="auto"/>
          <w:highlight w:val="none"/>
        </w:rPr>
        <w:fldChar w:fldCharType="end"/>
      </w:r>
    </w:p>
    <w:p w14:paraId="5DF6EC7D">
      <w:pPr>
        <w:pStyle w:val="29"/>
        <w:keepNext w:val="0"/>
        <w:keepLines w:val="0"/>
        <w:pageBreakBefore w:val="0"/>
        <w:widowControl w:val="0"/>
        <w:tabs>
          <w:tab w:val="right" w:leader="dot" w:pos="9242"/>
        </w:tabs>
        <w:kinsoku/>
        <w:wordWrap/>
        <w:overflowPunct/>
        <w:topLinePunct w:val="0"/>
        <w:autoSpaceDE/>
        <w:autoSpaceDN/>
        <w:bidi w:val="0"/>
        <w:adjustRightInd/>
        <w:snapToGrid/>
        <w:spacing w:before="0" w:after="0" w:line="360" w:lineRule="auto"/>
        <w:textAlignment w:val="auto"/>
        <w:rPr>
          <w:rFonts w:hint="eastAsia" w:eastAsia="宋体"/>
          <w:color w:val="auto"/>
          <w:highlight w:val="none"/>
          <w:lang w:val="en-US" w:eastAsia="zh-CN"/>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_Toc22428 </w:instrText>
      </w:r>
      <w:r>
        <w:rPr>
          <w:rFonts w:hint="eastAsia" w:ascii="宋体" w:hAnsi="宋体" w:cs="宋体"/>
          <w:color w:val="auto"/>
          <w:highlight w:val="none"/>
        </w:rPr>
        <w:fldChar w:fldCharType="separate"/>
      </w:r>
      <w:r>
        <w:rPr>
          <w:rFonts w:hint="eastAsia" w:ascii="宋体" w:hAnsi="宋体" w:cs="宋体"/>
          <w:color w:val="auto"/>
          <w:highlight w:val="none"/>
        </w:rPr>
        <w:t>第五章  拟签订的合同文本</w:t>
      </w:r>
      <w:r>
        <w:rPr>
          <w:color w:val="auto"/>
          <w:highlight w:val="none"/>
        </w:rPr>
        <w:tab/>
      </w:r>
      <w:r>
        <w:rPr>
          <w:rFonts w:hint="eastAsia"/>
          <w:color w:val="auto"/>
          <w:highlight w:val="none"/>
          <w:lang w:val="en-US" w:eastAsia="zh-CN"/>
        </w:rPr>
        <w:t>4</w:t>
      </w:r>
      <w:r>
        <w:rPr>
          <w:rFonts w:hint="eastAsia" w:ascii="宋体" w:hAnsi="宋体" w:cs="宋体"/>
          <w:color w:val="auto"/>
          <w:highlight w:val="none"/>
        </w:rPr>
        <w:fldChar w:fldCharType="end"/>
      </w:r>
      <w:r>
        <w:rPr>
          <w:rFonts w:hint="eastAsia" w:ascii="宋体" w:hAnsi="宋体" w:cs="宋体"/>
          <w:color w:val="auto"/>
          <w:highlight w:val="none"/>
          <w:lang w:val="en-US" w:eastAsia="zh-CN"/>
        </w:rPr>
        <w:t>1</w:t>
      </w:r>
    </w:p>
    <w:p w14:paraId="799BF998">
      <w:pPr>
        <w:pStyle w:val="29"/>
        <w:keepNext w:val="0"/>
        <w:keepLines w:val="0"/>
        <w:pageBreakBefore w:val="0"/>
        <w:widowControl w:val="0"/>
        <w:tabs>
          <w:tab w:val="right" w:leader="dot" w:pos="9242"/>
        </w:tabs>
        <w:kinsoku/>
        <w:wordWrap/>
        <w:overflowPunct/>
        <w:topLinePunct w:val="0"/>
        <w:autoSpaceDE/>
        <w:autoSpaceDN/>
        <w:bidi w:val="0"/>
        <w:adjustRightInd/>
        <w:snapToGrid/>
        <w:spacing w:before="0" w:after="0"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_Toc20718 </w:instrText>
      </w:r>
      <w:r>
        <w:rPr>
          <w:rFonts w:hint="eastAsia" w:ascii="宋体" w:hAnsi="宋体" w:cs="宋体"/>
          <w:color w:val="auto"/>
          <w:highlight w:val="none"/>
        </w:rPr>
        <w:fldChar w:fldCharType="separate"/>
      </w:r>
      <w:r>
        <w:rPr>
          <w:rFonts w:hint="eastAsia" w:ascii="宋体" w:hAnsi="宋体" w:cs="宋体"/>
          <w:color w:val="auto"/>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_Toc20718 \h </w:instrText>
      </w:r>
      <w:r>
        <w:rPr>
          <w:color w:val="auto"/>
          <w:highlight w:val="none"/>
        </w:rPr>
        <w:fldChar w:fldCharType="separate"/>
      </w:r>
      <w:r>
        <w:rPr>
          <w:color w:val="auto"/>
          <w:highlight w:val="none"/>
        </w:rPr>
        <w:t>48</w:t>
      </w:r>
      <w:r>
        <w:rPr>
          <w:color w:val="auto"/>
          <w:highlight w:val="none"/>
        </w:rPr>
        <w:fldChar w:fldCharType="end"/>
      </w:r>
      <w:r>
        <w:rPr>
          <w:rFonts w:hint="eastAsia" w:ascii="宋体" w:hAnsi="宋体" w:cs="宋体"/>
          <w:color w:val="auto"/>
          <w:highlight w:val="none"/>
        </w:rPr>
        <w:fldChar w:fldCharType="end"/>
      </w:r>
    </w:p>
    <w:p w14:paraId="4A73971B">
      <w:pPr>
        <w:pStyle w:val="34"/>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_Toc7400 </w:instrText>
      </w:r>
      <w:r>
        <w:rPr>
          <w:rFonts w:hint="eastAsia" w:ascii="宋体" w:hAnsi="宋体" w:cs="宋体"/>
          <w:color w:val="auto"/>
          <w:highlight w:val="none"/>
        </w:rPr>
        <w:fldChar w:fldCharType="separate"/>
      </w:r>
      <w:r>
        <w:rPr>
          <w:rFonts w:hint="eastAsia" w:ascii="宋体" w:hAnsi="宋体" w:cs="宋体"/>
          <w:color w:val="auto"/>
          <w:szCs w:val="28"/>
          <w:highlight w:val="none"/>
        </w:rPr>
        <w:t>一、报价文件格式</w:t>
      </w:r>
      <w:r>
        <w:rPr>
          <w:color w:val="auto"/>
          <w:highlight w:val="none"/>
        </w:rPr>
        <w:tab/>
      </w:r>
      <w:r>
        <w:rPr>
          <w:color w:val="auto"/>
          <w:highlight w:val="none"/>
        </w:rPr>
        <w:fldChar w:fldCharType="begin"/>
      </w:r>
      <w:r>
        <w:rPr>
          <w:color w:val="auto"/>
          <w:highlight w:val="none"/>
        </w:rPr>
        <w:instrText xml:space="preserve"> PAGEREF _Toc7400 \h </w:instrText>
      </w:r>
      <w:r>
        <w:rPr>
          <w:color w:val="auto"/>
          <w:highlight w:val="none"/>
        </w:rPr>
        <w:fldChar w:fldCharType="separate"/>
      </w:r>
      <w:r>
        <w:rPr>
          <w:color w:val="auto"/>
          <w:highlight w:val="none"/>
        </w:rPr>
        <w:t>49</w:t>
      </w:r>
      <w:r>
        <w:rPr>
          <w:color w:val="auto"/>
          <w:highlight w:val="none"/>
        </w:rPr>
        <w:fldChar w:fldCharType="end"/>
      </w:r>
      <w:r>
        <w:rPr>
          <w:rFonts w:hint="eastAsia" w:ascii="宋体" w:hAnsi="宋体" w:cs="宋体"/>
          <w:color w:val="auto"/>
          <w:highlight w:val="none"/>
        </w:rPr>
        <w:fldChar w:fldCharType="end"/>
      </w:r>
    </w:p>
    <w:p w14:paraId="16DA855A">
      <w:pPr>
        <w:pStyle w:val="34"/>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_Toc23452 </w:instrText>
      </w:r>
      <w:r>
        <w:rPr>
          <w:rFonts w:hint="eastAsia" w:ascii="宋体" w:hAnsi="宋体" w:cs="宋体"/>
          <w:color w:val="auto"/>
          <w:highlight w:val="none"/>
        </w:rPr>
        <w:fldChar w:fldCharType="separate"/>
      </w:r>
      <w:r>
        <w:rPr>
          <w:rFonts w:hint="eastAsia"/>
          <w:color w:val="auto"/>
          <w:highlight w:val="none"/>
        </w:rPr>
        <w:t>二、资格证明文件格式</w:t>
      </w:r>
      <w:r>
        <w:rPr>
          <w:color w:val="auto"/>
          <w:highlight w:val="none"/>
        </w:rPr>
        <w:tab/>
      </w:r>
      <w:r>
        <w:rPr>
          <w:color w:val="auto"/>
          <w:highlight w:val="none"/>
        </w:rPr>
        <w:fldChar w:fldCharType="begin"/>
      </w:r>
      <w:r>
        <w:rPr>
          <w:color w:val="auto"/>
          <w:highlight w:val="none"/>
        </w:rPr>
        <w:instrText xml:space="preserve"> PAGEREF _Toc23452 \h </w:instrText>
      </w:r>
      <w:r>
        <w:rPr>
          <w:color w:val="auto"/>
          <w:highlight w:val="none"/>
        </w:rPr>
        <w:fldChar w:fldCharType="separate"/>
      </w:r>
      <w:r>
        <w:rPr>
          <w:color w:val="auto"/>
          <w:highlight w:val="none"/>
        </w:rPr>
        <w:t>55</w:t>
      </w:r>
      <w:r>
        <w:rPr>
          <w:color w:val="auto"/>
          <w:highlight w:val="none"/>
        </w:rPr>
        <w:fldChar w:fldCharType="end"/>
      </w:r>
      <w:r>
        <w:rPr>
          <w:rFonts w:hint="eastAsia" w:ascii="宋体" w:hAnsi="宋体" w:cs="宋体"/>
          <w:color w:val="auto"/>
          <w:highlight w:val="none"/>
        </w:rPr>
        <w:fldChar w:fldCharType="end"/>
      </w:r>
    </w:p>
    <w:p w14:paraId="0DCCA9E8">
      <w:pPr>
        <w:pStyle w:val="34"/>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_Toc6222 </w:instrText>
      </w:r>
      <w:r>
        <w:rPr>
          <w:rFonts w:hint="eastAsia" w:ascii="宋体" w:hAnsi="宋体" w:cs="宋体"/>
          <w:color w:val="auto"/>
          <w:highlight w:val="none"/>
        </w:rPr>
        <w:fldChar w:fldCharType="separate"/>
      </w:r>
      <w:r>
        <w:rPr>
          <w:rFonts w:hint="eastAsia" w:ascii="宋体" w:hAnsi="宋体" w:cs="宋体"/>
          <w:color w:val="auto"/>
          <w:szCs w:val="28"/>
          <w:highlight w:val="none"/>
        </w:rPr>
        <w:t>三、商务及技术文件格式</w:t>
      </w:r>
      <w:r>
        <w:rPr>
          <w:color w:val="auto"/>
          <w:highlight w:val="none"/>
        </w:rPr>
        <w:tab/>
      </w:r>
      <w:r>
        <w:rPr>
          <w:color w:val="auto"/>
          <w:highlight w:val="none"/>
        </w:rPr>
        <w:fldChar w:fldCharType="begin"/>
      </w:r>
      <w:r>
        <w:rPr>
          <w:color w:val="auto"/>
          <w:highlight w:val="none"/>
        </w:rPr>
        <w:instrText xml:space="preserve"> PAGEREF _Toc6222 \h </w:instrText>
      </w:r>
      <w:r>
        <w:rPr>
          <w:color w:val="auto"/>
          <w:highlight w:val="none"/>
        </w:rPr>
        <w:fldChar w:fldCharType="separate"/>
      </w:r>
      <w:r>
        <w:rPr>
          <w:color w:val="auto"/>
          <w:highlight w:val="none"/>
        </w:rPr>
        <w:t>60</w:t>
      </w:r>
      <w:r>
        <w:rPr>
          <w:color w:val="auto"/>
          <w:highlight w:val="none"/>
        </w:rPr>
        <w:fldChar w:fldCharType="end"/>
      </w:r>
      <w:r>
        <w:rPr>
          <w:rFonts w:hint="eastAsia" w:ascii="宋体" w:hAnsi="宋体" w:cs="宋体"/>
          <w:color w:val="auto"/>
          <w:highlight w:val="none"/>
        </w:rPr>
        <w:fldChar w:fldCharType="end"/>
      </w:r>
    </w:p>
    <w:p w14:paraId="7AB38F9D">
      <w:pPr>
        <w:pStyle w:val="2"/>
        <w:keepNext w:val="0"/>
        <w:keepLines w:val="0"/>
        <w:pageBreakBefore w:val="0"/>
        <w:tabs>
          <w:tab w:val="left" w:pos="0"/>
          <w:tab w:val="left" w:pos="3165"/>
          <w:tab w:val="center" w:pos="4153"/>
        </w:tabs>
        <w:kinsoku/>
        <w:overflowPunct/>
        <w:topLinePunct w:val="0"/>
        <w:autoSpaceDE w:val="0"/>
        <w:autoSpaceDN w:val="0"/>
        <w:bidi w:val="0"/>
        <w:adjustRightInd w:val="0"/>
        <w:spacing w:before="0" w:after="0" w:line="240" w:lineRule="auto"/>
        <w:jc w:val="center"/>
        <w:textAlignment w:val="auto"/>
        <w:rPr>
          <w:rFonts w:hint="eastAsia" w:ascii="宋体" w:hAnsi="宋体" w:cs="宋体"/>
          <w:color w:val="auto"/>
          <w:highlight w:val="none"/>
        </w:rPr>
        <w:sectPr>
          <w:footerReference r:id="rId7" w:type="default"/>
          <w:pgSz w:w="11906" w:h="16838"/>
          <w:pgMar w:top="1440" w:right="1800" w:bottom="1440" w:left="1800" w:header="851" w:footer="992" w:gutter="0"/>
          <w:pgNumType w:fmt="decimal" w:start="1"/>
          <w:cols w:space="720" w:num="1"/>
          <w:docGrid w:type="lines" w:linePitch="312" w:charSpace="0"/>
        </w:sectPr>
      </w:pPr>
    </w:p>
    <w:p w14:paraId="09ADA858">
      <w:pPr>
        <w:pStyle w:val="2"/>
        <w:keepNext w:val="0"/>
        <w:keepLines w:val="0"/>
        <w:pageBreakBefore w:val="0"/>
        <w:tabs>
          <w:tab w:val="left" w:pos="0"/>
          <w:tab w:val="left" w:pos="3165"/>
          <w:tab w:val="center" w:pos="4153"/>
        </w:tabs>
        <w:kinsoku/>
        <w:overflowPunct/>
        <w:topLinePunct w:val="0"/>
        <w:autoSpaceDE w:val="0"/>
        <w:autoSpaceDN w:val="0"/>
        <w:bidi w:val="0"/>
        <w:adjustRightInd w:val="0"/>
        <w:spacing w:before="0" w:after="0" w:line="240" w:lineRule="auto"/>
        <w:jc w:val="center"/>
        <w:textAlignment w:val="auto"/>
        <w:rPr>
          <w:rFonts w:hint="eastAsia" w:ascii="宋体" w:hAnsi="宋体" w:cs="宋体"/>
          <w:color w:val="auto"/>
          <w:highlight w:val="none"/>
        </w:rPr>
      </w:pPr>
      <w:r>
        <w:rPr>
          <w:rFonts w:hint="eastAsia" w:ascii="宋体" w:hAnsi="宋体" w:cs="宋体"/>
          <w:color w:val="auto"/>
          <w:highlight w:val="none"/>
        </w:rPr>
        <w:fldChar w:fldCharType="end"/>
      </w:r>
      <w:bookmarkEnd w:id="5"/>
      <w:bookmarkEnd w:id="6"/>
      <w:bookmarkStart w:id="7" w:name="_Toc254970489"/>
      <w:bookmarkStart w:id="8" w:name="_Toc254970630"/>
      <w:bookmarkStart w:id="9" w:name="_Toc21030"/>
      <w:bookmarkStart w:id="10" w:name="_Toc5452"/>
      <w:bookmarkStart w:id="11" w:name="_Toc16993"/>
      <w:r>
        <w:rPr>
          <w:rFonts w:hint="eastAsia" w:ascii="宋体" w:hAnsi="宋体" w:cs="宋体"/>
          <w:color w:val="auto"/>
          <w:highlight w:val="none"/>
        </w:rPr>
        <w:t>第一章</w:t>
      </w:r>
      <w:bookmarkEnd w:id="7"/>
      <w:bookmarkEnd w:id="8"/>
      <w:bookmarkStart w:id="12" w:name="_Toc35393789"/>
      <w:bookmarkStart w:id="13" w:name="_Toc28359001"/>
      <w:r>
        <w:rPr>
          <w:rFonts w:hint="eastAsia" w:ascii="宋体" w:hAnsi="宋体" w:cs="宋体"/>
          <w:color w:val="auto"/>
          <w:highlight w:val="none"/>
        </w:rPr>
        <w:t xml:space="preserve">  招标公告</w:t>
      </w:r>
      <w:bookmarkEnd w:id="9"/>
      <w:bookmarkEnd w:id="10"/>
      <w:bookmarkEnd w:id="11"/>
      <w:bookmarkEnd w:id="12"/>
      <w:bookmarkEnd w:id="13"/>
    </w:p>
    <w:p w14:paraId="6B9E8D26">
      <w:pPr>
        <w:keepNext w:val="0"/>
        <w:keepLines w:val="0"/>
        <w:pageBreakBefore w:val="0"/>
        <w:pBdr>
          <w:top w:val="single" w:color="auto" w:sz="4" w:space="1"/>
          <w:left w:val="single" w:color="auto" w:sz="4" w:space="4"/>
          <w:bottom w:val="single" w:color="auto" w:sz="4" w:space="1"/>
          <w:right w:val="single" w:color="auto" w:sz="4" w:space="4"/>
        </w:pBdr>
        <w:kinsoku/>
        <w:wordWrap w:val="0"/>
        <w:overflowPunct/>
        <w:topLinePunct w:val="0"/>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项目概况</w:t>
      </w:r>
    </w:p>
    <w:p w14:paraId="02F1719A">
      <w:pPr>
        <w:keepNext w:val="0"/>
        <w:keepLines w:val="0"/>
        <w:pageBreakBefore w:val="0"/>
        <w:pBdr>
          <w:top w:val="single" w:color="auto" w:sz="4" w:space="1"/>
          <w:left w:val="single" w:color="auto" w:sz="4" w:space="4"/>
          <w:bottom w:val="single" w:color="auto" w:sz="4" w:space="1"/>
          <w:right w:val="single" w:color="auto" w:sz="4" w:space="4"/>
        </w:pBdr>
        <w:kinsoku/>
        <w:wordWrap w:val="0"/>
        <w:overflowPunct/>
        <w:topLinePunct w:val="0"/>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u w:val="single"/>
          <w:lang w:eastAsia="zh-CN"/>
        </w:rPr>
        <w:t>广西壮族自治区妇幼保健院厢竹院区及广西儿童医疗中心医疗废物收集清运处置服务项目（重2）</w:t>
      </w:r>
      <w:r>
        <w:rPr>
          <w:rFonts w:hint="eastAsia" w:ascii="宋体" w:hAnsi="宋体" w:cs="宋体"/>
          <w:color w:val="auto"/>
          <w:szCs w:val="21"/>
          <w:highlight w:val="none"/>
        </w:rPr>
        <w:t>招标项目的潜在投标人应在广西政府采购云平台（</w:t>
      </w:r>
      <w:r>
        <w:rPr>
          <w:rFonts w:hint="eastAsia" w:ascii="宋体" w:hAnsi="宋体" w:cs="宋体"/>
          <w:bCs/>
          <w:color w:val="auto"/>
          <w:szCs w:val="21"/>
          <w:highlight w:val="none"/>
        </w:rPr>
        <w:t>https://www.gcy.zfcg.gxzf.gov.cn/</w:t>
      </w:r>
      <w:r>
        <w:rPr>
          <w:rFonts w:hint="eastAsia" w:ascii="宋体" w:hAnsi="宋体" w:cs="宋体"/>
          <w:color w:val="auto"/>
          <w:szCs w:val="21"/>
          <w:highlight w:val="none"/>
        </w:rPr>
        <w:t>）获取招标文件，并于</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bCs/>
          <w:color w:val="auto"/>
          <w:szCs w:val="21"/>
          <w:highlight w:val="none"/>
          <w:u w:val="single"/>
        </w:rPr>
        <w:t>年</w:t>
      </w:r>
      <w:r>
        <w:rPr>
          <w:rFonts w:hint="eastAsia" w:ascii="宋体" w:hAnsi="宋体" w:cs="宋体"/>
          <w:bCs/>
          <w:color w:val="auto"/>
          <w:szCs w:val="21"/>
          <w:highlight w:val="none"/>
          <w:u w:val="single"/>
          <w:lang w:val="en-US" w:eastAsia="zh-CN"/>
        </w:rPr>
        <w:t>8</w:t>
      </w:r>
      <w:r>
        <w:rPr>
          <w:rFonts w:hint="eastAsia" w:ascii="宋体" w:hAnsi="宋体" w:cs="宋体"/>
          <w:bCs/>
          <w:color w:val="auto"/>
          <w:szCs w:val="21"/>
          <w:highlight w:val="none"/>
          <w:u w:val="single"/>
        </w:rPr>
        <w:t>月</w:t>
      </w:r>
      <w:r>
        <w:rPr>
          <w:rFonts w:hint="eastAsia" w:ascii="宋体" w:hAnsi="宋体" w:cs="宋体"/>
          <w:bCs/>
          <w:color w:val="auto"/>
          <w:szCs w:val="21"/>
          <w:highlight w:val="none"/>
          <w:u w:val="single"/>
          <w:lang w:val="en-US" w:eastAsia="zh-CN"/>
        </w:rPr>
        <w:t>18</w:t>
      </w:r>
      <w:r>
        <w:rPr>
          <w:rFonts w:hint="eastAsia" w:ascii="宋体" w:hAnsi="宋体" w:cs="宋体"/>
          <w:bCs/>
          <w:color w:val="auto"/>
          <w:szCs w:val="21"/>
          <w:highlight w:val="none"/>
          <w:u w:val="single"/>
        </w:rPr>
        <w:t>日9时30分（</w:t>
      </w:r>
      <w:r>
        <w:rPr>
          <w:rFonts w:hint="eastAsia" w:ascii="宋体" w:hAnsi="宋体" w:cs="宋体"/>
          <w:bCs/>
          <w:color w:val="auto"/>
          <w:szCs w:val="21"/>
          <w:highlight w:val="none"/>
        </w:rPr>
        <w:t>北京时间）前递交投标文件</w:t>
      </w:r>
      <w:r>
        <w:rPr>
          <w:rFonts w:hint="eastAsia" w:ascii="宋体" w:hAnsi="宋体" w:cs="宋体"/>
          <w:color w:val="auto"/>
          <w:szCs w:val="21"/>
          <w:highlight w:val="none"/>
        </w:rPr>
        <w:t>。</w:t>
      </w:r>
    </w:p>
    <w:p w14:paraId="58DC7F04">
      <w:pPr>
        <w:keepNext w:val="0"/>
        <w:keepLines w:val="0"/>
        <w:pageBreakBefore w:val="0"/>
        <w:kinsoku/>
        <w:overflowPunct/>
        <w:topLinePunct w:val="0"/>
        <w:bidi w:val="0"/>
        <w:spacing w:line="400" w:lineRule="exact"/>
        <w:textAlignment w:val="auto"/>
        <w:rPr>
          <w:rFonts w:hint="eastAsia" w:ascii="宋体" w:hAnsi="宋体" w:cs="宋体"/>
          <w:b/>
          <w:bCs/>
          <w:color w:val="auto"/>
          <w:sz w:val="24"/>
          <w:highlight w:val="none"/>
        </w:rPr>
      </w:pPr>
      <w:bookmarkStart w:id="14" w:name="_Toc35393621"/>
      <w:bookmarkStart w:id="15" w:name="_Toc28359079"/>
      <w:bookmarkStart w:id="16" w:name="_Toc35393790"/>
      <w:bookmarkStart w:id="17" w:name="_Toc28359002"/>
      <w:bookmarkStart w:id="18" w:name="_Hlk24379207"/>
      <w:r>
        <w:rPr>
          <w:rFonts w:hint="eastAsia" w:ascii="宋体" w:hAnsi="宋体" w:cs="宋体"/>
          <w:b/>
          <w:bCs/>
          <w:color w:val="auto"/>
          <w:sz w:val="24"/>
          <w:highlight w:val="none"/>
        </w:rPr>
        <w:t>一、项目基本情况</w:t>
      </w:r>
      <w:bookmarkEnd w:id="14"/>
      <w:bookmarkEnd w:id="15"/>
      <w:bookmarkEnd w:id="16"/>
      <w:bookmarkEnd w:id="17"/>
    </w:p>
    <w:bookmarkEnd w:id="18"/>
    <w:p w14:paraId="6F6F9CED">
      <w:pPr>
        <w:keepNext w:val="0"/>
        <w:keepLines w:val="0"/>
        <w:pageBreakBefore w:val="0"/>
        <w:kinsoku/>
        <w:overflowPunct/>
        <w:topLinePunct w:val="0"/>
        <w:bidi w:val="0"/>
        <w:spacing w:line="400" w:lineRule="exact"/>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val="en-US" w:eastAsia="zh-CN"/>
        </w:rPr>
        <w:t xml:space="preserve">GXZC2026-G3-002378-JGJD </w:t>
      </w:r>
    </w:p>
    <w:p w14:paraId="217B4EA8">
      <w:pPr>
        <w:keepNext w:val="0"/>
        <w:keepLines w:val="0"/>
        <w:pageBreakBefore w:val="0"/>
        <w:kinsoku/>
        <w:overflowPunct/>
        <w:topLinePunct w:val="0"/>
        <w:bidi w:val="0"/>
        <w:spacing w:line="40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cs="宋体"/>
          <w:color w:val="auto"/>
          <w:szCs w:val="21"/>
          <w:highlight w:val="none"/>
        </w:rPr>
        <w:t>项目名称：</w:t>
      </w:r>
      <w:r>
        <w:rPr>
          <w:rFonts w:hint="eastAsia" w:ascii="宋体" w:hAnsi="宋体" w:cs="宋体"/>
          <w:color w:val="auto"/>
          <w:highlight w:val="none"/>
          <w:lang w:eastAsia="zh-CN"/>
        </w:rPr>
        <w:t>广西壮族自治区妇幼保健院厢竹院区及广西儿童医疗中心医疗废物收集清运处置服务项目（重2）</w:t>
      </w:r>
    </w:p>
    <w:p w14:paraId="33447EFB">
      <w:pPr>
        <w:keepNext w:val="0"/>
        <w:keepLines w:val="0"/>
        <w:pageBreakBefore w:val="0"/>
        <w:kinsoku/>
        <w:overflowPunct/>
        <w:topLinePunct w:val="0"/>
        <w:bidi w:val="0"/>
        <w:spacing w:line="400" w:lineRule="exact"/>
        <w:ind w:firstLine="420" w:firstLineChars="200"/>
        <w:textAlignment w:val="auto"/>
        <w:rPr>
          <w:rFonts w:hint="default" w:ascii="宋体" w:hAnsi="宋体" w:cs="宋体"/>
          <w:color w:val="auto"/>
          <w:szCs w:val="21"/>
          <w:highlight w:val="none"/>
          <w:lang w:val="en-US" w:eastAsia="zh-CN"/>
        </w:rPr>
      </w:pPr>
      <w:r>
        <w:rPr>
          <w:rFonts w:hint="eastAsia" w:ascii="宋体" w:hAnsi="宋体" w:cs="宋体"/>
          <w:color w:val="auto"/>
          <w:highlight w:val="none"/>
        </w:rPr>
        <w:t>预算总金额（元）</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3966637.50</w:t>
      </w:r>
    </w:p>
    <w:p w14:paraId="3C504604">
      <w:pPr>
        <w:keepNext w:val="0"/>
        <w:keepLines w:val="0"/>
        <w:pageBreakBefore w:val="0"/>
        <w:kinsoku/>
        <w:overflowPunct/>
        <w:topLinePunct w:val="0"/>
        <w:bidi w:val="0"/>
        <w:spacing w:line="400" w:lineRule="exact"/>
        <w:ind w:firstLine="420" w:firstLineChars="200"/>
        <w:textAlignment w:val="auto"/>
        <w:rPr>
          <w:rFonts w:hint="default" w:ascii="宋体" w:hAnsi="宋体" w:cs="宋体"/>
          <w:color w:val="auto"/>
          <w:szCs w:val="21"/>
          <w:highlight w:val="none"/>
          <w:lang w:val="en-US"/>
        </w:rPr>
      </w:pPr>
      <w:r>
        <w:rPr>
          <w:rFonts w:hint="eastAsia" w:ascii="宋体" w:hAnsi="宋体" w:cs="宋体"/>
          <w:color w:val="auto"/>
          <w:szCs w:val="21"/>
          <w:highlight w:val="none"/>
        </w:rPr>
        <w:t>最高限价（如有）：</w:t>
      </w:r>
      <w:r>
        <w:rPr>
          <w:rFonts w:hint="eastAsia" w:ascii="宋体" w:hAnsi="宋体" w:cs="宋体"/>
          <w:color w:val="auto"/>
          <w:szCs w:val="21"/>
          <w:highlight w:val="none"/>
          <w:lang w:val="en-US" w:eastAsia="zh-CN"/>
        </w:rPr>
        <w:t>3966637.50元</w:t>
      </w:r>
    </w:p>
    <w:p w14:paraId="0B7ACEEF">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采购需求：</w:t>
      </w:r>
    </w:p>
    <w:tbl>
      <w:tblPr>
        <w:tblStyle w:val="40"/>
        <w:tblW w:w="8651" w:type="dxa"/>
        <w:tblInd w:w="25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9"/>
        <w:gridCol w:w="2167"/>
        <w:gridCol w:w="1155"/>
        <w:gridCol w:w="4620"/>
      </w:tblGrid>
      <w:tr w14:paraId="2D8381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0B2FB5BE">
            <w:pPr>
              <w:snapToGrid w:val="0"/>
              <w:spacing w:line="400" w:lineRule="exact"/>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序号</w:t>
            </w:r>
          </w:p>
        </w:tc>
        <w:tc>
          <w:tcPr>
            <w:tcW w:w="2167" w:type="dxa"/>
            <w:tcBorders>
              <w:top w:val="single" w:color="auto" w:sz="4" w:space="0"/>
              <w:left w:val="single" w:color="auto" w:sz="4" w:space="0"/>
              <w:bottom w:val="single" w:color="auto" w:sz="4" w:space="0"/>
              <w:right w:val="single" w:color="auto" w:sz="4" w:space="0"/>
            </w:tcBorders>
            <w:noWrap w:val="0"/>
            <w:vAlign w:val="center"/>
          </w:tcPr>
          <w:p w14:paraId="63582688">
            <w:pPr>
              <w:snapToGrid w:val="0"/>
              <w:spacing w:line="400" w:lineRule="exact"/>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标的名称</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53CED716">
            <w:pPr>
              <w:snapToGrid w:val="0"/>
              <w:spacing w:line="400" w:lineRule="exact"/>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数量及</w:t>
            </w:r>
          </w:p>
          <w:p w14:paraId="5C25A34E">
            <w:pPr>
              <w:snapToGrid w:val="0"/>
              <w:spacing w:line="400" w:lineRule="exact"/>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单位</w:t>
            </w:r>
          </w:p>
        </w:tc>
        <w:tc>
          <w:tcPr>
            <w:tcW w:w="4620" w:type="dxa"/>
            <w:tcBorders>
              <w:top w:val="single" w:color="auto" w:sz="4" w:space="0"/>
              <w:left w:val="single" w:color="auto" w:sz="4" w:space="0"/>
              <w:bottom w:val="single" w:color="auto" w:sz="4" w:space="0"/>
              <w:right w:val="single" w:color="auto" w:sz="4" w:space="0"/>
            </w:tcBorders>
            <w:noWrap w:val="0"/>
            <w:vAlign w:val="center"/>
          </w:tcPr>
          <w:p w14:paraId="22266076">
            <w:pPr>
              <w:snapToGrid w:val="0"/>
              <w:spacing w:line="400" w:lineRule="exact"/>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简要技术需求或者服务要求</w:t>
            </w:r>
          </w:p>
        </w:tc>
      </w:tr>
      <w:tr w14:paraId="53BCA2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40AB08B3">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01</w:t>
            </w:r>
          </w:p>
        </w:tc>
        <w:tc>
          <w:tcPr>
            <w:tcW w:w="2167" w:type="dxa"/>
            <w:tcBorders>
              <w:top w:val="single" w:color="auto" w:sz="4" w:space="0"/>
              <w:left w:val="single" w:color="auto" w:sz="4" w:space="0"/>
              <w:bottom w:val="single" w:color="auto" w:sz="4" w:space="0"/>
              <w:right w:val="single" w:color="auto" w:sz="4" w:space="0"/>
            </w:tcBorders>
            <w:noWrap w:val="0"/>
            <w:vAlign w:val="center"/>
          </w:tcPr>
          <w:p w14:paraId="5F7B2862">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Cs w:val="21"/>
                <w:highlight w:val="none"/>
                <w:lang w:eastAsia="zh-CN"/>
              </w:rPr>
            </w:pPr>
            <w:r>
              <w:rPr>
                <w:rFonts w:hint="eastAsia"/>
                <w:bCs/>
                <w:color w:val="auto"/>
                <w:szCs w:val="21"/>
                <w:highlight w:val="none"/>
                <w:lang w:eastAsia="zh-CN"/>
              </w:rPr>
              <w:t>广西壮族自治区妇幼保健院厢竹院区及广西儿童医疗中心医疗废物收集清运处置服务采购</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311B0B28">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1项</w:t>
            </w:r>
          </w:p>
        </w:tc>
        <w:tc>
          <w:tcPr>
            <w:tcW w:w="4620" w:type="dxa"/>
            <w:tcBorders>
              <w:top w:val="single" w:color="auto" w:sz="4" w:space="0"/>
              <w:left w:val="single" w:color="auto" w:sz="4" w:space="0"/>
              <w:bottom w:val="single" w:color="auto" w:sz="4" w:space="0"/>
              <w:right w:val="single" w:color="auto" w:sz="4" w:space="0"/>
            </w:tcBorders>
            <w:noWrap w:val="0"/>
            <w:vAlign w:val="center"/>
          </w:tcPr>
          <w:p w14:paraId="3BD9BE04">
            <w:pPr>
              <w:keepNext w:val="0"/>
              <w:keepLines w:val="0"/>
              <w:pageBreakBefore w:val="0"/>
              <w:widowControl w:val="0"/>
              <w:kinsoku/>
              <w:wordWrap/>
              <w:overflowPunct/>
              <w:topLinePunct w:val="0"/>
              <w:autoSpaceDE/>
              <w:autoSpaceDN/>
              <w:bidi w:val="0"/>
              <w:adjustRightInd/>
              <w:snapToGrid w:val="0"/>
              <w:spacing w:line="360" w:lineRule="exact"/>
              <w:textAlignment w:val="auto"/>
              <w:rPr>
                <w:rFonts w:ascii="宋体" w:hAnsi="宋体" w:eastAsia="宋体" w:cs="Times New Roman"/>
                <w:color w:val="auto"/>
                <w:szCs w:val="21"/>
                <w:highlight w:val="none"/>
              </w:rPr>
            </w:pPr>
            <w:r>
              <w:rPr>
                <w:rFonts w:hint="eastAsia" w:ascii="宋体" w:hAnsi="宋体" w:eastAsia="宋体" w:cs="宋体"/>
                <w:color w:val="auto"/>
                <w:sz w:val="21"/>
                <w:szCs w:val="21"/>
                <w:highlight w:val="none"/>
              </w:rPr>
              <w:t>采购人所产生的医疗废物，由供应商负责装卸、运输、鉴别、处置（或由供应商装卸、运输交由具备处置资质的第三方处置）及周转箱清洗等服务，具体包括:感染性（841-001-01）、损伤性（841-002-01）、病理性（841-003-01）、化学性（841-004-01）、药物性（841-005-01）等</w:t>
            </w:r>
            <w:r>
              <w:rPr>
                <w:rFonts w:hint="eastAsia" w:ascii="宋体" w:hAnsi="宋体" w:eastAsia="宋体" w:cs="Times New Roman"/>
                <w:color w:val="auto"/>
                <w:szCs w:val="21"/>
                <w:highlight w:val="none"/>
                <w:lang w:val="en-US" w:eastAsia="zh-CN"/>
              </w:rPr>
              <w:t>，如需进一步了解详细内容，详见招标文件。</w:t>
            </w:r>
          </w:p>
        </w:tc>
      </w:tr>
    </w:tbl>
    <w:p w14:paraId="6AFDD2C0">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合同履约期限：</w:t>
      </w:r>
      <w:r>
        <w:rPr>
          <w:rFonts w:hint="eastAsia" w:ascii="宋体" w:hAnsi="宋体" w:cs="宋体"/>
          <w:color w:val="auto"/>
          <w:szCs w:val="21"/>
          <w:highlight w:val="none"/>
          <w:lang w:eastAsia="zh-CN"/>
        </w:rPr>
        <w:t>自签订合同之日起</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年</w:t>
      </w:r>
      <w:r>
        <w:rPr>
          <w:rFonts w:hint="eastAsia" w:ascii="宋体" w:hAnsi="宋体" w:eastAsia="宋体" w:cs="宋体"/>
          <w:color w:val="auto"/>
          <w:szCs w:val="21"/>
          <w:highlight w:val="none"/>
          <w:lang w:eastAsia="zh-CN"/>
        </w:rPr>
        <w:t>。若服务期限内累计金额达到项目合同金额的，采购人有权要求供应商停止处置服务并终止合同。</w:t>
      </w:r>
    </w:p>
    <w:p w14:paraId="1EC2F1FE">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本标项</w:t>
      </w:r>
      <w:r>
        <w:rPr>
          <w:rFonts w:hint="eastAsia" w:ascii="宋体" w:hAnsi="宋体" w:cs="宋体"/>
          <w:color w:val="auto"/>
          <w:szCs w:val="21"/>
          <w:highlight w:val="none"/>
          <w:lang w:eastAsia="zh-CN"/>
        </w:rPr>
        <w:t>不</w:t>
      </w:r>
      <w:r>
        <w:rPr>
          <w:rFonts w:hint="eastAsia" w:ascii="宋体" w:hAnsi="宋体" w:cs="宋体"/>
          <w:color w:val="auto"/>
          <w:szCs w:val="21"/>
          <w:highlight w:val="none"/>
        </w:rPr>
        <w:t>接受联合体投标。</w:t>
      </w:r>
    </w:p>
    <w:p w14:paraId="02C612E7">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备注：无</w:t>
      </w:r>
    </w:p>
    <w:p w14:paraId="3D621A17">
      <w:pPr>
        <w:keepNext w:val="0"/>
        <w:keepLines w:val="0"/>
        <w:pageBreakBefore w:val="0"/>
        <w:kinsoku/>
        <w:overflowPunct/>
        <w:topLinePunct w:val="0"/>
        <w:bidi w:val="0"/>
        <w:spacing w:line="400" w:lineRule="exact"/>
        <w:textAlignment w:val="auto"/>
        <w:rPr>
          <w:rFonts w:hint="eastAsia" w:ascii="宋体" w:hAnsi="宋体" w:cs="宋体"/>
          <w:b/>
          <w:bCs/>
          <w:color w:val="auto"/>
          <w:sz w:val="24"/>
          <w:highlight w:val="none"/>
        </w:rPr>
      </w:pPr>
      <w:bookmarkStart w:id="19" w:name="_Toc35393622"/>
      <w:bookmarkStart w:id="20" w:name="_Toc35393791"/>
      <w:bookmarkStart w:id="21" w:name="_Toc28359080"/>
      <w:bookmarkStart w:id="22" w:name="_Toc28359003"/>
      <w:r>
        <w:rPr>
          <w:rFonts w:hint="eastAsia" w:ascii="宋体" w:hAnsi="宋体" w:cs="宋体"/>
          <w:b/>
          <w:bCs/>
          <w:color w:val="auto"/>
          <w:sz w:val="24"/>
          <w:highlight w:val="none"/>
        </w:rPr>
        <w:t>二、申请人的资格要求：</w:t>
      </w:r>
      <w:bookmarkEnd w:id="19"/>
      <w:bookmarkEnd w:id="20"/>
      <w:bookmarkEnd w:id="21"/>
      <w:bookmarkEnd w:id="22"/>
    </w:p>
    <w:p w14:paraId="1A542FB0">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szCs w:val="21"/>
          <w:highlight w:val="none"/>
        </w:rPr>
      </w:pPr>
      <w:bookmarkStart w:id="23" w:name="_Hlk51746371"/>
      <w:bookmarkStart w:id="24" w:name="_Toc35393623"/>
      <w:bookmarkStart w:id="25" w:name="_Toc28359004"/>
      <w:bookmarkStart w:id="26" w:name="_Toc35393792"/>
      <w:bookmarkStart w:id="27" w:name="_Toc28359081"/>
      <w:r>
        <w:rPr>
          <w:rFonts w:hint="eastAsia" w:ascii="宋体" w:hAnsi="宋体" w:cs="宋体"/>
          <w:color w:val="auto"/>
          <w:szCs w:val="21"/>
          <w:highlight w:val="none"/>
        </w:rPr>
        <w:t>1.满足《中华人民共和国政府采购法》第二十二条规定；</w:t>
      </w:r>
    </w:p>
    <w:p w14:paraId="3B5E1D75">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2.落实政府采购政策需满足的资格要求：</w:t>
      </w:r>
    </w:p>
    <w:p w14:paraId="04BE328D">
      <w:pPr>
        <w:snapToGrid w:val="0"/>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专门面向中小企业采购的项目（供应商应为中小微企业、监狱企业、残疾人福利性单位)</w:t>
      </w:r>
      <w:r>
        <w:rPr>
          <w:rFonts w:hint="eastAsia" w:ascii="宋体" w:hAnsi="宋体" w:cs="宋体"/>
          <w:color w:val="auto"/>
          <w:szCs w:val="21"/>
          <w:highlight w:val="none"/>
          <w:lang w:eastAsia="zh-CN"/>
        </w:rPr>
        <w:t>；</w:t>
      </w:r>
    </w:p>
    <w:p w14:paraId="7A9FF1A6">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非专门面向中小企业采购的项目</w:t>
      </w:r>
      <w:r>
        <w:rPr>
          <w:rFonts w:hint="eastAsia" w:ascii="宋体" w:hAnsi="宋体"/>
          <w:color w:val="auto"/>
          <w:highlight w:val="none"/>
        </w:rPr>
        <w:t>；</w:t>
      </w:r>
    </w:p>
    <w:p w14:paraId="10CD3B31">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szCs w:val="21"/>
          <w:highlight w:val="none"/>
          <w:u w:val="none"/>
        </w:rPr>
      </w:pPr>
      <w:r>
        <w:rPr>
          <w:rFonts w:hint="eastAsia" w:ascii="宋体" w:hAnsi="宋体" w:cs="宋体"/>
          <w:color w:val="auto"/>
          <w:szCs w:val="21"/>
          <w:highlight w:val="none"/>
        </w:rPr>
        <w:t>3.本项目的特定资格要求：</w:t>
      </w:r>
      <w:r>
        <w:rPr>
          <w:rFonts w:hint="eastAsia" w:ascii="宋体" w:hAnsi="宋体" w:cs="宋体"/>
          <w:color w:val="auto"/>
          <w:szCs w:val="21"/>
          <w:highlight w:val="none"/>
          <w:u w:val="none"/>
        </w:rPr>
        <w:t>投标人须具有有效的生态环境部门颁发的《危险废物经营许可证》或提供生态环境部门颁发的允许收集处置医疗废物的相关证明文件。</w:t>
      </w:r>
    </w:p>
    <w:bookmarkEnd w:id="23"/>
    <w:p w14:paraId="4AE8AC89">
      <w:pPr>
        <w:keepNext w:val="0"/>
        <w:keepLines w:val="0"/>
        <w:pageBreakBefore w:val="0"/>
        <w:kinsoku/>
        <w:overflowPunct/>
        <w:topLinePunct w:val="0"/>
        <w:bidi w:val="0"/>
        <w:spacing w:line="400" w:lineRule="exact"/>
        <w:textAlignment w:val="auto"/>
        <w:rPr>
          <w:rFonts w:hint="eastAsia" w:ascii="宋体" w:hAnsi="宋体" w:cs="宋体"/>
          <w:b/>
          <w:bCs/>
          <w:color w:val="auto"/>
          <w:sz w:val="24"/>
          <w:highlight w:val="none"/>
        </w:rPr>
      </w:pPr>
      <w:r>
        <w:rPr>
          <w:rFonts w:hint="eastAsia" w:ascii="宋体" w:hAnsi="宋体" w:cs="宋体"/>
          <w:b/>
          <w:bCs/>
          <w:color w:val="auto"/>
          <w:sz w:val="24"/>
          <w:highlight w:val="none"/>
        </w:rPr>
        <w:t>三、获取招标文件</w:t>
      </w:r>
      <w:bookmarkEnd w:id="24"/>
      <w:bookmarkEnd w:id="25"/>
      <w:bookmarkEnd w:id="26"/>
      <w:bookmarkEnd w:id="27"/>
    </w:p>
    <w:p w14:paraId="038C896D">
      <w:pPr>
        <w:keepNext w:val="0"/>
        <w:keepLines w:val="0"/>
        <w:pageBreakBefore w:val="0"/>
        <w:kinsoku/>
        <w:overflowPunct/>
        <w:topLinePunct w:val="0"/>
        <w:bidi w:val="0"/>
        <w:spacing w:line="400" w:lineRule="exact"/>
        <w:ind w:firstLine="54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1.时间：202</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年</w:t>
      </w:r>
      <w:r>
        <w:rPr>
          <w:rFonts w:hint="eastAsia" w:ascii="宋体" w:hAnsi="宋体" w:cs="宋体"/>
          <w:bCs/>
          <w:color w:val="auto"/>
          <w:kern w:val="0"/>
          <w:szCs w:val="21"/>
          <w:highlight w:val="none"/>
          <w:lang w:val="en-US" w:eastAsia="zh-CN"/>
        </w:rPr>
        <w:t>7</w:t>
      </w:r>
      <w:r>
        <w:rPr>
          <w:rFonts w:hint="eastAsia" w:ascii="宋体" w:hAnsi="宋体" w:cs="宋体"/>
          <w:bCs/>
          <w:color w:val="auto"/>
          <w:kern w:val="0"/>
          <w:szCs w:val="21"/>
          <w:highlight w:val="none"/>
        </w:rPr>
        <w:t>月</w:t>
      </w:r>
      <w:r>
        <w:rPr>
          <w:rFonts w:hint="eastAsia" w:ascii="宋体" w:hAnsi="宋体" w:cs="宋体"/>
          <w:bCs/>
          <w:color w:val="auto"/>
          <w:kern w:val="0"/>
          <w:szCs w:val="21"/>
          <w:highlight w:val="none"/>
          <w:lang w:val="en-US" w:eastAsia="zh-CN"/>
        </w:rPr>
        <w:t>27</w:t>
      </w:r>
      <w:r>
        <w:rPr>
          <w:rFonts w:hint="eastAsia" w:ascii="宋体" w:hAnsi="宋体" w:cs="宋体"/>
          <w:bCs/>
          <w:color w:val="auto"/>
          <w:kern w:val="0"/>
          <w:szCs w:val="21"/>
          <w:highlight w:val="none"/>
        </w:rPr>
        <w:t>日至202</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年</w:t>
      </w:r>
      <w:r>
        <w:rPr>
          <w:rFonts w:hint="eastAsia" w:ascii="宋体" w:hAnsi="宋体" w:cs="宋体"/>
          <w:bCs/>
          <w:color w:val="auto"/>
          <w:kern w:val="0"/>
          <w:szCs w:val="21"/>
          <w:highlight w:val="none"/>
          <w:lang w:val="en-US" w:eastAsia="zh-CN"/>
        </w:rPr>
        <w:t>8</w:t>
      </w:r>
      <w:r>
        <w:rPr>
          <w:rFonts w:hint="eastAsia" w:ascii="宋体" w:hAnsi="宋体" w:cs="宋体"/>
          <w:bCs/>
          <w:color w:val="auto"/>
          <w:kern w:val="0"/>
          <w:szCs w:val="21"/>
          <w:highlight w:val="none"/>
        </w:rPr>
        <w:t>月</w:t>
      </w:r>
      <w:r>
        <w:rPr>
          <w:rFonts w:hint="eastAsia" w:ascii="宋体" w:hAnsi="宋体" w:cs="宋体"/>
          <w:bCs/>
          <w:color w:val="auto"/>
          <w:kern w:val="0"/>
          <w:szCs w:val="21"/>
          <w:highlight w:val="none"/>
          <w:lang w:val="en-US" w:eastAsia="zh-CN"/>
        </w:rPr>
        <w:t>3</w:t>
      </w:r>
      <w:r>
        <w:rPr>
          <w:rFonts w:hint="eastAsia" w:ascii="宋体" w:hAnsi="宋体" w:cs="宋体"/>
          <w:bCs/>
          <w:color w:val="auto"/>
          <w:kern w:val="0"/>
          <w:szCs w:val="21"/>
          <w:highlight w:val="none"/>
        </w:rPr>
        <w:t>日，每天上午00:00至12:00，下午12:00至23:59（北京时间，法定节假日除外）</w:t>
      </w:r>
    </w:p>
    <w:p w14:paraId="7B6CE134">
      <w:pPr>
        <w:keepNext w:val="0"/>
        <w:keepLines w:val="0"/>
        <w:pageBreakBefore w:val="0"/>
        <w:kinsoku/>
        <w:overflowPunct/>
        <w:topLinePunct w:val="0"/>
        <w:bidi w:val="0"/>
        <w:spacing w:line="400" w:lineRule="exact"/>
        <w:ind w:firstLine="540"/>
        <w:textAlignment w:val="auto"/>
        <w:rPr>
          <w:rFonts w:hint="eastAsia" w:ascii="宋体" w:hAnsi="宋体" w:cs="宋体"/>
          <w:color w:val="auto"/>
          <w:szCs w:val="21"/>
          <w:highlight w:val="none"/>
        </w:rPr>
      </w:pPr>
      <w:r>
        <w:rPr>
          <w:rFonts w:hint="eastAsia" w:ascii="宋体" w:hAnsi="宋体" w:cs="宋体"/>
          <w:bCs/>
          <w:color w:val="auto"/>
          <w:kern w:val="0"/>
          <w:szCs w:val="21"/>
          <w:highlight w:val="none"/>
        </w:rPr>
        <w:t>2.地点：</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https://www.gcy.zfcg.gxzf.gov.cn/</w:t>
      </w:r>
      <w:r>
        <w:rPr>
          <w:rFonts w:hint="eastAsia" w:ascii="宋体" w:hAnsi="宋体" w:cs="宋体"/>
          <w:color w:val="auto"/>
          <w:szCs w:val="21"/>
          <w:highlight w:val="none"/>
        </w:rPr>
        <w:t>）</w:t>
      </w:r>
    </w:p>
    <w:p w14:paraId="73102F88">
      <w:pPr>
        <w:keepNext w:val="0"/>
        <w:keepLines w:val="0"/>
        <w:pageBreakBefore w:val="0"/>
        <w:kinsoku/>
        <w:wordWrap w:val="0"/>
        <w:overflowPunct/>
        <w:topLinePunct w:val="0"/>
        <w:bidi w:val="0"/>
        <w:spacing w:line="400" w:lineRule="exact"/>
        <w:ind w:firstLine="539"/>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3.方式：网上下载。本项目不提供纸质文件，潜在供应商需在</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https://www.gcy.zfcg.gxzf.gov.cn/</w:t>
      </w:r>
      <w:r>
        <w:rPr>
          <w:rFonts w:hint="eastAsia" w:ascii="宋体" w:hAnsi="宋体" w:cs="宋体"/>
          <w:color w:val="auto"/>
          <w:szCs w:val="21"/>
          <w:highlight w:val="none"/>
        </w:rPr>
        <w:t>）</w:t>
      </w:r>
      <w:r>
        <w:rPr>
          <w:rFonts w:hint="eastAsia" w:ascii="宋体" w:hAnsi="宋体" w:cs="宋体"/>
          <w:bCs/>
          <w:color w:val="auto"/>
          <w:kern w:val="0"/>
          <w:szCs w:val="21"/>
          <w:highlight w:val="none"/>
        </w:rPr>
        <w:t>-进入“项目采购”应用，在获取采购文件菜单中选择项目，获取招标文件。</w:t>
      </w:r>
      <w:r>
        <w:rPr>
          <w:rFonts w:hint="eastAsia" w:ascii="宋体" w:hAnsi="宋体" w:cs="宋体"/>
          <w:color w:val="auto"/>
          <w:szCs w:val="21"/>
          <w:highlight w:val="none"/>
        </w:rPr>
        <w:t>电子投标文件制作需要基于广西政府采购云平台获取的招标文件编制，</w:t>
      </w:r>
      <w:r>
        <w:rPr>
          <w:rFonts w:hint="eastAsia" w:ascii="宋体" w:hAnsi="宋体" w:cs="宋体"/>
          <w:bCs/>
          <w:color w:val="auto"/>
          <w:kern w:val="0"/>
          <w:szCs w:val="21"/>
          <w:highlight w:val="none"/>
        </w:rPr>
        <w:t>通过其他方式获取招标文件的，将有可能导致供应商无法在</w:t>
      </w:r>
      <w:r>
        <w:rPr>
          <w:rFonts w:hint="eastAsia" w:ascii="宋体" w:hAnsi="宋体" w:cs="宋体"/>
          <w:color w:val="auto"/>
          <w:szCs w:val="21"/>
          <w:highlight w:val="none"/>
        </w:rPr>
        <w:t>广西政府采购云平台</w:t>
      </w:r>
      <w:r>
        <w:rPr>
          <w:rFonts w:hint="eastAsia" w:ascii="宋体" w:hAnsi="宋体" w:cs="宋体"/>
          <w:bCs/>
          <w:color w:val="auto"/>
          <w:kern w:val="0"/>
          <w:szCs w:val="21"/>
          <w:highlight w:val="none"/>
        </w:rPr>
        <w:t>编制及上传投标文件。</w:t>
      </w:r>
    </w:p>
    <w:p w14:paraId="37030D7D">
      <w:pPr>
        <w:keepNext w:val="0"/>
        <w:keepLines w:val="0"/>
        <w:pageBreakBefore w:val="0"/>
        <w:kinsoku/>
        <w:overflowPunct/>
        <w:topLinePunct w:val="0"/>
        <w:bidi w:val="0"/>
        <w:spacing w:line="400" w:lineRule="exact"/>
        <w:ind w:firstLine="540"/>
        <w:textAlignment w:val="auto"/>
        <w:rPr>
          <w:rFonts w:hint="eastAsia" w:ascii="宋体" w:hAnsi="宋体" w:cs="宋体"/>
          <w:color w:val="auto"/>
          <w:szCs w:val="21"/>
          <w:highlight w:val="none"/>
        </w:rPr>
      </w:pPr>
      <w:r>
        <w:rPr>
          <w:rFonts w:hint="eastAsia" w:ascii="宋体" w:hAnsi="宋体" w:cs="宋体"/>
          <w:bCs/>
          <w:color w:val="auto"/>
          <w:kern w:val="0"/>
          <w:szCs w:val="21"/>
          <w:highlight w:val="none"/>
        </w:rPr>
        <w:t>4.售价（元）：</w:t>
      </w:r>
      <w:r>
        <w:rPr>
          <w:rFonts w:hint="eastAsia" w:ascii="宋体" w:hAnsi="宋体" w:cs="宋体"/>
          <w:color w:val="auto"/>
          <w:szCs w:val="21"/>
          <w:highlight w:val="none"/>
        </w:rPr>
        <w:t>0</w:t>
      </w:r>
    </w:p>
    <w:p w14:paraId="1537B7FB">
      <w:pPr>
        <w:keepNext w:val="0"/>
        <w:keepLines w:val="0"/>
        <w:pageBreakBefore w:val="0"/>
        <w:kinsoku/>
        <w:overflowPunct/>
        <w:topLinePunct w:val="0"/>
        <w:bidi w:val="0"/>
        <w:spacing w:line="400" w:lineRule="exact"/>
        <w:textAlignment w:val="auto"/>
        <w:rPr>
          <w:rFonts w:hint="eastAsia" w:ascii="宋体" w:hAnsi="宋体" w:cs="宋体"/>
          <w:b/>
          <w:bCs/>
          <w:color w:val="auto"/>
          <w:sz w:val="24"/>
          <w:highlight w:val="none"/>
        </w:rPr>
      </w:pPr>
      <w:bookmarkStart w:id="28" w:name="_Toc28359005"/>
      <w:bookmarkStart w:id="29" w:name="_Toc28359082"/>
      <w:bookmarkStart w:id="30" w:name="_Toc35393793"/>
      <w:bookmarkStart w:id="31" w:name="_Toc35393624"/>
      <w:r>
        <w:rPr>
          <w:rFonts w:hint="eastAsia" w:ascii="宋体" w:hAnsi="宋体" w:cs="宋体"/>
          <w:b/>
          <w:bCs/>
          <w:color w:val="auto"/>
          <w:sz w:val="24"/>
          <w:highlight w:val="none"/>
        </w:rPr>
        <w:t>四、提交投标文件</w:t>
      </w:r>
      <w:bookmarkEnd w:id="28"/>
      <w:bookmarkEnd w:id="29"/>
      <w:r>
        <w:rPr>
          <w:rFonts w:hint="eastAsia" w:ascii="宋体" w:hAnsi="宋体" w:cs="宋体"/>
          <w:b/>
          <w:bCs/>
          <w:color w:val="auto"/>
          <w:sz w:val="24"/>
          <w:highlight w:val="none"/>
        </w:rPr>
        <w:t>截止时间、开标时间和地点</w:t>
      </w:r>
      <w:bookmarkEnd w:id="30"/>
      <w:bookmarkEnd w:id="31"/>
    </w:p>
    <w:p w14:paraId="748CB5F0">
      <w:pPr>
        <w:keepNext w:val="0"/>
        <w:keepLines w:val="0"/>
        <w:pageBreakBefore w:val="0"/>
        <w:kinsoku/>
        <w:overflowPunct/>
        <w:topLinePunct w:val="0"/>
        <w:bidi w:val="0"/>
        <w:spacing w:line="400" w:lineRule="exact"/>
        <w:ind w:firstLine="420" w:firstLineChars="200"/>
        <w:textAlignment w:val="auto"/>
        <w:rPr>
          <w:rFonts w:hint="eastAsia" w:ascii="宋体" w:hAnsi="宋体" w:cs="宋体"/>
          <w:bCs/>
          <w:color w:val="auto"/>
          <w:kern w:val="0"/>
          <w:szCs w:val="21"/>
          <w:highlight w:val="none"/>
        </w:rPr>
      </w:pPr>
      <w:bookmarkStart w:id="32" w:name="_Toc35393625"/>
      <w:bookmarkStart w:id="33" w:name="_Toc28359084"/>
      <w:bookmarkStart w:id="34" w:name="_Toc28359007"/>
      <w:bookmarkStart w:id="35" w:name="_Toc35393794"/>
      <w:r>
        <w:rPr>
          <w:rFonts w:hint="eastAsia" w:ascii="宋体" w:hAnsi="宋体" w:cs="宋体"/>
          <w:bCs/>
          <w:color w:val="auto"/>
          <w:kern w:val="0"/>
          <w:szCs w:val="21"/>
          <w:highlight w:val="none"/>
        </w:rPr>
        <w:t>1.提交投标文件截止时间：202</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年</w:t>
      </w:r>
      <w:r>
        <w:rPr>
          <w:rFonts w:hint="eastAsia" w:ascii="宋体" w:hAnsi="宋体" w:cs="宋体"/>
          <w:bCs/>
          <w:color w:val="auto"/>
          <w:kern w:val="0"/>
          <w:szCs w:val="21"/>
          <w:highlight w:val="none"/>
          <w:lang w:val="en-US" w:eastAsia="zh-CN"/>
        </w:rPr>
        <w:t>8</w:t>
      </w:r>
      <w:r>
        <w:rPr>
          <w:rFonts w:hint="eastAsia" w:ascii="宋体" w:hAnsi="宋体" w:cs="宋体"/>
          <w:bCs/>
          <w:color w:val="auto"/>
          <w:kern w:val="0"/>
          <w:szCs w:val="21"/>
          <w:highlight w:val="none"/>
        </w:rPr>
        <w:t>月</w:t>
      </w:r>
      <w:r>
        <w:rPr>
          <w:rFonts w:hint="eastAsia" w:ascii="宋体" w:hAnsi="宋体" w:cs="宋体"/>
          <w:bCs/>
          <w:color w:val="auto"/>
          <w:kern w:val="0"/>
          <w:szCs w:val="21"/>
          <w:highlight w:val="none"/>
          <w:lang w:val="en-US" w:eastAsia="zh-CN"/>
        </w:rPr>
        <w:t>18</w:t>
      </w:r>
      <w:r>
        <w:rPr>
          <w:rFonts w:hint="eastAsia" w:ascii="宋体" w:hAnsi="宋体" w:cs="宋体"/>
          <w:bCs/>
          <w:color w:val="auto"/>
          <w:kern w:val="0"/>
          <w:szCs w:val="21"/>
          <w:highlight w:val="none"/>
        </w:rPr>
        <w:t>日9时30分（北京时间）</w:t>
      </w:r>
    </w:p>
    <w:p w14:paraId="0E037224">
      <w:pPr>
        <w:keepNext w:val="0"/>
        <w:keepLines w:val="0"/>
        <w:pageBreakBefore w:val="0"/>
        <w:kinsoku/>
        <w:overflowPunct/>
        <w:topLinePunct w:val="0"/>
        <w:bidi w:val="0"/>
        <w:spacing w:line="400" w:lineRule="exact"/>
        <w:ind w:firstLine="420" w:firstLineChars="200"/>
        <w:textAlignment w:val="auto"/>
        <w:rPr>
          <w:rFonts w:hint="eastAsia" w:ascii="宋体" w:hAnsi="宋体" w:cs="宋体"/>
          <w:bCs/>
          <w:color w:val="auto"/>
          <w:szCs w:val="21"/>
          <w:highlight w:val="none"/>
        </w:rPr>
      </w:pPr>
      <w:r>
        <w:rPr>
          <w:rFonts w:hint="eastAsia" w:ascii="宋体" w:hAnsi="宋体" w:cs="宋体"/>
          <w:bCs/>
          <w:color w:val="auto"/>
          <w:szCs w:val="21"/>
          <w:highlight w:val="none"/>
        </w:rPr>
        <w:t>2.投标地点（网址）：广西政府采购云平台（https://www.gcy.zfcg.gxzf.gov.cn/）</w:t>
      </w:r>
    </w:p>
    <w:p w14:paraId="6F1BADFB">
      <w:pPr>
        <w:keepNext w:val="0"/>
        <w:keepLines w:val="0"/>
        <w:pageBreakBefore w:val="0"/>
        <w:kinsoku/>
        <w:overflowPunct/>
        <w:topLinePunct w:val="0"/>
        <w:bidi w:val="0"/>
        <w:spacing w:line="400" w:lineRule="exact"/>
        <w:ind w:firstLine="420" w:firstLineChars="200"/>
        <w:textAlignment w:val="auto"/>
        <w:rPr>
          <w:rFonts w:hint="eastAsia" w:ascii="宋体" w:hAnsi="宋体" w:cs="宋体"/>
          <w:bCs/>
          <w:color w:val="auto"/>
          <w:szCs w:val="21"/>
          <w:highlight w:val="none"/>
        </w:rPr>
      </w:pPr>
      <w:r>
        <w:rPr>
          <w:rFonts w:hint="eastAsia" w:ascii="宋体" w:hAnsi="宋体" w:cs="宋体"/>
          <w:bCs/>
          <w:color w:val="auto"/>
          <w:szCs w:val="21"/>
          <w:highlight w:val="none"/>
        </w:rPr>
        <w:t>3.开标时间：</w:t>
      </w:r>
      <w:r>
        <w:rPr>
          <w:rFonts w:hint="eastAsia" w:ascii="宋体" w:hAnsi="宋体" w:cs="宋体"/>
          <w:bCs/>
          <w:color w:val="auto"/>
          <w:kern w:val="0"/>
          <w:szCs w:val="21"/>
          <w:highlight w:val="none"/>
        </w:rPr>
        <w:t>202</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年</w:t>
      </w:r>
      <w:r>
        <w:rPr>
          <w:rFonts w:hint="eastAsia" w:ascii="宋体" w:hAnsi="宋体" w:cs="宋体"/>
          <w:bCs/>
          <w:color w:val="auto"/>
          <w:kern w:val="0"/>
          <w:szCs w:val="21"/>
          <w:highlight w:val="none"/>
          <w:lang w:val="en-US" w:eastAsia="zh-CN"/>
        </w:rPr>
        <w:t>8</w:t>
      </w:r>
      <w:r>
        <w:rPr>
          <w:rFonts w:hint="eastAsia" w:ascii="宋体" w:hAnsi="宋体" w:cs="宋体"/>
          <w:bCs/>
          <w:color w:val="auto"/>
          <w:kern w:val="0"/>
          <w:szCs w:val="21"/>
          <w:highlight w:val="none"/>
        </w:rPr>
        <w:t>月</w:t>
      </w:r>
      <w:r>
        <w:rPr>
          <w:rFonts w:hint="eastAsia" w:ascii="宋体" w:hAnsi="宋体" w:cs="宋体"/>
          <w:bCs/>
          <w:color w:val="auto"/>
          <w:kern w:val="0"/>
          <w:szCs w:val="21"/>
          <w:highlight w:val="none"/>
          <w:lang w:val="en-US" w:eastAsia="zh-CN"/>
        </w:rPr>
        <w:t>18</w:t>
      </w:r>
      <w:r>
        <w:rPr>
          <w:rFonts w:hint="eastAsia" w:ascii="宋体" w:hAnsi="宋体" w:cs="宋体"/>
          <w:bCs/>
          <w:color w:val="auto"/>
          <w:kern w:val="0"/>
          <w:szCs w:val="21"/>
          <w:highlight w:val="none"/>
        </w:rPr>
        <w:t>日</w:t>
      </w:r>
      <w:r>
        <w:rPr>
          <w:rFonts w:hint="eastAsia" w:ascii="宋体" w:hAnsi="宋体" w:cs="宋体"/>
          <w:bCs/>
          <w:color w:val="auto"/>
          <w:szCs w:val="21"/>
          <w:highlight w:val="none"/>
        </w:rPr>
        <w:t>9时30分</w:t>
      </w:r>
    </w:p>
    <w:p w14:paraId="40FFDD90">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bCs/>
          <w:color w:val="auto"/>
          <w:szCs w:val="21"/>
          <w:highlight w:val="none"/>
        </w:rPr>
        <w:t>4.开标地点：广西政府采购云平台电子开标大厅开标。</w:t>
      </w:r>
    </w:p>
    <w:p w14:paraId="22508A29">
      <w:pPr>
        <w:keepNext w:val="0"/>
        <w:keepLines w:val="0"/>
        <w:pageBreakBefore w:val="0"/>
        <w:kinsoku/>
        <w:overflowPunct/>
        <w:topLinePunct w:val="0"/>
        <w:bidi w:val="0"/>
        <w:spacing w:line="400" w:lineRule="exact"/>
        <w:textAlignment w:val="auto"/>
        <w:rPr>
          <w:rFonts w:hint="eastAsia" w:ascii="宋体" w:hAnsi="宋体" w:cs="宋体"/>
          <w:b/>
          <w:bCs/>
          <w:color w:val="auto"/>
          <w:sz w:val="24"/>
          <w:highlight w:val="none"/>
        </w:rPr>
      </w:pPr>
      <w:r>
        <w:rPr>
          <w:rFonts w:hint="eastAsia" w:ascii="宋体" w:hAnsi="宋体" w:cs="宋体"/>
          <w:b/>
          <w:bCs/>
          <w:color w:val="auto"/>
          <w:sz w:val="24"/>
          <w:highlight w:val="none"/>
        </w:rPr>
        <w:t>五、公告期限</w:t>
      </w:r>
      <w:bookmarkEnd w:id="32"/>
      <w:bookmarkEnd w:id="33"/>
      <w:bookmarkEnd w:id="34"/>
      <w:bookmarkEnd w:id="35"/>
    </w:p>
    <w:p w14:paraId="5B441427">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7C804E75">
      <w:pPr>
        <w:keepNext w:val="0"/>
        <w:keepLines w:val="0"/>
        <w:pageBreakBefore w:val="0"/>
        <w:kinsoku/>
        <w:overflowPunct/>
        <w:topLinePunct w:val="0"/>
        <w:bidi w:val="0"/>
        <w:spacing w:line="400" w:lineRule="exact"/>
        <w:textAlignment w:val="auto"/>
        <w:rPr>
          <w:rFonts w:hint="eastAsia" w:ascii="宋体" w:hAnsi="宋体" w:cs="宋体"/>
          <w:b/>
          <w:bCs/>
          <w:color w:val="auto"/>
          <w:sz w:val="24"/>
          <w:highlight w:val="none"/>
        </w:rPr>
      </w:pPr>
      <w:bookmarkStart w:id="36" w:name="_Toc35393795"/>
      <w:bookmarkStart w:id="37" w:name="_Toc35393626"/>
      <w:r>
        <w:rPr>
          <w:rFonts w:hint="eastAsia" w:ascii="宋体" w:hAnsi="宋体" w:cs="宋体"/>
          <w:b/>
          <w:bCs/>
          <w:color w:val="auto"/>
          <w:sz w:val="24"/>
          <w:highlight w:val="none"/>
        </w:rPr>
        <w:t>六、其他补充事宜</w:t>
      </w:r>
      <w:bookmarkEnd w:id="36"/>
      <w:bookmarkEnd w:id="37"/>
    </w:p>
    <w:p w14:paraId="11F33CD7">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kern w:val="0"/>
          <w:szCs w:val="21"/>
          <w:highlight w:val="none"/>
        </w:rPr>
      </w:pPr>
      <w:bookmarkStart w:id="38" w:name="_Hlk37429585"/>
      <w:bookmarkStart w:id="39" w:name="_Hlk37429595"/>
      <w:bookmarkStart w:id="40" w:name="_Toc28359008"/>
      <w:bookmarkStart w:id="41" w:name="_Toc35393627"/>
      <w:bookmarkStart w:id="42" w:name="_Toc35393796"/>
      <w:bookmarkStart w:id="43" w:name="_Toc28359085"/>
      <w:r>
        <w:rPr>
          <w:rFonts w:hint="eastAsia" w:ascii="宋体" w:hAnsi="宋体" w:cs="宋体"/>
          <w:color w:val="auto"/>
          <w:kern w:val="0"/>
          <w:szCs w:val="21"/>
          <w:highlight w:val="none"/>
        </w:rPr>
        <w:t>1.投标保证金（人民币）：3</w:t>
      </w:r>
      <w:r>
        <w:rPr>
          <w:rFonts w:hint="eastAsia" w:ascii="宋体" w:hAnsi="宋体" w:cs="宋体"/>
          <w:color w:val="auto"/>
          <w:kern w:val="0"/>
          <w:szCs w:val="21"/>
          <w:highlight w:val="none"/>
          <w:lang w:val="en-US" w:eastAsia="zh-CN"/>
        </w:rPr>
        <w:t>96</w:t>
      </w:r>
      <w:r>
        <w:rPr>
          <w:rFonts w:hint="eastAsia" w:ascii="宋体" w:hAnsi="宋体" w:cs="宋体"/>
          <w:color w:val="auto"/>
          <w:kern w:val="0"/>
          <w:szCs w:val="21"/>
          <w:highlight w:val="none"/>
        </w:rPr>
        <w:t>00.00元。</w:t>
      </w:r>
    </w:p>
    <w:p w14:paraId="19BCAD0F">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投标保证金的缴纳方式：以银行转账、支票、汇票、本票或者金融机构、担保机构出具的保函等非现金形式提交。采用银行转账方式的，在投标截止时间前交至采购代理机构指定账户并且到账。汇款时投标人的汇款单据应注明“</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项目编号）</w:t>
      </w:r>
      <w:r>
        <w:rPr>
          <w:rFonts w:hint="eastAsia" w:ascii="宋体" w:hAnsi="宋体" w:cs="宋体"/>
          <w:color w:val="auto"/>
          <w:kern w:val="0"/>
          <w:szCs w:val="21"/>
          <w:highlight w:val="none"/>
        </w:rPr>
        <w:t>投标保证金”。</w:t>
      </w:r>
    </w:p>
    <w:p w14:paraId="4C90B6A8">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2.网上查询地址</w:t>
      </w:r>
    </w:p>
    <w:bookmarkEnd w:id="38"/>
    <w:p w14:paraId="4EAAA0EA">
      <w:pPr>
        <w:keepNext w:val="0"/>
        <w:keepLines w:val="0"/>
        <w:pageBreakBefore w:val="0"/>
        <w:kinsoku/>
        <w:wordWrap w:val="0"/>
        <w:overflowPunct/>
        <w:topLinePunct w:val="0"/>
        <w:bidi w:val="0"/>
        <w:spacing w:line="400" w:lineRule="exact"/>
        <w:ind w:firstLine="424" w:firstLineChars="202"/>
        <w:textAlignment w:val="auto"/>
        <w:rPr>
          <w:rFonts w:hint="eastAsia" w:ascii="宋体" w:hAnsi="宋体" w:cs="宋体"/>
          <w:i/>
          <w:color w:val="auto"/>
          <w:kern w:val="0"/>
          <w:szCs w:val="21"/>
          <w:highlight w:val="none"/>
        </w:rPr>
      </w:pPr>
      <w:r>
        <w:rPr>
          <w:rFonts w:hint="eastAsia" w:ascii="宋体" w:hAnsi="宋体" w:cs="宋体"/>
          <w:color w:val="auto"/>
          <w:kern w:val="0"/>
          <w:szCs w:val="21"/>
          <w:highlight w:val="none"/>
        </w:rPr>
        <w:t>http://www.ccgp.gov.cn（中国政府采购网）、http://zfcg.gxzf.gov.cn（广西壮族自治区政府采购网）、http://gxggzy.gxzf.gov.cn/（广西壮族自治区公共资源交易中心）、</w:t>
      </w:r>
      <w:r>
        <w:rPr>
          <w:rFonts w:hint="eastAsia" w:ascii="宋体" w:hAnsi="宋体" w:cs="宋体"/>
          <w:color w:val="auto"/>
          <w:kern w:val="0"/>
          <w:szCs w:val="21"/>
          <w:highlight w:val="none"/>
          <w:lang w:eastAsia="zh-CN"/>
        </w:rPr>
        <w:t>http://www.guangxibid.com.cn/</w:t>
      </w:r>
      <w:r>
        <w:rPr>
          <w:rFonts w:hint="eastAsia" w:ascii="宋体" w:hAnsi="宋体" w:cs="宋体"/>
          <w:color w:val="auto"/>
          <w:kern w:val="0"/>
          <w:szCs w:val="21"/>
          <w:highlight w:val="none"/>
          <w:lang w:val="en-US" w:eastAsia="zh-CN"/>
        </w:rPr>
        <w:t>（广西招标网）</w:t>
      </w:r>
      <w:r>
        <w:rPr>
          <w:rFonts w:hint="eastAsia" w:ascii="宋体" w:hAnsi="宋体" w:cs="宋体"/>
          <w:color w:val="auto"/>
          <w:kern w:val="0"/>
          <w:szCs w:val="21"/>
          <w:highlight w:val="none"/>
        </w:rPr>
        <w:t>。</w:t>
      </w:r>
    </w:p>
    <w:bookmarkEnd w:id="39"/>
    <w:p w14:paraId="40B97306">
      <w:pPr>
        <w:keepNext w:val="0"/>
        <w:keepLines w:val="0"/>
        <w:pageBreakBefore w:val="0"/>
        <w:kinsoku/>
        <w:overflowPunct/>
        <w:topLinePunct w:val="0"/>
        <w:bidi w:val="0"/>
        <w:spacing w:line="400" w:lineRule="exact"/>
        <w:ind w:firstLine="424" w:firstLineChars="202"/>
        <w:textAlignment w:val="auto"/>
        <w:rPr>
          <w:rFonts w:hint="eastAsia" w:ascii="宋体" w:hAnsi="宋体" w:cs="宋体"/>
          <w:color w:val="auto"/>
          <w:kern w:val="0"/>
          <w:szCs w:val="21"/>
          <w:highlight w:val="none"/>
        </w:rPr>
      </w:pPr>
      <w:bookmarkStart w:id="44" w:name="_Hlk37429674"/>
      <w:r>
        <w:rPr>
          <w:rFonts w:hint="eastAsia" w:ascii="宋体" w:hAnsi="宋体" w:cs="宋体"/>
          <w:color w:val="auto"/>
          <w:szCs w:val="21"/>
          <w:highlight w:val="none"/>
        </w:rPr>
        <w:t>3.</w:t>
      </w:r>
      <w:r>
        <w:rPr>
          <w:rFonts w:hint="eastAsia" w:ascii="宋体" w:hAnsi="宋体" w:cs="宋体"/>
          <w:color w:val="auto"/>
          <w:kern w:val="0"/>
          <w:szCs w:val="21"/>
          <w:highlight w:val="none"/>
        </w:rPr>
        <w:t>本项目需要落实的政府采购政策</w:t>
      </w:r>
    </w:p>
    <w:bookmarkEnd w:id="44"/>
    <w:p w14:paraId="33BFAB2D">
      <w:pPr>
        <w:keepNext w:val="0"/>
        <w:keepLines w:val="0"/>
        <w:pageBreakBefore w:val="0"/>
        <w:widowControl/>
        <w:kinsoku/>
        <w:overflowPunct/>
        <w:topLinePunct w:val="0"/>
        <w:bidi w:val="0"/>
        <w:spacing w:line="40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14:paraId="156F38E4">
      <w:pPr>
        <w:keepNext w:val="0"/>
        <w:keepLines w:val="0"/>
        <w:pageBreakBefore w:val="0"/>
        <w:widowControl/>
        <w:kinsoku/>
        <w:overflowPunct/>
        <w:topLinePunct w:val="0"/>
        <w:bidi w:val="0"/>
        <w:spacing w:line="40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（2）政府采购促进残疾人就业政策。</w:t>
      </w:r>
    </w:p>
    <w:p w14:paraId="1BB3B3C6">
      <w:pPr>
        <w:keepNext w:val="0"/>
        <w:keepLines w:val="0"/>
        <w:pageBreakBefore w:val="0"/>
        <w:widowControl/>
        <w:kinsoku/>
        <w:overflowPunct/>
        <w:topLinePunct w:val="0"/>
        <w:bidi w:val="0"/>
        <w:spacing w:line="40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（3）政府采购支持监狱企业发展。</w:t>
      </w:r>
    </w:p>
    <w:p w14:paraId="6AB3CEBA">
      <w:pPr>
        <w:keepNext w:val="0"/>
        <w:keepLines w:val="0"/>
        <w:pageBreakBefore w:val="0"/>
        <w:widowControl/>
        <w:kinsoku/>
        <w:overflowPunct/>
        <w:topLinePunct w:val="0"/>
        <w:bidi w:val="0"/>
        <w:spacing w:line="40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（4）强制采购节能产品；优先采购节能产品、环境标志产品。</w:t>
      </w:r>
    </w:p>
    <w:p w14:paraId="2EC627E8">
      <w:pPr>
        <w:keepNext w:val="0"/>
        <w:keepLines w:val="0"/>
        <w:pageBreakBefore w:val="0"/>
        <w:widowControl/>
        <w:kinsoku/>
        <w:overflowPunct/>
        <w:topLinePunct w:val="0"/>
        <w:bidi w:val="0"/>
        <w:spacing w:line="40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（5）扶持不发达地区和少数民族地区政策。</w:t>
      </w:r>
    </w:p>
    <w:p w14:paraId="76AC1932">
      <w:pPr>
        <w:keepNext w:val="0"/>
        <w:keepLines w:val="0"/>
        <w:pageBreakBefore w:val="0"/>
        <w:widowControl/>
        <w:kinsoku/>
        <w:overflowPunct/>
        <w:topLinePunct w:val="0"/>
        <w:bidi w:val="0"/>
        <w:spacing w:line="40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4.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BAB1FCC">
      <w:pPr>
        <w:keepNext w:val="0"/>
        <w:keepLines w:val="0"/>
        <w:pageBreakBefore w:val="0"/>
        <w:widowControl/>
        <w:kinsoku/>
        <w:overflowPunct/>
        <w:topLinePunct w:val="0"/>
        <w:bidi w:val="0"/>
        <w:spacing w:line="40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5.根据财政部《关于在政府采购活动中查询及使用信用记录有关问题的通知》（财库〔2016〕125号）的规定，对在“信用中国”网站（www.creditchina.gov.cn）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31C3B471">
      <w:pPr>
        <w:keepNext w:val="0"/>
        <w:keepLines w:val="0"/>
        <w:pageBreakBefore w:val="0"/>
        <w:widowControl/>
        <w:kinsoku/>
        <w:overflowPunct/>
        <w:topLinePunct w:val="0"/>
        <w:bidi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6.投标人</w:t>
      </w:r>
      <w:r>
        <w:rPr>
          <w:rFonts w:hint="eastAsia" w:ascii="宋体" w:hAnsi="宋体" w:cs="宋体"/>
          <w:color w:val="auto"/>
          <w:szCs w:val="21"/>
          <w:highlight w:val="none"/>
        </w:rPr>
        <w:t>投标注意事项</w:t>
      </w:r>
    </w:p>
    <w:p w14:paraId="768AE6C0">
      <w:pPr>
        <w:keepNext w:val="0"/>
        <w:keepLines w:val="0"/>
        <w:pageBreakBefore w:val="0"/>
        <w:widowControl/>
        <w:kinsoku/>
        <w:wordWrap w:val="0"/>
        <w:overflowPunct/>
        <w:topLinePunct w:val="0"/>
        <w:bidi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（1）本项目为全流程电子化采购项目，通过广西政府采购云平台（</w:t>
      </w:r>
      <w:r>
        <w:rPr>
          <w:rFonts w:hint="eastAsia" w:ascii="宋体" w:hAnsi="宋体" w:cs="宋体"/>
          <w:bCs/>
          <w:color w:val="auto"/>
          <w:szCs w:val="21"/>
          <w:highlight w:val="none"/>
        </w:rPr>
        <w:t>https://www.gcy.zfcg.gxzf.gov.cn/</w:t>
      </w:r>
      <w:r>
        <w:rPr>
          <w:rFonts w:hint="eastAsia" w:ascii="宋体" w:hAnsi="宋体" w:cs="宋体"/>
          <w:color w:val="auto"/>
          <w:szCs w:val="21"/>
          <w:highlight w:val="none"/>
        </w:rPr>
        <w:t>）实行在线电子投标，投标人应按照本项目招标文件和广西政府采购云平台的要求编制、加密后在投标截止时间前通过网络上传至广西政府采购云平台（加密的电子投标文件是指</w:t>
      </w:r>
      <w:r>
        <w:rPr>
          <w:rFonts w:hint="eastAsia" w:ascii="宋体" w:hAnsi="宋体" w:cs="宋体"/>
          <w:color w:val="auto"/>
          <w:highlight w:val="none"/>
        </w:rPr>
        <w:t>后缀名为“jmbs”的文件</w:t>
      </w:r>
      <w:r>
        <w:rPr>
          <w:rFonts w:hint="eastAsia" w:ascii="宋体" w:hAnsi="宋体" w:cs="宋体"/>
          <w:color w:val="auto"/>
          <w:szCs w:val="21"/>
          <w:highlight w:val="none"/>
        </w:rPr>
        <w:t>），</w:t>
      </w:r>
      <w:r>
        <w:rPr>
          <w:rFonts w:hint="eastAsia" w:ascii="宋体" w:hAnsi="宋体" w:cs="宋体"/>
          <w:b/>
          <w:color w:val="auto"/>
          <w:szCs w:val="21"/>
          <w:highlight w:val="none"/>
        </w:rPr>
        <w:t>投标人在</w:t>
      </w:r>
      <w:r>
        <w:rPr>
          <w:rFonts w:hint="eastAsia" w:ascii="宋体" w:hAnsi="宋体" w:cs="宋体"/>
          <w:color w:val="auto"/>
          <w:szCs w:val="21"/>
          <w:highlight w:val="none"/>
        </w:rPr>
        <w:t>广西政府采购云平台</w:t>
      </w:r>
      <w:r>
        <w:rPr>
          <w:rFonts w:hint="eastAsia" w:ascii="宋体" w:hAnsi="宋体" w:cs="宋体"/>
          <w:b/>
          <w:color w:val="auto"/>
          <w:szCs w:val="21"/>
          <w:highlight w:val="none"/>
        </w:rPr>
        <w:t>提交电子投标文件时，请填写参加远程开标活动经办人联系方式。</w:t>
      </w:r>
      <w:r>
        <w:rPr>
          <w:rFonts w:hint="eastAsia" w:ascii="宋体" w:hAnsi="宋体" w:cs="宋体"/>
          <w:color w:val="auto"/>
          <w:szCs w:val="21"/>
          <w:highlight w:val="none"/>
        </w:rPr>
        <w:t>投标人登录广西政府采购云平台，依次进入“服务中心-项目采购-操作流程-电子招投标-</w:t>
      </w:r>
      <w:r>
        <w:rPr>
          <w:rFonts w:hint="eastAsia" w:ascii="宋体" w:hAnsi="宋体" w:cs="宋体"/>
          <w:color w:val="auto"/>
          <w:highlight w:val="none"/>
        </w:rPr>
        <w:t>政府采购项目电子交易管理操作指南-供应商</w:t>
      </w:r>
      <w:r>
        <w:rPr>
          <w:rFonts w:hint="eastAsia" w:ascii="宋体" w:hAnsi="宋体" w:cs="宋体"/>
          <w:color w:val="auto"/>
          <w:szCs w:val="21"/>
          <w:highlight w:val="none"/>
        </w:rPr>
        <w:t>”查看电子投标具体操作流程。</w:t>
      </w:r>
    </w:p>
    <w:p w14:paraId="35E6C1C3">
      <w:pPr>
        <w:keepNext w:val="0"/>
        <w:keepLines w:val="0"/>
        <w:pageBreakBefore w:val="0"/>
        <w:widowControl/>
        <w:kinsoku/>
        <w:overflowPunct/>
        <w:topLinePunct w:val="0"/>
        <w:bidi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广西政府采购云平台</w:t>
      </w:r>
      <w:r>
        <w:rPr>
          <w:rFonts w:hint="eastAsia" w:ascii="宋体" w:hAnsi="宋体" w:cs="宋体"/>
          <w:color w:val="auto"/>
          <w:kern w:val="0"/>
          <w:szCs w:val="21"/>
          <w:highlight w:val="none"/>
        </w:rPr>
        <w:t>，</w:t>
      </w:r>
      <w:r>
        <w:rPr>
          <w:rFonts w:hint="eastAsia" w:ascii="宋体" w:hAnsi="宋体" w:cs="宋体"/>
          <w:color w:val="auto"/>
          <w:szCs w:val="21"/>
          <w:highlight w:val="none"/>
        </w:rPr>
        <w:t>依次进入“服务中心-入驻与配置”中查看CA数字证书办理操作流程。</w:t>
      </w:r>
      <w:r>
        <w:rPr>
          <w:rFonts w:hint="eastAsia" w:ascii="宋体" w:hAnsi="宋体" w:cs="宋体"/>
          <w:bCs/>
          <w:color w:val="auto"/>
          <w:kern w:val="0"/>
          <w:szCs w:val="21"/>
          <w:highlight w:val="none"/>
        </w:rPr>
        <w:t>如在操作过程中遇到问题或者需要技术支持，请致电客服热线：95763</w:t>
      </w:r>
      <w:r>
        <w:rPr>
          <w:rFonts w:hint="eastAsia" w:ascii="宋体" w:hAnsi="宋体" w:cs="宋体"/>
          <w:color w:val="auto"/>
          <w:szCs w:val="21"/>
          <w:highlight w:val="none"/>
        </w:rPr>
        <w:t>）。</w:t>
      </w:r>
    </w:p>
    <w:p w14:paraId="070A4E6F">
      <w:pPr>
        <w:keepNext w:val="0"/>
        <w:keepLines w:val="0"/>
        <w:pageBreakBefore w:val="0"/>
        <w:kinsoku/>
        <w:overflowPunct/>
        <w:topLinePunct w:val="0"/>
        <w:bidi w:val="0"/>
        <w:snapToGrid w:val="0"/>
        <w:spacing w:line="40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（3）CA证书在线解密：投标人投标时，需凭制作投标文件时用来加密的有效数字证书（CA认证）登录</w:t>
      </w:r>
      <w:r>
        <w:rPr>
          <w:rFonts w:hint="eastAsia" w:ascii="宋体" w:hAnsi="宋体" w:cs="宋体"/>
          <w:color w:val="auto"/>
          <w:szCs w:val="21"/>
          <w:highlight w:val="none"/>
        </w:rPr>
        <w:t>广西政府采购云平台</w:t>
      </w:r>
      <w:r>
        <w:rPr>
          <w:rFonts w:hint="eastAsia" w:ascii="宋体" w:hAnsi="宋体" w:cs="宋体"/>
          <w:color w:val="auto"/>
          <w:kern w:val="0"/>
          <w:szCs w:val="21"/>
          <w:highlight w:val="none"/>
        </w:rPr>
        <w:t>电子开标大厅现场按规定时间对加密的投标文件进行解密，否则后果自负。</w:t>
      </w:r>
    </w:p>
    <w:p w14:paraId="492F0BAB">
      <w:pPr>
        <w:keepNext w:val="0"/>
        <w:keepLines w:val="0"/>
        <w:pageBreakBefore w:val="0"/>
        <w:kinsoku/>
        <w:wordWrap w:val="0"/>
        <w:overflowPunct/>
        <w:topLinePunct w:val="0"/>
        <w:bidi w:val="0"/>
        <w:spacing w:line="400" w:lineRule="exact"/>
        <w:ind w:firstLine="424" w:firstLineChars="202"/>
        <w:textAlignment w:val="auto"/>
        <w:rPr>
          <w:rFonts w:hint="eastAsia" w:ascii="宋体" w:hAnsi="宋体" w:cs="宋体"/>
          <w:bCs/>
          <w:color w:val="auto"/>
          <w:szCs w:val="21"/>
          <w:highlight w:val="none"/>
        </w:rPr>
      </w:pPr>
      <w:r>
        <w:rPr>
          <w:rFonts w:hint="eastAsia" w:ascii="宋体" w:hAnsi="宋体" w:cs="宋体"/>
          <w:color w:val="auto"/>
          <w:szCs w:val="21"/>
          <w:highlight w:val="none"/>
        </w:rPr>
        <w:t>注：1）为确保网上操作合法、有效和安全，请投标人确保在电子投标过程中能够对相关数据电文进行加密和使用电子签章，妥善保管CA数字证书并使用有效的CA数字证书参与整个招标活动。2）</w:t>
      </w:r>
      <w:r>
        <w:rPr>
          <w:rFonts w:hint="eastAsia" w:ascii="宋体" w:hAnsi="宋体" w:cs="宋体"/>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将予以拒收。</w:t>
      </w:r>
    </w:p>
    <w:p w14:paraId="504F347B">
      <w:pPr>
        <w:keepNext w:val="0"/>
        <w:keepLines w:val="0"/>
        <w:pageBreakBefore w:val="0"/>
        <w:kinsoku/>
        <w:wordWrap w:val="0"/>
        <w:overflowPunct/>
        <w:topLinePunct w:val="0"/>
        <w:bidi w:val="0"/>
        <w:spacing w:line="400" w:lineRule="exact"/>
        <w:ind w:firstLine="424" w:firstLineChars="202"/>
        <w:textAlignment w:val="auto"/>
        <w:rPr>
          <w:rFonts w:ascii="宋体" w:hAnsi="宋体" w:cs="宋体"/>
          <w:bCs/>
          <w:color w:val="auto"/>
          <w:szCs w:val="21"/>
          <w:highlight w:val="none"/>
        </w:rPr>
      </w:pPr>
      <w:r>
        <w:rPr>
          <w:rFonts w:hint="eastAsia" w:ascii="宋体" w:hAnsi="宋体" w:cs="宋体"/>
          <w:bCs/>
          <w:color w:val="auto"/>
          <w:szCs w:val="21"/>
          <w:highlight w:val="none"/>
        </w:rPr>
        <w:t>7.采购意向公开链接：https://zfcg.gxzf.gov.cn/site/detail?parentId=66485&amp;articleId=Jg/9VXbUJorDijPnpYIxmA==</w:t>
      </w:r>
    </w:p>
    <w:p w14:paraId="1F041D23">
      <w:pPr>
        <w:keepNext w:val="0"/>
        <w:keepLines w:val="0"/>
        <w:pageBreakBefore w:val="0"/>
        <w:kinsoku/>
        <w:overflowPunct/>
        <w:topLinePunct w:val="0"/>
        <w:bidi w:val="0"/>
        <w:spacing w:line="400" w:lineRule="exact"/>
        <w:textAlignment w:val="auto"/>
        <w:rPr>
          <w:rFonts w:hint="eastAsia" w:ascii="宋体" w:hAnsi="宋体" w:cs="宋体"/>
          <w:b/>
          <w:bCs/>
          <w:color w:val="auto"/>
          <w:sz w:val="24"/>
          <w:highlight w:val="none"/>
        </w:rPr>
      </w:pPr>
      <w:r>
        <w:rPr>
          <w:rFonts w:hint="eastAsia" w:ascii="宋体" w:hAnsi="宋体" w:cs="宋体"/>
          <w:b/>
          <w:bCs/>
          <w:color w:val="auto"/>
          <w:sz w:val="24"/>
          <w:highlight w:val="none"/>
        </w:rPr>
        <w:t>七、对本次招标提出询问，请按以下方式联系。</w:t>
      </w:r>
      <w:bookmarkEnd w:id="40"/>
      <w:bookmarkEnd w:id="41"/>
      <w:bookmarkEnd w:id="42"/>
      <w:bookmarkEnd w:id="43"/>
    </w:p>
    <w:p w14:paraId="1BF8F5B2">
      <w:pPr>
        <w:keepNext w:val="0"/>
        <w:keepLines w:val="0"/>
        <w:pageBreakBefore w:val="0"/>
        <w:kinsoku/>
        <w:overflowPunct/>
        <w:topLinePunct w:val="0"/>
        <w:bidi w:val="0"/>
        <w:spacing w:line="400" w:lineRule="exact"/>
        <w:ind w:firstLine="424" w:firstLineChars="202"/>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1.采购人信息</w:t>
      </w:r>
    </w:p>
    <w:p w14:paraId="7653774B">
      <w:pPr>
        <w:keepNext w:val="0"/>
        <w:keepLines w:val="0"/>
        <w:pageBreakBefore w:val="0"/>
        <w:kinsoku/>
        <w:overflowPunct/>
        <w:topLinePunct w:val="0"/>
        <w:bidi w:val="0"/>
        <w:spacing w:line="400" w:lineRule="exact"/>
        <w:ind w:firstLine="424" w:firstLineChars="202"/>
        <w:jc w:val="left"/>
        <w:textAlignment w:val="auto"/>
        <w:rPr>
          <w:rFonts w:hint="eastAsia" w:ascii="宋体" w:hAnsi="宋体" w:eastAsia="宋体" w:cs="宋体"/>
          <w:color w:val="auto"/>
          <w:szCs w:val="21"/>
          <w:highlight w:val="none"/>
          <w:lang w:eastAsia="zh-CN"/>
        </w:rPr>
      </w:pPr>
      <w:bookmarkStart w:id="45" w:name="_Toc28359086"/>
      <w:bookmarkStart w:id="46" w:name="_Toc28359009"/>
      <w:r>
        <w:rPr>
          <w:rFonts w:hint="eastAsia" w:ascii="宋体" w:hAnsi="宋体" w:cs="宋体"/>
          <w:color w:val="auto"/>
          <w:szCs w:val="21"/>
          <w:highlight w:val="none"/>
        </w:rPr>
        <w:t>名 称：</w:t>
      </w:r>
      <w:r>
        <w:rPr>
          <w:rFonts w:hint="eastAsia" w:ascii="宋体" w:hAnsi="宋体" w:cs="宋体"/>
          <w:color w:val="auto"/>
          <w:szCs w:val="21"/>
          <w:highlight w:val="none"/>
          <w:lang w:eastAsia="zh-CN"/>
        </w:rPr>
        <w:t>广西壮族自治区妇幼保健院</w:t>
      </w:r>
    </w:p>
    <w:p w14:paraId="512EFCFF">
      <w:pPr>
        <w:keepNext w:val="0"/>
        <w:keepLines w:val="0"/>
        <w:pageBreakBefore w:val="0"/>
        <w:kinsoku/>
        <w:overflowPunct/>
        <w:topLinePunct w:val="0"/>
        <w:bidi w:val="0"/>
        <w:spacing w:line="400" w:lineRule="exact"/>
        <w:ind w:firstLine="424" w:firstLineChars="202"/>
        <w:jc w:val="left"/>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rPr>
        <w:t>地 址：</w:t>
      </w:r>
      <w:r>
        <w:rPr>
          <w:rFonts w:hint="eastAsia" w:ascii="宋体" w:hAnsi="宋体" w:cs="宋体"/>
          <w:color w:val="auto"/>
          <w:highlight w:val="none"/>
        </w:rPr>
        <w:t>南宁市厢竹大道59号</w:t>
      </w:r>
    </w:p>
    <w:p w14:paraId="6C0C8234">
      <w:pPr>
        <w:keepNext w:val="0"/>
        <w:keepLines w:val="0"/>
        <w:pageBreakBefore w:val="0"/>
        <w:kinsoku/>
        <w:overflowPunct/>
        <w:topLinePunct w:val="0"/>
        <w:bidi w:val="0"/>
        <w:spacing w:line="400" w:lineRule="exact"/>
        <w:ind w:firstLine="424" w:firstLineChars="202"/>
        <w:jc w:val="lef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联系人：</w:t>
      </w:r>
      <w:r>
        <w:rPr>
          <w:rFonts w:hint="eastAsia" w:ascii="宋体" w:hAnsi="宋体" w:cs="宋体"/>
          <w:color w:val="auto"/>
          <w:szCs w:val="21"/>
          <w:highlight w:val="none"/>
          <w:lang w:eastAsia="zh-CN"/>
        </w:rPr>
        <w:t>李海华、邓雨霞</w:t>
      </w:r>
    </w:p>
    <w:p w14:paraId="53B3B4E3">
      <w:pPr>
        <w:keepNext w:val="0"/>
        <w:keepLines w:val="0"/>
        <w:pageBreakBefore w:val="0"/>
        <w:kinsoku/>
        <w:overflowPunct/>
        <w:topLinePunct w:val="0"/>
        <w:bidi w:val="0"/>
        <w:spacing w:line="400" w:lineRule="exact"/>
        <w:ind w:firstLine="424" w:firstLineChars="202"/>
        <w:jc w:val="left"/>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联系方式：</w:t>
      </w:r>
      <w:r>
        <w:rPr>
          <w:rFonts w:hint="eastAsia" w:ascii="宋体" w:hAnsi="宋体" w:cs="宋体"/>
          <w:color w:val="auto"/>
          <w:szCs w:val="21"/>
          <w:highlight w:val="none"/>
          <w:lang w:val="en-US" w:eastAsia="zh-CN"/>
        </w:rPr>
        <w:t>0771-2860904、2860979</w:t>
      </w:r>
    </w:p>
    <w:bookmarkEnd w:id="45"/>
    <w:bookmarkEnd w:id="46"/>
    <w:p w14:paraId="323E7DE2">
      <w:pPr>
        <w:keepNext w:val="0"/>
        <w:keepLines w:val="0"/>
        <w:pageBreakBefore w:val="0"/>
        <w:kinsoku/>
        <w:overflowPunct/>
        <w:topLinePunct w:val="0"/>
        <w:bidi w:val="0"/>
        <w:spacing w:line="400" w:lineRule="exact"/>
        <w:ind w:firstLine="424" w:firstLineChars="202"/>
        <w:textAlignment w:val="auto"/>
        <w:rPr>
          <w:rFonts w:hint="eastAsia" w:ascii="宋体" w:hAnsi="宋体" w:cs="宋体"/>
          <w:color w:val="auto"/>
          <w:szCs w:val="21"/>
          <w:highlight w:val="none"/>
        </w:rPr>
      </w:pPr>
      <w:r>
        <w:rPr>
          <w:rFonts w:hint="eastAsia" w:ascii="宋体" w:hAnsi="宋体" w:cs="宋体"/>
          <w:color w:val="auto"/>
          <w:szCs w:val="21"/>
          <w:highlight w:val="none"/>
        </w:rPr>
        <w:t>2.采购代理机构信息</w:t>
      </w:r>
    </w:p>
    <w:p w14:paraId="2C5620EC">
      <w:pPr>
        <w:keepNext w:val="0"/>
        <w:keepLines w:val="0"/>
        <w:pageBreakBefore w:val="0"/>
        <w:kinsoku/>
        <w:overflowPunct/>
        <w:topLinePunct w:val="0"/>
        <w:bidi w:val="0"/>
        <w:spacing w:line="400" w:lineRule="exact"/>
        <w:ind w:firstLine="424" w:firstLineChars="202"/>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名 称：</w:t>
      </w:r>
      <w:r>
        <w:rPr>
          <w:rFonts w:hint="eastAsia" w:ascii="宋体" w:hAnsi="宋体" w:cs="宋体"/>
          <w:color w:val="auto"/>
          <w:szCs w:val="21"/>
          <w:highlight w:val="none"/>
          <w:lang w:eastAsia="zh-CN"/>
        </w:rPr>
        <w:t>广西建设工程机电设备招标中心有限公司</w:t>
      </w:r>
    </w:p>
    <w:p w14:paraId="6C8324F9">
      <w:pPr>
        <w:keepNext w:val="0"/>
        <w:keepLines w:val="0"/>
        <w:pageBreakBefore w:val="0"/>
        <w:kinsoku/>
        <w:overflowPunct/>
        <w:topLinePunct w:val="0"/>
        <w:bidi w:val="0"/>
        <w:spacing w:line="400" w:lineRule="exact"/>
        <w:ind w:firstLine="424" w:firstLineChars="202"/>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地 址：</w:t>
      </w:r>
      <w:r>
        <w:rPr>
          <w:rFonts w:hint="eastAsia" w:ascii="宋体" w:hAnsi="宋体" w:cs="宋体"/>
          <w:color w:val="auto"/>
          <w:szCs w:val="21"/>
          <w:highlight w:val="none"/>
          <w:lang w:eastAsia="zh-CN"/>
        </w:rPr>
        <w:t>广西南宁市青秀区枫林路18号广西国控大厦（枫林路办公区）裙楼三楼</w:t>
      </w:r>
    </w:p>
    <w:p w14:paraId="66DF081D">
      <w:pPr>
        <w:keepNext w:val="0"/>
        <w:keepLines w:val="0"/>
        <w:pageBreakBefore w:val="0"/>
        <w:kinsoku/>
        <w:overflowPunct/>
        <w:topLinePunct w:val="0"/>
        <w:bidi w:val="0"/>
        <w:spacing w:line="400" w:lineRule="exact"/>
        <w:ind w:firstLine="424" w:firstLineChars="202"/>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联系方式：</w:t>
      </w:r>
      <w:r>
        <w:rPr>
          <w:rFonts w:hint="eastAsia" w:ascii="宋体" w:hAnsi="宋体" w:cs="宋体"/>
          <w:color w:val="auto"/>
          <w:szCs w:val="21"/>
          <w:highlight w:val="none"/>
          <w:lang w:eastAsia="zh-CN"/>
        </w:rPr>
        <w:t>0771-</w:t>
      </w:r>
      <w:r>
        <w:rPr>
          <w:rFonts w:hint="eastAsia" w:ascii="宋体" w:hAnsi="宋体" w:cs="宋体"/>
          <w:color w:val="auto"/>
          <w:szCs w:val="21"/>
          <w:highlight w:val="none"/>
          <w:lang w:val="en-US" w:eastAsia="zh-CN" w:bidi="ar"/>
        </w:rPr>
        <w:t>2819862</w:t>
      </w:r>
    </w:p>
    <w:p w14:paraId="006FA431">
      <w:pPr>
        <w:keepNext w:val="0"/>
        <w:keepLines w:val="0"/>
        <w:pageBreakBefore w:val="0"/>
        <w:kinsoku/>
        <w:overflowPunct/>
        <w:topLinePunct w:val="0"/>
        <w:bidi w:val="0"/>
        <w:spacing w:line="400" w:lineRule="exact"/>
        <w:ind w:firstLine="424" w:firstLineChars="202"/>
        <w:textAlignment w:val="auto"/>
        <w:rPr>
          <w:rFonts w:hint="eastAsia" w:ascii="宋体" w:hAnsi="宋体" w:cs="宋体"/>
          <w:color w:val="auto"/>
          <w:szCs w:val="21"/>
          <w:highlight w:val="none"/>
        </w:rPr>
      </w:pPr>
      <w:r>
        <w:rPr>
          <w:rFonts w:hint="eastAsia" w:ascii="宋体" w:hAnsi="宋体" w:cs="宋体"/>
          <w:color w:val="auto"/>
          <w:szCs w:val="21"/>
          <w:highlight w:val="none"/>
        </w:rPr>
        <w:t>3.项目联系方式</w:t>
      </w:r>
    </w:p>
    <w:p w14:paraId="58889103">
      <w:pPr>
        <w:keepNext w:val="0"/>
        <w:keepLines w:val="0"/>
        <w:pageBreakBefore w:val="0"/>
        <w:kinsoku/>
        <w:overflowPunct/>
        <w:topLinePunct w:val="0"/>
        <w:bidi w:val="0"/>
        <w:spacing w:line="400" w:lineRule="exact"/>
        <w:ind w:firstLine="424" w:firstLineChars="202"/>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项目联系人：</w:t>
      </w:r>
      <w:r>
        <w:rPr>
          <w:rFonts w:hint="eastAsia" w:ascii="宋体" w:hAnsi="宋体" w:cs="宋体"/>
          <w:color w:val="auto"/>
          <w:szCs w:val="21"/>
          <w:highlight w:val="none"/>
          <w:lang w:eastAsia="zh-CN"/>
        </w:rPr>
        <w:t>周珺、谌金群</w:t>
      </w:r>
    </w:p>
    <w:p w14:paraId="3CAF7BF5">
      <w:pPr>
        <w:keepNext w:val="0"/>
        <w:keepLines w:val="0"/>
        <w:pageBreakBefore w:val="0"/>
        <w:kinsoku/>
        <w:overflowPunct/>
        <w:topLinePunct w:val="0"/>
        <w:bidi w:val="0"/>
        <w:spacing w:line="400" w:lineRule="exact"/>
        <w:ind w:firstLine="424" w:firstLineChars="202"/>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电　话：</w:t>
      </w:r>
      <w:r>
        <w:rPr>
          <w:rFonts w:hint="eastAsia" w:ascii="宋体" w:hAnsi="宋体" w:cs="宋体"/>
          <w:color w:val="auto"/>
          <w:szCs w:val="21"/>
          <w:highlight w:val="none"/>
          <w:lang w:eastAsia="zh-CN"/>
        </w:rPr>
        <w:t>0771-</w:t>
      </w:r>
      <w:r>
        <w:rPr>
          <w:rFonts w:hint="eastAsia" w:ascii="宋体" w:hAnsi="宋体" w:cs="宋体"/>
          <w:color w:val="auto"/>
          <w:szCs w:val="21"/>
          <w:highlight w:val="none"/>
          <w:lang w:val="en-US" w:eastAsia="zh-CN" w:bidi="ar"/>
        </w:rPr>
        <w:t>2819862</w:t>
      </w:r>
    </w:p>
    <w:p w14:paraId="6BE03535">
      <w:pPr>
        <w:keepNext w:val="0"/>
        <w:keepLines w:val="0"/>
        <w:pageBreakBefore w:val="0"/>
        <w:kinsoku/>
        <w:overflowPunct/>
        <w:topLinePunct w:val="0"/>
        <w:bidi w:val="0"/>
        <w:spacing w:line="400" w:lineRule="exact"/>
        <w:ind w:firstLine="424" w:firstLineChars="202"/>
        <w:textAlignment w:val="auto"/>
        <w:rPr>
          <w:rFonts w:hint="eastAsia" w:ascii="宋体" w:hAnsi="宋体" w:eastAsia="宋体" w:cs="宋体"/>
          <w:color w:val="auto"/>
          <w:szCs w:val="21"/>
          <w:highlight w:val="none"/>
          <w:u w:val="single"/>
          <w:lang w:eastAsia="zh-CN"/>
        </w:rPr>
      </w:pPr>
    </w:p>
    <w:p w14:paraId="7C9466D1">
      <w:pPr>
        <w:keepNext w:val="0"/>
        <w:keepLines w:val="0"/>
        <w:pageBreakBefore w:val="0"/>
        <w:kinsoku/>
        <w:overflowPunct/>
        <w:topLinePunct w:val="0"/>
        <w:bidi w:val="0"/>
        <w:spacing w:line="400" w:lineRule="exact"/>
        <w:textAlignment w:val="auto"/>
        <w:rPr>
          <w:rFonts w:hint="eastAsia" w:ascii="宋体" w:hAnsi="宋体" w:cs="宋体"/>
          <w:color w:val="auto"/>
          <w:szCs w:val="21"/>
          <w:highlight w:val="none"/>
        </w:rPr>
      </w:pPr>
    </w:p>
    <w:p w14:paraId="225E89DA">
      <w:pPr>
        <w:keepNext w:val="0"/>
        <w:keepLines w:val="0"/>
        <w:pageBreakBefore w:val="0"/>
        <w:kinsoku/>
        <w:overflowPunct/>
        <w:topLinePunct w:val="0"/>
        <w:bidi w:val="0"/>
        <w:spacing w:line="400" w:lineRule="exact"/>
        <w:jc w:val="right"/>
        <w:textAlignment w:val="auto"/>
        <w:rPr>
          <w:rFonts w:hint="eastAsia" w:ascii="宋体" w:hAnsi="宋体" w:cs="宋体"/>
          <w:b/>
          <w:bCs/>
          <w:color w:val="auto"/>
          <w:highlight w:val="none"/>
        </w:rPr>
      </w:pPr>
      <w:r>
        <w:rPr>
          <w:rFonts w:hint="eastAsia" w:ascii="宋体" w:hAnsi="宋体" w:cs="宋体"/>
          <w:color w:val="auto"/>
          <w:szCs w:val="21"/>
          <w:highlight w:val="none"/>
        </w:rPr>
        <w:t>采购代理机构：</w:t>
      </w:r>
      <w:r>
        <w:rPr>
          <w:rFonts w:hint="eastAsia" w:ascii="宋体" w:hAnsi="宋体" w:cs="宋体"/>
          <w:color w:val="auto"/>
          <w:szCs w:val="21"/>
          <w:highlight w:val="none"/>
          <w:lang w:eastAsia="zh-CN"/>
        </w:rPr>
        <w:t>广西建设工程机电设备招标中心有限公司</w:t>
      </w:r>
      <w:r>
        <w:rPr>
          <w:rFonts w:hint="eastAsia" w:ascii="宋体" w:hAnsi="宋体" w:cs="宋体"/>
          <w:b/>
          <w:bCs/>
          <w:color w:val="auto"/>
          <w:highlight w:val="none"/>
        </w:rPr>
        <w:t xml:space="preserve"> </w:t>
      </w:r>
    </w:p>
    <w:p w14:paraId="2045E8E6">
      <w:pPr>
        <w:keepNext w:val="0"/>
        <w:keepLines w:val="0"/>
        <w:pageBreakBefore w:val="0"/>
        <w:kinsoku/>
        <w:overflowPunct/>
        <w:topLinePunct w:val="0"/>
        <w:bidi w:val="0"/>
        <w:spacing w:line="400" w:lineRule="exact"/>
        <w:ind w:firstLine="4095" w:firstLineChars="1950"/>
        <w:jc w:val="right"/>
        <w:textAlignment w:val="auto"/>
        <w:rPr>
          <w:rFonts w:hint="eastAsia" w:ascii="宋体" w:hAnsi="宋体" w:cs="宋体"/>
          <w:b/>
          <w:bCs/>
          <w:color w:val="auto"/>
          <w:highlight w:val="none"/>
        </w:rPr>
      </w:pPr>
      <w:r>
        <w:rPr>
          <w:rFonts w:hint="eastAsia" w:ascii="宋体" w:hAnsi="宋体" w:cs="宋体"/>
          <w:bCs/>
          <w:color w:val="auto"/>
          <w:kern w:val="0"/>
          <w:szCs w:val="21"/>
          <w:highlight w:val="none"/>
        </w:rPr>
        <w:t>202</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年</w:t>
      </w:r>
      <w:r>
        <w:rPr>
          <w:rFonts w:hint="eastAsia" w:ascii="宋体" w:hAnsi="宋体" w:cs="宋体"/>
          <w:bCs/>
          <w:color w:val="auto"/>
          <w:kern w:val="0"/>
          <w:szCs w:val="21"/>
          <w:highlight w:val="none"/>
          <w:lang w:val="en-US" w:eastAsia="zh-CN"/>
        </w:rPr>
        <w:t>7</w:t>
      </w:r>
      <w:r>
        <w:rPr>
          <w:rFonts w:hint="eastAsia" w:ascii="宋体" w:hAnsi="宋体" w:cs="宋体"/>
          <w:bCs/>
          <w:color w:val="auto"/>
          <w:kern w:val="0"/>
          <w:szCs w:val="21"/>
          <w:highlight w:val="none"/>
        </w:rPr>
        <w:t>月</w:t>
      </w:r>
      <w:r>
        <w:rPr>
          <w:rFonts w:hint="eastAsia" w:ascii="宋体" w:hAnsi="宋体" w:cs="宋体"/>
          <w:bCs/>
          <w:color w:val="auto"/>
          <w:kern w:val="0"/>
          <w:szCs w:val="21"/>
          <w:highlight w:val="none"/>
          <w:lang w:val="en-US" w:eastAsia="zh-CN"/>
        </w:rPr>
        <w:t>27</w:t>
      </w:r>
      <w:r>
        <w:rPr>
          <w:rFonts w:hint="eastAsia" w:ascii="宋体" w:hAnsi="宋体" w:cs="宋体"/>
          <w:bCs/>
          <w:color w:val="auto"/>
          <w:kern w:val="0"/>
          <w:szCs w:val="21"/>
          <w:highlight w:val="none"/>
        </w:rPr>
        <w:t>日</w:t>
      </w:r>
    </w:p>
    <w:p w14:paraId="5D16113C">
      <w:pPr>
        <w:pStyle w:val="2"/>
        <w:keepNext w:val="0"/>
        <w:keepLines w:val="0"/>
        <w:tabs>
          <w:tab w:val="left" w:pos="0"/>
          <w:tab w:val="left" w:pos="3165"/>
          <w:tab w:val="center" w:pos="4153"/>
        </w:tabs>
        <w:autoSpaceDE w:val="0"/>
        <w:autoSpaceDN w:val="0"/>
        <w:adjustRightInd w:val="0"/>
        <w:spacing w:before="0" w:after="0" w:line="360" w:lineRule="auto"/>
        <w:jc w:val="center"/>
        <w:rPr>
          <w:rFonts w:hint="eastAsia" w:ascii="宋体" w:hAnsi="宋体" w:cs="宋体"/>
          <w:color w:val="auto"/>
          <w:highlight w:val="none"/>
        </w:rPr>
      </w:pPr>
      <w:r>
        <w:rPr>
          <w:rFonts w:hint="eastAsia" w:ascii="宋体" w:hAnsi="宋体" w:cs="宋体"/>
          <w:color w:val="auto"/>
          <w:sz w:val="24"/>
          <w:szCs w:val="20"/>
          <w:highlight w:val="none"/>
        </w:rPr>
        <w:br w:type="page"/>
      </w:r>
      <w:bookmarkStart w:id="47" w:name="_Toc12941"/>
      <w:bookmarkStart w:id="48" w:name="_Toc28054"/>
      <w:bookmarkStart w:id="49" w:name="_Toc29892"/>
      <w:r>
        <w:rPr>
          <w:rFonts w:hint="eastAsia" w:ascii="宋体" w:hAnsi="宋体" w:cs="宋体"/>
          <w:color w:val="auto"/>
          <w:highlight w:val="none"/>
        </w:rPr>
        <w:t>第二章  采购需求</w:t>
      </w:r>
      <w:bookmarkEnd w:id="47"/>
      <w:bookmarkEnd w:id="48"/>
      <w:bookmarkEnd w:id="49"/>
    </w:p>
    <w:p w14:paraId="2409B9CF">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一、说明：</w:t>
      </w:r>
    </w:p>
    <w:p w14:paraId="29041AD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1.为落实政府采购政策需满足的要求</w:t>
      </w:r>
    </w:p>
    <w:p w14:paraId="21C0D8C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本招标文件所称中小企业必须符合《政府采购促进中小企业发展管理办法》（财库〔2020〕46号）的规定。</w:t>
      </w:r>
    </w:p>
    <w:p w14:paraId="45986BA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2.“实质性要求”是指招标文件中已经指明不满足则投标无效的条款，或者不能负偏离的条款，或者采购需求中带“▲”的条款。</w:t>
      </w:r>
    </w:p>
    <w:p w14:paraId="2FD9659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3.投标人必须自行为其投标产品侵犯他人的知识产权或者专利成果的行为承担相应法律责任。</w:t>
      </w:r>
    </w:p>
    <w:p w14:paraId="4E5E8D1D">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color w:val="auto"/>
          <w:szCs w:val="21"/>
          <w:highlight w:val="none"/>
        </w:rPr>
      </w:pPr>
      <w:r>
        <w:rPr>
          <w:rFonts w:hint="eastAsia" w:ascii="宋体" w:hAnsi="宋体" w:cs="宋体"/>
          <w:b/>
          <w:color w:val="auto"/>
          <w:szCs w:val="21"/>
          <w:highlight w:val="none"/>
        </w:rPr>
        <w:t>4.采购内容的中小企业划分标准所属行业名称：</w:t>
      </w:r>
      <w:r>
        <w:rPr>
          <w:rFonts w:hint="eastAsia" w:ascii="宋体" w:hAnsi="宋体" w:cs="宋体"/>
          <w:b/>
          <w:color w:val="auto"/>
          <w:szCs w:val="21"/>
          <w:highlight w:val="none"/>
          <w:u w:val="single"/>
        </w:rPr>
        <w:t>其他未列明行业</w:t>
      </w:r>
      <w:r>
        <w:rPr>
          <w:rFonts w:hint="eastAsia" w:ascii="宋体" w:hAnsi="宋体" w:cs="宋体"/>
          <w:bCs/>
          <w:color w:val="auto"/>
          <w:szCs w:val="21"/>
          <w:highlight w:val="none"/>
        </w:rPr>
        <w:t>。</w:t>
      </w:r>
    </w:p>
    <w:p w14:paraId="1156EBE7">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color w:val="auto"/>
          <w:szCs w:val="21"/>
          <w:highlight w:val="none"/>
        </w:rPr>
      </w:pPr>
      <w:r>
        <w:rPr>
          <w:rFonts w:hint="eastAsia" w:ascii="宋体" w:hAnsi="宋体" w:cs="宋体"/>
          <w:b/>
          <w:color w:val="auto"/>
          <w:szCs w:val="21"/>
          <w:highlight w:val="none"/>
        </w:rPr>
        <w:t>5.采购预算</w:t>
      </w:r>
      <w:r>
        <w:rPr>
          <w:rFonts w:hint="eastAsia" w:ascii="宋体" w:hAnsi="宋体" w:cs="宋体"/>
          <w:bCs/>
          <w:color w:val="auto"/>
          <w:szCs w:val="21"/>
          <w:highlight w:val="none"/>
        </w:rPr>
        <w:t>：</w:t>
      </w:r>
      <w:r>
        <w:rPr>
          <w:rFonts w:hint="eastAsia" w:ascii="宋体" w:hAnsi="宋体" w:cs="宋体"/>
          <w:bCs/>
          <w:color w:val="auto"/>
          <w:szCs w:val="21"/>
          <w:highlight w:val="none"/>
          <w:u w:val="single"/>
          <w:lang w:val="en-US" w:eastAsia="zh-CN"/>
        </w:rPr>
        <w:t>3966637.50</w:t>
      </w:r>
      <w:r>
        <w:rPr>
          <w:rFonts w:hint="eastAsia" w:ascii="宋体" w:hAnsi="宋体" w:cs="宋体"/>
          <w:color w:val="auto"/>
          <w:szCs w:val="21"/>
          <w:highlight w:val="none"/>
          <w:u w:val="single"/>
        </w:rPr>
        <w:t>元。</w:t>
      </w:r>
    </w:p>
    <w:p w14:paraId="3899EB3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6.采购需求要求未尽事宜由采购人与中标供应商在采购合同中约定。</w:t>
      </w:r>
    </w:p>
    <w:p w14:paraId="7458A0AE">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7.</w:t>
      </w:r>
      <w:r>
        <w:rPr>
          <w:rFonts w:hint="eastAsia" w:ascii="宋体" w:hAnsi="宋体" w:cs="宋体"/>
          <w:b/>
          <w:bCs w:val="0"/>
          <w:color w:val="auto"/>
          <w:kern w:val="0"/>
          <w:szCs w:val="21"/>
          <w:highlight w:val="none"/>
          <w:lang w:val="en-US" w:eastAsia="zh-CN"/>
        </w:rPr>
        <w:t>投标人的报价出现《财政部关于推动解决政府采购异常低价问题的通知》（财库〔2026〕2号）规定的异常低价情形（具体详见招标文件第四章评标方法及评标标准二、评标程序6.异常低价审查），有可能影响服务质量或者不能诚信履约的，其应当在评标现场合理时间内（不少于30分钟）对报价作出解释，提供项目具体成本测算等与报价合理性相关的书面说明及必要证明材料；投标人不能提供相关说明、证明材料，或提供的材料无法证明其报价合理性的，评标委员会将其作为无效投标处理。</w:t>
      </w:r>
      <w:r>
        <w:rPr>
          <w:rFonts w:hint="eastAsia" w:ascii="宋体" w:hAnsi="宋体" w:eastAsia="宋体" w:cs="宋体"/>
          <w:b/>
          <w:bCs/>
          <w:color w:val="auto"/>
          <w:szCs w:val="21"/>
          <w:highlight w:val="none"/>
          <w:lang w:val="en-US" w:eastAsia="zh-CN"/>
        </w:rPr>
        <w:t xml:space="preserve"> </w:t>
      </w:r>
    </w:p>
    <w:p w14:paraId="39DB04CF">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val="en-US" w:eastAsia="zh-CN"/>
        </w:rPr>
        <w:t>8.本项目采购需求表中，若有要求提供的证明文件材料或承诺书的，请在《技术要求偏离表》或《商务要求偏离表》中应答时，同时注明相关文件材料或承诺书放置的页码。</w:t>
      </w:r>
    </w:p>
    <w:p w14:paraId="4E8A8F0A">
      <w:pPr>
        <w:pStyle w:val="1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olor w:val="auto"/>
          <w:highlight w:val="none"/>
        </w:rPr>
      </w:pPr>
    </w:p>
    <w:p w14:paraId="114E89AD">
      <w:pPr>
        <w:keepNext w:val="0"/>
        <w:keepLines w:val="0"/>
        <w:pageBreakBefore w:val="0"/>
        <w:widowControl w:val="0"/>
        <w:tabs>
          <w:tab w:val="left" w:pos="180"/>
          <w:tab w:val="left" w:pos="1620"/>
        </w:tabs>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color w:val="auto"/>
          <w:sz w:val="24"/>
          <w:highlight w:val="none"/>
        </w:rPr>
      </w:pPr>
      <w:r>
        <w:rPr>
          <w:rFonts w:hint="eastAsia" w:ascii="宋体" w:hAnsi="宋体" w:cs="宋体"/>
          <w:b/>
          <w:color w:val="auto"/>
          <w:szCs w:val="21"/>
          <w:highlight w:val="none"/>
        </w:rPr>
        <w:t>二、技术及商务要求：</w:t>
      </w:r>
    </w:p>
    <w:tbl>
      <w:tblPr>
        <w:tblStyle w:val="40"/>
        <w:tblW w:w="90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91" w:type="dxa"/>
          <w:bottom w:w="0" w:type="dxa"/>
          <w:right w:w="91" w:type="dxa"/>
        </w:tblCellMar>
      </w:tblPr>
      <w:tblGrid>
        <w:gridCol w:w="610"/>
        <w:gridCol w:w="1167"/>
        <w:gridCol w:w="122"/>
        <w:gridCol w:w="598"/>
        <w:gridCol w:w="657"/>
        <w:gridCol w:w="5917"/>
      </w:tblGrid>
      <w:tr w14:paraId="77C341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91" w:type="dxa"/>
            <w:bottom w:w="0" w:type="dxa"/>
            <w:right w:w="91" w:type="dxa"/>
          </w:tblCellMar>
        </w:tblPrEx>
        <w:trPr>
          <w:trHeight w:val="455" w:hRule="atLeast"/>
          <w:jc w:val="center"/>
        </w:trPr>
        <w:tc>
          <w:tcPr>
            <w:tcW w:w="9071" w:type="dxa"/>
            <w:gridSpan w:val="6"/>
            <w:tcBorders>
              <w:top w:val="single" w:color="000000" w:sz="2" w:space="0"/>
              <w:left w:val="single" w:color="000000" w:sz="2" w:space="0"/>
              <w:bottom w:val="single" w:color="000000" w:sz="2" w:space="0"/>
              <w:right w:val="single" w:color="000000" w:sz="2" w:space="0"/>
            </w:tcBorders>
            <w:noWrap w:val="0"/>
            <w:vAlign w:val="center"/>
          </w:tcPr>
          <w:p w14:paraId="7502A876">
            <w:pPr>
              <w:keepNext w:val="0"/>
              <w:keepLines w:val="0"/>
              <w:pageBreakBefore w:val="0"/>
              <w:widowControl w:val="0"/>
              <w:tabs>
                <w:tab w:val="left" w:pos="180"/>
                <w:tab w:val="left" w:pos="1620"/>
              </w:tabs>
              <w:kinsoku/>
              <w:wordWrap/>
              <w:overflowPunct/>
              <w:topLinePunct w:val="0"/>
              <w:autoSpaceDE/>
              <w:autoSpaceDN/>
              <w:bidi w:val="0"/>
              <w:adjustRightInd/>
              <w:snapToGrid/>
              <w:spacing w:before="168" w:beforeLines="70" w:line="400" w:lineRule="exact"/>
              <w:textAlignment w:val="auto"/>
              <w:rPr>
                <w:rFonts w:hint="eastAsia" w:ascii="宋体" w:hAnsi="宋体" w:cs="宋体"/>
                <w:color w:val="auto"/>
                <w:szCs w:val="21"/>
                <w:highlight w:val="none"/>
              </w:rPr>
            </w:pPr>
            <w:r>
              <w:rPr>
                <w:rFonts w:hint="eastAsia" w:ascii="宋体" w:hAnsi="宋体" w:cs="宋体"/>
                <w:b/>
                <w:bCs/>
                <w:color w:val="auto"/>
                <w:szCs w:val="21"/>
                <w:highlight w:val="none"/>
              </w:rPr>
              <w:t>一、项目要求及技术需求</w:t>
            </w:r>
          </w:p>
        </w:tc>
      </w:tr>
      <w:tr w14:paraId="0E60D6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91" w:type="dxa"/>
            <w:bottom w:w="0" w:type="dxa"/>
            <w:right w:w="91" w:type="dxa"/>
          </w:tblCellMar>
        </w:tblPrEx>
        <w:trPr>
          <w:trHeight w:val="496" w:hRule="atLeast"/>
          <w:jc w:val="center"/>
        </w:trPr>
        <w:tc>
          <w:tcPr>
            <w:tcW w:w="610" w:type="dxa"/>
            <w:tcBorders>
              <w:top w:val="single" w:color="000000" w:sz="2" w:space="0"/>
              <w:left w:val="single" w:color="000000" w:sz="2" w:space="0"/>
              <w:bottom w:val="single" w:color="000000" w:sz="2" w:space="0"/>
              <w:right w:val="single" w:color="000000" w:sz="2" w:space="0"/>
            </w:tcBorders>
            <w:noWrap w:val="0"/>
            <w:vAlign w:val="center"/>
          </w:tcPr>
          <w:p w14:paraId="23F946BC">
            <w:pPr>
              <w:keepNext w:val="0"/>
              <w:keepLines w:val="0"/>
              <w:pageBreakBefore w:val="0"/>
              <w:widowControl w:val="0"/>
              <w:tabs>
                <w:tab w:val="left" w:pos="180"/>
                <w:tab w:val="left" w:pos="1620"/>
              </w:tabs>
              <w:kinsoku/>
              <w:wordWrap/>
              <w:overflowPunct/>
              <w:topLinePunct w:val="0"/>
              <w:autoSpaceDE/>
              <w:autoSpaceDN/>
              <w:bidi w:val="0"/>
              <w:adjustRightInd/>
              <w:snapToGrid/>
              <w:spacing w:before="168" w:beforeLines="70"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167" w:type="dxa"/>
            <w:tcBorders>
              <w:top w:val="single" w:color="000000" w:sz="2" w:space="0"/>
              <w:left w:val="single" w:color="000000" w:sz="2" w:space="0"/>
              <w:bottom w:val="single" w:color="000000" w:sz="2" w:space="0"/>
              <w:right w:val="single" w:color="000000" w:sz="2" w:space="0"/>
            </w:tcBorders>
            <w:noWrap w:val="0"/>
            <w:vAlign w:val="center"/>
          </w:tcPr>
          <w:p w14:paraId="3E5030A7">
            <w:pPr>
              <w:keepNext w:val="0"/>
              <w:keepLines w:val="0"/>
              <w:pageBreakBefore w:val="0"/>
              <w:widowControl w:val="0"/>
              <w:tabs>
                <w:tab w:val="left" w:pos="180"/>
                <w:tab w:val="left" w:pos="1620"/>
              </w:tabs>
              <w:kinsoku/>
              <w:wordWrap/>
              <w:overflowPunct/>
              <w:topLinePunct w:val="0"/>
              <w:autoSpaceDE/>
              <w:autoSpaceDN/>
              <w:bidi w:val="0"/>
              <w:adjustRightInd/>
              <w:snapToGrid/>
              <w:spacing w:before="168" w:beforeLines="70"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标的名称</w:t>
            </w:r>
          </w:p>
        </w:tc>
        <w:tc>
          <w:tcPr>
            <w:tcW w:w="720" w:type="dxa"/>
            <w:gridSpan w:val="2"/>
            <w:tcBorders>
              <w:top w:val="single" w:color="000000" w:sz="2" w:space="0"/>
              <w:left w:val="single" w:color="000000" w:sz="2" w:space="0"/>
              <w:bottom w:val="single" w:color="000000" w:sz="2" w:space="0"/>
              <w:right w:val="single" w:color="000000" w:sz="2" w:space="0"/>
            </w:tcBorders>
            <w:noWrap w:val="0"/>
            <w:vAlign w:val="center"/>
          </w:tcPr>
          <w:p w14:paraId="318FAB35">
            <w:pPr>
              <w:keepNext w:val="0"/>
              <w:keepLines w:val="0"/>
              <w:pageBreakBefore w:val="0"/>
              <w:widowControl w:val="0"/>
              <w:tabs>
                <w:tab w:val="left" w:pos="180"/>
                <w:tab w:val="left" w:pos="1620"/>
              </w:tabs>
              <w:kinsoku/>
              <w:wordWrap/>
              <w:overflowPunct/>
              <w:topLinePunct w:val="0"/>
              <w:autoSpaceDE/>
              <w:autoSpaceDN/>
              <w:bidi w:val="0"/>
              <w:adjustRightInd/>
              <w:snapToGrid/>
              <w:spacing w:before="168" w:beforeLines="70"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657" w:type="dxa"/>
            <w:tcBorders>
              <w:top w:val="single" w:color="000000" w:sz="2" w:space="0"/>
              <w:left w:val="single" w:color="000000" w:sz="2" w:space="0"/>
              <w:bottom w:val="single" w:color="000000" w:sz="2" w:space="0"/>
              <w:right w:val="single" w:color="000000" w:sz="2" w:space="0"/>
            </w:tcBorders>
            <w:noWrap w:val="0"/>
            <w:vAlign w:val="center"/>
          </w:tcPr>
          <w:p w14:paraId="1A148070">
            <w:pPr>
              <w:keepNext w:val="0"/>
              <w:keepLines w:val="0"/>
              <w:pageBreakBefore w:val="0"/>
              <w:widowControl w:val="0"/>
              <w:tabs>
                <w:tab w:val="left" w:pos="180"/>
                <w:tab w:val="left" w:pos="1620"/>
              </w:tabs>
              <w:kinsoku/>
              <w:wordWrap/>
              <w:overflowPunct/>
              <w:topLinePunct w:val="0"/>
              <w:autoSpaceDE/>
              <w:autoSpaceDN/>
              <w:bidi w:val="0"/>
              <w:adjustRightInd/>
              <w:snapToGrid/>
              <w:spacing w:before="168" w:beforeLines="70"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单位</w:t>
            </w:r>
          </w:p>
        </w:tc>
        <w:tc>
          <w:tcPr>
            <w:tcW w:w="5917" w:type="dxa"/>
            <w:tcBorders>
              <w:top w:val="single" w:color="000000" w:sz="2" w:space="0"/>
              <w:left w:val="single" w:color="000000" w:sz="2" w:space="0"/>
              <w:bottom w:val="single" w:color="000000" w:sz="2" w:space="0"/>
              <w:right w:val="single" w:color="000000" w:sz="2" w:space="0"/>
            </w:tcBorders>
            <w:noWrap w:val="0"/>
            <w:vAlign w:val="center"/>
          </w:tcPr>
          <w:p w14:paraId="6BBE1C24">
            <w:pPr>
              <w:keepNext w:val="0"/>
              <w:keepLines w:val="0"/>
              <w:pageBreakBefore w:val="0"/>
              <w:widowControl w:val="0"/>
              <w:tabs>
                <w:tab w:val="left" w:pos="180"/>
                <w:tab w:val="left" w:pos="1620"/>
              </w:tabs>
              <w:kinsoku/>
              <w:wordWrap/>
              <w:overflowPunct/>
              <w:topLinePunct w:val="0"/>
              <w:autoSpaceDE/>
              <w:autoSpaceDN/>
              <w:bidi w:val="0"/>
              <w:adjustRightInd/>
              <w:snapToGrid/>
              <w:spacing w:before="168" w:beforeLines="70" w:line="400" w:lineRule="exact"/>
              <w:jc w:val="center"/>
              <w:textAlignment w:val="auto"/>
              <w:rPr>
                <w:rFonts w:hint="eastAsia" w:ascii="宋体" w:hAnsi="宋体" w:cs="宋体"/>
                <w:color w:val="auto"/>
                <w:szCs w:val="21"/>
                <w:highlight w:val="none"/>
              </w:rPr>
            </w:pPr>
            <w:r>
              <w:rPr>
                <w:rFonts w:hint="eastAsia" w:ascii="宋体" w:hAnsi="宋体" w:cs="宋体"/>
                <w:b/>
                <w:bCs/>
                <w:color w:val="auto"/>
                <w:szCs w:val="21"/>
                <w:highlight w:val="none"/>
              </w:rPr>
              <w:t>▲</w:t>
            </w:r>
            <w:r>
              <w:rPr>
                <w:rFonts w:hint="eastAsia" w:ascii="宋体" w:hAnsi="宋体" w:cs="宋体"/>
                <w:color w:val="auto"/>
                <w:szCs w:val="21"/>
                <w:highlight w:val="none"/>
              </w:rPr>
              <w:t>项目要求及技术需求</w:t>
            </w:r>
          </w:p>
        </w:tc>
      </w:tr>
      <w:tr w14:paraId="6EB24C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91" w:type="dxa"/>
            <w:bottom w:w="0" w:type="dxa"/>
            <w:right w:w="91" w:type="dxa"/>
          </w:tblCellMar>
        </w:tblPrEx>
        <w:trPr>
          <w:trHeight w:val="90" w:hRule="atLeast"/>
          <w:jc w:val="center"/>
        </w:trPr>
        <w:tc>
          <w:tcPr>
            <w:tcW w:w="610" w:type="dxa"/>
            <w:tcBorders>
              <w:top w:val="single" w:color="000000" w:sz="2" w:space="0"/>
              <w:left w:val="single" w:color="000000" w:sz="2" w:space="0"/>
              <w:bottom w:val="single" w:color="000000" w:sz="2" w:space="0"/>
              <w:right w:val="single" w:color="000000" w:sz="2" w:space="0"/>
            </w:tcBorders>
            <w:noWrap w:val="0"/>
            <w:vAlign w:val="center"/>
          </w:tcPr>
          <w:p w14:paraId="1691542C">
            <w:pPr>
              <w:keepNext w:val="0"/>
              <w:keepLines w:val="0"/>
              <w:pageBreakBefore w:val="0"/>
              <w:widowControl w:val="0"/>
              <w:tabs>
                <w:tab w:val="left" w:pos="180"/>
                <w:tab w:val="left" w:pos="1620"/>
              </w:tabs>
              <w:kinsoku/>
              <w:wordWrap/>
              <w:overflowPunct/>
              <w:topLinePunct w:val="0"/>
              <w:autoSpaceDE/>
              <w:autoSpaceDN/>
              <w:bidi w:val="0"/>
              <w:adjustRightInd/>
              <w:snapToGrid/>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w:t>
            </w:r>
          </w:p>
        </w:tc>
        <w:tc>
          <w:tcPr>
            <w:tcW w:w="1167" w:type="dxa"/>
            <w:tcBorders>
              <w:top w:val="single" w:color="000000" w:sz="2" w:space="0"/>
              <w:left w:val="single" w:color="000000" w:sz="2" w:space="0"/>
              <w:bottom w:val="single" w:color="000000" w:sz="2" w:space="0"/>
              <w:right w:val="single" w:color="000000" w:sz="2" w:space="0"/>
            </w:tcBorders>
            <w:noWrap w:val="0"/>
            <w:vAlign w:val="center"/>
          </w:tcPr>
          <w:p w14:paraId="248D536E">
            <w:pPr>
              <w:keepNext w:val="0"/>
              <w:keepLines w:val="0"/>
              <w:pageBreakBefore w:val="0"/>
              <w:widowControl w:val="0"/>
              <w:tabs>
                <w:tab w:val="left" w:pos="180"/>
                <w:tab w:val="left" w:pos="1620"/>
              </w:tabs>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Cs w:val="21"/>
                <w:highlight w:val="none"/>
                <w:lang w:eastAsia="zh-CN"/>
              </w:rPr>
            </w:pPr>
            <w:r>
              <w:rPr>
                <w:rFonts w:hint="eastAsia"/>
                <w:bCs/>
                <w:color w:val="auto"/>
                <w:szCs w:val="21"/>
                <w:highlight w:val="none"/>
                <w:lang w:eastAsia="zh-CN"/>
              </w:rPr>
              <w:t>广西壮族自治区妇幼保健院厢竹院区及广西儿童医疗中心医疗废物收集清运处置服务采购</w:t>
            </w:r>
          </w:p>
        </w:tc>
        <w:tc>
          <w:tcPr>
            <w:tcW w:w="720" w:type="dxa"/>
            <w:gridSpan w:val="2"/>
            <w:tcBorders>
              <w:top w:val="single" w:color="000000" w:sz="2" w:space="0"/>
              <w:left w:val="single" w:color="000000" w:sz="2" w:space="0"/>
              <w:bottom w:val="single" w:color="000000" w:sz="2" w:space="0"/>
              <w:right w:val="single" w:color="000000" w:sz="2" w:space="0"/>
            </w:tcBorders>
            <w:noWrap w:val="0"/>
            <w:vAlign w:val="center"/>
          </w:tcPr>
          <w:p w14:paraId="0AED4A52">
            <w:pPr>
              <w:keepNext w:val="0"/>
              <w:keepLines w:val="0"/>
              <w:pageBreakBefore w:val="0"/>
              <w:widowControl w:val="0"/>
              <w:tabs>
                <w:tab w:val="left" w:pos="180"/>
                <w:tab w:val="left" w:pos="1620"/>
              </w:tabs>
              <w:kinsoku/>
              <w:wordWrap/>
              <w:overflowPunct/>
              <w:topLinePunct w:val="0"/>
              <w:autoSpaceDE/>
              <w:autoSpaceDN/>
              <w:bidi w:val="0"/>
              <w:adjustRightInd/>
              <w:snapToGrid/>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w:t>
            </w:r>
          </w:p>
        </w:tc>
        <w:tc>
          <w:tcPr>
            <w:tcW w:w="657" w:type="dxa"/>
            <w:tcBorders>
              <w:top w:val="single" w:color="000000" w:sz="2" w:space="0"/>
              <w:left w:val="single" w:color="000000" w:sz="2" w:space="0"/>
              <w:bottom w:val="single" w:color="000000" w:sz="2" w:space="0"/>
              <w:right w:val="single" w:color="000000" w:sz="2" w:space="0"/>
            </w:tcBorders>
            <w:noWrap w:val="0"/>
            <w:vAlign w:val="center"/>
          </w:tcPr>
          <w:p w14:paraId="79E137A0">
            <w:pPr>
              <w:keepNext w:val="0"/>
              <w:keepLines w:val="0"/>
              <w:pageBreakBefore w:val="0"/>
              <w:widowControl w:val="0"/>
              <w:tabs>
                <w:tab w:val="left" w:pos="180"/>
                <w:tab w:val="left" w:pos="1620"/>
              </w:tabs>
              <w:kinsoku/>
              <w:wordWrap/>
              <w:overflowPunct/>
              <w:topLinePunct w:val="0"/>
              <w:autoSpaceDE/>
              <w:autoSpaceDN/>
              <w:bidi w:val="0"/>
              <w:adjustRightInd/>
              <w:snapToGrid/>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项</w:t>
            </w:r>
          </w:p>
        </w:tc>
        <w:tc>
          <w:tcPr>
            <w:tcW w:w="5917" w:type="dxa"/>
            <w:tcBorders>
              <w:top w:val="single" w:color="000000" w:sz="2" w:space="0"/>
              <w:left w:val="single" w:color="000000" w:sz="2" w:space="0"/>
              <w:bottom w:val="single" w:color="000000" w:sz="2" w:space="0"/>
              <w:right w:val="single" w:color="000000" w:sz="2" w:space="0"/>
            </w:tcBorders>
            <w:noWrap w:val="0"/>
            <w:vAlign w:val="center"/>
          </w:tcPr>
          <w:p w14:paraId="38A7C00C">
            <w:pPr>
              <w:keepNext w:val="0"/>
              <w:keepLines w:val="0"/>
              <w:pageBreakBefore w:val="0"/>
              <w:widowControl/>
              <w:numPr>
                <w:ilvl w:val="0"/>
                <w:numId w:val="0"/>
              </w:numPr>
              <w:kinsoku/>
              <w:wordWrap/>
              <w:overflowPunct/>
              <w:topLinePunct w:val="0"/>
              <w:autoSpaceDE/>
              <w:autoSpaceDN/>
              <w:bidi w:val="0"/>
              <w:adjustRightInd w:val="0"/>
              <w:snapToGrid w:val="0"/>
              <w:spacing w:line="420" w:lineRule="exact"/>
              <w:ind w:left="0" w:leftChars="0"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kern w:val="2"/>
                <w:sz w:val="21"/>
                <w:szCs w:val="21"/>
                <w:highlight w:val="none"/>
                <w:lang w:val="en-US" w:eastAsia="zh-CN" w:bidi="ar-SA"/>
              </w:rPr>
              <w:t>（一）</w:t>
            </w:r>
            <w:r>
              <w:rPr>
                <w:rFonts w:hint="eastAsia" w:ascii="宋体" w:hAnsi="宋体" w:eastAsia="宋体" w:cs="宋体"/>
                <w:b/>
                <w:bCs/>
                <w:color w:val="auto"/>
                <w:sz w:val="21"/>
                <w:szCs w:val="21"/>
                <w:highlight w:val="none"/>
              </w:rPr>
              <w:t>服务地点及处置物：</w:t>
            </w:r>
          </w:p>
          <w:p w14:paraId="02C19076">
            <w:pPr>
              <w:keepNext w:val="0"/>
              <w:keepLines w:val="0"/>
              <w:pageBreakBefore w:val="0"/>
              <w:widowControl/>
              <w:kinsoku/>
              <w:wordWrap/>
              <w:overflowPunct/>
              <w:topLinePunct w:val="0"/>
              <w:autoSpaceDE/>
              <w:autoSpaceDN/>
              <w:bidi w:val="0"/>
              <w:adjustRightInd w:val="0"/>
              <w:snapToGrid w:val="0"/>
              <w:spacing w:line="420" w:lineRule="exact"/>
              <w:ind w:left="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广西壮族自治区</w:t>
            </w:r>
            <w:r>
              <w:rPr>
                <w:rFonts w:hint="eastAsia" w:ascii="宋体" w:hAnsi="宋体" w:eastAsia="宋体" w:cs="宋体"/>
                <w:color w:val="auto"/>
                <w:sz w:val="21"/>
                <w:szCs w:val="21"/>
                <w:highlight w:val="none"/>
                <w:lang w:val="en-US" w:eastAsia="zh-CN"/>
              </w:rPr>
              <w:t>妇幼保健院厢竹院区</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广西儿童医疗中心</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广西壮族自治区</w:t>
            </w:r>
            <w:r>
              <w:rPr>
                <w:rFonts w:hint="eastAsia" w:ascii="宋体" w:hAnsi="宋体" w:eastAsia="宋体" w:cs="宋体"/>
                <w:color w:val="auto"/>
                <w:sz w:val="21"/>
                <w:szCs w:val="21"/>
                <w:highlight w:val="none"/>
                <w:lang w:val="en-US" w:eastAsia="zh-CN"/>
              </w:rPr>
              <w:t>妇幼保健院</w:t>
            </w:r>
            <w:r>
              <w:rPr>
                <w:rFonts w:hint="eastAsia" w:ascii="宋体" w:hAnsi="宋体" w:cs="宋体"/>
                <w:color w:val="auto"/>
                <w:sz w:val="21"/>
                <w:szCs w:val="21"/>
                <w:highlight w:val="none"/>
                <w:lang w:val="en-US" w:eastAsia="zh-CN"/>
              </w:rPr>
              <w:t>龙腾社区卫生服务中心</w:t>
            </w:r>
            <w:r>
              <w:rPr>
                <w:rFonts w:hint="default" w:ascii="宋体" w:hAnsi="宋体" w:cs="宋体"/>
                <w:color w:val="auto"/>
                <w:sz w:val="21"/>
                <w:szCs w:val="21"/>
                <w:highlight w:val="none"/>
                <w:lang w:eastAsia="zh-CN"/>
              </w:rPr>
              <w:t>、广西壮族自治区妇幼保健院妇保科(西乡塘区婚姻登记处)</w:t>
            </w:r>
            <w:r>
              <w:rPr>
                <w:rFonts w:hint="eastAsia" w:ascii="宋体" w:hAnsi="宋体" w:eastAsia="宋体" w:cs="宋体"/>
                <w:color w:val="auto"/>
                <w:sz w:val="21"/>
                <w:szCs w:val="21"/>
                <w:highlight w:val="none"/>
              </w:rPr>
              <w:t>。</w:t>
            </w:r>
          </w:p>
          <w:p w14:paraId="36171F84">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Cs w:val="21"/>
                <w:highlight w:val="none"/>
                <w:lang w:val="en-US" w:eastAsia="zh-CN"/>
              </w:rPr>
              <w:t>2、</w:t>
            </w:r>
            <w:r>
              <w:rPr>
                <w:rFonts w:hint="eastAsia" w:ascii="宋体" w:hAnsi="宋体" w:eastAsia="宋体" w:cs="宋体"/>
                <w:color w:val="auto"/>
                <w:sz w:val="21"/>
                <w:szCs w:val="21"/>
                <w:highlight w:val="none"/>
              </w:rPr>
              <w:t>采购人所产生的医疗废物，由供应商负责装卸、运输、鉴别、处置（或由供应商装卸、运输交由具备处置资质的第三方处置）及周转箱清洗等服务，具体包括:感染性（841-001-01）、损伤性（841-002-01）、病理性（841-003-01）、化学性（841-004-01）、药物性（841-005-01）等</w:t>
            </w:r>
            <w:r>
              <w:rPr>
                <w:rFonts w:hint="eastAsia" w:ascii="宋体" w:hAnsi="宋体" w:eastAsia="宋体" w:cs="宋体"/>
                <w:color w:val="auto"/>
                <w:sz w:val="21"/>
                <w:szCs w:val="21"/>
                <w:highlight w:val="none"/>
                <w:lang w:eastAsia="zh-CN"/>
              </w:rPr>
              <w:t>。</w:t>
            </w:r>
          </w:p>
          <w:p w14:paraId="27D5F92D">
            <w:pPr>
              <w:keepNext w:val="0"/>
              <w:keepLines w:val="0"/>
              <w:pageBreakBefore w:val="0"/>
              <w:widowControl/>
              <w:numPr>
                <w:ilvl w:val="0"/>
                <w:numId w:val="0"/>
              </w:numPr>
              <w:kinsoku/>
              <w:wordWrap/>
              <w:overflowPunct/>
              <w:topLinePunct w:val="0"/>
              <w:autoSpaceDE/>
              <w:autoSpaceDN/>
              <w:bidi w:val="0"/>
              <w:adjustRightInd w:val="0"/>
              <w:snapToGrid w:val="0"/>
              <w:spacing w:line="420" w:lineRule="exact"/>
              <w:ind w:left="0" w:leftChars="0"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kern w:val="2"/>
                <w:sz w:val="21"/>
                <w:szCs w:val="21"/>
                <w:highlight w:val="none"/>
                <w:lang w:val="en-US" w:eastAsia="zh-CN" w:bidi="ar-SA"/>
              </w:rPr>
              <w:t>（二）</w:t>
            </w:r>
            <w:r>
              <w:rPr>
                <w:rFonts w:hint="eastAsia" w:ascii="宋体" w:hAnsi="宋体" w:eastAsia="宋体" w:cs="宋体"/>
                <w:b/>
                <w:bCs/>
                <w:color w:val="auto"/>
                <w:sz w:val="21"/>
                <w:szCs w:val="21"/>
                <w:highlight w:val="none"/>
              </w:rPr>
              <w:t>服务要求：</w:t>
            </w:r>
          </w:p>
          <w:p w14:paraId="5479849D">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1、投标人负责收集、运输、处置采购单位产生的医疗废物，实行有偿上门服务。</w:t>
            </w:r>
          </w:p>
          <w:p w14:paraId="100C81B1">
            <w:pPr>
              <w:keepNext w:val="0"/>
              <w:keepLines w:val="0"/>
              <w:pageBreakBefore w:val="0"/>
              <w:widowControl/>
              <w:kinsoku/>
              <w:wordWrap/>
              <w:overflowPunct/>
              <w:topLinePunct w:val="0"/>
              <w:autoSpaceDE/>
              <w:autoSpaceDN/>
              <w:bidi w:val="0"/>
              <w:adjustRightInd w:val="0"/>
              <w:snapToGrid w:val="0"/>
              <w:spacing w:line="420" w:lineRule="exact"/>
              <w:ind w:left="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2、投标人医疗废物转运车按医疗废物转运车技术规范要求配置；处置设施按医疗废物集中处置技术规范建设、运行。</w:t>
            </w:r>
          </w:p>
          <w:p w14:paraId="2F3D6B17">
            <w:pPr>
              <w:keepNext w:val="0"/>
              <w:keepLines w:val="0"/>
              <w:pageBreakBefore w:val="0"/>
              <w:widowControl/>
              <w:kinsoku/>
              <w:wordWrap/>
              <w:overflowPunct/>
              <w:topLinePunct w:val="0"/>
              <w:autoSpaceDE/>
              <w:autoSpaceDN/>
              <w:bidi w:val="0"/>
              <w:adjustRightInd w:val="0"/>
              <w:snapToGrid w:val="0"/>
              <w:spacing w:line="420" w:lineRule="exact"/>
              <w:ind w:left="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3、投标人仅负责收运采购单位产生的感染性废物、损伤性废物、病理性废物及少量的化学性废物和药物性废物。</w:t>
            </w:r>
          </w:p>
          <w:p w14:paraId="22ACAF63">
            <w:pPr>
              <w:keepNext w:val="0"/>
              <w:keepLines w:val="0"/>
              <w:pageBreakBefore w:val="0"/>
              <w:widowControl/>
              <w:kinsoku/>
              <w:wordWrap/>
              <w:overflowPunct/>
              <w:topLinePunct w:val="0"/>
              <w:autoSpaceDE/>
              <w:autoSpaceDN/>
              <w:bidi w:val="0"/>
              <w:adjustRightInd w:val="0"/>
              <w:snapToGrid w:val="0"/>
              <w:spacing w:line="420" w:lineRule="exact"/>
              <w:ind w:left="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4、正常情况下，投标人按每天一次的收运时间</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固定时间点</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将采购单位的医疗废物收运处置。如无特殊原因，投标人不能按时收运，</w:t>
            </w:r>
            <w:r>
              <w:rPr>
                <w:rFonts w:hint="eastAsia" w:ascii="宋体" w:hAnsi="宋体" w:cs="宋体"/>
                <w:color w:val="auto"/>
                <w:sz w:val="21"/>
                <w:szCs w:val="21"/>
                <w:highlight w:val="none"/>
                <w:lang w:val="en-US" w:eastAsia="zh-CN"/>
              </w:rPr>
              <w:t>每</w:t>
            </w:r>
            <w:r>
              <w:rPr>
                <w:rFonts w:hint="eastAsia" w:ascii="宋体" w:hAnsi="宋体" w:eastAsia="宋体" w:cs="宋体"/>
                <w:color w:val="auto"/>
                <w:sz w:val="21"/>
                <w:szCs w:val="21"/>
                <w:highlight w:val="none"/>
              </w:rPr>
              <w:t>逾期一天支付</w:t>
            </w:r>
            <w:r>
              <w:rPr>
                <w:rFonts w:hint="eastAsia" w:ascii="宋体" w:hAnsi="宋体" w:cs="宋体"/>
                <w:color w:val="auto"/>
                <w:szCs w:val="21"/>
                <w:highlight w:val="none"/>
                <w:lang w:val="en-US" w:eastAsia="zh-CN"/>
              </w:rPr>
              <w:t>500元/天</w:t>
            </w:r>
            <w:r>
              <w:rPr>
                <w:rFonts w:hint="eastAsia" w:ascii="宋体" w:hAnsi="宋体" w:eastAsia="宋体" w:cs="宋体"/>
                <w:color w:val="auto"/>
                <w:sz w:val="21"/>
                <w:szCs w:val="21"/>
                <w:highlight w:val="none"/>
              </w:rPr>
              <w:t>的违约金。</w:t>
            </w:r>
          </w:p>
          <w:p w14:paraId="737FF93C">
            <w:pPr>
              <w:keepNext w:val="0"/>
              <w:keepLines w:val="0"/>
              <w:pageBreakBefore w:val="0"/>
              <w:widowControl/>
              <w:kinsoku/>
              <w:wordWrap/>
              <w:overflowPunct/>
              <w:topLinePunct w:val="0"/>
              <w:autoSpaceDE/>
              <w:autoSpaceDN/>
              <w:bidi w:val="0"/>
              <w:adjustRightInd w:val="0"/>
              <w:snapToGrid w:val="0"/>
              <w:spacing w:line="420" w:lineRule="exact"/>
              <w:ind w:left="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5、投标人收集运输医疗废物后，必须将医疗废物周转箱经过严格清洗消毒符合要求后在规定时间内送还采购单位使用。服务期内，周转箱在运输过程中出现损坏</w:t>
            </w:r>
            <w:r>
              <w:rPr>
                <w:rFonts w:hint="eastAsia" w:ascii="宋体" w:hAnsi="宋体" w:eastAsia="宋体" w:cs="宋体"/>
                <w:color w:val="auto"/>
                <w:sz w:val="21"/>
                <w:szCs w:val="21"/>
                <w:highlight w:val="none"/>
                <w:lang w:val="en-US" w:eastAsia="zh-CN"/>
              </w:rPr>
              <w:t>或数量不足</w:t>
            </w:r>
            <w:r>
              <w:rPr>
                <w:rFonts w:hint="eastAsia" w:ascii="宋体" w:hAnsi="宋体" w:eastAsia="宋体" w:cs="宋体"/>
                <w:color w:val="auto"/>
                <w:sz w:val="21"/>
                <w:szCs w:val="21"/>
                <w:highlight w:val="none"/>
              </w:rPr>
              <w:t>，由投标人负责补充。</w:t>
            </w:r>
          </w:p>
          <w:p w14:paraId="36866B7E">
            <w:pPr>
              <w:keepNext w:val="0"/>
              <w:keepLines w:val="0"/>
              <w:pageBreakBefore w:val="0"/>
              <w:widowControl/>
              <w:kinsoku/>
              <w:wordWrap/>
              <w:overflowPunct/>
              <w:topLinePunct w:val="0"/>
              <w:autoSpaceDE/>
              <w:autoSpaceDN/>
              <w:bidi w:val="0"/>
              <w:adjustRightInd w:val="0"/>
              <w:snapToGrid w:val="0"/>
              <w:spacing w:line="420" w:lineRule="exact"/>
              <w:ind w:left="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6、若投标人发现采购单位不使用或使用不达到国家标准专用包装袋的，投标人应及时向采购单位提出。</w:t>
            </w:r>
          </w:p>
          <w:p w14:paraId="29E11FEA">
            <w:pPr>
              <w:keepNext w:val="0"/>
              <w:keepLines w:val="0"/>
              <w:pageBreakBefore w:val="0"/>
              <w:widowControl/>
              <w:kinsoku/>
              <w:wordWrap/>
              <w:overflowPunct/>
              <w:topLinePunct w:val="0"/>
              <w:autoSpaceDE/>
              <w:autoSpaceDN/>
              <w:bidi w:val="0"/>
              <w:adjustRightInd w:val="0"/>
              <w:snapToGrid w:val="0"/>
              <w:spacing w:line="420" w:lineRule="exact"/>
              <w:ind w:left="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7、若采购单位将生活垃圾、建筑垃圾及装修垃圾等混入医疗废物中的，投标人将按《广西壮族自治区医疗废物管理办法》第九条视为医疗废物处理。</w:t>
            </w:r>
          </w:p>
          <w:p w14:paraId="37FCCC83">
            <w:pPr>
              <w:keepNext w:val="0"/>
              <w:keepLines w:val="0"/>
              <w:pageBreakBefore w:val="0"/>
              <w:widowControl/>
              <w:kinsoku/>
              <w:wordWrap/>
              <w:overflowPunct/>
              <w:topLinePunct w:val="0"/>
              <w:autoSpaceDE/>
              <w:autoSpaceDN/>
              <w:bidi w:val="0"/>
              <w:adjustRightInd w:val="0"/>
              <w:snapToGrid w:val="0"/>
              <w:spacing w:line="420" w:lineRule="exact"/>
              <w:ind w:left="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8、投标人按照《医疗废物管理条例》、《医疗废物集中处置技术规范》的规定向采购人提供及时、安全、环保的收运和处置服务。</w:t>
            </w:r>
          </w:p>
          <w:p w14:paraId="6BE9C568">
            <w:pPr>
              <w:keepNext w:val="0"/>
              <w:keepLines w:val="0"/>
              <w:pageBreakBefore w:val="0"/>
              <w:widowControl/>
              <w:kinsoku/>
              <w:wordWrap/>
              <w:overflowPunct/>
              <w:topLinePunct w:val="0"/>
              <w:autoSpaceDE/>
              <w:autoSpaceDN/>
              <w:bidi w:val="0"/>
              <w:adjustRightInd w:val="0"/>
              <w:snapToGrid w:val="0"/>
              <w:spacing w:line="420" w:lineRule="exact"/>
              <w:ind w:left="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投标人收运、处置等行为应当符合《医疗废物集中处置技术规范》等相关法规标准要求，使用有明显医废标识的专用车辆，车辆符合《医疗废物转运车技术要求》，防止医疗废物丢失、泄露。投标人在运输、处置医疗废物过程中应确保做到安全、有序等相关安全措施，由于违章作业及相关行为造成自身或第三方人员伤亡或财产损失等安全事故，造成的不良后果、环境污染、事故等，由中标人负全部责任，采购人不承担任何责任。</w:t>
            </w:r>
          </w:p>
          <w:p w14:paraId="06D9203E">
            <w:pPr>
              <w:keepNext w:val="0"/>
              <w:keepLines w:val="0"/>
              <w:pageBreakBefore w:val="0"/>
              <w:widowControl/>
              <w:kinsoku/>
              <w:wordWrap/>
              <w:overflowPunct/>
              <w:topLinePunct w:val="0"/>
              <w:autoSpaceDE/>
              <w:autoSpaceDN/>
              <w:bidi w:val="0"/>
              <w:adjustRightInd w:val="0"/>
              <w:snapToGrid w:val="0"/>
              <w:spacing w:line="420" w:lineRule="exact"/>
              <w:ind w:left="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10、投标人若因突发事件（包括但不限于遭受第三方阻扰）不能及时清运医疗废物时，应在出现突发事件后 2 个小时内电话通知采购人，或在上班时间以书面形式传真和函件送达采购人。投标人应于突发事件发生后 48 小时内启动《突发事件应急响应预案》并恢复清运采购人的医疗废物。</w:t>
            </w:r>
          </w:p>
          <w:p w14:paraId="25C0B916">
            <w:pPr>
              <w:keepNext w:val="0"/>
              <w:keepLines w:val="0"/>
              <w:pageBreakBefore w:val="0"/>
              <w:widowControl w:val="0"/>
              <w:tabs>
                <w:tab w:val="left" w:pos="180"/>
                <w:tab w:val="left" w:pos="1620"/>
              </w:tabs>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11、投标人须有高温灭菌处置工艺，高压蒸汽灭菌法是在密封的高压灭菌器中通入130-190℃的蒸汽，使内部产生100-500kPa的压强，废物在高压灭菌器中停留30-90分钟，得到充分穿透，确保病原有机体被破坏。高温蒸汽灭菌法是一种简便可行，经济可靠，快速安全的灭菌方法，经过灭菌处置后的医疗废物可以作为和普通生活垃圾一样进行卫生填埋。</w:t>
            </w:r>
          </w:p>
        </w:tc>
      </w:tr>
      <w:tr w14:paraId="2D9494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91" w:type="dxa"/>
            <w:bottom w:w="0" w:type="dxa"/>
            <w:right w:w="91" w:type="dxa"/>
          </w:tblCellMar>
        </w:tblPrEx>
        <w:trPr>
          <w:trHeight w:val="567" w:hRule="atLeast"/>
          <w:jc w:val="center"/>
        </w:trPr>
        <w:tc>
          <w:tcPr>
            <w:tcW w:w="9071" w:type="dxa"/>
            <w:gridSpan w:val="6"/>
            <w:tcBorders>
              <w:top w:val="single" w:color="000000" w:sz="2" w:space="0"/>
              <w:left w:val="single" w:color="000000" w:sz="2" w:space="0"/>
              <w:bottom w:val="single" w:color="000000" w:sz="2" w:space="0"/>
              <w:right w:val="single" w:color="000000" w:sz="2" w:space="0"/>
            </w:tcBorders>
            <w:noWrap w:val="0"/>
            <w:vAlign w:val="center"/>
          </w:tcPr>
          <w:p w14:paraId="5E4F3A8B">
            <w:pPr>
              <w:keepNext w:val="0"/>
              <w:keepLines w:val="0"/>
              <w:pageBreakBefore w:val="0"/>
              <w:widowControl w:val="0"/>
              <w:tabs>
                <w:tab w:val="left" w:pos="180"/>
                <w:tab w:val="left" w:pos="1620"/>
              </w:tabs>
              <w:kinsoku/>
              <w:wordWrap/>
              <w:overflowPunct/>
              <w:topLinePunct w:val="0"/>
              <w:autoSpaceDE/>
              <w:autoSpaceDN/>
              <w:bidi w:val="0"/>
              <w:adjustRightInd/>
              <w:snapToGrid/>
              <w:spacing w:before="168" w:beforeLines="70" w:line="400" w:lineRule="exact"/>
              <w:jc w:val="left"/>
              <w:textAlignment w:val="auto"/>
              <w:rPr>
                <w:rFonts w:hint="eastAsia" w:ascii="Times New Roman" w:hAnsi="Times New Roman" w:eastAsia="宋体" w:cs="Times New Roman"/>
                <w:color w:val="auto"/>
                <w:kern w:val="2"/>
                <w:sz w:val="21"/>
                <w:szCs w:val="24"/>
                <w:highlight w:val="none"/>
                <w:lang w:val="en-US" w:eastAsia="zh-CN" w:bidi="ar-SA"/>
              </w:rPr>
            </w:pPr>
            <w:r>
              <w:rPr>
                <w:rFonts w:hint="eastAsia" w:ascii="宋体" w:hAnsi="宋体" w:cs="宋体"/>
                <w:b/>
                <w:bCs/>
                <w:color w:val="auto"/>
                <w:szCs w:val="21"/>
                <w:highlight w:val="none"/>
              </w:rPr>
              <w:t>二、商务要求</w:t>
            </w:r>
          </w:p>
        </w:tc>
      </w:tr>
      <w:tr w14:paraId="716A5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0" w:hRule="atLeast"/>
          <w:jc w:val="center"/>
        </w:trPr>
        <w:tc>
          <w:tcPr>
            <w:tcW w:w="1899" w:type="dxa"/>
            <w:gridSpan w:val="3"/>
            <w:tcBorders>
              <w:top w:val="single" w:color="auto" w:sz="4" w:space="0"/>
              <w:left w:val="single" w:color="auto" w:sz="4" w:space="0"/>
              <w:bottom w:val="single" w:color="auto" w:sz="4" w:space="0"/>
              <w:right w:val="single" w:color="auto" w:sz="4" w:space="0"/>
            </w:tcBorders>
            <w:noWrap w:val="0"/>
            <w:tcMar>
              <w:top w:w="13" w:type="dxa"/>
              <w:left w:w="57" w:type="dxa"/>
              <w:bottom w:w="0" w:type="dxa"/>
              <w:right w:w="57" w:type="dxa"/>
            </w:tcMar>
            <w:vAlign w:val="center"/>
          </w:tcPr>
          <w:p w14:paraId="445C4110">
            <w:pPr>
              <w:tabs>
                <w:tab w:val="left" w:pos="180"/>
                <w:tab w:val="left" w:pos="1620"/>
              </w:tabs>
              <w:spacing w:line="380" w:lineRule="exact"/>
              <w:jc w:val="center"/>
              <w:rPr>
                <w:rFonts w:hint="eastAsia" w:eastAsia="宋体"/>
                <w:bCs/>
                <w:color w:val="auto"/>
                <w:sz w:val="21"/>
                <w:szCs w:val="21"/>
                <w:highlight w:val="none"/>
                <w:lang w:eastAsia="zh-CN"/>
              </w:rPr>
            </w:pPr>
            <w:r>
              <w:rPr>
                <w:rFonts w:hint="eastAsia" w:ascii="宋体" w:hAnsi="宋体" w:cs="宋体"/>
                <w:color w:val="auto"/>
                <w:szCs w:val="21"/>
                <w:highlight w:val="none"/>
              </w:rPr>
              <w:t>▲服务</w:t>
            </w:r>
            <w:r>
              <w:rPr>
                <w:rFonts w:hint="eastAsia" w:ascii="宋体" w:hAnsi="宋体" w:cs="宋体"/>
                <w:color w:val="auto"/>
                <w:szCs w:val="21"/>
                <w:highlight w:val="none"/>
                <w:lang w:eastAsia="zh-CN"/>
              </w:rPr>
              <w:t>期限及地点</w:t>
            </w:r>
          </w:p>
        </w:tc>
        <w:tc>
          <w:tcPr>
            <w:tcW w:w="7172" w:type="dxa"/>
            <w:gridSpan w:val="3"/>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14:paraId="392A7334">
            <w:pPr>
              <w:keepNext w:val="0"/>
              <w:keepLines w:val="0"/>
              <w:pageBreakBefore w:val="0"/>
              <w:tabs>
                <w:tab w:val="left" w:pos="180"/>
                <w:tab w:val="left" w:pos="1620"/>
              </w:tabs>
              <w:kinsoku/>
              <w:wordWrap/>
              <w:overflowPunct/>
              <w:topLinePunct w:val="0"/>
              <w:autoSpaceDE/>
              <w:autoSpaceDN/>
              <w:bidi w:val="0"/>
              <w:adjustRightInd/>
              <w:snapToGrid/>
              <w:spacing w:line="380" w:lineRule="exact"/>
              <w:jc w:val="left"/>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服务期限：自签订合同之日起</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年。</w:t>
            </w:r>
          </w:p>
          <w:p w14:paraId="6564C71B">
            <w:pPr>
              <w:keepNext w:val="0"/>
              <w:keepLines w:val="0"/>
              <w:pageBreakBefore w:val="0"/>
              <w:tabs>
                <w:tab w:val="left" w:pos="180"/>
                <w:tab w:val="left" w:pos="1620"/>
              </w:tabs>
              <w:kinsoku/>
              <w:wordWrap/>
              <w:overflowPunct/>
              <w:topLinePunct w:val="0"/>
              <w:autoSpaceDE/>
              <w:autoSpaceDN/>
              <w:bidi w:val="0"/>
              <w:adjustRightInd/>
              <w:snapToGrid/>
              <w:spacing w:line="380" w:lineRule="exact"/>
              <w:jc w:val="both"/>
              <w:textAlignment w:val="auto"/>
              <w:rPr>
                <w:rFonts w:hint="default" w:ascii="宋体" w:hAnsi="宋体" w:cs="宋体"/>
                <w:color w:val="auto"/>
                <w:szCs w:val="21"/>
                <w:highlight w:val="none"/>
                <w:lang w:eastAsia="zh-CN"/>
              </w:rPr>
            </w:pPr>
            <w:r>
              <w:rPr>
                <w:rFonts w:hint="eastAsia" w:ascii="宋体" w:hAnsi="宋体" w:cs="宋体"/>
                <w:color w:val="auto"/>
                <w:szCs w:val="21"/>
                <w:highlight w:val="none"/>
                <w:lang w:eastAsia="zh-CN"/>
              </w:rPr>
              <w:t>服务地点：</w:t>
            </w:r>
            <w:r>
              <w:rPr>
                <w:rFonts w:hint="eastAsia" w:ascii="宋体" w:hAnsi="宋体"/>
                <w:color w:val="auto"/>
                <w:szCs w:val="21"/>
                <w:highlight w:val="none"/>
              </w:rPr>
              <w:t>广西壮族自治区</w:t>
            </w:r>
            <w:r>
              <w:rPr>
                <w:rFonts w:hint="eastAsia" w:ascii="宋体" w:hAnsi="宋体"/>
                <w:color w:val="auto"/>
                <w:szCs w:val="21"/>
                <w:highlight w:val="none"/>
                <w:lang w:val="en-US" w:eastAsia="zh-CN"/>
              </w:rPr>
              <w:t>妇幼保健院厢竹院区、广西儿童医疗中心、</w:t>
            </w:r>
            <w:r>
              <w:rPr>
                <w:rFonts w:hint="eastAsia" w:ascii="宋体" w:hAnsi="宋体" w:eastAsia="宋体" w:cs="宋体"/>
                <w:color w:val="auto"/>
                <w:sz w:val="21"/>
                <w:szCs w:val="21"/>
                <w:highlight w:val="none"/>
              </w:rPr>
              <w:t>广西壮族自治区</w:t>
            </w:r>
            <w:r>
              <w:rPr>
                <w:rFonts w:hint="eastAsia" w:ascii="宋体" w:hAnsi="宋体" w:eastAsia="宋体" w:cs="宋体"/>
                <w:color w:val="auto"/>
                <w:sz w:val="21"/>
                <w:szCs w:val="21"/>
                <w:highlight w:val="none"/>
                <w:lang w:val="en-US" w:eastAsia="zh-CN"/>
              </w:rPr>
              <w:t>妇幼保健院</w:t>
            </w:r>
            <w:r>
              <w:rPr>
                <w:rFonts w:hint="eastAsia" w:ascii="宋体" w:hAnsi="宋体" w:cs="宋体"/>
                <w:color w:val="auto"/>
                <w:sz w:val="21"/>
                <w:szCs w:val="21"/>
                <w:highlight w:val="none"/>
                <w:lang w:val="en-US" w:eastAsia="zh-CN"/>
              </w:rPr>
              <w:t>龙腾社区卫生服务中心</w:t>
            </w:r>
            <w:r>
              <w:rPr>
                <w:rFonts w:hint="default" w:ascii="宋体" w:hAnsi="宋体" w:cs="宋体"/>
                <w:color w:val="auto"/>
                <w:sz w:val="21"/>
                <w:szCs w:val="21"/>
                <w:highlight w:val="none"/>
                <w:lang w:eastAsia="zh-CN"/>
              </w:rPr>
              <w:t>、广西壮族自治区妇幼保健院妇保科(西乡塘区婚姻登记处)。</w:t>
            </w:r>
          </w:p>
        </w:tc>
      </w:tr>
      <w:tr w14:paraId="02D24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89" w:hRule="atLeast"/>
          <w:jc w:val="center"/>
        </w:trPr>
        <w:tc>
          <w:tcPr>
            <w:tcW w:w="1899" w:type="dxa"/>
            <w:gridSpan w:val="3"/>
            <w:tcBorders>
              <w:top w:val="single" w:color="auto" w:sz="4" w:space="0"/>
              <w:left w:val="single" w:color="auto" w:sz="4" w:space="0"/>
              <w:bottom w:val="single" w:color="auto" w:sz="4" w:space="0"/>
              <w:right w:val="single" w:color="auto" w:sz="4" w:space="0"/>
            </w:tcBorders>
            <w:noWrap w:val="0"/>
            <w:tcMar>
              <w:top w:w="13" w:type="dxa"/>
              <w:left w:w="57" w:type="dxa"/>
              <w:bottom w:w="0" w:type="dxa"/>
              <w:right w:w="57" w:type="dxa"/>
            </w:tcMar>
            <w:vAlign w:val="center"/>
          </w:tcPr>
          <w:p w14:paraId="0D1A9EC6">
            <w:pPr>
              <w:tabs>
                <w:tab w:val="left" w:pos="180"/>
                <w:tab w:val="left" w:pos="1620"/>
              </w:tabs>
              <w:spacing w:line="380" w:lineRule="exact"/>
              <w:jc w:val="center"/>
              <w:rPr>
                <w:rFonts w:hint="eastAsia"/>
                <w:bCs/>
                <w:color w:val="auto"/>
                <w:szCs w:val="21"/>
                <w:highlight w:val="none"/>
              </w:rPr>
            </w:pPr>
            <w:r>
              <w:rPr>
                <w:rFonts w:hint="eastAsia" w:ascii="宋体" w:hAnsi="宋体" w:cs="宋体"/>
                <w:color w:val="auto"/>
                <w:szCs w:val="21"/>
                <w:highlight w:val="none"/>
              </w:rPr>
              <w:t>服务要求</w:t>
            </w:r>
          </w:p>
        </w:tc>
        <w:tc>
          <w:tcPr>
            <w:tcW w:w="7172" w:type="dxa"/>
            <w:gridSpan w:val="3"/>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14:paraId="2898EAB3">
            <w:pPr>
              <w:widowControl/>
              <w:adjustRightInd w:val="0"/>
              <w:snapToGrid w:val="0"/>
              <w:spacing w:line="400" w:lineRule="exact"/>
              <w:ind w:firstLine="420" w:firstLineChars="200"/>
              <w:jc w:val="left"/>
              <w:rPr>
                <w:rFonts w:hint="eastAsia" w:ascii="宋体" w:hAnsi="宋体" w:eastAsia="宋体" w:cs="Arial"/>
                <w:color w:val="auto"/>
                <w:szCs w:val="21"/>
                <w:highlight w:val="none"/>
                <w:lang w:val="en-US" w:eastAsia="zh-CN"/>
              </w:rPr>
            </w:pPr>
            <w:r>
              <w:rPr>
                <w:rFonts w:hint="eastAsia" w:ascii="宋体" w:hAnsi="宋体" w:eastAsia="宋体" w:cs="Arial"/>
                <w:color w:val="auto"/>
                <w:szCs w:val="21"/>
                <w:highlight w:val="none"/>
                <w:lang w:val="en-US" w:eastAsia="zh-CN"/>
              </w:rPr>
              <w:t>1、每天固定</w:t>
            </w:r>
            <w:r>
              <w:rPr>
                <w:rFonts w:hint="eastAsia" w:ascii="宋体" w:hAnsi="宋体" w:cs="Arial"/>
                <w:color w:val="auto"/>
                <w:szCs w:val="21"/>
                <w:highlight w:val="none"/>
                <w:lang w:val="en-US" w:eastAsia="zh-CN"/>
              </w:rPr>
              <w:t>时间</w:t>
            </w:r>
            <w:r>
              <w:rPr>
                <w:rFonts w:hint="eastAsia" w:ascii="宋体" w:hAnsi="宋体" w:eastAsia="宋体" w:cs="Arial"/>
                <w:color w:val="auto"/>
                <w:szCs w:val="21"/>
                <w:highlight w:val="none"/>
                <w:lang w:val="en-US" w:eastAsia="zh-CN"/>
              </w:rPr>
              <w:t>到采购人指定地点</w:t>
            </w:r>
            <w:r>
              <w:rPr>
                <w:rFonts w:hint="eastAsia" w:ascii="宋体" w:hAnsi="宋体" w:eastAsia="宋体" w:cs="宋体"/>
                <w:color w:val="auto"/>
                <w:sz w:val="21"/>
                <w:szCs w:val="21"/>
                <w:highlight w:val="none"/>
              </w:rPr>
              <w:t>收运处置</w:t>
            </w:r>
            <w:r>
              <w:rPr>
                <w:rFonts w:hint="eastAsia" w:ascii="宋体" w:hAnsi="宋体" w:eastAsia="宋体" w:cs="Arial"/>
                <w:color w:val="auto"/>
                <w:szCs w:val="21"/>
                <w:highlight w:val="none"/>
                <w:lang w:val="en-US" w:eastAsia="zh-CN"/>
              </w:rPr>
              <w:t>工作；接到采购人通知后半小时内响应，48小时内处理完医疗垃圾处置的相关问题。</w:t>
            </w:r>
          </w:p>
          <w:p w14:paraId="3EEAEFB5">
            <w:pPr>
              <w:widowControl/>
              <w:adjustRightInd w:val="0"/>
              <w:snapToGrid w:val="0"/>
              <w:spacing w:line="400" w:lineRule="exact"/>
              <w:ind w:firstLine="420" w:firstLineChars="200"/>
              <w:jc w:val="left"/>
              <w:rPr>
                <w:rFonts w:hint="eastAsia" w:ascii="宋体" w:hAnsi="宋体" w:eastAsia="宋体" w:cs="Arial"/>
                <w:color w:val="auto"/>
                <w:szCs w:val="21"/>
                <w:highlight w:val="none"/>
                <w:lang w:val="en-US" w:eastAsia="zh-CN"/>
              </w:rPr>
            </w:pPr>
            <w:r>
              <w:rPr>
                <w:rFonts w:hint="eastAsia" w:ascii="宋体" w:hAnsi="宋体" w:eastAsia="宋体" w:cs="Arial"/>
                <w:color w:val="auto"/>
                <w:szCs w:val="21"/>
                <w:highlight w:val="none"/>
                <w:lang w:val="en-US" w:eastAsia="zh-CN"/>
              </w:rPr>
              <w:t>2、服务人员具备专业的医疗垃圾处置知识和技能，能够正确、安全地处理医疗垃圾。</w:t>
            </w:r>
          </w:p>
          <w:p w14:paraId="0D1F65A5">
            <w:pPr>
              <w:widowControl/>
              <w:adjustRightInd w:val="0"/>
              <w:snapToGrid w:val="0"/>
              <w:spacing w:line="400" w:lineRule="exact"/>
              <w:ind w:firstLine="420" w:firstLineChars="200"/>
              <w:jc w:val="left"/>
              <w:rPr>
                <w:rFonts w:hint="eastAsia" w:ascii="宋体" w:hAnsi="宋体" w:eastAsia="宋体" w:cs="Arial"/>
                <w:color w:val="auto"/>
                <w:szCs w:val="21"/>
                <w:highlight w:val="none"/>
                <w:lang w:val="en-US" w:eastAsia="zh-CN"/>
              </w:rPr>
            </w:pPr>
            <w:r>
              <w:rPr>
                <w:rFonts w:hint="eastAsia" w:ascii="宋体" w:hAnsi="宋体" w:eastAsia="宋体" w:cs="Arial"/>
                <w:color w:val="auto"/>
                <w:szCs w:val="21"/>
                <w:highlight w:val="none"/>
                <w:lang w:val="en-US" w:eastAsia="zh-CN"/>
              </w:rPr>
              <w:t>3、服务人员应熟悉并遵守国家关于医疗垃圾处置的法律法规和标准，确保医院医疗垃圾处置的合规性。</w:t>
            </w:r>
          </w:p>
          <w:p w14:paraId="496D4EC1">
            <w:pPr>
              <w:keepNext w:val="0"/>
              <w:keepLines w:val="0"/>
              <w:pageBreakBefore w:val="0"/>
              <w:widowControl/>
              <w:kinsoku/>
              <w:wordWrap/>
              <w:overflowPunct/>
              <w:topLinePunct w:val="0"/>
              <w:autoSpaceDE/>
              <w:autoSpaceDN/>
              <w:bidi w:val="0"/>
              <w:adjustRightInd/>
              <w:snapToGrid/>
              <w:spacing w:line="380" w:lineRule="exact"/>
              <w:ind w:firstLine="420" w:firstLineChars="200"/>
              <w:jc w:val="left"/>
              <w:textAlignment w:val="auto"/>
              <w:rPr>
                <w:rFonts w:hint="eastAsia" w:ascii="宋体" w:hAnsi="宋体" w:eastAsia="宋体" w:cs="Arial"/>
                <w:color w:val="auto"/>
                <w:szCs w:val="21"/>
                <w:highlight w:val="none"/>
                <w:lang w:val="en-US" w:eastAsia="zh-CN"/>
              </w:rPr>
            </w:pPr>
            <w:r>
              <w:rPr>
                <w:rFonts w:hint="eastAsia" w:ascii="宋体" w:hAnsi="宋体" w:eastAsia="宋体" w:cs="Arial"/>
                <w:color w:val="auto"/>
                <w:szCs w:val="21"/>
                <w:highlight w:val="none"/>
                <w:lang w:val="en-US" w:eastAsia="zh-CN"/>
              </w:rPr>
              <w:t>4、定期对医院相关人员进行医疗垃圾分类、收集、暂存、转运等方面的培训，提高医院人员的专业素养和操作技能。</w:t>
            </w:r>
          </w:p>
          <w:p w14:paraId="49725301">
            <w:pPr>
              <w:keepNext w:val="0"/>
              <w:keepLines w:val="0"/>
              <w:pageBreakBefore w:val="0"/>
              <w:widowControl/>
              <w:kinsoku/>
              <w:wordWrap/>
              <w:overflowPunct/>
              <w:topLinePunct w:val="0"/>
              <w:autoSpaceDE/>
              <w:autoSpaceDN/>
              <w:bidi w:val="0"/>
              <w:adjustRightInd/>
              <w:snapToGrid/>
              <w:spacing w:line="380" w:lineRule="exact"/>
              <w:ind w:firstLine="420" w:firstLineChars="200"/>
              <w:jc w:val="left"/>
              <w:textAlignment w:val="auto"/>
              <w:rPr>
                <w:rFonts w:hint="default" w:ascii="宋体" w:hAnsi="宋体" w:eastAsia="宋体" w:cs="Arial"/>
                <w:color w:val="auto"/>
                <w:szCs w:val="21"/>
                <w:highlight w:val="none"/>
                <w:lang w:val="en-US" w:eastAsia="zh-CN"/>
              </w:rPr>
            </w:pPr>
            <w:r>
              <w:rPr>
                <w:rFonts w:hint="eastAsia"/>
                <w:color w:val="auto"/>
                <w:highlight w:val="none"/>
                <w:lang w:val="en-US" w:eastAsia="zh-CN"/>
              </w:rPr>
              <w:t>5、疫情期间、创文明城、卫生城检查验收期间，医疗废物做到日日清。</w:t>
            </w:r>
          </w:p>
        </w:tc>
      </w:tr>
      <w:tr w14:paraId="64439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899" w:type="dxa"/>
            <w:gridSpan w:val="3"/>
            <w:tcBorders>
              <w:top w:val="single" w:color="auto" w:sz="4" w:space="0"/>
              <w:left w:val="single" w:color="auto" w:sz="4" w:space="0"/>
              <w:bottom w:val="single" w:color="auto" w:sz="4" w:space="0"/>
              <w:right w:val="single" w:color="auto" w:sz="4" w:space="0"/>
            </w:tcBorders>
            <w:noWrap w:val="0"/>
            <w:tcMar>
              <w:top w:w="13" w:type="dxa"/>
              <w:left w:w="57" w:type="dxa"/>
              <w:bottom w:w="0" w:type="dxa"/>
              <w:right w:w="57" w:type="dxa"/>
            </w:tcMar>
            <w:vAlign w:val="top"/>
          </w:tcPr>
          <w:p w14:paraId="5A46D55E">
            <w:pPr>
              <w:pStyle w:val="91"/>
              <w:spacing w:before="100"/>
              <w:ind w:left="125" w:right="112"/>
              <w:jc w:val="center"/>
              <w:rPr>
                <w:rFonts w:hint="default" w:eastAsia="宋体"/>
                <w:bCs/>
                <w:color w:val="auto"/>
                <w:sz w:val="21"/>
                <w:szCs w:val="21"/>
                <w:highlight w:val="none"/>
                <w:lang w:val="en-US" w:eastAsia="zh-CN"/>
              </w:rPr>
            </w:pPr>
            <w:r>
              <w:rPr>
                <w:bCs/>
                <w:color w:val="auto"/>
                <w:sz w:val="21"/>
                <w:szCs w:val="21"/>
                <w:highlight w:val="none"/>
              </w:rPr>
              <w:t>合同签订时间</w:t>
            </w:r>
            <w:r>
              <w:rPr>
                <w:rFonts w:hint="eastAsia"/>
                <w:bCs/>
                <w:color w:val="auto"/>
                <w:sz w:val="21"/>
                <w:szCs w:val="21"/>
                <w:highlight w:val="none"/>
                <w:lang w:val="en-US" w:eastAsia="zh-CN"/>
              </w:rPr>
              <w:t>及地点</w:t>
            </w:r>
          </w:p>
        </w:tc>
        <w:tc>
          <w:tcPr>
            <w:tcW w:w="7172" w:type="dxa"/>
            <w:gridSpan w:val="3"/>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top"/>
          </w:tcPr>
          <w:p w14:paraId="00990CCD">
            <w:pPr>
              <w:pStyle w:val="91"/>
              <w:spacing w:before="100" w:line="240" w:lineRule="atLeast"/>
              <w:ind w:left="108"/>
              <w:rPr>
                <w:rFonts w:hint="eastAsia"/>
                <w:bCs/>
                <w:color w:val="auto"/>
                <w:spacing w:val="-4"/>
                <w:sz w:val="21"/>
                <w:szCs w:val="21"/>
                <w:highlight w:val="none"/>
                <w:lang w:eastAsia="zh-CN"/>
              </w:rPr>
            </w:pPr>
            <w:r>
              <w:rPr>
                <w:rFonts w:hint="eastAsia"/>
                <w:bCs/>
                <w:color w:val="auto"/>
                <w:spacing w:val="-4"/>
                <w:sz w:val="21"/>
                <w:szCs w:val="21"/>
                <w:highlight w:val="none"/>
                <w:lang w:eastAsia="zh-CN"/>
              </w:rPr>
              <w:t>合同签订时间：中标通知书发出后25日内。</w:t>
            </w:r>
          </w:p>
          <w:p w14:paraId="352E3D41">
            <w:pPr>
              <w:pStyle w:val="91"/>
              <w:spacing w:before="100" w:line="240" w:lineRule="atLeast"/>
              <w:ind w:left="108"/>
              <w:rPr>
                <w:rFonts w:hint="default"/>
                <w:bCs/>
                <w:color w:val="auto"/>
                <w:spacing w:val="-4"/>
                <w:sz w:val="21"/>
                <w:szCs w:val="21"/>
                <w:highlight w:val="none"/>
                <w:lang w:val="en-US" w:eastAsia="zh-CN"/>
              </w:rPr>
            </w:pPr>
            <w:r>
              <w:rPr>
                <w:rFonts w:hint="eastAsia"/>
                <w:bCs/>
                <w:color w:val="auto"/>
                <w:spacing w:val="-4"/>
                <w:sz w:val="21"/>
                <w:szCs w:val="21"/>
                <w:highlight w:val="none"/>
                <w:lang w:val="en-US" w:eastAsia="zh-CN"/>
              </w:rPr>
              <w:t>合同签订地点：采购人指定地点。</w:t>
            </w:r>
          </w:p>
        </w:tc>
      </w:tr>
      <w:tr w14:paraId="58D05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899" w:type="dxa"/>
            <w:gridSpan w:val="3"/>
            <w:tcBorders>
              <w:top w:val="single" w:color="auto" w:sz="4" w:space="0"/>
              <w:left w:val="single" w:color="auto" w:sz="4" w:space="0"/>
              <w:bottom w:val="single" w:color="auto" w:sz="4" w:space="0"/>
              <w:right w:val="single" w:color="auto" w:sz="4" w:space="0"/>
            </w:tcBorders>
            <w:noWrap w:val="0"/>
            <w:tcMar>
              <w:top w:w="13" w:type="dxa"/>
              <w:left w:w="57" w:type="dxa"/>
              <w:bottom w:w="0" w:type="dxa"/>
              <w:right w:w="57" w:type="dxa"/>
            </w:tcMar>
            <w:vAlign w:val="center"/>
          </w:tcPr>
          <w:p w14:paraId="05EF9C9D">
            <w:pPr>
              <w:keepNext w:val="0"/>
              <w:keepLines w:val="0"/>
              <w:pageBreakBefore w:val="0"/>
              <w:tabs>
                <w:tab w:val="left" w:pos="180"/>
                <w:tab w:val="left" w:pos="1620"/>
              </w:tabs>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其他要求</w:t>
            </w:r>
          </w:p>
        </w:tc>
        <w:tc>
          <w:tcPr>
            <w:tcW w:w="7172" w:type="dxa"/>
            <w:gridSpan w:val="3"/>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14:paraId="57C2A87D">
            <w:pPr>
              <w:keepNext w:val="0"/>
              <w:keepLines w:val="0"/>
              <w:pageBreakBefore w:val="0"/>
              <w:tabs>
                <w:tab w:val="left" w:pos="180"/>
                <w:tab w:val="left" w:pos="1620"/>
              </w:tabs>
              <w:kinsoku/>
              <w:wordWrap/>
              <w:overflowPunct/>
              <w:topLinePunct w:val="0"/>
              <w:autoSpaceDE/>
              <w:autoSpaceDN/>
              <w:bidi w:val="0"/>
              <w:adjustRightInd/>
              <w:snapToGrid/>
              <w:spacing w:line="380" w:lineRule="exact"/>
              <w:ind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一、报价要求</w:t>
            </w:r>
          </w:p>
          <w:p w14:paraId="1D8007B3">
            <w:pPr>
              <w:keepNext w:val="0"/>
              <w:keepLines w:val="0"/>
              <w:pageBreakBefore w:val="0"/>
              <w:widowControl w:val="0"/>
              <w:numPr>
                <w:ilvl w:val="0"/>
                <w:numId w:val="0"/>
              </w:numPr>
              <w:tabs>
                <w:tab w:val="left" w:pos="180"/>
                <w:tab w:val="left" w:pos="1620"/>
              </w:tabs>
              <w:kinsoku/>
              <w:wordWrap/>
              <w:overflowPunct/>
              <w:topLinePunct w:val="0"/>
              <w:autoSpaceDE/>
              <w:autoSpaceDN/>
              <w:bidi w:val="0"/>
              <w:adjustRightInd/>
              <w:snapToGrid/>
              <w:spacing w:line="38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 w:val="21"/>
                <w:szCs w:val="21"/>
                <w:highlight w:val="none"/>
                <w:lang w:val="en-US" w:eastAsia="zh-CN"/>
              </w:rPr>
              <w:t>目前我院厢竹院区及儿童医疗中心实际使用床位数</w:t>
            </w:r>
            <w:r>
              <w:rPr>
                <w:rFonts w:hint="eastAsia" w:ascii="宋体" w:hAnsi="宋体" w:cs="宋体"/>
                <w:color w:val="auto"/>
                <w:sz w:val="21"/>
                <w:szCs w:val="21"/>
                <w:highlight w:val="none"/>
                <w:lang w:val="en-US" w:eastAsia="zh-CN"/>
              </w:rPr>
              <w:t>1150</w:t>
            </w:r>
            <w:r>
              <w:rPr>
                <w:rFonts w:hint="eastAsia" w:ascii="宋体" w:hAnsi="宋体" w:eastAsia="宋体" w:cs="宋体"/>
                <w:color w:val="auto"/>
                <w:sz w:val="21"/>
                <w:szCs w:val="21"/>
                <w:highlight w:val="none"/>
                <w:lang w:val="en-US" w:eastAsia="zh-CN"/>
              </w:rPr>
              <w:t>张，</w:t>
            </w:r>
            <w:r>
              <w:rPr>
                <w:rFonts w:hint="eastAsia" w:ascii="宋体" w:hAnsi="宋体" w:cs="宋体"/>
                <w:color w:val="auto"/>
                <w:sz w:val="21"/>
                <w:szCs w:val="21"/>
                <w:highlight w:val="none"/>
                <w:lang w:val="en-US" w:eastAsia="zh-CN"/>
              </w:rPr>
              <w:t>控制</w:t>
            </w:r>
            <w:r>
              <w:rPr>
                <w:rFonts w:hint="eastAsia" w:ascii="宋体" w:hAnsi="宋体" w:eastAsia="宋体" w:cs="宋体"/>
                <w:color w:val="auto"/>
                <w:sz w:val="21"/>
                <w:szCs w:val="21"/>
                <w:highlight w:val="none"/>
                <w:lang w:val="en-US" w:eastAsia="zh-CN"/>
              </w:rPr>
              <w:t>单价为：</w:t>
            </w:r>
            <w:r>
              <w:rPr>
                <w:rFonts w:hint="eastAsia" w:ascii="宋体" w:hAnsi="宋体" w:eastAsia="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lang w:val="en-US" w:eastAsia="zh-CN"/>
              </w:rPr>
              <w:t>3.15</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元/床/天。本项目总</w:t>
            </w:r>
            <w:r>
              <w:rPr>
                <w:rFonts w:hint="eastAsia" w:ascii="宋体" w:hAnsi="宋体" w:cs="宋体"/>
                <w:color w:val="auto"/>
                <w:sz w:val="21"/>
                <w:szCs w:val="21"/>
                <w:highlight w:val="none"/>
                <w:lang w:val="en-US" w:eastAsia="zh-CN"/>
              </w:rPr>
              <w:t>控制</w:t>
            </w:r>
            <w:r>
              <w:rPr>
                <w:rFonts w:hint="eastAsia" w:ascii="宋体" w:hAnsi="宋体" w:eastAsia="宋体" w:cs="宋体"/>
                <w:color w:val="auto"/>
                <w:sz w:val="21"/>
                <w:szCs w:val="21"/>
                <w:highlight w:val="none"/>
                <w:lang w:val="en-US" w:eastAsia="zh-CN"/>
              </w:rPr>
              <w:t>价为：</w:t>
            </w:r>
            <w:r>
              <w:rPr>
                <w:rFonts w:hint="eastAsia" w:ascii="宋体" w:hAnsi="宋体" w:cs="宋体"/>
                <w:color w:val="auto"/>
                <w:sz w:val="21"/>
                <w:szCs w:val="21"/>
                <w:highlight w:val="none"/>
                <w:u w:val="single"/>
                <w:lang w:val="en-US" w:eastAsia="zh-CN"/>
              </w:rPr>
              <w:t>3966637.50</w:t>
            </w:r>
            <w:r>
              <w:rPr>
                <w:rFonts w:hint="eastAsia" w:ascii="宋体" w:hAnsi="宋体" w:eastAsia="宋体" w:cs="宋体"/>
                <w:color w:val="auto"/>
                <w:sz w:val="21"/>
                <w:szCs w:val="21"/>
                <w:highlight w:val="none"/>
                <w:lang w:val="en-US" w:eastAsia="zh-CN"/>
              </w:rPr>
              <w:t>元（3年），报价方式详见报价表（附件1）</w:t>
            </w:r>
            <w:r>
              <w:rPr>
                <w:rFonts w:hint="eastAsia" w:ascii="宋体" w:hAnsi="宋体" w:cs="宋体"/>
                <w:color w:val="auto"/>
                <w:sz w:val="21"/>
                <w:szCs w:val="21"/>
                <w:highlight w:val="none"/>
                <w:lang w:val="en-US" w:eastAsia="zh-CN"/>
              </w:rPr>
              <w:t>，报价不能超过控制单价及总控制价，否则投标无效</w:t>
            </w:r>
            <w:r>
              <w:rPr>
                <w:rFonts w:hint="eastAsia" w:ascii="宋体" w:hAnsi="宋体" w:eastAsia="宋体" w:cs="宋体"/>
                <w:color w:val="auto"/>
                <w:sz w:val="21"/>
                <w:szCs w:val="21"/>
                <w:highlight w:val="none"/>
                <w:lang w:val="en-US" w:eastAsia="zh-CN"/>
              </w:rPr>
              <w:t>。</w:t>
            </w:r>
          </w:p>
          <w:p w14:paraId="3E808D8F">
            <w:pPr>
              <w:keepNext w:val="0"/>
              <w:keepLines w:val="0"/>
              <w:pageBreakBefore w:val="0"/>
              <w:widowControl w:val="0"/>
              <w:numPr>
                <w:ilvl w:val="0"/>
                <w:numId w:val="0"/>
              </w:numPr>
              <w:tabs>
                <w:tab w:val="left" w:pos="180"/>
                <w:tab w:val="left" w:pos="1620"/>
              </w:tabs>
              <w:kinsoku/>
              <w:wordWrap/>
              <w:overflowPunct/>
              <w:topLinePunct w:val="0"/>
              <w:autoSpaceDE/>
              <w:autoSpaceDN/>
              <w:bidi w:val="0"/>
              <w:adjustRightInd/>
              <w:snapToGrid/>
              <w:spacing w:line="380" w:lineRule="exact"/>
              <w:ind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w:t>
            </w:r>
            <w:r>
              <w:rPr>
                <w:rFonts w:hint="eastAsia" w:ascii="宋体" w:hAnsi="宋体" w:eastAsia="宋体" w:cs="宋体"/>
                <w:color w:val="auto"/>
                <w:szCs w:val="21"/>
                <w:highlight w:val="none"/>
                <w:lang w:val="en-US" w:eastAsia="zh-CN"/>
              </w:rPr>
              <w:t>2、投标报价为含税价，即包含人员费用、收集费用、运输费用、处置费用、车辆设备使用费用、周转箱采购费、利润税金等为完成招标文件规定的一切工作所需的全部费用。</w:t>
            </w:r>
          </w:p>
          <w:p w14:paraId="14888C92">
            <w:pPr>
              <w:keepNext w:val="0"/>
              <w:keepLines w:val="0"/>
              <w:pageBreakBefore w:val="0"/>
              <w:widowControl w:val="0"/>
              <w:tabs>
                <w:tab w:val="left" w:pos="180"/>
                <w:tab w:val="left" w:pos="1620"/>
              </w:tabs>
              <w:kinsoku/>
              <w:wordWrap/>
              <w:overflowPunct/>
              <w:topLinePunct w:val="0"/>
              <w:autoSpaceDE/>
              <w:autoSpaceDN/>
              <w:bidi w:val="0"/>
              <w:adjustRightInd/>
              <w:snapToGrid/>
              <w:spacing w:line="380" w:lineRule="exact"/>
              <w:ind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w:t>
            </w:r>
            <w:r>
              <w:rPr>
                <w:rFonts w:hint="eastAsia" w:ascii="宋体" w:hAnsi="宋体" w:eastAsia="宋体" w:cs="宋体"/>
                <w:color w:val="auto"/>
                <w:szCs w:val="21"/>
                <w:highlight w:val="none"/>
                <w:lang w:val="en-US" w:eastAsia="zh-CN"/>
              </w:rPr>
              <w:t>3、合同履行过程中，采购人各院区的床位数会根据实际使用情况有所增加或减少，最终结算以合同约定的床位使用数量为结算依据。采购人不再支付合同以外的其他费用。投标人自行考虑并承担投标报价风险。</w:t>
            </w:r>
          </w:p>
          <w:p w14:paraId="1533E0C1">
            <w:pPr>
              <w:keepNext w:val="0"/>
              <w:keepLines w:val="0"/>
              <w:pageBreakBefore w:val="0"/>
              <w:tabs>
                <w:tab w:val="left" w:pos="180"/>
                <w:tab w:val="left" w:pos="1620"/>
              </w:tabs>
              <w:kinsoku/>
              <w:wordWrap/>
              <w:overflowPunct/>
              <w:topLinePunct w:val="0"/>
              <w:autoSpaceDE/>
              <w:autoSpaceDN/>
              <w:bidi w:val="0"/>
              <w:adjustRightInd/>
              <w:snapToGrid/>
              <w:spacing w:line="380" w:lineRule="exact"/>
              <w:ind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w:t>
            </w:r>
            <w:r>
              <w:rPr>
                <w:rFonts w:hint="eastAsia" w:ascii="宋体" w:hAnsi="宋体" w:eastAsia="宋体" w:cs="宋体"/>
                <w:color w:val="auto"/>
                <w:szCs w:val="21"/>
                <w:highlight w:val="none"/>
                <w:lang w:eastAsia="zh-CN"/>
              </w:rPr>
              <w:t>二、</w:t>
            </w:r>
            <w:r>
              <w:rPr>
                <w:rFonts w:hint="eastAsia" w:ascii="宋体" w:hAnsi="宋体" w:eastAsia="宋体" w:cs="宋体"/>
                <w:color w:val="auto"/>
                <w:szCs w:val="21"/>
                <w:highlight w:val="none"/>
                <w:lang w:val="en-US" w:eastAsia="zh-CN"/>
              </w:rPr>
              <w:t>验收标准</w:t>
            </w:r>
          </w:p>
          <w:p w14:paraId="53BC7FB7">
            <w:pPr>
              <w:keepNext w:val="0"/>
              <w:keepLines w:val="0"/>
              <w:pageBreakBefore w:val="0"/>
              <w:widowControl w:val="0"/>
              <w:tabs>
                <w:tab w:val="left" w:pos="180"/>
                <w:tab w:val="left" w:pos="1620"/>
              </w:tabs>
              <w:kinsoku/>
              <w:wordWrap/>
              <w:overflowPunct/>
              <w:topLinePunct w:val="0"/>
              <w:autoSpaceDE/>
              <w:autoSpaceDN/>
              <w:bidi w:val="0"/>
              <w:adjustRightInd/>
              <w:snapToGrid/>
              <w:spacing w:line="380" w:lineRule="exact"/>
              <w:ind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1、服务过程符合国家及广西的有关危险废物处置安全及相关环保、职业健康等方面的法律法规和行业标准。</w:t>
            </w:r>
          </w:p>
          <w:p w14:paraId="624DF1A9">
            <w:pPr>
              <w:keepNext w:val="0"/>
              <w:keepLines w:val="0"/>
              <w:pageBreakBefore w:val="0"/>
              <w:widowControl w:val="0"/>
              <w:tabs>
                <w:tab w:val="left" w:pos="180"/>
                <w:tab w:val="left" w:pos="1620"/>
              </w:tabs>
              <w:kinsoku/>
              <w:wordWrap/>
              <w:overflowPunct/>
              <w:topLinePunct w:val="0"/>
              <w:autoSpaceDE/>
              <w:autoSpaceDN/>
              <w:bidi w:val="0"/>
              <w:adjustRightInd/>
              <w:snapToGrid/>
              <w:spacing w:line="380" w:lineRule="exact"/>
              <w:ind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2、采购人对中标人提交的服务依据招标采购合同及国家有关标准（如有）进行验收。验收工作由采购人组织。</w:t>
            </w:r>
          </w:p>
          <w:p w14:paraId="1F9596B5">
            <w:pPr>
              <w:keepNext w:val="0"/>
              <w:keepLines w:val="0"/>
              <w:pageBreakBefore w:val="0"/>
              <w:widowControl w:val="0"/>
              <w:tabs>
                <w:tab w:val="left" w:pos="180"/>
                <w:tab w:val="left" w:pos="1620"/>
              </w:tabs>
              <w:kinsoku/>
              <w:wordWrap/>
              <w:overflowPunct/>
              <w:topLinePunct w:val="0"/>
              <w:autoSpaceDE/>
              <w:autoSpaceDN/>
              <w:bidi w:val="0"/>
              <w:adjustRightInd/>
              <w:snapToGrid/>
              <w:spacing w:line="380" w:lineRule="exact"/>
              <w:ind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3、验收不通过的，根据采购人意见进行整改，直到验收通过为止，期间产生相关费用由中标人承担。</w:t>
            </w:r>
          </w:p>
          <w:p w14:paraId="729F58EC">
            <w:pPr>
              <w:keepNext w:val="0"/>
              <w:keepLines w:val="0"/>
              <w:pageBreakBefore w:val="0"/>
              <w:widowControl w:val="0"/>
              <w:tabs>
                <w:tab w:val="left" w:pos="180"/>
                <w:tab w:val="left" w:pos="1620"/>
              </w:tabs>
              <w:kinsoku/>
              <w:wordWrap/>
              <w:overflowPunct/>
              <w:topLinePunct w:val="0"/>
              <w:autoSpaceDE/>
              <w:autoSpaceDN/>
              <w:bidi w:val="0"/>
              <w:adjustRightInd/>
              <w:snapToGrid/>
              <w:spacing w:line="380" w:lineRule="exact"/>
              <w:ind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其他未尽事宜应严格按照《关于印发广西壮族自治区政府采购项目履约验收管理办法的通知》[桂财采〔2015〕22号]以及《财政部关于进一步加强政府采购需求和履约验收管理的指导意见》[财库〔2016〕205号]规定执行。</w:t>
            </w:r>
          </w:p>
          <w:p w14:paraId="0593CA7F">
            <w:pPr>
              <w:keepNext w:val="0"/>
              <w:keepLines w:val="0"/>
              <w:pageBreakBefore w:val="0"/>
              <w:widowControl w:val="0"/>
              <w:tabs>
                <w:tab w:val="left" w:pos="180"/>
                <w:tab w:val="left" w:pos="1620"/>
              </w:tabs>
              <w:kinsoku/>
              <w:wordWrap/>
              <w:overflowPunct/>
              <w:topLinePunct w:val="0"/>
              <w:autoSpaceDE/>
              <w:autoSpaceDN/>
              <w:bidi w:val="0"/>
              <w:adjustRightInd/>
              <w:snapToGrid/>
              <w:spacing w:line="38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5、验收产生的费用由中标人负责（如有）。</w:t>
            </w:r>
          </w:p>
        </w:tc>
      </w:tr>
      <w:tr w14:paraId="51028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0" w:hRule="atLeast"/>
          <w:jc w:val="center"/>
        </w:trPr>
        <w:tc>
          <w:tcPr>
            <w:tcW w:w="1899" w:type="dxa"/>
            <w:gridSpan w:val="3"/>
            <w:tcBorders>
              <w:top w:val="single" w:color="auto" w:sz="4" w:space="0"/>
              <w:left w:val="single" w:color="auto" w:sz="4" w:space="0"/>
              <w:bottom w:val="single" w:color="auto" w:sz="4" w:space="0"/>
              <w:right w:val="single" w:color="auto" w:sz="4" w:space="0"/>
            </w:tcBorders>
            <w:noWrap w:val="0"/>
            <w:tcMar>
              <w:top w:w="13" w:type="dxa"/>
              <w:left w:w="57" w:type="dxa"/>
              <w:bottom w:w="0" w:type="dxa"/>
              <w:right w:w="57" w:type="dxa"/>
            </w:tcMar>
            <w:vAlign w:val="center"/>
          </w:tcPr>
          <w:p w14:paraId="5EA49F95">
            <w:pPr>
              <w:spacing w:line="400" w:lineRule="exact"/>
              <w:jc w:val="center"/>
              <w:rPr>
                <w:rFonts w:hint="eastAsia"/>
                <w:bCs/>
                <w:color w:val="auto"/>
                <w:szCs w:val="21"/>
                <w:highlight w:val="none"/>
              </w:rPr>
            </w:pPr>
            <w:r>
              <w:rPr>
                <w:rFonts w:hint="eastAsia"/>
                <w:bCs/>
                <w:color w:val="auto"/>
                <w:szCs w:val="21"/>
                <w:highlight w:val="none"/>
              </w:rPr>
              <w:t>付款方式</w:t>
            </w:r>
          </w:p>
        </w:tc>
        <w:tc>
          <w:tcPr>
            <w:tcW w:w="7172" w:type="dxa"/>
            <w:gridSpan w:val="3"/>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14:paraId="4B42FCBA">
            <w:pPr>
              <w:shd w:val="clear" w:color="auto" w:fill="auto"/>
              <w:snapToGrid w:val="0"/>
              <w:spacing w:line="360" w:lineRule="auto"/>
              <w:ind w:firstLine="420" w:firstLineChars="200"/>
              <w:rPr>
                <w:rFonts w:hint="eastAsia"/>
                <w:bCs/>
                <w:color w:val="auto"/>
                <w:szCs w:val="21"/>
                <w:highlight w:val="none"/>
              </w:rPr>
            </w:pPr>
            <w:r>
              <w:rPr>
                <w:rFonts w:hint="eastAsia"/>
                <w:color w:val="auto"/>
                <w:szCs w:val="21"/>
                <w:highlight w:val="none"/>
                <w:lang w:val="en-US" w:eastAsia="zh-CN"/>
              </w:rPr>
              <w:t>采购人按合同约定金额按月向</w:t>
            </w:r>
            <w:r>
              <w:rPr>
                <w:rFonts w:hint="eastAsia"/>
                <w:color w:val="auto"/>
                <w:szCs w:val="21"/>
                <w:highlight w:val="none"/>
              </w:rPr>
              <w:t>中标人</w:t>
            </w:r>
            <w:r>
              <w:rPr>
                <w:rFonts w:hint="eastAsia"/>
                <w:color w:val="auto"/>
                <w:szCs w:val="21"/>
                <w:highlight w:val="none"/>
                <w:lang w:val="en-US" w:eastAsia="zh-CN"/>
              </w:rPr>
              <w:t>支付服务费，</w:t>
            </w:r>
            <w:r>
              <w:rPr>
                <w:rFonts w:hint="eastAsia"/>
                <w:color w:val="auto"/>
                <w:szCs w:val="21"/>
                <w:highlight w:val="none"/>
              </w:rPr>
              <w:t>中标人按照结算确认的应付款数额开具合法有效的发票并送达采购人，采购人于收到合法有效发票后支付上月服务费，需要扣减违约金、赔偿金等按合同约定中标人应向采购人支付的款项的，采购人有权在支付服务费时直接扣减。</w:t>
            </w:r>
            <w:r>
              <w:rPr>
                <w:rFonts w:hint="eastAsia" w:ascii="宋体" w:hAnsi="宋体" w:cs="宋体"/>
                <w:color w:val="auto"/>
                <w:szCs w:val="21"/>
                <w:highlight w:val="none"/>
                <w:lang w:val="en-US" w:eastAsia="zh-CN"/>
              </w:rPr>
              <w:t>计算公式如下：每月支付费用=（床位数量*单价（</w:t>
            </w:r>
            <w:r>
              <w:rPr>
                <w:rFonts w:ascii="Segoe UI" w:hAnsi="Segoe UI" w:eastAsia="Segoe UI" w:cs="Segoe UI"/>
                <w:i w:val="0"/>
                <w:iCs w:val="0"/>
                <w:caps w:val="0"/>
                <w:color w:val="auto"/>
                <w:spacing w:val="0"/>
                <w:sz w:val="21"/>
                <w:szCs w:val="21"/>
                <w:highlight w:val="none"/>
                <w:shd w:val="clear" w:fill="FFFFFF"/>
              </w:rPr>
              <w:t>元/床/天</w:t>
            </w:r>
            <w:r>
              <w:rPr>
                <w:rFonts w:hint="eastAsia" w:ascii="宋体" w:hAnsi="宋体" w:cs="宋体"/>
                <w:color w:val="auto"/>
                <w:szCs w:val="21"/>
                <w:highlight w:val="none"/>
                <w:lang w:val="en-US" w:eastAsia="zh-CN"/>
              </w:rPr>
              <w:t>）*365*3年）/36个月。</w:t>
            </w:r>
          </w:p>
        </w:tc>
      </w:tr>
      <w:tr w14:paraId="6AB7C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jc w:val="center"/>
        </w:trPr>
        <w:tc>
          <w:tcPr>
            <w:tcW w:w="1899" w:type="dxa"/>
            <w:gridSpan w:val="3"/>
            <w:tcBorders>
              <w:top w:val="single" w:color="auto" w:sz="4" w:space="0"/>
              <w:left w:val="single" w:color="auto" w:sz="4" w:space="0"/>
              <w:bottom w:val="single" w:color="auto" w:sz="4" w:space="0"/>
              <w:right w:val="single" w:color="auto" w:sz="4" w:space="0"/>
            </w:tcBorders>
            <w:noWrap w:val="0"/>
            <w:tcMar>
              <w:top w:w="13" w:type="dxa"/>
              <w:left w:w="57" w:type="dxa"/>
              <w:bottom w:w="0" w:type="dxa"/>
              <w:right w:w="57" w:type="dxa"/>
            </w:tcMar>
            <w:vAlign w:val="center"/>
          </w:tcPr>
          <w:p w14:paraId="0D8E7029">
            <w:pPr>
              <w:spacing w:line="400" w:lineRule="exact"/>
              <w:jc w:val="center"/>
              <w:rPr>
                <w:rFonts w:ascii="宋体" w:hAnsi="宋体" w:cs="宋体"/>
                <w:color w:val="auto"/>
                <w:highlight w:val="none"/>
              </w:rPr>
            </w:pPr>
            <w:r>
              <w:rPr>
                <w:rFonts w:hint="eastAsia" w:ascii="宋体" w:hAnsi="宋体" w:cs="宋体"/>
                <w:color w:val="auto"/>
                <w:highlight w:val="none"/>
              </w:rPr>
              <w:t>履约保证金</w:t>
            </w:r>
          </w:p>
        </w:tc>
        <w:tc>
          <w:tcPr>
            <w:tcW w:w="7172" w:type="dxa"/>
            <w:gridSpan w:val="3"/>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14:paraId="511FB3AA">
            <w:pPr>
              <w:spacing w:line="400" w:lineRule="atLeast"/>
              <w:rPr>
                <w:rFonts w:hint="eastAsia" w:eastAsia="宋体"/>
                <w:bCs/>
                <w:color w:val="auto"/>
                <w:spacing w:val="-4"/>
                <w:highlight w:val="none"/>
                <w:lang w:eastAsia="zh-CN"/>
              </w:rPr>
            </w:pPr>
            <w:r>
              <w:rPr>
                <w:rStyle w:val="129"/>
                <w:rFonts w:hint="eastAsia" w:ascii="宋体" w:hAnsi="宋体" w:eastAsia="宋体" w:cs="宋体"/>
                <w:color w:val="auto"/>
                <w:highlight w:val="none"/>
                <w:lang w:val="en-US" w:eastAsia="zh-CN"/>
              </w:rPr>
              <w:t>无</w:t>
            </w:r>
          </w:p>
        </w:tc>
      </w:tr>
    </w:tbl>
    <w:p w14:paraId="2DAE3FC2">
      <w:pPr>
        <w:rPr>
          <w:rFonts w:hint="eastAsia" w:ascii="宋体" w:hAnsi="宋体" w:cs="宋体"/>
          <w:b/>
          <w:bCs/>
          <w:color w:val="auto"/>
          <w:sz w:val="40"/>
          <w:szCs w:val="48"/>
          <w:highlight w:val="none"/>
        </w:rPr>
      </w:pPr>
      <w:r>
        <w:rPr>
          <w:rFonts w:hint="eastAsia" w:ascii="宋体" w:hAnsi="宋体" w:cs="宋体"/>
          <w:b/>
          <w:bCs/>
          <w:color w:val="auto"/>
          <w:sz w:val="40"/>
          <w:szCs w:val="48"/>
          <w:highlight w:val="none"/>
        </w:rPr>
        <w:br w:type="page"/>
      </w:r>
    </w:p>
    <w:p w14:paraId="0A895BAF">
      <w:pPr>
        <w:rPr>
          <w:rFonts w:hint="eastAsia" w:ascii="宋体" w:hAnsi="宋体" w:cs="宋体"/>
          <w:color w:val="auto"/>
          <w:highlight w:val="none"/>
        </w:rPr>
      </w:pPr>
      <w:r>
        <w:rPr>
          <w:rFonts w:hint="eastAsia" w:ascii="宋体" w:hAnsi="宋体" w:cs="宋体"/>
          <w:b/>
          <w:bCs/>
          <w:color w:val="auto"/>
          <w:sz w:val="40"/>
          <w:szCs w:val="48"/>
          <w:highlight w:val="none"/>
        </w:rPr>
        <w:t>附件：</w:t>
      </w:r>
    </w:p>
    <w:p w14:paraId="531D1E31">
      <w:pPr>
        <w:spacing w:line="528" w:lineRule="exact"/>
        <w:ind w:left="11" w:hanging="11"/>
        <w:jc w:val="center"/>
        <w:rPr>
          <w:rFonts w:hint="eastAsia" w:ascii="宋体" w:hAnsi="宋体" w:cs="宋体"/>
          <w:color w:val="auto"/>
          <w:sz w:val="40"/>
          <w:szCs w:val="40"/>
          <w:highlight w:val="none"/>
        </w:rPr>
      </w:pPr>
      <w:r>
        <w:rPr>
          <w:rFonts w:hint="eastAsia" w:ascii="宋体" w:hAnsi="宋体" w:cs="宋体"/>
          <w:color w:val="auto"/>
          <w:sz w:val="40"/>
          <w:szCs w:val="40"/>
          <w:highlight w:val="none"/>
        </w:rPr>
        <w:t>中小微企业划型标准</w:t>
      </w:r>
    </w:p>
    <w:tbl>
      <w:tblPr>
        <w:tblStyle w:val="40"/>
        <w:tblW w:w="9476" w:type="dxa"/>
        <w:jc w:val="center"/>
        <w:tblLayout w:type="fixed"/>
        <w:tblCellMar>
          <w:top w:w="0" w:type="dxa"/>
          <w:left w:w="108" w:type="dxa"/>
          <w:bottom w:w="0" w:type="dxa"/>
          <w:right w:w="108" w:type="dxa"/>
        </w:tblCellMar>
      </w:tblPr>
      <w:tblGrid>
        <w:gridCol w:w="2020"/>
        <w:gridCol w:w="1642"/>
        <w:gridCol w:w="1084"/>
        <w:gridCol w:w="1923"/>
        <w:gridCol w:w="1709"/>
        <w:gridCol w:w="1098"/>
      </w:tblGrid>
      <w:tr w14:paraId="68CDE118">
        <w:tblPrEx>
          <w:tblCellMar>
            <w:top w:w="0" w:type="dxa"/>
            <w:left w:w="108" w:type="dxa"/>
            <w:bottom w:w="0" w:type="dxa"/>
            <w:right w:w="108" w:type="dxa"/>
          </w:tblCellMar>
        </w:tblPrEx>
        <w:trPr>
          <w:trHeight w:val="661" w:hRule="atLeast"/>
          <w:jc w:val="center"/>
        </w:trPr>
        <w:tc>
          <w:tcPr>
            <w:tcW w:w="2020" w:type="dxa"/>
            <w:tcBorders>
              <w:top w:val="single" w:color="auto" w:sz="4" w:space="0"/>
              <w:left w:val="single" w:color="auto" w:sz="4" w:space="0"/>
              <w:bottom w:val="single" w:color="auto" w:sz="4" w:space="0"/>
              <w:right w:val="single" w:color="auto" w:sz="4" w:space="0"/>
            </w:tcBorders>
            <w:noWrap w:val="0"/>
            <w:vAlign w:val="center"/>
          </w:tcPr>
          <w:p w14:paraId="45DA76EC">
            <w:pPr>
              <w:widowControl/>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行业名称</w:t>
            </w:r>
          </w:p>
        </w:tc>
        <w:tc>
          <w:tcPr>
            <w:tcW w:w="1642" w:type="dxa"/>
            <w:tcBorders>
              <w:top w:val="single" w:color="auto" w:sz="4" w:space="0"/>
              <w:left w:val="nil"/>
              <w:bottom w:val="single" w:color="auto" w:sz="4" w:space="0"/>
              <w:right w:val="single" w:color="auto" w:sz="4" w:space="0"/>
            </w:tcBorders>
            <w:noWrap w:val="0"/>
            <w:vAlign w:val="center"/>
          </w:tcPr>
          <w:p w14:paraId="41A0651B">
            <w:pPr>
              <w:widowControl/>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指标名称</w:t>
            </w:r>
          </w:p>
        </w:tc>
        <w:tc>
          <w:tcPr>
            <w:tcW w:w="1084" w:type="dxa"/>
            <w:tcBorders>
              <w:top w:val="single" w:color="auto" w:sz="4" w:space="0"/>
              <w:left w:val="nil"/>
              <w:bottom w:val="single" w:color="auto" w:sz="4" w:space="0"/>
              <w:right w:val="single" w:color="auto" w:sz="4" w:space="0"/>
            </w:tcBorders>
            <w:noWrap w:val="0"/>
            <w:vAlign w:val="center"/>
          </w:tcPr>
          <w:p w14:paraId="77043EE3">
            <w:pPr>
              <w:widowControl/>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计量单位</w:t>
            </w:r>
          </w:p>
        </w:tc>
        <w:tc>
          <w:tcPr>
            <w:tcW w:w="1923" w:type="dxa"/>
            <w:tcBorders>
              <w:top w:val="single" w:color="auto" w:sz="4" w:space="0"/>
              <w:left w:val="nil"/>
              <w:bottom w:val="single" w:color="auto" w:sz="4" w:space="0"/>
              <w:right w:val="single" w:color="auto" w:sz="4" w:space="0"/>
            </w:tcBorders>
            <w:noWrap w:val="0"/>
            <w:vAlign w:val="center"/>
          </w:tcPr>
          <w:p w14:paraId="183BEFB4">
            <w:pPr>
              <w:widowControl/>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中型</w:t>
            </w:r>
          </w:p>
        </w:tc>
        <w:tc>
          <w:tcPr>
            <w:tcW w:w="1709" w:type="dxa"/>
            <w:tcBorders>
              <w:top w:val="single" w:color="auto" w:sz="4" w:space="0"/>
              <w:left w:val="nil"/>
              <w:bottom w:val="single" w:color="auto" w:sz="4" w:space="0"/>
              <w:right w:val="single" w:color="auto" w:sz="4" w:space="0"/>
            </w:tcBorders>
            <w:noWrap w:val="0"/>
            <w:vAlign w:val="center"/>
          </w:tcPr>
          <w:p w14:paraId="74A6124F">
            <w:pPr>
              <w:widowControl/>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小型</w:t>
            </w:r>
          </w:p>
        </w:tc>
        <w:tc>
          <w:tcPr>
            <w:tcW w:w="1098" w:type="dxa"/>
            <w:tcBorders>
              <w:top w:val="single" w:color="auto" w:sz="4" w:space="0"/>
              <w:left w:val="nil"/>
              <w:bottom w:val="single" w:color="auto" w:sz="4" w:space="0"/>
              <w:right w:val="single" w:color="auto" w:sz="4" w:space="0"/>
            </w:tcBorders>
            <w:noWrap w:val="0"/>
            <w:vAlign w:val="center"/>
          </w:tcPr>
          <w:p w14:paraId="1520AB0F">
            <w:pPr>
              <w:widowControl/>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微型</w:t>
            </w:r>
          </w:p>
        </w:tc>
      </w:tr>
      <w:tr w14:paraId="63898243">
        <w:tblPrEx>
          <w:tblCellMar>
            <w:top w:w="0" w:type="dxa"/>
            <w:left w:w="108" w:type="dxa"/>
            <w:bottom w:w="0" w:type="dxa"/>
            <w:right w:w="108" w:type="dxa"/>
          </w:tblCellMar>
        </w:tblPrEx>
        <w:trPr>
          <w:trHeight w:val="336" w:hRule="atLeast"/>
          <w:jc w:val="center"/>
        </w:trPr>
        <w:tc>
          <w:tcPr>
            <w:tcW w:w="2020" w:type="dxa"/>
            <w:tcBorders>
              <w:top w:val="nil"/>
              <w:left w:val="single" w:color="auto" w:sz="4" w:space="0"/>
              <w:bottom w:val="single" w:color="auto" w:sz="4" w:space="0"/>
              <w:right w:val="single" w:color="auto" w:sz="4" w:space="0"/>
            </w:tcBorders>
            <w:noWrap w:val="0"/>
            <w:vAlign w:val="bottom"/>
          </w:tcPr>
          <w:p w14:paraId="135687D5">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农、林、牧、渔</w:t>
            </w:r>
          </w:p>
        </w:tc>
        <w:tc>
          <w:tcPr>
            <w:tcW w:w="1642" w:type="dxa"/>
            <w:tcBorders>
              <w:top w:val="nil"/>
              <w:left w:val="nil"/>
              <w:bottom w:val="single" w:color="auto" w:sz="4" w:space="0"/>
              <w:right w:val="single" w:color="auto" w:sz="4" w:space="0"/>
            </w:tcBorders>
            <w:noWrap w:val="0"/>
            <w:vAlign w:val="center"/>
          </w:tcPr>
          <w:p w14:paraId="2B9D544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11A2236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232C8C3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500≤Y＜20000</w:t>
            </w:r>
          </w:p>
        </w:tc>
        <w:tc>
          <w:tcPr>
            <w:tcW w:w="1709" w:type="dxa"/>
            <w:tcBorders>
              <w:top w:val="nil"/>
              <w:left w:val="nil"/>
              <w:bottom w:val="single" w:color="auto" w:sz="4" w:space="0"/>
              <w:right w:val="single" w:color="auto" w:sz="4" w:space="0"/>
            </w:tcBorders>
            <w:noWrap w:val="0"/>
            <w:vAlign w:val="center"/>
          </w:tcPr>
          <w:p w14:paraId="5FA23C6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50≤Y＜500</w:t>
            </w:r>
          </w:p>
        </w:tc>
        <w:tc>
          <w:tcPr>
            <w:tcW w:w="1098" w:type="dxa"/>
            <w:tcBorders>
              <w:top w:val="nil"/>
              <w:left w:val="nil"/>
              <w:bottom w:val="single" w:color="auto" w:sz="4" w:space="0"/>
              <w:right w:val="single" w:color="auto" w:sz="4" w:space="0"/>
            </w:tcBorders>
            <w:noWrap w:val="0"/>
            <w:vAlign w:val="center"/>
          </w:tcPr>
          <w:p w14:paraId="3210835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Y＜50</w:t>
            </w:r>
          </w:p>
        </w:tc>
      </w:tr>
      <w:tr w14:paraId="155CCE19">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6F30E692">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工业</w:t>
            </w:r>
          </w:p>
        </w:tc>
        <w:tc>
          <w:tcPr>
            <w:tcW w:w="1642" w:type="dxa"/>
            <w:tcBorders>
              <w:top w:val="nil"/>
              <w:left w:val="nil"/>
              <w:bottom w:val="single" w:color="auto" w:sz="4" w:space="0"/>
              <w:right w:val="single" w:color="auto" w:sz="4" w:space="0"/>
            </w:tcBorders>
            <w:noWrap w:val="0"/>
            <w:vAlign w:val="center"/>
          </w:tcPr>
          <w:p w14:paraId="3C3B197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00717AF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4ACCBC5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1709" w:type="dxa"/>
            <w:tcBorders>
              <w:top w:val="nil"/>
              <w:left w:val="nil"/>
              <w:bottom w:val="single" w:color="auto" w:sz="4" w:space="0"/>
              <w:right w:val="single" w:color="auto" w:sz="4" w:space="0"/>
            </w:tcBorders>
            <w:noWrap w:val="0"/>
            <w:vAlign w:val="center"/>
          </w:tcPr>
          <w:p w14:paraId="7D681E8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20≤X＜300</w:t>
            </w:r>
          </w:p>
        </w:tc>
        <w:tc>
          <w:tcPr>
            <w:tcW w:w="1098" w:type="dxa"/>
            <w:tcBorders>
              <w:top w:val="nil"/>
              <w:left w:val="nil"/>
              <w:bottom w:val="single" w:color="auto" w:sz="4" w:space="0"/>
              <w:right w:val="single" w:color="auto" w:sz="4" w:space="0"/>
            </w:tcBorders>
            <w:noWrap w:val="0"/>
            <w:vAlign w:val="center"/>
          </w:tcPr>
          <w:p w14:paraId="12F7737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X＜20</w:t>
            </w:r>
          </w:p>
        </w:tc>
      </w:tr>
      <w:tr w14:paraId="3F3CDB0F">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370CD969">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04AD9CC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28D998A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6A72E8D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2000≤Y＜40000</w:t>
            </w:r>
          </w:p>
        </w:tc>
        <w:tc>
          <w:tcPr>
            <w:tcW w:w="1709" w:type="dxa"/>
            <w:tcBorders>
              <w:top w:val="nil"/>
              <w:left w:val="nil"/>
              <w:bottom w:val="single" w:color="auto" w:sz="4" w:space="0"/>
              <w:right w:val="single" w:color="auto" w:sz="4" w:space="0"/>
            </w:tcBorders>
            <w:noWrap w:val="0"/>
            <w:vAlign w:val="center"/>
          </w:tcPr>
          <w:p w14:paraId="6967F74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300≤Y＜2000</w:t>
            </w:r>
          </w:p>
        </w:tc>
        <w:tc>
          <w:tcPr>
            <w:tcW w:w="1098" w:type="dxa"/>
            <w:tcBorders>
              <w:top w:val="nil"/>
              <w:left w:val="nil"/>
              <w:bottom w:val="single" w:color="auto" w:sz="4" w:space="0"/>
              <w:right w:val="single" w:color="auto" w:sz="4" w:space="0"/>
            </w:tcBorders>
            <w:noWrap w:val="0"/>
            <w:vAlign w:val="center"/>
          </w:tcPr>
          <w:p w14:paraId="2A4F815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Y＜300</w:t>
            </w:r>
          </w:p>
        </w:tc>
      </w:tr>
      <w:tr w14:paraId="43DFA4BB">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0E680AEA">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建筑业</w:t>
            </w:r>
          </w:p>
        </w:tc>
        <w:tc>
          <w:tcPr>
            <w:tcW w:w="1642" w:type="dxa"/>
            <w:tcBorders>
              <w:top w:val="nil"/>
              <w:left w:val="nil"/>
              <w:bottom w:val="single" w:color="auto" w:sz="4" w:space="0"/>
              <w:right w:val="single" w:color="auto" w:sz="4" w:space="0"/>
            </w:tcBorders>
            <w:noWrap w:val="0"/>
            <w:vAlign w:val="center"/>
          </w:tcPr>
          <w:p w14:paraId="68B4227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0F562A2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1A3E1A8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6000≤Y＜80000</w:t>
            </w:r>
          </w:p>
        </w:tc>
        <w:tc>
          <w:tcPr>
            <w:tcW w:w="1709" w:type="dxa"/>
            <w:tcBorders>
              <w:top w:val="nil"/>
              <w:left w:val="nil"/>
              <w:bottom w:val="single" w:color="auto" w:sz="4" w:space="0"/>
              <w:right w:val="single" w:color="auto" w:sz="4" w:space="0"/>
            </w:tcBorders>
            <w:noWrap w:val="0"/>
            <w:vAlign w:val="center"/>
          </w:tcPr>
          <w:p w14:paraId="21024C3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300≤Y＜6000</w:t>
            </w:r>
          </w:p>
        </w:tc>
        <w:tc>
          <w:tcPr>
            <w:tcW w:w="1098" w:type="dxa"/>
            <w:tcBorders>
              <w:top w:val="nil"/>
              <w:left w:val="nil"/>
              <w:bottom w:val="single" w:color="auto" w:sz="4" w:space="0"/>
              <w:right w:val="single" w:color="auto" w:sz="4" w:space="0"/>
            </w:tcBorders>
            <w:noWrap w:val="0"/>
            <w:vAlign w:val="center"/>
          </w:tcPr>
          <w:p w14:paraId="6E98138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Y＜300</w:t>
            </w:r>
          </w:p>
        </w:tc>
      </w:tr>
      <w:tr w14:paraId="59CAF314">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5EA9018D">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0487EC8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资产总额（Z）</w:t>
            </w:r>
          </w:p>
        </w:tc>
        <w:tc>
          <w:tcPr>
            <w:tcW w:w="1084" w:type="dxa"/>
            <w:tcBorders>
              <w:top w:val="nil"/>
              <w:left w:val="nil"/>
              <w:bottom w:val="single" w:color="auto" w:sz="4" w:space="0"/>
              <w:right w:val="single" w:color="auto" w:sz="4" w:space="0"/>
            </w:tcBorders>
            <w:noWrap w:val="0"/>
            <w:vAlign w:val="center"/>
          </w:tcPr>
          <w:p w14:paraId="4EFBD41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0067468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5000≤Z＜80000</w:t>
            </w:r>
          </w:p>
        </w:tc>
        <w:tc>
          <w:tcPr>
            <w:tcW w:w="1709" w:type="dxa"/>
            <w:tcBorders>
              <w:top w:val="nil"/>
              <w:left w:val="nil"/>
              <w:bottom w:val="single" w:color="auto" w:sz="4" w:space="0"/>
              <w:right w:val="single" w:color="auto" w:sz="4" w:space="0"/>
            </w:tcBorders>
            <w:noWrap w:val="0"/>
            <w:vAlign w:val="center"/>
          </w:tcPr>
          <w:p w14:paraId="056ADCC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300≤Z＜5000</w:t>
            </w:r>
          </w:p>
        </w:tc>
        <w:tc>
          <w:tcPr>
            <w:tcW w:w="1098" w:type="dxa"/>
            <w:tcBorders>
              <w:top w:val="nil"/>
              <w:left w:val="nil"/>
              <w:bottom w:val="single" w:color="auto" w:sz="4" w:space="0"/>
              <w:right w:val="single" w:color="auto" w:sz="4" w:space="0"/>
            </w:tcBorders>
            <w:noWrap w:val="0"/>
            <w:vAlign w:val="center"/>
          </w:tcPr>
          <w:p w14:paraId="425C11A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Z＜300</w:t>
            </w:r>
          </w:p>
        </w:tc>
      </w:tr>
      <w:tr w14:paraId="102D022A">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5EE13793">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批发业</w:t>
            </w:r>
          </w:p>
        </w:tc>
        <w:tc>
          <w:tcPr>
            <w:tcW w:w="1642" w:type="dxa"/>
            <w:tcBorders>
              <w:top w:val="nil"/>
              <w:left w:val="nil"/>
              <w:bottom w:val="single" w:color="auto" w:sz="4" w:space="0"/>
              <w:right w:val="single" w:color="auto" w:sz="4" w:space="0"/>
            </w:tcBorders>
            <w:noWrap w:val="0"/>
            <w:vAlign w:val="center"/>
          </w:tcPr>
          <w:p w14:paraId="3DD1F0A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7D4ABAA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55F49D5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20≤X＜200</w:t>
            </w:r>
          </w:p>
        </w:tc>
        <w:tc>
          <w:tcPr>
            <w:tcW w:w="1709" w:type="dxa"/>
            <w:tcBorders>
              <w:top w:val="nil"/>
              <w:left w:val="nil"/>
              <w:bottom w:val="single" w:color="auto" w:sz="4" w:space="0"/>
              <w:right w:val="single" w:color="auto" w:sz="4" w:space="0"/>
            </w:tcBorders>
            <w:noWrap w:val="0"/>
            <w:vAlign w:val="center"/>
          </w:tcPr>
          <w:p w14:paraId="4DBC94F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5≤X＜20</w:t>
            </w:r>
          </w:p>
        </w:tc>
        <w:tc>
          <w:tcPr>
            <w:tcW w:w="1098" w:type="dxa"/>
            <w:tcBorders>
              <w:top w:val="nil"/>
              <w:left w:val="nil"/>
              <w:bottom w:val="single" w:color="auto" w:sz="4" w:space="0"/>
              <w:right w:val="single" w:color="auto" w:sz="4" w:space="0"/>
            </w:tcBorders>
            <w:noWrap w:val="0"/>
            <w:vAlign w:val="center"/>
          </w:tcPr>
          <w:p w14:paraId="10C429F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X＜5</w:t>
            </w:r>
          </w:p>
        </w:tc>
      </w:tr>
      <w:tr w14:paraId="785C9AF3">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00062307">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3285340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2916DF9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52A91D1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5000≤Y＜40000</w:t>
            </w:r>
          </w:p>
        </w:tc>
        <w:tc>
          <w:tcPr>
            <w:tcW w:w="1709" w:type="dxa"/>
            <w:tcBorders>
              <w:top w:val="nil"/>
              <w:left w:val="nil"/>
              <w:bottom w:val="single" w:color="auto" w:sz="4" w:space="0"/>
              <w:right w:val="single" w:color="auto" w:sz="4" w:space="0"/>
            </w:tcBorders>
            <w:noWrap w:val="0"/>
            <w:vAlign w:val="center"/>
          </w:tcPr>
          <w:p w14:paraId="6CA54C6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1000≤Y＜5000</w:t>
            </w:r>
          </w:p>
        </w:tc>
        <w:tc>
          <w:tcPr>
            <w:tcW w:w="1098" w:type="dxa"/>
            <w:tcBorders>
              <w:top w:val="nil"/>
              <w:left w:val="nil"/>
              <w:bottom w:val="single" w:color="auto" w:sz="4" w:space="0"/>
              <w:right w:val="single" w:color="auto" w:sz="4" w:space="0"/>
            </w:tcBorders>
            <w:noWrap w:val="0"/>
            <w:vAlign w:val="center"/>
          </w:tcPr>
          <w:p w14:paraId="14D6CB5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Y＜1000</w:t>
            </w:r>
          </w:p>
        </w:tc>
      </w:tr>
      <w:tr w14:paraId="339785CD">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45A045A0">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零售业</w:t>
            </w:r>
          </w:p>
        </w:tc>
        <w:tc>
          <w:tcPr>
            <w:tcW w:w="1642" w:type="dxa"/>
            <w:tcBorders>
              <w:top w:val="nil"/>
              <w:left w:val="nil"/>
              <w:bottom w:val="single" w:color="auto" w:sz="4" w:space="0"/>
              <w:right w:val="single" w:color="auto" w:sz="4" w:space="0"/>
            </w:tcBorders>
            <w:noWrap w:val="0"/>
            <w:vAlign w:val="center"/>
          </w:tcPr>
          <w:p w14:paraId="0AFEA84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73A5057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36A65F8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50≤X＜300</w:t>
            </w:r>
          </w:p>
        </w:tc>
        <w:tc>
          <w:tcPr>
            <w:tcW w:w="1709" w:type="dxa"/>
            <w:tcBorders>
              <w:top w:val="nil"/>
              <w:left w:val="nil"/>
              <w:bottom w:val="single" w:color="auto" w:sz="4" w:space="0"/>
              <w:right w:val="single" w:color="auto" w:sz="4" w:space="0"/>
            </w:tcBorders>
            <w:noWrap w:val="0"/>
            <w:vAlign w:val="center"/>
          </w:tcPr>
          <w:p w14:paraId="389B612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10≤X＜50</w:t>
            </w:r>
          </w:p>
        </w:tc>
        <w:tc>
          <w:tcPr>
            <w:tcW w:w="1098" w:type="dxa"/>
            <w:tcBorders>
              <w:top w:val="nil"/>
              <w:left w:val="nil"/>
              <w:bottom w:val="single" w:color="auto" w:sz="4" w:space="0"/>
              <w:right w:val="single" w:color="auto" w:sz="4" w:space="0"/>
            </w:tcBorders>
            <w:noWrap w:val="0"/>
            <w:vAlign w:val="center"/>
          </w:tcPr>
          <w:p w14:paraId="4203019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44E89B10">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36826DE2">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6DFFAF8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606B41C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1CE7AEF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500≤Y＜20000</w:t>
            </w:r>
          </w:p>
        </w:tc>
        <w:tc>
          <w:tcPr>
            <w:tcW w:w="1709" w:type="dxa"/>
            <w:tcBorders>
              <w:top w:val="nil"/>
              <w:left w:val="nil"/>
              <w:bottom w:val="single" w:color="auto" w:sz="4" w:space="0"/>
              <w:right w:val="single" w:color="auto" w:sz="4" w:space="0"/>
            </w:tcBorders>
            <w:noWrap w:val="0"/>
            <w:vAlign w:val="center"/>
          </w:tcPr>
          <w:p w14:paraId="4E6EAC5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100≤Y＜500</w:t>
            </w:r>
          </w:p>
        </w:tc>
        <w:tc>
          <w:tcPr>
            <w:tcW w:w="1098" w:type="dxa"/>
            <w:tcBorders>
              <w:top w:val="nil"/>
              <w:left w:val="nil"/>
              <w:bottom w:val="single" w:color="auto" w:sz="4" w:space="0"/>
              <w:right w:val="single" w:color="auto" w:sz="4" w:space="0"/>
            </w:tcBorders>
            <w:noWrap w:val="0"/>
            <w:vAlign w:val="center"/>
          </w:tcPr>
          <w:p w14:paraId="465197E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63910B55">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7C19C9EB">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交通运输业</w:t>
            </w:r>
          </w:p>
        </w:tc>
        <w:tc>
          <w:tcPr>
            <w:tcW w:w="1642" w:type="dxa"/>
            <w:tcBorders>
              <w:top w:val="nil"/>
              <w:left w:val="nil"/>
              <w:bottom w:val="single" w:color="auto" w:sz="4" w:space="0"/>
              <w:right w:val="single" w:color="auto" w:sz="4" w:space="0"/>
            </w:tcBorders>
            <w:noWrap w:val="0"/>
            <w:vAlign w:val="center"/>
          </w:tcPr>
          <w:p w14:paraId="631141A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654AADC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77BC61D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1709" w:type="dxa"/>
            <w:tcBorders>
              <w:top w:val="nil"/>
              <w:left w:val="nil"/>
              <w:bottom w:val="single" w:color="auto" w:sz="4" w:space="0"/>
              <w:right w:val="single" w:color="auto" w:sz="4" w:space="0"/>
            </w:tcBorders>
            <w:noWrap w:val="0"/>
            <w:vAlign w:val="center"/>
          </w:tcPr>
          <w:p w14:paraId="1781272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20≤X＜300</w:t>
            </w:r>
          </w:p>
        </w:tc>
        <w:tc>
          <w:tcPr>
            <w:tcW w:w="1098" w:type="dxa"/>
            <w:tcBorders>
              <w:top w:val="nil"/>
              <w:left w:val="nil"/>
              <w:bottom w:val="single" w:color="auto" w:sz="4" w:space="0"/>
              <w:right w:val="single" w:color="auto" w:sz="4" w:space="0"/>
            </w:tcBorders>
            <w:noWrap w:val="0"/>
            <w:vAlign w:val="center"/>
          </w:tcPr>
          <w:p w14:paraId="2AAB9CC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X＜20</w:t>
            </w:r>
          </w:p>
        </w:tc>
      </w:tr>
      <w:tr w14:paraId="0B8026D8">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1310DCC9">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474F168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382045F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6A51621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3000≤Y＜30000</w:t>
            </w:r>
          </w:p>
        </w:tc>
        <w:tc>
          <w:tcPr>
            <w:tcW w:w="1709" w:type="dxa"/>
            <w:tcBorders>
              <w:top w:val="nil"/>
              <w:left w:val="nil"/>
              <w:bottom w:val="single" w:color="auto" w:sz="4" w:space="0"/>
              <w:right w:val="single" w:color="auto" w:sz="4" w:space="0"/>
            </w:tcBorders>
            <w:noWrap w:val="0"/>
            <w:vAlign w:val="center"/>
          </w:tcPr>
          <w:p w14:paraId="7D976DC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200≤Y＜3000</w:t>
            </w:r>
          </w:p>
        </w:tc>
        <w:tc>
          <w:tcPr>
            <w:tcW w:w="1098" w:type="dxa"/>
            <w:tcBorders>
              <w:top w:val="nil"/>
              <w:left w:val="nil"/>
              <w:bottom w:val="single" w:color="auto" w:sz="4" w:space="0"/>
              <w:right w:val="single" w:color="auto" w:sz="4" w:space="0"/>
            </w:tcBorders>
            <w:noWrap w:val="0"/>
            <w:vAlign w:val="center"/>
          </w:tcPr>
          <w:p w14:paraId="2BB2F6C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Y＜200</w:t>
            </w:r>
          </w:p>
        </w:tc>
      </w:tr>
      <w:tr w14:paraId="73EC4BB6">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267A5EA8">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仓储业</w:t>
            </w:r>
          </w:p>
        </w:tc>
        <w:tc>
          <w:tcPr>
            <w:tcW w:w="1642" w:type="dxa"/>
            <w:tcBorders>
              <w:top w:val="nil"/>
              <w:left w:val="nil"/>
              <w:bottom w:val="single" w:color="auto" w:sz="4" w:space="0"/>
              <w:right w:val="single" w:color="auto" w:sz="4" w:space="0"/>
            </w:tcBorders>
            <w:noWrap w:val="0"/>
            <w:vAlign w:val="center"/>
          </w:tcPr>
          <w:p w14:paraId="38192D9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3659F5D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3C36B31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100≤X＜200</w:t>
            </w:r>
          </w:p>
        </w:tc>
        <w:tc>
          <w:tcPr>
            <w:tcW w:w="1709" w:type="dxa"/>
            <w:tcBorders>
              <w:top w:val="nil"/>
              <w:left w:val="nil"/>
              <w:bottom w:val="single" w:color="auto" w:sz="4" w:space="0"/>
              <w:right w:val="single" w:color="auto" w:sz="4" w:space="0"/>
            </w:tcBorders>
            <w:noWrap w:val="0"/>
            <w:vAlign w:val="center"/>
          </w:tcPr>
          <w:p w14:paraId="678B366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20≤X＜100</w:t>
            </w:r>
          </w:p>
        </w:tc>
        <w:tc>
          <w:tcPr>
            <w:tcW w:w="1098" w:type="dxa"/>
            <w:tcBorders>
              <w:top w:val="nil"/>
              <w:left w:val="nil"/>
              <w:bottom w:val="single" w:color="auto" w:sz="4" w:space="0"/>
              <w:right w:val="single" w:color="auto" w:sz="4" w:space="0"/>
            </w:tcBorders>
            <w:noWrap w:val="0"/>
            <w:vAlign w:val="center"/>
          </w:tcPr>
          <w:p w14:paraId="201EEA4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X＜20</w:t>
            </w:r>
          </w:p>
        </w:tc>
      </w:tr>
      <w:tr w14:paraId="4B3DCEA7">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09ECB265">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25EFC83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012FE30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1344770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1000≤Y＜30000</w:t>
            </w:r>
          </w:p>
        </w:tc>
        <w:tc>
          <w:tcPr>
            <w:tcW w:w="1709" w:type="dxa"/>
            <w:tcBorders>
              <w:top w:val="nil"/>
              <w:left w:val="nil"/>
              <w:bottom w:val="single" w:color="auto" w:sz="4" w:space="0"/>
              <w:right w:val="single" w:color="auto" w:sz="4" w:space="0"/>
            </w:tcBorders>
            <w:noWrap w:val="0"/>
            <w:vAlign w:val="center"/>
          </w:tcPr>
          <w:p w14:paraId="409D350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100≤Y＜1000</w:t>
            </w:r>
          </w:p>
        </w:tc>
        <w:tc>
          <w:tcPr>
            <w:tcW w:w="1098" w:type="dxa"/>
            <w:tcBorders>
              <w:top w:val="nil"/>
              <w:left w:val="nil"/>
              <w:bottom w:val="single" w:color="auto" w:sz="4" w:space="0"/>
              <w:right w:val="single" w:color="auto" w:sz="4" w:space="0"/>
            </w:tcBorders>
            <w:noWrap w:val="0"/>
            <w:vAlign w:val="center"/>
          </w:tcPr>
          <w:p w14:paraId="372F959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380B05D3">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0B973B37">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邮政业</w:t>
            </w:r>
          </w:p>
        </w:tc>
        <w:tc>
          <w:tcPr>
            <w:tcW w:w="1642" w:type="dxa"/>
            <w:tcBorders>
              <w:top w:val="nil"/>
              <w:left w:val="nil"/>
              <w:bottom w:val="single" w:color="auto" w:sz="4" w:space="0"/>
              <w:right w:val="single" w:color="auto" w:sz="4" w:space="0"/>
            </w:tcBorders>
            <w:noWrap w:val="0"/>
            <w:vAlign w:val="center"/>
          </w:tcPr>
          <w:p w14:paraId="6364ED2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3802029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36D99FE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1709" w:type="dxa"/>
            <w:tcBorders>
              <w:top w:val="nil"/>
              <w:left w:val="nil"/>
              <w:bottom w:val="single" w:color="auto" w:sz="4" w:space="0"/>
              <w:right w:val="single" w:color="auto" w:sz="4" w:space="0"/>
            </w:tcBorders>
            <w:noWrap w:val="0"/>
            <w:vAlign w:val="center"/>
          </w:tcPr>
          <w:p w14:paraId="5DBC92E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20≤X＜300</w:t>
            </w:r>
          </w:p>
        </w:tc>
        <w:tc>
          <w:tcPr>
            <w:tcW w:w="1098" w:type="dxa"/>
            <w:tcBorders>
              <w:top w:val="nil"/>
              <w:left w:val="nil"/>
              <w:bottom w:val="single" w:color="auto" w:sz="4" w:space="0"/>
              <w:right w:val="single" w:color="auto" w:sz="4" w:space="0"/>
            </w:tcBorders>
            <w:noWrap w:val="0"/>
            <w:vAlign w:val="center"/>
          </w:tcPr>
          <w:p w14:paraId="7B908C2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X＜20</w:t>
            </w:r>
          </w:p>
        </w:tc>
      </w:tr>
      <w:tr w14:paraId="796BC15F">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7A855996">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54DC88D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2857E98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79E2DAD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2000≤Y＜30000</w:t>
            </w:r>
          </w:p>
        </w:tc>
        <w:tc>
          <w:tcPr>
            <w:tcW w:w="1709" w:type="dxa"/>
            <w:tcBorders>
              <w:top w:val="nil"/>
              <w:left w:val="nil"/>
              <w:bottom w:val="single" w:color="auto" w:sz="4" w:space="0"/>
              <w:right w:val="single" w:color="auto" w:sz="4" w:space="0"/>
            </w:tcBorders>
            <w:noWrap w:val="0"/>
            <w:vAlign w:val="center"/>
          </w:tcPr>
          <w:p w14:paraId="348F8C3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100≤Y＜2000</w:t>
            </w:r>
          </w:p>
        </w:tc>
        <w:tc>
          <w:tcPr>
            <w:tcW w:w="1098" w:type="dxa"/>
            <w:tcBorders>
              <w:top w:val="nil"/>
              <w:left w:val="nil"/>
              <w:bottom w:val="single" w:color="auto" w:sz="4" w:space="0"/>
              <w:right w:val="single" w:color="auto" w:sz="4" w:space="0"/>
            </w:tcBorders>
            <w:noWrap w:val="0"/>
            <w:vAlign w:val="center"/>
          </w:tcPr>
          <w:p w14:paraId="48F9D12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0069878A">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7C8B4B76">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住宿业</w:t>
            </w:r>
          </w:p>
        </w:tc>
        <w:tc>
          <w:tcPr>
            <w:tcW w:w="1642" w:type="dxa"/>
            <w:tcBorders>
              <w:top w:val="nil"/>
              <w:left w:val="nil"/>
              <w:bottom w:val="single" w:color="auto" w:sz="4" w:space="0"/>
              <w:right w:val="single" w:color="auto" w:sz="4" w:space="0"/>
            </w:tcBorders>
            <w:noWrap w:val="0"/>
            <w:vAlign w:val="center"/>
          </w:tcPr>
          <w:p w14:paraId="73C434F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69DE521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69D2D4C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9" w:type="dxa"/>
            <w:tcBorders>
              <w:top w:val="nil"/>
              <w:left w:val="nil"/>
              <w:bottom w:val="single" w:color="auto" w:sz="4" w:space="0"/>
              <w:right w:val="single" w:color="auto" w:sz="4" w:space="0"/>
            </w:tcBorders>
            <w:noWrap w:val="0"/>
            <w:vAlign w:val="center"/>
          </w:tcPr>
          <w:p w14:paraId="42D94A8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1098" w:type="dxa"/>
            <w:tcBorders>
              <w:top w:val="nil"/>
              <w:left w:val="nil"/>
              <w:bottom w:val="single" w:color="auto" w:sz="4" w:space="0"/>
              <w:right w:val="single" w:color="auto" w:sz="4" w:space="0"/>
            </w:tcBorders>
            <w:noWrap w:val="0"/>
            <w:vAlign w:val="center"/>
          </w:tcPr>
          <w:p w14:paraId="7727DC2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28D3F04B">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0E664576">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283B4A1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33F1A20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41603D4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2000≤Y＜10000</w:t>
            </w:r>
          </w:p>
        </w:tc>
        <w:tc>
          <w:tcPr>
            <w:tcW w:w="1709" w:type="dxa"/>
            <w:tcBorders>
              <w:top w:val="nil"/>
              <w:left w:val="nil"/>
              <w:bottom w:val="single" w:color="auto" w:sz="4" w:space="0"/>
              <w:right w:val="single" w:color="auto" w:sz="4" w:space="0"/>
            </w:tcBorders>
            <w:noWrap w:val="0"/>
            <w:vAlign w:val="center"/>
          </w:tcPr>
          <w:p w14:paraId="2807CAF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100≤Y＜2000</w:t>
            </w:r>
          </w:p>
        </w:tc>
        <w:tc>
          <w:tcPr>
            <w:tcW w:w="1098" w:type="dxa"/>
            <w:tcBorders>
              <w:top w:val="nil"/>
              <w:left w:val="nil"/>
              <w:bottom w:val="single" w:color="auto" w:sz="4" w:space="0"/>
              <w:right w:val="single" w:color="auto" w:sz="4" w:space="0"/>
            </w:tcBorders>
            <w:noWrap w:val="0"/>
            <w:vAlign w:val="center"/>
          </w:tcPr>
          <w:p w14:paraId="05FCD1C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2538FED1">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4060D732">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餐饮业</w:t>
            </w:r>
          </w:p>
        </w:tc>
        <w:tc>
          <w:tcPr>
            <w:tcW w:w="1642" w:type="dxa"/>
            <w:tcBorders>
              <w:top w:val="nil"/>
              <w:left w:val="nil"/>
              <w:bottom w:val="single" w:color="auto" w:sz="4" w:space="0"/>
              <w:right w:val="single" w:color="auto" w:sz="4" w:space="0"/>
            </w:tcBorders>
            <w:noWrap w:val="0"/>
            <w:vAlign w:val="center"/>
          </w:tcPr>
          <w:p w14:paraId="3213EAA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35351BB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46FAAB1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9" w:type="dxa"/>
            <w:tcBorders>
              <w:top w:val="nil"/>
              <w:left w:val="nil"/>
              <w:bottom w:val="single" w:color="auto" w:sz="4" w:space="0"/>
              <w:right w:val="single" w:color="auto" w:sz="4" w:space="0"/>
            </w:tcBorders>
            <w:noWrap w:val="0"/>
            <w:vAlign w:val="center"/>
          </w:tcPr>
          <w:p w14:paraId="0C942C8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1098" w:type="dxa"/>
            <w:tcBorders>
              <w:top w:val="nil"/>
              <w:left w:val="nil"/>
              <w:bottom w:val="single" w:color="auto" w:sz="4" w:space="0"/>
              <w:right w:val="single" w:color="auto" w:sz="4" w:space="0"/>
            </w:tcBorders>
            <w:noWrap w:val="0"/>
            <w:vAlign w:val="center"/>
          </w:tcPr>
          <w:p w14:paraId="63CE504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517AA39B">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2F4979D1">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16179EB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48C8287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0174ABD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2000≤Y＜10000</w:t>
            </w:r>
          </w:p>
        </w:tc>
        <w:tc>
          <w:tcPr>
            <w:tcW w:w="1709" w:type="dxa"/>
            <w:tcBorders>
              <w:top w:val="nil"/>
              <w:left w:val="nil"/>
              <w:bottom w:val="single" w:color="auto" w:sz="4" w:space="0"/>
              <w:right w:val="single" w:color="auto" w:sz="4" w:space="0"/>
            </w:tcBorders>
            <w:noWrap w:val="0"/>
            <w:vAlign w:val="center"/>
          </w:tcPr>
          <w:p w14:paraId="1579F98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100≤Y＜2000</w:t>
            </w:r>
          </w:p>
        </w:tc>
        <w:tc>
          <w:tcPr>
            <w:tcW w:w="1098" w:type="dxa"/>
            <w:tcBorders>
              <w:top w:val="nil"/>
              <w:left w:val="nil"/>
              <w:bottom w:val="single" w:color="auto" w:sz="4" w:space="0"/>
              <w:right w:val="single" w:color="auto" w:sz="4" w:space="0"/>
            </w:tcBorders>
            <w:noWrap w:val="0"/>
            <w:vAlign w:val="center"/>
          </w:tcPr>
          <w:p w14:paraId="373D878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7B2F8013">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64E185B4">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信息传输业</w:t>
            </w:r>
          </w:p>
        </w:tc>
        <w:tc>
          <w:tcPr>
            <w:tcW w:w="1642" w:type="dxa"/>
            <w:tcBorders>
              <w:top w:val="nil"/>
              <w:left w:val="nil"/>
              <w:bottom w:val="single" w:color="auto" w:sz="4" w:space="0"/>
              <w:right w:val="single" w:color="auto" w:sz="4" w:space="0"/>
            </w:tcBorders>
            <w:noWrap w:val="0"/>
            <w:vAlign w:val="center"/>
          </w:tcPr>
          <w:p w14:paraId="4C49B7E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7E4EEE2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5DB47F0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100≤X＜2000</w:t>
            </w:r>
          </w:p>
        </w:tc>
        <w:tc>
          <w:tcPr>
            <w:tcW w:w="1709" w:type="dxa"/>
            <w:tcBorders>
              <w:top w:val="nil"/>
              <w:left w:val="nil"/>
              <w:bottom w:val="single" w:color="auto" w:sz="4" w:space="0"/>
              <w:right w:val="single" w:color="auto" w:sz="4" w:space="0"/>
            </w:tcBorders>
            <w:noWrap w:val="0"/>
            <w:vAlign w:val="center"/>
          </w:tcPr>
          <w:p w14:paraId="3914114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1098" w:type="dxa"/>
            <w:tcBorders>
              <w:top w:val="nil"/>
              <w:left w:val="nil"/>
              <w:bottom w:val="single" w:color="auto" w:sz="4" w:space="0"/>
              <w:right w:val="single" w:color="auto" w:sz="4" w:space="0"/>
            </w:tcBorders>
            <w:noWrap w:val="0"/>
            <w:vAlign w:val="center"/>
          </w:tcPr>
          <w:p w14:paraId="520A97A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0509DDB7">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3609C876">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43997F4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648048E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70A446E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1000≤Y＜100000</w:t>
            </w:r>
          </w:p>
        </w:tc>
        <w:tc>
          <w:tcPr>
            <w:tcW w:w="1709" w:type="dxa"/>
            <w:tcBorders>
              <w:top w:val="nil"/>
              <w:left w:val="nil"/>
              <w:bottom w:val="single" w:color="auto" w:sz="4" w:space="0"/>
              <w:right w:val="single" w:color="auto" w:sz="4" w:space="0"/>
            </w:tcBorders>
            <w:noWrap w:val="0"/>
            <w:vAlign w:val="center"/>
          </w:tcPr>
          <w:p w14:paraId="41E166A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100≤Y＜1000</w:t>
            </w:r>
          </w:p>
        </w:tc>
        <w:tc>
          <w:tcPr>
            <w:tcW w:w="1098" w:type="dxa"/>
            <w:tcBorders>
              <w:top w:val="nil"/>
              <w:left w:val="nil"/>
              <w:bottom w:val="single" w:color="auto" w:sz="4" w:space="0"/>
              <w:right w:val="single" w:color="auto" w:sz="4" w:space="0"/>
            </w:tcBorders>
            <w:noWrap w:val="0"/>
            <w:vAlign w:val="center"/>
          </w:tcPr>
          <w:p w14:paraId="27E72D0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70EC7663">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63E7CABF">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软件和信息技术服务业</w:t>
            </w:r>
          </w:p>
        </w:tc>
        <w:tc>
          <w:tcPr>
            <w:tcW w:w="1642" w:type="dxa"/>
            <w:tcBorders>
              <w:top w:val="nil"/>
              <w:left w:val="nil"/>
              <w:bottom w:val="single" w:color="auto" w:sz="4" w:space="0"/>
              <w:right w:val="single" w:color="auto" w:sz="4" w:space="0"/>
            </w:tcBorders>
            <w:noWrap w:val="0"/>
            <w:vAlign w:val="center"/>
          </w:tcPr>
          <w:p w14:paraId="3EA5674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24F638B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36C0052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9" w:type="dxa"/>
            <w:tcBorders>
              <w:top w:val="nil"/>
              <w:left w:val="nil"/>
              <w:bottom w:val="single" w:color="auto" w:sz="4" w:space="0"/>
              <w:right w:val="single" w:color="auto" w:sz="4" w:space="0"/>
            </w:tcBorders>
            <w:noWrap w:val="0"/>
            <w:vAlign w:val="center"/>
          </w:tcPr>
          <w:p w14:paraId="4C93D62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1098" w:type="dxa"/>
            <w:tcBorders>
              <w:top w:val="nil"/>
              <w:left w:val="nil"/>
              <w:bottom w:val="single" w:color="auto" w:sz="4" w:space="0"/>
              <w:right w:val="single" w:color="auto" w:sz="4" w:space="0"/>
            </w:tcBorders>
            <w:noWrap w:val="0"/>
            <w:vAlign w:val="center"/>
          </w:tcPr>
          <w:p w14:paraId="468FFB0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2632E841">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26D26D7F">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5B960C2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7C139C4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73D9862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1000≤Y＜10000</w:t>
            </w:r>
          </w:p>
        </w:tc>
        <w:tc>
          <w:tcPr>
            <w:tcW w:w="1709" w:type="dxa"/>
            <w:tcBorders>
              <w:top w:val="nil"/>
              <w:left w:val="nil"/>
              <w:bottom w:val="single" w:color="auto" w:sz="4" w:space="0"/>
              <w:right w:val="single" w:color="auto" w:sz="4" w:space="0"/>
            </w:tcBorders>
            <w:noWrap w:val="0"/>
            <w:vAlign w:val="center"/>
          </w:tcPr>
          <w:p w14:paraId="4D88705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50≤Y＜1000</w:t>
            </w:r>
          </w:p>
        </w:tc>
        <w:tc>
          <w:tcPr>
            <w:tcW w:w="1098" w:type="dxa"/>
            <w:tcBorders>
              <w:top w:val="nil"/>
              <w:left w:val="nil"/>
              <w:bottom w:val="single" w:color="auto" w:sz="4" w:space="0"/>
              <w:right w:val="single" w:color="auto" w:sz="4" w:space="0"/>
            </w:tcBorders>
            <w:noWrap w:val="0"/>
            <w:vAlign w:val="center"/>
          </w:tcPr>
          <w:p w14:paraId="792A742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Y＜50</w:t>
            </w:r>
          </w:p>
        </w:tc>
      </w:tr>
      <w:tr w14:paraId="3337AE4D">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3A12BF1B">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房地产开发经营</w:t>
            </w:r>
          </w:p>
        </w:tc>
        <w:tc>
          <w:tcPr>
            <w:tcW w:w="1642" w:type="dxa"/>
            <w:tcBorders>
              <w:top w:val="nil"/>
              <w:left w:val="nil"/>
              <w:bottom w:val="single" w:color="auto" w:sz="4" w:space="0"/>
              <w:right w:val="single" w:color="auto" w:sz="4" w:space="0"/>
            </w:tcBorders>
            <w:noWrap w:val="0"/>
            <w:vAlign w:val="center"/>
          </w:tcPr>
          <w:p w14:paraId="0CA95E5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2C2CFA1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40EF916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1000≤Y＜200000</w:t>
            </w:r>
          </w:p>
        </w:tc>
        <w:tc>
          <w:tcPr>
            <w:tcW w:w="1709" w:type="dxa"/>
            <w:tcBorders>
              <w:top w:val="nil"/>
              <w:left w:val="nil"/>
              <w:bottom w:val="single" w:color="auto" w:sz="4" w:space="0"/>
              <w:right w:val="single" w:color="auto" w:sz="4" w:space="0"/>
            </w:tcBorders>
            <w:noWrap w:val="0"/>
            <w:vAlign w:val="center"/>
          </w:tcPr>
          <w:p w14:paraId="20FCAFC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100≤X＜1000</w:t>
            </w:r>
          </w:p>
        </w:tc>
        <w:tc>
          <w:tcPr>
            <w:tcW w:w="1098" w:type="dxa"/>
            <w:tcBorders>
              <w:top w:val="nil"/>
              <w:left w:val="nil"/>
              <w:bottom w:val="single" w:color="auto" w:sz="4" w:space="0"/>
              <w:right w:val="single" w:color="auto" w:sz="4" w:space="0"/>
            </w:tcBorders>
            <w:noWrap w:val="0"/>
            <w:vAlign w:val="center"/>
          </w:tcPr>
          <w:p w14:paraId="0CA67B5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X＜100</w:t>
            </w:r>
          </w:p>
        </w:tc>
      </w:tr>
      <w:tr w14:paraId="0063AB8B">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3CE8B835">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392CABC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资产总额（Z）</w:t>
            </w:r>
          </w:p>
        </w:tc>
        <w:tc>
          <w:tcPr>
            <w:tcW w:w="1084" w:type="dxa"/>
            <w:tcBorders>
              <w:top w:val="nil"/>
              <w:left w:val="nil"/>
              <w:bottom w:val="single" w:color="auto" w:sz="4" w:space="0"/>
              <w:right w:val="single" w:color="auto" w:sz="4" w:space="0"/>
            </w:tcBorders>
            <w:noWrap w:val="0"/>
            <w:vAlign w:val="center"/>
          </w:tcPr>
          <w:p w14:paraId="129D6B5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27ED20D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5000≤Z＜10000</w:t>
            </w:r>
          </w:p>
        </w:tc>
        <w:tc>
          <w:tcPr>
            <w:tcW w:w="1709" w:type="dxa"/>
            <w:tcBorders>
              <w:top w:val="nil"/>
              <w:left w:val="nil"/>
              <w:bottom w:val="single" w:color="auto" w:sz="4" w:space="0"/>
              <w:right w:val="single" w:color="auto" w:sz="4" w:space="0"/>
            </w:tcBorders>
            <w:noWrap w:val="0"/>
            <w:vAlign w:val="center"/>
          </w:tcPr>
          <w:p w14:paraId="6F868C2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2000≤Y＜5000</w:t>
            </w:r>
          </w:p>
        </w:tc>
        <w:tc>
          <w:tcPr>
            <w:tcW w:w="1098" w:type="dxa"/>
            <w:tcBorders>
              <w:top w:val="nil"/>
              <w:left w:val="nil"/>
              <w:bottom w:val="single" w:color="auto" w:sz="4" w:space="0"/>
              <w:right w:val="single" w:color="auto" w:sz="4" w:space="0"/>
            </w:tcBorders>
            <w:noWrap w:val="0"/>
            <w:vAlign w:val="center"/>
          </w:tcPr>
          <w:p w14:paraId="31599D2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Y＜2000</w:t>
            </w:r>
          </w:p>
        </w:tc>
      </w:tr>
      <w:tr w14:paraId="062074FF">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6935ED2D">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物业管理</w:t>
            </w:r>
          </w:p>
        </w:tc>
        <w:tc>
          <w:tcPr>
            <w:tcW w:w="1642" w:type="dxa"/>
            <w:tcBorders>
              <w:top w:val="nil"/>
              <w:left w:val="nil"/>
              <w:bottom w:val="single" w:color="auto" w:sz="4" w:space="0"/>
              <w:right w:val="single" w:color="auto" w:sz="4" w:space="0"/>
            </w:tcBorders>
            <w:noWrap w:val="0"/>
            <w:vAlign w:val="center"/>
          </w:tcPr>
          <w:p w14:paraId="1BFEE62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75DCCC1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7A8FCC7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1709" w:type="dxa"/>
            <w:tcBorders>
              <w:top w:val="nil"/>
              <w:left w:val="nil"/>
              <w:bottom w:val="single" w:color="auto" w:sz="4" w:space="0"/>
              <w:right w:val="single" w:color="auto" w:sz="4" w:space="0"/>
            </w:tcBorders>
            <w:noWrap w:val="0"/>
            <w:vAlign w:val="center"/>
          </w:tcPr>
          <w:p w14:paraId="082CEAE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098" w:type="dxa"/>
            <w:tcBorders>
              <w:top w:val="nil"/>
              <w:left w:val="nil"/>
              <w:bottom w:val="single" w:color="auto" w:sz="4" w:space="0"/>
              <w:right w:val="single" w:color="auto" w:sz="4" w:space="0"/>
            </w:tcBorders>
            <w:noWrap w:val="0"/>
            <w:vAlign w:val="center"/>
          </w:tcPr>
          <w:p w14:paraId="46DF35E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X＜100</w:t>
            </w:r>
          </w:p>
        </w:tc>
      </w:tr>
      <w:tr w14:paraId="268BEAB8">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4A096574">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47432DD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2B65F70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78E8581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1000≤Y＜5000</w:t>
            </w:r>
          </w:p>
        </w:tc>
        <w:tc>
          <w:tcPr>
            <w:tcW w:w="1709" w:type="dxa"/>
            <w:tcBorders>
              <w:top w:val="nil"/>
              <w:left w:val="nil"/>
              <w:bottom w:val="single" w:color="auto" w:sz="4" w:space="0"/>
              <w:right w:val="single" w:color="auto" w:sz="4" w:space="0"/>
            </w:tcBorders>
            <w:noWrap w:val="0"/>
            <w:vAlign w:val="center"/>
          </w:tcPr>
          <w:p w14:paraId="04F6418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500≤Y＜1000</w:t>
            </w:r>
          </w:p>
        </w:tc>
        <w:tc>
          <w:tcPr>
            <w:tcW w:w="1098" w:type="dxa"/>
            <w:tcBorders>
              <w:top w:val="nil"/>
              <w:left w:val="nil"/>
              <w:bottom w:val="single" w:color="auto" w:sz="4" w:space="0"/>
              <w:right w:val="single" w:color="auto" w:sz="4" w:space="0"/>
            </w:tcBorders>
            <w:noWrap w:val="0"/>
            <w:vAlign w:val="center"/>
          </w:tcPr>
          <w:p w14:paraId="48B3E9A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Y＜500</w:t>
            </w:r>
          </w:p>
        </w:tc>
      </w:tr>
      <w:tr w14:paraId="7F5A9CE3">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758B25A8">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租赁和商务服务业</w:t>
            </w:r>
          </w:p>
        </w:tc>
        <w:tc>
          <w:tcPr>
            <w:tcW w:w="1642" w:type="dxa"/>
            <w:tcBorders>
              <w:top w:val="nil"/>
              <w:left w:val="nil"/>
              <w:bottom w:val="single" w:color="auto" w:sz="4" w:space="0"/>
              <w:right w:val="single" w:color="auto" w:sz="4" w:space="0"/>
            </w:tcBorders>
            <w:noWrap w:val="0"/>
            <w:vAlign w:val="center"/>
          </w:tcPr>
          <w:p w14:paraId="4CF164A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3647917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50F7A06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9" w:type="dxa"/>
            <w:tcBorders>
              <w:top w:val="nil"/>
              <w:left w:val="nil"/>
              <w:bottom w:val="single" w:color="auto" w:sz="4" w:space="0"/>
              <w:right w:val="single" w:color="auto" w:sz="4" w:space="0"/>
            </w:tcBorders>
            <w:noWrap w:val="0"/>
            <w:vAlign w:val="center"/>
          </w:tcPr>
          <w:p w14:paraId="303D89D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1098" w:type="dxa"/>
            <w:tcBorders>
              <w:top w:val="nil"/>
              <w:left w:val="nil"/>
              <w:bottom w:val="single" w:color="auto" w:sz="4" w:space="0"/>
              <w:right w:val="single" w:color="auto" w:sz="4" w:space="0"/>
            </w:tcBorders>
            <w:noWrap w:val="0"/>
            <w:vAlign w:val="center"/>
          </w:tcPr>
          <w:p w14:paraId="620F079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461D538C">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02106788">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5C6B8BC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资产总额（Z）</w:t>
            </w:r>
          </w:p>
        </w:tc>
        <w:tc>
          <w:tcPr>
            <w:tcW w:w="1084" w:type="dxa"/>
            <w:tcBorders>
              <w:top w:val="nil"/>
              <w:left w:val="nil"/>
              <w:bottom w:val="single" w:color="auto" w:sz="4" w:space="0"/>
              <w:right w:val="single" w:color="auto" w:sz="4" w:space="0"/>
            </w:tcBorders>
            <w:noWrap w:val="0"/>
            <w:vAlign w:val="center"/>
          </w:tcPr>
          <w:p w14:paraId="02E2F41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36B960B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8000≤Z＜120000</w:t>
            </w:r>
          </w:p>
        </w:tc>
        <w:tc>
          <w:tcPr>
            <w:tcW w:w="1709" w:type="dxa"/>
            <w:tcBorders>
              <w:top w:val="nil"/>
              <w:left w:val="nil"/>
              <w:bottom w:val="single" w:color="auto" w:sz="4" w:space="0"/>
              <w:right w:val="single" w:color="auto" w:sz="4" w:space="0"/>
            </w:tcBorders>
            <w:noWrap w:val="0"/>
            <w:vAlign w:val="center"/>
          </w:tcPr>
          <w:p w14:paraId="4EFEE20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100≤Z＜8000</w:t>
            </w:r>
          </w:p>
        </w:tc>
        <w:tc>
          <w:tcPr>
            <w:tcW w:w="1098" w:type="dxa"/>
            <w:tcBorders>
              <w:top w:val="nil"/>
              <w:left w:val="nil"/>
              <w:bottom w:val="single" w:color="auto" w:sz="4" w:space="0"/>
              <w:right w:val="single" w:color="auto" w:sz="4" w:space="0"/>
            </w:tcBorders>
            <w:noWrap w:val="0"/>
            <w:vAlign w:val="center"/>
          </w:tcPr>
          <w:p w14:paraId="037A33C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236CEDE7">
        <w:tblPrEx>
          <w:tblCellMar>
            <w:top w:w="0" w:type="dxa"/>
            <w:left w:w="108" w:type="dxa"/>
            <w:bottom w:w="0" w:type="dxa"/>
            <w:right w:w="108" w:type="dxa"/>
          </w:tblCellMar>
        </w:tblPrEx>
        <w:trPr>
          <w:trHeight w:val="346" w:hRule="atLeast"/>
          <w:jc w:val="center"/>
        </w:trPr>
        <w:tc>
          <w:tcPr>
            <w:tcW w:w="2020" w:type="dxa"/>
            <w:tcBorders>
              <w:top w:val="nil"/>
              <w:left w:val="single" w:color="auto" w:sz="4" w:space="0"/>
              <w:bottom w:val="single" w:color="auto" w:sz="4" w:space="0"/>
              <w:right w:val="single" w:color="auto" w:sz="4" w:space="0"/>
            </w:tcBorders>
            <w:noWrap w:val="0"/>
            <w:vAlign w:val="bottom"/>
          </w:tcPr>
          <w:p w14:paraId="5247F046">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其他未列明行业</w:t>
            </w:r>
          </w:p>
        </w:tc>
        <w:tc>
          <w:tcPr>
            <w:tcW w:w="1642" w:type="dxa"/>
            <w:tcBorders>
              <w:top w:val="nil"/>
              <w:left w:val="nil"/>
              <w:bottom w:val="single" w:color="auto" w:sz="4" w:space="0"/>
              <w:right w:val="single" w:color="auto" w:sz="4" w:space="0"/>
            </w:tcBorders>
            <w:noWrap w:val="0"/>
            <w:vAlign w:val="center"/>
          </w:tcPr>
          <w:p w14:paraId="75C66CB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6A5D72E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65657C0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9" w:type="dxa"/>
            <w:tcBorders>
              <w:top w:val="nil"/>
              <w:left w:val="nil"/>
              <w:bottom w:val="single" w:color="auto" w:sz="4" w:space="0"/>
              <w:right w:val="single" w:color="auto" w:sz="4" w:space="0"/>
            </w:tcBorders>
            <w:noWrap w:val="0"/>
            <w:vAlign w:val="center"/>
          </w:tcPr>
          <w:p w14:paraId="09C2ABA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1098" w:type="dxa"/>
            <w:tcBorders>
              <w:top w:val="nil"/>
              <w:left w:val="nil"/>
              <w:bottom w:val="single" w:color="auto" w:sz="4" w:space="0"/>
              <w:right w:val="single" w:color="auto" w:sz="4" w:space="0"/>
            </w:tcBorders>
            <w:noWrap w:val="0"/>
            <w:vAlign w:val="center"/>
          </w:tcPr>
          <w:p w14:paraId="40B5B81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bl>
    <w:p w14:paraId="58772C25">
      <w:pPr>
        <w:spacing w:line="360" w:lineRule="auto"/>
        <w:ind w:firstLine="525" w:firstLineChars="250"/>
        <w:rPr>
          <w:rFonts w:hint="eastAsia" w:ascii="宋体" w:hAnsi="宋体" w:cs="宋体"/>
          <w:color w:val="auto"/>
          <w:szCs w:val="21"/>
          <w:highlight w:val="none"/>
        </w:rPr>
      </w:pPr>
      <w:r>
        <w:rPr>
          <w:rFonts w:hint="eastAsia" w:ascii="宋体" w:hAnsi="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4067787B">
      <w:pPr>
        <w:pStyle w:val="27"/>
        <w:rPr>
          <w:rFonts w:hint="eastAsia"/>
          <w:color w:val="auto"/>
          <w:highlight w:val="none"/>
        </w:rPr>
      </w:pPr>
    </w:p>
    <w:p w14:paraId="3BC79F68">
      <w:pPr>
        <w:pStyle w:val="2"/>
        <w:keepNext w:val="0"/>
        <w:keepLines w:val="0"/>
        <w:tabs>
          <w:tab w:val="left" w:pos="0"/>
          <w:tab w:val="left" w:pos="3165"/>
          <w:tab w:val="center" w:pos="4153"/>
        </w:tabs>
        <w:autoSpaceDE w:val="0"/>
        <w:autoSpaceDN w:val="0"/>
        <w:adjustRightInd w:val="0"/>
        <w:spacing w:before="0" w:after="0" w:line="240" w:lineRule="auto"/>
        <w:jc w:val="center"/>
        <w:rPr>
          <w:rFonts w:hint="eastAsia" w:ascii="宋体" w:hAnsi="宋体" w:cs="宋体"/>
          <w:color w:val="auto"/>
          <w:highlight w:val="none"/>
        </w:rPr>
      </w:pPr>
      <w:bookmarkStart w:id="50" w:name="_Toc24453"/>
      <w:bookmarkStart w:id="51" w:name="_Toc21295"/>
      <w:bookmarkStart w:id="52" w:name="_Toc6950"/>
      <w:r>
        <w:rPr>
          <w:rFonts w:hint="eastAsia" w:ascii="宋体" w:hAnsi="宋体" w:cs="宋体"/>
          <w:color w:val="auto"/>
          <w:highlight w:val="none"/>
        </w:rPr>
        <w:t>第三章  投标人须知</w:t>
      </w:r>
      <w:bookmarkEnd w:id="50"/>
      <w:bookmarkEnd w:id="51"/>
      <w:bookmarkEnd w:id="52"/>
    </w:p>
    <w:p w14:paraId="79253C80">
      <w:pPr>
        <w:pStyle w:val="3"/>
        <w:spacing w:line="240" w:lineRule="auto"/>
        <w:jc w:val="center"/>
        <w:rPr>
          <w:rFonts w:hint="eastAsia" w:ascii="宋体" w:hAnsi="宋体" w:eastAsia="宋体" w:cs="宋体"/>
          <w:color w:val="auto"/>
          <w:sz w:val="36"/>
          <w:szCs w:val="36"/>
          <w:highlight w:val="none"/>
        </w:rPr>
      </w:pPr>
      <w:bookmarkStart w:id="53" w:name="_Toc254970667"/>
      <w:bookmarkStart w:id="54" w:name="_Toc4963"/>
      <w:bookmarkStart w:id="55" w:name="_Toc254970526"/>
      <w:bookmarkStart w:id="56" w:name="_Toc25167"/>
      <w:bookmarkStart w:id="57" w:name="_Toc3016"/>
      <w:r>
        <w:rPr>
          <w:rFonts w:hint="eastAsia" w:ascii="宋体" w:hAnsi="宋体" w:eastAsia="宋体" w:cs="宋体"/>
          <w:color w:val="auto"/>
          <w:sz w:val="36"/>
          <w:szCs w:val="36"/>
          <w:highlight w:val="none"/>
        </w:rPr>
        <w:t>投标人须知前附表</w:t>
      </w:r>
      <w:bookmarkEnd w:id="53"/>
      <w:bookmarkEnd w:id="54"/>
      <w:bookmarkEnd w:id="55"/>
      <w:bookmarkEnd w:id="56"/>
      <w:bookmarkEnd w:id="57"/>
    </w:p>
    <w:tbl>
      <w:tblPr>
        <w:tblStyle w:val="40"/>
        <w:tblW w:w="915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78"/>
        <w:gridCol w:w="8175"/>
      </w:tblGrid>
      <w:tr w14:paraId="48ED57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7D0B3FC2">
            <w:pPr>
              <w:keepNext w:val="0"/>
              <w:keepLines w:val="0"/>
              <w:pageBreakBefore w:val="0"/>
              <w:widowControl w:val="0"/>
              <w:kinsoku/>
              <w:overflowPunct/>
              <w:topLinePunct w:val="0"/>
              <w:bidi w:val="0"/>
              <w:spacing w:before="120" w:beforeLines="50"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条款号</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64010208">
            <w:pPr>
              <w:keepNext w:val="0"/>
              <w:keepLines w:val="0"/>
              <w:pageBreakBefore w:val="0"/>
              <w:widowControl w:val="0"/>
              <w:kinsoku/>
              <w:overflowPunct/>
              <w:topLinePunct w:val="0"/>
              <w:bidi w:val="0"/>
              <w:spacing w:before="120" w:beforeLines="50"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编列内容</w:t>
            </w:r>
          </w:p>
        </w:tc>
      </w:tr>
      <w:tr w14:paraId="39DF9D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740AB504">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6A8B1F98">
            <w:pPr>
              <w:keepNext w:val="0"/>
              <w:keepLines w:val="0"/>
              <w:pageBreakBefore w:val="0"/>
              <w:widowControl w:val="0"/>
              <w:kinsoku/>
              <w:wordWrap w:val="0"/>
              <w:overflowPunct/>
              <w:topLinePunct w:val="0"/>
              <w:bidi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1.投标人的资格要求详见招标公告。</w:t>
            </w:r>
          </w:p>
          <w:p w14:paraId="234F80DD">
            <w:pPr>
              <w:keepNext w:val="0"/>
              <w:keepLines w:val="0"/>
              <w:pageBreakBefore w:val="0"/>
              <w:widowControl w:val="0"/>
              <w:kinsoku/>
              <w:wordWrap w:val="0"/>
              <w:overflowPunct/>
              <w:topLinePunct w:val="0"/>
              <w:bidi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2.投标人出现下列情形之一的，不得参加政府采购活动：</w:t>
            </w:r>
          </w:p>
          <w:p w14:paraId="76D71BB9">
            <w:pPr>
              <w:keepNext w:val="0"/>
              <w:keepLines w:val="0"/>
              <w:pageBreakBefore w:val="0"/>
              <w:widowControl w:val="0"/>
              <w:kinsoku/>
              <w:wordWrap w:val="0"/>
              <w:overflowPunct/>
              <w:topLinePunct w:val="0"/>
              <w:bidi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542FEA1">
            <w:pPr>
              <w:keepNext w:val="0"/>
              <w:keepLines w:val="0"/>
              <w:pageBreakBefore w:val="0"/>
              <w:widowControl w:val="0"/>
              <w:kinsoku/>
              <w:wordWrap w:val="0"/>
              <w:overflowPunct/>
              <w:topLinePunct w:val="0"/>
              <w:bidi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2.2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62A859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213BD8C4">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58" w:name="_8.1"/>
            <w:bookmarkEnd w:id="58"/>
            <w:bookmarkStart w:id="59" w:name="_5"/>
            <w:bookmarkEnd w:id="59"/>
            <w:bookmarkStart w:id="60" w:name="_9.2"/>
            <w:bookmarkEnd w:id="60"/>
            <w:r>
              <w:rPr>
                <w:rFonts w:hint="eastAsia" w:ascii="宋体" w:hAnsi="宋体" w:cs="宋体"/>
                <w:color w:val="auto"/>
                <w:szCs w:val="21"/>
                <w:highlight w:val="none"/>
              </w:rPr>
              <w:t>6.1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466E7ECC">
            <w:pPr>
              <w:pStyle w:val="16"/>
              <w:keepNext w:val="0"/>
              <w:keepLines w:val="0"/>
              <w:pageBreakBefore w:val="0"/>
              <w:widowControl w:val="0"/>
              <w:kinsoku/>
              <w:overflowPunct/>
              <w:topLinePunct w:val="0"/>
              <w:bidi w:val="0"/>
              <w:spacing w:line="400" w:lineRule="exact"/>
              <w:rPr>
                <w:rFonts w:hint="eastAsia" w:ascii="宋体" w:hAnsi="宋体" w:cs="宋体"/>
                <w:b/>
                <w:color w:val="auto"/>
                <w:szCs w:val="21"/>
                <w:highlight w:val="none"/>
              </w:rPr>
            </w:pPr>
            <w:r>
              <w:rPr>
                <w:rFonts w:hint="eastAsia" w:ascii="宋体" w:hAnsi="宋体" w:cs="宋体"/>
                <w:color w:val="auto"/>
                <w:szCs w:val="21"/>
                <w:highlight w:val="none"/>
              </w:rPr>
              <w:t>本项目是否接受联合体投标：详见招标公告。</w:t>
            </w:r>
          </w:p>
        </w:tc>
      </w:tr>
      <w:tr w14:paraId="1A302E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37657A92">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6.2</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0C68A8D3">
            <w:pPr>
              <w:pStyle w:val="16"/>
              <w:keepNext w:val="0"/>
              <w:keepLines w:val="0"/>
              <w:pageBreakBefore w:val="0"/>
              <w:widowControl w:val="0"/>
              <w:kinsoku/>
              <w:overflowPunct/>
              <w:topLinePunct w:val="0"/>
              <w:bidi w:val="0"/>
              <w:spacing w:line="400" w:lineRule="exact"/>
              <w:rPr>
                <w:rFonts w:hint="eastAsia" w:ascii="宋体" w:hAnsi="宋体" w:cs="宋体"/>
                <w:color w:val="auto"/>
                <w:szCs w:val="21"/>
                <w:highlight w:val="none"/>
              </w:rPr>
            </w:pPr>
            <w:bookmarkStart w:id="61" w:name="_Hlk54105293"/>
            <w:r>
              <w:rPr>
                <w:rFonts w:hint="eastAsia" w:ascii="宋体" w:hAnsi="宋体" w:cs="宋体"/>
                <w:color w:val="auto"/>
                <w:szCs w:val="21"/>
                <w:highlight w:val="none"/>
              </w:rPr>
              <w:t>如接受联合体投标，</w:t>
            </w:r>
            <w:bookmarkEnd w:id="61"/>
            <w:r>
              <w:rPr>
                <w:rFonts w:hint="eastAsia" w:ascii="宋体" w:hAnsi="宋体" w:cs="宋体"/>
                <w:color w:val="auto"/>
                <w:szCs w:val="21"/>
                <w:highlight w:val="none"/>
              </w:rPr>
              <w:t>联合体投标要求如下：</w:t>
            </w:r>
          </w:p>
          <w:p w14:paraId="7D3E6CA5">
            <w:pPr>
              <w:pStyle w:val="16"/>
              <w:keepNext w:val="0"/>
              <w:keepLines w:val="0"/>
              <w:pageBreakBefore w:val="0"/>
              <w:widowControl w:val="0"/>
              <w:kinsoku/>
              <w:overflowPunct/>
              <w:topLinePunct w:val="0"/>
              <w:bidi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1.两个或两个以上投标人可以组成一个投标联合体，以一个投标人的身份共同参加投标。</w:t>
            </w:r>
            <w:r>
              <w:rPr>
                <w:rFonts w:hint="eastAsia" w:ascii="宋体" w:hAnsi="宋体" w:cs="宋体"/>
                <w:b/>
                <w:bCs/>
                <w:color w:val="auto"/>
                <w:szCs w:val="21"/>
                <w:highlight w:val="none"/>
              </w:rPr>
              <w:t>联合体投标人的名称应统一按“XXX公司与XXX公司的联合体”的规则填写</w:t>
            </w:r>
            <w:r>
              <w:rPr>
                <w:rFonts w:hint="eastAsia" w:ascii="宋体" w:hAnsi="宋体" w:cs="宋体"/>
                <w:color w:val="auto"/>
                <w:szCs w:val="21"/>
                <w:highlight w:val="none"/>
              </w:rPr>
              <w:t>。联合体投标的，须提供《联合体投标协议书》（格式后附）。</w:t>
            </w:r>
          </w:p>
          <w:p w14:paraId="3A6DABA7">
            <w:pPr>
              <w:pStyle w:val="16"/>
              <w:keepNext w:val="0"/>
              <w:keepLines w:val="0"/>
              <w:pageBreakBefore w:val="0"/>
              <w:widowControl w:val="0"/>
              <w:kinsoku/>
              <w:overflowPunct/>
              <w:topLinePunct w:val="0"/>
              <w:bidi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规定的特定条件。</w:t>
            </w:r>
          </w:p>
          <w:p w14:paraId="230D3D3D">
            <w:pPr>
              <w:pStyle w:val="16"/>
              <w:keepNext w:val="0"/>
              <w:keepLines w:val="0"/>
              <w:pageBreakBefore w:val="0"/>
              <w:widowControl w:val="0"/>
              <w:kinsoku/>
              <w:overflowPunct/>
              <w:topLinePunct w:val="0"/>
              <w:bidi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3.联合体各方之间必须签订联合投标协议，协议书必须明确主体方（或者牵头方）并明确约定联合体各方承担的工作和相应的责任（</w:t>
            </w:r>
            <w:r>
              <w:rPr>
                <w:rFonts w:hint="eastAsia" w:ascii="宋体" w:hAnsi="宋体" w:cs="宋体"/>
                <w:b/>
                <w:color w:val="auto"/>
                <w:szCs w:val="21"/>
                <w:highlight w:val="none"/>
              </w:rPr>
              <w:t>各方承担责任与义务的分工必须符合采购需求，否则，联合体投标无效</w:t>
            </w:r>
            <w:r>
              <w:rPr>
                <w:rFonts w:hint="eastAsia" w:ascii="宋体" w:hAnsi="宋体" w:cs="宋体"/>
                <w:color w:val="auto"/>
                <w:szCs w:val="21"/>
                <w:highlight w:val="none"/>
              </w:rPr>
              <w:t>），并将联合投标协议放入投标文件。联合体各方必须共同与采购人签订采购合同，就采购合同约定的事项对采购人承担连带责任。</w:t>
            </w:r>
          </w:p>
          <w:p w14:paraId="01C2C2F0">
            <w:pPr>
              <w:pStyle w:val="16"/>
              <w:keepNext w:val="0"/>
              <w:keepLines w:val="0"/>
              <w:pageBreakBefore w:val="0"/>
              <w:widowControl w:val="0"/>
              <w:kinsoku/>
              <w:overflowPunct/>
              <w:topLinePunct w:val="0"/>
              <w:bidi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4.以联合体形式参加政府采购活动的，联合体各方不得再单独参加或者与其他投标人另外组成联合体参加同一合同项下的政府采购活动。</w:t>
            </w:r>
          </w:p>
          <w:p w14:paraId="651FAE57">
            <w:pPr>
              <w:pStyle w:val="16"/>
              <w:keepNext w:val="0"/>
              <w:keepLines w:val="0"/>
              <w:pageBreakBefore w:val="0"/>
              <w:widowControl w:val="0"/>
              <w:kinsoku/>
              <w:overflowPunct/>
              <w:topLinePunct w:val="0"/>
              <w:bidi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5.联合体中有同类资质的投标人按照联合体分工承担相同工作的，应当按照资质等级较低的投标人确定资质等级。</w:t>
            </w:r>
          </w:p>
          <w:p w14:paraId="257B55FE">
            <w:pPr>
              <w:pStyle w:val="16"/>
              <w:keepNext w:val="0"/>
              <w:keepLines w:val="0"/>
              <w:pageBreakBefore w:val="0"/>
              <w:widowControl w:val="0"/>
              <w:kinsoku/>
              <w:overflowPunct/>
              <w:topLinePunct w:val="0"/>
              <w:bidi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6.联合体投标业绩、履约能力按照联合体各方其中较高的一方认定并计算（招标文件另有规定的除外）。</w:t>
            </w:r>
          </w:p>
          <w:p w14:paraId="648328A7">
            <w:pPr>
              <w:pStyle w:val="16"/>
              <w:keepNext w:val="0"/>
              <w:keepLines w:val="0"/>
              <w:pageBreakBefore w:val="0"/>
              <w:widowControl w:val="0"/>
              <w:kinsoku/>
              <w:overflowPunct/>
              <w:topLinePunct w:val="0"/>
              <w:bidi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7.投标人为联合体的，可以由联合体中的一方或者多方共同交纳投标保证金，其交纳的保证金对联合体各方均具有约束力。</w:t>
            </w:r>
          </w:p>
          <w:p w14:paraId="5E70BDFA">
            <w:pPr>
              <w:pStyle w:val="16"/>
              <w:keepNext w:val="0"/>
              <w:keepLines w:val="0"/>
              <w:pageBreakBefore w:val="0"/>
              <w:widowControl w:val="0"/>
              <w:kinsoku/>
              <w:overflowPunct/>
              <w:topLinePunct w:val="0"/>
              <w:bidi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8.联合体各方均应按照招标文件的规定提交资格证明文件。</w:t>
            </w:r>
          </w:p>
        </w:tc>
      </w:tr>
      <w:tr w14:paraId="2E7DDF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51FE113D">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7.2</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5AF8E08B">
            <w:pPr>
              <w:pStyle w:val="16"/>
              <w:keepNext w:val="0"/>
              <w:keepLines w:val="0"/>
              <w:pageBreakBefore w:val="0"/>
              <w:widowControl w:val="0"/>
              <w:kinsoku/>
              <w:overflowPunct/>
              <w:topLinePunct w:val="0"/>
              <w:bidi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☑不允许分包</w:t>
            </w:r>
          </w:p>
          <w:p w14:paraId="5D9FE332">
            <w:pPr>
              <w:pStyle w:val="16"/>
              <w:keepNext w:val="0"/>
              <w:keepLines w:val="0"/>
              <w:pageBreakBefore w:val="0"/>
              <w:widowControl w:val="0"/>
              <w:kinsoku/>
              <w:overflowPunct/>
              <w:topLinePunct w:val="0"/>
              <w:bidi w:val="0"/>
              <w:spacing w:line="400" w:lineRule="exact"/>
              <w:rPr>
                <w:rFonts w:hint="eastAsia" w:ascii="宋体" w:hAnsi="宋体" w:cs="宋体"/>
                <w:color w:val="auto"/>
                <w:szCs w:val="21"/>
                <w:highlight w:val="none"/>
              </w:rPr>
            </w:pPr>
            <w:bookmarkStart w:id="62" w:name="OLE_LINK12"/>
            <w:r>
              <w:rPr>
                <w:rFonts w:hint="eastAsia" w:ascii="宋体" w:hAnsi="宋体" w:cs="宋体"/>
                <w:color w:val="auto"/>
                <w:szCs w:val="21"/>
                <w:highlight w:val="none"/>
              </w:rPr>
              <w:t>□</w:t>
            </w:r>
            <w:bookmarkEnd w:id="62"/>
            <w:r>
              <w:rPr>
                <w:rFonts w:hint="eastAsia" w:ascii="宋体" w:hAnsi="宋体" w:cs="宋体"/>
                <w:color w:val="auto"/>
                <w:szCs w:val="21"/>
                <w:highlight w:val="none"/>
              </w:rPr>
              <w:t>允许分包</w:t>
            </w:r>
          </w:p>
          <w:p w14:paraId="4BF667CD">
            <w:pPr>
              <w:pStyle w:val="16"/>
              <w:keepNext w:val="0"/>
              <w:keepLines w:val="0"/>
              <w:pageBreakBefore w:val="0"/>
              <w:widowControl w:val="0"/>
              <w:kinsoku/>
              <w:overflowPunct/>
              <w:topLinePunct w:val="0"/>
              <w:bidi w:val="0"/>
              <w:spacing w:line="400" w:lineRule="exact"/>
              <w:rPr>
                <w:rFonts w:hint="eastAsia" w:ascii="宋体" w:hAnsi="宋体" w:cs="宋体"/>
                <w:color w:val="auto"/>
                <w:szCs w:val="21"/>
                <w:highlight w:val="none"/>
                <w:u w:val="single"/>
              </w:rPr>
            </w:pPr>
            <w:r>
              <w:rPr>
                <w:rFonts w:hint="eastAsia" w:ascii="宋体" w:hAnsi="宋体" w:cs="宋体"/>
                <w:color w:val="auto"/>
                <w:szCs w:val="21"/>
                <w:highlight w:val="none"/>
              </w:rPr>
              <w:t>分包内容：</w:t>
            </w:r>
            <w:r>
              <w:rPr>
                <w:rFonts w:hint="eastAsia" w:ascii="宋体" w:hAnsi="宋体" w:cs="宋体"/>
                <w:color w:val="auto"/>
                <w:szCs w:val="21"/>
                <w:highlight w:val="none"/>
                <w:u w:val="single"/>
              </w:rPr>
              <w:t xml:space="preserve">                                     。</w:t>
            </w:r>
          </w:p>
          <w:p w14:paraId="32351911">
            <w:pPr>
              <w:pStyle w:val="16"/>
              <w:keepNext w:val="0"/>
              <w:keepLines w:val="0"/>
              <w:pageBreakBefore w:val="0"/>
              <w:widowControl w:val="0"/>
              <w:kinsoku/>
              <w:overflowPunct/>
              <w:topLinePunct w:val="0"/>
              <w:bidi w:val="0"/>
              <w:spacing w:line="400" w:lineRule="exact"/>
              <w:jc w:val="both"/>
              <w:rPr>
                <w:rFonts w:hint="eastAsia" w:ascii="宋体" w:hAnsi="宋体" w:cs="宋体"/>
                <w:color w:val="auto"/>
                <w:szCs w:val="21"/>
                <w:highlight w:val="none"/>
                <w:u w:val="single"/>
              </w:rPr>
            </w:pPr>
            <w:r>
              <w:rPr>
                <w:rFonts w:hint="eastAsia" w:ascii="宋体" w:hAnsi="宋体" w:cs="宋体"/>
                <w:color w:val="auto"/>
                <w:szCs w:val="21"/>
                <w:highlight w:val="none"/>
              </w:rPr>
              <w:t>分包金额或者比例：</w:t>
            </w:r>
            <w:r>
              <w:rPr>
                <w:rFonts w:hint="eastAsia" w:ascii="宋体" w:hAnsi="宋体" w:cs="宋体"/>
                <w:color w:val="auto"/>
                <w:szCs w:val="21"/>
                <w:highlight w:val="none"/>
                <w:u w:val="single"/>
              </w:rPr>
              <w:t xml:space="preserve">                                     。</w:t>
            </w:r>
          </w:p>
        </w:tc>
      </w:tr>
      <w:tr w14:paraId="198019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978" w:type="dxa"/>
            <w:vMerge w:val="restart"/>
            <w:tcBorders>
              <w:top w:val="single" w:color="auto" w:sz="4" w:space="0"/>
              <w:left w:val="single" w:color="auto" w:sz="4" w:space="0"/>
              <w:right w:val="single" w:color="auto" w:sz="4" w:space="0"/>
            </w:tcBorders>
            <w:noWrap w:val="0"/>
            <w:vAlign w:val="center"/>
          </w:tcPr>
          <w:p w14:paraId="3C7C4B98">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11.2</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03850D1C">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bookmarkStart w:id="63" w:name="OLE_LINK13"/>
            <w:r>
              <w:rPr>
                <w:rFonts w:hint="eastAsia" w:ascii="宋体" w:hAnsi="宋体" w:cs="宋体"/>
                <w:color w:val="auto"/>
                <w:szCs w:val="21"/>
                <w:highlight w:val="none"/>
              </w:rPr>
              <w:t>☑</w:t>
            </w:r>
            <w:bookmarkEnd w:id="63"/>
            <w:r>
              <w:rPr>
                <w:rFonts w:hint="eastAsia" w:ascii="宋体" w:hAnsi="宋体" w:cs="宋体"/>
                <w:color w:val="auto"/>
                <w:szCs w:val="21"/>
                <w:highlight w:val="none"/>
              </w:rPr>
              <w:t>不组织现场考察</w:t>
            </w:r>
          </w:p>
        </w:tc>
      </w:tr>
      <w:tr w14:paraId="346479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978" w:type="dxa"/>
            <w:vMerge w:val="continue"/>
            <w:tcBorders>
              <w:left w:val="single" w:color="auto" w:sz="4" w:space="0"/>
              <w:bottom w:val="single" w:color="auto" w:sz="4" w:space="0"/>
              <w:right w:val="single" w:color="auto" w:sz="4" w:space="0"/>
            </w:tcBorders>
            <w:noWrap w:val="0"/>
            <w:vAlign w:val="center"/>
          </w:tcPr>
          <w:p w14:paraId="63F08370">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p>
        </w:tc>
        <w:tc>
          <w:tcPr>
            <w:tcW w:w="8175" w:type="dxa"/>
            <w:tcBorders>
              <w:top w:val="single" w:color="auto" w:sz="4" w:space="0"/>
              <w:left w:val="single" w:color="auto" w:sz="4" w:space="0"/>
              <w:bottom w:val="single" w:color="auto" w:sz="4" w:space="0"/>
              <w:right w:val="single" w:color="auto" w:sz="4" w:space="0"/>
            </w:tcBorders>
            <w:noWrap w:val="0"/>
            <w:vAlign w:val="center"/>
          </w:tcPr>
          <w:p w14:paraId="6A4C63A3">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☑不组织召开开标前答疑会</w:t>
            </w:r>
          </w:p>
        </w:tc>
      </w:tr>
      <w:tr w14:paraId="629E7B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vMerge w:val="restart"/>
            <w:tcBorders>
              <w:top w:val="single" w:color="auto" w:sz="4" w:space="0"/>
              <w:left w:val="single" w:color="auto" w:sz="4" w:space="0"/>
              <w:right w:val="single" w:color="auto" w:sz="4" w:space="0"/>
            </w:tcBorders>
            <w:noWrap w:val="0"/>
            <w:vAlign w:val="center"/>
          </w:tcPr>
          <w:p w14:paraId="4076AC1C">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64" w:name="_13.1"/>
            <w:bookmarkEnd w:id="64"/>
            <w:r>
              <w:rPr>
                <w:rFonts w:hint="eastAsia" w:ascii="宋体" w:hAnsi="宋体" w:cs="宋体"/>
                <w:color w:val="auto"/>
                <w:szCs w:val="21"/>
                <w:highlight w:val="none"/>
              </w:rPr>
              <w:t>13</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222D699A">
            <w:pPr>
              <w:keepNext w:val="0"/>
              <w:keepLines w:val="0"/>
              <w:pageBreakBefore w:val="0"/>
              <w:widowControl w:val="0"/>
              <w:kinsoku/>
              <w:overflowPunct/>
              <w:topLinePunct w:val="0"/>
              <w:bidi w:val="0"/>
              <w:snapToGrid w:val="0"/>
              <w:spacing w:line="400" w:lineRule="exact"/>
              <w:rPr>
                <w:rFonts w:hint="eastAsia" w:ascii="宋体" w:hAnsi="宋体" w:cs="宋体"/>
                <w:b/>
                <w:color w:val="auto"/>
                <w:szCs w:val="21"/>
                <w:highlight w:val="none"/>
              </w:rPr>
            </w:pPr>
            <w:r>
              <w:rPr>
                <w:rFonts w:hint="eastAsia" w:ascii="宋体" w:hAnsi="宋体" w:cs="宋体"/>
                <w:b/>
                <w:color w:val="auto"/>
                <w:szCs w:val="21"/>
                <w:highlight w:val="none"/>
              </w:rPr>
              <w:t>报价文件：</w:t>
            </w:r>
          </w:p>
          <w:p w14:paraId="4596B456">
            <w:pPr>
              <w:keepNext w:val="0"/>
              <w:keepLines w:val="0"/>
              <w:pageBreakBefore w:val="0"/>
              <w:widowControl w:val="0"/>
              <w:tabs>
                <w:tab w:val="left" w:pos="459"/>
              </w:tabs>
              <w:kinsoku/>
              <w:overflowPunct/>
              <w:topLinePunct w:val="0"/>
              <w:bidi w:val="0"/>
              <w:snapToGrid w:val="0"/>
              <w:spacing w:line="400" w:lineRule="exact"/>
              <w:ind w:left="-2" w:leftChars="-1"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1.投标函（格式后附）；</w:t>
            </w:r>
            <w:r>
              <w:rPr>
                <w:rFonts w:hint="eastAsia" w:ascii="宋体" w:hAnsi="宋体" w:cs="宋体"/>
                <w:b/>
                <w:color w:val="auto"/>
                <w:szCs w:val="21"/>
                <w:highlight w:val="none"/>
              </w:rPr>
              <w:t>（必须提供，否则按无效投标处理）</w:t>
            </w:r>
          </w:p>
          <w:p w14:paraId="3B7BD9D2">
            <w:pPr>
              <w:keepNext w:val="0"/>
              <w:keepLines w:val="0"/>
              <w:pageBreakBefore w:val="0"/>
              <w:widowControl w:val="0"/>
              <w:tabs>
                <w:tab w:val="left" w:pos="459"/>
              </w:tabs>
              <w:kinsoku/>
              <w:overflowPunct/>
              <w:topLinePunct w:val="0"/>
              <w:bidi w:val="0"/>
              <w:snapToGrid w:val="0"/>
              <w:spacing w:line="400" w:lineRule="exact"/>
              <w:ind w:left="-2" w:leftChars="-1"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2.开标一览表（格式后附）；（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752DB795">
            <w:pPr>
              <w:keepNext w:val="0"/>
              <w:keepLines w:val="0"/>
              <w:pageBreakBefore w:val="0"/>
              <w:widowControl w:val="0"/>
              <w:tabs>
                <w:tab w:val="left" w:pos="459"/>
              </w:tabs>
              <w:kinsoku/>
              <w:overflowPunct/>
              <w:topLinePunct w:val="0"/>
              <w:bidi w:val="0"/>
              <w:snapToGrid w:val="0"/>
              <w:spacing w:line="400" w:lineRule="exact"/>
              <w:ind w:left="-2" w:leftChars="-1"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3.中小企业声明函或监狱企业证明文件或残疾人福利性单位声明函；（如有请提供）</w:t>
            </w:r>
          </w:p>
          <w:p w14:paraId="09CB0365">
            <w:pPr>
              <w:keepNext w:val="0"/>
              <w:keepLines w:val="0"/>
              <w:pageBreakBefore w:val="0"/>
              <w:widowControl w:val="0"/>
              <w:tabs>
                <w:tab w:val="left" w:pos="459"/>
              </w:tabs>
              <w:kinsoku/>
              <w:overflowPunct/>
              <w:topLinePunct w:val="0"/>
              <w:bidi w:val="0"/>
              <w:snapToGrid w:val="0"/>
              <w:spacing w:line="400" w:lineRule="exact"/>
              <w:ind w:left="-2" w:leftChars="-1"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4.投标人针对报价需要说明的其他文件和说明（格式自拟）。（如有请提供）</w:t>
            </w:r>
          </w:p>
          <w:p w14:paraId="03B96D4D">
            <w:pPr>
              <w:keepNext w:val="0"/>
              <w:keepLines w:val="0"/>
              <w:pageBreakBefore w:val="0"/>
              <w:widowControl w:val="0"/>
              <w:tabs>
                <w:tab w:val="left" w:pos="459"/>
              </w:tabs>
              <w:kinsoku/>
              <w:overflowPunct/>
              <w:topLinePunct w:val="0"/>
              <w:bidi w:val="0"/>
              <w:snapToGrid w:val="0"/>
              <w:spacing w:line="400" w:lineRule="exact"/>
              <w:ind w:left="-2" w:leftChars="-1"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注：1.以上标明“必须提供”的材料的，必须加盖投标人电子签章，否则按无效投标处理；</w:t>
            </w:r>
          </w:p>
          <w:p w14:paraId="0B190DD2">
            <w:pPr>
              <w:keepNext w:val="0"/>
              <w:keepLines w:val="0"/>
              <w:pageBreakBefore w:val="0"/>
              <w:widowControl w:val="0"/>
              <w:tabs>
                <w:tab w:val="left" w:pos="459"/>
              </w:tabs>
              <w:kinsoku/>
              <w:overflowPunct/>
              <w:topLinePunct w:val="0"/>
              <w:bidi w:val="0"/>
              <w:snapToGrid w:val="0"/>
              <w:spacing w:line="400" w:lineRule="exact"/>
              <w:ind w:left="-2" w:leftChars="-1" w:firstLine="843" w:firstLineChars="400"/>
              <w:rPr>
                <w:rFonts w:hint="eastAsia" w:ascii="宋体" w:hAnsi="宋体" w:cs="宋体"/>
                <w:b/>
                <w:color w:val="auto"/>
                <w:szCs w:val="21"/>
                <w:highlight w:val="none"/>
              </w:rPr>
            </w:pPr>
            <w:r>
              <w:rPr>
                <w:rFonts w:hint="eastAsia" w:ascii="宋体" w:hAnsi="宋体" w:cs="宋体"/>
                <w:b/>
                <w:color w:val="auto"/>
                <w:szCs w:val="21"/>
                <w:highlight w:val="none"/>
              </w:rPr>
              <w:t>2.联合体投标时，盖章处须加盖联合体牵头人电子签章，规定签字处签字（或者电子签名），否则响应文件按无效处理。</w:t>
            </w:r>
          </w:p>
        </w:tc>
      </w:tr>
      <w:tr w14:paraId="734409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vMerge w:val="continue"/>
            <w:tcBorders>
              <w:left w:val="single" w:color="auto" w:sz="4" w:space="0"/>
              <w:right w:val="single" w:color="auto" w:sz="4" w:space="0"/>
            </w:tcBorders>
            <w:noWrap w:val="0"/>
            <w:vAlign w:val="center"/>
          </w:tcPr>
          <w:p w14:paraId="67C99A82">
            <w:pPr>
              <w:keepNext w:val="0"/>
              <w:keepLines w:val="0"/>
              <w:pageBreakBefore w:val="0"/>
              <w:widowControl w:val="0"/>
              <w:kinsoku/>
              <w:overflowPunct/>
              <w:topLinePunct w:val="0"/>
              <w:bidi w:val="0"/>
              <w:spacing w:line="400" w:lineRule="exact"/>
              <w:rPr>
                <w:rFonts w:hint="eastAsia" w:ascii="宋体" w:hAnsi="宋体" w:cs="宋体"/>
                <w:color w:val="auto"/>
                <w:szCs w:val="21"/>
                <w:highlight w:val="none"/>
              </w:rPr>
            </w:pPr>
            <w:bookmarkStart w:id="65" w:name="_13.2"/>
            <w:bookmarkEnd w:id="65"/>
          </w:p>
        </w:tc>
        <w:tc>
          <w:tcPr>
            <w:tcW w:w="8175" w:type="dxa"/>
            <w:tcBorders>
              <w:top w:val="single" w:color="auto" w:sz="4" w:space="0"/>
              <w:left w:val="single" w:color="auto" w:sz="4" w:space="0"/>
              <w:bottom w:val="single" w:color="auto" w:sz="4" w:space="0"/>
              <w:right w:val="single" w:color="auto" w:sz="4" w:space="0"/>
            </w:tcBorders>
            <w:noWrap w:val="0"/>
            <w:vAlign w:val="center"/>
          </w:tcPr>
          <w:p w14:paraId="1CD319A4">
            <w:pPr>
              <w:keepNext w:val="0"/>
              <w:keepLines w:val="0"/>
              <w:pageBreakBefore w:val="0"/>
              <w:widowControl w:val="0"/>
              <w:kinsoku/>
              <w:overflowPunct/>
              <w:topLinePunct w:val="0"/>
              <w:bidi w:val="0"/>
              <w:snapToGrid w:val="0"/>
              <w:spacing w:line="400" w:lineRule="exact"/>
              <w:rPr>
                <w:rFonts w:hint="eastAsia" w:ascii="宋体" w:hAnsi="宋体" w:cs="宋体"/>
                <w:b/>
                <w:color w:val="auto"/>
                <w:szCs w:val="21"/>
                <w:highlight w:val="none"/>
              </w:rPr>
            </w:pPr>
            <w:r>
              <w:rPr>
                <w:rFonts w:hint="eastAsia" w:ascii="宋体" w:hAnsi="宋体" w:cs="宋体"/>
                <w:b/>
                <w:color w:val="auto"/>
                <w:szCs w:val="21"/>
                <w:highlight w:val="none"/>
              </w:rPr>
              <w:t>资格证明文件：</w:t>
            </w:r>
          </w:p>
          <w:p w14:paraId="11337818">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1.投标人为法人或者其他组织的，提供营业执照等证明文件（如营业执照或者事业单位法人证书或者</w:t>
            </w:r>
            <w:r>
              <w:rPr>
                <w:rStyle w:val="76"/>
                <w:rFonts w:hint="eastAsia"/>
                <w:color w:val="auto"/>
                <w:sz w:val="21"/>
                <w:szCs w:val="21"/>
                <w:highlight w:val="none"/>
              </w:rPr>
              <w:t>执业许可证</w:t>
            </w:r>
            <w:r>
              <w:rPr>
                <w:rFonts w:hint="eastAsia" w:ascii="宋体" w:hAnsi="宋体" w:cs="宋体"/>
                <w:color w:val="auto"/>
                <w:szCs w:val="21"/>
                <w:highlight w:val="none"/>
              </w:rPr>
              <w:t>或者登记证书等），投标人为自然人的，提供身份证复印件；（</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32D48AEE">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2.投标人依法缴纳税收的相关材料</w:t>
            </w:r>
            <w:r>
              <w:rPr>
                <w:rFonts w:hint="eastAsia" w:ascii="宋体" w:hAnsi="宋体" w:cs="宋体"/>
                <w:color w:val="auto"/>
                <w:szCs w:val="21"/>
                <w:highlight w:val="none"/>
                <w:lang w:val="en-US" w:eastAsia="zh-CN"/>
              </w:rPr>
              <w:t>[</w:t>
            </w:r>
            <w:r>
              <w:rPr>
                <w:rFonts w:hint="eastAsia" w:ascii="宋体" w:hAnsi="宋体" w:cs="宋体"/>
                <w:color w:val="auto"/>
                <w:szCs w:val="21"/>
                <w:highlight w:val="none"/>
                <w:u w:val="single"/>
                <w:lang w:eastAsia="zh-CN"/>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lang w:eastAsia="zh-CN"/>
              </w:rPr>
              <w:t>年</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u w:val="single"/>
                <w:lang w:eastAsia="zh-CN"/>
              </w:rPr>
              <w:t>月至2026年</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rPr>
              <w:t>内任意连续</w:t>
            </w:r>
            <w:r>
              <w:rPr>
                <w:rFonts w:hint="eastAsia" w:ascii="宋体" w:hAnsi="宋体" w:cs="宋体"/>
                <w:color w:val="auto"/>
                <w:szCs w:val="21"/>
                <w:highlight w:val="none"/>
                <w:u w:val="single"/>
              </w:rPr>
              <w:t>3</w:t>
            </w:r>
            <w:r>
              <w:rPr>
                <w:rFonts w:hint="eastAsia" w:ascii="宋体" w:hAnsi="宋体" w:cs="宋体"/>
                <w:color w:val="auto"/>
                <w:szCs w:val="21"/>
                <w:highlight w:val="none"/>
              </w:rPr>
              <w:t>个月的依法缴纳税收的证明材料的凭据复印件；依法免税的投标人，必须提供相应文件证明其依法免税。从成立之日起到投标文件提交截止时间止不足要求月数的，只需提供从成立之日起的依法缴纳税收相应证明文件</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（格式自拟）；（</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4F70E0C7">
            <w:pPr>
              <w:keepNext w:val="0"/>
              <w:keepLines w:val="0"/>
              <w:pageBreakBefore w:val="0"/>
              <w:widowControl w:val="0"/>
              <w:kinsoku/>
              <w:overflowPunct/>
              <w:topLinePunct w:val="0"/>
              <w:bidi w:val="0"/>
              <w:snapToGrid w:val="0"/>
              <w:spacing w:line="400" w:lineRule="exact"/>
              <w:ind w:firstLine="420" w:firstLineChars="200"/>
              <w:jc w:val="left"/>
              <w:rPr>
                <w:rFonts w:hint="eastAsia" w:ascii="宋体" w:hAnsi="宋体" w:cs="宋体"/>
                <w:b/>
                <w:color w:val="auto"/>
                <w:szCs w:val="21"/>
                <w:highlight w:val="none"/>
              </w:rPr>
            </w:pPr>
            <w:r>
              <w:rPr>
                <w:rFonts w:hint="eastAsia" w:ascii="宋体" w:hAnsi="宋体" w:cs="宋体"/>
                <w:color w:val="auto"/>
                <w:szCs w:val="21"/>
                <w:highlight w:val="none"/>
              </w:rPr>
              <w:t>3.投标人依法缴纳社会保障资金的相关材料[</w:t>
            </w:r>
            <w:r>
              <w:rPr>
                <w:rFonts w:hint="eastAsia" w:ascii="宋体" w:hAnsi="宋体" w:cs="宋体"/>
                <w:color w:val="auto"/>
                <w:szCs w:val="21"/>
                <w:highlight w:val="none"/>
                <w:u w:val="single"/>
                <w:lang w:eastAsia="zh-CN"/>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lang w:eastAsia="zh-CN"/>
              </w:rPr>
              <w:t>年</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u w:val="single"/>
                <w:lang w:eastAsia="zh-CN"/>
              </w:rPr>
              <w:t>月至2026年</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rPr>
              <w:t>内任意连续</w:t>
            </w:r>
            <w:r>
              <w:rPr>
                <w:rFonts w:hint="eastAsia" w:ascii="宋体" w:hAnsi="宋体" w:cs="宋体"/>
                <w:color w:val="auto"/>
                <w:szCs w:val="21"/>
                <w:highlight w:val="none"/>
                <w:u w:val="single"/>
              </w:rPr>
              <w:t xml:space="preserve"> 3 </w:t>
            </w:r>
            <w:r>
              <w:rPr>
                <w:rFonts w:hint="eastAsia" w:ascii="宋体" w:hAnsi="宋体" w:cs="宋体"/>
                <w:color w:val="auto"/>
                <w:szCs w:val="21"/>
                <w:highlight w:val="none"/>
              </w:rPr>
              <w:t>个月的依法缴纳社会保障资金的缴费凭证（专用收据或者社会保险缴纳清单或者社保部门的证明）复印件；依法不需要缴纳社会保障资金的投标人，必须提供相应文件证明不需要缴纳社会保障资金。从成立之日起到投标文件提交截止时间止不足要求月数的只需提供从成立之日起的依法缴纳社会保障资金的相应证明文件]（格式自拟）；（</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14649DAB">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4.投标人财务状况报告【</w:t>
            </w:r>
            <w:r>
              <w:rPr>
                <w:rFonts w:hint="eastAsia" w:ascii="宋体" w:hAnsi="宋体" w:cs="宋体"/>
                <w:color w:val="auto"/>
                <w:szCs w:val="21"/>
                <w:highlight w:val="none"/>
                <w:u w:val="single"/>
              </w:rPr>
              <w:t>2024年度</w:t>
            </w:r>
            <w:r>
              <w:rPr>
                <w:rFonts w:hint="eastAsia" w:ascii="宋体" w:hAnsi="宋体" w:cs="宋体"/>
                <w:color w:val="auto"/>
                <w:szCs w:val="21"/>
                <w:highlight w:val="none"/>
              </w:rPr>
              <w:t>的财务审计报告（至少包括资产负债表、利润表、现金流量表）复印件，或者银行出具的资信证明，或者中国人民银行征信中心出具的信用报告（企业投标的提供企业信用报告，自然人投标的提供个人信用报告，投标人属于成立时间在规定年度之后的法人或其他组织，需提供成立之日起至投标截止时间前的月报表或银行出具的资信证明或者中国人民银行征信中心出具的企业信用报告；资信证明应在有效期内，未注明有效期的，银行出具时间至投标截止时间不超过一年）】；（</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5DF95287">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5.投标人直接控股、管理关系信息表（格式后附）；（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6C3C8F5B">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6.投标声明（格式后附）；（</w:t>
            </w:r>
            <w:r>
              <w:rPr>
                <w:rFonts w:hint="eastAsia" w:ascii="宋体" w:hAnsi="宋体" w:cs="宋体"/>
                <w:b/>
                <w:color w:val="auto"/>
                <w:szCs w:val="21"/>
                <w:highlight w:val="none"/>
              </w:rPr>
              <w:t>需法定代表人签字或电子签名，必须提供，否则按无效投标处理</w:t>
            </w:r>
            <w:r>
              <w:rPr>
                <w:rFonts w:hint="eastAsia" w:ascii="宋体" w:hAnsi="宋体" w:cs="宋体"/>
                <w:color w:val="auto"/>
                <w:szCs w:val="21"/>
                <w:highlight w:val="none"/>
              </w:rPr>
              <w:t>）</w:t>
            </w:r>
          </w:p>
          <w:p w14:paraId="5E2F0B55">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szCs w:val="21"/>
                <w:highlight w:val="none"/>
                <w:lang w:val="en-US" w:eastAsia="zh-CN"/>
              </w:rPr>
            </w:pPr>
            <w:r>
              <w:rPr>
                <w:rFonts w:hint="eastAsia" w:ascii="宋体" w:hAnsi="宋体" w:eastAsia="宋体" w:cs="宋体"/>
                <w:color w:val="auto"/>
                <w:szCs w:val="21"/>
                <w:highlight w:val="none"/>
                <w:u w:val="none"/>
                <w:lang w:val="en-US" w:eastAsia="zh-CN"/>
              </w:rPr>
              <w:t>7.</w:t>
            </w:r>
            <w:r>
              <w:rPr>
                <w:rFonts w:hint="eastAsia" w:ascii="宋体" w:hAnsi="宋体" w:cs="宋体"/>
                <w:color w:val="auto"/>
                <w:szCs w:val="21"/>
                <w:highlight w:val="none"/>
                <w:u w:val="none"/>
              </w:rPr>
              <w:t>投标人须具有有效的生态环境部门颁发的《危险废物经营许可证》或提供生态环境部门颁发的允许收集处置医疗废物的相关证明文件</w:t>
            </w:r>
            <w:r>
              <w:rPr>
                <w:rFonts w:hint="eastAsia" w:ascii="宋体" w:hAnsi="宋体" w:eastAsia="宋体" w:cs="宋体"/>
                <w:color w:val="auto"/>
                <w:szCs w:val="21"/>
                <w:highlight w:val="none"/>
                <w:lang w:eastAsia="zh-CN"/>
              </w:rPr>
              <w:t>；</w:t>
            </w:r>
            <w:r>
              <w:rPr>
                <w:rFonts w:hint="eastAsia" w:ascii="宋体" w:hAnsi="宋体" w:eastAsia="宋体" w:cs="宋体"/>
                <w:b/>
                <w:bCs/>
                <w:color w:val="auto"/>
                <w:szCs w:val="21"/>
                <w:highlight w:val="none"/>
              </w:rPr>
              <w:t>（必须提供，否则按无效投标处理）</w:t>
            </w:r>
          </w:p>
          <w:p w14:paraId="3CF6AB59">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.联合体协议书（格式后附）；（</w:t>
            </w:r>
            <w:r>
              <w:rPr>
                <w:rFonts w:hint="eastAsia" w:ascii="宋体" w:hAnsi="宋体" w:cs="宋体"/>
                <w:b/>
                <w:color w:val="auto"/>
                <w:szCs w:val="21"/>
                <w:highlight w:val="none"/>
              </w:rPr>
              <w:t>联合体投标时必须提供，否则按无效投标处理</w:t>
            </w:r>
            <w:r>
              <w:rPr>
                <w:rFonts w:hint="eastAsia" w:ascii="宋体" w:hAnsi="宋体" w:cs="宋体"/>
                <w:color w:val="auto"/>
                <w:szCs w:val="21"/>
                <w:highlight w:val="none"/>
              </w:rPr>
              <w:t>）</w:t>
            </w:r>
          </w:p>
          <w:p w14:paraId="63816408">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.除招标文件规定必须提供以外，投标人认为需要提供的其他证明材料。（如有请提供）</w:t>
            </w:r>
          </w:p>
          <w:p w14:paraId="64CAC824">
            <w:pPr>
              <w:keepNext w:val="0"/>
              <w:keepLines w:val="0"/>
              <w:pageBreakBefore w:val="0"/>
              <w:widowControl w:val="0"/>
              <w:kinsoku/>
              <w:overflowPunct/>
              <w:topLinePunct w:val="0"/>
              <w:bidi w:val="0"/>
              <w:snapToGrid w:val="0"/>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注：1.以上标明“必须提供”的材料的，必须加盖投标人电子签章，否则按无效投标处理。</w:t>
            </w:r>
            <w:r>
              <w:rPr>
                <w:rFonts w:hint="eastAsia" w:ascii="宋体" w:hAnsi="宋体" w:cs="宋体"/>
                <w:b/>
                <w:color w:val="auto"/>
                <w:szCs w:val="21"/>
                <w:highlight w:val="none"/>
              </w:rPr>
              <w:t>格式中有要求法定代表人或者委托代理人签字的，必须按要求签字（或是电子签名），并加盖供应商电子签章，否则响应文件按无效处理。</w:t>
            </w:r>
          </w:p>
          <w:p w14:paraId="0423C607">
            <w:pPr>
              <w:keepNext w:val="0"/>
              <w:keepLines w:val="0"/>
              <w:pageBreakBefore w:val="0"/>
              <w:widowControl w:val="0"/>
              <w:kinsoku/>
              <w:overflowPunct/>
              <w:topLinePunct w:val="0"/>
              <w:bidi w:val="0"/>
              <w:snapToGrid w:val="0"/>
              <w:spacing w:line="400" w:lineRule="exact"/>
              <w:ind w:firstLine="422" w:firstLineChars="200"/>
              <w:rPr>
                <w:rFonts w:hint="eastAsia" w:ascii="宋体" w:hAnsi="宋体" w:cs="宋体"/>
                <w:color w:val="auto"/>
                <w:szCs w:val="21"/>
                <w:highlight w:val="none"/>
              </w:rPr>
            </w:pPr>
            <w:r>
              <w:rPr>
                <w:rFonts w:hint="eastAsia" w:ascii="宋体" w:hAnsi="宋体" w:cs="宋体"/>
                <w:b/>
                <w:bCs/>
                <w:color w:val="auto"/>
                <w:szCs w:val="21"/>
                <w:highlight w:val="none"/>
              </w:rPr>
              <w:t>2.联合体投标时，第1-5项资格证明文件联合体各方均必须分别提供，</w:t>
            </w:r>
            <w:r>
              <w:rPr>
                <w:rFonts w:hint="eastAsia" w:ascii="宋体" w:hAnsi="宋体" w:cs="宋体"/>
                <w:b/>
                <w:color w:val="auto"/>
                <w:szCs w:val="21"/>
                <w:highlight w:val="none"/>
              </w:rPr>
              <w:t>并由联合体牵头人加盖电子签章，规定签字处签字</w:t>
            </w:r>
            <w:r>
              <w:rPr>
                <w:rFonts w:hint="eastAsia" w:ascii="宋体" w:hAnsi="宋体" w:cs="宋体"/>
                <w:b/>
                <w:bCs/>
                <w:color w:val="auto"/>
                <w:szCs w:val="21"/>
                <w:highlight w:val="none"/>
              </w:rPr>
              <w:t>（或者电子签名），否则按无效投标</w:t>
            </w:r>
            <w:r>
              <w:rPr>
                <w:rFonts w:hint="eastAsia" w:ascii="宋体" w:hAnsi="宋体" w:cs="宋体"/>
                <w:b/>
                <w:color w:val="auto"/>
                <w:szCs w:val="21"/>
                <w:highlight w:val="none"/>
              </w:rPr>
              <w:t>处理</w:t>
            </w:r>
            <w:r>
              <w:rPr>
                <w:rFonts w:hint="eastAsia" w:ascii="宋体" w:hAnsi="宋体" w:cs="宋体"/>
                <w:b/>
                <w:bCs/>
                <w:color w:val="auto"/>
                <w:szCs w:val="21"/>
                <w:highlight w:val="none"/>
              </w:rPr>
              <w:t>。</w:t>
            </w:r>
          </w:p>
        </w:tc>
      </w:tr>
      <w:tr w14:paraId="342B80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vMerge w:val="continue"/>
            <w:tcBorders>
              <w:left w:val="single" w:color="auto" w:sz="4" w:space="0"/>
              <w:right w:val="single" w:color="auto" w:sz="4" w:space="0"/>
            </w:tcBorders>
            <w:noWrap w:val="0"/>
            <w:vAlign w:val="center"/>
          </w:tcPr>
          <w:p w14:paraId="589DC458">
            <w:pPr>
              <w:keepNext w:val="0"/>
              <w:keepLines w:val="0"/>
              <w:pageBreakBefore w:val="0"/>
              <w:widowControl w:val="0"/>
              <w:kinsoku/>
              <w:overflowPunct/>
              <w:topLinePunct w:val="0"/>
              <w:bidi w:val="0"/>
              <w:spacing w:line="400" w:lineRule="exact"/>
              <w:rPr>
                <w:rFonts w:hint="eastAsia" w:ascii="宋体" w:hAnsi="宋体" w:cs="宋体"/>
                <w:color w:val="auto"/>
                <w:szCs w:val="21"/>
                <w:highlight w:val="none"/>
              </w:rPr>
            </w:pPr>
            <w:bookmarkStart w:id="66" w:name="_13.3"/>
            <w:bookmarkEnd w:id="66"/>
          </w:p>
        </w:tc>
        <w:tc>
          <w:tcPr>
            <w:tcW w:w="8175" w:type="dxa"/>
            <w:tcBorders>
              <w:top w:val="single" w:color="auto" w:sz="4" w:space="0"/>
              <w:left w:val="single" w:color="auto" w:sz="4" w:space="0"/>
              <w:bottom w:val="single" w:color="auto" w:sz="4" w:space="0"/>
              <w:right w:val="single" w:color="auto" w:sz="4" w:space="0"/>
            </w:tcBorders>
            <w:noWrap w:val="0"/>
            <w:vAlign w:val="center"/>
          </w:tcPr>
          <w:p w14:paraId="46A0373D">
            <w:pPr>
              <w:keepNext w:val="0"/>
              <w:keepLines w:val="0"/>
              <w:pageBreakBefore w:val="0"/>
              <w:widowControl w:val="0"/>
              <w:kinsoku/>
              <w:overflowPunct/>
              <w:topLinePunct w:val="0"/>
              <w:bidi w:val="0"/>
              <w:snapToGrid w:val="0"/>
              <w:spacing w:line="400" w:lineRule="exact"/>
              <w:rPr>
                <w:rFonts w:hint="eastAsia" w:ascii="宋体" w:hAnsi="宋体" w:cs="宋体"/>
                <w:b/>
                <w:color w:val="auto"/>
                <w:szCs w:val="21"/>
                <w:highlight w:val="none"/>
              </w:rPr>
            </w:pPr>
            <w:r>
              <w:rPr>
                <w:rFonts w:hint="eastAsia" w:ascii="宋体" w:hAnsi="宋体" w:cs="宋体"/>
                <w:b/>
                <w:color w:val="auto"/>
                <w:kern w:val="0"/>
                <w:szCs w:val="21"/>
                <w:highlight w:val="none"/>
              </w:rPr>
              <w:t>商务及技术文件</w:t>
            </w:r>
            <w:r>
              <w:rPr>
                <w:rFonts w:hint="eastAsia" w:ascii="宋体" w:hAnsi="宋体" w:cs="宋体"/>
                <w:b/>
                <w:color w:val="auto"/>
                <w:szCs w:val="21"/>
                <w:highlight w:val="none"/>
              </w:rPr>
              <w:t>：</w:t>
            </w:r>
          </w:p>
          <w:p w14:paraId="131D0BCA">
            <w:pPr>
              <w:pStyle w:val="37"/>
              <w:keepNext w:val="0"/>
              <w:keepLines w:val="0"/>
              <w:pageBreakBefore w:val="0"/>
              <w:widowControl w:val="0"/>
              <w:kinsoku/>
              <w:overflowPunct/>
              <w:topLinePunct w:val="0"/>
              <w:bidi w:val="0"/>
              <w:spacing w:line="400" w:lineRule="exact"/>
              <w:ind w:firstLine="422"/>
              <w:rPr>
                <w:rFonts w:hint="eastAsia" w:hAnsi="宋体" w:cs="宋体"/>
                <w:color w:val="auto"/>
                <w:szCs w:val="21"/>
                <w:highlight w:val="none"/>
              </w:rPr>
            </w:pPr>
            <w:r>
              <w:rPr>
                <w:rFonts w:hint="eastAsia" w:hAnsi="宋体" w:cs="宋体"/>
                <w:color w:val="auto"/>
                <w:szCs w:val="21"/>
                <w:highlight w:val="none"/>
              </w:rPr>
              <w:t>商务文件：</w:t>
            </w:r>
          </w:p>
          <w:p w14:paraId="5F9F099B">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1.无串通投标行为的承诺函（格式后附）；（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6CA07AA8">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2.投标保证金缴纳证明；（</w:t>
            </w:r>
            <w:r>
              <w:rPr>
                <w:rFonts w:hint="eastAsia" w:ascii="宋体" w:hAnsi="宋体" w:cs="宋体"/>
                <w:b/>
                <w:bCs/>
                <w:color w:val="auto"/>
                <w:szCs w:val="21"/>
                <w:highlight w:val="none"/>
              </w:rPr>
              <w:t>如要求提交投标保证金的则必须提供</w:t>
            </w:r>
            <w:r>
              <w:rPr>
                <w:rFonts w:hint="eastAsia" w:ascii="宋体" w:hAnsi="宋体" w:cs="宋体"/>
                <w:b/>
                <w:color w:val="auto"/>
                <w:szCs w:val="21"/>
                <w:highlight w:val="none"/>
              </w:rPr>
              <w:t>，否则按无效投标处理</w:t>
            </w:r>
            <w:r>
              <w:rPr>
                <w:rFonts w:hint="eastAsia" w:ascii="宋体" w:hAnsi="宋体" w:cs="宋体"/>
                <w:color w:val="auto"/>
                <w:szCs w:val="21"/>
                <w:highlight w:val="none"/>
              </w:rPr>
              <w:t>）</w:t>
            </w:r>
          </w:p>
          <w:p w14:paraId="6282BAB4">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3.法定代表人身份证明及法定代表人有效身份证正反面复印件（格式后附）；（</w:t>
            </w:r>
            <w:r>
              <w:rPr>
                <w:rFonts w:hint="eastAsia" w:ascii="宋体" w:hAnsi="宋体" w:cs="宋体"/>
                <w:b/>
                <w:bCs/>
                <w:color w:val="auto"/>
                <w:szCs w:val="21"/>
                <w:highlight w:val="none"/>
              </w:rPr>
              <w:t>除自然人投标外</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4869DA40">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4.授权委托书及委托代理人有效身份证正反面复印件（格式后附）；（</w:t>
            </w:r>
            <w:r>
              <w:rPr>
                <w:rFonts w:hint="eastAsia" w:ascii="宋体" w:hAnsi="宋体" w:cs="宋体"/>
                <w:b/>
                <w:color w:val="auto"/>
                <w:szCs w:val="21"/>
                <w:highlight w:val="none"/>
              </w:rPr>
              <w:t>委托时必须提供，否则按无效投标处理</w:t>
            </w:r>
            <w:r>
              <w:rPr>
                <w:rFonts w:hint="eastAsia" w:ascii="宋体" w:hAnsi="宋体" w:cs="宋体"/>
                <w:color w:val="auto"/>
                <w:szCs w:val="21"/>
                <w:highlight w:val="none"/>
              </w:rPr>
              <w:t>）</w:t>
            </w:r>
          </w:p>
          <w:p w14:paraId="60316273">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5.商务要求偏离表（格式后附）；（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5B91E6BA">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6.售后服务承诺（格式自拟）；（</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50C7B13C">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7.投标人情况介绍（格式自拟）；（如有请提供）</w:t>
            </w:r>
          </w:p>
          <w:p w14:paraId="52A591A1">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8.投标人业绩证明材料（格式后附）；（如有请提供）</w:t>
            </w:r>
          </w:p>
          <w:p w14:paraId="5ED54202">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9.除招标文件规定必须提供以外，投标人认为需要提供的其他证明材料（格式自拟）。（投标人根据“第二章 采购需求”及“第四章 评标方法及评标标准”提供有关证明材料）。（如有请提供）</w:t>
            </w:r>
          </w:p>
          <w:p w14:paraId="440558CF">
            <w:pPr>
              <w:pStyle w:val="37"/>
              <w:keepNext w:val="0"/>
              <w:keepLines w:val="0"/>
              <w:pageBreakBefore w:val="0"/>
              <w:widowControl w:val="0"/>
              <w:kinsoku/>
              <w:overflowPunct/>
              <w:topLinePunct w:val="0"/>
              <w:bidi w:val="0"/>
              <w:spacing w:line="400" w:lineRule="exact"/>
              <w:ind w:firstLine="422"/>
              <w:rPr>
                <w:rFonts w:hint="eastAsia" w:hAnsi="宋体" w:cs="宋体"/>
                <w:color w:val="auto"/>
                <w:szCs w:val="21"/>
                <w:highlight w:val="none"/>
              </w:rPr>
            </w:pPr>
            <w:r>
              <w:rPr>
                <w:rFonts w:hint="eastAsia" w:hAnsi="宋体" w:cs="宋体"/>
                <w:color w:val="auto"/>
                <w:szCs w:val="21"/>
                <w:highlight w:val="none"/>
              </w:rPr>
              <w:t>技术文件：</w:t>
            </w:r>
          </w:p>
          <w:p w14:paraId="4DBC4E55">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1.技术要求偏离表（格式后附）；（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363F6957">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2.服务实施方案（格式自拟）；（</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344A9FBE">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3.项目实施人员一览表（格式后附）；（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65180396">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4.投标人对本项目的合理化建议和改进措施（格式自拟）；（如有请提供）</w:t>
            </w:r>
          </w:p>
          <w:p w14:paraId="75FD26EE">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5.除招标文件规定必须提供以外，投标人认为需要提供的其他证明材料（格式自拟）。（投标人根据“第二章 采购需求”及“第四章 评标方法及评标标准”提供有关证明材料）。（如有请提供）</w:t>
            </w:r>
          </w:p>
          <w:p w14:paraId="67E6D574">
            <w:pPr>
              <w:keepNext w:val="0"/>
              <w:keepLines w:val="0"/>
              <w:pageBreakBefore w:val="0"/>
              <w:widowControl w:val="0"/>
              <w:kinsoku/>
              <w:overflowPunct/>
              <w:topLinePunct w:val="0"/>
              <w:bidi w:val="0"/>
              <w:snapToGrid w:val="0"/>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注：1.以上标明“必须提供”的材料的，必须加盖投标人电子签章，否则按无效投标处理；</w:t>
            </w:r>
          </w:p>
          <w:p w14:paraId="38F77C28">
            <w:pPr>
              <w:keepNext w:val="0"/>
              <w:keepLines w:val="0"/>
              <w:pageBreakBefore w:val="0"/>
              <w:widowControl w:val="0"/>
              <w:kinsoku/>
              <w:overflowPunct/>
              <w:topLinePunct w:val="0"/>
              <w:bidi w:val="0"/>
              <w:snapToGrid w:val="0"/>
              <w:spacing w:line="400" w:lineRule="exact"/>
              <w:ind w:firstLine="422" w:firstLineChars="200"/>
              <w:rPr>
                <w:rFonts w:hint="eastAsia" w:ascii="宋体" w:hAnsi="宋体" w:cs="宋体"/>
                <w:color w:val="auto"/>
                <w:szCs w:val="21"/>
                <w:highlight w:val="none"/>
              </w:rPr>
            </w:pPr>
            <w:r>
              <w:rPr>
                <w:rFonts w:hint="eastAsia" w:ascii="宋体" w:hAnsi="宋体" w:cs="宋体"/>
                <w:b/>
                <w:bCs/>
                <w:color w:val="auto"/>
                <w:szCs w:val="21"/>
                <w:highlight w:val="none"/>
              </w:rPr>
              <w:t>2.联合体投标时，盖章处须加盖联合体牵头人电子签章，规定签字处签字（或者电子签名），否则响应文件按无效处理。</w:t>
            </w:r>
          </w:p>
        </w:tc>
      </w:tr>
      <w:tr w14:paraId="3EE6AD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102969C9">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67" w:name="_16.2"/>
            <w:bookmarkEnd w:id="67"/>
            <w:bookmarkStart w:id="68" w:name="_13.4"/>
            <w:bookmarkEnd w:id="68"/>
            <w:bookmarkStart w:id="69" w:name="_13.5"/>
            <w:bookmarkEnd w:id="69"/>
            <w:r>
              <w:rPr>
                <w:rFonts w:hint="eastAsia" w:ascii="宋体" w:hAnsi="宋体" w:cs="宋体"/>
                <w:color w:val="auto"/>
                <w:szCs w:val="21"/>
                <w:highlight w:val="none"/>
              </w:rPr>
              <w:t>16</w:t>
            </w:r>
            <w:bookmarkStart w:id="70" w:name="_Hlt19693759"/>
            <w:bookmarkStart w:id="71" w:name="_Hlt19194066"/>
            <w:bookmarkStart w:id="72" w:name="_Hlt19693758"/>
            <w:bookmarkStart w:id="73" w:name="_Hlt19194067"/>
            <w:r>
              <w:rPr>
                <w:rFonts w:hint="eastAsia" w:ascii="宋体" w:hAnsi="宋体" w:cs="宋体"/>
                <w:color w:val="auto"/>
                <w:szCs w:val="21"/>
                <w:highlight w:val="none"/>
              </w:rPr>
              <w:t>.</w:t>
            </w:r>
            <w:bookmarkEnd w:id="70"/>
            <w:bookmarkEnd w:id="71"/>
            <w:bookmarkEnd w:id="72"/>
            <w:bookmarkEnd w:id="73"/>
            <w:r>
              <w:rPr>
                <w:rFonts w:hint="eastAsia" w:ascii="宋体" w:hAnsi="宋体" w:cs="宋体"/>
                <w:color w:val="auto"/>
                <w:szCs w:val="21"/>
                <w:highlight w:val="none"/>
              </w:rPr>
              <w:t>2</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3C00764A">
            <w:pPr>
              <w:keepNext w:val="0"/>
              <w:keepLines w:val="0"/>
              <w:pageBreakBefore w:val="0"/>
              <w:widowControl w:val="0"/>
              <w:kinsoku/>
              <w:overflowPunct/>
              <w:topLinePunct w:val="0"/>
              <w:bidi w:val="0"/>
              <w:snapToGrid w:val="0"/>
              <w:spacing w:line="400" w:lineRule="exact"/>
              <w:rPr>
                <w:rFonts w:hint="eastAsia" w:ascii="宋体" w:hAnsi="宋体" w:cs="宋体"/>
                <w:b/>
                <w:i/>
                <w:color w:val="auto"/>
                <w:szCs w:val="21"/>
                <w:highlight w:val="none"/>
              </w:rPr>
            </w:pPr>
            <w:r>
              <w:rPr>
                <w:rFonts w:hint="eastAsia" w:ascii="宋体" w:hAnsi="宋体" w:cs="宋体"/>
                <w:color w:val="auto"/>
                <w:szCs w:val="21"/>
                <w:highlight w:val="none"/>
              </w:rPr>
              <w:t>投标报价是履行合同的最终价格。</w:t>
            </w:r>
          </w:p>
        </w:tc>
      </w:tr>
      <w:tr w14:paraId="451B44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17EA2521">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74" w:name="_17.1"/>
            <w:bookmarkEnd w:id="74"/>
            <w:r>
              <w:rPr>
                <w:rFonts w:hint="eastAsia" w:ascii="宋体" w:hAnsi="宋体" w:cs="宋体"/>
                <w:color w:val="auto"/>
                <w:szCs w:val="21"/>
                <w:highlight w:val="none"/>
              </w:rPr>
              <w:t>17.2</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7569E77F">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投标有效期：自投标截止之日起</w:t>
            </w:r>
            <w:r>
              <w:rPr>
                <w:rFonts w:hint="eastAsia" w:ascii="宋体" w:hAnsi="宋体" w:cs="宋体"/>
                <w:color w:val="auto"/>
                <w:szCs w:val="21"/>
                <w:highlight w:val="none"/>
                <w:u w:val="single"/>
              </w:rPr>
              <w:t>90</w:t>
            </w:r>
            <w:r>
              <w:rPr>
                <w:rFonts w:hint="eastAsia" w:ascii="宋体" w:hAnsi="宋体" w:cs="宋体"/>
                <w:color w:val="auto"/>
                <w:szCs w:val="21"/>
                <w:highlight w:val="none"/>
              </w:rPr>
              <w:t>日。</w:t>
            </w:r>
          </w:p>
        </w:tc>
      </w:tr>
      <w:tr w14:paraId="640EAF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3337E490">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75" w:name="_18"/>
            <w:bookmarkEnd w:id="75"/>
            <w:r>
              <w:rPr>
                <w:rFonts w:hint="eastAsia" w:ascii="宋体" w:hAnsi="宋体" w:cs="宋体"/>
                <w:color w:val="auto"/>
                <w:szCs w:val="21"/>
                <w:highlight w:val="none"/>
              </w:rPr>
              <w:t>18.1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2F6A59EA">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□本项目不收取投标保证金。</w:t>
            </w:r>
          </w:p>
          <w:p w14:paraId="71E128F8">
            <w:pPr>
              <w:keepNext w:val="0"/>
              <w:keepLines w:val="0"/>
              <w:pageBreakBefore w:val="0"/>
              <w:widowControl w:val="0"/>
              <w:kinsoku/>
              <w:overflowPunct/>
              <w:topLinePunct w:val="0"/>
              <w:bidi w:val="0"/>
              <w:snapToGrid w:val="0"/>
              <w:spacing w:line="400" w:lineRule="exact"/>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w:t>
            </w:r>
            <w:r>
              <w:rPr>
                <w:rFonts w:hint="eastAsia" w:ascii="宋体" w:hAnsi="宋体" w:eastAsia="宋体" w:cs="宋体"/>
                <w:color w:val="auto"/>
                <w:szCs w:val="21"/>
                <w:highlight w:val="none"/>
              </w:rPr>
              <w:t>本项目收取投标保证金，具体规定</w:t>
            </w:r>
            <w:r>
              <w:rPr>
                <w:rFonts w:hint="eastAsia" w:ascii="宋体" w:hAnsi="宋体" w:eastAsia="宋体" w:cs="宋体"/>
                <w:color w:val="auto"/>
                <w:szCs w:val="21"/>
                <w:highlight w:val="none"/>
                <w:lang w:val="en-US" w:eastAsia="zh-CN"/>
              </w:rPr>
              <w:t>如下：</w:t>
            </w:r>
          </w:p>
          <w:p w14:paraId="74BBEFD6">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投标保证金人民币 </w:t>
            </w: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en-US" w:eastAsia="zh-CN"/>
              </w:rPr>
              <w:t>96</w:t>
            </w:r>
            <w:r>
              <w:rPr>
                <w:rFonts w:hint="eastAsia" w:ascii="宋体" w:hAnsi="宋体" w:cs="宋体"/>
                <w:color w:val="auto"/>
                <w:kern w:val="0"/>
                <w:szCs w:val="21"/>
                <w:highlight w:val="none"/>
              </w:rPr>
              <w:t>00.00</w:t>
            </w:r>
            <w:r>
              <w:rPr>
                <w:rFonts w:hint="eastAsia" w:ascii="宋体" w:hAnsi="宋体" w:eastAsia="宋体" w:cs="宋体"/>
                <w:color w:val="auto"/>
                <w:szCs w:val="21"/>
                <w:highlight w:val="none"/>
              </w:rPr>
              <w:t>元。</w:t>
            </w:r>
          </w:p>
          <w:p w14:paraId="50C100D2">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保证金的交纳方式：银行转账、支票、汇票、本票或者金融、担保机构出具的保函（包含电子保函），禁止采用现钞方式。采用银行转账方式的，在投标截止时间前从投标人账户交至指定账户并且到账【开户银行：招商银行南宁分行营业部，开户名称：</w:t>
            </w:r>
            <w:r>
              <w:rPr>
                <w:rFonts w:hint="eastAsia" w:ascii="宋体" w:hAnsi="宋体" w:eastAsia="宋体" w:cs="宋体"/>
                <w:color w:val="auto"/>
                <w:szCs w:val="21"/>
                <w:highlight w:val="none"/>
                <w:lang w:eastAsia="zh-CN"/>
              </w:rPr>
              <w:t>广西建设工程机电设备招标中心有限公司</w:t>
            </w:r>
            <w:r>
              <w:rPr>
                <w:rFonts w:hint="eastAsia" w:ascii="宋体" w:hAnsi="宋体" w:eastAsia="宋体" w:cs="宋体"/>
                <w:color w:val="auto"/>
                <w:szCs w:val="21"/>
                <w:highlight w:val="none"/>
              </w:rPr>
              <w:t>，银行账号：</w:t>
            </w:r>
            <w:r>
              <w:rPr>
                <w:rFonts w:hint="eastAsia" w:hAnsi="宋体" w:cs="宋体"/>
                <w:color w:val="auto"/>
                <w:highlight w:val="none"/>
              </w:rPr>
              <w:t>7719 0142 3310 201</w:t>
            </w:r>
            <w:r>
              <w:rPr>
                <w:rFonts w:hint="eastAsia" w:ascii="宋体" w:hAnsi="宋体" w:eastAsia="宋体" w:cs="宋体"/>
                <w:color w:val="auto"/>
                <w:szCs w:val="21"/>
                <w:highlight w:val="none"/>
              </w:rPr>
              <w:t>】；采用支票、汇票、本票或者保函等方式的，在投标截止时间前，投标人必须递交单独密封的支票、汇票、本票或者保函原件。否则视为无效投标保证金。</w:t>
            </w:r>
          </w:p>
          <w:p w14:paraId="4B595472">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相关要求：</w:t>
            </w:r>
          </w:p>
          <w:p w14:paraId="57306715">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1.投标保证金采用银行转账交纳方式的，在投标截止时间前交至指定账户并且到账，投标人应将银行转账底单的复印件作为投标保证金提交凭证，放置于商务及技术文件中，</w:t>
            </w:r>
            <w:r>
              <w:rPr>
                <w:rFonts w:hint="eastAsia" w:ascii="宋体" w:hAnsi="宋体" w:eastAsia="宋体" w:cs="宋体"/>
                <w:b/>
                <w:bCs/>
                <w:color w:val="auto"/>
                <w:szCs w:val="21"/>
                <w:highlight w:val="none"/>
                <w:lang w:val="en-US" w:eastAsia="zh-CN"/>
              </w:rPr>
              <w:t>否则投标无效</w:t>
            </w:r>
            <w:r>
              <w:rPr>
                <w:rFonts w:hint="eastAsia" w:ascii="宋体" w:hAnsi="宋体" w:eastAsia="宋体" w:cs="宋体"/>
                <w:color w:val="auto"/>
                <w:szCs w:val="21"/>
                <w:highlight w:val="none"/>
                <w:lang w:val="en-US" w:eastAsia="zh-CN"/>
              </w:rPr>
              <w:t>。</w:t>
            </w:r>
          </w:p>
          <w:p w14:paraId="52A06910">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2.投标保证金采用支票、汇票、本票或者</w:t>
            </w:r>
            <w:r>
              <w:rPr>
                <w:rFonts w:hint="eastAsia" w:ascii="宋体" w:hAnsi="宋体" w:cs="宋体"/>
                <w:color w:val="auto"/>
                <w:szCs w:val="21"/>
                <w:highlight w:val="none"/>
                <w:lang w:eastAsia="zh-CN"/>
              </w:rPr>
              <w:t>金融、担保机构</w:t>
            </w:r>
            <w:r>
              <w:rPr>
                <w:rFonts w:hint="eastAsia" w:ascii="宋体" w:hAnsi="宋体" w:eastAsia="宋体" w:cs="宋体"/>
                <w:color w:val="auto"/>
                <w:szCs w:val="21"/>
                <w:highlight w:val="none"/>
              </w:rPr>
              <w:t>出具的保函（包含电子保函）交纳方式的，投标人应将支票、汇票、本票或者</w:t>
            </w:r>
            <w:r>
              <w:rPr>
                <w:rFonts w:hint="eastAsia" w:ascii="宋体" w:hAnsi="宋体" w:cs="宋体"/>
                <w:color w:val="auto"/>
                <w:szCs w:val="21"/>
                <w:highlight w:val="none"/>
                <w:lang w:eastAsia="zh-CN"/>
              </w:rPr>
              <w:t>金融、担保机构</w:t>
            </w:r>
            <w:r>
              <w:rPr>
                <w:rFonts w:hint="eastAsia" w:ascii="宋体" w:hAnsi="宋体" w:eastAsia="宋体" w:cs="宋体"/>
                <w:color w:val="auto"/>
                <w:szCs w:val="21"/>
                <w:highlight w:val="none"/>
              </w:rPr>
              <w:t>出具的保函（包含电子保函）的复印件作为投标保证金提交凭证，放置于商务及技术文件中，</w:t>
            </w:r>
            <w:r>
              <w:rPr>
                <w:rFonts w:hint="eastAsia" w:ascii="宋体" w:hAnsi="宋体" w:eastAsia="宋体" w:cs="宋体"/>
                <w:b/>
                <w:bCs/>
                <w:color w:val="auto"/>
                <w:szCs w:val="21"/>
                <w:highlight w:val="none"/>
              </w:rPr>
              <w:t>否则投标无效</w:t>
            </w:r>
            <w:r>
              <w:rPr>
                <w:rFonts w:hint="eastAsia" w:ascii="宋体" w:hAnsi="宋体" w:eastAsia="宋体" w:cs="宋体"/>
                <w:color w:val="auto"/>
                <w:szCs w:val="21"/>
                <w:highlight w:val="none"/>
              </w:rPr>
              <w:t>。投标人必须在投标截止时间前采用现场或邮寄方式（现场提交地址：广西壮族自治区公共资源交易中心（广西南宁市青秀区</w:t>
            </w:r>
            <w:r>
              <w:rPr>
                <w:rFonts w:hint="eastAsia" w:ascii="宋体" w:hAnsi="宋体" w:eastAsia="宋体" w:cs="宋体"/>
                <w:color w:val="auto"/>
                <w:szCs w:val="21"/>
                <w:highlight w:val="none"/>
                <w:lang w:eastAsia="zh-CN"/>
              </w:rPr>
              <w:t>星湖路22号开标楼</w:t>
            </w:r>
            <w:r>
              <w:rPr>
                <w:rFonts w:hint="eastAsia" w:ascii="宋体" w:hAnsi="宋体" w:eastAsia="宋体" w:cs="宋体"/>
                <w:color w:val="auto"/>
                <w:szCs w:val="21"/>
                <w:highlight w:val="none"/>
              </w:rPr>
              <w:t>）（具体根据开标当日电子屏幕显示的安排）；邮寄地址：</w:t>
            </w:r>
            <w:r>
              <w:rPr>
                <w:rFonts w:hint="eastAsia" w:ascii="宋体" w:hAnsi="宋体" w:eastAsia="宋体" w:cs="宋体"/>
                <w:color w:val="auto"/>
                <w:szCs w:val="21"/>
                <w:highlight w:val="none"/>
                <w:lang w:eastAsia="zh-CN"/>
              </w:rPr>
              <w:t>南宁市青秀区枫林路18号广西国控集团（枫林路办公区）裙楼三层</w:t>
            </w:r>
            <w:r>
              <w:rPr>
                <w:rFonts w:hint="eastAsia" w:ascii="宋体" w:hAnsi="宋体" w:eastAsia="宋体" w:cs="宋体"/>
                <w:color w:val="auto"/>
                <w:szCs w:val="21"/>
                <w:highlight w:val="none"/>
              </w:rPr>
              <w:t>，收件人：</w:t>
            </w:r>
            <w:r>
              <w:rPr>
                <w:rFonts w:hint="eastAsia" w:ascii="宋体" w:hAnsi="宋体" w:cs="宋体"/>
                <w:color w:val="auto"/>
                <w:szCs w:val="21"/>
                <w:highlight w:val="none"/>
                <w:lang w:val="en-US" w:eastAsia="zh-CN"/>
              </w:rPr>
              <w:t>周珺</w:t>
            </w:r>
            <w:r>
              <w:rPr>
                <w:rFonts w:hint="eastAsia" w:ascii="宋体" w:hAnsi="宋体" w:eastAsia="宋体" w:cs="宋体"/>
                <w:color w:val="auto"/>
                <w:szCs w:val="21"/>
                <w:highlight w:val="none"/>
              </w:rPr>
              <w:t>，联系方式：0771-</w:t>
            </w:r>
            <w:r>
              <w:rPr>
                <w:rFonts w:hint="eastAsia" w:ascii="宋体" w:hAnsi="宋体" w:cs="宋体"/>
                <w:color w:val="auto"/>
                <w:szCs w:val="21"/>
                <w:highlight w:val="none"/>
                <w:lang w:val="en-US" w:eastAsia="zh-CN"/>
              </w:rPr>
              <w:t>2819862</w:t>
            </w:r>
            <w:r>
              <w:rPr>
                <w:rFonts w:hint="eastAsia" w:ascii="宋体" w:hAnsi="宋体" w:eastAsia="宋体" w:cs="宋体"/>
                <w:color w:val="auto"/>
                <w:szCs w:val="21"/>
                <w:highlight w:val="none"/>
              </w:rPr>
              <w:t>）将单独密封的支票、汇票、本票或者</w:t>
            </w:r>
            <w:r>
              <w:rPr>
                <w:rFonts w:hint="eastAsia" w:ascii="宋体" w:hAnsi="宋体" w:cs="宋体"/>
                <w:color w:val="auto"/>
                <w:szCs w:val="21"/>
                <w:highlight w:val="none"/>
                <w:lang w:eastAsia="zh-CN"/>
              </w:rPr>
              <w:t>金融、担保机构</w:t>
            </w:r>
            <w:r>
              <w:rPr>
                <w:rFonts w:hint="eastAsia" w:ascii="宋体" w:hAnsi="宋体" w:eastAsia="宋体" w:cs="宋体"/>
                <w:color w:val="auto"/>
                <w:szCs w:val="21"/>
                <w:highlight w:val="none"/>
              </w:rPr>
              <w:t>出具的保函原件提交给采购人或者采购代理机构，未按时提交的，投标无效，由采购人或者采购代理机构向投标人出具回执（邮寄方式的除外），并妥善保管。</w:t>
            </w:r>
          </w:p>
          <w:p w14:paraId="72B1B52B">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投标人为联合体的，可以由联合体中的一方或者多方共同交纳投标保证金，其交纳的保证金对联合体各方均具有约束力。</w:t>
            </w:r>
          </w:p>
          <w:p w14:paraId="6A5CE58D">
            <w:pPr>
              <w:keepNext w:val="0"/>
              <w:keepLines w:val="0"/>
              <w:pageBreakBefore w:val="0"/>
              <w:widowControl w:val="0"/>
              <w:kinsoku/>
              <w:overflowPunct/>
              <w:topLinePunct w:val="0"/>
              <w:bidi w:val="0"/>
              <w:snapToGrid w:val="0"/>
              <w:spacing w:line="40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 xml:space="preserve">备注： </w:t>
            </w:r>
          </w:p>
          <w:p w14:paraId="23D08E79">
            <w:pPr>
              <w:keepNext w:val="0"/>
              <w:keepLines w:val="0"/>
              <w:pageBreakBefore w:val="0"/>
              <w:widowControl w:val="0"/>
              <w:kinsoku/>
              <w:overflowPunct/>
              <w:topLinePunct w:val="0"/>
              <w:bidi w:val="0"/>
              <w:snapToGrid w:val="0"/>
              <w:spacing w:line="40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1.投标保证金在投标截止时间后提交的，或者不按规定交纳方式交纳的，或者未足额交纳的（包含保函额度不足的），视为无效投标保证金。</w:t>
            </w:r>
          </w:p>
          <w:p w14:paraId="27F52B4F">
            <w:pPr>
              <w:keepNext w:val="0"/>
              <w:keepLines w:val="0"/>
              <w:pageBreakBefore w:val="0"/>
              <w:widowControl w:val="0"/>
              <w:kinsoku/>
              <w:overflowPunct/>
              <w:topLinePunct w:val="0"/>
              <w:bidi w:val="0"/>
              <w:snapToGrid w:val="0"/>
              <w:spacing w:line="40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2.投标人采用现钞方式或者从个人账户（自然人投标除外）转出的投标保证金，视为无效投标保证金。</w:t>
            </w:r>
          </w:p>
          <w:p w14:paraId="7491FE47">
            <w:pPr>
              <w:keepNext w:val="0"/>
              <w:keepLines w:val="0"/>
              <w:pageBreakBefore w:val="0"/>
              <w:widowControl w:val="0"/>
              <w:kinsoku/>
              <w:overflowPunct/>
              <w:topLinePunct w:val="0"/>
              <w:bidi w:val="0"/>
              <w:snapToGrid w:val="0"/>
              <w:spacing w:line="40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3.支票、汇票或者本票出现无效或者背书情形的，视为无效投标保证金。</w:t>
            </w:r>
          </w:p>
          <w:p w14:paraId="74630C23">
            <w:pPr>
              <w:keepNext w:val="0"/>
              <w:keepLines w:val="0"/>
              <w:pageBreakBefore w:val="0"/>
              <w:widowControl w:val="0"/>
              <w:kinsoku/>
              <w:overflowPunct/>
              <w:topLinePunct w:val="0"/>
              <w:bidi w:val="0"/>
              <w:snapToGrid w:val="0"/>
              <w:spacing w:line="40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4.保函有效期低于投标有效期的，视为无效投标保证金。</w:t>
            </w:r>
          </w:p>
          <w:p w14:paraId="1629E5CE">
            <w:pPr>
              <w:keepNext w:val="0"/>
              <w:keepLines w:val="0"/>
              <w:pageBreakBefore w:val="0"/>
              <w:widowControl w:val="0"/>
              <w:kinsoku/>
              <w:overflowPunct/>
              <w:topLinePunct w:val="0"/>
              <w:bidi w:val="0"/>
              <w:snapToGrid w:val="0"/>
              <w:spacing w:line="400" w:lineRule="exact"/>
              <w:ind w:firstLine="422" w:firstLineChars="200"/>
              <w:rPr>
                <w:rFonts w:hint="eastAsia"/>
                <w:color w:val="auto"/>
                <w:highlight w:val="none"/>
              </w:rPr>
            </w:pPr>
            <w:r>
              <w:rPr>
                <w:rFonts w:hint="eastAsia" w:ascii="宋体" w:hAnsi="宋体" w:eastAsia="宋体" w:cs="宋体"/>
                <w:b/>
                <w:bCs/>
                <w:color w:val="auto"/>
                <w:szCs w:val="21"/>
                <w:highlight w:val="none"/>
              </w:rPr>
              <w:t>5.采用</w:t>
            </w:r>
            <w:r>
              <w:rPr>
                <w:rFonts w:hint="eastAsia" w:ascii="宋体" w:hAnsi="宋体" w:cs="宋体"/>
                <w:b/>
                <w:bCs/>
                <w:color w:val="auto"/>
                <w:szCs w:val="21"/>
                <w:highlight w:val="none"/>
                <w:lang w:eastAsia="zh-CN"/>
              </w:rPr>
              <w:t>金融、担保机构</w:t>
            </w:r>
            <w:r>
              <w:rPr>
                <w:rFonts w:hint="eastAsia" w:ascii="宋体" w:hAnsi="宋体" w:eastAsia="宋体" w:cs="宋体"/>
                <w:b/>
                <w:bCs/>
                <w:color w:val="auto"/>
                <w:szCs w:val="21"/>
                <w:highlight w:val="none"/>
              </w:rPr>
              <w:t>出具保函的，必须为无条件保函，否则视为无效投标保证金。</w:t>
            </w:r>
          </w:p>
        </w:tc>
      </w:tr>
      <w:tr w14:paraId="491A8B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978" w:type="dxa"/>
            <w:tcBorders>
              <w:top w:val="single" w:color="auto" w:sz="4" w:space="0"/>
              <w:left w:val="single" w:color="auto" w:sz="4" w:space="0"/>
              <w:bottom w:val="single" w:color="auto" w:sz="4" w:space="0"/>
              <w:right w:val="single" w:color="auto" w:sz="4" w:space="0"/>
            </w:tcBorders>
            <w:noWrap w:val="0"/>
            <w:vAlign w:val="center"/>
          </w:tcPr>
          <w:p w14:paraId="5DD78DED">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76" w:name="_19.2"/>
            <w:bookmarkEnd w:id="76"/>
            <w:bookmarkStart w:id="77" w:name="_21.1"/>
            <w:bookmarkEnd w:id="77"/>
            <w:r>
              <w:rPr>
                <w:rFonts w:hint="eastAsia" w:ascii="宋体" w:hAnsi="宋体" w:cs="宋体"/>
                <w:color w:val="auto"/>
                <w:szCs w:val="21"/>
                <w:highlight w:val="none"/>
              </w:rPr>
              <w:t>20</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3BBE4EF6">
            <w:pPr>
              <w:keepNext w:val="0"/>
              <w:keepLines w:val="0"/>
              <w:pageBreakBefore w:val="0"/>
              <w:widowControl w:val="0"/>
              <w:kinsoku/>
              <w:overflowPunct/>
              <w:topLinePunct w:val="0"/>
              <w:autoSpaceDE w:val="0"/>
              <w:autoSpaceDN w:val="0"/>
              <w:bidi w:val="0"/>
              <w:adjustRightInd w:val="0"/>
              <w:spacing w:line="4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 xml:space="preserve">本项目不接受电子备份投标文件 </w:t>
            </w:r>
          </w:p>
        </w:tc>
      </w:tr>
      <w:tr w14:paraId="4D5465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978" w:type="dxa"/>
            <w:tcBorders>
              <w:top w:val="single" w:color="auto" w:sz="4" w:space="0"/>
              <w:left w:val="single" w:color="auto" w:sz="4" w:space="0"/>
              <w:bottom w:val="single" w:color="auto" w:sz="4" w:space="0"/>
              <w:right w:val="single" w:color="auto" w:sz="4" w:space="0"/>
            </w:tcBorders>
            <w:noWrap w:val="0"/>
            <w:vAlign w:val="center"/>
          </w:tcPr>
          <w:p w14:paraId="40241676">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21.1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486C1EDF">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u w:val="single"/>
              </w:rPr>
            </w:pPr>
            <w:r>
              <w:rPr>
                <w:rFonts w:hint="eastAsia" w:ascii="宋体" w:hAnsi="宋体" w:cs="宋体"/>
                <w:color w:val="auto"/>
                <w:szCs w:val="21"/>
                <w:highlight w:val="none"/>
              </w:rPr>
              <w:t>1.提交投标文件截止时间：详见招标公告</w:t>
            </w:r>
          </w:p>
          <w:p w14:paraId="58601536">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2.投标地点：详见招标公告</w:t>
            </w:r>
          </w:p>
        </w:tc>
      </w:tr>
      <w:tr w14:paraId="7D7F0E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383E402D">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78" w:name="_23"/>
            <w:bookmarkEnd w:id="78"/>
            <w:r>
              <w:rPr>
                <w:rFonts w:hint="eastAsia" w:ascii="宋体" w:hAnsi="宋体" w:cs="宋体"/>
                <w:color w:val="auto"/>
                <w:szCs w:val="21"/>
                <w:highlight w:val="none"/>
              </w:rPr>
              <w:t>23</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2191CE63">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1.开标时间：详见招标公告</w:t>
            </w:r>
          </w:p>
          <w:p w14:paraId="6C702DD0">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2.开标地点：详见招标公告</w:t>
            </w:r>
          </w:p>
        </w:tc>
      </w:tr>
      <w:tr w14:paraId="40D9AE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158AD45A">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24.3（1）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43B80111">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电子投标文件解密时间：</w:t>
            </w:r>
            <w:r>
              <w:rPr>
                <w:rFonts w:hint="eastAsia" w:ascii="宋体" w:hAnsi="宋体" w:cs="宋体"/>
                <w:color w:val="auto"/>
                <w:szCs w:val="21"/>
                <w:highlight w:val="none"/>
                <w:u w:val="single"/>
              </w:rPr>
              <w:t>30</w:t>
            </w:r>
            <w:r>
              <w:rPr>
                <w:rFonts w:hint="eastAsia" w:ascii="宋体" w:hAnsi="宋体" w:cs="宋体"/>
                <w:color w:val="auto"/>
                <w:szCs w:val="21"/>
                <w:highlight w:val="none"/>
              </w:rPr>
              <w:t>分钟</w:t>
            </w:r>
          </w:p>
        </w:tc>
      </w:tr>
      <w:tr w14:paraId="3FC55E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3F249F3C">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79" w:name="_25.3"/>
            <w:bookmarkEnd w:id="79"/>
            <w:r>
              <w:rPr>
                <w:rFonts w:hint="eastAsia" w:ascii="宋体" w:hAnsi="宋体" w:cs="宋体"/>
                <w:color w:val="auto"/>
                <w:szCs w:val="21"/>
                <w:highlight w:val="none"/>
              </w:rPr>
              <w:t>25.3（2）</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7BFFFDB3">
            <w:pPr>
              <w:keepNext w:val="0"/>
              <w:keepLines w:val="0"/>
              <w:pageBreakBefore w:val="0"/>
              <w:widowControl w:val="0"/>
              <w:kinsoku/>
              <w:wordWrap w:val="0"/>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采购人或者采购代理机构在资格审查结束前，对投标人进行信用查询。</w:t>
            </w:r>
          </w:p>
          <w:p w14:paraId="2A8F1A08">
            <w:pPr>
              <w:keepNext w:val="0"/>
              <w:keepLines w:val="0"/>
              <w:pageBreakBefore w:val="0"/>
              <w:widowControl w:val="0"/>
              <w:kinsoku/>
              <w:wordWrap w:val="0"/>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查询渠道：“信用中国”网站（www.creditchina.gov.cn）、中国政府采购网（www.ccgp.gov.cn）。</w:t>
            </w:r>
          </w:p>
          <w:p w14:paraId="6E4BD349">
            <w:pPr>
              <w:keepNext w:val="0"/>
              <w:keepLines w:val="0"/>
              <w:pageBreakBefore w:val="0"/>
              <w:widowControl w:val="0"/>
              <w:kinsoku/>
              <w:wordWrap w:val="0"/>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信用查询截止时点：资格审查结束前</w:t>
            </w:r>
          </w:p>
          <w:p w14:paraId="61633E9E">
            <w:pPr>
              <w:keepNext w:val="0"/>
              <w:keepLines w:val="0"/>
              <w:pageBreakBefore w:val="0"/>
              <w:widowControl w:val="0"/>
              <w:kinsoku/>
              <w:wordWrap w:val="0"/>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查询记录和证据留存方式：在查询网站中直接截图查询记录，截图作为在广西政府采购云平台（</w:t>
            </w:r>
            <w:r>
              <w:rPr>
                <w:rFonts w:hint="eastAsia" w:ascii="宋体" w:hAnsi="宋体" w:cs="宋体"/>
                <w:bCs/>
                <w:color w:val="auto"/>
                <w:szCs w:val="21"/>
                <w:highlight w:val="none"/>
              </w:rPr>
              <w:t>https://www.gcy.zfcg.gxzf.gov.cn/</w:t>
            </w:r>
            <w:r>
              <w:rPr>
                <w:rFonts w:hint="eastAsia" w:ascii="宋体" w:hAnsi="宋体" w:cs="宋体"/>
                <w:color w:val="auto"/>
                <w:szCs w:val="21"/>
                <w:highlight w:val="none"/>
              </w:rPr>
              <w:t>）作为附件上传保存。</w:t>
            </w:r>
          </w:p>
          <w:p w14:paraId="2D4022FB">
            <w:pPr>
              <w:keepNext w:val="0"/>
              <w:keepLines w:val="0"/>
              <w:pageBreakBefore w:val="0"/>
              <w:widowControl w:val="0"/>
              <w:kinsoku/>
              <w:wordWrap w:val="0"/>
              <w:overflowPunct/>
              <w:topLinePunct w:val="0"/>
              <w:bidi w:val="0"/>
              <w:snapToGrid w:val="0"/>
              <w:spacing w:line="400" w:lineRule="exact"/>
              <w:rPr>
                <w:rFonts w:hint="eastAsia" w:ascii="宋体" w:hAnsi="宋体" w:cs="宋体"/>
                <w:b/>
                <w:color w:val="auto"/>
                <w:szCs w:val="21"/>
                <w:highlight w:val="none"/>
              </w:rPr>
            </w:pPr>
            <w:r>
              <w:rPr>
                <w:rFonts w:hint="eastAsia" w:ascii="宋体" w:hAnsi="宋体" w:cs="宋体"/>
                <w:color w:val="auto"/>
                <w:szCs w:val="21"/>
                <w:highlight w:val="none"/>
              </w:rPr>
              <w:t>信用信息使用规则：对在“信用中国”网站（www.creditchina.gov.cn）、中国政府采购网（www.ccgp.gov.cn）被列入失信被执行人、重大税收违法失信主体、政府采购严重违法失信行为记录名单及其他不符合《中华人民共和国政府采购法》第二十二条规定条件的供应商，采购人或者采购代理机构应当拒绝其参与政府采购活动。两个或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14:paraId="622E6F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60F97581">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80" w:name="_26"/>
            <w:bookmarkEnd w:id="80"/>
            <w:r>
              <w:rPr>
                <w:rFonts w:hint="eastAsia" w:ascii="宋体" w:hAnsi="宋体" w:cs="宋体"/>
                <w:color w:val="auto"/>
                <w:szCs w:val="21"/>
                <w:highlight w:val="none"/>
              </w:rPr>
              <w:t>26.1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36656C60">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评标委员会的人数：</w:t>
            </w:r>
            <w:r>
              <w:rPr>
                <w:rFonts w:hint="eastAsia" w:ascii="宋体" w:hAnsi="宋体" w:cs="宋体"/>
                <w:color w:val="auto"/>
                <w:szCs w:val="21"/>
                <w:highlight w:val="none"/>
                <w:u w:val="single"/>
              </w:rPr>
              <w:t>5</w:t>
            </w:r>
            <w:r>
              <w:rPr>
                <w:rFonts w:hint="eastAsia" w:ascii="宋体" w:hAnsi="宋体" w:cs="宋体"/>
                <w:color w:val="auto"/>
                <w:szCs w:val="21"/>
                <w:highlight w:val="none"/>
              </w:rPr>
              <w:t>人</w:t>
            </w:r>
          </w:p>
        </w:tc>
      </w:tr>
      <w:tr w14:paraId="4C07A6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28E88DA2">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81" w:name="_28.3"/>
            <w:bookmarkEnd w:id="81"/>
            <w:r>
              <w:rPr>
                <w:rFonts w:hint="eastAsia" w:ascii="宋体" w:hAnsi="宋体" w:cs="宋体"/>
                <w:color w:val="auto"/>
                <w:szCs w:val="21"/>
                <w:highlight w:val="none"/>
              </w:rPr>
              <w:t>29.1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0F83A137">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评标方法：综合评分法</w:t>
            </w:r>
          </w:p>
        </w:tc>
      </w:tr>
      <w:tr w14:paraId="77960C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978" w:type="dxa"/>
            <w:tcBorders>
              <w:top w:val="single" w:color="auto" w:sz="4" w:space="0"/>
              <w:left w:val="single" w:color="auto" w:sz="4" w:space="0"/>
              <w:bottom w:val="single" w:color="auto" w:sz="4" w:space="0"/>
              <w:right w:val="single" w:color="auto" w:sz="4" w:space="0"/>
            </w:tcBorders>
            <w:noWrap w:val="0"/>
            <w:vAlign w:val="center"/>
          </w:tcPr>
          <w:p w14:paraId="52C03540">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82" w:name="_29.2.2（2）"/>
            <w:bookmarkEnd w:id="82"/>
            <w:r>
              <w:rPr>
                <w:rFonts w:hint="eastAsia" w:ascii="宋体" w:hAnsi="宋体" w:cs="宋体"/>
                <w:color w:val="auto"/>
                <w:szCs w:val="21"/>
                <w:highlight w:val="none"/>
              </w:rPr>
              <w:t>29.2</w:t>
            </w:r>
          </w:p>
        </w:tc>
        <w:tc>
          <w:tcPr>
            <w:tcW w:w="8175" w:type="dxa"/>
            <w:tcBorders>
              <w:top w:val="single" w:color="auto" w:sz="4" w:space="0"/>
              <w:left w:val="single" w:color="auto" w:sz="4" w:space="0"/>
              <w:right w:val="single" w:color="auto" w:sz="4" w:space="0"/>
            </w:tcBorders>
            <w:noWrap w:val="0"/>
            <w:vAlign w:val="center"/>
          </w:tcPr>
          <w:p w14:paraId="46AFE5F7">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商务要求评审中允许负偏离的条款数为</w:t>
            </w:r>
            <w:r>
              <w:rPr>
                <w:rFonts w:hint="eastAsia" w:ascii="宋体" w:hAnsi="宋体" w:cs="宋体"/>
                <w:color w:val="auto"/>
                <w:szCs w:val="21"/>
                <w:highlight w:val="none"/>
                <w:u w:val="single"/>
              </w:rPr>
              <w:t>0</w:t>
            </w:r>
            <w:r>
              <w:rPr>
                <w:rFonts w:hint="eastAsia" w:ascii="宋体" w:hAnsi="宋体" w:cs="宋体"/>
                <w:color w:val="auto"/>
                <w:szCs w:val="21"/>
                <w:highlight w:val="none"/>
              </w:rPr>
              <w:t>项。</w:t>
            </w:r>
          </w:p>
          <w:p w14:paraId="60E79121">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技术要求评审中允许负偏离的条款数为</w:t>
            </w:r>
            <w:r>
              <w:rPr>
                <w:rFonts w:hint="eastAsia" w:ascii="宋体" w:hAnsi="宋体" w:cs="宋体"/>
                <w:color w:val="auto"/>
                <w:szCs w:val="21"/>
                <w:highlight w:val="none"/>
                <w:u w:val="single"/>
              </w:rPr>
              <w:t>0</w:t>
            </w:r>
            <w:r>
              <w:rPr>
                <w:rFonts w:hint="eastAsia" w:ascii="宋体" w:hAnsi="宋体" w:cs="宋体"/>
                <w:color w:val="auto"/>
                <w:szCs w:val="21"/>
                <w:highlight w:val="none"/>
              </w:rPr>
              <w:t>项。</w:t>
            </w:r>
          </w:p>
        </w:tc>
      </w:tr>
      <w:tr w14:paraId="1B3ABB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978" w:type="dxa"/>
            <w:tcBorders>
              <w:top w:val="single" w:color="auto" w:sz="4" w:space="0"/>
              <w:left w:val="single" w:color="auto" w:sz="4" w:space="0"/>
              <w:right w:val="single" w:color="auto" w:sz="4" w:space="0"/>
            </w:tcBorders>
            <w:noWrap w:val="0"/>
            <w:vAlign w:val="center"/>
          </w:tcPr>
          <w:p w14:paraId="101C76FA">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29.3</w:t>
            </w:r>
          </w:p>
        </w:tc>
        <w:tc>
          <w:tcPr>
            <w:tcW w:w="8175" w:type="dxa"/>
            <w:tcBorders>
              <w:top w:val="single" w:color="auto" w:sz="4" w:space="0"/>
              <w:left w:val="single" w:color="auto" w:sz="4" w:space="0"/>
              <w:right w:val="single" w:color="auto" w:sz="4" w:space="0"/>
            </w:tcBorders>
            <w:noWrap w:val="0"/>
            <w:vAlign w:val="center"/>
          </w:tcPr>
          <w:p w14:paraId="48F44C10">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中标候选人推荐数量：</w:t>
            </w:r>
            <w:r>
              <w:rPr>
                <w:rFonts w:hint="eastAsia" w:ascii="宋体" w:hAnsi="宋体" w:cs="宋体"/>
                <w:color w:val="auto"/>
                <w:szCs w:val="21"/>
                <w:highlight w:val="none"/>
                <w:u w:val="single"/>
              </w:rPr>
              <w:t>3</w:t>
            </w:r>
            <w:r>
              <w:rPr>
                <w:rFonts w:hint="eastAsia" w:ascii="宋体" w:hAnsi="宋体" w:cs="宋体"/>
                <w:color w:val="auto"/>
                <w:szCs w:val="21"/>
                <w:highlight w:val="none"/>
              </w:rPr>
              <w:t>名</w:t>
            </w:r>
          </w:p>
        </w:tc>
      </w:tr>
      <w:tr w14:paraId="494ED5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5CEA80F8">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30.1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30FFF2A9">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采用综合评分法的采购项目，采购人确定中标人时，出现中标候选人并列的情形，采购人按以下的方式确定中标人：</w:t>
            </w:r>
            <w:r>
              <w:rPr>
                <w:rFonts w:hint="eastAsia" w:ascii="宋体" w:hAnsi="宋体" w:cs="宋体"/>
                <w:iCs/>
                <w:color w:val="auto"/>
                <w:szCs w:val="21"/>
                <w:highlight w:val="none"/>
              </w:rPr>
              <w:t>依次按投标报价低的优先、投标报价评分得分高的优先、服务方案评分高的顺序确定；按上述方式无法确定的，由采购人随机抽取。</w:t>
            </w:r>
          </w:p>
        </w:tc>
      </w:tr>
      <w:tr w14:paraId="388D21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78" w:type="dxa"/>
            <w:tcBorders>
              <w:top w:val="single" w:color="auto" w:sz="4" w:space="0"/>
              <w:left w:val="single" w:color="auto" w:sz="4" w:space="0"/>
              <w:bottom w:val="single" w:color="auto" w:sz="4" w:space="0"/>
              <w:right w:val="single" w:color="auto" w:sz="4" w:space="0"/>
            </w:tcBorders>
            <w:noWrap w:val="0"/>
            <w:vAlign w:val="center"/>
          </w:tcPr>
          <w:p w14:paraId="682F17EC">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83" w:name="_39.1"/>
            <w:bookmarkEnd w:id="83"/>
            <w:r>
              <w:rPr>
                <w:rFonts w:hint="eastAsia" w:ascii="宋体" w:hAnsi="宋体" w:cs="宋体"/>
                <w:color w:val="auto"/>
                <w:szCs w:val="21"/>
                <w:highlight w:val="none"/>
              </w:rPr>
              <w:t>35.1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6CEF8797">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本项目不收取履约保证金。</w:t>
            </w:r>
          </w:p>
          <w:p w14:paraId="70268901">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eastAsia="宋体" w:cs="宋体"/>
                <w:iCs/>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本项目收取履约保证金</w:t>
            </w:r>
            <w:r>
              <w:rPr>
                <w:rFonts w:hint="eastAsia" w:ascii="宋体" w:hAnsi="宋体" w:cs="宋体"/>
                <w:color w:val="auto"/>
                <w:szCs w:val="21"/>
                <w:highlight w:val="none"/>
                <w:lang w:eastAsia="zh-CN"/>
              </w:rPr>
              <w:t>：</w:t>
            </w:r>
            <w:r>
              <w:rPr>
                <w:rFonts w:hint="eastAsia" w:ascii="宋体" w:hAnsi="宋体" w:cs="宋体"/>
                <w:color w:val="auto"/>
                <w:szCs w:val="21"/>
                <w:highlight w:val="none"/>
              </w:rPr>
              <w:t>具体规定详见第</w:t>
            </w:r>
            <w:r>
              <w:rPr>
                <w:rFonts w:hint="eastAsia" w:ascii="宋体" w:hAnsi="宋体" w:cs="宋体"/>
                <w:color w:val="auto"/>
                <w:szCs w:val="21"/>
                <w:highlight w:val="none"/>
                <w:lang w:val="en-US" w:eastAsia="zh-CN"/>
              </w:rPr>
              <w:t>二</w:t>
            </w:r>
            <w:r>
              <w:rPr>
                <w:rFonts w:hint="eastAsia" w:ascii="宋体" w:hAnsi="宋体" w:cs="宋体"/>
                <w:color w:val="auto"/>
                <w:szCs w:val="21"/>
                <w:highlight w:val="none"/>
              </w:rPr>
              <w:t>章《</w:t>
            </w:r>
            <w:r>
              <w:rPr>
                <w:rFonts w:hint="eastAsia" w:ascii="宋体" w:hAnsi="宋体" w:cs="宋体"/>
                <w:color w:val="auto"/>
                <w:szCs w:val="21"/>
                <w:highlight w:val="none"/>
                <w:lang w:val="en-US" w:eastAsia="zh-CN"/>
              </w:rPr>
              <w:t>采购需求</w:t>
            </w:r>
            <w:r>
              <w:rPr>
                <w:rFonts w:hint="eastAsia" w:ascii="宋体" w:hAnsi="宋体" w:cs="宋体"/>
                <w:color w:val="auto"/>
                <w:szCs w:val="21"/>
                <w:highlight w:val="none"/>
              </w:rPr>
              <w:t>》的“</w:t>
            </w:r>
            <w:r>
              <w:rPr>
                <w:rFonts w:hint="eastAsia" w:ascii="宋体" w:hAnsi="宋体" w:cs="宋体"/>
                <w:color w:val="auto"/>
                <w:szCs w:val="21"/>
                <w:highlight w:val="none"/>
                <w:lang w:val="en-US" w:eastAsia="zh-CN"/>
              </w:rPr>
              <w:t>二</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商务要求</w:t>
            </w:r>
            <w:r>
              <w:rPr>
                <w:rFonts w:hint="eastAsia" w:ascii="宋体" w:hAnsi="宋体" w:cs="宋体"/>
                <w:color w:val="auto"/>
                <w:szCs w:val="21"/>
                <w:highlight w:val="none"/>
              </w:rPr>
              <w:t>”的“</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七</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履约</w:t>
            </w:r>
            <w:r>
              <w:rPr>
                <w:rFonts w:hint="eastAsia" w:ascii="宋体" w:hAnsi="宋体" w:cs="宋体"/>
                <w:color w:val="auto"/>
                <w:szCs w:val="21"/>
                <w:highlight w:val="none"/>
              </w:rPr>
              <w:t>保证金”的要求。</w:t>
            </w:r>
          </w:p>
          <w:p w14:paraId="3BDBBF60">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b/>
                <w:iCs/>
                <w:color w:val="auto"/>
                <w:szCs w:val="21"/>
                <w:highlight w:val="none"/>
              </w:rPr>
            </w:pPr>
            <w:r>
              <w:rPr>
                <w:rFonts w:hint="eastAsia" w:ascii="宋体" w:hAnsi="宋体" w:cs="宋体"/>
                <w:b/>
                <w:iCs/>
                <w:color w:val="auto"/>
                <w:szCs w:val="21"/>
                <w:highlight w:val="none"/>
              </w:rPr>
              <w:t>备注：</w:t>
            </w:r>
          </w:p>
          <w:p w14:paraId="3F592CB2">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b/>
                <w:iCs/>
                <w:color w:val="auto"/>
                <w:szCs w:val="21"/>
                <w:highlight w:val="none"/>
              </w:rPr>
            </w:pPr>
            <w:r>
              <w:rPr>
                <w:rFonts w:hint="eastAsia" w:ascii="宋体" w:hAnsi="宋体" w:cs="宋体"/>
                <w:b/>
                <w:iCs/>
                <w:color w:val="auto"/>
                <w:szCs w:val="21"/>
                <w:highlight w:val="none"/>
              </w:rPr>
              <w:t>1. 根据《广西壮族自治区财政厅关于贯彻落实政府采购优化营商环境百日攻坚行动方案的通知》（桂财采〔2020〕49号）规定、广西壮族自治区财政厅关于规范政府采购货物和服务项目保证金管理的通知（桂财规〔2022〕8号 ）和《广西壮族自治区财政厅关于持续优化政府采购营商环境推动高质量发展的通知》（桂财采〔2024〕55 号），采购文件要求中标或者中标人提交履约保证金的，履约保证金数额不得超过政府采购合同金额的5%，对中小企业收取的履约保证金数额不得超过政府采购合同金额的2%。采购人可根据供应商的资信等情况减免履约保证金。</w:t>
            </w:r>
          </w:p>
          <w:p w14:paraId="2E5B0B74">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b/>
                <w:iCs/>
                <w:color w:val="auto"/>
                <w:szCs w:val="21"/>
                <w:highlight w:val="none"/>
              </w:rPr>
            </w:pPr>
            <w:r>
              <w:rPr>
                <w:rFonts w:hint="eastAsia" w:ascii="宋体" w:hAnsi="宋体" w:cs="宋体"/>
                <w:b/>
                <w:iCs/>
                <w:color w:val="auto"/>
                <w:szCs w:val="21"/>
                <w:highlight w:val="none"/>
              </w:rPr>
              <w:t>2.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4A6911C6">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b/>
                <w:iCs/>
                <w:color w:val="auto"/>
                <w:szCs w:val="21"/>
                <w:highlight w:val="none"/>
              </w:rPr>
            </w:pPr>
            <w:r>
              <w:rPr>
                <w:rFonts w:hint="eastAsia" w:ascii="宋体" w:hAnsi="宋体" w:cs="宋体"/>
                <w:b/>
                <w:iCs/>
                <w:color w:val="auto"/>
                <w:szCs w:val="21"/>
                <w:highlight w:val="none"/>
              </w:rPr>
              <w:t>3.采用</w:t>
            </w:r>
            <w:r>
              <w:rPr>
                <w:rFonts w:hint="eastAsia" w:ascii="宋体" w:hAnsi="宋体" w:cs="宋体"/>
                <w:b/>
                <w:iCs/>
                <w:color w:val="auto"/>
                <w:szCs w:val="21"/>
                <w:highlight w:val="none"/>
                <w:lang w:eastAsia="zh-CN"/>
              </w:rPr>
              <w:t>金融、担保机构</w:t>
            </w:r>
            <w:r>
              <w:rPr>
                <w:rFonts w:hint="eastAsia" w:ascii="宋体" w:hAnsi="宋体" w:cs="宋体"/>
                <w:b/>
                <w:iCs/>
                <w:color w:val="auto"/>
                <w:szCs w:val="21"/>
                <w:highlight w:val="none"/>
              </w:rPr>
              <w:t>出具的保函的，必须为无条件保函，否则不予签订合同。</w:t>
            </w:r>
          </w:p>
          <w:p w14:paraId="1A33595F">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color w:val="auto"/>
                <w:szCs w:val="21"/>
                <w:highlight w:val="none"/>
              </w:rPr>
            </w:pPr>
            <w:r>
              <w:rPr>
                <w:rFonts w:hint="eastAsia" w:ascii="宋体" w:hAnsi="宋体" w:cs="宋体"/>
                <w:b/>
                <w:iCs/>
                <w:color w:val="auto"/>
                <w:szCs w:val="21"/>
                <w:highlight w:val="none"/>
              </w:rPr>
              <w:t>4.投标人为联合体的，由联合体其中一方按规定提交的履约保证金，视为有效履约保证金。</w:t>
            </w:r>
          </w:p>
        </w:tc>
      </w:tr>
      <w:tr w14:paraId="63CB1F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1C362143">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84" w:name="_40.1"/>
            <w:bookmarkEnd w:id="84"/>
            <w:r>
              <w:rPr>
                <w:rFonts w:hint="eastAsia" w:ascii="宋体" w:hAnsi="宋体" w:cs="宋体"/>
                <w:color w:val="auto"/>
                <w:szCs w:val="21"/>
                <w:highlight w:val="none"/>
              </w:rPr>
              <w:t>36.1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15D78CDA">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签订合同携带的证明材料：</w:t>
            </w:r>
          </w:p>
          <w:p w14:paraId="33FA952E">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委托代理人负责签订合同的，须携带授权委托书及委托代理人身份证原件等其他资格证件。</w:t>
            </w:r>
          </w:p>
          <w:p w14:paraId="2149C883">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法定代表人负责签订合同的，须携带法定代表人身份证明原件及身份证原件等其他证明材料。</w:t>
            </w:r>
          </w:p>
        </w:tc>
      </w:tr>
      <w:tr w14:paraId="3BBC4F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61A598A1">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38.2</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72509BC5">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接收质疑函方式：以书面形式</w:t>
            </w:r>
          </w:p>
          <w:p w14:paraId="2716EF87">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质疑联系部门及联系方式：</w:t>
            </w:r>
            <w:r>
              <w:rPr>
                <w:rFonts w:hint="eastAsia" w:ascii="宋体" w:hAnsi="宋体" w:cs="宋体"/>
                <w:color w:val="auto"/>
                <w:szCs w:val="21"/>
                <w:highlight w:val="none"/>
                <w:lang w:eastAsia="zh-CN"/>
              </w:rPr>
              <w:t>广西建设工程机电设备招标中心有限公司</w:t>
            </w:r>
            <w:r>
              <w:rPr>
                <w:rFonts w:hint="eastAsia" w:ascii="宋体" w:hAnsi="宋体" w:cs="宋体"/>
                <w:color w:val="auto"/>
                <w:szCs w:val="21"/>
                <w:highlight w:val="none"/>
              </w:rPr>
              <w:t>，联系电话：</w:t>
            </w:r>
            <w:r>
              <w:rPr>
                <w:rFonts w:hint="eastAsia" w:ascii="宋体" w:hAnsi="宋体" w:cs="宋体"/>
                <w:color w:val="auto"/>
                <w:szCs w:val="21"/>
                <w:highlight w:val="none"/>
                <w:lang w:eastAsia="zh-CN"/>
              </w:rPr>
              <w:t>0771-</w:t>
            </w:r>
            <w:r>
              <w:rPr>
                <w:rFonts w:hint="eastAsia" w:ascii="宋体" w:hAnsi="宋体" w:cs="宋体"/>
                <w:color w:val="auto"/>
                <w:szCs w:val="21"/>
                <w:highlight w:val="none"/>
                <w:lang w:val="en-US" w:eastAsia="zh-CN"/>
              </w:rPr>
              <w:t>2819862</w:t>
            </w:r>
            <w:r>
              <w:rPr>
                <w:rFonts w:hint="eastAsia" w:ascii="宋体" w:hAnsi="宋体" w:cs="宋体"/>
                <w:color w:val="auto"/>
                <w:szCs w:val="21"/>
                <w:highlight w:val="none"/>
              </w:rPr>
              <w:t>，通讯地址：</w:t>
            </w:r>
            <w:r>
              <w:rPr>
                <w:rFonts w:hint="eastAsia" w:ascii="宋体" w:hAnsi="宋体" w:cs="宋体"/>
                <w:color w:val="auto"/>
                <w:szCs w:val="21"/>
                <w:highlight w:val="none"/>
                <w:lang w:eastAsia="zh-CN"/>
              </w:rPr>
              <w:t>广西建设工程机电设备招标中心有限公司</w:t>
            </w:r>
            <w:r>
              <w:rPr>
                <w:rFonts w:hint="eastAsia" w:ascii="宋体" w:hAnsi="宋体" w:cs="宋体"/>
                <w:color w:val="auto"/>
                <w:szCs w:val="21"/>
                <w:highlight w:val="none"/>
              </w:rPr>
              <w:t>（</w:t>
            </w:r>
            <w:r>
              <w:rPr>
                <w:rFonts w:hint="eastAsia" w:ascii="宋体" w:hAnsi="宋体" w:cs="宋体"/>
                <w:color w:val="auto"/>
                <w:szCs w:val="21"/>
                <w:highlight w:val="none"/>
                <w:lang w:eastAsia="zh-CN"/>
              </w:rPr>
              <w:t>广西南宁市青秀区枫林路18号广西国控大厦（枫林路办公区）裙楼三楼</w:t>
            </w:r>
            <w:r>
              <w:rPr>
                <w:rFonts w:hint="eastAsia" w:ascii="宋体" w:hAnsi="宋体" w:cs="宋体"/>
                <w:color w:val="auto"/>
                <w:szCs w:val="21"/>
                <w:highlight w:val="none"/>
              </w:rPr>
              <w:t>）</w:t>
            </w:r>
          </w:p>
          <w:p w14:paraId="57874987">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业务时间：工作日每天上午8时30分到12时00分，下午</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0分到</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0分。</w:t>
            </w:r>
          </w:p>
        </w:tc>
      </w:tr>
      <w:tr w14:paraId="025272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74" w:hRule="atLeast"/>
        </w:trPr>
        <w:tc>
          <w:tcPr>
            <w:tcW w:w="978" w:type="dxa"/>
            <w:tcBorders>
              <w:top w:val="single" w:color="auto" w:sz="4" w:space="0"/>
              <w:left w:val="single" w:color="auto" w:sz="4" w:space="0"/>
              <w:bottom w:val="single" w:color="auto" w:sz="4" w:space="0"/>
              <w:right w:val="single" w:color="auto" w:sz="4" w:space="0"/>
            </w:tcBorders>
            <w:noWrap w:val="0"/>
            <w:vAlign w:val="center"/>
          </w:tcPr>
          <w:p w14:paraId="168C520D">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85" w:name="_42"/>
            <w:bookmarkEnd w:id="85"/>
            <w:bookmarkStart w:id="86" w:name="_41"/>
            <w:bookmarkEnd w:id="86"/>
            <w:bookmarkStart w:id="87" w:name="_Hlt17709148"/>
            <w:r>
              <w:rPr>
                <w:rFonts w:hint="eastAsia" w:ascii="宋体" w:hAnsi="宋体" w:cs="宋体"/>
                <w:color w:val="auto"/>
                <w:szCs w:val="21"/>
                <w:highlight w:val="none"/>
              </w:rPr>
              <w:t>3</w:t>
            </w:r>
            <w:bookmarkEnd w:id="87"/>
            <w:r>
              <w:rPr>
                <w:rFonts w:hint="eastAsia" w:ascii="宋体" w:hAnsi="宋体" w:cs="宋体"/>
                <w:color w:val="auto"/>
                <w:szCs w:val="21"/>
                <w:highlight w:val="none"/>
              </w:rPr>
              <w:t>9.1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20CFD417">
            <w:pPr>
              <w:pStyle w:val="22"/>
              <w:snapToGrid w:val="0"/>
              <w:spacing w:line="400" w:lineRule="exact"/>
              <w:rPr>
                <w:rFonts w:hint="eastAsia" w:hAnsi="宋体" w:cs="宋体"/>
                <w:color w:val="auto"/>
                <w:highlight w:val="none"/>
              </w:rPr>
            </w:pPr>
            <w:r>
              <w:rPr>
                <w:rFonts w:hint="eastAsia" w:hAnsi="宋体" w:cs="宋体"/>
                <w:color w:val="auto"/>
                <w:highlight w:val="none"/>
              </w:rPr>
              <w:t>1.采购代理费支付方式：</w:t>
            </w:r>
          </w:p>
          <w:p w14:paraId="628CA225">
            <w:pPr>
              <w:pStyle w:val="22"/>
              <w:snapToGrid w:val="0"/>
              <w:spacing w:line="400" w:lineRule="exact"/>
              <w:rPr>
                <w:rFonts w:hint="eastAsia" w:hAnsi="宋体" w:cs="宋体"/>
                <w:color w:val="auto"/>
                <w:highlight w:val="none"/>
              </w:rPr>
            </w:pPr>
            <w:r>
              <w:rPr>
                <w:rFonts w:hint="eastAsia" w:ascii="宋体" w:hAnsi="宋体" w:eastAsia="宋体" w:cs="宋体"/>
                <w:color w:val="auto"/>
                <w:szCs w:val="21"/>
                <w:highlight w:val="none"/>
                <w:shd w:val="clear" w:color="auto" w:fill="auto"/>
                <w:lang w:eastAsia="zh-CN"/>
              </w:rPr>
              <w:t>☑</w:t>
            </w:r>
            <w:r>
              <w:rPr>
                <w:rFonts w:hint="eastAsia" w:hAnsi="宋体" w:cs="宋体"/>
                <w:color w:val="auto"/>
                <w:highlight w:val="none"/>
              </w:rPr>
              <w:t>本项目代理服务费由</w:t>
            </w:r>
            <w:r>
              <w:rPr>
                <w:rFonts w:hint="eastAsia" w:hAnsi="宋体" w:cs="宋体"/>
                <w:color w:val="auto"/>
                <w:highlight w:val="none"/>
                <w:u w:val="single"/>
              </w:rPr>
              <w:t>中标人</w:t>
            </w:r>
            <w:r>
              <w:rPr>
                <w:rFonts w:hint="eastAsia" w:hAnsi="宋体" w:cs="宋体"/>
                <w:color w:val="auto"/>
                <w:highlight w:val="none"/>
              </w:rPr>
              <w:t>在领取中标通知书前，一次性向采购代理机构支付。</w:t>
            </w:r>
          </w:p>
          <w:p w14:paraId="7648CC9A">
            <w:pPr>
              <w:pStyle w:val="22"/>
              <w:snapToGrid w:val="0"/>
              <w:spacing w:line="400" w:lineRule="exact"/>
              <w:rPr>
                <w:rFonts w:hint="eastAsia" w:hAnsi="宋体" w:eastAsia="宋体" w:cs="宋体"/>
                <w:color w:val="auto"/>
                <w:highlight w:val="none"/>
                <w:lang w:val="en-US" w:eastAsia="zh-CN"/>
              </w:rPr>
            </w:pPr>
            <w:r>
              <w:rPr>
                <w:rFonts w:hint="eastAsia" w:hAnsi="宋体" w:cs="宋体"/>
                <w:color w:val="auto"/>
                <w:highlight w:val="none"/>
              </w:rPr>
              <w:t>□采购人支付。</w:t>
            </w:r>
            <w:r>
              <w:rPr>
                <w:rFonts w:hint="eastAsia" w:hAnsi="宋体" w:cs="宋体"/>
                <w:color w:val="auto"/>
                <w:highlight w:val="none"/>
                <w:lang w:val="en-US" w:eastAsia="zh-CN"/>
              </w:rPr>
              <w:t xml:space="preserve"> </w:t>
            </w:r>
          </w:p>
          <w:p w14:paraId="77E06B54">
            <w:pPr>
              <w:pStyle w:val="22"/>
              <w:snapToGrid w:val="0"/>
              <w:spacing w:line="400" w:lineRule="exact"/>
              <w:rPr>
                <w:rFonts w:hint="eastAsia" w:hAnsi="宋体" w:cs="宋体"/>
                <w:color w:val="auto"/>
                <w:highlight w:val="none"/>
              </w:rPr>
            </w:pPr>
            <w:r>
              <w:rPr>
                <w:rFonts w:hint="eastAsia" w:hAnsi="宋体" w:cs="宋体"/>
                <w:color w:val="auto"/>
                <w:highlight w:val="none"/>
              </w:rPr>
              <w:t>2.采购代理费收取标准：</w:t>
            </w:r>
          </w:p>
          <w:p w14:paraId="1A927C72">
            <w:pPr>
              <w:pStyle w:val="22"/>
              <w:snapToGrid w:val="0"/>
              <w:spacing w:line="400" w:lineRule="exact"/>
              <w:rPr>
                <w:rFonts w:hint="eastAsia" w:hAnsi="宋体" w:cs="宋体"/>
                <w:color w:val="auto"/>
                <w:highlight w:val="none"/>
              </w:rPr>
            </w:pPr>
            <w:r>
              <w:rPr>
                <w:rFonts w:hint="eastAsia" w:ascii="宋体" w:hAnsi="宋体" w:eastAsia="宋体" w:cs="宋体"/>
                <w:color w:val="auto"/>
                <w:szCs w:val="21"/>
                <w:highlight w:val="none"/>
                <w:shd w:val="clear" w:color="auto" w:fill="auto"/>
                <w:lang w:eastAsia="zh-CN"/>
              </w:rPr>
              <w:t>☑</w:t>
            </w:r>
            <w:r>
              <w:rPr>
                <w:rFonts w:hint="eastAsia" w:hAnsi="宋体" w:cs="宋体"/>
                <w:color w:val="auto"/>
                <w:highlight w:val="none"/>
              </w:rPr>
              <w:t>以分标（</w:t>
            </w:r>
            <w:r>
              <w:rPr>
                <w:rFonts w:hint="eastAsia" w:hAnsi="宋体" w:cs="宋体"/>
                <w:color w:val="auto"/>
                <w:highlight w:val="none"/>
                <w:lang w:eastAsia="zh-CN"/>
              </w:rPr>
              <w:t>☑</w:t>
            </w:r>
            <w:r>
              <w:rPr>
                <w:rFonts w:hint="eastAsia" w:hAnsi="宋体" w:cs="宋体"/>
                <w:color w:val="auto"/>
                <w:highlight w:val="none"/>
              </w:rPr>
              <w:t>中标金额/□采购预算/□暂定中标金额/□其他</w:t>
            </w:r>
            <w:r>
              <w:rPr>
                <w:rFonts w:hint="eastAsia" w:hAnsi="宋体" w:cs="宋体"/>
                <w:color w:val="auto"/>
                <w:highlight w:val="none"/>
                <w:u w:val="single"/>
              </w:rPr>
              <w:t xml:space="preserve"> </w:t>
            </w:r>
            <w:r>
              <w:rPr>
                <w:rFonts w:hAnsi="宋体" w:cs="宋体"/>
                <w:color w:val="auto"/>
                <w:highlight w:val="none"/>
                <w:u w:val="single"/>
              </w:rPr>
              <w:t xml:space="preserve">  </w:t>
            </w:r>
            <w:r>
              <w:rPr>
                <w:rFonts w:hint="eastAsia" w:hAnsi="宋体" w:cs="宋体"/>
                <w:color w:val="auto"/>
                <w:highlight w:val="none"/>
              </w:rPr>
              <w:t>）为计费额，按本须知正文第</w:t>
            </w:r>
            <w:r>
              <w:rPr>
                <w:rFonts w:hAnsi="宋体" w:cs="宋体"/>
                <w:color w:val="auto"/>
                <w:highlight w:val="none"/>
              </w:rPr>
              <w:t>39</w:t>
            </w:r>
            <w:r>
              <w:rPr>
                <w:rFonts w:hint="eastAsia" w:hAnsi="宋体" w:cs="宋体"/>
                <w:color w:val="auto"/>
                <w:highlight w:val="none"/>
              </w:rPr>
              <w:t>.</w:t>
            </w:r>
            <w:r>
              <w:rPr>
                <w:rFonts w:hint="eastAsia" w:hAnsi="宋体" w:cs="宋体"/>
                <w:color w:val="auto"/>
                <w:highlight w:val="none"/>
                <w:lang w:val="en-US" w:eastAsia="zh-CN"/>
              </w:rPr>
              <w:t>1</w:t>
            </w:r>
            <w:r>
              <w:rPr>
                <w:rFonts w:hint="eastAsia" w:hAnsi="宋体" w:cs="宋体"/>
                <w:color w:val="auto"/>
                <w:highlight w:val="none"/>
              </w:rPr>
              <w:t>条规定的收费计算标准（</w:t>
            </w:r>
            <w:r>
              <w:rPr>
                <w:rFonts w:hint="eastAsia" w:hAnsi="宋体" w:cs="宋体"/>
                <w:color w:val="auto"/>
                <w:szCs w:val="21"/>
                <w:highlight w:val="none"/>
                <w:shd w:val="clear" w:color="auto" w:fill="auto"/>
                <w:lang w:eastAsia="zh-CN"/>
              </w:rPr>
              <w:t>□</w:t>
            </w:r>
            <w:r>
              <w:rPr>
                <w:rFonts w:hint="eastAsia" w:hAnsi="宋体" w:cs="宋体"/>
                <w:color w:val="auto"/>
                <w:highlight w:val="none"/>
              </w:rPr>
              <w:t>货物招标/</w:t>
            </w:r>
            <w:r>
              <w:rPr>
                <w:rFonts w:hint="eastAsia" w:hAnsi="宋体" w:cs="宋体"/>
                <w:color w:val="auto"/>
                <w:highlight w:val="none"/>
                <w:lang w:eastAsia="zh-CN"/>
              </w:rPr>
              <w:t>☑</w:t>
            </w:r>
            <w:r>
              <w:rPr>
                <w:rFonts w:hint="eastAsia" w:hAnsi="宋体" w:cs="宋体"/>
                <w:color w:val="auto"/>
                <w:highlight w:val="none"/>
              </w:rPr>
              <w:t>服务招标/□工程招标）采用差额定率累进法计算出收费基准价格，采购代理收费以（□收费基准价格/</w:t>
            </w:r>
            <w:r>
              <w:rPr>
                <w:rFonts w:hint="eastAsia" w:ascii="宋体" w:hAnsi="宋体" w:eastAsia="宋体" w:cs="宋体"/>
                <w:color w:val="auto"/>
                <w:szCs w:val="21"/>
                <w:highlight w:val="none"/>
                <w:shd w:val="clear" w:color="auto" w:fill="auto"/>
                <w:lang w:eastAsia="zh-CN"/>
              </w:rPr>
              <w:t>☑</w:t>
            </w:r>
            <w:r>
              <w:rPr>
                <w:rFonts w:hint="eastAsia" w:hAnsi="宋体" w:cs="宋体"/>
                <w:color w:val="auto"/>
                <w:highlight w:val="none"/>
              </w:rPr>
              <w:t>收费基准价格下浮</w:t>
            </w:r>
            <w:r>
              <w:rPr>
                <w:rFonts w:hint="eastAsia" w:hAnsi="宋体" w:cs="宋体"/>
                <w:color w:val="auto"/>
                <w:highlight w:val="none"/>
                <w:u w:val="single"/>
                <w:lang w:val="en-US" w:eastAsia="zh-CN"/>
              </w:rPr>
              <w:t>3</w:t>
            </w:r>
            <w:r>
              <w:rPr>
                <w:rFonts w:hint="eastAsia" w:hAnsi="宋体" w:cs="宋体"/>
                <w:color w:val="auto"/>
                <w:highlight w:val="none"/>
                <w:u w:val="single"/>
              </w:rPr>
              <w:t>0%</w:t>
            </w:r>
            <w:r>
              <w:rPr>
                <w:rFonts w:hAnsi="宋体" w:cs="宋体"/>
                <w:color w:val="auto"/>
                <w:highlight w:val="none"/>
              </w:rPr>
              <w:t>/</w:t>
            </w:r>
            <w:r>
              <w:rPr>
                <w:rFonts w:hint="eastAsia" w:hAnsi="宋体" w:cs="宋体"/>
                <w:color w:val="auto"/>
                <w:highlight w:val="none"/>
              </w:rPr>
              <w:t>□收费基准价格上浮</w:t>
            </w:r>
            <w:r>
              <w:rPr>
                <w:rFonts w:hint="eastAsia" w:hAnsi="宋体" w:cs="宋体"/>
                <w:color w:val="auto"/>
                <w:highlight w:val="none"/>
                <w:u w:val="single"/>
              </w:rPr>
              <w:t xml:space="preserve"> </w:t>
            </w:r>
            <w:r>
              <w:rPr>
                <w:rFonts w:hAnsi="宋体" w:cs="宋体"/>
                <w:color w:val="auto"/>
                <w:highlight w:val="none"/>
                <w:u w:val="single"/>
              </w:rPr>
              <w:t xml:space="preserve">  </w:t>
            </w:r>
            <w:r>
              <w:rPr>
                <w:rFonts w:hint="eastAsia" w:hAnsi="宋体" w:cs="宋体"/>
                <w:color w:val="auto"/>
                <w:highlight w:val="none"/>
                <w:u w:val="single"/>
              </w:rPr>
              <w:t>%</w:t>
            </w:r>
            <w:r>
              <w:rPr>
                <w:rFonts w:hint="eastAsia" w:hAnsi="宋体" w:cs="宋体"/>
                <w:color w:val="auto"/>
                <w:highlight w:val="none"/>
              </w:rPr>
              <w:t>）</w:t>
            </w:r>
            <w:r>
              <w:rPr>
                <w:rFonts w:hint="eastAsia" w:ascii="宋体" w:hAnsi="宋体" w:eastAsia="宋体"/>
                <w:color w:val="auto"/>
                <w:szCs w:val="21"/>
                <w:highlight w:val="none"/>
                <w:lang w:eastAsia="zh-CN"/>
              </w:rPr>
              <w:t>收取。</w:t>
            </w:r>
          </w:p>
          <w:p w14:paraId="72399121">
            <w:pPr>
              <w:pStyle w:val="22"/>
              <w:snapToGrid w:val="0"/>
              <w:spacing w:line="400" w:lineRule="exact"/>
              <w:rPr>
                <w:rFonts w:hAnsi="宋体" w:cs="宋体"/>
                <w:color w:val="auto"/>
                <w:highlight w:val="none"/>
                <w:u w:val="single"/>
              </w:rPr>
            </w:pPr>
            <w:r>
              <w:rPr>
                <w:rFonts w:hint="eastAsia" w:hAnsi="宋体" w:cs="宋体"/>
                <w:color w:val="auto"/>
                <w:highlight w:val="none"/>
              </w:rPr>
              <w:t>□固定采购代理收费</w:t>
            </w:r>
            <w:r>
              <w:rPr>
                <w:rFonts w:hint="eastAsia" w:hAnsi="宋体" w:cs="宋体"/>
                <w:color w:val="auto"/>
                <w:highlight w:val="none"/>
                <w:u w:val="single"/>
              </w:rPr>
              <w:t xml:space="preserve">              。</w:t>
            </w:r>
          </w:p>
          <w:p w14:paraId="45896C37">
            <w:pPr>
              <w:pStyle w:val="22"/>
              <w:snapToGrid w:val="0"/>
              <w:spacing w:line="400" w:lineRule="exact"/>
              <w:rPr>
                <w:rFonts w:hint="eastAsia" w:hAnsi="宋体" w:cs="宋体"/>
                <w:color w:val="auto"/>
                <w:highlight w:val="none"/>
              </w:rPr>
            </w:pPr>
            <w:r>
              <w:rPr>
                <w:rFonts w:hint="eastAsia" w:hAnsi="宋体" w:cs="宋体"/>
                <w:color w:val="auto"/>
                <w:highlight w:val="none"/>
              </w:rPr>
              <w:t>3</w:t>
            </w:r>
            <w:r>
              <w:rPr>
                <w:rFonts w:hAnsi="宋体" w:cs="宋体"/>
                <w:color w:val="auto"/>
                <w:highlight w:val="none"/>
              </w:rPr>
              <w:t>.</w:t>
            </w:r>
            <w:r>
              <w:rPr>
                <w:rFonts w:hint="eastAsia" w:hAnsi="宋体" w:cs="宋体"/>
                <w:color w:val="auto"/>
                <w:highlight w:val="none"/>
              </w:rPr>
              <w:t xml:space="preserve">广西建设工程机电设备招标中心有限公司 </w:t>
            </w:r>
          </w:p>
          <w:p w14:paraId="7B506952">
            <w:pPr>
              <w:pStyle w:val="22"/>
              <w:snapToGrid w:val="0"/>
              <w:spacing w:line="400" w:lineRule="exact"/>
              <w:rPr>
                <w:rFonts w:hint="eastAsia" w:hAnsi="宋体" w:cs="宋体"/>
                <w:color w:val="auto"/>
                <w:highlight w:val="none"/>
              </w:rPr>
            </w:pPr>
            <w:r>
              <w:rPr>
                <w:rFonts w:hint="eastAsia" w:hAnsi="宋体" w:cs="宋体"/>
                <w:color w:val="auto"/>
                <w:highlight w:val="none"/>
              </w:rPr>
              <w:t>开户银行：招商银行南宁分行营业部</w:t>
            </w:r>
          </w:p>
          <w:p w14:paraId="03600037">
            <w:pPr>
              <w:pStyle w:val="22"/>
              <w:snapToGrid w:val="0"/>
              <w:spacing w:line="400" w:lineRule="exact"/>
              <w:rPr>
                <w:rFonts w:hint="eastAsia" w:hAnsi="宋体" w:cs="宋体"/>
                <w:color w:val="auto"/>
                <w:highlight w:val="none"/>
              </w:rPr>
            </w:pPr>
            <w:r>
              <w:rPr>
                <w:rFonts w:hint="eastAsia" w:hAnsi="宋体" w:cs="宋体"/>
                <w:color w:val="auto"/>
                <w:highlight w:val="none"/>
              </w:rPr>
              <w:t>账    号：7719  0142  3310  201</w:t>
            </w:r>
          </w:p>
          <w:p w14:paraId="3030E0F5">
            <w:pPr>
              <w:keepNext w:val="0"/>
              <w:keepLines w:val="0"/>
              <w:pageBreakBefore w:val="0"/>
              <w:kinsoku/>
              <w:overflowPunct/>
              <w:topLinePunct w:val="0"/>
              <w:bidi w:val="0"/>
              <w:spacing w:line="400" w:lineRule="exact"/>
              <w:textAlignment w:val="auto"/>
              <w:rPr>
                <w:rFonts w:hint="eastAsia" w:hAnsi="宋体" w:cs="宋体"/>
                <w:color w:val="auto"/>
                <w:highlight w:val="none"/>
              </w:rPr>
            </w:pPr>
            <w:r>
              <w:rPr>
                <w:rFonts w:hint="eastAsia" w:hAnsi="宋体" w:cs="宋体"/>
                <w:color w:val="auto"/>
                <w:highlight w:val="none"/>
              </w:rPr>
              <w:t>（投标人转账时，须在银行转账底单上备注标识如“【</w:t>
            </w:r>
            <w:r>
              <w:rPr>
                <w:rFonts w:hint="eastAsia" w:ascii="宋体" w:hAnsi="宋体" w:cs="宋体"/>
                <w:color w:val="auto"/>
                <w:szCs w:val="21"/>
                <w:highlight w:val="none"/>
                <w:lang w:val="en-US" w:eastAsia="zh-CN"/>
              </w:rPr>
              <w:t>GXZC2026-G3-002378-JGJD</w:t>
            </w:r>
            <w:r>
              <w:rPr>
                <w:rFonts w:hint="eastAsia" w:hAnsi="宋体" w:cs="宋体"/>
                <w:color w:val="auto"/>
                <w:highlight w:val="none"/>
              </w:rPr>
              <w:t>】代理服务费”）</w:t>
            </w:r>
          </w:p>
        </w:tc>
      </w:tr>
      <w:tr w14:paraId="1EFCC2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7089CD82">
            <w:pPr>
              <w:keepNext w:val="0"/>
              <w:keepLines w:val="0"/>
              <w:pageBreakBefore w:val="0"/>
              <w:widowControl w:val="0"/>
              <w:kinsoku/>
              <w:overflowPunct/>
              <w:topLinePunct w:val="0"/>
              <w:bidi w:val="0"/>
              <w:snapToGrid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40.1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019844C4">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解释：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r w14:paraId="3CD263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34A78756">
            <w:pPr>
              <w:keepNext w:val="0"/>
              <w:keepLines w:val="0"/>
              <w:pageBreakBefore w:val="0"/>
              <w:widowControl w:val="0"/>
              <w:kinsoku/>
              <w:overflowPunct/>
              <w:topLinePunct w:val="0"/>
              <w:bidi w:val="0"/>
              <w:snapToGrid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40.2</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412D1421">
            <w:pPr>
              <w:pStyle w:val="22"/>
              <w:keepNext w:val="0"/>
              <w:keepLines w:val="0"/>
              <w:pageBreakBefore w:val="0"/>
              <w:widowControl w:val="0"/>
              <w:kinsoku/>
              <w:overflowPunct/>
              <w:topLinePunct w:val="0"/>
              <w:bidi w:val="0"/>
              <w:snapToGrid w:val="0"/>
              <w:spacing w:line="400" w:lineRule="exact"/>
              <w:rPr>
                <w:rFonts w:hint="eastAsia" w:hAnsi="宋体" w:cs="宋体"/>
                <w:bCs/>
                <w:color w:val="auto"/>
                <w:highlight w:val="none"/>
              </w:rPr>
            </w:pPr>
            <w:r>
              <w:rPr>
                <w:rFonts w:hint="eastAsia" w:hAnsi="宋体" w:cs="宋体"/>
                <w:bCs/>
                <w:color w:val="auto"/>
                <w:highlight w:val="none"/>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346B75C6">
            <w:pPr>
              <w:pStyle w:val="22"/>
              <w:keepNext w:val="0"/>
              <w:keepLines w:val="0"/>
              <w:pageBreakBefore w:val="0"/>
              <w:widowControl w:val="0"/>
              <w:kinsoku/>
              <w:overflowPunct/>
              <w:topLinePunct w:val="0"/>
              <w:bidi w:val="0"/>
              <w:snapToGrid w:val="0"/>
              <w:spacing w:line="400" w:lineRule="exact"/>
              <w:rPr>
                <w:rFonts w:hint="eastAsia" w:hAnsi="宋体" w:cs="宋体"/>
                <w:bCs/>
                <w:color w:val="auto"/>
                <w:highlight w:val="none"/>
              </w:rPr>
            </w:pPr>
            <w:r>
              <w:rPr>
                <w:rFonts w:hint="eastAsia" w:hAnsi="宋体" w:cs="宋体"/>
                <w:bCs/>
                <w:color w:val="auto"/>
                <w:highlight w:val="none"/>
              </w:rPr>
              <w:t>2.本招标文件所称的“</w:t>
            </w:r>
            <w:r>
              <w:rPr>
                <w:rFonts w:hint="eastAsia" w:hAnsi="宋体" w:cs="宋体"/>
                <w:color w:val="auto"/>
                <w:highlight w:val="none"/>
              </w:rPr>
              <w:t>电子签章</w:t>
            </w:r>
            <w:r>
              <w:rPr>
                <w:rFonts w:hint="eastAsia" w:hAnsi="宋体" w:cs="宋体"/>
                <w:bCs/>
                <w:color w:val="auto"/>
                <w:highlight w:val="none"/>
              </w:rPr>
              <w:t>”、“电子签名”</w:t>
            </w:r>
            <w:r>
              <w:rPr>
                <w:rFonts w:hint="eastAsia" w:hAnsi="宋体" w:cs="宋体"/>
                <w:color w:val="auto"/>
                <w:highlight w:val="none"/>
              </w:rPr>
              <w:t>，是指经广西政府采购云平台认可的CA认证的电子签名数据为表现形式的印章，可用于签署电子投标文件，电子印章与实物印章具有同等法律效力，不因其采用电子化表现形式而否定其法律效力。</w:t>
            </w:r>
          </w:p>
          <w:p w14:paraId="45BBCA44">
            <w:pPr>
              <w:pStyle w:val="22"/>
              <w:keepNext w:val="0"/>
              <w:keepLines w:val="0"/>
              <w:pageBreakBefore w:val="0"/>
              <w:widowControl w:val="0"/>
              <w:kinsoku/>
              <w:overflowPunct/>
              <w:topLinePunct w:val="0"/>
              <w:bidi w:val="0"/>
              <w:snapToGrid w:val="0"/>
              <w:spacing w:line="400" w:lineRule="exact"/>
              <w:rPr>
                <w:rFonts w:hint="eastAsia" w:hAnsi="宋体" w:cs="宋体"/>
                <w:bCs/>
                <w:color w:val="auto"/>
                <w:highlight w:val="none"/>
              </w:rPr>
            </w:pPr>
            <w:r>
              <w:rPr>
                <w:rFonts w:hint="eastAsia" w:hAnsi="宋体" w:cs="宋体"/>
                <w:bCs/>
                <w:color w:val="auto"/>
                <w:highlight w:val="none"/>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0374D301">
            <w:pPr>
              <w:pStyle w:val="22"/>
              <w:keepNext w:val="0"/>
              <w:keepLines w:val="0"/>
              <w:pageBreakBefore w:val="0"/>
              <w:widowControl w:val="0"/>
              <w:kinsoku/>
              <w:overflowPunct/>
              <w:topLinePunct w:val="0"/>
              <w:bidi w:val="0"/>
              <w:snapToGrid w:val="0"/>
              <w:spacing w:line="400" w:lineRule="exact"/>
              <w:rPr>
                <w:rFonts w:hint="eastAsia" w:hAnsi="宋体" w:cs="宋体"/>
                <w:bCs/>
                <w:color w:val="auto"/>
                <w:highlight w:val="none"/>
              </w:rPr>
            </w:pPr>
            <w:r>
              <w:rPr>
                <w:rFonts w:hint="eastAsia" w:hAnsi="宋体" w:cs="宋体"/>
                <w:bCs/>
                <w:color w:val="auto"/>
                <w:highlight w:val="none"/>
              </w:rPr>
              <w:t>4.本招标文件中描述投标人的“签字”是指投标人的法定代表人或者委托代理人亲自在文件规定签字处亲笔写上个人的名字的行为，私章、签字章、印鉴、影印等其他形式均不能代替亲笔签字。</w:t>
            </w:r>
          </w:p>
          <w:p w14:paraId="2FF9C128">
            <w:pPr>
              <w:keepNext w:val="0"/>
              <w:keepLines w:val="0"/>
              <w:pageBreakBefore w:val="0"/>
              <w:widowControl w:val="0"/>
              <w:kinsoku/>
              <w:overflowPunct/>
              <w:topLinePunct w:val="0"/>
              <w:bidi w:val="0"/>
              <w:spacing w:line="400" w:lineRule="exact"/>
              <w:jc w:val="left"/>
              <w:rPr>
                <w:rFonts w:hint="eastAsia" w:ascii="宋体" w:hAnsi="宋体" w:cs="宋体"/>
                <w:color w:val="auto"/>
                <w:szCs w:val="21"/>
                <w:highlight w:val="none"/>
              </w:rPr>
            </w:pPr>
            <w:r>
              <w:rPr>
                <w:rFonts w:hint="eastAsia" w:ascii="宋体" w:hAnsi="宋体" w:cs="宋体"/>
                <w:bCs/>
                <w:color w:val="auto"/>
                <w:szCs w:val="21"/>
                <w:highlight w:val="none"/>
              </w:rPr>
              <w:t>5.</w:t>
            </w:r>
            <w:r>
              <w:rPr>
                <w:rFonts w:hint="eastAsia" w:ascii="宋体" w:hAnsi="宋体" w:cs="宋体"/>
                <w:bCs/>
                <w:color w:val="auto"/>
                <w:kern w:val="0"/>
                <w:szCs w:val="21"/>
                <w:highlight w:val="none"/>
              </w:rPr>
              <w:t>本招标文件所称的“以上”“以下”“以内”“届满”，包括本数；所称的“不满”“超过”“以外”，不包括本数。</w:t>
            </w:r>
          </w:p>
        </w:tc>
      </w:tr>
    </w:tbl>
    <w:p w14:paraId="0303A2CC">
      <w:pPr>
        <w:snapToGrid w:val="0"/>
        <w:rPr>
          <w:rFonts w:hint="eastAsia" w:ascii="宋体" w:hAnsi="宋体" w:cs="宋体"/>
          <w:color w:val="auto"/>
          <w:sz w:val="24"/>
          <w:szCs w:val="20"/>
          <w:highlight w:val="none"/>
        </w:rPr>
      </w:pPr>
    </w:p>
    <w:p w14:paraId="1A5F149D">
      <w:pPr>
        <w:snapToGrid w:val="0"/>
        <w:rPr>
          <w:rFonts w:hint="eastAsia" w:ascii="宋体" w:hAnsi="宋体" w:cs="宋体"/>
          <w:color w:val="auto"/>
          <w:sz w:val="24"/>
          <w:szCs w:val="20"/>
          <w:highlight w:val="none"/>
        </w:rPr>
      </w:pPr>
    </w:p>
    <w:p w14:paraId="2AF86159">
      <w:pPr>
        <w:pStyle w:val="3"/>
        <w:jc w:val="center"/>
        <w:rPr>
          <w:rFonts w:hint="eastAsia" w:ascii="宋体" w:hAnsi="宋体" w:eastAsia="宋体" w:cs="宋体"/>
          <w:color w:val="auto"/>
          <w:highlight w:val="none"/>
        </w:rPr>
      </w:pPr>
      <w:r>
        <w:rPr>
          <w:rFonts w:hint="eastAsia" w:ascii="宋体" w:hAnsi="宋体" w:eastAsia="宋体" w:cs="宋体"/>
          <w:color w:val="auto"/>
          <w:highlight w:val="none"/>
        </w:rPr>
        <w:br w:type="page"/>
      </w:r>
      <w:bookmarkStart w:id="88" w:name="_Toc21607"/>
      <w:bookmarkStart w:id="89" w:name="_Toc978"/>
      <w:bookmarkStart w:id="90" w:name="_Toc4106"/>
      <w:r>
        <w:rPr>
          <w:rFonts w:hint="eastAsia" w:ascii="宋体" w:hAnsi="宋体" w:eastAsia="宋体" w:cs="宋体"/>
          <w:color w:val="auto"/>
          <w:highlight w:val="none"/>
        </w:rPr>
        <w:t>投标人须知正文</w:t>
      </w:r>
      <w:bookmarkEnd w:id="88"/>
      <w:bookmarkEnd w:id="89"/>
      <w:bookmarkEnd w:id="90"/>
    </w:p>
    <w:p w14:paraId="360D546E">
      <w:pPr>
        <w:pStyle w:val="4"/>
        <w:keepNext w:val="0"/>
        <w:keepLines w:val="0"/>
        <w:jc w:val="center"/>
        <w:rPr>
          <w:rFonts w:hint="eastAsia" w:ascii="宋体" w:hAnsi="宋体" w:cs="宋体"/>
          <w:color w:val="auto"/>
          <w:highlight w:val="none"/>
        </w:rPr>
      </w:pPr>
      <w:bookmarkStart w:id="91" w:name="_Toc7551"/>
      <w:bookmarkStart w:id="92" w:name="_Toc1149"/>
      <w:r>
        <w:rPr>
          <w:rFonts w:hint="eastAsia" w:ascii="宋体" w:hAnsi="宋体" w:cs="宋体"/>
          <w:color w:val="auto"/>
          <w:highlight w:val="none"/>
        </w:rPr>
        <w:t>一、总  则</w:t>
      </w:r>
      <w:bookmarkEnd w:id="91"/>
      <w:bookmarkEnd w:id="92"/>
    </w:p>
    <w:p w14:paraId="44D0119A">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93" w:name="_Toc254970668"/>
      <w:bookmarkStart w:id="94" w:name="_Toc254970527"/>
      <w:r>
        <w:rPr>
          <w:rFonts w:hint="eastAsia" w:ascii="宋体" w:hAnsi="宋体" w:cs="宋体"/>
          <w:b/>
          <w:color w:val="auto"/>
          <w:sz w:val="24"/>
          <w:highlight w:val="none"/>
        </w:rPr>
        <w:t>1.适用范围</w:t>
      </w:r>
      <w:bookmarkEnd w:id="93"/>
      <w:bookmarkEnd w:id="94"/>
    </w:p>
    <w:p w14:paraId="3D9544F8">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3670CF45">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1.2本招标文件</w:t>
      </w:r>
      <w:r>
        <w:rPr>
          <w:rFonts w:hint="eastAsia" w:ascii="宋体" w:hAnsi="宋体" w:cs="宋体"/>
          <w:color w:val="auto"/>
          <w:spacing w:val="-6"/>
          <w:szCs w:val="21"/>
          <w:highlight w:val="none"/>
        </w:rPr>
        <w:t>适用于本项目的所有采购程序和环节（法律、法规另有规定的，从其规定）。</w:t>
      </w:r>
    </w:p>
    <w:p w14:paraId="1456CE0E">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95" w:name="_Toc254970669"/>
      <w:bookmarkStart w:id="96" w:name="_Toc254970528"/>
      <w:r>
        <w:rPr>
          <w:rFonts w:hint="eastAsia" w:ascii="宋体" w:hAnsi="宋体" w:cs="宋体"/>
          <w:b/>
          <w:color w:val="auto"/>
          <w:sz w:val="24"/>
          <w:highlight w:val="none"/>
        </w:rPr>
        <w:t>2.定义</w:t>
      </w:r>
      <w:bookmarkEnd w:id="95"/>
      <w:bookmarkEnd w:id="96"/>
    </w:p>
    <w:p w14:paraId="027FC2E0">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67D46151">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2.2“采购代理机构”是指政府采购集中采购机构和集中采购机构以外的采购代理机构。</w:t>
      </w:r>
    </w:p>
    <w:p w14:paraId="5AE915D0">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096C8450">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2.4“投标人”是指响应招标、参加投标竞争的法人、其他组织或者自然人。</w:t>
      </w:r>
    </w:p>
    <w:p w14:paraId="18088C1A">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2.5“服务”是指除货物和工程以外的其他政府采购对象。</w:t>
      </w:r>
    </w:p>
    <w:p w14:paraId="3BC64F0D">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2.6“书面形式”是指合同书、信件和数据电文（包括电报、电传、传真、电子数据交换和电子邮件）等可以有形地表现所载内容的形式。</w:t>
      </w:r>
    </w:p>
    <w:p w14:paraId="10F98326">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2.7“实质性要求”是指招标文件中已经指明不满足则投标无效的条款，或者不能负偏离的条款，或者采购需求中带“▲”的条款。</w:t>
      </w:r>
    </w:p>
    <w:p w14:paraId="33A44FA8">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2.8“正偏离”，是指投标文件对招标文件“采购需求”中有关条款作出的响应优于条款要求并有利于采购人的情形。</w:t>
      </w:r>
    </w:p>
    <w:p w14:paraId="030DD814">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2.9“负偏离”，是指投标文件对招标文件“采购需求”中有关条款作出的响应不满足条款要求，导致采购人要求不能得到满足的情形。</w:t>
      </w:r>
    </w:p>
    <w:p w14:paraId="70DF3E42">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2.10“允许负偏离的条款”是指采购需求中的不属于“实质性要求”的条款。</w:t>
      </w:r>
      <w:bookmarkStart w:id="97" w:name="_Toc254970670"/>
      <w:bookmarkStart w:id="98" w:name="_Toc254970529"/>
    </w:p>
    <w:p w14:paraId="67DF13E9">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w:t>
      </w:r>
      <w:bookmarkEnd w:id="97"/>
      <w:bookmarkEnd w:id="98"/>
      <w:r>
        <w:rPr>
          <w:rFonts w:hint="eastAsia" w:ascii="宋体" w:hAnsi="宋体" w:cs="宋体"/>
          <w:b/>
          <w:color w:val="auto"/>
          <w:sz w:val="24"/>
          <w:highlight w:val="none"/>
        </w:rPr>
        <w:t>投标人的资格要求</w:t>
      </w:r>
    </w:p>
    <w:p w14:paraId="4FD16B51">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投标人的资格要求详见“投标人须知前附表”。</w:t>
      </w:r>
    </w:p>
    <w:p w14:paraId="340F859D">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99" w:name="_Toc254970671"/>
      <w:bookmarkStart w:id="100" w:name="_Toc254970530"/>
      <w:r>
        <w:rPr>
          <w:rFonts w:hint="eastAsia" w:ascii="宋体" w:hAnsi="宋体" w:cs="宋体"/>
          <w:b/>
          <w:color w:val="auto"/>
          <w:sz w:val="24"/>
          <w:highlight w:val="none"/>
        </w:rPr>
        <w:t>4.投标委托</w:t>
      </w:r>
      <w:bookmarkEnd w:id="99"/>
      <w:bookmarkEnd w:id="100"/>
    </w:p>
    <w:p w14:paraId="4E55DA4C">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投标人代表参加投标活动过程中必须携带个人有效身份证件。如投标人代表不是法定代表人，须持有授权委托书（按第六章要求格式填写）。</w:t>
      </w:r>
    </w:p>
    <w:p w14:paraId="3B7937EC">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01" w:name="_5.投标费用"/>
      <w:bookmarkEnd w:id="101"/>
      <w:bookmarkStart w:id="102" w:name="_Toc254970672"/>
      <w:bookmarkStart w:id="103" w:name="_Toc254970531"/>
      <w:r>
        <w:rPr>
          <w:rFonts w:hint="eastAsia" w:ascii="宋体" w:hAnsi="宋体" w:cs="宋体"/>
          <w:b/>
          <w:color w:val="auto"/>
          <w:sz w:val="24"/>
          <w:highlight w:val="none"/>
        </w:rPr>
        <w:t>5.投标费用</w:t>
      </w:r>
      <w:bookmarkEnd w:id="102"/>
      <w:bookmarkEnd w:id="103"/>
    </w:p>
    <w:p w14:paraId="070317C3">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投标费用：投标人应承担参与本次采购活动有关的所有费用，包括但不限于获取招标文件、勘查现场、编制和提交投标文件、参加澄清说明、签订合同等，不论投标结果如何，均应自行承担。</w:t>
      </w:r>
    </w:p>
    <w:p w14:paraId="131D6E9E">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6.联合体投标</w:t>
      </w:r>
    </w:p>
    <w:p w14:paraId="59A37C70">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6.1本项目是否接受联合体投标，详见“投标人须知前附表”。</w:t>
      </w:r>
    </w:p>
    <w:p w14:paraId="38862D23">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bCs/>
          <w:color w:val="auto"/>
          <w:szCs w:val="21"/>
          <w:highlight w:val="none"/>
        </w:rPr>
      </w:pPr>
      <w:r>
        <w:rPr>
          <w:rFonts w:hint="eastAsia" w:ascii="宋体" w:hAnsi="宋体" w:cs="宋体"/>
          <w:bCs/>
          <w:color w:val="auto"/>
          <w:szCs w:val="21"/>
          <w:highlight w:val="none"/>
        </w:rPr>
        <w:t>6.2如接受联合体投标，联合体投标要求详见“投标人须知前附表”。</w:t>
      </w:r>
    </w:p>
    <w:p w14:paraId="7CF19DAA">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bCs/>
          <w:color w:val="auto"/>
          <w:szCs w:val="21"/>
          <w:highlight w:val="none"/>
        </w:rPr>
        <w:t>6.3</w:t>
      </w:r>
      <w:r>
        <w:rPr>
          <w:rFonts w:hint="eastAsia" w:ascii="宋体" w:hAnsi="宋体" w:cs="宋体"/>
          <w:color w:val="auto"/>
          <w:szCs w:val="21"/>
          <w:highlight w:val="none"/>
        </w:rPr>
        <w:t>根据《政府采购促进中小企业发展管理办法》（财库〔2020〕46号）第九条第二款、《财政部关于进一步加大政府采购支持中小企业力度的通知》（财库〔2022〕19号）和《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的扣除，用扣除后的价格参加评审。</w:t>
      </w:r>
    </w:p>
    <w:p w14:paraId="27F441C9">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7.转包与分包</w:t>
      </w:r>
    </w:p>
    <w:p w14:paraId="23B33970">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bookmarkStart w:id="104" w:name="_Toc254970673"/>
      <w:bookmarkStart w:id="105" w:name="_Toc254970532"/>
      <w:r>
        <w:rPr>
          <w:rFonts w:hint="eastAsia" w:ascii="宋体" w:hAnsi="宋体" w:cs="宋体"/>
          <w:color w:val="auto"/>
          <w:szCs w:val="21"/>
          <w:highlight w:val="none"/>
        </w:rPr>
        <w:t>7.1本项目不允许转包。</w:t>
      </w:r>
    </w:p>
    <w:p w14:paraId="7B0B12BE">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3FADF19D">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7.3投标人根据招标文件的规定和采购项目的实际情况，拟在中标后将中标项目的非主体、非关键性工作分包的，应当在投标文件中载明分包承担主体，分包承担主体应当具备相应资质条件且不得再次分包。</w:t>
      </w:r>
    </w:p>
    <w:p w14:paraId="483A58F3">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8.特别说明</w:t>
      </w:r>
      <w:bookmarkEnd w:id="104"/>
      <w:bookmarkEnd w:id="105"/>
    </w:p>
    <w:p w14:paraId="0EC9A7D2">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8.1如果本招标文件要求提供投标人或制造商的资格、信誉、荣誉、业绩与企业认证等材料的，资格、信誉、荣誉、业绩与企业认证等必须为投标人或者制造商所拥有或自身获得 。</w:t>
      </w:r>
    </w:p>
    <w:p w14:paraId="1BDE908A">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8.2投标人应仔细阅读招标文件的所有内容，按照招标文件的要求提交投标文件，并对所提供的全部资料的真实性承担法律责任。</w:t>
      </w:r>
    </w:p>
    <w:p w14:paraId="71AA2CE0">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8.3投标人在投标活动中提供任何虚假材料，将报监管部门查处；中标后发现的，中标人须依照《中华人民共和国消费者权益保护法》规定赔偿采购人，且民事赔偿并不免除违法投标人的行政与刑事责任。</w:t>
      </w:r>
    </w:p>
    <w:p w14:paraId="153A54B5">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9.回避与串通投标</w:t>
      </w:r>
    </w:p>
    <w:p w14:paraId="628FC75B">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9.1在政府采购活动中，采购人员及相关人员与供应商有下列利害关系之一的，应当回避：</w:t>
      </w:r>
    </w:p>
    <w:p w14:paraId="67D24C13">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77E6C1BF">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64A13E98">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794864F8">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25002E63">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693686F2">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EF39C82">
      <w:pPr>
        <w:keepNext w:val="0"/>
        <w:keepLines w:val="0"/>
        <w:pageBreakBefore w:val="0"/>
        <w:widowControl w:val="0"/>
        <w:kinsoku/>
        <w:wordWrap/>
        <w:overflowPunct/>
        <w:topLinePunct w:val="0"/>
        <w:autoSpaceDE/>
        <w:autoSpaceDN/>
        <w:bidi w:val="0"/>
        <w:snapToGrid w:val="0"/>
        <w:spacing w:line="4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9.2有下列情形之一的视为投标人相互串通投标，投标文件将被视为无效：</w:t>
      </w:r>
    </w:p>
    <w:p w14:paraId="0A612D01">
      <w:pPr>
        <w:keepNext w:val="0"/>
        <w:keepLines w:val="0"/>
        <w:pageBreakBefore w:val="0"/>
        <w:widowControl w:val="0"/>
        <w:kinsoku/>
        <w:wordWrap/>
        <w:overflowPunct/>
        <w:topLinePunct w:val="0"/>
        <w:autoSpaceDE/>
        <w:autoSpaceDN/>
        <w:bidi w:val="0"/>
        <w:snapToGrid w:val="0"/>
        <w:spacing w:line="4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（1）不同投标人的投标文件由同一单位或者个人编制；或者不同投标人报名的IP地址一致的；或者编制标书硬件设备CPU编号、硬盘编号、网卡地址一致的情况。</w:t>
      </w:r>
    </w:p>
    <w:p w14:paraId="37EA23FC">
      <w:pPr>
        <w:keepNext w:val="0"/>
        <w:keepLines w:val="0"/>
        <w:pageBreakBefore w:val="0"/>
        <w:widowControl w:val="0"/>
        <w:kinsoku/>
        <w:wordWrap/>
        <w:overflowPunct/>
        <w:topLinePunct w:val="0"/>
        <w:autoSpaceDE/>
        <w:autoSpaceDN/>
        <w:bidi w:val="0"/>
        <w:snapToGrid w:val="0"/>
        <w:spacing w:line="4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（2）不同投标人委托同一单位或者个人办理投标事宜；</w:t>
      </w:r>
    </w:p>
    <w:p w14:paraId="03C75429">
      <w:pPr>
        <w:keepNext w:val="0"/>
        <w:keepLines w:val="0"/>
        <w:pageBreakBefore w:val="0"/>
        <w:widowControl w:val="0"/>
        <w:kinsoku/>
        <w:wordWrap/>
        <w:overflowPunct/>
        <w:topLinePunct w:val="0"/>
        <w:autoSpaceDE/>
        <w:autoSpaceDN/>
        <w:bidi w:val="0"/>
        <w:snapToGrid w:val="0"/>
        <w:spacing w:line="4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（3）不同的投标人的投标文件载明的项目管理员为同一个人；</w:t>
      </w:r>
    </w:p>
    <w:p w14:paraId="10D060FB">
      <w:pPr>
        <w:keepNext w:val="0"/>
        <w:keepLines w:val="0"/>
        <w:pageBreakBefore w:val="0"/>
        <w:widowControl w:val="0"/>
        <w:kinsoku/>
        <w:wordWrap/>
        <w:overflowPunct/>
        <w:topLinePunct w:val="0"/>
        <w:autoSpaceDE/>
        <w:autoSpaceDN/>
        <w:bidi w:val="0"/>
        <w:snapToGrid w:val="0"/>
        <w:spacing w:line="4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（4）不同投标人的投标文件异常一致或者投标报价呈规律性差异；</w:t>
      </w:r>
    </w:p>
    <w:p w14:paraId="74B64197">
      <w:pPr>
        <w:keepNext w:val="0"/>
        <w:keepLines w:val="0"/>
        <w:pageBreakBefore w:val="0"/>
        <w:widowControl w:val="0"/>
        <w:kinsoku/>
        <w:wordWrap/>
        <w:overflowPunct/>
        <w:topLinePunct w:val="0"/>
        <w:autoSpaceDE/>
        <w:autoSpaceDN/>
        <w:bidi w:val="0"/>
        <w:snapToGrid w:val="0"/>
        <w:spacing w:line="4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（5）不同投标人的投标文件相互混装；</w:t>
      </w:r>
    </w:p>
    <w:p w14:paraId="6D4818C7">
      <w:pPr>
        <w:keepNext w:val="0"/>
        <w:keepLines w:val="0"/>
        <w:pageBreakBefore w:val="0"/>
        <w:widowControl w:val="0"/>
        <w:kinsoku/>
        <w:wordWrap/>
        <w:overflowPunct/>
        <w:topLinePunct w:val="0"/>
        <w:autoSpaceDE/>
        <w:autoSpaceDN/>
        <w:bidi w:val="0"/>
        <w:snapToGrid w:val="0"/>
        <w:spacing w:line="4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（6）不同投标人的投标保证金从同一单位或者个人账户转出。</w:t>
      </w:r>
    </w:p>
    <w:p w14:paraId="692AC283">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9.3供应商有下列情形之一的，属于恶意串通行为，将报同级监督管理部门：</w:t>
      </w:r>
    </w:p>
    <w:p w14:paraId="4AB2338F">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（1）供应商直接或者间接从采购人或者采购代理机构处获得其他供应商的相关信息并修改其投标文件或者响应文件；</w:t>
      </w:r>
    </w:p>
    <w:p w14:paraId="7368FDFB">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（2）供应商按照采购人或者采购代理机构的授意撤换、修改投标文件或者响应文件；</w:t>
      </w:r>
    </w:p>
    <w:p w14:paraId="2B9EB03C">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（3）供应商之间协商报价、技术方案等投标文件或者响应文件的实质性内容；</w:t>
      </w:r>
    </w:p>
    <w:p w14:paraId="23932A3C">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00C84B0B">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（5）供应商之间事先约定一致抬高或者压低投标报价，或者在招标项目中事先约定轮流以高价位或者低价位中标，或者事先约定由某一特定供应商中标，然后再参加投标；</w:t>
      </w:r>
    </w:p>
    <w:p w14:paraId="2DF7EBF2">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（6）供应商之间商定部分供应商放弃参加政府采购活动或者放弃中标；</w:t>
      </w:r>
    </w:p>
    <w:p w14:paraId="2FEA891B">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（7）供应商与采购人或者采购代理机构之间、供应商相互之间，为谋求特定供应商中标或者排斥其他供应商的其他串通行为。</w:t>
      </w:r>
    </w:p>
    <w:p w14:paraId="0652FCDD">
      <w:pPr>
        <w:pStyle w:val="4"/>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highlight w:val="none"/>
        </w:rPr>
      </w:pPr>
      <w:bookmarkStart w:id="106" w:name="_Toc30666"/>
      <w:bookmarkStart w:id="107" w:name="_Toc16733"/>
      <w:bookmarkStart w:id="108" w:name="_Toc254970675"/>
      <w:bookmarkStart w:id="109" w:name="_Toc254970534"/>
      <w:r>
        <w:rPr>
          <w:rFonts w:hint="eastAsia" w:ascii="宋体" w:hAnsi="宋体" w:cs="宋体"/>
          <w:color w:val="auto"/>
          <w:highlight w:val="none"/>
        </w:rPr>
        <w:t>二、招标文件</w:t>
      </w:r>
      <w:bookmarkEnd w:id="106"/>
      <w:bookmarkEnd w:id="107"/>
      <w:bookmarkEnd w:id="108"/>
      <w:bookmarkEnd w:id="109"/>
    </w:p>
    <w:p w14:paraId="7172CD77">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10.招标文件的组成</w:t>
      </w:r>
    </w:p>
    <w:p w14:paraId="723F0006">
      <w:pPr>
        <w:keepNext w:val="0"/>
        <w:keepLines w:val="0"/>
        <w:pageBreakBefore w:val="0"/>
        <w:widowControl w:val="0"/>
        <w:kinsoku/>
        <w:wordWrap/>
        <w:overflowPunct/>
        <w:topLinePunct w:val="0"/>
        <w:autoSpaceDE/>
        <w:autoSpaceDN/>
        <w:bidi w:val="0"/>
        <w:snapToGrid w:val="0"/>
        <w:spacing w:line="400" w:lineRule="exact"/>
        <w:ind w:firstLine="42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（1）招标公告；</w:t>
      </w:r>
    </w:p>
    <w:p w14:paraId="53CE8293">
      <w:pPr>
        <w:keepNext w:val="0"/>
        <w:keepLines w:val="0"/>
        <w:pageBreakBefore w:val="0"/>
        <w:widowControl w:val="0"/>
        <w:kinsoku/>
        <w:wordWrap/>
        <w:overflowPunct/>
        <w:topLinePunct w:val="0"/>
        <w:autoSpaceDE/>
        <w:autoSpaceDN/>
        <w:bidi w:val="0"/>
        <w:snapToGrid w:val="0"/>
        <w:spacing w:line="400" w:lineRule="exact"/>
        <w:ind w:firstLine="42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（2）采购需求； </w:t>
      </w:r>
    </w:p>
    <w:p w14:paraId="47C6E36C">
      <w:pPr>
        <w:keepNext w:val="0"/>
        <w:keepLines w:val="0"/>
        <w:pageBreakBefore w:val="0"/>
        <w:widowControl w:val="0"/>
        <w:kinsoku/>
        <w:wordWrap/>
        <w:overflowPunct/>
        <w:topLinePunct w:val="0"/>
        <w:autoSpaceDE/>
        <w:autoSpaceDN/>
        <w:bidi w:val="0"/>
        <w:snapToGrid w:val="0"/>
        <w:spacing w:line="400" w:lineRule="exact"/>
        <w:ind w:firstLine="42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（3）投标人须知；</w:t>
      </w:r>
    </w:p>
    <w:p w14:paraId="3A323153">
      <w:pPr>
        <w:keepNext w:val="0"/>
        <w:keepLines w:val="0"/>
        <w:pageBreakBefore w:val="0"/>
        <w:widowControl w:val="0"/>
        <w:kinsoku/>
        <w:wordWrap/>
        <w:overflowPunct/>
        <w:topLinePunct w:val="0"/>
        <w:autoSpaceDE/>
        <w:autoSpaceDN/>
        <w:bidi w:val="0"/>
        <w:snapToGrid w:val="0"/>
        <w:spacing w:line="400" w:lineRule="exact"/>
        <w:ind w:firstLine="42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（4）评标方法及评标标准；</w:t>
      </w:r>
    </w:p>
    <w:p w14:paraId="09A9FC31">
      <w:pPr>
        <w:keepNext w:val="0"/>
        <w:keepLines w:val="0"/>
        <w:pageBreakBefore w:val="0"/>
        <w:widowControl w:val="0"/>
        <w:kinsoku/>
        <w:wordWrap/>
        <w:overflowPunct/>
        <w:topLinePunct w:val="0"/>
        <w:autoSpaceDE/>
        <w:autoSpaceDN/>
        <w:bidi w:val="0"/>
        <w:snapToGrid w:val="0"/>
        <w:spacing w:line="400" w:lineRule="exact"/>
        <w:ind w:firstLine="42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（5）拟签订的合同文本；</w:t>
      </w:r>
    </w:p>
    <w:p w14:paraId="5F23475E">
      <w:pPr>
        <w:keepNext w:val="0"/>
        <w:keepLines w:val="0"/>
        <w:pageBreakBefore w:val="0"/>
        <w:widowControl w:val="0"/>
        <w:kinsoku/>
        <w:wordWrap/>
        <w:overflowPunct/>
        <w:topLinePunct w:val="0"/>
        <w:autoSpaceDE/>
        <w:autoSpaceDN/>
        <w:bidi w:val="0"/>
        <w:snapToGrid w:val="0"/>
        <w:spacing w:line="400" w:lineRule="exact"/>
        <w:ind w:firstLine="42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（6）投标文件格式。</w:t>
      </w:r>
    </w:p>
    <w:p w14:paraId="02F121E8">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11.招标文件的澄清、修改 、现场考察和答疑会</w:t>
      </w:r>
    </w:p>
    <w:p w14:paraId="7A5D8013">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0446142C">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52F4559D">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highlight w:val="none"/>
        </w:rPr>
      </w:pPr>
      <w:r>
        <w:rPr>
          <w:rFonts w:hint="eastAsia" w:hAnsi="宋体" w:cs="宋体"/>
          <w:color w:val="auto"/>
          <w:highlight w:val="none"/>
        </w:rPr>
        <w:t>11.2</w:t>
      </w:r>
      <w:bookmarkStart w:id="110" w:name="_Hlk53134511"/>
      <w:r>
        <w:rPr>
          <w:rFonts w:hint="eastAsia" w:hAnsi="宋体" w:cs="宋体"/>
          <w:color w:val="auto"/>
          <w:highlight w:val="none"/>
        </w:rPr>
        <w:t>采购人或者采购代理机构可以在招标文件提供期限截止后，组织已获取招标文件的潜在投标人现场考察或者召开开标前答疑会，具体详见“投标人须知前附表”。</w:t>
      </w:r>
      <w:bookmarkEnd w:id="110"/>
      <w:bookmarkStart w:id="111" w:name="_Toc254970676"/>
      <w:bookmarkStart w:id="112" w:name="_Toc28609"/>
      <w:bookmarkStart w:id="113" w:name="_Toc11493"/>
      <w:bookmarkStart w:id="114" w:name="_Toc254970535"/>
    </w:p>
    <w:p w14:paraId="05E4830D">
      <w:pPr>
        <w:pStyle w:val="4"/>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highlight w:val="none"/>
        </w:rPr>
      </w:pPr>
      <w:r>
        <w:rPr>
          <w:rFonts w:hint="eastAsia" w:ascii="宋体" w:hAnsi="宋体" w:cs="宋体"/>
          <w:color w:val="auto"/>
          <w:highlight w:val="none"/>
        </w:rPr>
        <w:t>三、投标文件的编制</w:t>
      </w:r>
      <w:bookmarkEnd w:id="111"/>
      <w:bookmarkEnd w:id="112"/>
      <w:bookmarkEnd w:id="113"/>
      <w:bookmarkEnd w:id="114"/>
    </w:p>
    <w:p w14:paraId="4390D571">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15" w:name="_Toc254970536"/>
      <w:bookmarkStart w:id="116" w:name="_Toc254970677"/>
      <w:r>
        <w:rPr>
          <w:rFonts w:hint="eastAsia" w:ascii="宋体" w:hAnsi="宋体" w:cs="宋体"/>
          <w:b/>
          <w:color w:val="auto"/>
          <w:sz w:val="24"/>
          <w:highlight w:val="none"/>
        </w:rPr>
        <w:t>12.投标文件的编制原则</w:t>
      </w:r>
    </w:p>
    <w:p w14:paraId="25467F12">
      <w:pPr>
        <w:keepNext w:val="0"/>
        <w:keepLines w:val="0"/>
        <w:pageBreakBefore w:val="0"/>
        <w:widowControl w:val="0"/>
        <w:kinsoku/>
        <w:wordWrap/>
        <w:overflowPunct/>
        <w:topLinePunct w:val="0"/>
        <w:autoSpaceDE/>
        <w:autoSpaceDN/>
        <w:bidi w:val="0"/>
        <w:snapToGrid w:val="0"/>
        <w:spacing w:line="400" w:lineRule="exact"/>
        <w:ind w:firstLine="42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投标人必须按照招标文件的要求编制投标文件。投标文件必须对招标文件提出的要求和条件作出明确响应。</w:t>
      </w:r>
    </w:p>
    <w:p w14:paraId="555B5F89">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13.投标文件的组成</w:t>
      </w:r>
      <w:bookmarkEnd w:id="115"/>
      <w:bookmarkEnd w:id="116"/>
    </w:p>
    <w:p w14:paraId="44593AFE">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投标文件由报价文件、资格证明文件、商务及技术文件三部分组成。</w:t>
      </w:r>
    </w:p>
    <w:p w14:paraId="1633D26F">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bookmarkStart w:id="117" w:name="_13.1报价文件:_具体材料见“投标人须知前附表”。"/>
      <w:bookmarkEnd w:id="117"/>
      <w:r>
        <w:rPr>
          <w:rFonts w:hint="eastAsia" w:ascii="宋体" w:hAnsi="宋体" w:cs="宋体"/>
          <w:color w:val="auto"/>
          <w:szCs w:val="21"/>
          <w:highlight w:val="none"/>
        </w:rPr>
        <w:t>（1）报价文件：具体材料见“投标人须知前附表”。</w:t>
      </w:r>
    </w:p>
    <w:p w14:paraId="3F4BDAC5">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bookmarkStart w:id="118" w:name="_13.2资格证明文件：具体材料见“投标人须知前附表”。"/>
      <w:bookmarkEnd w:id="118"/>
      <w:r>
        <w:rPr>
          <w:rFonts w:hint="eastAsia" w:ascii="宋体" w:hAnsi="宋体" w:cs="宋体"/>
          <w:color w:val="auto"/>
          <w:szCs w:val="21"/>
          <w:highlight w:val="none"/>
        </w:rPr>
        <w:t>（2）资格证明文件：具体材料见“投标人须知前附表”。</w:t>
      </w:r>
    </w:p>
    <w:p w14:paraId="729DF7D9">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bookmarkStart w:id="119" w:name="_13.3商务文件:_具体材料见“投标人须知前附表”。"/>
      <w:bookmarkEnd w:id="119"/>
      <w:r>
        <w:rPr>
          <w:rFonts w:hint="eastAsia" w:ascii="宋体" w:hAnsi="宋体" w:cs="宋体"/>
          <w:color w:val="auto"/>
          <w:szCs w:val="21"/>
          <w:highlight w:val="none"/>
        </w:rPr>
        <w:t>（3）商务及技术文件：具体材料见“投标人须知前附表”。</w:t>
      </w:r>
    </w:p>
    <w:p w14:paraId="7A58667E">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20" w:name="_13.5投标文件电子版：具体材料见“投标人须知前附表”。"/>
      <w:bookmarkEnd w:id="120"/>
      <w:bookmarkStart w:id="121" w:name="_13.4技术文件：具体材料见“投标人须知前附表”。"/>
      <w:bookmarkEnd w:id="121"/>
      <w:bookmarkStart w:id="122" w:name="_Toc254970678"/>
      <w:bookmarkStart w:id="123" w:name="_Toc254970537"/>
      <w:r>
        <w:rPr>
          <w:rFonts w:hint="eastAsia" w:ascii="宋体" w:hAnsi="宋体" w:cs="宋体"/>
          <w:b/>
          <w:color w:val="auto"/>
          <w:sz w:val="24"/>
          <w:highlight w:val="none"/>
        </w:rPr>
        <w:t>14.投标文件的语言及计量</w:t>
      </w:r>
      <w:bookmarkEnd w:id="122"/>
      <w:bookmarkEnd w:id="123"/>
    </w:p>
    <w:p w14:paraId="67CD4ED6">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14.1语言文字</w:t>
      </w:r>
    </w:p>
    <w:p w14:paraId="7CBBF1F5">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25E336FD">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14.2投标计量单位</w:t>
      </w:r>
    </w:p>
    <w:p w14:paraId="7C5B4098">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招标文件已有明确规定的，使用招标文件规定的计量单位；招标文件没有规定的，应采用中华人民共和国法定计量单位，货币种类为人民币，</w:t>
      </w:r>
      <w:r>
        <w:rPr>
          <w:rFonts w:hint="eastAsia" w:ascii="宋体" w:hAnsi="宋体" w:cs="宋体"/>
          <w:b/>
          <w:color w:val="auto"/>
          <w:szCs w:val="21"/>
          <w:highlight w:val="none"/>
        </w:rPr>
        <w:t>否则视同未响应</w:t>
      </w:r>
      <w:r>
        <w:rPr>
          <w:rFonts w:hint="eastAsia" w:ascii="宋体" w:hAnsi="宋体" w:cs="宋体"/>
          <w:color w:val="auto"/>
          <w:szCs w:val="21"/>
          <w:highlight w:val="none"/>
        </w:rPr>
        <w:t>。</w:t>
      </w:r>
    </w:p>
    <w:p w14:paraId="45C51D93">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15.投标的风险</w:t>
      </w:r>
    </w:p>
    <w:p w14:paraId="476EC79F">
      <w:pPr>
        <w:pStyle w:val="22"/>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hAnsi="宋体" w:cs="宋体"/>
          <w:color w:val="auto"/>
          <w:highlight w:val="none"/>
        </w:rPr>
      </w:pPr>
      <w:r>
        <w:rPr>
          <w:rFonts w:hint="eastAsia" w:hAnsi="宋体" w:cs="宋体"/>
          <w:color w:val="auto"/>
          <w:highlight w:val="none"/>
        </w:rPr>
        <w:t>投标人没有按照招标文件要求提供全部资料，或者投标人没有对招标文件作出实质性响应是投标人的风险，并可能导致其投标被拒绝。</w:t>
      </w:r>
    </w:p>
    <w:p w14:paraId="3BA94BE0">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24" w:name="_Toc254970679"/>
      <w:bookmarkStart w:id="125" w:name="_Toc254970538"/>
      <w:r>
        <w:rPr>
          <w:rFonts w:hint="eastAsia" w:ascii="宋体" w:hAnsi="宋体" w:cs="宋体"/>
          <w:b/>
          <w:color w:val="auto"/>
          <w:sz w:val="24"/>
          <w:highlight w:val="none"/>
        </w:rPr>
        <w:t>16.投标报价</w:t>
      </w:r>
      <w:bookmarkEnd w:id="124"/>
      <w:bookmarkEnd w:id="125"/>
    </w:p>
    <w:p w14:paraId="73F08DDC">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16.1投标报价应按“第六章　投标文件格式”中“开标一览表”格式填写。</w:t>
      </w:r>
    </w:p>
    <w:p w14:paraId="0FFC5D63">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bookmarkStart w:id="126" w:name="_16.2投标报价具体定义见投标人须知前附表。"/>
      <w:bookmarkEnd w:id="126"/>
      <w:r>
        <w:rPr>
          <w:rFonts w:hint="eastAsia" w:ascii="宋体" w:hAnsi="宋体" w:cs="宋体"/>
          <w:color w:val="auto"/>
          <w:szCs w:val="21"/>
          <w:highlight w:val="none"/>
        </w:rPr>
        <w:t>16.2投标报价具体包括内容详见“投标人须知前附表”。</w:t>
      </w:r>
    </w:p>
    <w:p w14:paraId="7250F198">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16.3投标人必须就所投每个分标的全部内容分别作完整唯一总价报价，不得存在漏项报价；投标人必须就所投分标的单项内容作唯一报价。</w:t>
      </w:r>
    </w:p>
    <w:p w14:paraId="08EDFEB5">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17.投标有效期</w:t>
      </w:r>
    </w:p>
    <w:p w14:paraId="2314885D">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bookmarkStart w:id="127" w:name="_17.1投标有效期应按“投标人须知中的前附表”规定的期限。"/>
      <w:bookmarkEnd w:id="127"/>
      <w:r>
        <w:rPr>
          <w:rFonts w:hint="eastAsia" w:ascii="宋体" w:hAnsi="宋体" w:cs="宋体"/>
          <w:color w:val="auto"/>
          <w:szCs w:val="21"/>
          <w:highlight w:val="none"/>
        </w:rPr>
        <w:t>17.1投标有效期是指为保证采购人有足够的时间在开标后完成评标、定标、合同签订等工作而要求投标人提交的投标文件在一定时间内保持有效的期限。</w:t>
      </w:r>
    </w:p>
    <w:p w14:paraId="72F94451">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17.2</w:t>
      </w:r>
      <w:bookmarkStart w:id="128" w:name="_Toc254970540"/>
      <w:bookmarkStart w:id="129" w:name="_Toc254970681"/>
      <w:r>
        <w:rPr>
          <w:rFonts w:hint="eastAsia" w:ascii="宋体" w:hAnsi="宋体" w:cs="宋体"/>
          <w:color w:val="auto"/>
          <w:szCs w:val="21"/>
          <w:highlight w:val="none"/>
        </w:rPr>
        <w:t xml:space="preserve"> 投标有效期应按招标文件规定的期限作出承诺，具体详见“投标人须知前附表”。</w:t>
      </w:r>
      <w:r>
        <w:rPr>
          <w:rFonts w:hint="eastAsia" w:ascii="宋体" w:hAnsi="宋体" w:cs="宋体"/>
          <w:b/>
          <w:color w:val="auto"/>
          <w:szCs w:val="21"/>
          <w:highlight w:val="none"/>
        </w:rPr>
        <w:t>承诺的投标有效期低于招标文件规定期限的，按无效投标处理</w:t>
      </w:r>
      <w:r>
        <w:rPr>
          <w:rFonts w:hint="eastAsia" w:ascii="宋体" w:hAnsi="宋体" w:cs="宋体"/>
          <w:color w:val="auto"/>
          <w:szCs w:val="21"/>
          <w:highlight w:val="none"/>
        </w:rPr>
        <w:t>。</w:t>
      </w:r>
    </w:p>
    <w:p w14:paraId="47E350AE">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17.3投标人的投标文件在投标有效期内均保持有效。</w:t>
      </w:r>
      <w:bookmarkEnd w:id="128"/>
      <w:bookmarkEnd w:id="129"/>
    </w:p>
    <w:p w14:paraId="23A33108">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30" w:name="_18.投标保证金"/>
      <w:bookmarkEnd w:id="130"/>
      <w:bookmarkStart w:id="131" w:name="_Toc254970682"/>
      <w:bookmarkStart w:id="132" w:name="_Toc254970541"/>
      <w:r>
        <w:rPr>
          <w:rFonts w:hint="eastAsia" w:ascii="宋体" w:hAnsi="宋体" w:cs="宋体"/>
          <w:b/>
          <w:color w:val="auto"/>
          <w:sz w:val="24"/>
          <w:highlight w:val="none"/>
        </w:rPr>
        <w:t>18.投标保证金</w:t>
      </w:r>
      <w:bookmarkEnd w:id="131"/>
      <w:bookmarkEnd w:id="132"/>
    </w:p>
    <w:p w14:paraId="5CB12742">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18.1投标人须按“投标人须知前附表” 的规定提交投标保证金。</w:t>
      </w:r>
    </w:p>
    <w:p w14:paraId="312541E0">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18.2投标保证金的退还</w:t>
      </w:r>
    </w:p>
    <w:p w14:paraId="0F6D3871">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未中标人的投标保证金自中标通知书发出之日起5个工作日内退还；中标人的投标保证金自政府采购合同签订之日起5个工作日内退还。 </w:t>
      </w:r>
    </w:p>
    <w:p w14:paraId="684687FE">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18.3除逾期退还投标保证金和终止招标的情形以外，投标保证金不计息。</w:t>
      </w:r>
    </w:p>
    <w:p w14:paraId="6F083CE2">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18.4投标人有下列情形之一的，投标保证金将不予退还：</w:t>
      </w:r>
    </w:p>
    <w:p w14:paraId="1A1152DB">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（1）投标人在投标有效期内撤销投标文件的；</w:t>
      </w:r>
    </w:p>
    <w:p w14:paraId="0412EA68">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（2）未按规定提交履约保证金的；</w:t>
      </w:r>
    </w:p>
    <w:p w14:paraId="3D614DC8">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（3）投标人在投标过程中弄虚作假，提供虚假材料的；</w:t>
      </w:r>
    </w:p>
    <w:p w14:paraId="64391C15">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（4）中标人无正当理由不与采购人签订合同的；</w:t>
      </w:r>
    </w:p>
    <w:p w14:paraId="7111590E">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bookmarkStart w:id="133" w:name="_Toc254970683"/>
      <w:bookmarkStart w:id="134" w:name="_Toc254970542"/>
      <w:r>
        <w:rPr>
          <w:rFonts w:hint="eastAsia" w:ascii="宋体" w:hAnsi="宋体" w:cs="宋体"/>
          <w:color w:val="auto"/>
          <w:szCs w:val="21"/>
          <w:highlight w:val="none"/>
        </w:rPr>
        <w:t>（5）投标人出现本章第9.2、9.3情形的；</w:t>
      </w:r>
    </w:p>
    <w:p w14:paraId="03D61309">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（6）法律法规规定的其他情形。</w:t>
      </w:r>
    </w:p>
    <w:bookmarkEnd w:id="133"/>
    <w:bookmarkEnd w:id="134"/>
    <w:p w14:paraId="3A7191F3">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19.投标文件的编制</w:t>
      </w:r>
    </w:p>
    <w:p w14:paraId="438ECFBF">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19.1投标人应先安装“广西政府采购云电子投标客户端”（请自行前往广西政府采购云平台进行下载），并按照本项目招标文件规定的格式和顺序和广西政府采购云平台的要求编制并加密。投标文件内容不完整、编排混乱导致投标文件被误读、漏读或者查找不到相关内容的，由此引发的后果由投标人承担。</w:t>
      </w:r>
    </w:p>
    <w:p w14:paraId="647B9595">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bookmarkStart w:id="135" w:name="_19.2投标文件应按报价文件、资格证明文件、商务文件、技术文件分别编制"/>
      <w:bookmarkEnd w:id="135"/>
      <w:r>
        <w:rPr>
          <w:rFonts w:hint="eastAsia" w:hAnsi="宋体" w:cs="宋体"/>
          <w:color w:val="auto"/>
          <w:highlight w:val="none"/>
        </w:rPr>
        <w:t>19.2为确保网上操作合法、有效和安全，投标人应当在投标截止时间前完成在广西政府采购云平台的身份认证，确保在电子投标过程中能够对相关数据电文进行加密和使用电子签章。</w:t>
      </w:r>
    </w:p>
    <w:p w14:paraId="1BBD792A">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19.3投标文件须由投标人在规定位置签字（或者电子签名）、盖章（具体以投标人须知前附表或投标文件格式规定为准），</w:t>
      </w:r>
      <w:r>
        <w:rPr>
          <w:rFonts w:hint="eastAsia" w:hAnsi="宋体" w:cs="宋体"/>
          <w:b/>
          <w:color w:val="auto"/>
          <w:highlight w:val="none"/>
        </w:rPr>
        <w:t>否则按无效投标处理</w:t>
      </w:r>
      <w:r>
        <w:rPr>
          <w:rFonts w:hint="eastAsia" w:hAnsi="宋体" w:cs="宋体"/>
          <w:color w:val="auto"/>
          <w:highlight w:val="none"/>
        </w:rPr>
        <w:t>。</w:t>
      </w:r>
    </w:p>
    <w:p w14:paraId="52094320">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w:t>
      </w:r>
      <w:r>
        <w:rPr>
          <w:rFonts w:hint="eastAsia" w:hAnsi="宋体" w:cs="宋体"/>
          <w:b/>
          <w:color w:val="auto"/>
          <w:highlight w:val="none"/>
        </w:rPr>
        <w:t>否则按无效投标处理</w:t>
      </w:r>
      <w:r>
        <w:rPr>
          <w:rFonts w:hint="eastAsia" w:hAnsi="宋体" w:cs="宋体"/>
          <w:color w:val="auto"/>
          <w:highlight w:val="none"/>
        </w:rPr>
        <w:t>。</w:t>
      </w:r>
    </w:p>
    <w:p w14:paraId="25245BF5">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6036A3CD">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20.电子备份投标文件</w:t>
      </w:r>
    </w:p>
    <w:p w14:paraId="64FA36C8">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电子备份投标文件是指通过“广西政府采购云电子投标客户端”在线编制生成且后缀名为“bfbs”的文件，是否接受电子备份投标文件详见“投标人须知前附表”。</w:t>
      </w:r>
    </w:p>
    <w:p w14:paraId="49D006AF">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21.投标文件的提交</w:t>
      </w:r>
    </w:p>
    <w:p w14:paraId="0D7AA7C8">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b/>
          <w:color w:val="auto"/>
          <w:highlight w:val="none"/>
        </w:rPr>
      </w:pPr>
      <w:bookmarkStart w:id="136" w:name="_21.1投标人必须在“投标人须知中的前附表”规定的投标文件接收时间和投"/>
      <w:bookmarkEnd w:id="136"/>
      <w:r>
        <w:rPr>
          <w:rFonts w:hint="eastAsia" w:ascii="宋体" w:hAnsi="宋体" w:cs="宋体"/>
          <w:bCs/>
          <w:color w:val="auto"/>
          <w:szCs w:val="21"/>
          <w:highlight w:val="none"/>
        </w:rPr>
        <w:t>21.1投标人必须在“投标人须知前附表”规定的</w:t>
      </w:r>
      <w:r>
        <w:rPr>
          <w:rFonts w:hint="eastAsia" w:ascii="宋体" w:hAnsi="宋体" w:cs="宋体"/>
          <w:color w:val="auto"/>
          <w:szCs w:val="21"/>
          <w:highlight w:val="none"/>
        </w:rPr>
        <w:t>提交投标文件截止时间前将</w:t>
      </w:r>
      <w:r>
        <w:rPr>
          <w:rFonts w:hint="eastAsia" w:ascii="宋体" w:hAnsi="宋体" w:cs="宋体"/>
          <w:bCs/>
          <w:color w:val="auto"/>
          <w:szCs w:val="21"/>
          <w:highlight w:val="none"/>
        </w:rPr>
        <w:t>电子投标文件提交至投标地点。电子投标文件应在制作完成后，在投标截止时间前通过有效数字证书（CA认证锁）进行电子签章、加密，然后通过网络将加密的电子投标文件递交至</w:t>
      </w:r>
      <w:r>
        <w:rPr>
          <w:rFonts w:hint="eastAsia" w:ascii="宋体" w:hAnsi="宋体" w:cs="宋体"/>
          <w:b/>
          <w:color w:val="auto"/>
          <w:szCs w:val="21"/>
          <w:highlight w:val="none"/>
        </w:rPr>
        <w:t>广西政府采购云平台</w:t>
      </w:r>
      <w:r>
        <w:rPr>
          <w:rFonts w:hint="eastAsia" w:ascii="宋体" w:hAnsi="宋体" w:cs="宋体"/>
          <w:bCs/>
          <w:color w:val="auto"/>
          <w:szCs w:val="21"/>
          <w:highlight w:val="none"/>
        </w:rPr>
        <w:t>。</w:t>
      </w:r>
    </w:p>
    <w:p w14:paraId="18134194">
      <w:pPr>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ascii="宋体" w:hAnsi="宋体" w:cs="宋体"/>
          <w:b/>
          <w:color w:val="auto"/>
          <w:szCs w:val="20"/>
          <w:highlight w:val="none"/>
        </w:rPr>
      </w:pPr>
      <w:r>
        <w:rPr>
          <w:rFonts w:hint="eastAsia" w:ascii="宋体" w:hAnsi="宋体" w:cs="宋体"/>
          <w:b/>
          <w:color w:val="auto"/>
          <w:szCs w:val="21"/>
          <w:highlight w:val="none"/>
        </w:rPr>
        <w:t>21.2未在规定时间内提交或者未按照招标文件要求加密的电子投标文件，广西政府采购云平台将拒收。</w:t>
      </w:r>
    </w:p>
    <w:p w14:paraId="63D1007B">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22. 投标文件的补充、修改、撤回与退回</w:t>
      </w:r>
    </w:p>
    <w:p w14:paraId="3B746722">
      <w:pPr>
        <w:keepNext w:val="0"/>
        <w:keepLines w:val="0"/>
        <w:pageBreakBefore w:val="0"/>
        <w:widowControl w:val="0"/>
        <w:kinsoku/>
        <w:wordWrap/>
        <w:overflowPunct/>
        <w:topLinePunct w:val="0"/>
        <w:autoSpaceDE/>
        <w:autoSpaceDN/>
        <w:bidi w:val="0"/>
        <w:snapToGrid w:val="0"/>
        <w:spacing w:line="400" w:lineRule="exact"/>
        <w:ind w:firstLine="420"/>
        <w:jc w:val="left"/>
        <w:textAlignment w:val="auto"/>
        <w:rPr>
          <w:rFonts w:hint="eastAsia" w:ascii="宋体" w:hAnsi="宋体" w:cs="宋体"/>
          <w:color w:val="auto"/>
          <w:szCs w:val="21"/>
          <w:highlight w:val="none"/>
        </w:rPr>
      </w:pPr>
      <w:bookmarkStart w:id="137" w:name="_Toc254970543"/>
      <w:bookmarkStart w:id="138" w:name="_Toc254970684"/>
      <w:r>
        <w:rPr>
          <w:rFonts w:hint="eastAsia" w:ascii="宋体" w:hAnsi="宋体" w:cs="宋体"/>
          <w:color w:val="auto"/>
          <w:szCs w:val="21"/>
          <w:highlight w:val="none"/>
        </w:rPr>
        <w:t>22.1</w:t>
      </w:r>
      <w:r>
        <w:rPr>
          <w:rFonts w:hint="eastAsia" w:ascii="宋体" w:hAnsi="宋体" w:cs="宋体"/>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Pr>
          <w:rFonts w:hint="eastAsia" w:ascii="宋体" w:hAnsi="宋体" w:cs="宋体"/>
          <w:color w:val="auto"/>
          <w:szCs w:val="21"/>
          <w:highlight w:val="none"/>
        </w:rPr>
        <w:t>（补充、修改或者撤回方式可登录</w:t>
      </w:r>
      <w:r>
        <w:rPr>
          <w:rFonts w:hint="eastAsia" w:ascii="宋体" w:hAnsi="宋体" w:cs="宋体"/>
          <w:color w:val="auto"/>
          <w:kern w:val="0"/>
          <w:szCs w:val="21"/>
          <w:highlight w:val="none"/>
        </w:rPr>
        <w:t>广西政府采购云平台，</w:t>
      </w:r>
      <w:r>
        <w:rPr>
          <w:rFonts w:hint="eastAsia" w:ascii="宋体" w:hAnsi="宋体" w:cs="宋体"/>
          <w:color w:val="auto"/>
          <w:szCs w:val="21"/>
          <w:highlight w:val="none"/>
        </w:rPr>
        <w:t>依次进入“服务中心”中查看 “电子投标文件制作与投送教程”）</w:t>
      </w:r>
    </w:p>
    <w:bookmarkEnd w:id="137"/>
    <w:bookmarkEnd w:id="138"/>
    <w:p w14:paraId="4BDC8C5F">
      <w:pPr>
        <w:pStyle w:val="80"/>
        <w:keepNext w:val="0"/>
        <w:keepLines w:val="0"/>
        <w:pageBreakBefore w:val="0"/>
        <w:widowControl w:val="0"/>
        <w:kinsoku/>
        <w:wordWrap/>
        <w:overflowPunct/>
        <w:topLinePunct w:val="0"/>
        <w:autoSpaceDE/>
        <w:autoSpaceDN/>
        <w:bidi w:val="0"/>
        <w:spacing w:before="0" w:line="400" w:lineRule="exact"/>
        <w:ind w:firstLine="42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22.2广西政府采购云平台收到投标文件后向供应商发出确认回执通知。在投标截止时间前，除供应商补充、修改或者撤回投标文件外，任何单位和个人不得解密或提取投标文件。</w:t>
      </w:r>
    </w:p>
    <w:p w14:paraId="7260A2E6">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22.3在投标截止时间后，采购人和采购代理机构对已提交的投标文件概不退回。</w:t>
      </w:r>
    </w:p>
    <w:p w14:paraId="47D528F3">
      <w:pPr>
        <w:pStyle w:val="4"/>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highlight w:val="none"/>
        </w:rPr>
      </w:pPr>
      <w:bookmarkStart w:id="139" w:name="_Toc254970544"/>
      <w:bookmarkStart w:id="140" w:name="_Toc254970685"/>
      <w:bookmarkStart w:id="141" w:name="_Toc23160"/>
      <w:bookmarkStart w:id="142" w:name="_Toc21393"/>
      <w:r>
        <w:rPr>
          <w:rFonts w:hint="eastAsia" w:ascii="宋体" w:hAnsi="宋体" w:cs="宋体"/>
          <w:color w:val="auto"/>
          <w:highlight w:val="none"/>
        </w:rPr>
        <w:t>四、开  标</w:t>
      </w:r>
      <w:bookmarkEnd w:id="139"/>
      <w:bookmarkEnd w:id="140"/>
      <w:bookmarkEnd w:id="141"/>
      <w:bookmarkEnd w:id="142"/>
    </w:p>
    <w:p w14:paraId="09D45321">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43" w:name="_23.开标时间和地点"/>
      <w:bookmarkEnd w:id="143"/>
      <w:r>
        <w:rPr>
          <w:rFonts w:hint="eastAsia" w:ascii="宋体" w:hAnsi="宋体" w:cs="宋体"/>
          <w:b/>
          <w:color w:val="auto"/>
          <w:sz w:val="24"/>
          <w:highlight w:val="none"/>
        </w:rPr>
        <w:t>23.开标时间和地点</w:t>
      </w:r>
    </w:p>
    <w:p w14:paraId="24751766">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bCs/>
          <w:color w:val="auto"/>
          <w:highlight w:val="none"/>
        </w:rPr>
      </w:pPr>
      <w:r>
        <w:rPr>
          <w:rFonts w:hint="eastAsia" w:ascii="宋体" w:hAnsi="宋体" w:cs="宋体"/>
          <w:bCs/>
          <w:color w:val="auto"/>
          <w:highlight w:val="none"/>
        </w:rPr>
        <w:t>开标时间及地点详见“投标人须知前附表”</w:t>
      </w:r>
    </w:p>
    <w:p w14:paraId="6D9F9D6D">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24.开标程序</w:t>
      </w:r>
    </w:p>
    <w:p w14:paraId="012E2C4D">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highlight w:val="none"/>
        </w:rPr>
      </w:pPr>
      <w:r>
        <w:rPr>
          <w:rFonts w:hint="eastAsia" w:ascii="宋体" w:hAnsi="宋体" w:cs="宋体"/>
          <w:color w:val="auto"/>
          <w:highlight w:val="none"/>
        </w:rPr>
        <w:t>24.1提交投标文件截止时间止，投标人不足3家的，不得开标。</w:t>
      </w:r>
    </w:p>
    <w:p w14:paraId="648828F1">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highlight w:val="none"/>
        </w:rPr>
      </w:pPr>
      <w:r>
        <w:rPr>
          <w:rFonts w:hint="eastAsia" w:ascii="宋体" w:hAnsi="宋体" w:cs="宋体"/>
          <w:color w:val="auto"/>
          <w:highlight w:val="none"/>
        </w:rPr>
        <w:t>24.2采购代理机构将按照招标文件规定的时间通过广西政府采购云平台组织线上开标活动，所有供应商均应当准时在线参加，投标人因未在线参加开标而导致投标文件无法按时解密等一切后果由投标人自己承担。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676D91FF">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highlight w:val="none"/>
        </w:rPr>
      </w:pPr>
      <w:r>
        <w:rPr>
          <w:rFonts w:hint="eastAsia" w:ascii="宋体" w:hAnsi="宋体" w:cs="宋体"/>
          <w:color w:val="auto"/>
          <w:highlight w:val="none"/>
        </w:rPr>
        <w:t>24.3开标程序</w:t>
      </w:r>
    </w:p>
    <w:p w14:paraId="4AB58D35">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highlight w:val="none"/>
        </w:rPr>
      </w:pPr>
      <w:r>
        <w:rPr>
          <w:rFonts w:hint="eastAsia" w:ascii="宋体" w:hAnsi="宋体" w:cs="宋体"/>
          <w:color w:val="auto"/>
          <w:highlight w:val="none"/>
        </w:rPr>
        <w:t>（1）解密电子投标文件。广西政府采购云平台按开标时间自动提取所有投标文件。采购代理机构依托广西政府采购云平台向各投标人发出电子加密投标文件【开始解密】通知，由投标人按</w:t>
      </w:r>
      <w:r>
        <w:rPr>
          <w:rFonts w:hint="eastAsia" w:ascii="宋体" w:hAnsi="宋体" w:cs="宋体"/>
          <w:bCs/>
          <w:color w:val="auto"/>
          <w:szCs w:val="21"/>
          <w:highlight w:val="none"/>
        </w:rPr>
        <w:t>“投标人须知前附表”</w:t>
      </w:r>
      <w:r>
        <w:rPr>
          <w:rFonts w:hint="eastAsia" w:ascii="宋体" w:hAnsi="宋体" w:cs="宋体"/>
          <w:color w:val="auto"/>
          <w:highlight w:val="none"/>
        </w:rPr>
        <w:t>规定的时间内自行进行投标文件解密。投标人的法定代表人或其委托代理人须凭加密时所用的CA锁准时登录到广西政府采购云平台电子开标大厅签到并对电子投标文件解密。</w:t>
      </w:r>
      <w:r>
        <w:rPr>
          <w:rFonts w:hint="eastAsia" w:ascii="宋体" w:hAnsi="宋体" w:cs="宋体"/>
          <w:b/>
          <w:color w:val="auto"/>
          <w:highlight w:val="none"/>
        </w:rPr>
        <w:t>投标人未在规定的时间内解密投标文件或者解密失败的，</w:t>
      </w:r>
      <w:r>
        <w:rPr>
          <w:rFonts w:hint="eastAsia" w:ascii="宋体" w:hAnsi="宋体" w:cs="宋体"/>
          <w:b/>
          <w:color w:val="auto"/>
          <w:szCs w:val="21"/>
          <w:highlight w:val="none"/>
        </w:rPr>
        <w:t>投标人的投标文件作无效处理</w:t>
      </w:r>
      <w:r>
        <w:rPr>
          <w:rFonts w:hint="eastAsia" w:ascii="宋体" w:hAnsi="宋体" w:cs="宋体"/>
          <w:b/>
          <w:color w:val="auto"/>
          <w:highlight w:val="none"/>
        </w:rPr>
        <w:t>。</w:t>
      </w:r>
    </w:p>
    <w:p w14:paraId="50A0CA89">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highlight w:val="none"/>
        </w:rPr>
      </w:pPr>
      <w:r>
        <w:rPr>
          <w:rFonts w:hint="eastAsia" w:ascii="宋体" w:hAnsi="宋体" w:cs="宋体"/>
          <w:color w:val="auto"/>
          <w:highlight w:val="none"/>
        </w:rPr>
        <w:t>（2）电子唱标。投标文件解密结束，宣布的内容均在广西政府采购云平台远程开标大厅展示，具体详见</w:t>
      </w:r>
      <w:r>
        <w:rPr>
          <w:rFonts w:hint="eastAsia" w:ascii="宋体" w:hAnsi="宋体" w:cs="宋体"/>
          <w:bCs/>
          <w:color w:val="auto"/>
          <w:highlight w:val="none"/>
        </w:rPr>
        <w:t>“投标人须知前附表”</w:t>
      </w:r>
      <w:r>
        <w:rPr>
          <w:rFonts w:hint="eastAsia" w:ascii="宋体" w:hAnsi="宋体" w:cs="宋体"/>
          <w:color w:val="auto"/>
          <w:highlight w:val="none"/>
        </w:rPr>
        <w:t>；</w:t>
      </w:r>
    </w:p>
    <w:p w14:paraId="6F5C8F0A">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highlight w:val="none"/>
        </w:rPr>
      </w:pPr>
      <w:r>
        <w:rPr>
          <w:rFonts w:hint="eastAsia" w:ascii="宋体" w:hAnsi="宋体" w:cs="宋体"/>
          <w:color w:val="auto"/>
          <w:highlight w:val="none"/>
        </w:rPr>
        <w:t>（3）开标过程由采购代理机构如实记录，并电子留痕，由参加电子开标的各投标人代表对电子开标记录在开标记录公布后15分钟内进行当场校核及勘误，并线上确认是否有异议，未确认的视同认可开标结果。</w:t>
      </w:r>
    </w:p>
    <w:p w14:paraId="4D3B195D">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highlight w:val="none"/>
        </w:rPr>
      </w:pPr>
      <w:r>
        <w:rPr>
          <w:rFonts w:hint="eastAsia" w:ascii="宋体" w:hAnsi="宋体" w:cs="宋体"/>
          <w:color w:val="auto"/>
          <w:highlight w:val="none"/>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661D889A">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（5）开标结束。</w:t>
      </w:r>
    </w:p>
    <w:p w14:paraId="045F58E1">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特别说明：如遇广西政府采购云平台电子化开标或评审程序调整的，按调整后执行。</w:t>
      </w:r>
    </w:p>
    <w:p w14:paraId="196521DF">
      <w:pPr>
        <w:pStyle w:val="22"/>
        <w:keepNext w:val="0"/>
        <w:keepLines w:val="0"/>
        <w:pageBreakBefore w:val="0"/>
        <w:widowControl w:val="0"/>
        <w:kinsoku/>
        <w:wordWrap/>
        <w:overflowPunct/>
        <w:topLinePunct w:val="0"/>
        <w:autoSpaceDE/>
        <w:autoSpaceDN/>
        <w:bidi w:val="0"/>
        <w:snapToGrid w:val="0"/>
        <w:spacing w:line="400" w:lineRule="exact"/>
        <w:ind w:left="689" w:leftChars="228" w:hanging="210" w:hangingChars="100"/>
        <w:textAlignment w:val="auto"/>
        <w:rPr>
          <w:rFonts w:hint="eastAsia" w:hAnsi="宋体" w:cs="宋体"/>
          <w:color w:val="auto"/>
          <w:highlight w:val="none"/>
        </w:rPr>
      </w:pPr>
    </w:p>
    <w:p w14:paraId="63EAECDC">
      <w:pPr>
        <w:pStyle w:val="4"/>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highlight w:val="none"/>
        </w:rPr>
      </w:pPr>
      <w:bookmarkStart w:id="144" w:name="_Toc6086"/>
      <w:bookmarkStart w:id="145" w:name="_Toc2525"/>
      <w:r>
        <w:rPr>
          <w:rFonts w:hint="eastAsia" w:ascii="宋体" w:hAnsi="宋体" w:cs="宋体"/>
          <w:color w:val="auto"/>
          <w:highlight w:val="none"/>
        </w:rPr>
        <w:t>五、资格审查</w:t>
      </w:r>
      <w:bookmarkEnd w:id="144"/>
      <w:bookmarkEnd w:id="145"/>
    </w:p>
    <w:p w14:paraId="2B1C7642">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25.资格审查</w:t>
      </w:r>
    </w:p>
    <w:p w14:paraId="3AE4C8CE">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25.1开标结束后，采购人或者采购代理机构通过电子开评标系统依据招标文件对电子投标文件进行线上资格审查。</w:t>
      </w:r>
    </w:p>
    <w:p w14:paraId="0DABDB07">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25.2资格审查标准为本招标文件中载明对投标人资格要求的条件。本项目资格审查采用合格制，凡符合招标文件规定的投标人资格要求的投标人均通过资格审查。</w:t>
      </w:r>
    </w:p>
    <w:p w14:paraId="2838AEEA">
      <w:pPr>
        <w:pStyle w:val="22"/>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hAnsi="宋体" w:cs="宋体"/>
          <w:b/>
          <w:color w:val="auto"/>
          <w:highlight w:val="none"/>
        </w:rPr>
      </w:pPr>
      <w:bookmarkStart w:id="146" w:name="_25.3_投标人有下列情形之一的，资格审查不通过而导致其投标无效："/>
      <w:bookmarkEnd w:id="146"/>
      <w:r>
        <w:rPr>
          <w:rFonts w:hint="eastAsia" w:hAnsi="宋体" w:cs="宋体"/>
          <w:b/>
          <w:color w:val="auto"/>
          <w:highlight w:val="none"/>
        </w:rPr>
        <w:t>25.3 投标人有下列情形之一的，资格审查不通过，作无效投标处理：</w:t>
      </w:r>
    </w:p>
    <w:p w14:paraId="58CD1253">
      <w:pPr>
        <w:pStyle w:val="22"/>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hAnsi="宋体" w:cs="宋体"/>
          <w:b/>
          <w:color w:val="auto"/>
          <w:highlight w:val="none"/>
        </w:rPr>
      </w:pPr>
      <w:r>
        <w:rPr>
          <w:rFonts w:hint="eastAsia" w:hAnsi="宋体" w:cs="宋体"/>
          <w:b/>
          <w:color w:val="auto"/>
          <w:highlight w:val="none"/>
        </w:rPr>
        <w:t>（1）不具备招标文件中规定的资格要求的；</w:t>
      </w:r>
    </w:p>
    <w:p w14:paraId="432F5A0E">
      <w:pPr>
        <w:pStyle w:val="22"/>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hAnsi="宋体" w:cs="宋体"/>
          <w:b/>
          <w:color w:val="auto"/>
          <w:highlight w:val="none"/>
        </w:rPr>
      </w:pPr>
      <w:r>
        <w:rPr>
          <w:rFonts w:hint="eastAsia" w:hAnsi="宋体" w:cs="宋体"/>
          <w:b/>
          <w:color w:val="auto"/>
          <w:highlight w:val="none"/>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w:t>
      </w:r>
    </w:p>
    <w:p w14:paraId="14D96888">
      <w:pPr>
        <w:pStyle w:val="22"/>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hAnsi="宋体" w:cs="宋体"/>
          <w:b/>
          <w:color w:val="auto"/>
          <w:highlight w:val="none"/>
        </w:rPr>
      </w:pPr>
      <w:r>
        <w:rPr>
          <w:rFonts w:hint="eastAsia" w:hAnsi="宋体" w:cs="宋体"/>
          <w:b/>
          <w:color w:val="auto"/>
          <w:highlight w:val="none"/>
        </w:rPr>
        <w:t>（3）同一合同项下的不同投标人，单位负责人为同一人或者存在直接控股、管理关系的；为本项目提供过整体设计、规范编制或者项目管理、监理、检测等服务的供应商，再参加该采购项目的其他采购活动的；</w:t>
      </w:r>
    </w:p>
    <w:p w14:paraId="5923CA7D">
      <w:pPr>
        <w:pStyle w:val="22"/>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hAnsi="宋体" w:cs="宋体"/>
          <w:b/>
          <w:color w:val="auto"/>
          <w:highlight w:val="none"/>
        </w:rPr>
      </w:pPr>
      <w:r>
        <w:rPr>
          <w:rFonts w:hint="eastAsia" w:hAnsi="宋体" w:cs="宋体"/>
          <w:b/>
          <w:color w:val="auto"/>
          <w:highlight w:val="none"/>
        </w:rPr>
        <w:t>（4）投标文件中的资格证明文件缺少任一项“投标人须知前附表”资格证明文件规定“必须提供”的文件资料的；</w:t>
      </w:r>
    </w:p>
    <w:p w14:paraId="0ED37DBF">
      <w:pPr>
        <w:pStyle w:val="22"/>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hAnsi="宋体" w:cs="宋体"/>
          <w:b/>
          <w:color w:val="auto"/>
          <w:highlight w:val="none"/>
        </w:rPr>
      </w:pPr>
      <w:r>
        <w:rPr>
          <w:rFonts w:hint="eastAsia" w:hAnsi="宋体" w:cs="宋体"/>
          <w:b/>
          <w:color w:val="auto"/>
          <w:highlight w:val="none"/>
        </w:rPr>
        <w:t>（5）投标文件中的资格证明文件出现任一项不符合“投标人须知前附表”资格证明文件规定“必须提供”的文件资料要求或者无效的。</w:t>
      </w:r>
    </w:p>
    <w:p w14:paraId="0E68BBBD">
      <w:pPr>
        <w:pStyle w:val="22"/>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hAnsi="宋体" w:cs="宋体"/>
          <w:b/>
          <w:color w:val="auto"/>
          <w:highlight w:val="none"/>
        </w:rPr>
      </w:pPr>
      <w:r>
        <w:rPr>
          <w:rFonts w:hint="eastAsia" w:hAnsi="宋体" w:cs="宋体"/>
          <w:b/>
          <w:color w:val="auto"/>
          <w:highlight w:val="none"/>
        </w:rPr>
        <w:t>25.4合格投标人不足3家的，不得评标。</w:t>
      </w:r>
    </w:p>
    <w:p w14:paraId="48EE4136">
      <w:pPr>
        <w:pStyle w:val="22"/>
        <w:keepNext w:val="0"/>
        <w:keepLines w:val="0"/>
        <w:pageBreakBefore w:val="0"/>
        <w:widowControl w:val="0"/>
        <w:kinsoku/>
        <w:wordWrap/>
        <w:overflowPunct/>
        <w:topLinePunct w:val="0"/>
        <w:autoSpaceDE/>
        <w:autoSpaceDN/>
        <w:bidi w:val="0"/>
        <w:snapToGrid w:val="0"/>
        <w:spacing w:line="400" w:lineRule="exact"/>
        <w:ind w:left="689" w:leftChars="228" w:hanging="210" w:hangingChars="100"/>
        <w:textAlignment w:val="auto"/>
        <w:rPr>
          <w:rFonts w:hint="eastAsia" w:hAnsi="宋体" w:cs="宋体"/>
          <w:color w:val="auto"/>
          <w:highlight w:val="none"/>
        </w:rPr>
      </w:pPr>
    </w:p>
    <w:p w14:paraId="764A4AC2">
      <w:pPr>
        <w:pStyle w:val="4"/>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highlight w:val="none"/>
        </w:rPr>
      </w:pPr>
      <w:bookmarkStart w:id="147" w:name="_Toc17386"/>
      <w:bookmarkStart w:id="148" w:name="_Toc31107"/>
      <w:r>
        <w:rPr>
          <w:rFonts w:hint="eastAsia" w:ascii="宋体" w:hAnsi="宋体" w:cs="宋体"/>
          <w:color w:val="auto"/>
          <w:highlight w:val="none"/>
        </w:rPr>
        <w:t>六、评  标</w:t>
      </w:r>
      <w:bookmarkEnd w:id="147"/>
      <w:bookmarkEnd w:id="148"/>
    </w:p>
    <w:p w14:paraId="3B198811">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49" w:name="_26.组建评标委员会"/>
      <w:bookmarkEnd w:id="149"/>
      <w:r>
        <w:rPr>
          <w:rFonts w:hint="eastAsia" w:ascii="宋体" w:hAnsi="宋体" w:cs="宋体"/>
          <w:b/>
          <w:color w:val="auto"/>
          <w:sz w:val="24"/>
          <w:highlight w:val="none"/>
        </w:rPr>
        <w:t>26.组建评标委员会</w:t>
      </w:r>
    </w:p>
    <w:p w14:paraId="410C9913">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26.1评标委员会由采购人代表和评审专家组成，具体人数详见“投标人须知前附表”，其中评审专家不得少于成员总数的三分之二。</w:t>
      </w:r>
    </w:p>
    <w:p w14:paraId="2568D749">
      <w:pPr>
        <w:pStyle w:val="22"/>
        <w:keepNext w:val="0"/>
        <w:keepLines w:val="0"/>
        <w:pageBreakBefore w:val="0"/>
        <w:widowControl w:val="0"/>
        <w:kinsoku/>
        <w:wordWrap/>
        <w:overflowPunct/>
        <w:topLinePunct w:val="0"/>
        <w:autoSpaceDE/>
        <w:autoSpaceDN/>
        <w:bidi w:val="0"/>
        <w:snapToGrid w:val="0"/>
        <w:spacing w:line="400" w:lineRule="exact"/>
        <w:ind w:left="2" w:leftChars="1" w:firstLine="420" w:firstLineChars="200"/>
        <w:textAlignment w:val="auto"/>
        <w:rPr>
          <w:rFonts w:hint="eastAsia" w:hAnsi="宋体" w:cs="宋体"/>
          <w:color w:val="auto"/>
          <w:highlight w:val="none"/>
        </w:rPr>
      </w:pPr>
      <w:r>
        <w:rPr>
          <w:rFonts w:hint="eastAsia" w:hAnsi="宋体" w:cs="宋体"/>
          <w:color w:val="auto"/>
          <w:highlight w:val="none"/>
        </w:rPr>
        <w:t>26.2参加过采购项目前期咨询论证的专家，不得参加该采购项目的评审活动。</w:t>
      </w:r>
    </w:p>
    <w:p w14:paraId="2201360C">
      <w:pPr>
        <w:pStyle w:val="22"/>
        <w:keepNext w:val="0"/>
        <w:keepLines w:val="0"/>
        <w:pageBreakBefore w:val="0"/>
        <w:widowControl w:val="0"/>
        <w:kinsoku/>
        <w:wordWrap/>
        <w:overflowPunct/>
        <w:topLinePunct w:val="0"/>
        <w:autoSpaceDE/>
        <w:autoSpaceDN/>
        <w:bidi w:val="0"/>
        <w:snapToGrid w:val="0"/>
        <w:spacing w:line="400" w:lineRule="exact"/>
        <w:ind w:left="2" w:leftChars="1" w:firstLine="420" w:firstLineChars="200"/>
        <w:textAlignment w:val="auto"/>
        <w:rPr>
          <w:rFonts w:hint="eastAsia" w:hAnsi="宋体" w:cs="宋体"/>
          <w:color w:val="auto"/>
          <w:highlight w:val="none"/>
        </w:rPr>
      </w:pPr>
      <w:r>
        <w:rPr>
          <w:rFonts w:hint="eastAsia" w:hAnsi="宋体" w:cs="宋体"/>
          <w:color w:val="auto"/>
          <w:highlight w:val="none"/>
        </w:rPr>
        <w:t>26.3</w:t>
      </w:r>
      <w:r>
        <w:rPr>
          <w:rFonts w:hint="eastAsia" w:hAnsi="宋体" w:cs="宋体"/>
          <w:bCs/>
          <w:color w:val="auto"/>
          <w:highlight w:val="none"/>
        </w:rPr>
        <w:t>采购代理机构应当基于广西政府采购云平台抽（选）取评审专家。</w:t>
      </w:r>
    </w:p>
    <w:p w14:paraId="769EA0F8">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27.评标的依据</w:t>
      </w:r>
    </w:p>
    <w:p w14:paraId="11D2866C">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评标委员会以“第四章 评标方法和评标标准”为依据对投标文件进行评审，没有规定的方法、评审因素和标准，不作为评标依据。</w:t>
      </w:r>
    </w:p>
    <w:p w14:paraId="3C42D93A">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28.评标原则</w:t>
      </w:r>
    </w:p>
    <w:p w14:paraId="679272A3">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4ED97A52">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28.2</w:t>
      </w:r>
      <w:bookmarkStart w:id="150" w:name="_28.3评标方法。本项目将按须知前附表规定的评标办法进行评标，具体评标"/>
      <w:bookmarkEnd w:id="150"/>
      <w:r>
        <w:rPr>
          <w:rFonts w:hint="eastAsia" w:hAnsi="宋体" w:cs="宋体"/>
          <w:color w:val="auto"/>
          <w:highlight w:val="none"/>
        </w:rPr>
        <w:t>评委表决。评标委员会成员对需要共同认定的事项存在争议的，应当按照少数服从多数的原则作出结论。</w:t>
      </w:r>
    </w:p>
    <w:p w14:paraId="1626C550">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74FCD09E">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28.4评标过程的监控。本项目电子评标过程实行网上留痕、全程录音、录像监控，</w:t>
      </w:r>
      <w:r>
        <w:rPr>
          <w:rFonts w:hint="eastAsia" w:hAnsi="宋体" w:cs="宋体"/>
          <w:b/>
          <w:color w:val="auto"/>
          <w:highlight w:val="none"/>
        </w:rPr>
        <w:t>投标人在评标过程中所进行的试图影响评标结果的不公正活动，可能导致其投标按无效处理。</w:t>
      </w:r>
    </w:p>
    <w:p w14:paraId="1E6C9595">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29.评标方法及中标候选人推荐</w:t>
      </w:r>
    </w:p>
    <w:p w14:paraId="750AFCF3">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29.1本项目的评标方法详见“投标人须知前附表”。</w:t>
      </w:r>
    </w:p>
    <w:p w14:paraId="0238D0D1">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29.2 商务/技术要求允许负偏离的条款数详见“投标人须知前附表”。</w:t>
      </w:r>
    </w:p>
    <w:p w14:paraId="15635FFF">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29.3 中标候选人推荐数量详见“投标人须知前附表”。</w:t>
      </w:r>
    </w:p>
    <w:p w14:paraId="159A3DE7">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29.4 电子交易活动的中止。采购过程中出现以下情形，导致电子交易平台无法正常运行，或者无法保证电子交易的公平、公正和安全时，采购代理机构可以中止电子交易活动：</w:t>
      </w:r>
    </w:p>
    <w:p w14:paraId="025DBAC2">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（1）电子交易平台发生故障而无法登录访问的；</w:t>
      </w:r>
    </w:p>
    <w:p w14:paraId="635A4B82">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（2）电子交易平台应用或数据库出现错误，不能进行正常操作的；</w:t>
      </w:r>
    </w:p>
    <w:p w14:paraId="701C9FDE">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（3）电子交易平台发现严重安全漏洞，有潜在泄密危险的；</w:t>
      </w:r>
    </w:p>
    <w:p w14:paraId="16848AED">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（4）病毒发作导致不能进行正常操作的；</w:t>
      </w:r>
    </w:p>
    <w:p w14:paraId="5AC583AE">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（5）其他无法保证电子交易的公平、公正和安全的情况。</w:t>
      </w:r>
    </w:p>
    <w:p w14:paraId="386899D4">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592B1CD9">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29.5出现下列情形之一的，应予废标：</w:t>
      </w:r>
    </w:p>
    <w:p w14:paraId="3480521E">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（1）符合专业条件的供应商或者对招标文件作实质响应的供应商不足三家的；</w:t>
      </w:r>
    </w:p>
    <w:p w14:paraId="5558B9EA">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（2）出现影响采购公正的违法、违规行为的；</w:t>
      </w:r>
    </w:p>
    <w:p w14:paraId="68A11DBC">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（3）投标人的报价均超过了采购预算，采购人不能支付的；</w:t>
      </w:r>
    </w:p>
    <w:p w14:paraId="031AAFF0">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（4）因重大变故，采购任务取消的。</w:t>
      </w:r>
    </w:p>
    <w:p w14:paraId="7A29E287">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废标后，采购人应当将废标理由通知所有投标人。</w:t>
      </w:r>
    </w:p>
    <w:p w14:paraId="44DB008D">
      <w:pPr>
        <w:pStyle w:val="22"/>
        <w:keepNext w:val="0"/>
        <w:keepLines w:val="0"/>
        <w:pageBreakBefore w:val="0"/>
        <w:widowControl w:val="0"/>
        <w:kinsoku/>
        <w:wordWrap/>
        <w:overflowPunct/>
        <w:topLinePunct w:val="0"/>
        <w:autoSpaceDE/>
        <w:autoSpaceDN/>
        <w:bidi w:val="0"/>
        <w:snapToGrid w:val="0"/>
        <w:spacing w:line="400" w:lineRule="exact"/>
        <w:textAlignment w:val="auto"/>
        <w:rPr>
          <w:rFonts w:hint="eastAsia" w:hAnsi="宋体" w:cs="宋体"/>
          <w:color w:val="auto"/>
          <w:highlight w:val="none"/>
        </w:rPr>
      </w:pPr>
    </w:p>
    <w:p w14:paraId="5D04B6A3">
      <w:pPr>
        <w:pStyle w:val="4"/>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highlight w:val="none"/>
        </w:rPr>
      </w:pPr>
      <w:bookmarkStart w:id="151" w:name="_Toc254970687"/>
      <w:bookmarkStart w:id="152" w:name="_Toc254970546"/>
      <w:bookmarkStart w:id="153" w:name="_Toc3006"/>
      <w:bookmarkStart w:id="154" w:name="_Toc12517"/>
      <w:r>
        <w:rPr>
          <w:rFonts w:hint="eastAsia" w:ascii="宋体" w:hAnsi="宋体" w:cs="宋体"/>
          <w:color w:val="auto"/>
          <w:highlight w:val="none"/>
        </w:rPr>
        <w:t>七、</w:t>
      </w:r>
      <w:bookmarkEnd w:id="151"/>
      <w:bookmarkEnd w:id="152"/>
      <w:r>
        <w:rPr>
          <w:rFonts w:hint="eastAsia" w:ascii="宋体" w:hAnsi="宋体" w:cs="宋体"/>
          <w:color w:val="auto"/>
          <w:highlight w:val="none"/>
        </w:rPr>
        <w:t>中标和合同</w:t>
      </w:r>
      <w:bookmarkEnd w:id="153"/>
      <w:bookmarkEnd w:id="154"/>
    </w:p>
    <w:p w14:paraId="3053E40B">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30 确定中标人</w:t>
      </w:r>
    </w:p>
    <w:p w14:paraId="4141719E">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30.1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23C4970F">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30.2采购人在收到评标报告5个工作日内未按评标报告推荐的中标候选人顺序确定中标人，又不能说明合法理由的，视同按评标报告推荐的顺序确定排名第一的中标候选人为中标人。</w:t>
      </w:r>
    </w:p>
    <w:p w14:paraId="791DDCC1">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31.结果公告</w:t>
      </w:r>
    </w:p>
    <w:p w14:paraId="02462D5B">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31.1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7213F2D8">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以上信息查询记录及相关证据与招标文件一并保存。</w:t>
      </w:r>
    </w:p>
    <w:p w14:paraId="3A398A55">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31.2中标供应商享受《政府采购促进中小企业发展管理办法》（财库〔2020〕46号）规定的中小企业扶持政策的，采购人、采购代理机构应当随中标结果公开中标供应商的《中小企业声明函》。</w:t>
      </w:r>
    </w:p>
    <w:p w14:paraId="70212AE8">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32.发出中标通知书</w:t>
      </w:r>
    </w:p>
    <w:p w14:paraId="26D44E35">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在发布中标公告的同时，采购代理机构向中标人通过广西政府采购云平台发出电子中标通知书。对未通过资格审查的投标人，应当告知其未通过的原因；采用综合评分办法评审的，还应当告知未中标人本人的评审得分与排序。</w:t>
      </w:r>
    </w:p>
    <w:p w14:paraId="39A6E887">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33.无义务解释未中标原因</w:t>
      </w:r>
    </w:p>
    <w:p w14:paraId="35B6CFFD">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采购代理机构无义务向未中标的投标人解释未中标原因。</w:t>
      </w:r>
    </w:p>
    <w:p w14:paraId="45E3807E">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34.合同授予标准</w:t>
      </w:r>
    </w:p>
    <w:p w14:paraId="77CAC687">
      <w:pPr>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合同将授予被确定实质上响应招标文件要求，具备履行合同能力的中标人。</w:t>
      </w:r>
    </w:p>
    <w:p w14:paraId="6EF93116">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35.履约保证金</w:t>
      </w:r>
    </w:p>
    <w:p w14:paraId="61308024">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bookmarkStart w:id="155" w:name="_39.1中标人须于签订合同前按本须知前附表规定的金额转账或电汇到指定账"/>
      <w:bookmarkEnd w:id="155"/>
      <w:r>
        <w:rPr>
          <w:rFonts w:hint="eastAsia" w:hAnsi="宋体" w:cs="宋体"/>
          <w:color w:val="auto"/>
          <w:highlight w:val="none"/>
        </w:rPr>
        <w:t>35.1 履约保证金的金额、提交方式、缴纳期限、退付的时间和条件详见 “投标人须知前附表”。中标人未按规定提交履约保证金的，视为拒绝与采购人签订合同。</w:t>
      </w:r>
    </w:p>
    <w:p w14:paraId="21BDD4AB">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35.2在履约保证金退还日期前，若中标人的开户名称、开户银行、账号有变动的，请以书面形式通知履约保证金收取单位，否则由此产生的后果由中标人自行承担。</w:t>
      </w:r>
    </w:p>
    <w:p w14:paraId="7B4991DC">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36.签订合同</w:t>
      </w:r>
    </w:p>
    <w:p w14:paraId="1EDC8DE0">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bookmarkStart w:id="156" w:name="_40.1投标人接到中标通知书后，按须知前附表规定向采购人出示相关资格证"/>
      <w:bookmarkEnd w:id="156"/>
      <w:r>
        <w:rPr>
          <w:rFonts w:hint="eastAsia" w:hAnsi="宋体" w:cs="宋体"/>
          <w:color w:val="auto"/>
          <w:highlight w:val="none"/>
        </w:rPr>
        <w:t>36.1签订电子采购合同：中标人领取电子中标通知书后，在规定的日期、时间、地点，由法定代表人或其授权代表与采购人代表签订电子采购合同。如中标人为联合体的，由联合体成员各方法定代表人或其授权代表与采购人代表签订合同。</w:t>
      </w:r>
    </w:p>
    <w:p w14:paraId="40969F8E">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线下签订纸质合同：投标人领取中标通知书后，按“投标人须知前附表”规定向采购人出示相关证明材料，经采购人核验合格后方可签订合同。</w:t>
      </w:r>
    </w:p>
    <w:p w14:paraId="08A2FF36">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36.2签订合同时间：按中标通知书规定的时间与采购人签订合同。</w:t>
      </w:r>
    </w:p>
    <w:p w14:paraId="72B7EBA8">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36.3中标人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0A28501B">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448168BF">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36.5采购人或中标供应商不得单方面向合同另一方提出任何招标文件没有约定的条件或不合理的要求，作为签订合同的条件；也不得协商另行订立背离招标文件和合同实质性内容的协议。</w:t>
      </w:r>
    </w:p>
    <w:p w14:paraId="1732262D">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36.6如签订合同并生效后，供应商无故拒绝或延期，除按照合同条款处理外，将承担相应的法律责任。</w:t>
      </w:r>
    </w:p>
    <w:p w14:paraId="6C6F60F0">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36.7政府采购合同履行中，采购人需追加与合同标的相同的货物、工程或者服务的，在不改变合同其他条款的前提下，可以与供应商协商签订补充合同，但所有补充合同的采购金额不得超过原合同采购金额的10%。</w:t>
      </w:r>
    </w:p>
    <w:p w14:paraId="0266275A">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57" w:name="_41.政府采购合同公告"/>
      <w:bookmarkEnd w:id="157"/>
      <w:r>
        <w:rPr>
          <w:rFonts w:hint="eastAsia" w:ascii="宋体" w:hAnsi="宋体" w:cs="宋体"/>
          <w:b/>
          <w:color w:val="auto"/>
          <w:sz w:val="24"/>
          <w:highlight w:val="none"/>
        </w:rPr>
        <w:t>37.政府采购合同公告</w:t>
      </w:r>
    </w:p>
    <w:p w14:paraId="641E08DA">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采购人或者受托采购代理机构应当自政府采购合同签订之日起2个工作日内，将政府采购合同在省级以上人民政府财政部门指定的媒体上公告，但政府采购合同中涉及国家秘密、商业秘密的内容除外。</w:t>
      </w:r>
    </w:p>
    <w:p w14:paraId="3C3B34E2">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38.询问、质疑和投诉</w:t>
      </w:r>
    </w:p>
    <w:p w14:paraId="078BCA0D">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38.1供应商对政府采购活动事项有疑问的，可以向采购人提出询问，采购人或者采购代理机构应当在3个工作日内对供应商依法提出的询问作出答复，但答复的内容不得涉及商业秘密。</w:t>
      </w:r>
    </w:p>
    <w:p w14:paraId="4D597BCB">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38.2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w:t>
      </w:r>
    </w:p>
    <w:p w14:paraId="3F757197">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（1）对可以质疑的招标文件提出质疑的，为收到招标文件之日或者招标文件公告期限届满之日；</w:t>
      </w:r>
    </w:p>
    <w:p w14:paraId="62689C99">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（2）对采购过程提出质疑的，为各采购程序环节结束之日；</w:t>
      </w:r>
    </w:p>
    <w:p w14:paraId="7C917F64">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bCs/>
          <w:color w:val="auto"/>
          <w:highlight w:val="none"/>
        </w:rPr>
      </w:pPr>
      <w:r>
        <w:rPr>
          <w:rFonts w:hint="eastAsia" w:hAnsi="宋体" w:cs="宋体"/>
          <w:color w:val="auto"/>
          <w:highlight w:val="none"/>
        </w:rPr>
        <w:t>（3）对中标结果提出质疑的，为中标结果公告期限届满之日。</w:t>
      </w:r>
    </w:p>
    <w:p w14:paraId="4104A8FE">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bookmarkStart w:id="158" w:name="_9.2质疑、投诉应当采用书面形式，质疑函、投诉书均应明确阐述招标文件、"/>
      <w:bookmarkEnd w:id="158"/>
      <w:r>
        <w:rPr>
          <w:rFonts w:hint="eastAsia" w:hAnsi="宋体" w:cs="宋体"/>
          <w:color w:val="auto"/>
          <w:highlight w:val="none"/>
        </w:rPr>
        <w:t>38.3供应商提出质疑应当提交质疑函和必要的证明材料，针对同一采购程序环节的质疑必须在法定质疑期内一次性提出。质疑函应当包括下列内容（质疑函格式后附）：</w:t>
      </w:r>
    </w:p>
    <w:p w14:paraId="53F4BA10">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（1）供应商的姓名或者名称、地址、邮编、联系人及联系电话；</w:t>
      </w:r>
    </w:p>
    <w:p w14:paraId="70E46485">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（2）质疑项目的名称、编号；</w:t>
      </w:r>
    </w:p>
    <w:p w14:paraId="3D36AB17">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（3）具体、明确的质疑事项和与质疑事项相关的请求；</w:t>
      </w:r>
    </w:p>
    <w:p w14:paraId="0EEA2907">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（4）事实依据；</w:t>
      </w:r>
    </w:p>
    <w:p w14:paraId="3E99B4A8">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（5）必要的法律依据；</w:t>
      </w:r>
    </w:p>
    <w:p w14:paraId="74775901">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（6）提出质疑的日期。</w:t>
      </w:r>
    </w:p>
    <w:p w14:paraId="28139A8A">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供应商为自然人的，应当由本人签字；供应商为法人或者其他组织的，应当由法定代表人、主要负责人，或者其委托代理人签字或者盖章，并加盖公章。</w:t>
      </w:r>
    </w:p>
    <w:p w14:paraId="3ECE393E">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38.4采购人、采购代理机构认为供应商质疑不成立，或者成立但未对中标结果构成影响的，继续开展采购活动；认为供应商质疑成立且影响或者可能影响中标结果的，按照下列情况处理：</w:t>
      </w:r>
    </w:p>
    <w:p w14:paraId="653BD883">
      <w:pPr>
        <w:pStyle w:val="22"/>
        <w:keepNext w:val="0"/>
        <w:keepLines w:val="0"/>
        <w:pageBreakBefore w:val="0"/>
        <w:widowControl w:val="0"/>
        <w:kinsoku/>
        <w:wordWrap/>
        <w:overflowPunct/>
        <w:topLinePunct w:val="0"/>
        <w:autoSpaceDE/>
        <w:autoSpaceDN/>
        <w:bidi w:val="0"/>
        <w:snapToGrid w:val="0"/>
        <w:spacing w:line="400" w:lineRule="exact"/>
        <w:textAlignment w:val="auto"/>
        <w:rPr>
          <w:rFonts w:hint="eastAsia" w:hAnsi="宋体" w:cs="宋体"/>
          <w:bCs/>
          <w:color w:val="auto"/>
          <w:highlight w:val="none"/>
        </w:rPr>
      </w:pPr>
      <w:r>
        <w:rPr>
          <w:rFonts w:hint="eastAsia" w:hAnsi="宋体" w:cs="宋体"/>
          <w:bCs/>
          <w:color w:val="auto"/>
          <w:highlight w:val="none"/>
        </w:rPr>
        <w:t>　　（一）对招标文件提出的质疑，依法通过澄清或者修改可以继续开展采购活动的，澄清或者修改招标文件后继续开展采购活动；否则应当修改招标文件后重新开展采购活动。</w:t>
      </w:r>
    </w:p>
    <w:p w14:paraId="276DE83E">
      <w:pPr>
        <w:pStyle w:val="22"/>
        <w:keepNext w:val="0"/>
        <w:keepLines w:val="0"/>
        <w:pageBreakBefore w:val="0"/>
        <w:widowControl w:val="0"/>
        <w:kinsoku/>
        <w:wordWrap/>
        <w:overflowPunct/>
        <w:topLinePunct w:val="0"/>
        <w:autoSpaceDE/>
        <w:autoSpaceDN/>
        <w:bidi w:val="0"/>
        <w:snapToGrid w:val="0"/>
        <w:spacing w:line="400" w:lineRule="exact"/>
        <w:textAlignment w:val="auto"/>
        <w:rPr>
          <w:rFonts w:hint="eastAsia" w:hAnsi="宋体" w:cs="宋体"/>
          <w:bCs/>
          <w:color w:val="auto"/>
          <w:highlight w:val="none"/>
        </w:rPr>
      </w:pPr>
      <w:r>
        <w:rPr>
          <w:rFonts w:hint="eastAsia" w:hAnsi="宋体" w:cs="宋体"/>
          <w:bCs/>
          <w:color w:val="auto"/>
          <w:highlight w:val="none"/>
        </w:rPr>
        <w:t>　　（二）对采购过程、中标结果提出的质疑，合格供应商符合法定数量时，可以从合格的中标候选人中另行确定中标供应商的，应当依法另行确定中标供应商；否则应当重新开展采购活动。</w:t>
      </w:r>
    </w:p>
    <w:p w14:paraId="3C355DF1">
      <w:pPr>
        <w:pStyle w:val="22"/>
        <w:keepNext w:val="0"/>
        <w:keepLines w:val="0"/>
        <w:pageBreakBefore w:val="0"/>
        <w:widowControl w:val="0"/>
        <w:kinsoku/>
        <w:wordWrap/>
        <w:overflowPunct/>
        <w:topLinePunct w:val="0"/>
        <w:autoSpaceDE/>
        <w:autoSpaceDN/>
        <w:bidi w:val="0"/>
        <w:snapToGrid w:val="0"/>
        <w:spacing w:line="400" w:lineRule="exact"/>
        <w:ind w:firstLine="420"/>
        <w:textAlignment w:val="auto"/>
        <w:rPr>
          <w:rFonts w:hint="eastAsia" w:hAnsi="宋体" w:cs="宋体"/>
          <w:bCs/>
          <w:color w:val="auto"/>
          <w:highlight w:val="none"/>
        </w:rPr>
      </w:pPr>
      <w:r>
        <w:rPr>
          <w:rFonts w:hint="eastAsia" w:hAnsi="宋体" w:cs="宋体"/>
          <w:bCs/>
          <w:color w:val="auto"/>
          <w:highlight w:val="none"/>
        </w:rPr>
        <w:t>质疑答复导致中标结果改变的，采购人或者采购代理机构应当将有关情况书面报告本级财政部门。</w:t>
      </w:r>
    </w:p>
    <w:p w14:paraId="29D8163C">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38.5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1B2B78BC">
      <w:pPr>
        <w:pStyle w:val="4"/>
        <w:keepNext w:val="0"/>
        <w:keepLines w:val="0"/>
        <w:pageBreakBefore w:val="0"/>
        <w:widowControl w:val="0"/>
        <w:kinsoku/>
        <w:wordWrap/>
        <w:overflowPunct/>
        <w:topLinePunct w:val="0"/>
        <w:autoSpaceDE/>
        <w:autoSpaceDN/>
        <w:bidi w:val="0"/>
        <w:spacing w:before="240" w:after="240" w:line="400" w:lineRule="exact"/>
        <w:jc w:val="center"/>
        <w:textAlignment w:val="auto"/>
        <w:rPr>
          <w:rFonts w:hint="eastAsia" w:ascii="宋体" w:hAnsi="宋体" w:cs="宋体"/>
          <w:color w:val="auto"/>
          <w:highlight w:val="none"/>
        </w:rPr>
      </w:pPr>
      <w:bookmarkStart w:id="159" w:name="_八、其他事项"/>
      <w:bookmarkEnd w:id="159"/>
      <w:bookmarkStart w:id="160" w:name="_Toc17072"/>
      <w:bookmarkStart w:id="161" w:name="_Toc24956"/>
      <w:r>
        <w:rPr>
          <w:rFonts w:hint="eastAsia" w:ascii="宋体" w:hAnsi="宋体" w:cs="宋体"/>
          <w:color w:val="auto"/>
          <w:highlight w:val="none"/>
        </w:rPr>
        <w:t>八、其他事项</w:t>
      </w:r>
      <w:bookmarkEnd w:id="160"/>
      <w:bookmarkEnd w:id="161"/>
    </w:p>
    <w:p w14:paraId="7E8F7ABB">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62" w:name="_42.代理服务费"/>
      <w:bookmarkEnd w:id="162"/>
      <w:r>
        <w:rPr>
          <w:rFonts w:hint="eastAsia" w:ascii="宋体" w:hAnsi="宋体" w:cs="宋体"/>
          <w:b/>
          <w:color w:val="auto"/>
          <w:sz w:val="24"/>
          <w:highlight w:val="none"/>
        </w:rPr>
        <w:t>39.代理服务费</w:t>
      </w:r>
    </w:p>
    <w:p w14:paraId="1CFCF30E">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39.1代理服务费收取标准参照国家发展计划委员会《招标代理服务费管理暂行办法》（计价格（2002）1980号、《国家发展改革委关于降低部分建设项目收费标准规范收费行为等有关问题的通知》（发改价格[2011]534号）收费标准（服务类）下浮</w:t>
      </w:r>
      <w:r>
        <w:rPr>
          <w:rFonts w:hint="eastAsia" w:hAnsi="宋体" w:cs="宋体"/>
          <w:color w:val="auto"/>
          <w:highlight w:val="none"/>
          <w:lang w:val="en-US" w:eastAsia="zh-CN"/>
        </w:rPr>
        <w:t>3</w:t>
      </w:r>
      <w:r>
        <w:rPr>
          <w:rFonts w:hint="eastAsia" w:hAnsi="宋体" w:cs="宋体"/>
          <w:color w:val="auto"/>
          <w:highlight w:val="none"/>
        </w:rPr>
        <w:t>0%向供应商收取，供应商为联合体的，可以由联合体中的一方或者多方共同交纳代理服务费。代理服务费缴费账户详见“投标人须知前附表”。</w:t>
      </w:r>
    </w:p>
    <w:p w14:paraId="3A22E1FE">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代理服务费收取标准附表：</w:t>
      </w:r>
    </w:p>
    <w:tbl>
      <w:tblPr>
        <w:tblStyle w:val="4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99"/>
        <w:gridCol w:w="1720"/>
        <w:gridCol w:w="1749"/>
        <w:gridCol w:w="1454"/>
      </w:tblGrid>
      <w:tr w14:paraId="24736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tcBorders>
              <w:tl2br w:val="single" w:color="auto" w:sz="4" w:space="0"/>
            </w:tcBorders>
            <w:noWrap w:val="0"/>
            <w:vAlign w:val="center"/>
          </w:tcPr>
          <w:p w14:paraId="5CF6D214">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费率</w:t>
            </w:r>
          </w:p>
          <w:p w14:paraId="5D298EC0">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中标金额</w:t>
            </w:r>
          </w:p>
        </w:tc>
        <w:tc>
          <w:tcPr>
            <w:tcW w:w="1009" w:type="pct"/>
            <w:noWrap w:val="0"/>
            <w:vAlign w:val="center"/>
          </w:tcPr>
          <w:p w14:paraId="63D51DB5">
            <w:pPr>
              <w:keepNext w:val="0"/>
              <w:keepLines w:val="0"/>
              <w:pageBreakBefore w:val="0"/>
              <w:widowControl w:val="0"/>
              <w:kinsoku/>
              <w:wordWrap/>
              <w:overflowPunct/>
              <w:topLinePunct w:val="0"/>
              <w:autoSpaceDE/>
              <w:autoSpaceDN/>
              <w:bidi w:val="0"/>
              <w:spacing w:line="400" w:lineRule="exact"/>
              <w:ind w:firstLine="105" w:firstLineChars="5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货物招标</w:t>
            </w:r>
          </w:p>
        </w:tc>
        <w:tc>
          <w:tcPr>
            <w:tcW w:w="1026" w:type="pct"/>
            <w:noWrap w:val="0"/>
            <w:vAlign w:val="center"/>
          </w:tcPr>
          <w:p w14:paraId="2E32148E">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服务招标</w:t>
            </w:r>
          </w:p>
        </w:tc>
        <w:tc>
          <w:tcPr>
            <w:tcW w:w="853" w:type="pct"/>
            <w:noWrap w:val="0"/>
            <w:vAlign w:val="center"/>
          </w:tcPr>
          <w:p w14:paraId="11EE12CA">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工程招标</w:t>
            </w:r>
          </w:p>
        </w:tc>
      </w:tr>
      <w:tr w14:paraId="2B78A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433E6EF9">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100万元以下</w:t>
            </w:r>
          </w:p>
        </w:tc>
        <w:tc>
          <w:tcPr>
            <w:tcW w:w="1009" w:type="pct"/>
            <w:noWrap w:val="0"/>
            <w:vAlign w:val="center"/>
          </w:tcPr>
          <w:p w14:paraId="101BA9F3">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1.5%</w:t>
            </w:r>
          </w:p>
        </w:tc>
        <w:tc>
          <w:tcPr>
            <w:tcW w:w="1026" w:type="pct"/>
            <w:noWrap w:val="0"/>
            <w:vAlign w:val="center"/>
          </w:tcPr>
          <w:p w14:paraId="2CD80913">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1.5%</w:t>
            </w:r>
          </w:p>
        </w:tc>
        <w:tc>
          <w:tcPr>
            <w:tcW w:w="853" w:type="pct"/>
            <w:noWrap w:val="0"/>
            <w:vAlign w:val="center"/>
          </w:tcPr>
          <w:p w14:paraId="114762B2">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1.0%</w:t>
            </w:r>
          </w:p>
        </w:tc>
      </w:tr>
      <w:tr w14:paraId="26D83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5F857B62">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100万元～500万元</w:t>
            </w:r>
          </w:p>
        </w:tc>
        <w:tc>
          <w:tcPr>
            <w:tcW w:w="1009" w:type="pct"/>
            <w:noWrap w:val="0"/>
            <w:vAlign w:val="center"/>
          </w:tcPr>
          <w:p w14:paraId="6C691446">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1.1%</w:t>
            </w:r>
          </w:p>
        </w:tc>
        <w:tc>
          <w:tcPr>
            <w:tcW w:w="1026" w:type="pct"/>
            <w:noWrap w:val="0"/>
            <w:vAlign w:val="center"/>
          </w:tcPr>
          <w:p w14:paraId="0FF66D45">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0.8%</w:t>
            </w:r>
          </w:p>
        </w:tc>
        <w:tc>
          <w:tcPr>
            <w:tcW w:w="853" w:type="pct"/>
            <w:noWrap w:val="0"/>
            <w:vAlign w:val="center"/>
          </w:tcPr>
          <w:p w14:paraId="562EA864">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0.7%</w:t>
            </w:r>
          </w:p>
        </w:tc>
      </w:tr>
      <w:tr w14:paraId="58456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3600A3C1">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500万元～1000万元</w:t>
            </w:r>
          </w:p>
        </w:tc>
        <w:tc>
          <w:tcPr>
            <w:tcW w:w="1009" w:type="pct"/>
            <w:noWrap w:val="0"/>
            <w:vAlign w:val="center"/>
          </w:tcPr>
          <w:p w14:paraId="36B53CCA">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0.8%</w:t>
            </w:r>
          </w:p>
        </w:tc>
        <w:tc>
          <w:tcPr>
            <w:tcW w:w="1026" w:type="pct"/>
            <w:noWrap w:val="0"/>
            <w:vAlign w:val="center"/>
          </w:tcPr>
          <w:p w14:paraId="6A9C791E">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0.45%</w:t>
            </w:r>
          </w:p>
        </w:tc>
        <w:tc>
          <w:tcPr>
            <w:tcW w:w="853" w:type="pct"/>
            <w:noWrap w:val="0"/>
            <w:vAlign w:val="center"/>
          </w:tcPr>
          <w:p w14:paraId="5B2AEADC">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0.55%</w:t>
            </w:r>
          </w:p>
        </w:tc>
      </w:tr>
      <w:tr w14:paraId="242B7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37B623CB">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1000万元～5000万元</w:t>
            </w:r>
          </w:p>
        </w:tc>
        <w:tc>
          <w:tcPr>
            <w:tcW w:w="1009" w:type="pct"/>
            <w:noWrap w:val="0"/>
            <w:vAlign w:val="center"/>
          </w:tcPr>
          <w:p w14:paraId="443A8E32">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0.5%</w:t>
            </w:r>
          </w:p>
        </w:tc>
        <w:tc>
          <w:tcPr>
            <w:tcW w:w="1026" w:type="pct"/>
            <w:noWrap w:val="0"/>
            <w:vAlign w:val="center"/>
          </w:tcPr>
          <w:p w14:paraId="71F80536">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0.25%</w:t>
            </w:r>
          </w:p>
        </w:tc>
        <w:tc>
          <w:tcPr>
            <w:tcW w:w="853" w:type="pct"/>
            <w:noWrap w:val="0"/>
            <w:vAlign w:val="center"/>
          </w:tcPr>
          <w:p w14:paraId="6AE20DBD">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0.35%</w:t>
            </w:r>
          </w:p>
        </w:tc>
      </w:tr>
      <w:tr w14:paraId="21FA9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40C0ECF1">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5000万元～1亿元</w:t>
            </w:r>
          </w:p>
        </w:tc>
        <w:tc>
          <w:tcPr>
            <w:tcW w:w="1009" w:type="pct"/>
            <w:noWrap w:val="0"/>
            <w:vAlign w:val="center"/>
          </w:tcPr>
          <w:p w14:paraId="3A3096FD">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0.25%</w:t>
            </w:r>
          </w:p>
        </w:tc>
        <w:tc>
          <w:tcPr>
            <w:tcW w:w="1026" w:type="pct"/>
            <w:noWrap w:val="0"/>
            <w:vAlign w:val="center"/>
          </w:tcPr>
          <w:p w14:paraId="12E0CF2F">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0.1%</w:t>
            </w:r>
          </w:p>
        </w:tc>
        <w:tc>
          <w:tcPr>
            <w:tcW w:w="853" w:type="pct"/>
            <w:noWrap w:val="0"/>
            <w:vAlign w:val="center"/>
          </w:tcPr>
          <w:p w14:paraId="31203FEF">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0.2%</w:t>
            </w:r>
          </w:p>
        </w:tc>
      </w:tr>
      <w:tr w14:paraId="3A1A6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7D48B509">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1亿元～5亿元</w:t>
            </w:r>
          </w:p>
        </w:tc>
        <w:tc>
          <w:tcPr>
            <w:tcW w:w="1009" w:type="pct"/>
            <w:noWrap w:val="0"/>
            <w:vAlign w:val="center"/>
          </w:tcPr>
          <w:p w14:paraId="1B6F6A02">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0.05%</w:t>
            </w:r>
          </w:p>
        </w:tc>
        <w:tc>
          <w:tcPr>
            <w:tcW w:w="1026" w:type="pct"/>
            <w:noWrap w:val="0"/>
            <w:vAlign w:val="center"/>
          </w:tcPr>
          <w:p w14:paraId="29210C50">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0.05%</w:t>
            </w:r>
          </w:p>
        </w:tc>
        <w:tc>
          <w:tcPr>
            <w:tcW w:w="853" w:type="pct"/>
            <w:noWrap w:val="0"/>
            <w:vAlign w:val="center"/>
          </w:tcPr>
          <w:p w14:paraId="29976F8A">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0.05%</w:t>
            </w:r>
          </w:p>
        </w:tc>
      </w:tr>
      <w:tr w14:paraId="23A8C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54039895">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5亿元～10亿元</w:t>
            </w:r>
          </w:p>
        </w:tc>
        <w:tc>
          <w:tcPr>
            <w:tcW w:w="1009" w:type="pct"/>
            <w:noWrap w:val="0"/>
            <w:vAlign w:val="center"/>
          </w:tcPr>
          <w:p w14:paraId="0565901D">
            <w:pPr>
              <w:keepNext w:val="0"/>
              <w:keepLines w:val="0"/>
              <w:pageBreakBefore w:val="0"/>
              <w:widowControl w:val="0"/>
              <w:kinsoku/>
              <w:wordWrap/>
              <w:overflowPunct/>
              <w:topLinePunct w:val="0"/>
              <w:autoSpaceDE/>
              <w:autoSpaceDN/>
              <w:bidi w:val="0"/>
              <w:spacing w:line="400" w:lineRule="exact"/>
              <w:ind w:firstLine="105" w:firstLineChars="5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0.035%</w:t>
            </w:r>
          </w:p>
        </w:tc>
        <w:tc>
          <w:tcPr>
            <w:tcW w:w="1026" w:type="pct"/>
            <w:noWrap w:val="0"/>
            <w:vAlign w:val="center"/>
          </w:tcPr>
          <w:p w14:paraId="315BA92B">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0.035%</w:t>
            </w:r>
          </w:p>
        </w:tc>
        <w:tc>
          <w:tcPr>
            <w:tcW w:w="853" w:type="pct"/>
            <w:noWrap w:val="0"/>
            <w:vAlign w:val="center"/>
          </w:tcPr>
          <w:p w14:paraId="33AD3CC0">
            <w:pPr>
              <w:keepNext w:val="0"/>
              <w:keepLines w:val="0"/>
              <w:pageBreakBefore w:val="0"/>
              <w:widowControl w:val="0"/>
              <w:kinsoku/>
              <w:wordWrap/>
              <w:overflowPunct/>
              <w:topLinePunct w:val="0"/>
              <w:autoSpaceDE/>
              <w:autoSpaceDN/>
              <w:bidi w:val="0"/>
              <w:spacing w:line="400" w:lineRule="exact"/>
              <w:ind w:firstLine="105" w:firstLineChars="5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0.035%</w:t>
            </w:r>
          </w:p>
        </w:tc>
      </w:tr>
      <w:tr w14:paraId="5392D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2A7D1111">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10亿元～50亿元</w:t>
            </w:r>
          </w:p>
        </w:tc>
        <w:tc>
          <w:tcPr>
            <w:tcW w:w="1009" w:type="pct"/>
            <w:noWrap w:val="0"/>
            <w:vAlign w:val="center"/>
          </w:tcPr>
          <w:p w14:paraId="522C2FEE">
            <w:pPr>
              <w:keepNext w:val="0"/>
              <w:keepLines w:val="0"/>
              <w:pageBreakBefore w:val="0"/>
              <w:widowControl w:val="0"/>
              <w:kinsoku/>
              <w:wordWrap/>
              <w:overflowPunct/>
              <w:topLinePunct w:val="0"/>
              <w:autoSpaceDE/>
              <w:autoSpaceDN/>
              <w:bidi w:val="0"/>
              <w:spacing w:line="400" w:lineRule="exact"/>
              <w:ind w:firstLine="105" w:firstLineChars="5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0.008%</w:t>
            </w:r>
          </w:p>
        </w:tc>
        <w:tc>
          <w:tcPr>
            <w:tcW w:w="1026" w:type="pct"/>
            <w:noWrap w:val="0"/>
            <w:vAlign w:val="center"/>
          </w:tcPr>
          <w:p w14:paraId="05C3B79D">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0.008%</w:t>
            </w:r>
          </w:p>
        </w:tc>
        <w:tc>
          <w:tcPr>
            <w:tcW w:w="853" w:type="pct"/>
            <w:noWrap w:val="0"/>
            <w:vAlign w:val="center"/>
          </w:tcPr>
          <w:p w14:paraId="57C11069">
            <w:pPr>
              <w:keepNext w:val="0"/>
              <w:keepLines w:val="0"/>
              <w:pageBreakBefore w:val="0"/>
              <w:widowControl w:val="0"/>
              <w:kinsoku/>
              <w:wordWrap/>
              <w:overflowPunct/>
              <w:topLinePunct w:val="0"/>
              <w:autoSpaceDE/>
              <w:autoSpaceDN/>
              <w:bidi w:val="0"/>
              <w:spacing w:line="400" w:lineRule="exact"/>
              <w:ind w:firstLine="105" w:firstLineChars="5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0.008%</w:t>
            </w:r>
          </w:p>
        </w:tc>
      </w:tr>
      <w:tr w14:paraId="11A68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3ACF565C">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50亿元～100亿元</w:t>
            </w:r>
          </w:p>
        </w:tc>
        <w:tc>
          <w:tcPr>
            <w:tcW w:w="1009" w:type="pct"/>
            <w:noWrap w:val="0"/>
            <w:vAlign w:val="center"/>
          </w:tcPr>
          <w:p w14:paraId="5092354F">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0.006%</w:t>
            </w:r>
          </w:p>
        </w:tc>
        <w:tc>
          <w:tcPr>
            <w:tcW w:w="1026" w:type="pct"/>
            <w:noWrap w:val="0"/>
            <w:vAlign w:val="center"/>
          </w:tcPr>
          <w:p w14:paraId="4F6DA74B">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0.006%</w:t>
            </w:r>
          </w:p>
        </w:tc>
        <w:tc>
          <w:tcPr>
            <w:tcW w:w="853" w:type="pct"/>
            <w:noWrap w:val="0"/>
            <w:vAlign w:val="center"/>
          </w:tcPr>
          <w:p w14:paraId="60C4E972">
            <w:pPr>
              <w:keepNext w:val="0"/>
              <w:keepLines w:val="0"/>
              <w:pageBreakBefore w:val="0"/>
              <w:widowControl w:val="0"/>
              <w:kinsoku/>
              <w:wordWrap/>
              <w:overflowPunct/>
              <w:topLinePunct w:val="0"/>
              <w:autoSpaceDE/>
              <w:autoSpaceDN/>
              <w:bidi w:val="0"/>
              <w:spacing w:line="400" w:lineRule="exact"/>
              <w:ind w:firstLine="105" w:firstLineChars="5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0.006%</w:t>
            </w:r>
          </w:p>
        </w:tc>
      </w:tr>
      <w:tr w14:paraId="51970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5F869DB7">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100亿以上</w:t>
            </w:r>
          </w:p>
        </w:tc>
        <w:tc>
          <w:tcPr>
            <w:tcW w:w="1009" w:type="pct"/>
            <w:noWrap w:val="0"/>
            <w:vAlign w:val="center"/>
          </w:tcPr>
          <w:p w14:paraId="393217F1">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0.004%</w:t>
            </w:r>
          </w:p>
        </w:tc>
        <w:tc>
          <w:tcPr>
            <w:tcW w:w="1026" w:type="pct"/>
            <w:noWrap w:val="0"/>
            <w:vAlign w:val="center"/>
          </w:tcPr>
          <w:p w14:paraId="13F6A426">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0.004%</w:t>
            </w:r>
          </w:p>
        </w:tc>
        <w:tc>
          <w:tcPr>
            <w:tcW w:w="853" w:type="pct"/>
            <w:noWrap w:val="0"/>
            <w:vAlign w:val="center"/>
          </w:tcPr>
          <w:p w14:paraId="377A2609">
            <w:pPr>
              <w:keepNext w:val="0"/>
              <w:keepLines w:val="0"/>
              <w:pageBreakBefore w:val="0"/>
              <w:widowControl w:val="0"/>
              <w:kinsoku/>
              <w:wordWrap/>
              <w:overflowPunct/>
              <w:topLinePunct w:val="0"/>
              <w:autoSpaceDE/>
              <w:autoSpaceDN/>
              <w:bidi w:val="0"/>
              <w:spacing w:line="400" w:lineRule="exact"/>
              <w:ind w:firstLine="105" w:firstLineChars="5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0.004%</w:t>
            </w:r>
          </w:p>
        </w:tc>
      </w:tr>
    </w:tbl>
    <w:p w14:paraId="4D010B6D">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注：</w:t>
      </w:r>
    </w:p>
    <w:p w14:paraId="2260786F">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（1）按本表费率计算的收费为采购代理的收费基准价格；</w:t>
      </w:r>
    </w:p>
    <w:p w14:paraId="2B148300">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（2）采购代理收费按差额定率累进法计算。</w:t>
      </w:r>
    </w:p>
    <w:p w14:paraId="2FDF22D4">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例如：某服务采购代理业务中标金额或者暂定价为200万元，计算采购代理收费额如下：</w:t>
      </w:r>
    </w:p>
    <w:p w14:paraId="0FB475A8">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100 万元×l.5 %＝ 1.5 万元</w:t>
      </w:r>
    </w:p>
    <w:p w14:paraId="1073017C">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（200－100）万元 ×0.8%＝0.8万元</w:t>
      </w:r>
    </w:p>
    <w:p w14:paraId="178EE60D">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合计收费＝ 1.5+0.8＝ 2.3（万元）</w:t>
      </w:r>
    </w:p>
    <w:p w14:paraId="61DA9CEF">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40. 需要补充的其他内容</w:t>
      </w:r>
    </w:p>
    <w:p w14:paraId="3307E224">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40.1本招标文件解释规则详见“投标人须知前附表”。</w:t>
      </w:r>
    </w:p>
    <w:p w14:paraId="72437108">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40.2 其他事项详见“投标人须知前附表”。</w:t>
      </w:r>
    </w:p>
    <w:p w14:paraId="2FAC04C5">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40.3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76227108">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（1）在货物采购项目中，货物由中小企业制造，即货物由中小企业生产且使用该中小企业商号或者注册商标，不对其中涉及的工程承建商和服务的承接商作出要求；</w:t>
      </w:r>
    </w:p>
    <w:p w14:paraId="7ABA1226">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（2）在工程采购项目中，工程由中小企业承建，即工程施工单位为中小企业，不对其中涉及的货物的制造商和服务的承接商作出要求；</w:t>
      </w:r>
    </w:p>
    <w:p w14:paraId="3258938E">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5D650C14">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77DB4769">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Ansi="宋体" w:cs="宋体"/>
          <w:color w:val="auto"/>
          <w:highlight w:val="none"/>
        </w:rPr>
      </w:pPr>
      <w:r>
        <w:rPr>
          <w:rFonts w:hint="eastAsia" w:hAnsi="宋体" w:cs="宋体"/>
          <w:color w:val="auto"/>
          <w:highlight w:val="none"/>
        </w:rPr>
        <w:t>依据本招标文件规定享受扶持政策获得政府采购合同的，小微企业不得将合同分包给大中型企业，中型企业不得将合同分包给大型企业。</w:t>
      </w:r>
    </w:p>
    <w:p w14:paraId="45D76C3C">
      <w:pPr>
        <w:pStyle w:val="13"/>
        <w:spacing w:line="360" w:lineRule="auto"/>
        <w:rPr>
          <w:rFonts w:hint="eastAsia" w:ascii="宋体" w:hAnsi="宋体" w:cs="宋体"/>
          <w:color w:val="auto"/>
          <w:highlight w:val="none"/>
        </w:rPr>
      </w:pPr>
      <w:r>
        <w:rPr>
          <w:color w:val="auto"/>
          <w:highlight w:val="none"/>
        </w:rPr>
        <w:br w:type="page"/>
      </w:r>
      <w:r>
        <w:rPr>
          <w:rFonts w:hint="eastAsia" w:ascii="宋体" w:hAnsi="宋体" w:cs="宋体"/>
          <w:b/>
          <w:bCs/>
          <w:color w:val="auto"/>
          <w:sz w:val="36"/>
          <w:szCs w:val="36"/>
          <w:highlight w:val="none"/>
        </w:rPr>
        <w:t>附件1：</w:t>
      </w:r>
    </w:p>
    <w:p w14:paraId="233A1B51">
      <w:pPr>
        <w:widowControl/>
        <w:shd w:val="clear" w:color="auto" w:fill="FFFFFF"/>
        <w:spacing w:line="360" w:lineRule="auto"/>
        <w:jc w:val="center"/>
        <w:rPr>
          <w:rFonts w:hint="eastAsia" w:ascii="宋体" w:hAnsi="宋体" w:cs="宋体"/>
          <w:color w:val="auto"/>
          <w:kern w:val="0"/>
          <w:sz w:val="44"/>
          <w:szCs w:val="44"/>
          <w:highlight w:val="none"/>
        </w:rPr>
      </w:pPr>
      <w:r>
        <w:rPr>
          <w:rFonts w:hint="eastAsia" w:ascii="宋体" w:hAnsi="宋体" w:cs="宋体"/>
          <w:color w:val="auto"/>
          <w:kern w:val="0"/>
          <w:sz w:val="44"/>
          <w:szCs w:val="44"/>
          <w:highlight w:val="none"/>
        </w:rPr>
        <w:t>广西壮族自治区政府采购项目合同验收书</w:t>
      </w:r>
    </w:p>
    <w:p w14:paraId="455F6D52">
      <w:pPr>
        <w:keepNext w:val="0"/>
        <w:keepLines w:val="0"/>
        <w:pageBreakBefore w:val="0"/>
        <w:widowControl/>
        <w:shd w:val="clear" w:color="auto" w:fill="FFFFFF"/>
        <w:kinsoku/>
        <w:wordWrap/>
        <w:overflowPunct/>
        <w:topLinePunct w:val="0"/>
        <w:autoSpaceDE/>
        <w:autoSpaceDN/>
        <w:bidi w:val="0"/>
        <w:adjustRightInd/>
        <w:spacing w:line="400" w:lineRule="exact"/>
        <w:jc w:val="center"/>
        <w:textAlignment w:val="auto"/>
        <w:rPr>
          <w:rFonts w:hint="eastAsia" w:ascii="宋体" w:hAnsi="宋体" w:cs="宋体"/>
          <w:color w:val="auto"/>
          <w:kern w:val="0"/>
          <w:sz w:val="32"/>
          <w:szCs w:val="32"/>
          <w:highlight w:val="none"/>
        </w:rPr>
      </w:pPr>
      <w:r>
        <w:rPr>
          <w:rFonts w:hint="eastAsia" w:ascii="宋体" w:hAnsi="宋体" w:cs="宋体"/>
          <w:color w:val="auto"/>
          <w:kern w:val="0"/>
          <w:sz w:val="32"/>
          <w:szCs w:val="32"/>
          <w:highlight w:val="none"/>
        </w:rPr>
        <w:t>（格式）</w:t>
      </w:r>
    </w:p>
    <w:p w14:paraId="22CAAF2E">
      <w:pPr>
        <w:keepNext w:val="0"/>
        <w:keepLines w:val="0"/>
        <w:pageBreakBefore w:val="0"/>
        <w:widowControl/>
        <w:shd w:val="clear" w:color="auto" w:fill="FFFFFF"/>
        <w:kinsoku/>
        <w:wordWrap/>
        <w:overflowPunct/>
        <w:topLinePunct w:val="0"/>
        <w:autoSpaceDE/>
        <w:autoSpaceDN/>
        <w:bidi w:val="0"/>
        <w:adjustRightInd/>
        <w:snapToGrid w:val="0"/>
        <w:spacing w:line="400" w:lineRule="exact"/>
        <w:ind w:firstLine="480"/>
        <w:jc w:val="left"/>
        <w:textAlignment w:val="auto"/>
        <w:rPr>
          <w:rFonts w:hint="eastAsia" w:ascii="宋体" w:hAnsi="宋体" w:cs="宋体"/>
          <w:color w:val="auto"/>
          <w:kern w:val="0"/>
          <w:szCs w:val="21"/>
          <w:highlight w:val="none"/>
        </w:rPr>
      </w:pPr>
      <w:r>
        <w:rPr>
          <w:rFonts w:hint="eastAsia" w:ascii="宋体" w:hAnsi="宋体" w:cs="宋体"/>
          <w:color w:val="auto"/>
          <w:kern w:val="0"/>
          <w:highlight w:val="none"/>
        </w:rPr>
        <w:t>根据政府采购项目（</w:t>
      </w:r>
      <w:r>
        <w:rPr>
          <w:rFonts w:hint="eastAsia" w:ascii="宋体" w:hAnsi="宋体" w:cs="宋体"/>
          <w:color w:val="auto"/>
          <w:kern w:val="0"/>
          <w:highlight w:val="none"/>
          <w:u w:val="single"/>
        </w:rPr>
        <w:t>采购合同编号：</w:t>
      </w:r>
      <w:r>
        <w:rPr>
          <w:rFonts w:hint="eastAsia" w:ascii="宋体" w:hAnsi="宋体" w:cs="宋体"/>
          <w:color w:val="auto"/>
          <w:kern w:val="0"/>
          <w:highlight w:val="none"/>
          <w:u w:val="single"/>
        </w:rPr>
        <w:softHyphen/>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）的约定，我单位对（</w:t>
      </w:r>
      <w:r>
        <w:rPr>
          <w:rFonts w:hint="eastAsia" w:ascii="宋体" w:hAnsi="宋体" w:cs="宋体"/>
          <w:color w:val="auto"/>
          <w:kern w:val="0"/>
          <w:highlight w:val="none"/>
          <w:u w:val="single"/>
        </w:rPr>
        <w:t xml:space="preserve"> 项目名称 </w:t>
      </w:r>
      <w:r>
        <w:rPr>
          <w:rFonts w:hint="eastAsia" w:ascii="宋体" w:hAnsi="宋体" w:cs="宋体"/>
          <w:color w:val="auto"/>
          <w:kern w:val="0"/>
          <w:highlight w:val="none"/>
        </w:rPr>
        <w:t>） 政府采购项目中标（或成交）供应商（</w:t>
      </w:r>
      <w:r>
        <w:rPr>
          <w:rFonts w:hint="eastAsia" w:ascii="宋体" w:hAnsi="宋体" w:cs="宋体"/>
          <w:color w:val="auto"/>
          <w:kern w:val="0"/>
          <w:highlight w:val="none"/>
          <w:u w:val="single"/>
        </w:rPr>
        <w:t xml:space="preserve"> 公司名称 </w:t>
      </w:r>
      <w:r>
        <w:rPr>
          <w:rFonts w:hint="eastAsia" w:ascii="宋体" w:hAnsi="宋体" w:cs="宋体"/>
          <w:color w:val="auto"/>
          <w:kern w:val="0"/>
          <w:highlight w:val="none"/>
        </w:rPr>
        <w:t>） 提供的货物（或工程、服务）进行了验收，验收情况如下：</w:t>
      </w:r>
    </w:p>
    <w:tbl>
      <w:tblPr>
        <w:tblStyle w:val="40"/>
        <w:tblW w:w="9371" w:type="dxa"/>
        <w:jc w:val="center"/>
        <w:tblLayout w:type="fixed"/>
        <w:tblCellMar>
          <w:top w:w="0" w:type="dxa"/>
          <w:left w:w="0" w:type="dxa"/>
          <w:bottom w:w="0" w:type="dxa"/>
          <w:right w:w="0" w:type="dxa"/>
        </w:tblCellMar>
      </w:tblPr>
      <w:tblGrid>
        <w:gridCol w:w="1486"/>
        <w:gridCol w:w="1766"/>
        <w:gridCol w:w="798"/>
        <w:gridCol w:w="102"/>
        <w:gridCol w:w="2002"/>
        <w:gridCol w:w="178"/>
        <w:gridCol w:w="685"/>
        <w:gridCol w:w="2354"/>
      </w:tblGrid>
      <w:tr w14:paraId="6C4CE9F6">
        <w:tblPrEx>
          <w:tblCellMar>
            <w:top w:w="0" w:type="dxa"/>
            <w:left w:w="0" w:type="dxa"/>
            <w:bottom w:w="0" w:type="dxa"/>
            <w:right w:w="0" w:type="dxa"/>
          </w:tblCellMar>
        </w:tblPrEx>
        <w:trPr>
          <w:trHeight w:val="382" w:hRule="atLeast"/>
          <w:jc w:val="center"/>
        </w:trPr>
        <w:tc>
          <w:tcPr>
            <w:tcW w:w="3252" w:type="dxa"/>
            <w:gridSpan w:val="2"/>
            <w:tcBorders>
              <w:top w:val="single" w:color="auto" w:sz="8" w:space="0"/>
              <w:left w:val="single" w:color="auto" w:sz="8" w:space="0"/>
              <w:bottom w:val="single" w:color="auto" w:sz="8" w:space="0"/>
              <w:right w:val="single" w:color="auto" w:sz="8" w:space="0"/>
            </w:tcBorders>
            <w:noWrap w:val="0"/>
            <w:vAlign w:val="center"/>
          </w:tcPr>
          <w:p w14:paraId="0EC1E85D">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5"/>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验收方式：</w:t>
            </w:r>
          </w:p>
        </w:tc>
        <w:tc>
          <w:tcPr>
            <w:tcW w:w="6119" w:type="dxa"/>
            <w:gridSpan w:val="6"/>
            <w:tcBorders>
              <w:top w:val="single" w:color="auto" w:sz="8" w:space="0"/>
              <w:left w:val="nil"/>
              <w:bottom w:val="single" w:color="auto" w:sz="8" w:space="0"/>
              <w:right w:val="single" w:color="auto" w:sz="8" w:space="0"/>
            </w:tcBorders>
            <w:noWrap w:val="0"/>
            <w:vAlign w:val="center"/>
          </w:tcPr>
          <w:p w14:paraId="67EEAD18">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480"/>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□自行验收 □委托验收</w:t>
            </w:r>
          </w:p>
        </w:tc>
      </w:tr>
      <w:tr w14:paraId="61164E80">
        <w:tblPrEx>
          <w:tblCellMar>
            <w:top w:w="0" w:type="dxa"/>
            <w:left w:w="0" w:type="dxa"/>
            <w:bottom w:w="0" w:type="dxa"/>
            <w:right w:w="0" w:type="dxa"/>
          </w:tblCellMar>
        </w:tblPrEx>
        <w:trPr>
          <w:trHeight w:val="622" w:hRule="atLeast"/>
          <w:jc w:val="center"/>
        </w:trPr>
        <w:tc>
          <w:tcPr>
            <w:tcW w:w="1486" w:type="dxa"/>
            <w:tcBorders>
              <w:top w:val="nil"/>
              <w:left w:val="single" w:color="auto" w:sz="8" w:space="0"/>
              <w:bottom w:val="single" w:color="auto" w:sz="8" w:space="0"/>
              <w:right w:val="single" w:color="auto" w:sz="8" w:space="0"/>
            </w:tcBorders>
            <w:noWrap w:val="0"/>
            <w:vAlign w:val="center"/>
          </w:tcPr>
          <w:p w14:paraId="2751361A">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2"/>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序号</w:t>
            </w:r>
          </w:p>
        </w:tc>
        <w:tc>
          <w:tcPr>
            <w:tcW w:w="1766" w:type="dxa"/>
            <w:tcBorders>
              <w:top w:val="nil"/>
              <w:left w:val="nil"/>
              <w:bottom w:val="single" w:color="auto" w:sz="8" w:space="0"/>
              <w:right w:val="single" w:color="auto" w:sz="8" w:space="0"/>
            </w:tcBorders>
            <w:noWrap w:val="0"/>
            <w:vAlign w:val="center"/>
          </w:tcPr>
          <w:p w14:paraId="583FF86B">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2"/>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名 称</w:t>
            </w:r>
          </w:p>
        </w:tc>
        <w:tc>
          <w:tcPr>
            <w:tcW w:w="2902" w:type="dxa"/>
            <w:gridSpan w:val="3"/>
            <w:tcBorders>
              <w:top w:val="nil"/>
              <w:left w:val="nil"/>
              <w:bottom w:val="single" w:color="auto" w:sz="8" w:space="0"/>
              <w:right w:val="single" w:color="auto" w:sz="8" w:space="0"/>
            </w:tcBorders>
            <w:noWrap w:val="0"/>
            <w:vAlign w:val="center"/>
          </w:tcPr>
          <w:p w14:paraId="47DCAB3E">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2"/>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货物型号规格、标准及配置等（或服务内容、标准）</w:t>
            </w:r>
          </w:p>
        </w:tc>
        <w:tc>
          <w:tcPr>
            <w:tcW w:w="863" w:type="dxa"/>
            <w:gridSpan w:val="2"/>
            <w:tcBorders>
              <w:top w:val="nil"/>
              <w:left w:val="nil"/>
              <w:bottom w:val="single" w:color="auto" w:sz="8" w:space="0"/>
              <w:right w:val="single" w:color="auto" w:sz="8" w:space="0"/>
            </w:tcBorders>
            <w:noWrap w:val="0"/>
            <w:vAlign w:val="center"/>
          </w:tcPr>
          <w:p w14:paraId="5BA39F15">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数量</w:t>
            </w:r>
          </w:p>
        </w:tc>
        <w:tc>
          <w:tcPr>
            <w:tcW w:w="2354" w:type="dxa"/>
            <w:tcBorders>
              <w:top w:val="nil"/>
              <w:left w:val="nil"/>
              <w:bottom w:val="single" w:color="auto" w:sz="8" w:space="0"/>
              <w:right w:val="single" w:color="auto" w:sz="8" w:space="0"/>
            </w:tcBorders>
            <w:noWrap w:val="0"/>
            <w:vAlign w:val="center"/>
          </w:tcPr>
          <w:p w14:paraId="3C1034FA">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2"/>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金 额</w:t>
            </w:r>
          </w:p>
        </w:tc>
      </w:tr>
      <w:tr w14:paraId="55DECB21">
        <w:tblPrEx>
          <w:tblCellMar>
            <w:top w:w="0" w:type="dxa"/>
            <w:left w:w="0" w:type="dxa"/>
            <w:bottom w:w="0" w:type="dxa"/>
            <w:right w:w="0" w:type="dxa"/>
          </w:tblCellMar>
        </w:tblPrEx>
        <w:trPr>
          <w:trHeight w:val="487" w:hRule="atLeast"/>
          <w:jc w:val="center"/>
        </w:trPr>
        <w:tc>
          <w:tcPr>
            <w:tcW w:w="1486" w:type="dxa"/>
            <w:tcBorders>
              <w:top w:val="nil"/>
              <w:left w:val="single" w:color="auto" w:sz="8" w:space="0"/>
              <w:bottom w:val="single" w:color="auto" w:sz="8" w:space="0"/>
              <w:right w:val="single" w:color="auto" w:sz="8" w:space="0"/>
            </w:tcBorders>
            <w:noWrap w:val="0"/>
            <w:vAlign w:val="center"/>
          </w:tcPr>
          <w:p w14:paraId="432674F2">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1766" w:type="dxa"/>
            <w:tcBorders>
              <w:top w:val="nil"/>
              <w:left w:val="nil"/>
              <w:bottom w:val="single" w:color="auto" w:sz="8" w:space="0"/>
              <w:right w:val="single" w:color="auto" w:sz="8" w:space="0"/>
            </w:tcBorders>
            <w:noWrap w:val="0"/>
            <w:vAlign w:val="center"/>
          </w:tcPr>
          <w:p w14:paraId="1E71FEBE">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2902" w:type="dxa"/>
            <w:gridSpan w:val="3"/>
            <w:tcBorders>
              <w:top w:val="nil"/>
              <w:left w:val="nil"/>
              <w:bottom w:val="single" w:color="auto" w:sz="8" w:space="0"/>
              <w:right w:val="single" w:color="auto" w:sz="8" w:space="0"/>
            </w:tcBorders>
            <w:noWrap w:val="0"/>
            <w:vAlign w:val="center"/>
          </w:tcPr>
          <w:p w14:paraId="29279E4C">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863" w:type="dxa"/>
            <w:gridSpan w:val="2"/>
            <w:tcBorders>
              <w:top w:val="nil"/>
              <w:left w:val="nil"/>
              <w:bottom w:val="single" w:color="auto" w:sz="8" w:space="0"/>
              <w:right w:val="single" w:color="auto" w:sz="8" w:space="0"/>
            </w:tcBorders>
            <w:noWrap w:val="0"/>
            <w:vAlign w:val="center"/>
          </w:tcPr>
          <w:p w14:paraId="674BEF30">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2354" w:type="dxa"/>
            <w:tcBorders>
              <w:top w:val="nil"/>
              <w:left w:val="nil"/>
              <w:bottom w:val="single" w:color="auto" w:sz="8" w:space="0"/>
              <w:right w:val="single" w:color="auto" w:sz="8" w:space="0"/>
            </w:tcBorders>
            <w:noWrap w:val="0"/>
            <w:vAlign w:val="center"/>
          </w:tcPr>
          <w:p w14:paraId="17445398">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r>
      <w:tr w14:paraId="5778756C">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noWrap w:val="0"/>
            <w:vAlign w:val="center"/>
          </w:tcPr>
          <w:p w14:paraId="269DBD04">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5"/>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合 计</w:t>
            </w:r>
          </w:p>
        </w:tc>
        <w:tc>
          <w:tcPr>
            <w:tcW w:w="863" w:type="dxa"/>
            <w:gridSpan w:val="2"/>
            <w:tcBorders>
              <w:top w:val="nil"/>
              <w:left w:val="nil"/>
              <w:bottom w:val="single" w:color="auto" w:sz="8" w:space="0"/>
              <w:right w:val="single" w:color="auto" w:sz="8" w:space="0"/>
            </w:tcBorders>
            <w:noWrap w:val="0"/>
            <w:vAlign w:val="center"/>
          </w:tcPr>
          <w:p w14:paraId="430A34BE">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2354" w:type="dxa"/>
            <w:tcBorders>
              <w:top w:val="nil"/>
              <w:left w:val="nil"/>
              <w:bottom w:val="single" w:color="auto" w:sz="8" w:space="0"/>
              <w:right w:val="single" w:color="auto" w:sz="8" w:space="0"/>
            </w:tcBorders>
            <w:noWrap w:val="0"/>
            <w:vAlign w:val="center"/>
          </w:tcPr>
          <w:p w14:paraId="142B4FE1">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r>
      <w:tr w14:paraId="0792302C">
        <w:tblPrEx>
          <w:tblCellMar>
            <w:top w:w="0" w:type="dxa"/>
            <w:left w:w="0" w:type="dxa"/>
            <w:bottom w:w="0" w:type="dxa"/>
            <w:right w:w="0" w:type="dxa"/>
          </w:tblCellMar>
        </w:tblPrEx>
        <w:trPr>
          <w:trHeight w:val="641" w:hRule="atLeast"/>
          <w:jc w:val="center"/>
        </w:trPr>
        <w:tc>
          <w:tcPr>
            <w:tcW w:w="9371" w:type="dxa"/>
            <w:gridSpan w:val="8"/>
            <w:tcBorders>
              <w:top w:val="nil"/>
              <w:left w:val="single" w:color="auto" w:sz="8" w:space="0"/>
              <w:bottom w:val="single" w:color="auto" w:sz="8" w:space="0"/>
              <w:right w:val="single" w:color="auto" w:sz="8" w:space="0"/>
            </w:tcBorders>
            <w:noWrap w:val="0"/>
            <w:vAlign w:val="center"/>
          </w:tcPr>
          <w:p w14:paraId="783C23F7">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2"/>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合计大写金额： 仟 佰 拾 万 仟 佰 拾 元</w:t>
            </w:r>
          </w:p>
        </w:tc>
      </w:tr>
      <w:tr w14:paraId="7371E1E1">
        <w:tblPrEx>
          <w:tblCellMar>
            <w:top w:w="0" w:type="dxa"/>
            <w:left w:w="0" w:type="dxa"/>
            <w:bottom w:w="0" w:type="dxa"/>
            <w:right w:w="0" w:type="dxa"/>
          </w:tblCellMar>
        </w:tblPrEx>
        <w:trPr>
          <w:trHeight w:val="491" w:hRule="atLeast"/>
          <w:jc w:val="center"/>
        </w:trPr>
        <w:tc>
          <w:tcPr>
            <w:tcW w:w="1486" w:type="dxa"/>
            <w:tcBorders>
              <w:top w:val="nil"/>
              <w:left w:val="single" w:color="auto" w:sz="8" w:space="0"/>
              <w:bottom w:val="single" w:color="auto" w:sz="8" w:space="0"/>
              <w:right w:val="single" w:color="auto" w:sz="8" w:space="0"/>
            </w:tcBorders>
            <w:noWrap w:val="0"/>
            <w:vAlign w:val="center"/>
          </w:tcPr>
          <w:p w14:paraId="4AFBAB4D">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2"/>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实际供货日期</w:t>
            </w:r>
          </w:p>
        </w:tc>
        <w:tc>
          <w:tcPr>
            <w:tcW w:w="2564" w:type="dxa"/>
            <w:gridSpan w:val="2"/>
            <w:tcBorders>
              <w:top w:val="nil"/>
              <w:left w:val="nil"/>
              <w:bottom w:val="single" w:color="auto" w:sz="8" w:space="0"/>
              <w:right w:val="single" w:color="auto" w:sz="8" w:space="0"/>
            </w:tcBorders>
            <w:noWrap w:val="0"/>
            <w:vAlign w:val="center"/>
          </w:tcPr>
          <w:p w14:paraId="30E75EE5">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2282" w:type="dxa"/>
            <w:gridSpan w:val="3"/>
            <w:tcBorders>
              <w:top w:val="nil"/>
              <w:left w:val="nil"/>
              <w:bottom w:val="single" w:color="auto" w:sz="8" w:space="0"/>
              <w:right w:val="single" w:color="auto" w:sz="8" w:space="0"/>
            </w:tcBorders>
            <w:noWrap w:val="0"/>
            <w:vAlign w:val="center"/>
          </w:tcPr>
          <w:p w14:paraId="2A96B4F2">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46"/>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合同交货验收日期</w:t>
            </w:r>
          </w:p>
        </w:tc>
        <w:tc>
          <w:tcPr>
            <w:tcW w:w="3039" w:type="dxa"/>
            <w:gridSpan w:val="2"/>
            <w:tcBorders>
              <w:top w:val="nil"/>
              <w:left w:val="nil"/>
              <w:bottom w:val="single" w:color="auto" w:sz="8" w:space="0"/>
              <w:right w:val="single" w:color="auto" w:sz="8" w:space="0"/>
            </w:tcBorders>
            <w:noWrap w:val="0"/>
            <w:vAlign w:val="center"/>
          </w:tcPr>
          <w:p w14:paraId="664DC825">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r>
      <w:tr w14:paraId="2E7F4EE9">
        <w:tblPrEx>
          <w:tblCellMar>
            <w:top w:w="0" w:type="dxa"/>
            <w:left w:w="0" w:type="dxa"/>
            <w:bottom w:w="0" w:type="dxa"/>
            <w:right w:w="0" w:type="dxa"/>
          </w:tblCellMar>
        </w:tblPrEx>
        <w:trPr>
          <w:trHeight w:val="394" w:hRule="atLeast"/>
          <w:jc w:val="center"/>
        </w:trPr>
        <w:tc>
          <w:tcPr>
            <w:tcW w:w="1486" w:type="dxa"/>
            <w:tcBorders>
              <w:top w:val="nil"/>
              <w:left w:val="single" w:color="auto" w:sz="8" w:space="0"/>
              <w:bottom w:val="single" w:color="auto" w:sz="8" w:space="0"/>
              <w:right w:val="single" w:color="auto" w:sz="8" w:space="0"/>
            </w:tcBorders>
            <w:noWrap w:val="0"/>
            <w:vAlign w:val="center"/>
          </w:tcPr>
          <w:p w14:paraId="00C0DCEE">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2564" w:type="dxa"/>
            <w:gridSpan w:val="2"/>
            <w:tcBorders>
              <w:top w:val="nil"/>
              <w:left w:val="nil"/>
              <w:bottom w:val="single" w:color="auto" w:sz="8" w:space="0"/>
              <w:right w:val="single" w:color="auto" w:sz="8" w:space="0"/>
            </w:tcBorders>
            <w:noWrap w:val="0"/>
            <w:vAlign w:val="center"/>
          </w:tcPr>
          <w:p w14:paraId="58BDDD49">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2282" w:type="dxa"/>
            <w:gridSpan w:val="3"/>
            <w:tcBorders>
              <w:top w:val="nil"/>
              <w:left w:val="nil"/>
              <w:bottom w:val="single" w:color="auto" w:sz="8" w:space="0"/>
              <w:right w:val="single" w:color="auto" w:sz="8" w:space="0"/>
            </w:tcBorders>
            <w:noWrap w:val="0"/>
            <w:vAlign w:val="center"/>
          </w:tcPr>
          <w:p w14:paraId="6A4AFFE2">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3039" w:type="dxa"/>
            <w:gridSpan w:val="2"/>
            <w:tcBorders>
              <w:top w:val="nil"/>
              <w:left w:val="nil"/>
              <w:bottom w:val="single" w:color="auto" w:sz="8" w:space="0"/>
              <w:right w:val="single" w:color="auto" w:sz="8" w:space="0"/>
            </w:tcBorders>
            <w:noWrap w:val="0"/>
            <w:vAlign w:val="center"/>
          </w:tcPr>
          <w:p w14:paraId="2C725BD5">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r>
      <w:tr w14:paraId="21AF339F">
        <w:tblPrEx>
          <w:tblCellMar>
            <w:top w:w="0" w:type="dxa"/>
            <w:left w:w="0" w:type="dxa"/>
            <w:bottom w:w="0" w:type="dxa"/>
            <w:right w:w="0" w:type="dxa"/>
          </w:tblCellMar>
        </w:tblPrEx>
        <w:trPr>
          <w:trHeight w:val="693" w:hRule="atLeast"/>
          <w:jc w:val="center"/>
        </w:trPr>
        <w:tc>
          <w:tcPr>
            <w:tcW w:w="148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D9E5154">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验收具体内容</w:t>
            </w:r>
          </w:p>
        </w:tc>
        <w:tc>
          <w:tcPr>
            <w:tcW w:w="7885"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076C8AD">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应按采购合同、采购文件、投标响应文件及验收方案等进行验收；并核对中标或者中标人在安装调试等方面是否违反合同约定或服务规范要求、提供的质量保证证明材料是否齐全、应有的配件及附件是否达到合同约定等。可附件）</w:t>
            </w:r>
          </w:p>
        </w:tc>
      </w:tr>
      <w:tr w14:paraId="61A5BD9D">
        <w:tblPrEx>
          <w:tblCellMar>
            <w:top w:w="0" w:type="dxa"/>
            <w:left w:w="0" w:type="dxa"/>
            <w:bottom w:w="0" w:type="dxa"/>
            <w:right w:w="0" w:type="dxa"/>
          </w:tblCellMar>
        </w:tblPrEx>
        <w:trPr>
          <w:trHeight w:val="510" w:hRule="atLeast"/>
          <w:jc w:val="center"/>
        </w:trPr>
        <w:tc>
          <w:tcPr>
            <w:tcW w:w="1486" w:type="dxa"/>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CBE7BC7">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验收小组意见</w:t>
            </w:r>
          </w:p>
        </w:tc>
        <w:tc>
          <w:tcPr>
            <w:tcW w:w="7885" w:type="dxa"/>
            <w:gridSpan w:val="7"/>
            <w:tcBorders>
              <w:top w:val="nil"/>
              <w:left w:val="nil"/>
              <w:bottom w:val="single" w:color="auto" w:sz="8" w:space="0"/>
              <w:right w:val="single" w:color="auto" w:sz="8" w:space="0"/>
            </w:tcBorders>
            <w:noWrap w:val="0"/>
            <w:vAlign w:val="center"/>
          </w:tcPr>
          <w:p w14:paraId="30085B95">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验收结论性意见：</w:t>
            </w:r>
          </w:p>
        </w:tc>
      </w:tr>
      <w:tr w14:paraId="02896FE3">
        <w:tblPrEx>
          <w:tblCellMar>
            <w:top w:w="0" w:type="dxa"/>
            <w:left w:w="0" w:type="dxa"/>
            <w:bottom w:w="0" w:type="dxa"/>
            <w:right w:w="0" w:type="dxa"/>
          </w:tblCellMar>
        </w:tblPrEx>
        <w:trPr>
          <w:trHeight w:val="424" w:hRule="atLeast"/>
          <w:jc w:val="center"/>
        </w:trPr>
        <w:tc>
          <w:tcPr>
            <w:tcW w:w="1486" w:type="dxa"/>
            <w:vMerge w:val="continue"/>
            <w:tcBorders>
              <w:top w:val="nil"/>
              <w:left w:val="single" w:color="auto" w:sz="8" w:space="0"/>
              <w:bottom w:val="single" w:color="auto" w:sz="8" w:space="0"/>
              <w:right w:val="single" w:color="auto" w:sz="8" w:space="0"/>
            </w:tcBorders>
            <w:noWrap w:val="0"/>
            <w:vAlign w:val="center"/>
          </w:tcPr>
          <w:p w14:paraId="550CA8E7">
            <w:pPr>
              <w:keepNext w:val="0"/>
              <w:keepLines w:val="0"/>
              <w:pageBreakBefore w:val="0"/>
              <w:widowControl/>
              <w:kinsoku/>
              <w:wordWrap/>
              <w:overflowPunct/>
              <w:topLinePunct w:val="0"/>
              <w:autoSpaceDE/>
              <w:autoSpaceDN/>
              <w:bidi w:val="0"/>
              <w:adjustRightInd/>
              <w:spacing w:line="400" w:lineRule="exact"/>
              <w:jc w:val="left"/>
              <w:textAlignment w:val="auto"/>
              <w:rPr>
                <w:rFonts w:hint="eastAsia" w:ascii="宋体" w:hAnsi="宋体" w:cs="宋体"/>
                <w:color w:val="auto"/>
                <w:kern w:val="0"/>
                <w:szCs w:val="21"/>
                <w:highlight w:val="none"/>
              </w:rPr>
            </w:pPr>
          </w:p>
        </w:tc>
        <w:tc>
          <w:tcPr>
            <w:tcW w:w="7885" w:type="dxa"/>
            <w:gridSpan w:val="7"/>
            <w:tcBorders>
              <w:top w:val="nil"/>
              <w:left w:val="nil"/>
              <w:bottom w:val="single" w:color="auto" w:sz="8" w:space="0"/>
              <w:right w:val="single" w:color="auto" w:sz="8" w:space="0"/>
            </w:tcBorders>
            <w:noWrap w:val="0"/>
            <w:vAlign w:val="center"/>
          </w:tcPr>
          <w:p w14:paraId="2710A233">
            <w:pPr>
              <w:keepNext w:val="0"/>
              <w:keepLines w:val="0"/>
              <w:pageBreakBefore w:val="0"/>
              <w:widowControl/>
              <w:kinsoku/>
              <w:wordWrap/>
              <w:overflowPunct/>
              <w:topLinePunct w:val="0"/>
              <w:autoSpaceDE/>
              <w:autoSpaceDN/>
              <w:bidi w:val="0"/>
              <w:adjustRightInd/>
              <w:spacing w:before="100" w:beforeAutospacing="1" w:after="100" w:afterAutospacing="1" w:line="400" w:lineRule="exact"/>
              <w:ind w:firstLine="96"/>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有异议的意见和说明理由：</w:t>
            </w:r>
          </w:p>
          <w:p w14:paraId="77CD4707">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签字：</w:t>
            </w:r>
          </w:p>
        </w:tc>
      </w:tr>
      <w:tr w14:paraId="741B1241">
        <w:tblPrEx>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FD3CC10">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验收小组成员签字：</w:t>
            </w:r>
          </w:p>
        </w:tc>
      </w:tr>
      <w:tr w14:paraId="14E1B337">
        <w:tblPrEx>
          <w:tblCellMar>
            <w:top w:w="0" w:type="dxa"/>
            <w:left w:w="0" w:type="dxa"/>
            <w:bottom w:w="0" w:type="dxa"/>
            <w:right w:w="0" w:type="dxa"/>
          </w:tblCellMar>
        </w:tblPrEx>
        <w:trPr>
          <w:trHeight w:val="736"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BB20F3B">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监督人员或其他相关人员签字：</w:t>
            </w:r>
          </w:p>
          <w:p w14:paraId="3B451F3E">
            <w:pPr>
              <w:keepNext w:val="0"/>
              <w:keepLines w:val="0"/>
              <w:pageBreakBefore w:val="0"/>
              <w:widowControl/>
              <w:kinsoku/>
              <w:wordWrap/>
              <w:overflowPunct/>
              <w:topLinePunct w:val="0"/>
              <w:autoSpaceDE/>
              <w:autoSpaceDN/>
              <w:bidi w:val="0"/>
              <w:adjustRightInd/>
              <w:spacing w:before="100" w:beforeAutospacing="1" w:after="100" w:afterAutospacing="1" w:line="400" w:lineRule="exact"/>
              <w:ind w:firstLine="74"/>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或受邀机构的意见（盖章）：</w:t>
            </w:r>
          </w:p>
        </w:tc>
      </w:tr>
      <w:tr w14:paraId="6DD3B728">
        <w:tblPrEx>
          <w:tblCellMar>
            <w:top w:w="0" w:type="dxa"/>
            <w:left w:w="0" w:type="dxa"/>
            <w:bottom w:w="0" w:type="dxa"/>
            <w:right w:w="0" w:type="dxa"/>
          </w:tblCellMar>
        </w:tblPrEx>
        <w:trPr>
          <w:trHeight w:val="986" w:hRule="atLeast"/>
          <w:jc w:val="center"/>
        </w:trPr>
        <w:tc>
          <w:tcPr>
            <w:tcW w:w="4152" w:type="dxa"/>
            <w:gridSpan w:val="4"/>
            <w:tcBorders>
              <w:top w:val="nil"/>
              <w:left w:val="single" w:color="auto" w:sz="8" w:space="0"/>
              <w:bottom w:val="single" w:color="auto" w:sz="8" w:space="0"/>
              <w:right w:val="nil"/>
            </w:tcBorders>
            <w:noWrap w:val="0"/>
            <w:tcMar>
              <w:top w:w="0" w:type="dxa"/>
              <w:left w:w="108" w:type="dxa"/>
              <w:bottom w:w="0" w:type="dxa"/>
              <w:right w:w="108" w:type="dxa"/>
            </w:tcMar>
            <w:vAlign w:val="center"/>
          </w:tcPr>
          <w:p w14:paraId="07CD251E">
            <w:pPr>
              <w:keepNext w:val="0"/>
              <w:keepLines w:val="0"/>
              <w:pageBreakBefore w:val="0"/>
              <w:widowControl/>
              <w:kinsoku/>
              <w:wordWrap/>
              <w:overflowPunct/>
              <w:topLinePunct w:val="0"/>
              <w:autoSpaceDE/>
              <w:autoSpaceDN/>
              <w:bidi w:val="0"/>
              <w:adjustRightInd/>
              <w:spacing w:before="100" w:beforeAutospacing="1" w:after="100" w:afterAutospacing="1" w:line="400" w:lineRule="exact"/>
              <w:ind w:firstLine="74"/>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 xml:space="preserve">中标或者成交供应商负责人签字或盖章：      </w:t>
            </w:r>
          </w:p>
          <w:p w14:paraId="4AD0505F">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联系电话： 年 月 日</w:t>
            </w:r>
          </w:p>
        </w:tc>
        <w:tc>
          <w:tcPr>
            <w:tcW w:w="5219" w:type="dxa"/>
            <w:gridSpan w:val="4"/>
            <w:tcBorders>
              <w:top w:val="nil"/>
              <w:left w:val="nil"/>
              <w:bottom w:val="single" w:color="auto" w:sz="8" w:space="0"/>
              <w:right w:val="single" w:color="auto" w:sz="8" w:space="0"/>
            </w:tcBorders>
            <w:noWrap w:val="0"/>
            <w:vAlign w:val="center"/>
          </w:tcPr>
          <w:p w14:paraId="162A92FC">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采购人或受托机构的意见（盖章）：</w:t>
            </w:r>
          </w:p>
          <w:p w14:paraId="6EA6506C">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联系电话： 年 月 日</w:t>
            </w:r>
          </w:p>
        </w:tc>
      </w:tr>
    </w:tbl>
    <w:p w14:paraId="2B1382D7">
      <w:pPr>
        <w:pStyle w:val="22"/>
        <w:snapToGrid w:val="0"/>
        <w:spacing w:before="120" w:after="120"/>
        <w:rPr>
          <w:rFonts w:hint="eastAsia" w:hAnsi="宋体" w:cs="宋体"/>
          <w:color w:val="auto"/>
          <w:highlight w:val="none"/>
        </w:rPr>
      </w:pPr>
    </w:p>
    <w:p w14:paraId="465BD7BA">
      <w:pPr>
        <w:spacing w:line="360" w:lineRule="auto"/>
        <w:jc w:val="left"/>
        <w:rPr>
          <w:rFonts w:hint="eastAsia" w:ascii="宋体" w:hAnsi="宋体" w:cs="宋体"/>
          <w:color w:val="auto"/>
          <w:sz w:val="18"/>
          <w:szCs w:val="18"/>
          <w:highlight w:val="none"/>
        </w:rPr>
      </w:pPr>
      <w:r>
        <w:rPr>
          <w:rFonts w:hint="eastAsia" w:ascii="宋体" w:hAnsi="宋体" w:cs="宋体"/>
          <w:color w:val="auto"/>
          <w:highlight w:val="none"/>
        </w:rPr>
        <w:br w:type="page"/>
      </w:r>
      <w:r>
        <w:rPr>
          <w:rFonts w:hint="eastAsia" w:ascii="宋体" w:hAnsi="宋体" w:cs="宋体"/>
          <w:b/>
          <w:bCs/>
          <w:color w:val="auto"/>
          <w:sz w:val="28"/>
          <w:szCs w:val="36"/>
          <w:highlight w:val="none"/>
        </w:rPr>
        <w:t>附件2：</w:t>
      </w:r>
    </w:p>
    <w:p w14:paraId="6B6561CD">
      <w:pPr>
        <w:widowControl/>
        <w:shd w:val="clear" w:color="auto" w:fill="FFFFFF"/>
        <w:spacing w:line="360" w:lineRule="auto"/>
        <w:jc w:val="center"/>
        <w:rPr>
          <w:rFonts w:hint="eastAsia" w:ascii="宋体" w:hAnsi="宋体" w:cs="宋体"/>
          <w:color w:val="auto"/>
          <w:kern w:val="0"/>
          <w:sz w:val="44"/>
          <w:szCs w:val="44"/>
          <w:highlight w:val="none"/>
        </w:rPr>
      </w:pPr>
      <w:r>
        <w:rPr>
          <w:rFonts w:hint="eastAsia" w:ascii="宋体" w:hAnsi="宋体" w:cs="宋体"/>
          <w:color w:val="auto"/>
          <w:kern w:val="0"/>
          <w:sz w:val="44"/>
          <w:szCs w:val="44"/>
          <w:highlight w:val="none"/>
        </w:rPr>
        <w:t>政府采购项目履约保证金退付意见书（参考）</w:t>
      </w:r>
    </w:p>
    <w:tbl>
      <w:tblPr>
        <w:tblStyle w:val="40"/>
        <w:tblW w:w="861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7610"/>
      </w:tblGrid>
      <w:tr w14:paraId="7C488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008" w:type="dxa"/>
            <w:vMerge w:val="restart"/>
            <w:noWrap w:val="0"/>
            <w:vAlign w:val="center"/>
          </w:tcPr>
          <w:p w14:paraId="4792CB8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供</w:t>
            </w:r>
          </w:p>
          <w:p w14:paraId="796491E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应</w:t>
            </w:r>
          </w:p>
          <w:p w14:paraId="07D966D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商</w:t>
            </w:r>
          </w:p>
          <w:p w14:paraId="4902F60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申</w:t>
            </w:r>
          </w:p>
          <w:p w14:paraId="6C5F3EF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请</w:t>
            </w:r>
          </w:p>
        </w:tc>
        <w:tc>
          <w:tcPr>
            <w:tcW w:w="7610" w:type="dxa"/>
            <w:noWrap w:val="0"/>
            <w:vAlign w:val="center"/>
          </w:tcPr>
          <w:p w14:paraId="03CD6A8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项目编号：</w:t>
            </w:r>
          </w:p>
        </w:tc>
      </w:tr>
      <w:tr w14:paraId="2FAE3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008" w:type="dxa"/>
            <w:vMerge w:val="continue"/>
            <w:noWrap w:val="0"/>
            <w:vAlign w:val="center"/>
          </w:tcPr>
          <w:p w14:paraId="1B70531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tc>
        <w:tc>
          <w:tcPr>
            <w:tcW w:w="7610" w:type="dxa"/>
            <w:noWrap w:val="0"/>
            <w:vAlign w:val="center"/>
          </w:tcPr>
          <w:p w14:paraId="0CDFFF6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项目名称：</w:t>
            </w:r>
          </w:p>
        </w:tc>
      </w:tr>
      <w:tr w14:paraId="10F20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08" w:type="dxa"/>
            <w:vMerge w:val="continue"/>
            <w:noWrap w:val="0"/>
            <w:vAlign w:val="top"/>
          </w:tcPr>
          <w:p w14:paraId="008F655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tc>
        <w:tc>
          <w:tcPr>
            <w:tcW w:w="7610" w:type="dxa"/>
            <w:noWrap w:val="0"/>
            <w:vAlign w:val="top"/>
          </w:tcPr>
          <w:p w14:paraId="47BF483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03A0956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该项目已于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日验收并交付使用。根据合同规定，该项目的履约保证金期限于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日已满，请将履约保证金</w:t>
            </w:r>
          </w:p>
          <w:p w14:paraId="5D7F02F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（小写）退付到达以下账户。</w:t>
            </w:r>
          </w:p>
          <w:p w14:paraId="0D90B26C">
            <w:pPr>
              <w:keepNext w:val="0"/>
              <w:keepLines w:val="0"/>
              <w:pageBreakBefore w:val="0"/>
              <w:widowControl w:val="0"/>
              <w:kinsoku/>
              <w:wordWrap/>
              <w:overflowPunct/>
              <w:topLinePunct w:val="0"/>
              <w:autoSpaceDE/>
              <w:autoSpaceDN/>
              <w:bidi w:val="0"/>
              <w:adjustRightInd/>
              <w:snapToGrid/>
              <w:spacing w:line="400" w:lineRule="exact"/>
              <w:ind w:firstLine="705"/>
              <w:textAlignment w:val="auto"/>
              <w:rPr>
                <w:rFonts w:hint="eastAsia" w:ascii="宋体" w:hAnsi="宋体" w:cs="宋体"/>
                <w:color w:val="auto"/>
                <w:sz w:val="24"/>
                <w:highlight w:val="none"/>
              </w:rPr>
            </w:pPr>
            <w:r>
              <w:rPr>
                <w:rFonts w:hint="eastAsia" w:ascii="宋体" w:hAnsi="宋体" w:cs="宋体"/>
                <w:color w:val="auto"/>
                <w:sz w:val="24"/>
                <w:highlight w:val="none"/>
              </w:rPr>
              <w:t>单位名称：</w:t>
            </w:r>
          </w:p>
          <w:p w14:paraId="0FD7C6F2">
            <w:pPr>
              <w:keepNext w:val="0"/>
              <w:keepLines w:val="0"/>
              <w:pageBreakBefore w:val="0"/>
              <w:widowControl w:val="0"/>
              <w:kinsoku/>
              <w:wordWrap/>
              <w:overflowPunct/>
              <w:topLinePunct w:val="0"/>
              <w:autoSpaceDE/>
              <w:autoSpaceDN/>
              <w:bidi w:val="0"/>
              <w:adjustRightInd/>
              <w:snapToGrid/>
              <w:spacing w:line="400" w:lineRule="exact"/>
              <w:ind w:firstLine="705"/>
              <w:textAlignment w:val="auto"/>
              <w:rPr>
                <w:rFonts w:hint="eastAsia" w:ascii="宋体" w:hAnsi="宋体" w:cs="宋体"/>
                <w:color w:val="auto"/>
                <w:sz w:val="24"/>
                <w:highlight w:val="none"/>
              </w:rPr>
            </w:pPr>
            <w:r>
              <w:rPr>
                <w:rFonts w:hint="eastAsia" w:ascii="宋体" w:hAnsi="宋体" w:cs="宋体"/>
                <w:color w:val="auto"/>
                <w:sz w:val="24"/>
                <w:highlight w:val="none"/>
              </w:rPr>
              <w:t>开户银行：</w:t>
            </w:r>
          </w:p>
          <w:p w14:paraId="41FECE69">
            <w:pPr>
              <w:keepNext w:val="0"/>
              <w:keepLines w:val="0"/>
              <w:pageBreakBefore w:val="0"/>
              <w:widowControl w:val="0"/>
              <w:kinsoku/>
              <w:wordWrap/>
              <w:overflowPunct/>
              <w:topLinePunct w:val="0"/>
              <w:autoSpaceDE/>
              <w:autoSpaceDN/>
              <w:bidi w:val="0"/>
              <w:adjustRightInd/>
              <w:snapToGrid/>
              <w:spacing w:line="400" w:lineRule="exact"/>
              <w:ind w:firstLine="705"/>
              <w:textAlignment w:val="auto"/>
              <w:rPr>
                <w:rFonts w:hint="eastAsia" w:ascii="宋体" w:hAnsi="宋体" w:cs="宋体"/>
                <w:color w:val="auto"/>
                <w:sz w:val="24"/>
                <w:highlight w:val="none"/>
              </w:rPr>
            </w:pPr>
            <w:r>
              <w:rPr>
                <w:rFonts w:hint="eastAsia" w:ascii="宋体" w:hAnsi="宋体" w:cs="宋体"/>
                <w:color w:val="auto"/>
                <w:sz w:val="24"/>
                <w:highlight w:val="none"/>
              </w:rPr>
              <w:t>账   号：</w:t>
            </w:r>
          </w:p>
          <w:p w14:paraId="14DA30B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联系人及电话：</w:t>
            </w:r>
          </w:p>
          <w:p w14:paraId="57DA20D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p w14:paraId="2A53F9C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         投标人签章：</w:t>
            </w:r>
          </w:p>
          <w:p w14:paraId="2D11FEB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tc>
      </w:tr>
      <w:tr w14:paraId="316D7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6" w:hRule="atLeast"/>
        </w:trPr>
        <w:tc>
          <w:tcPr>
            <w:tcW w:w="1008" w:type="dxa"/>
            <w:noWrap w:val="0"/>
            <w:vAlign w:val="center"/>
          </w:tcPr>
          <w:p w14:paraId="1FDDABD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采</w:t>
            </w:r>
          </w:p>
          <w:p w14:paraId="56F87D8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购</w:t>
            </w:r>
          </w:p>
          <w:p w14:paraId="7DB06E6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人</w:t>
            </w:r>
          </w:p>
          <w:p w14:paraId="1B63532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意</w:t>
            </w:r>
          </w:p>
          <w:p w14:paraId="6375BC3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见</w:t>
            </w:r>
          </w:p>
        </w:tc>
        <w:tc>
          <w:tcPr>
            <w:tcW w:w="7610" w:type="dxa"/>
            <w:noWrap w:val="0"/>
            <w:vAlign w:val="top"/>
          </w:tcPr>
          <w:p w14:paraId="3133E39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p w14:paraId="6DB4C7B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退付意见：（是否同意退付履约保证金及退付金额）</w:t>
            </w:r>
          </w:p>
          <w:p w14:paraId="01BEF0E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p w14:paraId="6751914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p w14:paraId="73AD221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p w14:paraId="398D8F1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p w14:paraId="308398C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联系人及电话：                         采购人签章</w:t>
            </w:r>
          </w:p>
          <w:p w14:paraId="2CD2146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tc>
      </w:tr>
      <w:tr w14:paraId="6C66A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1008" w:type="dxa"/>
            <w:noWrap w:val="0"/>
            <w:vAlign w:val="center"/>
          </w:tcPr>
          <w:p w14:paraId="7648ED8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备注</w:t>
            </w:r>
          </w:p>
        </w:tc>
        <w:tc>
          <w:tcPr>
            <w:tcW w:w="7610" w:type="dxa"/>
            <w:noWrap w:val="0"/>
            <w:vAlign w:val="top"/>
          </w:tcPr>
          <w:p w14:paraId="2DBA0B9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tc>
      </w:tr>
    </w:tbl>
    <w:p w14:paraId="1BBF93AC">
      <w:pPr>
        <w:pStyle w:val="13"/>
        <w:keepNext w:val="0"/>
        <w:keepLines w:val="0"/>
        <w:pageBreakBefore w:val="0"/>
        <w:widowControl w:val="0"/>
        <w:kinsoku/>
        <w:wordWrap/>
        <w:overflowPunct/>
        <w:topLinePunct w:val="0"/>
        <w:autoSpaceDE/>
        <w:autoSpaceDN/>
        <w:bidi w:val="0"/>
        <w:adjustRightInd/>
        <w:snapToGrid/>
        <w:spacing w:line="400" w:lineRule="exact"/>
        <w:ind w:left="450" w:leftChars="114" w:hanging="211" w:hangingChars="100"/>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注：投标人凭经采购人审批的退付意见书到保证金收取单位办理履约保证金退付事宜。</w:t>
      </w:r>
    </w:p>
    <w:p w14:paraId="08134522">
      <w:pPr>
        <w:pStyle w:val="22"/>
        <w:snapToGrid w:val="0"/>
        <w:spacing w:before="120" w:after="120"/>
        <w:rPr>
          <w:rFonts w:hint="eastAsia" w:hAnsi="宋体" w:cs="宋体"/>
          <w:color w:val="auto"/>
          <w:highlight w:val="none"/>
        </w:rPr>
      </w:pPr>
    </w:p>
    <w:p w14:paraId="776B30D1">
      <w:pPr>
        <w:pStyle w:val="2"/>
        <w:spacing w:before="0" w:after="0" w:line="360" w:lineRule="auto"/>
        <w:jc w:val="center"/>
        <w:rPr>
          <w:rFonts w:hint="eastAsia" w:ascii="宋体" w:hAnsi="宋体" w:cs="宋体"/>
          <w:color w:val="auto"/>
          <w:highlight w:val="none"/>
        </w:rPr>
      </w:pPr>
      <w:bookmarkStart w:id="163" w:name="_Toc15433"/>
      <w:bookmarkStart w:id="164" w:name="_Toc27431"/>
      <w:bookmarkStart w:id="165" w:name="_Toc254970548"/>
      <w:bookmarkStart w:id="166" w:name="_Toc2178"/>
      <w:bookmarkStart w:id="167" w:name="_Toc330456896"/>
      <w:bookmarkStart w:id="168" w:name="_Toc254970689"/>
      <w:r>
        <w:rPr>
          <w:rFonts w:hint="eastAsia" w:ascii="宋体" w:hAnsi="宋体" w:cs="宋体"/>
          <w:color w:val="auto"/>
          <w:highlight w:val="none"/>
        </w:rPr>
        <w:t>第四章  评标方法及评标标准</w:t>
      </w:r>
      <w:bookmarkEnd w:id="163"/>
      <w:bookmarkEnd w:id="164"/>
      <w:bookmarkEnd w:id="165"/>
      <w:bookmarkEnd w:id="166"/>
      <w:bookmarkEnd w:id="167"/>
      <w:bookmarkEnd w:id="168"/>
    </w:p>
    <w:p w14:paraId="40B2886B">
      <w:pPr>
        <w:pStyle w:val="3"/>
        <w:pageBreakBefore w:val="0"/>
        <w:kinsoku/>
        <w:wordWrap/>
        <w:overflowPunct/>
        <w:topLinePunct w:val="0"/>
        <w:autoSpaceDE/>
        <w:autoSpaceDN/>
        <w:bidi w:val="0"/>
        <w:spacing w:before="0" w:after="0" w:line="400" w:lineRule="exact"/>
        <w:jc w:val="center"/>
        <w:textAlignment w:val="auto"/>
        <w:rPr>
          <w:rFonts w:hint="eastAsia" w:ascii="宋体" w:hAnsi="宋体" w:eastAsia="宋体" w:cs="宋体"/>
          <w:color w:val="auto"/>
          <w:highlight w:val="none"/>
        </w:rPr>
      </w:pPr>
      <w:bookmarkStart w:id="169" w:name="_Toc22273"/>
      <w:bookmarkStart w:id="170" w:name="_Toc23781"/>
      <w:r>
        <w:rPr>
          <w:rFonts w:hint="eastAsia" w:ascii="宋体" w:hAnsi="宋体" w:eastAsia="宋体" w:cs="宋体"/>
          <w:color w:val="auto"/>
          <w:highlight w:val="none"/>
        </w:rPr>
        <w:t>一、评标方法</w:t>
      </w:r>
      <w:bookmarkEnd w:id="169"/>
      <w:bookmarkEnd w:id="170"/>
    </w:p>
    <w:p w14:paraId="334D762C">
      <w:pPr>
        <w:pStyle w:val="22"/>
        <w:pageBreakBefore w:val="0"/>
        <w:kinsoku/>
        <w:wordWrap/>
        <w:overflowPunct/>
        <w:topLinePunct w:val="0"/>
        <w:autoSpaceDE/>
        <w:autoSpaceDN/>
        <w:bidi w:val="0"/>
        <w:spacing w:line="400" w:lineRule="exact"/>
        <w:ind w:firstLine="420"/>
        <w:textAlignment w:val="auto"/>
        <w:rPr>
          <w:rFonts w:hint="eastAsia" w:hAnsi="宋体" w:cs="宋体"/>
          <w:color w:val="auto"/>
          <w:highlight w:val="none"/>
        </w:rPr>
      </w:pPr>
      <w:r>
        <w:rPr>
          <w:rFonts w:hint="eastAsia" w:hAnsi="宋体" w:cs="宋体"/>
          <w:color w:val="auto"/>
          <w:highlight w:val="none"/>
        </w:rPr>
        <w:t>综合评分法，是指投标文件满足招标文件全部实质性要求，且按照评审因素的量化指标评审得分最高的投标人为中标候选人的评标方法。</w:t>
      </w:r>
    </w:p>
    <w:p w14:paraId="649FDC23">
      <w:pPr>
        <w:pStyle w:val="3"/>
        <w:pageBreakBefore w:val="0"/>
        <w:kinsoku/>
        <w:wordWrap/>
        <w:overflowPunct/>
        <w:topLinePunct w:val="0"/>
        <w:autoSpaceDE/>
        <w:autoSpaceDN/>
        <w:bidi w:val="0"/>
        <w:spacing w:before="0" w:after="0" w:line="400" w:lineRule="exact"/>
        <w:jc w:val="center"/>
        <w:textAlignment w:val="auto"/>
        <w:rPr>
          <w:rFonts w:hint="eastAsia" w:ascii="宋体" w:hAnsi="宋体" w:eastAsia="宋体" w:cs="宋体"/>
          <w:color w:val="auto"/>
          <w:highlight w:val="none"/>
        </w:rPr>
      </w:pPr>
      <w:bookmarkStart w:id="171" w:name="_Toc3353"/>
      <w:bookmarkStart w:id="172" w:name="_Toc29445"/>
      <w:r>
        <w:rPr>
          <w:rFonts w:hint="eastAsia" w:ascii="宋体" w:hAnsi="宋体" w:eastAsia="宋体" w:cs="宋体"/>
          <w:color w:val="auto"/>
          <w:highlight w:val="none"/>
        </w:rPr>
        <w:t>二、评标程序</w:t>
      </w:r>
      <w:bookmarkEnd w:id="171"/>
      <w:bookmarkEnd w:id="172"/>
    </w:p>
    <w:p w14:paraId="00974253">
      <w:pPr>
        <w:pStyle w:val="22"/>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1.符合性审查</w:t>
      </w:r>
    </w:p>
    <w:p w14:paraId="1FB4AFED">
      <w:pPr>
        <w:pStyle w:val="22"/>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评标委员会应当对符合资格的投标人的投标文件进行投标报价、商务、技术等实质性内容符合性审查，以确定其是否满足招标文件的实质性要求。</w:t>
      </w:r>
    </w:p>
    <w:p w14:paraId="031E57A9">
      <w:pPr>
        <w:pStyle w:val="22"/>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2.符合性审查不通过而导致投标无效的情形</w:t>
      </w:r>
    </w:p>
    <w:p w14:paraId="46ACB75C">
      <w:pPr>
        <w:pageBreakBefore w:val="0"/>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投标人的投标文件中存在对招标文件的任何实质性要求和条件的负偏离，将被视为投标无效。</w:t>
      </w:r>
    </w:p>
    <w:p w14:paraId="36BC4463">
      <w:pPr>
        <w:pStyle w:val="22"/>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2.1在报价评审时，如发现下列情形之一的，将被视为投标无效：</w:t>
      </w:r>
    </w:p>
    <w:p w14:paraId="4D886E7D">
      <w:pPr>
        <w:pStyle w:val="9"/>
        <w:pageBreakBefore w:val="0"/>
        <w:numPr>
          <w:ilvl w:val="0"/>
          <w:numId w:val="1"/>
        </w:numPr>
        <w:kinsoku/>
        <w:wordWrap/>
        <w:overflowPunct/>
        <w:topLinePunct w:val="0"/>
        <w:autoSpaceDE/>
        <w:autoSpaceDN/>
        <w:bidi w:val="0"/>
        <w:spacing w:line="400" w:lineRule="exact"/>
        <w:ind w:firstLine="398" w:firstLineChars="200"/>
        <w:textAlignment w:val="auto"/>
        <w:rPr>
          <w:rFonts w:hint="eastAsia" w:ascii="宋体" w:hAnsi="宋体" w:cs="宋体"/>
          <w:b/>
          <w:color w:val="auto"/>
          <w:spacing w:val="-6"/>
          <w:szCs w:val="21"/>
          <w:highlight w:val="none"/>
        </w:rPr>
      </w:pPr>
      <w:r>
        <w:rPr>
          <w:rFonts w:hint="eastAsia" w:ascii="宋体" w:hAnsi="宋体" w:cs="宋体"/>
          <w:b/>
          <w:color w:val="auto"/>
          <w:spacing w:val="-6"/>
          <w:szCs w:val="21"/>
          <w:highlight w:val="none"/>
        </w:rPr>
        <w:t>报价文件未提供“投标人须知前附表”第13条</w:t>
      </w:r>
      <w:r>
        <w:rPr>
          <w:rFonts w:hint="eastAsia" w:ascii="宋体" w:hAnsi="宋体" w:cs="宋体"/>
          <w:b/>
          <w:color w:val="auto"/>
          <w:szCs w:val="21"/>
          <w:highlight w:val="none"/>
        </w:rPr>
        <w:t>“报价文件”</w:t>
      </w:r>
      <w:r>
        <w:rPr>
          <w:rFonts w:hint="eastAsia" w:ascii="宋体" w:hAnsi="宋体" w:cs="宋体"/>
          <w:b/>
          <w:color w:val="auto"/>
          <w:spacing w:val="-6"/>
          <w:szCs w:val="21"/>
          <w:highlight w:val="none"/>
        </w:rPr>
        <w:t>规定中“必须提供”的文件资料的；</w:t>
      </w:r>
    </w:p>
    <w:p w14:paraId="35ED8467">
      <w:pPr>
        <w:pStyle w:val="9"/>
        <w:pageBreakBefore w:val="0"/>
        <w:numPr>
          <w:ilvl w:val="0"/>
          <w:numId w:val="1"/>
        </w:numPr>
        <w:kinsoku/>
        <w:wordWrap/>
        <w:overflowPunct/>
        <w:topLinePunct w:val="0"/>
        <w:autoSpaceDE/>
        <w:autoSpaceDN/>
        <w:bidi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未采用人民币报价或者未按照招标文件标明的币种报价的；</w:t>
      </w:r>
    </w:p>
    <w:p w14:paraId="49F70FA3">
      <w:pPr>
        <w:pStyle w:val="9"/>
        <w:pageBreakBefore w:val="0"/>
        <w:numPr>
          <w:ilvl w:val="0"/>
          <w:numId w:val="1"/>
        </w:numPr>
        <w:kinsoku/>
        <w:wordWrap/>
        <w:overflowPunct/>
        <w:topLinePunct w:val="0"/>
        <w:autoSpaceDE/>
        <w:autoSpaceDN/>
        <w:bidi w:val="0"/>
        <w:spacing w:line="400" w:lineRule="exact"/>
        <w:ind w:firstLine="422"/>
        <w:textAlignment w:val="auto"/>
        <w:rPr>
          <w:rFonts w:hint="eastAsia" w:ascii="宋体" w:hAnsi="宋体" w:cs="宋体"/>
          <w:b/>
          <w:color w:val="auto"/>
          <w:spacing w:val="-6"/>
          <w:szCs w:val="21"/>
          <w:highlight w:val="none"/>
        </w:rPr>
      </w:pPr>
      <w:r>
        <w:rPr>
          <w:rFonts w:hint="eastAsia" w:ascii="宋体" w:hAnsi="宋体" w:cs="宋体"/>
          <w:b/>
          <w:color w:val="auto"/>
          <w:spacing w:val="-6"/>
          <w:szCs w:val="21"/>
          <w:highlight w:val="none"/>
        </w:rPr>
        <w:t>各分标报价超出招标文件相应分标规定最高限价，或者超出相应分标采购预算金额的；</w:t>
      </w:r>
    </w:p>
    <w:p w14:paraId="4EED864A">
      <w:pPr>
        <w:pStyle w:val="9"/>
        <w:pageBreakBefore w:val="0"/>
        <w:numPr>
          <w:ilvl w:val="0"/>
          <w:numId w:val="1"/>
        </w:numPr>
        <w:kinsoku/>
        <w:wordWrap/>
        <w:overflowPunct/>
        <w:topLinePunct w:val="0"/>
        <w:autoSpaceDE/>
        <w:autoSpaceDN/>
        <w:bidi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14:paraId="02F6101D">
      <w:pPr>
        <w:pStyle w:val="9"/>
        <w:pageBreakBefore w:val="0"/>
        <w:numPr>
          <w:ilvl w:val="0"/>
          <w:numId w:val="1"/>
        </w:numPr>
        <w:kinsoku/>
        <w:wordWrap/>
        <w:overflowPunct/>
        <w:topLinePunct w:val="0"/>
        <w:autoSpaceDE/>
        <w:autoSpaceDN/>
        <w:bidi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修正后的报价，投标人不确认的；</w:t>
      </w:r>
    </w:p>
    <w:p w14:paraId="120902FD">
      <w:pPr>
        <w:pStyle w:val="9"/>
        <w:pageBreakBefore w:val="0"/>
        <w:numPr>
          <w:ilvl w:val="0"/>
          <w:numId w:val="1"/>
        </w:numPr>
        <w:kinsoku/>
        <w:wordWrap/>
        <w:overflowPunct/>
        <w:topLinePunct w:val="0"/>
        <w:autoSpaceDE/>
        <w:autoSpaceDN/>
        <w:bidi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投标人属于本章第5.1条（2）项情形的。</w:t>
      </w:r>
    </w:p>
    <w:p w14:paraId="29F465C9">
      <w:pPr>
        <w:pStyle w:val="9"/>
        <w:pageBreakBefore w:val="0"/>
        <w:numPr>
          <w:ilvl w:val="0"/>
          <w:numId w:val="1"/>
        </w:numPr>
        <w:kinsoku/>
        <w:wordWrap/>
        <w:overflowPunct/>
        <w:topLinePunct w:val="0"/>
        <w:autoSpaceDE/>
        <w:autoSpaceDN/>
        <w:bidi w:val="0"/>
        <w:spacing w:line="400" w:lineRule="exact"/>
        <w:ind w:firstLine="398" w:firstLineChars="200"/>
        <w:textAlignment w:val="auto"/>
        <w:rPr>
          <w:rFonts w:hint="eastAsia" w:ascii="宋体" w:hAnsi="宋体" w:cs="宋体"/>
          <w:b/>
          <w:color w:val="auto"/>
          <w:szCs w:val="21"/>
          <w:highlight w:val="none"/>
        </w:rPr>
      </w:pPr>
      <w:r>
        <w:rPr>
          <w:rFonts w:hint="eastAsia" w:ascii="宋体" w:hAnsi="宋体" w:cs="宋体"/>
          <w:b/>
          <w:color w:val="auto"/>
          <w:spacing w:val="-6"/>
          <w:szCs w:val="21"/>
          <w:highlight w:val="none"/>
        </w:rPr>
        <w:t>报价文件</w:t>
      </w:r>
      <w:r>
        <w:rPr>
          <w:rFonts w:hint="eastAsia" w:ascii="宋体" w:hAnsi="宋体" w:cs="宋体"/>
          <w:b/>
          <w:color w:val="auto"/>
          <w:szCs w:val="21"/>
          <w:highlight w:val="none"/>
        </w:rPr>
        <w:t>响应的标的数量及单位与招标文件要求实质性不一致的。</w:t>
      </w:r>
    </w:p>
    <w:p w14:paraId="12D3B14A">
      <w:pPr>
        <w:pStyle w:val="22"/>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2.2在商务评审时，如发现下列情形之一的，将被视为投标无效：</w:t>
      </w:r>
    </w:p>
    <w:p w14:paraId="4D43CF51">
      <w:pPr>
        <w:pageBreakBefore w:val="0"/>
        <w:numPr>
          <w:ilvl w:val="0"/>
          <w:numId w:val="2"/>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投标文件未按招标文件要求签署、盖章的；</w:t>
      </w:r>
    </w:p>
    <w:p w14:paraId="1B648CC3">
      <w:pPr>
        <w:pageBreakBefore w:val="0"/>
        <w:numPr>
          <w:ilvl w:val="0"/>
          <w:numId w:val="2"/>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 xml:space="preserve">委托代理人未能出具有效身份证或者出具的身份证与授权委托书中的信息不符的； </w:t>
      </w:r>
    </w:p>
    <w:p w14:paraId="069900F7">
      <w:pPr>
        <w:pageBreakBefore w:val="0"/>
        <w:numPr>
          <w:ilvl w:val="0"/>
          <w:numId w:val="2"/>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为无效投标保证金的或者未按照招标文件的规定提交投标保证金的；</w:t>
      </w:r>
    </w:p>
    <w:p w14:paraId="5BB0511C">
      <w:pPr>
        <w:pageBreakBefore w:val="0"/>
        <w:numPr>
          <w:ilvl w:val="0"/>
          <w:numId w:val="2"/>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投标文件未提供“投标人须知前附表”第13.1条规定中“必须提供”或者“委托时必须提供”的文件资料的；</w:t>
      </w:r>
    </w:p>
    <w:p w14:paraId="5F0F5135">
      <w:pPr>
        <w:pageBreakBefore w:val="0"/>
        <w:numPr>
          <w:ilvl w:val="0"/>
          <w:numId w:val="2"/>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商务要求评审允许负偏离的条款数超过“投标人须知前附表”规定项数的；</w:t>
      </w:r>
    </w:p>
    <w:p w14:paraId="3CDD2B71">
      <w:pPr>
        <w:pageBreakBefore w:val="0"/>
        <w:numPr>
          <w:ilvl w:val="0"/>
          <w:numId w:val="2"/>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投标文件的实质性内容未使用中文表述、使用计量单位不符合招标文件要求的；</w:t>
      </w:r>
    </w:p>
    <w:p w14:paraId="377A43BD">
      <w:pPr>
        <w:pageBreakBefore w:val="0"/>
        <w:numPr>
          <w:ilvl w:val="0"/>
          <w:numId w:val="2"/>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投标文件中的文件资料因填写不齐全或者内容虚假或者出现其他情形而导致被评标委员会认定无效的；</w:t>
      </w:r>
    </w:p>
    <w:p w14:paraId="50ED9700">
      <w:pPr>
        <w:pageBreakBefore w:val="0"/>
        <w:numPr>
          <w:ilvl w:val="0"/>
          <w:numId w:val="2"/>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投标文件含有采购人不能接受的附加条件的；</w:t>
      </w:r>
    </w:p>
    <w:p w14:paraId="51F12A90">
      <w:pPr>
        <w:pageBreakBefore w:val="0"/>
        <w:numPr>
          <w:ilvl w:val="0"/>
          <w:numId w:val="2"/>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属于投标人须知正文第9.2条情形的；</w:t>
      </w:r>
    </w:p>
    <w:p w14:paraId="5DF9F0AC">
      <w:pPr>
        <w:pageBreakBefore w:val="0"/>
        <w:numPr>
          <w:ilvl w:val="0"/>
          <w:numId w:val="2"/>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投标文件标注的项目名称或者项目编号与招标文件标注的项目名称或者项目编号不一致的；</w:t>
      </w:r>
    </w:p>
    <w:p w14:paraId="20E3B228">
      <w:pPr>
        <w:pageBreakBefore w:val="0"/>
        <w:numPr>
          <w:ilvl w:val="0"/>
          <w:numId w:val="2"/>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招标文件明确不允许分包，投标文件拟分包的；</w:t>
      </w:r>
    </w:p>
    <w:p w14:paraId="55B9C739">
      <w:pPr>
        <w:pageBreakBefore w:val="0"/>
        <w:numPr>
          <w:ilvl w:val="0"/>
          <w:numId w:val="2"/>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未响应招标文件实质性要求的；</w:t>
      </w:r>
    </w:p>
    <w:p w14:paraId="573C2DF9">
      <w:pPr>
        <w:pageBreakBefore w:val="0"/>
        <w:numPr>
          <w:ilvl w:val="0"/>
          <w:numId w:val="2"/>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法律、法规和招标文件规定的其他无效情形。</w:t>
      </w:r>
    </w:p>
    <w:p w14:paraId="7EB1232F">
      <w:pPr>
        <w:pageBreakBefore w:val="0"/>
        <w:kinsoku/>
        <w:wordWrap/>
        <w:overflowPunct/>
        <w:topLinePunct w:val="0"/>
        <w:autoSpaceDE/>
        <w:autoSpaceDN/>
        <w:bidi w:val="0"/>
        <w:spacing w:line="4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2.3在技术评审时，如发现下列情形之一的，将被视为投标无效：</w:t>
      </w:r>
    </w:p>
    <w:p w14:paraId="7CC226FD">
      <w:pPr>
        <w:pStyle w:val="11"/>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（1）技术要求评审允许负偏离的条款数超过“投标人须知前附表”规定项数的；</w:t>
      </w:r>
    </w:p>
    <w:p w14:paraId="3FFFF5FD">
      <w:pPr>
        <w:pStyle w:val="11"/>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（2）投标文件未提供“投标人须知前附表”第13.1条规定中“必须提供”的文件资料的；</w:t>
      </w:r>
    </w:p>
    <w:p w14:paraId="04560B01">
      <w:pPr>
        <w:pStyle w:val="11"/>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（3）虚假投标，或者出现其他情形而导致被评标委员会认定无效的；</w:t>
      </w:r>
    </w:p>
    <w:p w14:paraId="76361E18">
      <w:pPr>
        <w:pStyle w:val="11"/>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（4）</w:t>
      </w:r>
      <w:bookmarkStart w:id="173" w:name="_Hlk71706244"/>
      <w:r>
        <w:rPr>
          <w:rFonts w:hint="eastAsia" w:hAnsi="宋体" w:cs="宋体"/>
          <w:b/>
          <w:color w:val="auto"/>
          <w:sz w:val="21"/>
          <w:szCs w:val="21"/>
          <w:highlight w:val="none"/>
        </w:rPr>
        <w:t>招标文件未载明允许提供备选（替代）投标方案或明确不允许提供备选（替代）投标方案时，投标人提供了备选（替代）投标方案的；</w:t>
      </w:r>
      <w:bookmarkEnd w:id="173"/>
    </w:p>
    <w:p w14:paraId="0FE94871">
      <w:pPr>
        <w:pStyle w:val="11"/>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color w:val="auto"/>
          <w:highlight w:val="none"/>
        </w:rPr>
      </w:pPr>
      <w:r>
        <w:rPr>
          <w:rFonts w:hint="eastAsia" w:hAnsi="宋体" w:cs="宋体"/>
          <w:b/>
          <w:color w:val="auto"/>
          <w:sz w:val="21"/>
          <w:szCs w:val="21"/>
          <w:highlight w:val="none"/>
        </w:rPr>
        <w:t>（5）未响应招标文件实质性要求的。</w:t>
      </w:r>
    </w:p>
    <w:p w14:paraId="0E12D4CD">
      <w:pPr>
        <w:pStyle w:val="11"/>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2.4其他投标无效的情形：</w:t>
      </w:r>
    </w:p>
    <w:p w14:paraId="06A1617A">
      <w:pPr>
        <w:pStyle w:val="11"/>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（1）投标文件未按招标文件要求签署或CA电子签章的；</w:t>
      </w:r>
    </w:p>
    <w:p w14:paraId="7A3B5978">
      <w:pPr>
        <w:pStyle w:val="11"/>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（2）投标人提交两份或两份以上内容不同的投标文件；</w:t>
      </w:r>
    </w:p>
    <w:p w14:paraId="59DFCBDE">
      <w:pPr>
        <w:pStyle w:val="11"/>
        <w:pageBreakBefore w:val="0"/>
        <w:kinsoku/>
        <w:wordWrap/>
        <w:overflowPunct/>
        <w:topLinePunct w:val="0"/>
        <w:autoSpaceDE/>
        <w:autoSpaceDN/>
        <w:bidi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（3）投标人在线制作投标文件时填写的报价金额与解密后“电子加密投标文件”中《开标一览表》填写的金额不一致并拒绝按招标文件要求接受调整的；</w:t>
      </w:r>
    </w:p>
    <w:p w14:paraId="5C44BBE3">
      <w:pPr>
        <w:pStyle w:val="11"/>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（4）法律、法规和招标文件规定的其他无效情形（或出现重大偏差）。</w:t>
      </w:r>
    </w:p>
    <w:p w14:paraId="11634D77">
      <w:pPr>
        <w:pStyle w:val="22"/>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3.澄清补正</w:t>
      </w:r>
    </w:p>
    <w:p w14:paraId="75B5848F">
      <w:pPr>
        <w:pageBreakBefore w:val="0"/>
        <w:kinsoku/>
        <w:wordWrap/>
        <w:overflowPunct/>
        <w:topLinePunct w:val="0"/>
        <w:autoSpaceDE/>
        <w:autoSpaceDN/>
        <w:bidi w:val="0"/>
        <w:spacing w:line="400" w:lineRule="exact"/>
        <w:ind w:firstLine="420" w:firstLineChars="200"/>
        <w:textAlignment w:val="auto"/>
        <w:rPr>
          <w:rFonts w:hint="eastAsia" w:ascii="宋体" w:hAnsi="宋体" w:cs="宋体"/>
          <w:b/>
          <w:color w:val="auto"/>
          <w:szCs w:val="21"/>
          <w:highlight w:val="none"/>
        </w:rPr>
      </w:pPr>
      <w:r>
        <w:rPr>
          <w:rFonts w:hint="eastAsia" w:ascii="宋体" w:hAnsi="宋体" w:cs="宋体"/>
          <w:color w:val="auto"/>
          <w:szCs w:val="21"/>
          <w:highlight w:val="none"/>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0F10717B">
      <w:pPr>
        <w:pageBreakBefore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600CBE4F">
      <w:pPr>
        <w:pageBreakBefore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未按评标委员会的要求作出明确澄清、说明或者更正的投标人的投标文件将按照有利于采购人的原则由评标委员会进行判定。</w:t>
      </w:r>
    </w:p>
    <w:p w14:paraId="4BA1DEE6">
      <w:pPr>
        <w:pStyle w:val="22"/>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4.投标文件修正</w:t>
      </w:r>
    </w:p>
    <w:p w14:paraId="34E13124">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4.1投标文件报价出现前后不一致的，按照下列规定修正：</w:t>
      </w:r>
    </w:p>
    <w:p w14:paraId="2596F79E">
      <w:pPr>
        <w:pStyle w:val="22"/>
        <w:pageBreakBefore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（1）投标文件中开标一览表（报价表）内容与投标文件中相应内容不一致的，以开标一览表（报价表）为准；</w:t>
      </w:r>
    </w:p>
    <w:p w14:paraId="68C0EB2B">
      <w:pPr>
        <w:pStyle w:val="22"/>
        <w:pageBreakBefore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（2）大写金额和小写金额不一致的，以大写金额为准；</w:t>
      </w:r>
    </w:p>
    <w:p w14:paraId="5F71BBD1">
      <w:pPr>
        <w:pStyle w:val="22"/>
        <w:pageBreakBefore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（3）单价金额小数点或者百分比有明显错位的，以开标一览表的总价为准，并修改单价；</w:t>
      </w:r>
    </w:p>
    <w:p w14:paraId="4F7CE3B9">
      <w:pPr>
        <w:pStyle w:val="22"/>
        <w:pageBreakBefore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（4）总价金额与按单价汇总金额不一致的，以单价金额计算结果为准。</w:t>
      </w:r>
    </w:p>
    <w:p w14:paraId="1B69EDBB">
      <w:pPr>
        <w:pStyle w:val="22"/>
        <w:pageBreakBefore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同时出现两种以上不一致的，按照以上（1）-（4）规定的顺序修正。修正后的报价经投标人确认后产生约束力，投标人不确认的，</w:t>
      </w:r>
      <w:r>
        <w:rPr>
          <w:rFonts w:hint="eastAsia" w:hAnsi="宋体" w:cs="宋体"/>
          <w:b/>
          <w:color w:val="auto"/>
          <w:highlight w:val="none"/>
        </w:rPr>
        <w:t>其投标无效</w:t>
      </w:r>
      <w:r>
        <w:rPr>
          <w:rFonts w:hint="eastAsia" w:hAnsi="宋体" w:cs="宋体"/>
          <w:color w:val="auto"/>
          <w:highlight w:val="none"/>
        </w:rPr>
        <w:t>。</w:t>
      </w:r>
    </w:p>
    <w:p w14:paraId="059E74AB">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4.2经投标人确认修正后的报价若超过采购预算金额或者最高限价，</w:t>
      </w:r>
      <w:r>
        <w:rPr>
          <w:rFonts w:hint="eastAsia" w:ascii="宋体" w:hAnsi="宋体" w:cs="宋体"/>
          <w:b/>
          <w:color w:val="auto"/>
          <w:szCs w:val="21"/>
          <w:highlight w:val="none"/>
        </w:rPr>
        <w:t>投标人的投标文件作无效投标处理</w:t>
      </w:r>
      <w:r>
        <w:rPr>
          <w:rFonts w:hint="eastAsia" w:ascii="宋体" w:hAnsi="宋体" w:cs="宋体"/>
          <w:color w:val="auto"/>
          <w:szCs w:val="21"/>
          <w:highlight w:val="none"/>
        </w:rPr>
        <w:t>。</w:t>
      </w:r>
    </w:p>
    <w:p w14:paraId="7C92C5F6">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4.3经投标人确认修正后的报价作为签订合同的依据，并以此报价计算价格分。</w:t>
      </w:r>
    </w:p>
    <w:p w14:paraId="7A271506">
      <w:pPr>
        <w:pStyle w:val="22"/>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5.比较与评价</w:t>
      </w:r>
    </w:p>
    <w:p w14:paraId="19992D72">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5.1采用综合评分法的</w:t>
      </w:r>
    </w:p>
    <w:p w14:paraId="30B1179E">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（1）评标委员会按照招标文件中规定的评标方法及评标标准，对符合性审查合格的投标文件进行商务和技术评估，综合比较与评价。</w:t>
      </w:r>
    </w:p>
    <w:p w14:paraId="732C6541">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（2）评标委员会独立对每个投标人的投标文件进行评价，并汇总每个投标人的得分。</w:t>
      </w:r>
    </w:p>
    <w:p w14:paraId="2FB34FA3">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（3）评标委员会按照招标文件中规定的评标方法和标准计算各投标人的报价得分。在计算过程中，不得去掉最高报价或者最低报价。</w:t>
      </w:r>
    </w:p>
    <w:p w14:paraId="3A6F945B">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（4）各投标人的得分为所有评委的有效评分的算术平均数。</w:t>
      </w:r>
    </w:p>
    <w:p w14:paraId="73D19728">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（5）评标委员会按照招标文件中的规定推荐中标候选人。</w:t>
      </w:r>
    </w:p>
    <w:p w14:paraId="10CF23DE">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18DA6045">
      <w:pPr>
        <w:pStyle w:val="22"/>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lang w:val="en-US" w:eastAsia="zh-CN"/>
        </w:rPr>
      </w:pPr>
      <w:r>
        <w:rPr>
          <w:rFonts w:hint="eastAsia" w:hAnsi="宋体" w:cs="宋体"/>
          <w:b/>
          <w:color w:val="auto"/>
          <w:highlight w:val="none"/>
          <w:lang w:val="en-US" w:eastAsia="zh-CN"/>
        </w:rPr>
        <w:t xml:space="preserve">6.异常低价审查 </w:t>
      </w:r>
    </w:p>
    <w:p w14:paraId="1489512E">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6.1</w:t>
      </w:r>
      <w:r>
        <w:rPr>
          <w:rFonts w:hint="eastAsia" w:ascii="宋体" w:hAnsi="宋体" w:eastAsia="宋体" w:cs="宋体"/>
          <w:color w:val="auto"/>
          <w:szCs w:val="21"/>
          <w:highlight w:val="none"/>
        </w:rPr>
        <w:t>依据规定</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"http://www.ccgp.gov.cn/news/202601/t20260122_26102509.htm" \t "_blank" \o "附件链接：《财政部关于推动解决政府采购异常低价问题的通知》（财库〔2026〕2号）"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1"/>
          <w:highlight w:val="none"/>
        </w:rPr>
        <w:t>《财政部关于推动解决政府采购异常低价问题的通知》（财库〔2026〕2号）</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规定，政府采购评审中出现以下异常低价情形，评标委员会应当启动异常低价投标审查程序：</w:t>
      </w:r>
    </w:p>
    <w:p w14:paraId="79DB9270">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（1）投标报价低于全部通过符合性审查供应商投标）报价平均值</w:t>
      </w:r>
      <w:r>
        <w:rPr>
          <w:rFonts w:hint="eastAsia" w:ascii="宋体" w:hAnsi="宋体" w:eastAsia="宋体" w:cs="宋体"/>
          <w:color w:val="auto"/>
          <w:szCs w:val="21"/>
          <w:highlight w:val="none"/>
          <w:u w:val="single"/>
        </w:rPr>
        <w:t> </w:t>
      </w:r>
      <w:r>
        <w:rPr>
          <w:rFonts w:hint="eastAsia" w:ascii="宋体" w:hAnsi="宋体" w:cs="宋体"/>
          <w:color w:val="auto"/>
          <w:szCs w:val="21"/>
          <w:highlight w:val="none"/>
          <w:u w:val="single"/>
          <w:lang w:val="en-US" w:eastAsia="zh-CN"/>
        </w:rPr>
        <w:t>50</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％的（注：此处由采购人根据项目实际情况填写，填写范围不得低于50％，最高不得超过65％）；</w:t>
      </w:r>
    </w:p>
    <w:p w14:paraId="1D559108">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（2）投标报价低于通过符合性审查的次低报价供应商投标报价</w:t>
      </w:r>
      <w:r>
        <w:rPr>
          <w:rFonts w:hint="eastAsia" w:ascii="宋体" w:hAnsi="宋体" w:eastAsia="宋体" w:cs="宋体"/>
          <w:color w:val="auto"/>
          <w:szCs w:val="21"/>
          <w:highlight w:val="none"/>
          <w:u w:val="single"/>
        </w:rPr>
        <w:t> </w:t>
      </w:r>
      <w:r>
        <w:rPr>
          <w:rFonts w:hint="eastAsia" w:ascii="宋体" w:hAnsi="宋体" w:cs="宋体"/>
          <w:color w:val="auto"/>
          <w:szCs w:val="21"/>
          <w:highlight w:val="none"/>
          <w:u w:val="single"/>
          <w:lang w:val="en-US" w:eastAsia="zh-CN"/>
        </w:rPr>
        <w:t>50</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％的（注：此处由采购人根据项目实际情况填写，填写范围不得低于50％，最高不得超过65％）；</w:t>
      </w:r>
    </w:p>
    <w:p w14:paraId="406DDF79">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（3）投标报价低于采购项目最高限价</w:t>
      </w:r>
      <w:r>
        <w:rPr>
          <w:rFonts w:hint="eastAsia" w:ascii="宋体" w:hAnsi="宋体" w:eastAsia="宋体" w:cs="宋体"/>
          <w:color w:val="auto"/>
          <w:szCs w:val="21"/>
          <w:highlight w:val="none"/>
          <w:u w:val="single"/>
        </w:rPr>
        <w:t> </w:t>
      </w:r>
      <w:r>
        <w:rPr>
          <w:rFonts w:hint="eastAsia" w:ascii="宋体" w:hAnsi="宋体" w:cs="宋体"/>
          <w:color w:val="auto"/>
          <w:szCs w:val="21"/>
          <w:highlight w:val="none"/>
          <w:u w:val="single"/>
          <w:lang w:val="en-US" w:eastAsia="zh-CN"/>
        </w:rPr>
        <w:t>45</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％的（注：此处由采购人根据项目实际情况填写，填写范围不得低于45％，最高不得超过65％）；</w:t>
      </w:r>
    </w:p>
    <w:p w14:paraId="3198B702">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（4）评标委员会基于专业判断，认为供应商报价过低，有可能影响产品质量或者不能诚信履约的其他情形。相关法律法规对供应商报价有规定的，从其规定。</w:t>
      </w:r>
    </w:p>
    <w:p w14:paraId="5066ABF7">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（5）相关法律法规对供应商报价有规定的，从其规定。</w:t>
      </w:r>
    </w:p>
    <w:p w14:paraId="6A928452">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6.2</w:t>
      </w:r>
      <w:r>
        <w:rPr>
          <w:rFonts w:hint="eastAsia" w:ascii="宋体" w:hAnsi="宋体" w:eastAsia="宋体" w:cs="宋体"/>
          <w:color w:val="auto"/>
          <w:szCs w:val="21"/>
          <w:highlight w:val="none"/>
        </w:rPr>
        <w:t>评标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4E49A261">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p w14:paraId="164020CF">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组织: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82A193E">
      <w:pPr>
        <w:pageBreakBefore w:val="0"/>
        <w:kinsoku/>
        <w:wordWrap/>
        <w:overflowPunct/>
        <w:topLinePunct w:val="0"/>
        <w:autoSpaceDE/>
        <w:autoSpaceDN/>
        <w:bidi w:val="0"/>
        <w:snapToGrid w:val="0"/>
        <w:spacing w:line="400" w:lineRule="exact"/>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记录及归档:异常低价投标审查的启动原因、审查意见和审查结果应当在评审报告中记录，并随供应商提供的相关书面说明及证明材料，以及评审委员会有关互联网浏览、查询历史一并归档。</w:t>
      </w:r>
    </w:p>
    <w:p w14:paraId="183389D7">
      <w:pPr>
        <w:pStyle w:val="3"/>
        <w:pageBreakBefore w:val="0"/>
        <w:kinsoku/>
        <w:wordWrap/>
        <w:overflowPunct/>
        <w:topLinePunct w:val="0"/>
        <w:autoSpaceDE/>
        <w:autoSpaceDN/>
        <w:bidi w:val="0"/>
        <w:spacing w:before="0" w:after="0" w:line="400" w:lineRule="exact"/>
        <w:jc w:val="center"/>
        <w:textAlignment w:val="auto"/>
        <w:rPr>
          <w:rFonts w:hint="eastAsia" w:ascii="宋体" w:hAnsi="宋体" w:eastAsia="宋体" w:cs="宋体"/>
          <w:color w:val="auto"/>
          <w:highlight w:val="none"/>
        </w:rPr>
      </w:pPr>
      <w:bookmarkStart w:id="174" w:name="_Toc4705"/>
      <w:bookmarkStart w:id="175" w:name="_Toc5924"/>
      <w:r>
        <w:rPr>
          <w:rFonts w:hint="eastAsia" w:ascii="宋体" w:hAnsi="宋体" w:eastAsia="宋体" w:cs="宋体"/>
          <w:color w:val="auto"/>
          <w:highlight w:val="none"/>
        </w:rPr>
        <w:t>三、评标标准</w:t>
      </w:r>
      <w:bookmarkEnd w:id="174"/>
      <w:bookmarkEnd w:id="175"/>
    </w:p>
    <w:p w14:paraId="317C100F">
      <w:pPr>
        <w:pageBreakBefore w:val="0"/>
        <w:widowControl/>
        <w:kinsoku/>
        <w:wordWrap/>
        <w:overflowPunct/>
        <w:topLinePunct w:val="0"/>
        <w:autoSpaceDE/>
        <w:autoSpaceDN/>
        <w:bidi w:val="0"/>
        <w:adjustRightInd w:val="0"/>
        <w:snapToGrid w:val="0"/>
        <w:spacing w:line="400" w:lineRule="exact"/>
        <w:ind w:firstLine="42"/>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一、评标原则</w:t>
      </w:r>
    </w:p>
    <w:p w14:paraId="0DF923BE">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（一）评委构成：《政府采购货物和服务招标投标管理办法》第四十七条 评标委员会由采购人代表和评审专家组成，成员人数应当为5人以上单数，其中评审专家不得少于成员总数的三分之二。采购项目符合下列情形之一的，评标委员会成员人数应当为7人以上单数：（1）采购预算金额在1000万元以上；（2）技术复杂；（3）社会影响较大。</w:t>
      </w:r>
    </w:p>
    <w:p w14:paraId="284E2AEA">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（二）</w:t>
      </w:r>
      <w:r>
        <w:rPr>
          <w:rFonts w:hint="eastAsia" w:ascii="宋体" w:hAnsi="宋体" w:cs="宋体"/>
          <w:color w:val="auto"/>
          <w:kern w:val="0"/>
          <w:szCs w:val="21"/>
          <w:highlight w:val="none"/>
        </w:rPr>
        <w:t>评标依据：</w:t>
      </w:r>
      <w:r>
        <w:rPr>
          <w:rFonts w:hint="eastAsia" w:ascii="宋体" w:hAnsi="宋体" w:cs="宋体"/>
          <w:bCs/>
          <w:color w:val="auto"/>
          <w:kern w:val="0"/>
          <w:szCs w:val="21"/>
          <w:highlight w:val="none"/>
        </w:rPr>
        <w:t>评委将以招投标文件为评标依据，对投标人的内容按百分制打分。</w:t>
      </w:r>
    </w:p>
    <w:p w14:paraId="1C1C2118">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color w:val="auto"/>
          <w:szCs w:val="21"/>
          <w:highlight w:val="none"/>
        </w:rPr>
      </w:pPr>
      <w:r>
        <w:rPr>
          <w:rFonts w:hint="eastAsia" w:ascii="宋体" w:hAnsi="宋体" w:cs="宋体"/>
          <w:bCs/>
          <w:color w:val="auto"/>
          <w:szCs w:val="21"/>
          <w:highlight w:val="none"/>
        </w:rPr>
        <w:t>（三）评标方式：以封闭方式进行。</w:t>
      </w:r>
    </w:p>
    <w:p w14:paraId="65E2B104">
      <w:pPr>
        <w:pageBreakBefore w:val="0"/>
        <w:kinsoku/>
        <w:wordWrap/>
        <w:overflowPunct/>
        <w:topLinePunct w:val="0"/>
        <w:autoSpaceDE/>
        <w:autoSpaceDN/>
        <w:bidi w:val="0"/>
        <w:adjustRightInd w:val="0"/>
        <w:snapToGrid w:val="0"/>
        <w:spacing w:line="400" w:lineRule="exact"/>
        <w:ind w:firstLine="42" w:firstLineChars="20"/>
        <w:textAlignment w:val="auto"/>
        <w:rPr>
          <w:rFonts w:hint="eastAsia" w:ascii="宋体" w:hAnsi="宋体" w:cs="宋体"/>
          <w:b/>
          <w:color w:val="auto"/>
          <w:szCs w:val="21"/>
          <w:highlight w:val="none"/>
        </w:rPr>
      </w:pPr>
      <w:r>
        <w:rPr>
          <w:rFonts w:hint="eastAsia" w:ascii="宋体" w:hAnsi="宋体" w:cs="宋体"/>
          <w:b/>
          <w:color w:val="auto"/>
          <w:szCs w:val="21"/>
          <w:highlight w:val="none"/>
        </w:rPr>
        <w:t>二、评标方法</w:t>
      </w:r>
    </w:p>
    <w:p w14:paraId="04BB365E">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（一）对进入详评的，采用百分制综合评分法。</w:t>
      </w:r>
    </w:p>
    <w:p w14:paraId="57AA46AE">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（二）计分办法（按四舍五入取至百分位）：</w:t>
      </w:r>
    </w:p>
    <w:p w14:paraId="3BDCDA93">
      <w:pPr>
        <w:pageBreakBefore w:val="0"/>
        <w:kinsoku/>
        <w:wordWrap/>
        <w:overflowPunct/>
        <w:topLinePunct w:val="0"/>
        <w:autoSpaceDE/>
        <w:autoSpaceDN/>
        <w:bidi w:val="0"/>
        <w:spacing w:before="0" w:after="0" w:line="400" w:lineRule="exact"/>
        <w:jc w:val="center"/>
        <w:textAlignment w:val="auto"/>
        <w:outlineLvl w:val="9"/>
        <w:rPr>
          <w:rFonts w:hint="eastAsia" w:ascii="宋体" w:hAnsi="宋体" w:eastAsia="宋体" w:cs="宋体"/>
          <w:color w:val="auto"/>
          <w:highlight w:val="none"/>
        </w:rPr>
      </w:pPr>
      <w:bookmarkStart w:id="176" w:name="_Toc1515"/>
      <w:bookmarkStart w:id="177" w:name="_Toc26687"/>
      <w:bookmarkStart w:id="178" w:name="_Toc29253"/>
    </w:p>
    <w:p w14:paraId="27AD7F2E">
      <w:pPr>
        <w:rPr>
          <w:rFonts w:hint="eastAsia" w:ascii="宋体" w:hAnsi="宋体" w:eastAsia="宋体" w:cs="宋体"/>
          <w:color w:val="auto"/>
          <w:highlight w:val="none"/>
        </w:rPr>
      </w:pPr>
    </w:p>
    <w:p w14:paraId="135EA01E">
      <w:pPr>
        <w:pStyle w:val="13"/>
        <w:rPr>
          <w:rFonts w:hint="eastAsia"/>
          <w:color w:val="auto"/>
          <w:highlight w:val="none"/>
        </w:rPr>
      </w:pPr>
    </w:p>
    <w:p w14:paraId="657E1D4E">
      <w:pPr>
        <w:pStyle w:val="3"/>
        <w:pageBreakBefore w:val="0"/>
        <w:kinsoku/>
        <w:wordWrap/>
        <w:overflowPunct/>
        <w:topLinePunct w:val="0"/>
        <w:autoSpaceDE/>
        <w:autoSpaceDN/>
        <w:bidi w:val="0"/>
        <w:spacing w:before="0" w:after="0"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评分标准（综合评分法）</w:t>
      </w:r>
      <w:bookmarkEnd w:id="176"/>
      <w:bookmarkEnd w:id="177"/>
      <w:bookmarkEnd w:id="178"/>
    </w:p>
    <w:p w14:paraId="4965641E">
      <w:pPr>
        <w:rPr>
          <w:rFonts w:hint="eastAsia"/>
          <w:color w:val="auto"/>
          <w:highlight w:val="none"/>
        </w:rPr>
      </w:pPr>
    </w:p>
    <w:tbl>
      <w:tblPr>
        <w:tblStyle w:val="40"/>
        <w:tblW w:w="876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6"/>
        <w:gridCol w:w="781"/>
        <w:gridCol w:w="7142"/>
      </w:tblGrid>
      <w:tr w14:paraId="7FC705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7" w:hRule="atLeast"/>
          <w:jc w:val="center"/>
        </w:trPr>
        <w:tc>
          <w:tcPr>
            <w:tcW w:w="846" w:type="dxa"/>
            <w:noWrap w:val="0"/>
            <w:vAlign w:val="bottom"/>
          </w:tcPr>
          <w:p w14:paraId="29F5F8C0">
            <w:pPr>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b/>
                <w:bCs w:val="0"/>
                <w:color w:val="auto"/>
                <w:kern w:val="0"/>
                <w:szCs w:val="21"/>
                <w:highlight w:val="none"/>
              </w:rPr>
            </w:pPr>
            <w:bookmarkStart w:id="179" w:name="_Toc4130"/>
            <w:bookmarkStart w:id="180" w:name="_Toc13030"/>
            <w:r>
              <w:rPr>
                <w:rFonts w:hint="eastAsia" w:ascii="宋体" w:hAnsi="宋体" w:cs="宋体"/>
                <w:b/>
                <w:bCs w:val="0"/>
                <w:color w:val="auto"/>
                <w:kern w:val="0"/>
                <w:szCs w:val="21"/>
                <w:highlight w:val="none"/>
              </w:rPr>
              <w:t>评标项目</w:t>
            </w:r>
          </w:p>
        </w:tc>
        <w:tc>
          <w:tcPr>
            <w:tcW w:w="781" w:type="dxa"/>
            <w:noWrap w:val="0"/>
            <w:vAlign w:val="bottom"/>
          </w:tcPr>
          <w:p w14:paraId="618980FB">
            <w:pPr>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b/>
                <w:bCs w:val="0"/>
                <w:color w:val="auto"/>
                <w:kern w:val="0"/>
                <w:szCs w:val="21"/>
                <w:highlight w:val="none"/>
              </w:rPr>
            </w:pPr>
            <w:r>
              <w:rPr>
                <w:rFonts w:hint="eastAsia" w:ascii="宋体" w:hAnsi="宋体" w:cs="宋体"/>
                <w:b/>
                <w:bCs w:val="0"/>
                <w:color w:val="auto"/>
                <w:kern w:val="0"/>
                <w:szCs w:val="21"/>
                <w:highlight w:val="none"/>
              </w:rPr>
              <w:t>评标分值</w:t>
            </w:r>
          </w:p>
        </w:tc>
        <w:tc>
          <w:tcPr>
            <w:tcW w:w="7142" w:type="dxa"/>
            <w:noWrap w:val="0"/>
            <w:vAlign w:val="bottom"/>
          </w:tcPr>
          <w:p w14:paraId="091FE2F7">
            <w:pPr>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b/>
                <w:bCs w:val="0"/>
                <w:color w:val="auto"/>
                <w:kern w:val="0"/>
                <w:szCs w:val="21"/>
                <w:highlight w:val="none"/>
              </w:rPr>
            </w:pPr>
            <w:r>
              <w:rPr>
                <w:rFonts w:hint="eastAsia" w:ascii="宋体" w:hAnsi="宋体" w:cs="宋体"/>
                <w:b/>
                <w:bCs w:val="0"/>
                <w:color w:val="auto"/>
                <w:kern w:val="0"/>
                <w:szCs w:val="21"/>
                <w:highlight w:val="none"/>
              </w:rPr>
              <w:t>评标方法描述</w:t>
            </w:r>
          </w:p>
        </w:tc>
      </w:tr>
      <w:tr w14:paraId="6EA5E7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9" w:hRule="atLeast"/>
          <w:jc w:val="center"/>
        </w:trPr>
        <w:tc>
          <w:tcPr>
            <w:tcW w:w="8769" w:type="dxa"/>
            <w:gridSpan w:val="3"/>
            <w:noWrap w:val="0"/>
            <w:vAlign w:val="center"/>
          </w:tcPr>
          <w:p w14:paraId="714A23CC">
            <w:pPr>
              <w:pageBreakBefore w:val="0"/>
              <w:widowControl/>
              <w:kinsoku/>
              <w:wordWrap/>
              <w:overflowPunct/>
              <w:topLinePunct w:val="0"/>
              <w:autoSpaceDE/>
              <w:autoSpaceDN/>
              <w:bidi w:val="0"/>
              <w:adjustRightInd w:val="0"/>
              <w:snapToGrid w:val="0"/>
              <w:spacing w:line="400" w:lineRule="exact"/>
              <w:textAlignment w:val="auto"/>
              <w:rPr>
                <w:rFonts w:hint="eastAsia" w:ascii="宋体" w:hAnsi="宋体" w:cs="宋体"/>
                <w:b/>
                <w:bCs w:val="0"/>
                <w:color w:val="auto"/>
                <w:kern w:val="0"/>
                <w:szCs w:val="21"/>
                <w:highlight w:val="none"/>
                <w:lang w:val="en-US" w:eastAsia="zh-CN"/>
              </w:rPr>
            </w:pPr>
            <w:r>
              <w:rPr>
                <w:rFonts w:hint="eastAsia" w:ascii="宋体" w:hAnsi="宋体" w:cs="宋体"/>
                <w:b/>
                <w:bCs w:val="0"/>
                <w:color w:val="auto"/>
                <w:kern w:val="0"/>
                <w:szCs w:val="21"/>
                <w:highlight w:val="none"/>
                <w:lang w:val="en-US" w:eastAsia="zh-CN"/>
              </w:rPr>
              <w:t>（一）价格分（满分30分）</w:t>
            </w:r>
          </w:p>
        </w:tc>
      </w:tr>
      <w:tr w14:paraId="46D210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noWrap w:val="0"/>
            <w:vAlign w:val="center"/>
          </w:tcPr>
          <w:p w14:paraId="6F9C47E2">
            <w:pPr>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b/>
                <w:bCs w:val="0"/>
                <w:color w:val="auto"/>
                <w:kern w:val="0"/>
                <w:szCs w:val="21"/>
                <w:highlight w:val="none"/>
                <w:lang w:val="en-US" w:eastAsia="zh-CN"/>
              </w:rPr>
            </w:pPr>
            <w:r>
              <w:rPr>
                <w:rFonts w:hint="eastAsia" w:ascii="宋体" w:hAnsi="宋体" w:cs="宋体"/>
                <w:b/>
                <w:bCs w:val="0"/>
                <w:color w:val="auto"/>
                <w:kern w:val="0"/>
                <w:szCs w:val="21"/>
                <w:highlight w:val="none"/>
                <w:lang w:val="en-US" w:eastAsia="zh-CN"/>
              </w:rPr>
              <w:t>投标报价</w:t>
            </w:r>
          </w:p>
        </w:tc>
        <w:tc>
          <w:tcPr>
            <w:tcW w:w="781" w:type="dxa"/>
            <w:noWrap w:val="0"/>
            <w:vAlign w:val="center"/>
          </w:tcPr>
          <w:p w14:paraId="6032E083">
            <w:pPr>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b/>
                <w:bCs w:val="0"/>
                <w:color w:val="auto"/>
                <w:kern w:val="0"/>
                <w:szCs w:val="21"/>
                <w:highlight w:val="none"/>
                <w:lang w:val="en-US" w:eastAsia="zh-CN"/>
              </w:rPr>
            </w:pPr>
            <w:r>
              <w:rPr>
                <w:rFonts w:hint="eastAsia" w:ascii="宋体" w:hAnsi="宋体" w:cs="宋体"/>
                <w:b/>
                <w:bCs w:val="0"/>
                <w:color w:val="auto"/>
                <w:kern w:val="0"/>
                <w:szCs w:val="21"/>
                <w:highlight w:val="none"/>
                <w:lang w:val="en-US" w:eastAsia="zh-CN"/>
              </w:rPr>
              <w:t>30分</w:t>
            </w:r>
          </w:p>
        </w:tc>
        <w:tc>
          <w:tcPr>
            <w:tcW w:w="7142" w:type="dxa"/>
            <w:noWrap w:val="0"/>
            <w:vAlign w:val="center"/>
          </w:tcPr>
          <w:p w14:paraId="62CCE826">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（1）评标报价为投标人的投标报价进行政策性扣除后的价格，评标报价只是作为评标时使用。最终中标人的中标金额等于投标报价。</w:t>
            </w:r>
          </w:p>
          <w:p w14:paraId="7C3D2D7D">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2）按照《政府采购促进中小企业发展管理办法》（财库〔2020〕46号）的规定，投标人在其投标文件中提供《中小企业声明函》，且其服务为小型和微型企业承接的，按《关于进一步加大政府采购支持中小企业力度的通知》（财库〔2022〕19号）、《广西壮族自治区财政厅关于持续优化政府采购营商环境推动高质量发展的通知》（桂财采〔202</w:t>
            </w:r>
            <w:r>
              <w:rPr>
                <w:rFonts w:hint="eastAsia" w:ascii="宋体" w:hAnsi="宋体" w:cs="宋体"/>
                <w:bCs/>
                <w:color w:val="auto"/>
                <w:kern w:val="0"/>
                <w:szCs w:val="21"/>
                <w:highlight w:val="none"/>
                <w:lang w:val="en-US" w:eastAsia="zh-CN"/>
              </w:rPr>
              <w:t>4</w:t>
            </w:r>
            <w:r>
              <w:rPr>
                <w:rFonts w:hint="eastAsia" w:ascii="宋体" w:hAnsi="宋体" w:cs="宋体"/>
                <w:bCs/>
                <w:color w:val="auto"/>
                <w:kern w:val="0"/>
                <w:szCs w:val="21"/>
                <w:highlight w:val="none"/>
              </w:rPr>
              <w:t>〕</w:t>
            </w:r>
            <w:r>
              <w:rPr>
                <w:rFonts w:hint="eastAsia" w:ascii="宋体" w:hAnsi="宋体" w:cs="宋体"/>
                <w:bCs/>
                <w:color w:val="auto"/>
                <w:kern w:val="0"/>
                <w:szCs w:val="21"/>
                <w:highlight w:val="none"/>
                <w:lang w:val="en-US" w:eastAsia="zh-CN"/>
              </w:rPr>
              <w:t>55</w:t>
            </w:r>
            <w:r>
              <w:rPr>
                <w:rFonts w:hint="eastAsia" w:ascii="宋体" w:hAnsi="宋体" w:cs="宋体"/>
                <w:bCs/>
                <w:color w:val="auto"/>
                <w:kern w:val="0"/>
                <w:szCs w:val="21"/>
                <w:highlight w:val="none"/>
              </w:rPr>
              <w:t>号）的规定</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rPr>
              <w:t>对其最后报价给予</w:t>
            </w:r>
            <w:r>
              <w:rPr>
                <w:rFonts w:hint="eastAsia" w:ascii="宋体" w:hAnsi="宋体" w:cs="宋体"/>
                <w:bCs/>
                <w:color w:val="auto"/>
                <w:kern w:val="0"/>
                <w:szCs w:val="21"/>
                <w:highlight w:val="none"/>
                <w:lang w:val="en-US" w:eastAsia="zh-CN"/>
              </w:rPr>
              <w:t>1</w:t>
            </w:r>
            <w:r>
              <w:rPr>
                <w:rFonts w:hint="eastAsia" w:ascii="宋体" w:hAnsi="宋体" w:cs="宋体"/>
                <w:bCs/>
                <w:color w:val="auto"/>
                <w:kern w:val="0"/>
                <w:szCs w:val="21"/>
                <w:highlight w:val="none"/>
              </w:rPr>
              <w:t>0%</w:t>
            </w:r>
            <w:r>
              <w:rPr>
                <w:rFonts w:hint="eastAsia" w:ascii="宋体" w:hAnsi="宋体" w:cs="宋体"/>
                <w:bCs/>
                <w:color w:val="auto"/>
                <w:kern w:val="0"/>
                <w:szCs w:val="21"/>
                <w:highlight w:val="none"/>
                <w:lang w:eastAsia="zh-CN"/>
              </w:rPr>
              <w:t>（范围为</w:t>
            </w:r>
            <w:r>
              <w:rPr>
                <w:rFonts w:hint="eastAsia" w:ascii="宋体" w:hAnsi="宋体" w:cs="宋体"/>
                <w:bCs/>
                <w:color w:val="auto"/>
                <w:kern w:val="0"/>
                <w:szCs w:val="21"/>
                <w:highlight w:val="none"/>
                <w:lang w:val="en-US" w:eastAsia="zh-CN"/>
              </w:rPr>
              <w:t>10-20%）</w:t>
            </w:r>
            <w:r>
              <w:rPr>
                <w:rFonts w:hint="eastAsia" w:ascii="宋体" w:hAnsi="宋体" w:cs="宋体"/>
                <w:bCs/>
                <w:color w:val="auto"/>
                <w:kern w:val="0"/>
                <w:szCs w:val="21"/>
                <w:highlight w:val="none"/>
              </w:rPr>
              <w:t>的扣除。</w:t>
            </w:r>
          </w:p>
          <w:p w14:paraId="48F5798A">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7514AD3F">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5222F7A8">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（5）政策性扣除计算方法。</w:t>
            </w:r>
          </w:p>
          <w:p w14:paraId="0BF837B4">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在服务采购项目中，服务由小微企业承接；对符合上述要求的投标人的投标报价给予</w:t>
            </w:r>
            <w:r>
              <w:rPr>
                <w:rFonts w:hint="eastAsia" w:ascii="宋体" w:hAnsi="宋体" w:cs="宋体"/>
                <w:bCs/>
                <w:color w:val="auto"/>
                <w:kern w:val="0"/>
                <w:szCs w:val="21"/>
                <w:highlight w:val="none"/>
                <w:lang w:val="en-US" w:eastAsia="zh-CN"/>
              </w:rPr>
              <w:t>1</w:t>
            </w:r>
            <w:r>
              <w:rPr>
                <w:rFonts w:hint="eastAsia" w:ascii="宋体" w:hAnsi="宋体" w:cs="宋体"/>
                <w:bCs/>
                <w:color w:val="auto"/>
                <w:kern w:val="0"/>
                <w:szCs w:val="21"/>
                <w:highlight w:val="none"/>
              </w:rPr>
              <w:t>0%的扣除，扣除后的价格为评标报价，即评标报价=投标报价×（1-</w:t>
            </w:r>
            <w:r>
              <w:rPr>
                <w:rFonts w:hint="eastAsia" w:ascii="宋体" w:hAnsi="宋体" w:cs="宋体"/>
                <w:bCs/>
                <w:color w:val="auto"/>
                <w:kern w:val="0"/>
                <w:szCs w:val="21"/>
                <w:highlight w:val="none"/>
                <w:lang w:val="en-US" w:eastAsia="zh-CN"/>
              </w:rPr>
              <w:t>1</w:t>
            </w:r>
            <w:r>
              <w:rPr>
                <w:rFonts w:hint="eastAsia" w:ascii="宋体" w:hAnsi="宋体" w:cs="宋体"/>
                <w:bCs/>
                <w:color w:val="auto"/>
                <w:kern w:val="0"/>
                <w:szCs w:val="21"/>
                <w:highlight w:val="none"/>
              </w:rPr>
              <w:t>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Pr>
                <w:rFonts w:hint="eastAsia" w:ascii="宋体" w:hAnsi="宋体" w:cs="宋体"/>
                <w:bCs/>
                <w:color w:val="auto"/>
                <w:kern w:val="0"/>
                <w:szCs w:val="21"/>
                <w:highlight w:val="none"/>
                <w:lang w:val="en-US" w:eastAsia="zh-CN"/>
              </w:rPr>
              <w:t>4</w:t>
            </w:r>
            <w:r>
              <w:rPr>
                <w:rFonts w:hint="eastAsia" w:ascii="宋体" w:hAnsi="宋体" w:cs="宋体"/>
                <w:bCs/>
                <w:color w:val="auto"/>
                <w:kern w:val="0"/>
                <w:szCs w:val="21"/>
                <w:highlight w:val="none"/>
              </w:rPr>
              <w:t>%（范围为4%-6%）的扣除，用扣除后的价格参加评审，扣除后的价格为评标报价，即评标报价=投标报价×（1-</w:t>
            </w:r>
            <w:r>
              <w:rPr>
                <w:rFonts w:hint="eastAsia" w:ascii="宋体" w:hAnsi="宋体" w:cs="宋体"/>
                <w:bCs/>
                <w:color w:val="auto"/>
                <w:kern w:val="0"/>
                <w:szCs w:val="21"/>
                <w:highlight w:val="none"/>
                <w:lang w:val="en-US" w:eastAsia="zh-CN"/>
              </w:rPr>
              <w:t>4</w:t>
            </w:r>
            <w:r>
              <w:rPr>
                <w:rFonts w:hint="eastAsia" w:ascii="宋体" w:hAnsi="宋体" w:cs="宋体"/>
                <w:bCs/>
                <w:color w:val="auto"/>
                <w:kern w:val="0"/>
                <w:szCs w:val="21"/>
                <w:highlight w:val="none"/>
              </w:rPr>
              <w:t>%）。除上述情况外，评标报价=投标报价。</w:t>
            </w:r>
          </w:p>
          <w:p w14:paraId="23FAA7C8">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（6）满足招标文件要求且评标报价最低的评标报价为评标基准价，其价格分为满分。</w:t>
            </w:r>
          </w:p>
          <w:p w14:paraId="52B3FC51">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（7）价格分计算公式：</w:t>
            </w:r>
          </w:p>
          <w:p w14:paraId="346308D8">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lang w:eastAsia="zh-CN"/>
              </w:rPr>
            </w:pPr>
            <w:r>
              <w:rPr>
                <w:rFonts w:hint="eastAsia" w:ascii="宋体" w:hAnsi="宋体" w:cs="宋体"/>
                <w:bCs/>
                <w:color w:val="auto"/>
                <w:kern w:val="0"/>
                <w:szCs w:val="21"/>
                <w:highlight w:val="none"/>
              </w:rPr>
              <w:t>价格分=(评标基准价／评标报价)×</w:t>
            </w:r>
            <w:r>
              <w:rPr>
                <w:rFonts w:hint="eastAsia" w:ascii="宋体" w:hAnsi="宋体" w:cs="宋体"/>
                <w:bCs/>
                <w:color w:val="auto"/>
                <w:kern w:val="0"/>
                <w:szCs w:val="21"/>
                <w:highlight w:val="none"/>
                <w:lang w:val="en-US" w:eastAsia="zh-CN"/>
              </w:rPr>
              <w:t>30</w:t>
            </w:r>
            <w:r>
              <w:rPr>
                <w:rFonts w:hint="eastAsia" w:ascii="宋体" w:hAnsi="宋体" w:cs="宋体"/>
                <w:bCs/>
                <w:color w:val="auto"/>
                <w:kern w:val="0"/>
                <w:szCs w:val="21"/>
                <w:highlight w:val="none"/>
              </w:rPr>
              <w:t>分</w:t>
            </w:r>
            <w:r>
              <w:rPr>
                <w:rFonts w:hint="eastAsia" w:ascii="宋体" w:hAnsi="宋体" w:cs="宋体"/>
                <w:bCs/>
                <w:color w:val="auto"/>
                <w:kern w:val="0"/>
                <w:szCs w:val="21"/>
                <w:highlight w:val="none"/>
                <w:lang w:eastAsia="zh-CN"/>
              </w:rPr>
              <w:t>。</w:t>
            </w:r>
          </w:p>
          <w:p w14:paraId="1C8421B8">
            <w:pPr>
              <w:pageBreakBefore w:val="0"/>
              <w:widowControl/>
              <w:kinsoku/>
              <w:wordWrap/>
              <w:overflowPunct/>
              <w:topLinePunct w:val="0"/>
              <w:autoSpaceDE/>
              <w:autoSpaceDN/>
              <w:bidi w:val="0"/>
              <w:adjustRightInd w:val="0"/>
              <w:snapToGrid w:val="0"/>
              <w:spacing w:line="400" w:lineRule="exact"/>
              <w:ind w:firstLine="379" w:firstLineChars="180"/>
              <w:textAlignment w:val="auto"/>
              <w:rPr>
                <w:rFonts w:hint="eastAsia" w:ascii="宋体" w:hAnsi="宋体" w:cs="宋体"/>
                <w:b/>
                <w:bCs w:val="0"/>
                <w:color w:val="auto"/>
                <w:kern w:val="0"/>
                <w:szCs w:val="21"/>
                <w:highlight w:val="none"/>
                <w:lang w:val="en-US" w:eastAsia="zh-CN"/>
              </w:rPr>
            </w:pPr>
            <w:r>
              <w:rPr>
                <w:rFonts w:hint="eastAsia" w:ascii="宋体" w:hAnsi="宋体" w:cs="宋体"/>
                <w:b/>
                <w:bCs w:val="0"/>
                <w:color w:val="auto"/>
                <w:kern w:val="0"/>
                <w:szCs w:val="21"/>
                <w:highlight w:val="none"/>
                <w:lang w:eastAsia="zh-CN"/>
              </w:rPr>
              <w:t>（</w:t>
            </w:r>
            <w:r>
              <w:rPr>
                <w:rFonts w:hint="eastAsia" w:ascii="宋体" w:hAnsi="宋体" w:cs="宋体"/>
                <w:b/>
                <w:bCs w:val="0"/>
                <w:color w:val="auto"/>
                <w:kern w:val="0"/>
                <w:szCs w:val="21"/>
                <w:highlight w:val="none"/>
                <w:lang w:val="en-US" w:eastAsia="zh-CN"/>
              </w:rPr>
              <w:t>8）异常低价说明。</w:t>
            </w:r>
          </w:p>
          <w:p w14:paraId="3B337266">
            <w:pPr>
              <w:pageBreakBefore w:val="0"/>
              <w:widowControl/>
              <w:kinsoku/>
              <w:wordWrap/>
              <w:overflowPunct/>
              <w:topLinePunct w:val="0"/>
              <w:autoSpaceDE/>
              <w:autoSpaceDN/>
              <w:bidi w:val="0"/>
              <w:adjustRightInd w:val="0"/>
              <w:snapToGrid w:val="0"/>
              <w:spacing w:line="400" w:lineRule="exact"/>
              <w:ind w:firstLine="379" w:firstLineChars="180"/>
              <w:textAlignment w:val="auto"/>
              <w:rPr>
                <w:rFonts w:hint="eastAsia" w:ascii="宋体" w:hAnsi="宋体" w:cs="宋体"/>
                <w:bCs/>
                <w:color w:val="auto"/>
                <w:kern w:val="0"/>
                <w:szCs w:val="21"/>
                <w:highlight w:val="none"/>
                <w:lang w:eastAsia="zh-CN"/>
              </w:rPr>
            </w:pPr>
            <w:r>
              <w:rPr>
                <w:rFonts w:hint="eastAsia" w:ascii="宋体" w:hAnsi="宋体" w:cs="宋体"/>
                <w:b/>
                <w:bCs w:val="0"/>
                <w:color w:val="auto"/>
                <w:kern w:val="0"/>
                <w:szCs w:val="21"/>
                <w:highlight w:val="none"/>
                <w:lang w:val="en-US" w:eastAsia="zh-CN"/>
              </w:rPr>
              <w:t>投标人的报价出现《财政部关于推动解决政府采购异常低价问题的通知》（财库〔2026〕2号）规定的异常低价情形（具体详见招标文件第四章评标方法及评标标准二、评标程序6.异常低价审查），有可能影响服务质量或者不能诚信履约的，其应当在评标现场合理时间内（不少于30分钟）对报价作出解释，提供项目具体成本测算等与报价合理性相关的书面说明及必要证明材料；投标人不能提供相关说明、证明材料，或提供的材料无法证明其报价合理性的，评标委员会将其作为无效投标处理。</w:t>
            </w:r>
          </w:p>
        </w:tc>
      </w:tr>
      <w:tr w14:paraId="3D9928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69" w:type="dxa"/>
            <w:gridSpan w:val="3"/>
            <w:noWrap w:val="0"/>
            <w:vAlign w:val="center"/>
          </w:tcPr>
          <w:p w14:paraId="638B7B81">
            <w:pPr>
              <w:pageBreakBefore w:val="0"/>
              <w:widowControl/>
              <w:kinsoku/>
              <w:wordWrap/>
              <w:overflowPunct/>
              <w:topLinePunct w:val="0"/>
              <w:autoSpaceDE/>
              <w:autoSpaceDN/>
              <w:bidi w:val="0"/>
              <w:adjustRightInd w:val="0"/>
              <w:snapToGrid w:val="0"/>
              <w:spacing w:line="400" w:lineRule="exact"/>
              <w:textAlignment w:val="auto"/>
              <w:rPr>
                <w:rFonts w:hint="eastAsia" w:ascii="宋体" w:hAnsi="宋体" w:cs="宋体"/>
                <w:b/>
                <w:bCs w:val="0"/>
                <w:color w:val="auto"/>
                <w:kern w:val="0"/>
                <w:szCs w:val="21"/>
                <w:highlight w:val="none"/>
                <w:lang w:val="en-US" w:eastAsia="zh-CN"/>
              </w:rPr>
            </w:pPr>
            <w:r>
              <w:rPr>
                <w:rFonts w:hint="eastAsia" w:ascii="宋体" w:hAnsi="宋体" w:cs="宋体"/>
                <w:b/>
                <w:bCs w:val="0"/>
                <w:color w:val="auto"/>
                <w:kern w:val="0"/>
                <w:szCs w:val="21"/>
                <w:highlight w:val="none"/>
                <w:lang w:eastAsia="zh-CN"/>
              </w:rPr>
              <w:t>（</w:t>
            </w:r>
            <w:r>
              <w:rPr>
                <w:rFonts w:hint="eastAsia" w:ascii="宋体" w:hAnsi="宋体" w:cs="宋体"/>
                <w:b/>
                <w:bCs w:val="0"/>
                <w:color w:val="auto"/>
                <w:kern w:val="0"/>
                <w:szCs w:val="21"/>
                <w:highlight w:val="none"/>
                <w:lang w:val="en-US" w:eastAsia="zh-CN"/>
              </w:rPr>
              <w:t>二</w:t>
            </w:r>
            <w:r>
              <w:rPr>
                <w:rFonts w:hint="eastAsia" w:ascii="宋体" w:hAnsi="宋体" w:cs="宋体"/>
                <w:b/>
                <w:bCs w:val="0"/>
                <w:color w:val="auto"/>
                <w:kern w:val="0"/>
                <w:szCs w:val="21"/>
                <w:highlight w:val="none"/>
                <w:lang w:eastAsia="zh-CN"/>
              </w:rPr>
              <w:t>）</w:t>
            </w:r>
            <w:r>
              <w:rPr>
                <w:rFonts w:hint="eastAsia" w:ascii="宋体" w:hAnsi="宋体" w:cs="宋体"/>
                <w:b/>
                <w:bCs w:val="0"/>
                <w:color w:val="auto"/>
                <w:kern w:val="0"/>
                <w:szCs w:val="21"/>
                <w:highlight w:val="none"/>
                <w:lang w:val="en-US" w:eastAsia="zh-CN"/>
              </w:rPr>
              <w:t>技术分（满分50分）</w:t>
            </w:r>
          </w:p>
        </w:tc>
      </w:tr>
      <w:tr w14:paraId="5156FF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noWrap w:val="0"/>
            <w:vAlign w:val="center"/>
          </w:tcPr>
          <w:p w14:paraId="2B911206">
            <w:pPr>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b/>
                <w:bCs w:val="0"/>
                <w:color w:val="auto"/>
                <w:kern w:val="0"/>
                <w:szCs w:val="21"/>
                <w:highlight w:val="none"/>
                <w:lang w:val="en-US" w:eastAsia="zh-CN"/>
              </w:rPr>
            </w:pPr>
            <w:r>
              <w:rPr>
                <w:rFonts w:hint="eastAsia" w:ascii="宋体" w:hAnsi="宋体" w:cs="宋体"/>
                <w:b/>
                <w:bCs w:val="0"/>
                <w:color w:val="auto"/>
                <w:kern w:val="0"/>
                <w:szCs w:val="21"/>
                <w:highlight w:val="none"/>
                <w:lang w:val="en-US" w:eastAsia="zh-CN"/>
              </w:rPr>
              <w:t>服务方案</w:t>
            </w:r>
          </w:p>
        </w:tc>
        <w:tc>
          <w:tcPr>
            <w:tcW w:w="781" w:type="dxa"/>
            <w:noWrap w:val="0"/>
            <w:vAlign w:val="center"/>
          </w:tcPr>
          <w:p w14:paraId="43B380E7">
            <w:pPr>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b/>
                <w:bCs w:val="0"/>
                <w:color w:val="auto"/>
                <w:kern w:val="0"/>
                <w:szCs w:val="21"/>
                <w:highlight w:val="none"/>
                <w:lang w:val="en-US" w:eastAsia="zh-CN"/>
              </w:rPr>
            </w:pPr>
            <w:r>
              <w:rPr>
                <w:rFonts w:hint="eastAsia" w:ascii="宋体" w:hAnsi="宋体" w:cs="宋体"/>
                <w:b/>
                <w:bCs w:val="0"/>
                <w:color w:val="auto"/>
                <w:kern w:val="0"/>
                <w:szCs w:val="21"/>
                <w:highlight w:val="none"/>
                <w:lang w:val="en-US" w:eastAsia="zh-CN"/>
              </w:rPr>
              <w:t>25分</w:t>
            </w:r>
          </w:p>
        </w:tc>
        <w:tc>
          <w:tcPr>
            <w:tcW w:w="7142" w:type="dxa"/>
            <w:noWrap w:val="0"/>
            <w:vAlign w:val="center"/>
          </w:tcPr>
          <w:p w14:paraId="0BD83E6C">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一档（</w:t>
            </w:r>
            <w:r>
              <w:rPr>
                <w:rFonts w:hint="eastAsia" w:ascii="宋体" w:hAnsi="宋体" w:cs="宋体"/>
                <w:bCs/>
                <w:color w:val="auto"/>
                <w:kern w:val="0"/>
                <w:szCs w:val="21"/>
                <w:highlight w:val="none"/>
                <w:lang w:val="en-US" w:eastAsia="zh-CN"/>
              </w:rPr>
              <w:t>8</w:t>
            </w:r>
            <w:r>
              <w:rPr>
                <w:rFonts w:hint="eastAsia" w:ascii="宋体" w:hAnsi="宋体" w:cs="宋体"/>
                <w:bCs/>
                <w:color w:val="auto"/>
                <w:kern w:val="0"/>
                <w:szCs w:val="21"/>
                <w:highlight w:val="none"/>
              </w:rPr>
              <w:t>分）：提供有服务方案，方案包含人员配备，及组织实施方案。</w:t>
            </w:r>
          </w:p>
          <w:p w14:paraId="0623DEF8">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二档（</w:t>
            </w:r>
            <w:r>
              <w:rPr>
                <w:rFonts w:hint="eastAsia" w:ascii="宋体" w:hAnsi="宋体" w:cs="宋体"/>
                <w:bCs/>
                <w:color w:val="auto"/>
                <w:kern w:val="0"/>
                <w:szCs w:val="21"/>
                <w:highlight w:val="none"/>
                <w:lang w:val="en-US" w:eastAsia="zh-CN"/>
              </w:rPr>
              <w:t>16</w:t>
            </w:r>
            <w:r>
              <w:rPr>
                <w:rFonts w:hint="eastAsia" w:ascii="宋体" w:hAnsi="宋体" w:cs="宋体"/>
                <w:bCs/>
                <w:color w:val="auto"/>
                <w:kern w:val="0"/>
                <w:szCs w:val="21"/>
                <w:highlight w:val="none"/>
              </w:rPr>
              <w:t xml:space="preserve">分）：满足一档的基础上，有针对性的收集、运输、处置方案，能有效把控各环节安全管理；配备人员切合采购人服务工作需要，岗位专人配置架构合理，能够保障医疗废物转运处置过程正常运转。 </w:t>
            </w:r>
          </w:p>
          <w:p w14:paraId="298EA7D8">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三档（</w:t>
            </w:r>
            <w:r>
              <w:rPr>
                <w:rFonts w:hint="eastAsia" w:ascii="宋体" w:hAnsi="宋体" w:cs="宋体"/>
                <w:bCs/>
                <w:color w:val="auto"/>
                <w:kern w:val="0"/>
                <w:szCs w:val="21"/>
                <w:highlight w:val="none"/>
                <w:lang w:val="en-US" w:eastAsia="zh-CN"/>
              </w:rPr>
              <w:t>25</w:t>
            </w:r>
            <w:r>
              <w:rPr>
                <w:rFonts w:hint="eastAsia" w:ascii="宋体" w:hAnsi="宋体" w:cs="宋体"/>
                <w:bCs/>
                <w:color w:val="auto"/>
                <w:kern w:val="0"/>
                <w:szCs w:val="21"/>
                <w:highlight w:val="none"/>
              </w:rPr>
              <w:t>分）：满足二档的基础上，有人员安全措施保障方案，转运处置过程中人员安排条理清晰，并能提供安全监测服务方案，做好废物处置前后的申报工作以及验收材料的及时准备。</w:t>
            </w:r>
          </w:p>
          <w:p w14:paraId="48B83F7C">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注：未提供方案、方案与本项目无关的或不满足一档要求的，得0分</w:t>
            </w:r>
          </w:p>
        </w:tc>
      </w:tr>
      <w:tr w14:paraId="68987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noWrap w:val="0"/>
            <w:vAlign w:val="center"/>
          </w:tcPr>
          <w:p w14:paraId="4D72E270">
            <w:pPr>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b/>
                <w:bCs w:val="0"/>
                <w:color w:val="auto"/>
                <w:kern w:val="0"/>
                <w:szCs w:val="21"/>
                <w:highlight w:val="none"/>
                <w:lang w:val="en-US" w:eastAsia="zh-CN"/>
              </w:rPr>
            </w:pPr>
            <w:r>
              <w:rPr>
                <w:rFonts w:hint="eastAsia" w:ascii="宋体" w:hAnsi="宋体" w:cs="宋体"/>
                <w:b/>
                <w:bCs w:val="0"/>
                <w:color w:val="auto"/>
                <w:kern w:val="0"/>
                <w:szCs w:val="21"/>
                <w:highlight w:val="none"/>
                <w:lang w:val="en-US" w:eastAsia="zh-CN"/>
              </w:rPr>
              <w:t>管理措施方案</w:t>
            </w:r>
          </w:p>
        </w:tc>
        <w:tc>
          <w:tcPr>
            <w:tcW w:w="781" w:type="dxa"/>
            <w:noWrap w:val="0"/>
            <w:vAlign w:val="center"/>
          </w:tcPr>
          <w:p w14:paraId="3F113E8C">
            <w:pPr>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b/>
                <w:bCs w:val="0"/>
                <w:color w:val="auto"/>
                <w:kern w:val="0"/>
                <w:szCs w:val="21"/>
                <w:highlight w:val="none"/>
                <w:lang w:val="en-US" w:eastAsia="zh-CN"/>
              </w:rPr>
            </w:pPr>
            <w:r>
              <w:rPr>
                <w:rFonts w:hint="eastAsia" w:ascii="宋体" w:hAnsi="宋体" w:cs="宋体"/>
                <w:b/>
                <w:bCs w:val="0"/>
                <w:color w:val="auto"/>
                <w:kern w:val="0"/>
                <w:szCs w:val="21"/>
                <w:highlight w:val="none"/>
                <w:lang w:val="en-US" w:eastAsia="zh-CN"/>
              </w:rPr>
              <w:t>20分</w:t>
            </w:r>
          </w:p>
        </w:tc>
        <w:tc>
          <w:tcPr>
            <w:tcW w:w="7142" w:type="dxa"/>
            <w:noWrap w:val="0"/>
            <w:vAlign w:val="center"/>
          </w:tcPr>
          <w:p w14:paraId="7091F4D1">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lang w:val="en-US" w:eastAsia="zh-CN"/>
              </w:rPr>
            </w:pPr>
            <w:r>
              <w:rPr>
                <w:rFonts w:hint="eastAsia" w:ascii="宋体" w:hAnsi="宋体" w:cs="宋体"/>
                <w:bCs/>
                <w:color w:val="auto"/>
                <w:kern w:val="0"/>
                <w:szCs w:val="21"/>
                <w:highlight w:val="none"/>
                <w:lang w:val="en-US" w:eastAsia="zh-CN"/>
              </w:rPr>
              <w:t>一档（7分）：提供有管理措施方案，管理措施方案包含监测管理措施、环保措施、时间安排措施等。</w:t>
            </w:r>
          </w:p>
          <w:p w14:paraId="74B3A1BA">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lang w:val="en-US" w:eastAsia="zh-CN"/>
              </w:rPr>
            </w:pPr>
            <w:r>
              <w:rPr>
                <w:rFonts w:hint="eastAsia" w:ascii="宋体" w:hAnsi="宋体" w:cs="宋体"/>
                <w:bCs/>
                <w:color w:val="auto"/>
                <w:kern w:val="0"/>
                <w:szCs w:val="21"/>
                <w:highlight w:val="none"/>
                <w:lang w:val="en-US" w:eastAsia="zh-CN"/>
              </w:rPr>
              <w:t>二档（14分）：满足一档的基础上，结合质量目标、作业标准、监督机制提出了符合实际需求的质量、安全管理方案措施。</w:t>
            </w:r>
          </w:p>
          <w:p w14:paraId="303371AA">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lang w:val="en-US" w:eastAsia="zh-CN"/>
              </w:rPr>
            </w:pPr>
            <w:r>
              <w:rPr>
                <w:rFonts w:hint="eastAsia" w:ascii="宋体" w:hAnsi="宋体" w:cs="宋体"/>
                <w:bCs/>
                <w:color w:val="auto"/>
                <w:kern w:val="0"/>
                <w:szCs w:val="21"/>
                <w:highlight w:val="none"/>
                <w:lang w:val="en-US" w:eastAsia="zh-CN"/>
              </w:rPr>
              <w:t>三档（20分）：满足二档的基础上，措施具有针对性，且对医院医疗废弃物管理有优化建议。</w:t>
            </w:r>
          </w:p>
          <w:p w14:paraId="0255D9ED">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lang w:val="en-US" w:eastAsia="zh-CN"/>
              </w:rPr>
            </w:pPr>
            <w:r>
              <w:rPr>
                <w:rFonts w:hint="eastAsia" w:ascii="宋体" w:hAnsi="宋体" w:cs="宋体"/>
                <w:bCs/>
                <w:color w:val="auto"/>
                <w:kern w:val="0"/>
                <w:szCs w:val="21"/>
                <w:highlight w:val="none"/>
                <w:lang w:val="en-US" w:eastAsia="zh-CN"/>
              </w:rPr>
              <w:t>注：未提供方案、方案与本项目无关的或不满足一档要求的，得0分</w:t>
            </w:r>
          </w:p>
        </w:tc>
      </w:tr>
      <w:tr w14:paraId="60A83E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3" w:hRule="atLeast"/>
          <w:jc w:val="center"/>
        </w:trPr>
        <w:tc>
          <w:tcPr>
            <w:tcW w:w="846" w:type="dxa"/>
            <w:noWrap w:val="0"/>
            <w:vAlign w:val="center"/>
          </w:tcPr>
          <w:p w14:paraId="3B6F5758">
            <w:pPr>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b/>
                <w:bCs w:val="0"/>
                <w:color w:val="auto"/>
                <w:kern w:val="0"/>
                <w:szCs w:val="21"/>
                <w:highlight w:val="none"/>
              </w:rPr>
            </w:pPr>
            <w:r>
              <w:rPr>
                <w:rFonts w:hint="eastAsia" w:ascii="宋体" w:hAnsi="宋体" w:cs="宋体"/>
                <w:b/>
                <w:bCs w:val="0"/>
                <w:color w:val="auto"/>
                <w:kern w:val="0"/>
                <w:szCs w:val="21"/>
                <w:highlight w:val="none"/>
              </w:rPr>
              <w:t>应急方案</w:t>
            </w:r>
          </w:p>
          <w:p w14:paraId="51B92785">
            <w:pPr>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b/>
                <w:bCs w:val="0"/>
                <w:color w:val="auto"/>
                <w:kern w:val="0"/>
                <w:szCs w:val="21"/>
                <w:highlight w:val="none"/>
              </w:rPr>
            </w:pPr>
          </w:p>
        </w:tc>
        <w:tc>
          <w:tcPr>
            <w:tcW w:w="781" w:type="dxa"/>
            <w:noWrap w:val="0"/>
            <w:vAlign w:val="center"/>
          </w:tcPr>
          <w:p w14:paraId="0704B3AA">
            <w:pPr>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b/>
                <w:bCs w:val="0"/>
                <w:color w:val="auto"/>
                <w:kern w:val="0"/>
                <w:szCs w:val="21"/>
                <w:highlight w:val="none"/>
                <w:lang w:val="en-US" w:eastAsia="zh-CN"/>
              </w:rPr>
            </w:pPr>
            <w:r>
              <w:rPr>
                <w:rFonts w:hint="eastAsia" w:ascii="宋体" w:hAnsi="宋体" w:cs="宋体"/>
                <w:b/>
                <w:bCs w:val="0"/>
                <w:color w:val="auto"/>
                <w:kern w:val="0"/>
                <w:szCs w:val="21"/>
                <w:highlight w:val="none"/>
                <w:lang w:val="en-US" w:eastAsia="zh-CN"/>
              </w:rPr>
              <w:t>5分</w:t>
            </w:r>
          </w:p>
        </w:tc>
        <w:tc>
          <w:tcPr>
            <w:tcW w:w="7142" w:type="dxa"/>
            <w:noWrap w:val="0"/>
            <w:vAlign w:val="center"/>
          </w:tcPr>
          <w:p w14:paraId="140772AD">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一档（</w:t>
            </w:r>
            <w:r>
              <w:rPr>
                <w:rFonts w:hint="eastAsia" w:ascii="宋体" w:hAnsi="宋体" w:cs="宋体"/>
                <w:bCs/>
                <w:color w:val="auto"/>
                <w:kern w:val="0"/>
                <w:szCs w:val="21"/>
                <w:highlight w:val="none"/>
                <w:lang w:val="en-US" w:eastAsia="zh-CN"/>
              </w:rPr>
              <w:t>1</w:t>
            </w:r>
            <w:r>
              <w:rPr>
                <w:rFonts w:hint="eastAsia" w:ascii="宋体" w:hAnsi="宋体" w:cs="宋体"/>
                <w:bCs/>
                <w:color w:val="auto"/>
                <w:kern w:val="0"/>
                <w:szCs w:val="21"/>
                <w:highlight w:val="none"/>
              </w:rPr>
              <w:t xml:space="preserve">分）：提供有应急方案，方案包含有应对相关预见性紧急情形。 </w:t>
            </w:r>
          </w:p>
          <w:p w14:paraId="491F7DBF">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二档（</w:t>
            </w:r>
            <w:r>
              <w:rPr>
                <w:rFonts w:hint="eastAsia" w:ascii="宋体" w:hAnsi="宋体" w:cs="宋体"/>
                <w:bCs/>
                <w:color w:val="auto"/>
                <w:kern w:val="0"/>
                <w:szCs w:val="21"/>
                <w:highlight w:val="none"/>
                <w:lang w:val="en-US" w:eastAsia="zh-CN"/>
              </w:rPr>
              <w:t>3</w:t>
            </w:r>
            <w:r>
              <w:rPr>
                <w:rFonts w:hint="eastAsia" w:ascii="宋体" w:hAnsi="宋体" w:cs="宋体"/>
                <w:bCs/>
                <w:color w:val="auto"/>
                <w:kern w:val="0"/>
                <w:szCs w:val="21"/>
                <w:highlight w:val="none"/>
              </w:rPr>
              <w:t>分）：满足一档的基础上，保持转运处置现场的安全整洁，发生危险紧急情况做到及时控制并做好后续善后工作。</w:t>
            </w:r>
          </w:p>
          <w:p w14:paraId="6E8773C9">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三档（</w:t>
            </w:r>
            <w:r>
              <w:rPr>
                <w:rFonts w:hint="eastAsia" w:ascii="宋体" w:hAnsi="宋体" w:cs="宋体"/>
                <w:bCs/>
                <w:color w:val="auto"/>
                <w:kern w:val="0"/>
                <w:szCs w:val="21"/>
                <w:highlight w:val="none"/>
                <w:lang w:val="en-US" w:eastAsia="zh-CN"/>
              </w:rPr>
              <w:t>5</w:t>
            </w:r>
            <w:r>
              <w:rPr>
                <w:rFonts w:hint="eastAsia" w:ascii="宋体" w:hAnsi="宋体" w:cs="宋体"/>
                <w:bCs/>
                <w:color w:val="auto"/>
                <w:kern w:val="0"/>
                <w:szCs w:val="21"/>
                <w:highlight w:val="none"/>
              </w:rPr>
              <w:t>分）：满足二档的基础上，就工作人员不慎沾染废液可迅速做出有效处置并保障人员安全，废液洒落地上能及时处置，如发生火灾、爆炸等紧急情形做到及时撤离现场人员并控制医疗废物事故造成的危险源，防止事故的继续扩展。</w:t>
            </w:r>
          </w:p>
          <w:p w14:paraId="700B2B6C">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注：未提供方案、方案与本项目无关的或不满足一档要求的，得0分</w:t>
            </w:r>
          </w:p>
        </w:tc>
      </w:tr>
      <w:tr w14:paraId="2DF44F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69" w:type="dxa"/>
            <w:gridSpan w:val="3"/>
            <w:noWrap w:val="0"/>
            <w:vAlign w:val="center"/>
          </w:tcPr>
          <w:p w14:paraId="1BDB4151">
            <w:pPr>
              <w:pageBreakBefore w:val="0"/>
              <w:widowControl/>
              <w:kinsoku/>
              <w:wordWrap/>
              <w:overflowPunct/>
              <w:topLinePunct w:val="0"/>
              <w:autoSpaceDE/>
              <w:autoSpaceDN/>
              <w:bidi w:val="0"/>
              <w:adjustRightInd w:val="0"/>
              <w:snapToGrid w:val="0"/>
              <w:spacing w:line="400" w:lineRule="exact"/>
              <w:textAlignment w:val="auto"/>
              <w:rPr>
                <w:rFonts w:hint="eastAsia" w:ascii="宋体" w:hAnsi="宋体" w:cs="宋体"/>
                <w:b/>
                <w:bCs w:val="0"/>
                <w:color w:val="auto"/>
                <w:kern w:val="0"/>
                <w:szCs w:val="21"/>
                <w:highlight w:val="none"/>
                <w:lang w:val="en-US" w:eastAsia="zh-CN"/>
              </w:rPr>
            </w:pPr>
            <w:r>
              <w:rPr>
                <w:rFonts w:hint="eastAsia" w:ascii="宋体" w:hAnsi="宋体" w:cs="宋体"/>
                <w:b/>
                <w:bCs w:val="0"/>
                <w:color w:val="auto"/>
                <w:kern w:val="0"/>
                <w:szCs w:val="21"/>
                <w:highlight w:val="none"/>
                <w:lang w:val="en-US" w:eastAsia="zh-CN"/>
              </w:rPr>
              <w:t>（三）商务分（满分20分）</w:t>
            </w:r>
          </w:p>
        </w:tc>
      </w:tr>
      <w:tr w14:paraId="36F83A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noWrap w:val="0"/>
            <w:vAlign w:val="center"/>
          </w:tcPr>
          <w:p w14:paraId="026FD8B6">
            <w:pPr>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b/>
                <w:bCs w:val="0"/>
                <w:color w:val="auto"/>
                <w:kern w:val="0"/>
                <w:szCs w:val="21"/>
                <w:highlight w:val="none"/>
                <w:lang w:val="en-US" w:eastAsia="zh-CN"/>
              </w:rPr>
            </w:pPr>
            <w:bookmarkStart w:id="181" w:name="_Toc9520"/>
            <w:r>
              <w:rPr>
                <w:rFonts w:hint="eastAsia" w:ascii="宋体" w:hAnsi="宋体" w:cs="宋体"/>
                <w:b/>
                <w:bCs w:val="0"/>
                <w:color w:val="auto"/>
                <w:kern w:val="0"/>
                <w:szCs w:val="21"/>
                <w:highlight w:val="none"/>
                <w:lang w:val="en-US" w:eastAsia="zh-CN"/>
              </w:rPr>
              <w:t>业绩</w:t>
            </w:r>
          </w:p>
        </w:tc>
        <w:tc>
          <w:tcPr>
            <w:tcW w:w="781" w:type="dxa"/>
            <w:noWrap w:val="0"/>
            <w:vAlign w:val="center"/>
          </w:tcPr>
          <w:p w14:paraId="261AD847">
            <w:pPr>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b/>
                <w:bCs w:val="0"/>
                <w:color w:val="auto"/>
                <w:kern w:val="0"/>
                <w:szCs w:val="21"/>
                <w:highlight w:val="none"/>
                <w:lang w:val="en-US" w:eastAsia="zh-CN"/>
              </w:rPr>
            </w:pPr>
            <w:r>
              <w:rPr>
                <w:rFonts w:hint="eastAsia" w:ascii="宋体" w:hAnsi="宋体" w:cs="宋体"/>
                <w:b/>
                <w:bCs w:val="0"/>
                <w:color w:val="auto"/>
                <w:kern w:val="0"/>
                <w:szCs w:val="21"/>
                <w:highlight w:val="none"/>
                <w:lang w:val="en-US" w:eastAsia="zh-CN"/>
              </w:rPr>
              <w:t>14分</w:t>
            </w:r>
          </w:p>
        </w:tc>
        <w:tc>
          <w:tcPr>
            <w:tcW w:w="7142" w:type="dxa"/>
            <w:noWrap w:val="0"/>
            <w:vAlign w:val="center"/>
          </w:tcPr>
          <w:p w14:paraId="2170AE43">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lang w:val="en-US" w:eastAsia="zh-CN"/>
              </w:rPr>
            </w:pPr>
            <w:r>
              <w:rPr>
                <w:rFonts w:hint="eastAsia" w:ascii="宋体" w:hAnsi="宋体" w:cs="宋体"/>
                <w:bCs/>
                <w:color w:val="auto"/>
                <w:kern w:val="0"/>
                <w:szCs w:val="21"/>
                <w:highlight w:val="none"/>
                <w:lang w:val="en-US" w:eastAsia="zh-CN"/>
              </w:rPr>
              <w:t xml:space="preserve">2023年1月1日至投标截止时间，供应商承担过同类项目业绩的，每1项得2分，满分14分。需要提供合同复印件作为证明，否则不予以计分。 </w:t>
            </w:r>
          </w:p>
        </w:tc>
      </w:tr>
      <w:tr w14:paraId="2D61A6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noWrap w:val="0"/>
            <w:vAlign w:val="center"/>
          </w:tcPr>
          <w:p w14:paraId="59ABC8C0">
            <w:pPr>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b/>
                <w:bCs w:val="0"/>
                <w:color w:val="auto"/>
                <w:kern w:val="0"/>
                <w:szCs w:val="21"/>
                <w:highlight w:val="none"/>
                <w:lang w:val="en-US" w:eastAsia="zh-CN"/>
              </w:rPr>
            </w:pPr>
            <w:r>
              <w:rPr>
                <w:rFonts w:hint="eastAsia" w:ascii="宋体" w:hAnsi="宋体" w:cs="宋体"/>
                <w:b/>
                <w:bCs w:val="0"/>
                <w:color w:val="auto"/>
                <w:kern w:val="0"/>
                <w:szCs w:val="21"/>
                <w:highlight w:val="none"/>
                <w:lang w:val="en-US" w:eastAsia="zh-CN"/>
              </w:rPr>
              <w:t>企业信誉</w:t>
            </w:r>
          </w:p>
          <w:p w14:paraId="47FDA8C5">
            <w:pPr>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b/>
                <w:bCs w:val="0"/>
                <w:color w:val="auto"/>
                <w:kern w:val="0"/>
                <w:szCs w:val="21"/>
                <w:highlight w:val="none"/>
                <w:lang w:val="en-US" w:eastAsia="zh-CN"/>
              </w:rPr>
            </w:pPr>
            <w:r>
              <w:rPr>
                <w:rFonts w:hint="eastAsia" w:ascii="宋体" w:hAnsi="宋体" w:cs="宋体"/>
                <w:b/>
                <w:bCs w:val="0"/>
                <w:color w:val="auto"/>
                <w:kern w:val="0"/>
                <w:szCs w:val="21"/>
                <w:highlight w:val="none"/>
                <w:lang w:val="en-US" w:eastAsia="zh-CN"/>
              </w:rPr>
              <w:t>实力</w:t>
            </w:r>
          </w:p>
        </w:tc>
        <w:tc>
          <w:tcPr>
            <w:tcW w:w="781" w:type="dxa"/>
            <w:noWrap w:val="0"/>
            <w:vAlign w:val="center"/>
          </w:tcPr>
          <w:p w14:paraId="41587209">
            <w:pPr>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b/>
                <w:bCs w:val="0"/>
                <w:color w:val="auto"/>
                <w:kern w:val="0"/>
                <w:szCs w:val="21"/>
                <w:highlight w:val="none"/>
                <w:lang w:val="en-US" w:eastAsia="zh-CN"/>
              </w:rPr>
            </w:pPr>
            <w:r>
              <w:rPr>
                <w:rFonts w:hint="eastAsia" w:ascii="宋体" w:hAnsi="宋体" w:cs="宋体"/>
                <w:b/>
                <w:bCs w:val="0"/>
                <w:color w:val="auto"/>
                <w:kern w:val="0"/>
                <w:szCs w:val="21"/>
                <w:highlight w:val="none"/>
                <w:lang w:val="en-US" w:eastAsia="zh-CN"/>
              </w:rPr>
              <w:t>6分</w:t>
            </w:r>
          </w:p>
        </w:tc>
        <w:tc>
          <w:tcPr>
            <w:tcW w:w="7142" w:type="dxa"/>
            <w:noWrap w:val="0"/>
            <w:vAlign w:val="center"/>
          </w:tcPr>
          <w:p w14:paraId="3780778F">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lang w:val="en-US" w:eastAsia="zh-CN"/>
              </w:rPr>
            </w:pPr>
            <w:r>
              <w:rPr>
                <w:rFonts w:hint="eastAsia" w:ascii="宋体" w:hAnsi="宋体" w:cs="宋体"/>
                <w:bCs/>
                <w:color w:val="auto"/>
                <w:kern w:val="0"/>
                <w:szCs w:val="21"/>
                <w:highlight w:val="none"/>
                <w:lang w:val="en-US" w:eastAsia="zh-CN"/>
              </w:rPr>
              <w:t>供应商具备ISO9001质量管理体系认证、ISO14001环境管理体系认证、ISO45001职业健康安全管理体系认证的，每有1个有效认证得2分，满分6分。（投标人投标文件中需提供有效认证证书复印件及提供上述证书对应的在全国认证认可信息公共服务平台上(http://cx.cnca.cn)查询结果的截图，并加盖供应商单位公章，不提供或证书状态非“有效”均不得分。）</w:t>
            </w:r>
          </w:p>
        </w:tc>
      </w:tr>
      <w:tr w14:paraId="1782FB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69" w:type="dxa"/>
            <w:gridSpan w:val="3"/>
            <w:noWrap w:val="0"/>
            <w:vAlign w:val="center"/>
          </w:tcPr>
          <w:p w14:paraId="2D3C3A08">
            <w:pPr>
              <w:pageBreakBefore w:val="0"/>
              <w:widowControl/>
              <w:kinsoku/>
              <w:wordWrap/>
              <w:overflowPunct/>
              <w:topLinePunct w:val="0"/>
              <w:autoSpaceDE/>
              <w:autoSpaceDN/>
              <w:bidi w:val="0"/>
              <w:adjustRightInd w:val="0"/>
              <w:snapToGrid w:val="0"/>
              <w:spacing w:line="400" w:lineRule="exact"/>
              <w:textAlignment w:val="auto"/>
              <w:rPr>
                <w:rFonts w:hint="eastAsia" w:ascii="宋体" w:hAnsi="宋体" w:cs="宋体"/>
                <w:b/>
                <w:bCs w:val="0"/>
                <w:color w:val="auto"/>
                <w:kern w:val="0"/>
                <w:szCs w:val="21"/>
                <w:highlight w:val="none"/>
              </w:rPr>
            </w:pPr>
            <w:r>
              <w:rPr>
                <w:rFonts w:hint="eastAsia" w:ascii="宋体" w:hAnsi="宋体" w:cs="宋体"/>
                <w:b/>
                <w:bCs w:val="0"/>
                <w:color w:val="auto"/>
                <w:kern w:val="0"/>
                <w:szCs w:val="21"/>
                <w:highlight w:val="none"/>
                <w:lang w:val="en-US" w:eastAsia="zh-CN"/>
              </w:rPr>
              <w:t>总得分=（一）+（二）+</w:t>
            </w:r>
            <w:bookmarkEnd w:id="181"/>
            <w:r>
              <w:rPr>
                <w:rFonts w:hint="eastAsia" w:ascii="宋体" w:hAnsi="宋体" w:cs="宋体"/>
                <w:b/>
                <w:bCs w:val="0"/>
                <w:color w:val="auto"/>
                <w:kern w:val="0"/>
                <w:szCs w:val="21"/>
                <w:highlight w:val="none"/>
                <w:lang w:val="en-US" w:eastAsia="zh-CN"/>
              </w:rPr>
              <w:t>（三）</w:t>
            </w:r>
          </w:p>
        </w:tc>
      </w:tr>
    </w:tbl>
    <w:p w14:paraId="1BC59B1E">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49597533">
      <w:pPr>
        <w:pStyle w:val="3"/>
        <w:pageBreakBefore w:val="0"/>
        <w:kinsoku/>
        <w:wordWrap/>
        <w:overflowPunct/>
        <w:topLinePunct w:val="0"/>
        <w:autoSpaceDE/>
        <w:autoSpaceDN/>
        <w:bidi w:val="0"/>
        <w:spacing w:before="0" w:after="0"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四、中标候选人推荐原则</w:t>
      </w:r>
      <w:bookmarkEnd w:id="179"/>
      <w:bookmarkEnd w:id="180"/>
    </w:p>
    <w:p w14:paraId="60C711B9">
      <w:pPr>
        <w:pStyle w:val="22"/>
        <w:pageBreakBefore w:val="0"/>
        <w:kinsoku/>
        <w:wordWrap/>
        <w:overflowPunct/>
        <w:topLinePunct w:val="0"/>
        <w:autoSpaceDE/>
        <w:autoSpaceDN/>
        <w:bidi w:val="0"/>
        <w:spacing w:line="400" w:lineRule="exact"/>
        <w:ind w:firstLine="420" w:firstLineChars="200"/>
        <w:contextualSpacing/>
        <w:textAlignment w:val="auto"/>
        <w:rPr>
          <w:rFonts w:hint="eastAsia" w:hAnsi="宋体" w:cs="宋体"/>
          <w:color w:val="auto"/>
          <w:highlight w:val="none"/>
        </w:rPr>
      </w:pPr>
      <w:r>
        <w:rPr>
          <w:rFonts w:hint="eastAsia" w:hAnsi="宋体" w:cs="宋体"/>
          <w:color w:val="auto"/>
          <w:highlight w:val="none"/>
        </w:rPr>
        <w:t>1.评标委员会根据原始评标记录和评标结果编写评标报告，并通过电子交易平台向采购人、采购代理机构提交。</w:t>
      </w:r>
    </w:p>
    <w:p w14:paraId="67E3E06C">
      <w:pPr>
        <w:pStyle w:val="22"/>
        <w:pageBreakBefore w:val="0"/>
        <w:kinsoku/>
        <w:wordWrap/>
        <w:overflowPunct/>
        <w:topLinePunct w:val="0"/>
        <w:autoSpaceDE/>
        <w:autoSpaceDN/>
        <w:bidi w:val="0"/>
        <w:spacing w:line="400" w:lineRule="exact"/>
        <w:ind w:firstLine="420" w:firstLineChars="200"/>
        <w:contextualSpacing/>
        <w:textAlignment w:val="auto"/>
        <w:rPr>
          <w:rFonts w:hint="eastAsia" w:hAnsi="宋体" w:cs="宋体"/>
          <w:color w:val="auto"/>
          <w:highlight w:val="none"/>
        </w:rPr>
      </w:pPr>
      <w:r>
        <w:rPr>
          <w:rFonts w:hint="eastAsia" w:hAnsi="宋体" w:cs="宋体"/>
          <w:color w:val="auto"/>
          <w:highlight w:val="none"/>
        </w:rPr>
        <w:t>2.评标委员会将根据总得分由高到低排列次序并推荐中标候选人。得分相同的，以投标报价由低到高顺序排列。得分相同且投标报价相同的并列，投标文件满足招标文件全部实质性要求，且按照评审因素的量化指标评审【详见投标人须知前附表30.1条】得分最高的投标人为排名第一的中标候选人。</w:t>
      </w:r>
    </w:p>
    <w:p w14:paraId="20ED94FF">
      <w:pPr>
        <w:pStyle w:val="22"/>
        <w:spacing w:line="440" w:lineRule="exact"/>
        <w:ind w:firstLine="420" w:firstLineChars="200"/>
        <w:contextualSpacing/>
        <w:rPr>
          <w:rFonts w:hint="eastAsia" w:hAnsi="宋体" w:cs="宋体"/>
          <w:b/>
          <w:color w:val="auto"/>
          <w:sz w:val="24"/>
          <w:highlight w:val="none"/>
        </w:rPr>
      </w:pPr>
      <w:r>
        <w:rPr>
          <w:rFonts w:hint="eastAsia" w:hAnsi="宋体" w:cs="宋体"/>
          <w:color w:val="auto"/>
          <w:highlight w:val="none"/>
        </w:rPr>
        <w:br w:type="page"/>
      </w:r>
    </w:p>
    <w:p w14:paraId="12566135">
      <w:pPr>
        <w:pStyle w:val="2"/>
        <w:jc w:val="center"/>
        <w:rPr>
          <w:rFonts w:hint="eastAsia"/>
          <w:color w:val="auto"/>
          <w:highlight w:val="none"/>
        </w:rPr>
      </w:pPr>
      <w:bookmarkStart w:id="182" w:name="_Toc25250"/>
      <w:r>
        <w:rPr>
          <w:rFonts w:hint="eastAsia"/>
          <w:color w:val="auto"/>
          <w:highlight w:val="none"/>
        </w:rPr>
        <w:t>第五章  拟签订的合同文本</w:t>
      </w:r>
      <w:bookmarkEnd w:id="182"/>
    </w:p>
    <w:p w14:paraId="2028EE58">
      <w:pPr>
        <w:spacing w:line="400" w:lineRule="exact"/>
        <w:ind w:firstLine="960" w:firstLineChars="400"/>
        <w:rPr>
          <w:rFonts w:hint="eastAsia" w:ascii="宋体" w:hAnsi="宋体" w:eastAsia="宋体" w:cs="宋体"/>
          <w:color w:val="auto"/>
          <w:sz w:val="24"/>
          <w:szCs w:val="24"/>
          <w:highlight w:val="none"/>
        </w:rPr>
      </w:pPr>
    </w:p>
    <w:p w14:paraId="67A49BBF">
      <w:pPr>
        <w:spacing w:line="400" w:lineRule="exact"/>
        <w:ind w:firstLine="2160" w:firstLineChars="900"/>
        <w:rPr>
          <w:rFonts w:hint="eastAsia" w:ascii="宋体" w:hAnsi="宋体" w:eastAsia="宋体" w:cs="宋体"/>
          <w:color w:val="auto"/>
          <w:sz w:val="24"/>
          <w:szCs w:val="24"/>
          <w:highlight w:val="none"/>
        </w:rPr>
      </w:pPr>
    </w:p>
    <w:p w14:paraId="672BE4D0">
      <w:pPr>
        <w:spacing w:line="400" w:lineRule="exact"/>
        <w:ind w:firstLine="2160" w:firstLineChars="900"/>
        <w:rPr>
          <w:rFonts w:hint="eastAsia" w:ascii="宋体" w:hAnsi="宋体" w:eastAsia="宋体" w:cs="宋体"/>
          <w:color w:val="auto"/>
          <w:sz w:val="24"/>
          <w:szCs w:val="24"/>
          <w:highlight w:val="none"/>
        </w:rPr>
      </w:pPr>
    </w:p>
    <w:p w14:paraId="1EA5704B">
      <w:pPr>
        <w:spacing w:line="400" w:lineRule="exact"/>
        <w:ind w:firstLine="2160" w:firstLineChars="900"/>
        <w:rPr>
          <w:rFonts w:hint="eastAsia" w:ascii="宋体" w:hAnsi="宋体" w:eastAsia="宋体" w:cs="宋体"/>
          <w:color w:val="auto"/>
          <w:sz w:val="24"/>
          <w:szCs w:val="24"/>
          <w:highlight w:val="none"/>
        </w:rPr>
      </w:pPr>
    </w:p>
    <w:p w14:paraId="2A416F89">
      <w:pP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br w:type="page"/>
      </w:r>
    </w:p>
    <w:p w14:paraId="6870DB7A">
      <w:pPr>
        <w:pStyle w:val="22"/>
        <w:jc w:val="center"/>
        <w:rPr>
          <w:rFonts w:hint="eastAsia" w:hAnsi="宋体"/>
          <w:b/>
          <w:color w:val="auto"/>
          <w:sz w:val="52"/>
          <w:szCs w:val="52"/>
          <w:highlight w:val="none"/>
        </w:rPr>
      </w:pPr>
      <w:r>
        <w:rPr>
          <w:rFonts w:hint="eastAsia" w:hAnsi="宋体"/>
          <w:b/>
          <w:color w:val="auto"/>
          <w:sz w:val="52"/>
          <w:szCs w:val="52"/>
          <w:highlight w:val="none"/>
        </w:rPr>
        <w:t>广西壮族自治区政府采购合同</w:t>
      </w:r>
    </w:p>
    <w:p w14:paraId="2A9B926A">
      <w:pPr>
        <w:pStyle w:val="22"/>
        <w:rPr>
          <w:rFonts w:hint="eastAsia" w:hAnsi="宋体"/>
          <w:color w:val="auto"/>
          <w:highlight w:val="none"/>
        </w:rPr>
      </w:pPr>
    </w:p>
    <w:p w14:paraId="172041BB">
      <w:pPr>
        <w:pStyle w:val="22"/>
        <w:rPr>
          <w:rFonts w:hint="eastAsia" w:hAnsi="宋体"/>
          <w:color w:val="auto"/>
          <w:highlight w:val="none"/>
        </w:rPr>
      </w:pPr>
    </w:p>
    <w:p w14:paraId="29EF398A">
      <w:pPr>
        <w:pStyle w:val="22"/>
        <w:ind w:firstLine="1590" w:firstLineChars="495"/>
        <w:rPr>
          <w:rFonts w:hint="eastAsia" w:hAnsi="宋体"/>
          <w:b/>
          <w:color w:val="auto"/>
          <w:sz w:val="32"/>
          <w:szCs w:val="32"/>
          <w:highlight w:val="none"/>
        </w:rPr>
      </w:pPr>
    </w:p>
    <w:p w14:paraId="435044A1">
      <w:pPr>
        <w:pStyle w:val="22"/>
        <w:ind w:firstLine="1590" w:firstLineChars="495"/>
        <w:rPr>
          <w:rFonts w:hint="eastAsia" w:hAnsi="宋体"/>
          <w:b/>
          <w:color w:val="auto"/>
          <w:sz w:val="32"/>
          <w:szCs w:val="32"/>
          <w:highlight w:val="none"/>
        </w:rPr>
      </w:pPr>
    </w:p>
    <w:p w14:paraId="7A36CD0A">
      <w:pPr>
        <w:pStyle w:val="22"/>
        <w:ind w:firstLine="1590" w:firstLineChars="495"/>
        <w:rPr>
          <w:rFonts w:hint="eastAsia" w:hAnsi="宋体"/>
          <w:b/>
          <w:color w:val="auto"/>
          <w:sz w:val="32"/>
          <w:szCs w:val="32"/>
          <w:highlight w:val="none"/>
        </w:rPr>
      </w:pPr>
      <w:r>
        <w:rPr>
          <w:rFonts w:hint="eastAsia" w:hAnsi="宋体"/>
          <w:b/>
          <w:color w:val="auto"/>
          <w:sz w:val="32"/>
          <w:szCs w:val="32"/>
          <w:highlight w:val="none"/>
        </w:rPr>
        <w:t>合同名称：</w:t>
      </w:r>
      <w:r>
        <w:rPr>
          <w:rFonts w:hint="eastAsia" w:hAnsi="宋体"/>
          <w:b/>
          <w:color w:val="auto"/>
          <w:sz w:val="32"/>
          <w:szCs w:val="32"/>
          <w:highlight w:val="none"/>
          <w:u w:val="single"/>
        </w:rPr>
        <w:t xml:space="preserve">                           </w:t>
      </w:r>
    </w:p>
    <w:p w14:paraId="2DB25FA6">
      <w:pPr>
        <w:pStyle w:val="22"/>
        <w:ind w:firstLine="1590" w:firstLineChars="495"/>
        <w:rPr>
          <w:rFonts w:hint="eastAsia" w:hAnsi="宋体"/>
          <w:b/>
          <w:color w:val="auto"/>
          <w:sz w:val="32"/>
          <w:szCs w:val="32"/>
          <w:highlight w:val="none"/>
          <w:u w:val="single"/>
        </w:rPr>
      </w:pPr>
      <w:r>
        <w:rPr>
          <w:rFonts w:hint="eastAsia" w:hAnsi="宋体"/>
          <w:b/>
          <w:color w:val="auto"/>
          <w:sz w:val="32"/>
          <w:szCs w:val="32"/>
          <w:highlight w:val="none"/>
        </w:rPr>
        <w:t>合同编号：</w:t>
      </w:r>
      <w:r>
        <w:rPr>
          <w:rFonts w:hint="eastAsia" w:hAnsi="宋体"/>
          <w:b/>
          <w:color w:val="auto"/>
          <w:sz w:val="32"/>
          <w:szCs w:val="32"/>
          <w:highlight w:val="none"/>
          <w:u w:val="single"/>
        </w:rPr>
        <w:t xml:space="preserve">                           </w:t>
      </w:r>
    </w:p>
    <w:p w14:paraId="12F1872E">
      <w:pPr>
        <w:pStyle w:val="22"/>
        <w:jc w:val="center"/>
        <w:rPr>
          <w:rFonts w:hint="eastAsia" w:hAnsi="宋体"/>
          <w:color w:val="auto"/>
          <w:highlight w:val="none"/>
        </w:rPr>
      </w:pPr>
    </w:p>
    <w:p w14:paraId="479494FC">
      <w:pPr>
        <w:pStyle w:val="22"/>
        <w:jc w:val="center"/>
        <w:rPr>
          <w:rFonts w:hint="eastAsia" w:hAnsi="宋体"/>
          <w:color w:val="auto"/>
          <w:highlight w:val="none"/>
        </w:rPr>
      </w:pPr>
    </w:p>
    <w:p w14:paraId="37A27972">
      <w:pPr>
        <w:pStyle w:val="22"/>
        <w:jc w:val="center"/>
        <w:rPr>
          <w:rFonts w:hint="eastAsia" w:hAnsi="宋体"/>
          <w:color w:val="auto"/>
          <w:highlight w:val="none"/>
        </w:rPr>
      </w:pPr>
    </w:p>
    <w:p w14:paraId="6BC1ACF6">
      <w:pPr>
        <w:pStyle w:val="22"/>
        <w:spacing w:after="156" w:afterLines="50" w:line="340" w:lineRule="exact"/>
        <w:ind w:firstLine="1590" w:firstLineChars="495"/>
        <w:rPr>
          <w:rFonts w:hAnsi="宋体"/>
          <w:b/>
          <w:color w:val="auto"/>
          <w:sz w:val="32"/>
          <w:szCs w:val="32"/>
          <w:highlight w:val="none"/>
          <w:u w:val="single"/>
        </w:rPr>
      </w:pPr>
      <w:r>
        <w:rPr>
          <w:rFonts w:hint="eastAsia" w:hAnsi="宋体"/>
          <w:b/>
          <w:color w:val="auto"/>
          <w:sz w:val="32"/>
          <w:szCs w:val="32"/>
          <w:highlight w:val="none"/>
        </w:rPr>
        <w:t>采购单位（甲方）</w:t>
      </w:r>
      <w:r>
        <w:rPr>
          <w:rFonts w:ascii="仿宋_GB2312" w:hAnsi="宋体" w:eastAsia="仿宋_GB2312"/>
          <w:bCs/>
          <w:color w:val="auto"/>
          <w:sz w:val="30"/>
          <w:szCs w:val="72"/>
          <w:highlight w:val="none"/>
          <w:u w:val="single"/>
          <w:lang w:val="en"/>
        </w:rPr>
        <w:t xml:space="preserve"> </w:t>
      </w:r>
      <w:r>
        <w:rPr>
          <w:rFonts w:hint="eastAsia" w:ascii="仿宋_GB2312" w:hAnsi="宋体" w:eastAsia="仿宋_GB2312"/>
          <w:bCs/>
          <w:color w:val="auto"/>
          <w:sz w:val="30"/>
          <w:szCs w:val="72"/>
          <w:highlight w:val="none"/>
          <w:u w:val="single"/>
          <w:lang w:val="en-US" w:eastAsia="zh-CN"/>
        </w:rPr>
        <w:t xml:space="preserve">                     </w:t>
      </w:r>
      <w:r>
        <w:rPr>
          <w:rFonts w:hint="eastAsia" w:hAnsi="宋体"/>
          <w:b/>
          <w:color w:val="auto"/>
          <w:sz w:val="32"/>
          <w:szCs w:val="32"/>
          <w:highlight w:val="none"/>
          <w:u w:val="single"/>
        </w:rPr>
        <w:t xml:space="preserve"> </w:t>
      </w:r>
    </w:p>
    <w:p w14:paraId="797C1DE8">
      <w:pPr>
        <w:pStyle w:val="22"/>
        <w:spacing w:line="340" w:lineRule="exact"/>
        <w:ind w:firstLine="1590" w:firstLineChars="495"/>
        <w:rPr>
          <w:rFonts w:hint="eastAsia" w:hAnsi="宋体"/>
          <w:b/>
          <w:color w:val="auto"/>
          <w:sz w:val="32"/>
          <w:szCs w:val="32"/>
          <w:highlight w:val="none"/>
        </w:rPr>
      </w:pPr>
    </w:p>
    <w:p w14:paraId="457257A7">
      <w:pPr>
        <w:pStyle w:val="22"/>
        <w:spacing w:line="340" w:lineRule="exact"/>
        <w:ind w:firstLine="1590" w:firstLineChars="495"/>
        <w:rPr>
          <w:rFonts w:hint="eastAsia" w:hAnsi="宋体"/>
          <w:b/>
          <w:color w:val="auto"/>
          <w:sz w:val="32"/>
          <w:szCs w:val="32"/>
          <w:highlight w:val="none"/>
        </w:rPr>
      </w:pPr>
    </w:p>
    <w:p w14:paraId="6E4BD9AA">
      <w:pPr>
        <w:pStyle w:val="22"/>
        <w:spacing w:after="156" w:afterLines="50" w:line="340" w:lineRule="exact"/>
        <w:ind w:firstLine="1590" w:firstLineChars="495"/>
        <w:rPr>
          <w:rFonts w:hint="eastAsia" w:hAnsi="宋体"/>
          <w:b/>
          <w:color w:val="auto"/>
          <w:sz w:val="32"/>
          <w:szCs w:val="32"/>
          <w:highlight w:val="none"/>
          <w:u w:val="single"/>
        </w:rPr>
      </w:pPr>
      <w:r>
        <w:rPr>
          <w:rFonts w:hint="eastAsia" w:hAnsi="宋体"/>
          <w:b/>
          <w:color w:val="auto"/>
          <w:sz w:val="32"/>
          <w:szCs w:val="32"/>
          <w:highlight w:val="none"/>
        </w:rPr>
        <w:t>供 应 商（乙方）</w:t>
      </w:r>
      <w:r>
        <w:rPr>
          <w:rFonts w:hint="eastAsia" w:hAnsi="宋体"/>
          <w:b/>
          <w:color w:val="auto"/>
          <w:sz w:val="32"/>
          <w:szCs w:val="32"/>
          <w:highlight w:val="none"/>
          <w:u w:val="single"/>
        </w:rPr>
        <w:t xml:space="preserve">                      </w:t>
      </w:r>
    </w:p>
    <w:p w14:paraId="3776130F">
      <w:pPr>
        <w:pStyle w:val="22"/>
        <w:spacing w:line="340" w:lineRule="exact"/>
        <w:ind w:firstLine="1590" w:firstLineChars="495"/>
        <w:rPr>
          <w:rFonts w:hint="eastAsia" w:hAnsi="宋体"/>
          <w:b/>
          <w:color w:val="auto"/>
          <w:sz w:val="32"/>
          <w:szCs w:val="32"/>
          <w:highlight w:val="none"/>
        </w:rPr>
      </w:pPr>
    </w:p>
    <w:p w14:paraId="3CE963AA">
      <w:pPr>
        <w:pStyle w:val="22"/>
        <w:jc w:val="center"/>
        <w:rPr>
          <w:rFonts w:hint="eastAsia" w:hAnsi="宋体"/>
          <w:color w:val="auto"/>
          <w:highlight w:val="none"/>
        </w:rPr>
      </w:pPr>
      <w:r>
        <w:rPr>
          <w:rFonts w:hint="eastAsia" w:hAnsi="宋体"/>
          <w:color w:val="auto"/>
          <w:highlight w:val="none"/>
        </w:rPr>
        <w:t xml:space="preserve"> </w:t>
      </w:r>
    </w:p>
    <w:p w14:paraId="59DB52D6">
      <w:pPr>
        <w:pStyle w:val="22"/>
        <w:jc w:val="center"/>
        <w:rPr>
          <w:rFonts w:hint="eastAsia" w:hAnsi="宋体"/>
          <w:color w:val="auto"/>
          <w:highlight w:val="none"/>
        </w:rPr>
      </w:pPr>
    </w:p>
    <w:p w14:paraId="75FD4C6E">
      <w:pPr>
        <w:pStyle w:val="22"/>
        <w:ind w:firstLine="1590" w:firstLineChars="495"/>
        <w:rPr>
          <w:rFonts w:hint="eastAsia" w:hAnsi="宋体"/>
          <w:b/>
          <w:color w:val="auto"/>
          <w:sz w:val="32"/>
          <w:szCs w:val="32"/>
          <w:highlight w:val="none"/>
          <w:u w:val="single"/>
        </w:rPr>
      </w:pPr>
      <w:r>
        <w:rPr>
          <w:rFonts w:hint="eastAsia" w:hAnsi="宋体"/>
          <w:b/>
          <w:color w:val="auto"/>
          <w:sz w:val="32"/>
          <w:szCs w:val="32"/>
          <w:highlight w:val="none"/>
        </w:rPr>
        <w:t>签订合同地点：</w:t>
      </w:r>
      <w:r>
        <w:rPr>
          <w:rFonts w:hint="eastAsia" w:hAnsi="宋体"/>
          <w:b/>
          <w:color w:val="auto"/>
          <w:sz w:val="32"/>
          <w:szCs w:val="32"/>
          <w:highlight w:val="none"/>
          <w:u w:val="single"/>
        </w:rPr>
        <w:t xml:space="preserve"> </w:t>
      </w:r>
      <w:r>
        <w:rPr>
          <w:rFonts w:hint="eastAsia" w:hAnsi="宋体"/>
          <w:bCs/>
          <w:color w:val="auto"/>
          <w:sz w:val="32"/>
          <w:szCs w:val="32"/>
          <w:highlight w:val="none"/>
          <w:u w:val="single"/>
        </w:rPr>
        <w:t xml:space="preserve"> </w:t>
      </w:r>
      <w:r>
        <w:rPr>
          <w:rFonts w:hint="eastAsia" w:hAnsi="宋体"/>
          <w:bCs/>
          <w:color w:val="auto"/>
          <w:sz w:val="32"/>
          <w:szCs w:val="32"/>
          <w:highlight w:val="none"/>
          <w:u w:val="single"/>
          <w:lang w:val="en-US" w:eastAsia="zh-CN"/>
        </w:rPr>
        <w:t xml:space="preserve">             </w:t>
      </w:r>
      <w:r>
        <w:rPr>
          <w:rFonts w:hint="eastAsia" w:hAnsi="宋体"/>
          <w:bCs/>
          <w:color w:val="auto"/>
          <w:sz w:val="32"/>
          <w:szCs w:val="32"/>
          <w:highlight w:val="none"/>
          <w:u w:val="single"/>
        </w:rPr>
        <w:t xml:space="preserve">  </w:t>
      </w:r>
      <w:r>
        <w:rPr>
          <w:rFonts w:hint="eastAsia" w:hAnsi="宋体"/>
          <w:b/>
          <w:color w:val="auto"/>
          <w:sz w:val="32"/>
          <w:szCs w:val="32"/>
          <w:highlight w:val="none"/>
          <w:u w:val="single"/>
        </w:rPr>
        <w:t xml:space="preserve">      </w:t>
      </w:r>
    </w:p>
    <w:p w14:paraId="3BC0597A">
      <w:pPr>
        <w:pStyle w:val="22"/>
        <w:ind w:firstLine="1590" w:firstLineChars="495"/>
        <w:rPr>
          <w:rFonts w:hint="eastAsia" w:hAnsi="宋体"/>
          <w:b/>
          <w:color w:val="auto"/>
          <w:sz w:val="32"/>
          <w:szCs w:val="32"/>
          <w:highlight w:val="none"/>
        </w:rPr>
      </w:pPr>
    </w:p>
    <w:p w14:paraId="236C391C">
      <w:pPr>
        <w:pStyle w:val="22"/>
        <w:ind w:firstLine="1590" w:firstLineChars="495"/>
        <w:rPr>
          <w:rFonts w:hint="eastAsia" w:hAnsi="宋体"/>
          <w:b/>
          <w:color w:val="auto"/>
          <w:sz w:val="32"/>
          <w:szCs w:val="32"/>
          <w:highlight w:val="none"/>
        </w:rPr>
      </w:pPr>
      <w:r>
        <w:rPr>
          <w:rFonts w:hint="eastAsia" w:hAnsi="宋体"/>
          <w:b/>
          <w:color w:val="auto"/>
          <w:sz w:val="32"/>
          <w:szCs w:val="32"/>
          <w:highlight w:val="none"/>
        </w:rPr>
        <w:t>签订合同时间：</w:t>
      </w:r>
      <w:r>
        <w:rPr>
          <w:rFonts w:hint="eastAsia" w:hAnsi="宋体"/>
          <w:b/>
          <w:color w:val="auto"/>
          <w:sz w:val="32"/>
          <w:szCs w:val="32"/>
          <w:highlight w:val="none"/>
          <w:u w:val="single"/>
        </w:rPr>
        <w:t xml:space="preserve">                       </w:t>
      </w:r>
    </w:p>
    <w:p w14:paraId="0C996EF5">
      <w:pPr>
        <w:pStyle w:val="22"/>
        <w:jc w:val="center"/>
        <w:rPr>
          <w:rFonts w:hint="eastAsia" w:hAnsi="宋体"/>
          <w:color w:val="auto"/>
          <w:highlight w:val="none"/>
        </w:rPr>
      </w:pPr>
    </w:p>
    <w:p w14:paraId="4EF4A05D">
      <w:pPr>
        <w:pStyle w:val="22"/>
        <w:jc w:val="center"/>
        <w:rPr>
          <w:rFonts w:hint="eastAsia" w:hAnsi="宋体"/>
          <w:color w:val="auto"/>
          <w:highlight w:val="none"/>
        </w:rPr>
      </w:pPr>
      <w:r>
        <w:rPr>
          <w:rFonts w:hint="eastAsia" w:hAnsi="宋体"/>
          <w:color w:val="auto"/>
          <w:highlight w:val="none"/>
        </w:rPr>
        <w:t xml:space="preserve">  </w:t>
      </w:r>
    </w:p>
    <w:p w14:paraId="54B188E7">
      <w:pPr>
        <w:pStyle w:val="22"/>
        <w:jc w:val="center"/>
        <w:rPr>
          <w:rFonts w:hint="eastAsia" w:hAnsi="宋体"/>
          <w:color w:val="auto"/>
          <w:highlight w:val="none"/>
        </w:rPr>
      </w:pPr>
    </w:p>
    <w:p w14:paraId="5200541C">
      <w:pPr>
        <w:pStyle w:val="22"/>
        <w:jc w:val="center"/>
        <w:rPr>
          <w:rFonts w:hint="eastAsia" w:hAnsi="宋体"/>
          <w:color w:val="auto"/>
          <w:highlight w:val="none"/>
        </w:rPr>
      </w:pPr>
    </w:p>
    <w:p w14:paraId="4B8BB4A9">
      <w:pPr>
        <w:pStyle w:val="22"/>
        <w:jc w:val="center"/>
        <w:rPr>
          <w:rFonts w:hint="eastAsia" w:hAnsi="宋体"/>
          <w:color w:val="auto"/>
          <w:highlight w:val="none"/>
        </w:rPr>
      </w:pPr>
    </w:p>
    <w:p w14:paraId="39E3116B">
      <w:pPr>
        <w:pStyle w:val="22"/>
        <w:jc w:val="center"/>
        <w:rPr>
          <w:rFonts w:hint="eastAsia" w:hAnsi="宋体"/>
          <w:color w:val="auto"/>
          <w:highlight w:val="none"/>
        </w:rPr>
      </w:pPr>
    </w:p>
    <w:p w14:paraId="2D62414A">
      <w:pPr>
        <w:rPr>
          <w:rFonts w:hint="eastAsia" w:hAnsi="宋体"/>
          <w:color w:val="auto"/>
          <w:highlight w:val="none"/>
        </w:rPr>
      </w:pPr>
    </w:p>
    <w:p w14:paraId="09DF1B74">
      <w:pPr>
        <w:pStyle w:val="32"/>
        <w:rPr>
          <w:rFonts w:hint="eastAsia" w:hAnsi="宋体"/>
          <w:color w:val="auto"/>
          <w:highlight w:val="none"/>
        </w:rPr>
      </w:pPr>
    </w:p>
    <w:p w14:paraId="591CF0D9">
      <w:pPr>
        <w:pStyle w:val="13"/>
        <w:rPr>
          <w:rFonts w:hint="eastAsia" w:hAnsi="宋体"/>
          <w:color w:val="auto"/>
          <w:highlight w:val="none"/>
        </w:rPr>
      </w:pPr>
    </w:p>
    <w:p w14:paraId="5897EC5B">
      <w:pPr>
        <w:rPr>
          <w:rFonts w:hint="eastAsia" w:hAnsi="宋体"/>
          <w:color w:val="auto"/>
          <w:highlight w:val="none"/>
        </w:rPr>
      </w:pPr>
    </w:p>
    <w:p w14:paraId="1232D66D">
      <w:pPr>
        <w:pStyle w:val="32"/>
        <w:rPr>
          <w:rFonts w:hint="eastAsia" w:hAnsi="宋体"/>
          <w:color w:val="auto"/>
          <w:highlight w:val="none"/>
        </w:rPr>
      </w:pPr>
    </w:p>
    <w:p w14:paraId="6A2420D7">
      <w:pPr>
        <w:pStyle w:val="13"/>
        <w:rPr>
          <w:rFonts w:hint="eastAsia"/>
          <w:color w:val="auto"/>
          <w:highlight w:val="none"/>
        </w:rPr>
      </w:pPr>
    </w:p>
    <w:p w14:paraId="4AD8CD94">
      <w:pPr>
        <w:pStyle w:val="13"/>
        <w:rPr>
          <w:rFonts w:hint="eastAsia" w:ascii="宋体" w:hAnsi="宋体" w:eastAsia="宋体" w:cs="宋体"/>
          <w:color w:val="auto"/>
          <w:kern w:val="0"/>
          <w:sz w:val="24"/>
          <w:szCs w:val="24"/>
          <w:highlight w:val="none"/>
        </w:rPr>
        <w:sectPr>
          <w:footerReference r:id="rId8" w:type="default"/>
          <w:pgSz w:w="11906" w:h="16838"/>
          <w:pgMar w:top="1440" w:right="1800" w:bottom="1440" w:left="1800" w:header="851" w:footer="992" w:gutter="0"/>
          <w:pgNumType w:fmt="decimal" w:start="1"/>
          <w:cols w:space="720" w:num="1"/>
          <w:docGrid w:type="lines" w:linePitch="312" w:charSpace="0"/>
        </w:sectPr>
      </w:pPr>
      <w:r>
        <w:rPr>
          <w:rFonts w:hint="eastAsia" w:hAnsi="宋体"/>
          <w:color w:val="auto"/>
          <w:highlight w:val="none"/>
        </w:rPr>
        <w:t>合同使用说明：根据《中华人民共和国政府采购法》、《中华人民共和国民法典》等法律、法规规定，按照招标文件规定条款和</w:t>
      </w:r>
      <w:r>
        <w:rPr>
          <w:rFonts w:hint="eastAsia" w:hAnsi="宋体"/>
          <w:color w:val="auto"/>
          <w:highlight w:val="none"/>
          <w:lang w:eastAsia="zh-CN"/>
        </w:rPr>
        <w:t>中标人</w:t>
      </w:r>
      <w:r>
        <w:rPr>
          <w:rFonts w:hint="eastAsia" w:hAnsi="宋体"/>
          <w:color w:val="auto"/>
          <w:highlight w:val="none"/>
        </w:rPr>
        <w:t>投标文件及其承诺，甲乙双方签订本合同</w:t>
      </w:r>
    </w:p>
    <w:p w14:paraId="514CA4AB">
      <w:pPr>
        <w:pageBreakBefore/>
        <w:spacing w:line="480" w:lineRule="auto"/>
        <w:ind w:firstLine="2891" w:firstLineChars="900"/>
        <w:jc w:val="both"/>
        <w:rPr>
          <w:rFonts w:hAnsi="宋体"/>
          <w:b/>
          <w:color w:val="auto"/>
          <w:sz w:val="32"/>
          <w:highlight w:val="none"/>
        </w:rPr>
      </w:pPr>
      <w:r>
        <w:rPr>
          <w:rFonts w:hint="eastAsia" w:hAnsi="宋体"/>
          <w:b/>
          <w:color w:val="auto"/>
          <w:sz w:val="32"/>
          <w:highlight w:val="none"/>
        </w:rPr>
        <w:t>合</w:t>
      </w:r>
      <w:r>
        <w:rPr>
          <w:rFonts w:hAnsi="宋体"/>
          <w:b/>
          <w:color w:val="auto"/>
          <w:sz w:val="32"/>
          <w:highlight w:val="none"/>
        </w:rPr>
        <w:t xml:space="preserve"> </w:t>
      </w:r>
      <w:r>
        <w:rPr>
          <w:rFonts w:hint="eastAsia" w:hAnsi="宋体"/>
          <w:b/>
          <w:color w:val="auto"/>
          <w:sz w:val="32"/>
          <w:highlight w:val="none"/>
        </w:rPr>
        <w:t>同</w:t>
      </w:r>
      <w:r>
        <w:rPr>
          <w:rFonts w:hAnsi="宋体"/>
          <w:b/>
          <w:color w:val="auto"/>
          <w:sz w:val="32"/>
          <w:highlight w:val="none"/>
        </w:rPr>
        <w:t xml:space="preserve"> </w:t>
      </w:r>
      <w:r>
        <w:rPr>
          <w:rFonts w:hint="eastAsia" w:hAnsi="宋体"/>
          <w:b/>
          <w:color w:val="auto"/>
          <w:sz w:val="32"/>
          <w:highlight w:val="none"/>
        </w:rPr>
        <w:t>书</w:t>
      </w:r>
      <w:r>
        <w:rPr>
          <w:rFonts w:hAnsi="宋体"/>
          <w:b/>
          <w:color w:val="auto"/>
          <w:sz w:val="32"/>
          <w:highlight w:val="none"/>
        </w:rPr>
        <w:t xml:space="preserve"> </w:t>
      </w:r>
      <w:r>
        <w:rPr>
          <w:rFonts w:hint="eastAsia" w:hAnsi="宋体"/>
          <w:b/>
          <w:color w:val="auto"/>
          <w:sz w:val="32"/>
          <w:highlight w:val="none"/>
        </w:rPr>
        <w:t>（格</w:t>
      </w:r>
      <w:r>
        <w:rPr>
          <w:rFonts w:hAnsi="宋体"/>
          <w:b/>
          <w:color w:val="auto"/>
          <w:sz w:val="32"/>
          <w:highlight w:val="none"/>
        </w:rPr>
        <w:t xml:space="preserve"> </w:t>
      </w:r>
      <w:r>
        <w:rPr>
          <w:rFonts w:hint="eastAsia" w:hAnsi="宋体"/>
          <w:b/>
          <w:color w:val="auto"/>
          <w:sz w:val="32"/>
          <w:highlight w:val="none"/>
        </w:rPr>
        <w:t>式）</w:t>
      </w:r>
    </w:p>
    <w:p w14:paraId="7CB4C5E4">
      <w:pPr>
        <w:widowControl/>
        <w:spacing w:line="360" w:lineRule="auto"/>
        <w:ind w:firstLine="422" w:firstLineChars="200"/>
        <w:jc w:val="left"/>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 xml:space="preserve">采购计划号：                 </w:t>
      </w:r>
    </w:p>
    <w:p w14:paraId="70BAAA27">
      <w:pPr>
        <w:widowControl/>
        <w:spacing w:line="360" w:lineRule="auto"/>
        <w:ind w:firstLine="422" w:firstLineChars="200"/>
        <w:jc w:val="left"/>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 xml:space="preserve">项目名称：                   </w:t>
      </w:r>
    </w:p>
    <w:p w14:paraId="526E52EC">
      <w:pPr>
        <w:widowControl/>
        <w:spacing w:line="360" w:lineRule="auto"/>
        <w:ind w:firstLine="422" w:firstLineChars="200"/>
        <w:jc w:val="left"/>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 xml:space="preserve">项目编号：                   </w:t>
      </w:r>
    </w:p>
    <w:p w14:paraId="059A02C5">
      <w:pPr>
        <w:widowControl/>
        <w:spacing w:line="360" w:lineRule="auto"/>
        <w:ind w:firstLine="422" w:firstLineChars="200"/>
        <w:jc w:val="left"/>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 xml:space="preserve">签订时间：                    </w:t>
      </w:r>
    </w:p>
    <w:p w14:paraId="636A899B">
      <w:pPr>
        <w:widowControl/>
        <w:spacing w:line="360" w:lineRule="auto"/>
        <w:ind w:firstLine="422" w:firstLineChars="200"/>
        <w:jc w:val="left"/>
        <w:rPr>
          <w:rFonts w:hint="eastAsia" w:ascii="宋体" w:hAnsi="宋体" w:eastAsia="宋体" w:cs="宋体"/>
          <w:color w:val="auto"/>
          <w:kern w:val="0"/>
          <w:szCs w:val="21"/>
          <w:highlight w:val="none"/>
        </w:rPr>
      </w:pPr>
      <w:r>
        <w:rPr>
          <w:rFonts w:hint="eastAsia" w:ascii="宋体" w:hAnsi="宋体" w:eastAsia="宋体" w:cs="宋体"/>
          <w:b/>
          <w:bCs/>
          <w:color w:val="auto"/>
          <w:kern w:val="0"/>
          <w:szCs w:val="21"/>
          <w:highlight w:val="none"/>
        </w:rPr>
        <w:t>甲方</w:t>
      </w:r>
      <w:r>
        <w:rPr>
          <w:rFonts w:hint="eastAsia" w:ascii="宋体" w:hAnsi="宋体" w:eastAsia="宋体" w:cs="宋体"/>
          <w:b/>
          <w:bCs/>
          <w:color w:val="auto"/>
          <w:kern w:val="0"/>
          <w:szCs w:val="21"/>
          <w:highlight w:val="none"/>
          <w:lang w:eastAsia="zh-CN"/>
        </w:rPr>
        <w:t>（</w:t>
      </w:r>
      <w:r>
        <w:rPr>
          <w:rFonts w:hint="eastAsia" w:ascii="宋体" w:hAnsi="宋体" w:eastAsia="宋体" w:cs="宋体"/>
          <w:b/>
          <w:bCs/>
          <w:color w:val="auto"/>
          <w:kern w:val="0"/>
          <w:szCs w:val="21"/>
          <w:highlight w:val="none"/>
          <w:lang w:val="en-US" w:eastAsia="zh-CN"/>
        </w:rPr>
        <w:t>采购人</w:t>
      </w:r>
      <w:r>
        <w:rPr>
          <w:rFonts w:hint="eastAsia" w:ascii="宋体" w:hAnsi="宋体" w:eastAsia="宋体" w:cs="宋体"/>
          <w:b/>
          <w:bCs/>
          <w:color w:val="auto"/>
          <w:kern w:val="0"/>
          <w:szCs w:val="21"/>
          <w:highlight w:val="none"/>
          <w:lang w:eastAsia="zh-CN"/>
        </w:rPr>
        <w:t>）</w:t>
      </w:r>
      <w:r>
        <w:rPr>
          <w:rFonts w:hint="eastAsia" w:ascii="宋体" w:hAnsi="宋体" w:eastAsia="宋体" w:cs="宋体"/>
          <w:b/>
          <w:bCs/>
          <w:color w:val="auto"/>
          <w:kern w:val="0"/>
          <w:szCs w:val="21"/>
          <w:highlight w:val="none"/>
        </w:rPr>
        <w:t>：</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Cs w:val="21"/>
          <w:highlight w:val="none"/>
          <w:u w:val="single"/>
          <w:lang w:val="en"/>
        </w:rPr>
        <w:t xml:space="preserve"> </w:t>
      </w:r>
      <w:r>
        <w:rPr>
          <w:rFonts w:hint="eastAsia" w:ascii="宋体" w:hAnsi="宋体" w:eastAsia="宋体" w:cs="宋体"/>
          <w:color w:val="auto"/>
          <w:kern w:val="0"/>
          <w:szCs w:val="21"/>
          <w:highlight w:val="none"/>
        </w:rPr>
        <w:t xml:space="preserve"> </w:t>
      </w:r>
    </w:p>
    <w:p w14:paraId="04D38A68">
      <w:pPr>
        <w:widowControl/>
        <w:spacing w:line="360" w:lineRule="auto"/>
        <w:jc w:val="left"/>
        <w:rPr>
          <w:rFonts w:hint="eastAsia"/>
          <w:color w:val="auto"/>
          <w:highlight w:val="none"/>
          <w:lang w:val="en-US" w:eastAsia="zh-CN"/>
        </w:rPr>
      </w:pPr>
      <w:r>
        <w:rPr>
          <w:rFonts w:hint="eastAsia" w:ascii="宋体" w:hAnsi="宋体" w:eastAsia="宋体" w:cs="宋体"/>
          <w:b/>
          <w:bCs/>
          <w:color w:val="auto"/>
          <w:kern w:val="0"/>
          <w:szCs w:val="21"/>
          <w:highlight w:val="none"/>
        </w:rPr>
        <w:t>  乙方（</w:t>
      </w:r>
      <w:r>
        <w:rPr>
          <w:rFonts w:hint="eastAsia" w:ascii="宋体" w:hAnsi="宋体" w:eastAsia="宋体" w:cs="宋体"/>
          <w:b/>
          <w:bCs/>
          <w:color w:val="auto"/>
          <w:kern w:val="0"/>
          <w:szCs w:val="21"/>
          <w:highlight w:val="none"/>
          <w:lang w:eastAsia="zh-CN"/>
        </w:rPr>
        <w:t>中</w:t>
      </w:r>
      <w:r>
        <w:rPr>
          <w:rFonts w:hint="eastAsia" w:ascii="宋体" w:hAnsi="宋体" w:eastAsia="宋体" w:cs="宋体"/>
          <w:b/>
          <w:bCs/>
          <w:color w:val="auto"/>
          <w:kern w:val="0"/>
          <w:szCs w:val="21"/>
          <w:highlight w:val="none"/>
        </w:rPr>
        <w:t>标人）：</w:t>
      </w:r>
      <w:r>
        <w:rPr>
          <w:rFonts w:hint="eastAsia" w:ascii="宋体" w:hAnsi="宋体" w:eastAsia="宋体" w:cs="宋体"/>
          <w:b/>
          <w:bCs/>
          <w:color w:val="auto"/>
          <w:kern w:val="0"/>
          <w:szCs w:val="21"/>
          <w:highlight w:val="none"/>
          <w:u w:val="single"/>
        </w:rPr>
        <w:t xml:space="preserve">                           </w:t>
      </w:r>
    </w:p>
    <w:p w14:paraId="42720F86">
      <w:pPr>
        <w:keepNext w:val="0"/>
        <w:keepLines w:val="0"/>
        <w:pageBreakBefore w:val="0"/>
        <w:widowControl w:val="0"/>
        <w:kinsoku/>
        <w:wordWrap/>
        <w:overflowPunct/>
        <w:topLinePunct w:val="0"/>
        <w:autoSpaceDE/>
        <w:autoSpaceDN/>
        <w:bidi w:val="0"/>
        <w:adjustRightInd/>
        <w:snapToGrid/>
        <w:spacing w:beforeLines="0" w:afterLines="0" w:line="400" w:lineRule="exact"/>
        <w:ind w:firstLine="420" w:firstLineChars="200"/>
        <w:jc w:val="both"/>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根据《中华人民共和国政府采购法》《中华人民共和国民法典》等法律、法规规定，按照招标文件（采购文件）规定条款和投标文件及承诺，采购人（甲方）与中标人（乙方）双方签订本合同。</w:t>
      </w:r>
    </w:p>
    <w:p w14:paraId="398A8B74">
      <w:pPr>
        <w:keepNext w:val="0"/>
        <w:keepLines w:val="0"/>
        <w:pageBreakBefore w:val="0"/>
        <w:widowControl w:val="0"/>
        <w:kinsoku/>
        <w:wordWrap/>
        <w:overflowPunct/>
        <w:topLinePunct w:val="0"/>
        <w:autoSpaceDE/>
        <w:autoSpaceDN/>
        <w:bidi w:val="0"/>
        <w:adjustRightInd/>
        <w:snapToGrid/>
        <w:spacing w:beforeLines="0" w:afterLines="0" w:line="400" w:lineRule="exact"/>
        <w:ind w:firstLine="422" w:firstLineChars="200"/>
        <w:jc w:val="both"/>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第一条　合同标的</w:t>
      </w:r>
    </w:p>
    <w:p w14:paraId="74B6E548">
      <w:pPr>
        <w:keepNext w:val="0"/>
        <w:keepLines w:val="0"/>
        <w:pageBreakBefore w:val="0"/>
        <w:widowControl w:val="0"/>
        <w:kinsoku/>
        <w:wordWrap/>
        <w:overflowPunct/>
        <w:topLinePunct w:val="0"/>
        <w:autoSpaceDE/>
        <w:autoSpaceDN/>
        <w:bidi w:val="0"/>
        <w:adjustRightInd/>
        <w:snapToGrid/>
        <w:spacing w:beforeLines="0" w:afterLines="0" w:line="400" w:lineRule="exact"/>
        <w:ind w:firstLine="420" w:firstLineChars="200"/>
        <w:jc w:val="both"/>
        <w:textAlignment w:val="auto"/>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1.服务一览表</w:t>
      </w:r>
    </w:p>
    <w:tbl>
      <w:tblPr>
        <w:tblStyle w:val="4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969"/>
        <w:gridCol w:w="810"/>
        <w:gridCol w:w="717"/>
        <w:gridCol w:w="635"/>
        <w:gridCol w:w="713"/>
        <w:gridCol w:w="1180"/>
        <w:gridCol w:w="1246"/>
        <w:gridCol w:w="1817"/>
      </w:tblGrid>
      <w:tr w14:paraId="39C15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250" w:type="pct"/>
            <w:tcBorders>
              <w:top w:val="single" w:color="auto" w:sz="4" w:space="0"/>
              <w:left w:val="single" w:color="auto" w:sz="4" w:space="0"/>
              <w:bottom w:val="single" w:color="auto" w:sz="4" w:space="0"/>
              <w:right w:val="single" w:color="auto" w:sz="4" w:space="0"/>
            </w:tcBorders>
            <w:noWrap w:val="0"/>
            <w:vAlign w:val="center"/>
          </w:tcPr>
          <w:p w14:paraId="793A1D5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00" w:lineRule="exact"/>
              <w:ind w:left="0" w:right="0"/>
              <w:jc w:val="center"/>
              <w:textAlignment w:val="auto"/>
              <w:rPr>
                <w:rFonts w:hint="eastAsia" w:ascii="宋体" w:hAnsi="宋体" w:eastAsia="宋体" w:cs="宋体"/>
                <w:b/>
                <w:bCs/>
                <w:color w:val="auto"/>
                <w:sz w:val="21"/>
                <w:szCs w:val="21"/>
                <w:highlight w:val="none"/>
                <w:u w:val="none"/>
                <w:lang w:val="en-US" w:eastAsia="zh-CN"/>
              </w:rPr>
            </w:pPr>
            <w:bookmarkStart w:id="183" w:name="_Toc1070"/>
            <w:bookmarkStart w:id="184" w:name="_Toc13132"/>
            <w:r>
              <w:rPr>
                <w:rFonts w:hint="eastAsia" w:ascii="宋体" w:hAnsi="宋体" w:eastAsia="宋体" w:cs="宋体"/>
                <w:b/>
                <w:bCs/>
                <w:color w:val="auto"/>
                <w:sz w:val="21"/>
                <w:szCs w:val="21"/>
                <w:highlight w:val="none"/>
                <w:u w:val="none"/>
                <w:lang w:val="en-US" w:eastAsia="zh-CN"/>
              </w:rPr>
              <w:t>序号</w:t>
            </w:r>
          </w:p>
        </w:tc>
        <w:tc>
          <w:tcPr>
            <w:tcW w:w="569" w:type="pct"/>
            <w:tcBorders>
              <w:top w:val="single" w:color="auto" w:sz="4" w:space="0"/>
              <w:left w:val="single" w:color="auto" w:sz="4" w:space="0"/>
              <w:bottom w:val="single" w:color="auto" w:sz="4" w:space="0"/>
              <w:right w:val="single" w:color="auto" w:sz="4" w:space="0"/>
            </w:tcBorders>
            <w:noWrap w:val="0"/>
            <w:vAlign w:val="center"/>
          </w:tcPr>
          <w:p w14:paraId="0C0FDC1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00" w:lineRule="exact"/>
              <w:ind w:left="0" w:right="0"/>
              <w:jc w:val="center"/>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名称</w:t>
            </w:r>
          </w:p>
        </w:tc>
        <w:tc>
          <w:tcPr>
            <w:tcW w:w="475" w:type="pct"/>
            <w:tcBorders>
              <w:top w:val="single" w:color="auto" w:sz="4" w:space="0"/>
              <w:left w:val="single" w:color="auto" w:sz="4" w:space="0"/>
              <w:bottom w:val="single" w:color="auto" w:sz="4" w:space="0"/>
              <w:right w:val="single" w:color="auto" w:sz="4" w:space="0"/>
            </w:tcBorders>
            <w:noWrap w:val="0"/>
            <w:vAlign w:val="center"/>
          </w:tcPr>
          <w:p w14:paraId="4A88C357">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00" w:lineRule="exact"/>
              <w:ind w:left="0" w:right="0"/>
              <w:jc w:val="center"/>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服务内容</w:t>
            </w:r>
          </w:p>
        </w:tc>
        <w:tc>
          <w:tcPr>
            <w:tcW w:w="421" w:type="pct"/>
            <w:tcBorders>
              <w:top w:val="single" w:color="auto" w:sz="4" w:space="0"/>
              <w:left w:val="single" w:color="auto" w:sz="4" w:space="0"/>
              <w:bottom w:val="single" w:color="auto" w:sz="4" w:space="0"/>
              <w:right w:val="single" w:color="auto" w:sz="4" w:space="0"/>
            </w:tcBorders>
            <w:noWrap w:val="0"/>
            <w:vAlign w:val="center"/>
          </w:tcPr>
          <w:p w14:paraId="1CDA5F5A">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00" w:lineRule="exact"/>
              <w:ind w:left="0" w:right="0"/>
              <w:jc w:val="center"/>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cs="宋体"/>
                <w:b/>
                <w:bCs/>
                <w:color w:val="auto"/>
                <w:sz w:val="21"/>
                <w:szCs w:val="21"/>
                <w:highlight w:val="none"/>
                <w:u w:val="none"/>
                <w:lang w:val="en-US" w:eastAsia="zh-CN"/>
              </w:rPr>
              <w:t>床位</w:t>
            </w:r>
            <w:r>
              <w:rPr>
                <w:rFonts w:hint="eastAsia" w:ascii="宋体" w:hAnsi="宋体" w:eastAsia="宋体" w:cs="宋体"/>
                <w:b/>
                <w:bCs/>
                <w:color w:val="auto"/>
                <w:sz w:val="21"/>
                <w:szCs w:val="21"/>
                <w:highlight w:val="none"/>
                <w:u w:val="none"/>
                <w:lang w:val="en-US" w:eastAsia="zh-CN"/>
              </w:rPr>
              <w:t>数量</w:t>
            </w:r>
            <w:r>
              <w:rPr>
                <w:rFonts w:hint="default" w:ascii="Calibri" w:hAnsi="Calibri" w:eastAsia="宋体" w:cs="Calibri"/>
                <w:b/>
                <w:bCs/>
                <w:color w:val="auto"/>
                <w:sz w:val="21"/>
                <w:szCs w:val="21"/>
                <w:highlight w:val="none"/>
                <w:u w:val="none"/>
                <w:lang w:val="en-US" w:eastAsia="zh-CN"/>
              </w:rPr>
              <w:t>①</w:t>
            </w:r>
          </w:p>
        </w:tc>
        <w:tc>
          <w:tcPr>
            <w:tcW w:w="372" w:type="pct"/>
            <w:tcBorders>
              <w:top w:val="single" w:color="auto" w:sz="4" w:space="0"/>
              <w:left w:val="single" w:color="auto" w:sz="4" w:space="0"/>
              <w:bottom w:val="single" w:color="auto" w:sz="4" w:space="0"/>
              <w:right w:val="single" w:color="auto" w:sz="4" w:space="0"/>
            </w:tcBorders>
            <w:noWrap w:val="0"/>
            <w:vAlign w:val="center"/>
          </w:tcPr>
          <w:p w14:paraId="7B626DC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00" w:lineRule="exact"/>
              <w:ind w:left="0" w:right="0"/>
              <w:jc w:val="center"/>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单位</w:t>
            </w:r>
          </w:p>
        </w:tc>
        <w:tc>
          <w:tcPr>
            <w:tcW w:w="418" w:type="pct"/>
            <w:tcBorders>
              <w:top w:val="single" w:color="auto" w:sz="4" w:space="0"/>
              <w:left w:val="single" w:color="auto" w:sz="4" w:space="0"/>
              <w:bottom w:val="single" w:color="auto" w:sz="4" w:space="0"/>
              <w:right w:val="single" w:color="auto" w:sz="4" w:space="0"/>
            </w:tcBorders>
            <w:noWrap w:val="0"/>
            <w:vAlign w:val="center"/>
          </w:tcPr>
          <w:p w14:paraId="21BE8AD9">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00" w:lineRule="exact"/>
              <w:ind w:left="0" w:right="0"/>
              <w:jc w:val="center"/>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单价（元/床/天）</w:t>
            </w:r>
            <w:r>
              <w:rPr>
                <w:rFonts w:hint="default" w:ascii="Calibri" w:hAnsi="Calibri" w:eastAsia="宋体" w:cs="Calibri"/>
                <w:b/>
                <w:bCs/>
                <w:color w:val="auto"/>
                <w:sz w:val="21"/>
                <w:szCs w:val="21"/>
                <w:highlight w:val="none"/>
                <w:u w:val="none"/>
                <w:lang w:val="en-US" w:eastAsia="zh-CN"/>
              </w:rPr>
              <w:t>②</w:t>
            </w:r>
          </w:p>
        </w:tc>
        <w:tc>
          <w:tcPr>
            <w:tcW w:w="693" w:type="pct"/>
            <w:tcBorders>
              <w:top w:val="single" w:color="auto" w:sz="4" w:space="0"/>
              <w:left w:val="single" w:color="auto" w:sz="4" w:space="0"/>
              <w:bottom w:val="single" w:color="auto" w:sz="4" w:space="0"/>
              <w:right w:val="single" w:color="auto" w:sz="4" w:space="0"/>
            </w:tcBorders>
            <w:noWrap w:val="0"/>
            <w:vAlign w:val="center"/>
          </w:tcPr>
          <w:p w14:paraId="0D4CEE69">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00" w:lineRule="exact"/>
              <w:ind w:left="0" w:right="0"/>
              <w:jc w:val="center"/>
              <w:textAlignment w:val="auto"/>
              <w:rPr>
                <w:rFonts w:hint="default" w:ascii="宋体" w:hAnsi="宋体" w:eastAsia="宋体" w:cs="宋体"/>
                <w:b/>
                <w:bCs/>
                <w:color w:val="auto"/>
                <w:sz w:val="21"/>
                <w:szCs w:val="21"/>
                <w:highlight w:val="none"/>
                <w:u w:val="none"/>
                <w:lang w:val="en-US" w:eastAsia="zh-CN"/>
              </w:rPr>
            </w:pPr>
            <w:r>
              <w:rPr>
                <w:rFonts w:hint="eastAsia" w:ascii="宋体" w:hAnsi="宋体" w:cs="宋体"/>
                <w:b/>
                <w:bCs/>
                <w:color w:val="auto"/>
                <w:sz w:val="21"/>
                <w:szCs w:val="21"/>
                <w:highlight w:val="none"/>
                <w:u w:val="none"/>
                <w:lang w:val="en-US" w:eastAsia="zh-CN"/>
              </w:rPr>
              <w:t>服务时间（</w:t>
            </w:r>
            <w:r>
              <w:rPr>
                <w:rFonts w:hint="eastAsia" w:ascii="宋体" w:hAnsi="宋体" w:cs="宋体"/>
                <w:color w:val="auto"/>
                <w:sz w:val="21"/>
                <w:szCs w:val="21"/>
                <w:highlight w:val="none"/>
                <w:u w:val="none"/>
                <w:lang w:val="en-US" w:eastAsia="zh-CN"/>
              </w:rPr>
              <w:t>天/年</w:t>
            </w:r>
            <w:r>
              <w:rPr>
                <w:rFonts w:hint="eastAsia" w:ascii="宋体" w:hAnsi="宋体" w:cs="宋体"/>
                <w:b/>
                <w:bCs/>
                <w:color w:val="auto"/>
                <w:sz w:val="21"/>
                <w:szCs w:val="21"/>
                <w:highlight w:val="none"/>
                <w:u w:val="none"/>
                <w:lang w:val="en-US" w:eastAsia="zh-CN"/>
              </w:rPr>
              <w:t>）</w:t>
            </w:r>
            <w:r>
              <w:rPr>
                <w:rFonts w:hint="default" w:ascii="Calibri" w:hAnsi="Calibri" w:cs="Calibri"/>
                <w:b/>
                <w:bCs/>
                <w:color w:val="auto"/>
                <w:sz w:val="21"/>
                <w:szCs w:val="21"/>
                <w:highlight w:val="none"/>
                <w:u w:val="none"/>
                <w:lang w:val="en-US" w:eastAsia="zh-CN"/>
              </w:rPr>
              <w:t>③</w:t>
            </w:r>
          </w:p>
        </w:tc>
        <w:tc>
          <w:tcPr>
            <w:tcW w:w="731" w:type="pct"/>
            <w:tcBorders>
              <w:top w:val="single" w:color="auto" w:sz="4" w:space="0"/>
              <w:left w:val="single" w:color="auto" w:sz="4" w:space="0"/>
              <w:bottom w:val="single" w:color="auto" w:sz="4" w:space="0"/>
              <w:right w:val="single" w:color="auto" w:sz="4" w:space="0"/>
            </w:tcBorders>
            <w:noWrap w:val="0"/>
            <w:vAlign w:val="center"/>
          </w:tcPr>
          <w:p w14:paraId="76632E4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00" w:lineRule="exact"/>
              <w:ind w:left="0" w:right="0"/>
              <w:jc w:val="center"/>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医疗废物</w:t>
            </w:r>
          </w:p>
          <w:p w14:paraId="40685BF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00" w:lineRule="exact"/>
              <w:ind w:left="0" w:right="0"/>
              <w:jc w:val="center"/>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处置费</w:t>
            </w:r>
            <w:r>
              <w:rPr>
                <w:rFonts w:hint="eastAsia" w:ascii="宋体" w:hAnsi="宋体" w:cs="宋体"/>
                <w:b/>
                <w:bCs/>
                <w:color w:val="auto"/>
                <w:sz w:val="21"/>
                <w:szCs w:val="21"/>
                <w:highlight w:val="none"/>
                <w:u w:val="none"/>
                <w:lang w:val="en-US" w:eastAsia="zh-CN"/>
              </w:rPr>
              <w:t>服务期</w:t>
            </w:r>
          </w:p>
          <w:p w14:paraId="413002A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00" w:lineRule="exact"/>
              <w:ind w:left="0" w:right="0"/>
              <w:jc w:val="center"/>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（年）</w:t>
            </w:r>
            <w:r>
              <w:rPr>
                <w:rFonts w:hint="eastAsia" w:ascii="微软雅黑" w:hAnsi="微软雅黑" w:eastAsia="微软雅黑" w:cs="微软雅黑"/>
                <w:b/>
                <w:bCs/>
                <w:color w:val="auto"/>
                <w:sz w:val="21"/>
                <w:szCs w:val="21"/>
                <w:highlight w:val="none"/>
                <w:u w:val="none"/>
                <w:lang w:val="en-US" w:eastAsia="zh-CN"/>
              </w:rPr>
              <w:t>④</w:t>
            </w:r>
          </w:p>
        </w:tc>
        <w:tc>
          <w:tcPr>
            <w:tcW w:w="1067" w:type="pct"/>
            <w:tcBorders>
              <w:top w:val="single" w:color="auto" w:sz="4" w:space="0"/>
              <w:left w:val="single" w:color="auto" w:sz="4" w:space="0"/>
              <w:bottom w:val="single" w:color="auto" w:sz="4" w:space="0"/>
              <w:right w:val="single" w:color="auto" w:sz="4" w:space="0"/>
            </w:tcBorders>
            <w:noWrap w:val="0"/>
            <w:vAlign w:val="center"/>
          </w:tcPr>
          <w:p w14:paraId="29CB68B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00" w:lineRule="exact"/>
              <w:ind w:left="0" w:right="0"/>
              <w:jc w:val="center"/>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总  价</w:t>
            </w:r>
          </w:p>
          <w:p w14:paraId="48972D7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00" w:lineRule="exact"/>
              <w:ind w:left="0" w:right="0"/>
              <w:jc w:val="center"/>
              <w:textAlignment w:val="auto"/>
              <w:rPr>
                <w:rFonts w:hint="default"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（元）⑤</w:t>
            </w:r>
            <w:r>
              <w:rPr>
                <w:rFonts w:hint="eastAsia" w:ascii="宋体" w:hAnsi="宋体" w:cs="宋体"/>
                <w:b/>
                <w:bCs/>
                <w:color w:val="auto"/>
                <w:sz w:val="21"/>
                <w:szCs w:val="21"/>
                <w:highlight w:val="none"/>
                <w:u w:val="none"/>
                <w:lang w:val="en-US" w:eastAsia="zh-CN"/>
              </w:rPr>
              <w:t>=</w:t>
            </w:r>
            <w:r>
              <w:rPr>
                <w:rFonts w:hint="default" w:ascii="Calibri" w:hAnsi="Calibri" w:eastAsia="宋体" w:cs="Calibri"/>
                <w:b/>
                <w:bCs/>
                <w:color w:val="auto"/>
                <w:sz w:val="21"/>
                <w:szCs w:val="21"/>
                <w:highlight w:val="none"/>
                <w:u w:val="none"/>
                <w:lang w:val="en-US" w:eastAsia="zh-CN"/>
              </w:rPr>
              <w:t>①</w:t>
            </w:r>
            <w:r>
              <w:rPr>
                <w:rFonts w:hint="eastAsia" w:cs="Calibri"/>
                <w:b/>
                <w:bCs/>
                <w:color w:val="auto"/>
                <w:sz w:val="21"/>
                <w:szCs w:val="21"/>
                <w:highlight w:val="none"/>
                <w:u w:val="none"/>
                <w:lang w:val="en-US" w:eastAsia="zh-CN"/>
              </w:rPr>
              <w:t>*</w:t>
            </w:r>
            <w:r>
              <w:rPr>
                <w:rFonts w:hint="default" w:ascii="Calibri" w:hAnsi="Calibri" w:eastAsia="宋体" w:cs="Calibri"/>
                <w:b/>
                <w:bCs/>
                <w:color w:val="auto"/>
                <w:sz w:val="21"/>
                <w:szCs w:val="21"/>
                <w:highlight w:val="none"/>
                <w:u w:val="none"/>
                <w:lang w:val="en-US" w:eastAsia="zh-CN"/>
              </w:rPr>
              <w:t>②</w:t>
            </w:r>
            <w:r>
              <w:rPr>
                <w:rFonts w:hint="eastAsia" w:cs="Calibri"/>
                <w:b/>
                <w:bCs/>
                <w:color w:val="auto"/>
                <w:sz w:val="21"/>
                <w:szCs w:val="21"/>
                <w:highlight w:val="none"/>
                <w:u w:val="none"/>
                <w:lang w:val="en-US" w:eastAsia="zh-CN"/>
              </w:rPr>
              <w:t>*</w:t>
            </w:r>
            <w:r>
              <w:rPr>
                <w:rFonts w:hint="default" w:ascii="Calibri" w:hAnsi="Calibri" w:cs="Calibri"/>
                <w:b/>
                <w:bCs/>
                <w:color w:val="auto"/>
                <w:sz w:val="21"/>
                <w:szCs w:val="21"/>
                <w:highlight w:val="none"/>
                <w:u w:val="none"/>
                <w:lang w:val="en-US" w:eastAsia="zh-CN"/>
              </w:rPr>
              <w:t>③</w:t>
            </w:r>
            <w:r>
              <w:rPr>
                <w:rFonts w:hint="eastAsia" w:cs="Calibri"/>
                <w:b/>
                <w:bCs/>
                <w:color w:val="auto"/>
                <w:sz w:val="21"/>
                <w:szCs w:val="21"/>
                <w:highlight w:val="none"/>
                <w:u w:val="none"/>
                <w:lang w:val="en-US" w:eastAsia="zh-CN"/>
              </w:rPr>
              <w:t>*</w:t>
            </w:r>
            <w:r>
              <w:rPr>
                <w:rFonts w:hint="eastAsia" w:ascii="微软雅黑" w:hAnsi="微软雅黑" w:eastAsia="微软雅黑" w:cs="微软雅黑"/>
                <w:b/>
                <w:bCs/>
                <w:color w:val="auto"/>
                <w:sz w:val="21"/>
                <w:szCs w:val="21"/>
                <w:highlight w:val="none"/>
                <w:u w:val="none"/>
                <w:lang w:val="en-US" w:eastAsia="zh-CN"/>
              </w:rPr>
              <w:t>④</w:t>
            </w:r>
          </w:p>
        </w:tc>
      </w:tr>
      <w:tr w14:paraId="44073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250" w:type="pct"/>
            <w:tcBorders>
              <w:top w:val="single" w:color="auto" w:sz="4" w:space="0"/>
              <w:left w:val="single" w:color="auto" w:sz="4" w:space="0"/>
              <w:bottom w:val="single" w:color="auto" w:sz="4" w:space="0"/>
              <w:right w:val="single" w:color="auto" w:sz="4" w:space="0"/>
            </w:tcBorders>
            <w:noWrap w:val="0"/>
            <w:vAlign w:val="center"/>
          </w:tcPr>
          <w:p w14:paraId="6E32F1B7">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00" w:lineRule="exact"/>
              <w:ind w:left="0" w:right="0"/>
              <w:jc w:val="both"/>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1</w:t>
            </w:r>
          </w:p>
        </w:tc>
        <w:tc>
          <w:tcPr>
            <w:tcW w:w="569" w:type="pct"/>
            <w:tcBorders>
              <w:top w:val="single" w:color="auto" w:sz="4" w:space="0"/>
              <w:left w:val="single" w:color="auto" w:sz="4" w:space="0"/>
              <w:bottom w:val="single" w:color="auto" w:sz="4" w:space="0"/>
              <w:right w:val="single" w:color="auto" w:sz="4" w:space="0"/>
            </w:tcBorders>
            <w:noWrap w:val="0"/>
            <w:vAlign w:val="center"/>
          </w:tcPr>
          <w:p w14:paraId="5BB7E93A">
            <w:pPr>
              <w:keepNext w:val="0"/>
              <w:keepLines w:val="0"/>
              <w:pageBreakBefore w:val="0"/>
              <w:suppressLineNumbers w:val="0"/>
              <w:kinsoku/>
              <w:wordWrap/>
              <w:overflowPunct/>
              <w:topLinePunct w:val="0"/>
              <w:autoSpaceDE/>
              <w:autoSpaceDN/>
              <w:bidi w:val="0"/>
              <w:spacing w:before="0" w:beforeLines="0" w:beforeAutospacing="0" w:after="0" w:afterLines="0" w:afterAutospacing="0" w:line="400" w:lineRule="exact"/>
              <w:ind w:left="0" w:right="0"/>
              <w:jc w:val="both"/>
              <w:textAlignment w:val="auto"/>
              <w:rPr>
                <w:rFonts w:hint="eastAsia" w:ascii="宋体" w:hAnsi="宋体" w:eastAsia="宋体" w:cs="宋体"/>
                <w:color w:val="auto"/>
                <w:sz w:val="21"/>
                <w:szCs w:val="21"/>
                <w:highlight w:val="none"/>
                <w:u w:val="none"/>
                <w:lang w:val="en-US" w:eastAsia="zh-CN"/>
              </w:rPr>
            </w:pPr>
          </w:p>
        </w:tc>
        <w:tc>
          <w:tcPr>
            <w:tcW w:w="475" w:type="pct"/>
            <w:tcBorders>
              <w:top w:val="single" w:color="auto" w:sz="4" w:space="0"/>
              <w:left w:val="single" w:color="auto" w:sz="4" w:space="0"/>
              <w:bottom w:val="single" w:color="auto" w:sz="4" w:space="0"/>
              <w:right w:val="single" w:color="auto" w:sz="4" w:space="0"/>
            </w:tcBorders>
            <w:noWrap w:val="0"/>
            <w:vAlign w:val="center"/>
          </w:tcPr>
          <w:p w14:paraId="594BA54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00" w:lineRule="exact"/>
              <w:ind w:left="0" w:leftChars="0" w:right="0" w:firstLine="0" w:firstLineChars="0"/>
              <w:jc w:val="both"/>
              <w:textAlignment w:val="auto"/>
              <w:rPr>
                <w:rFonts w:hint="eastAsia" w:ascii="宋体" w:hAnsi="宋体" w:eastAsia="宋体" w:cs="宋体"/>
                <w:color w:val="auto"/>
                <w:sz w:val="21"/>
                <w:szCs w:val="21"/>
                <w:highlight w:val="none"/>
                <w:u w:val="none"/>
                <w:lang w:val="en-US" w:eastAsia="zh-CN"/>
              </w:rPr>
            </w:pPr>
          </w:p>
        </w:tc>
        <w:tc>
          <w:tcPr>
            <w:tcW w:w="421" w:type="pct"/>
            <w:tcBorders>
              <w:top w:val="single" w:color="auto" w:sz="4" w:space="0"/>
              <w:left w:val="single" w:color="auto" w:sz="4" w:space="0"/>
              <w:bottom w:val="single" w:color="auto" w:sz="4" w:space="0"/>
              <w:right w:val="single" w:color="auto" w:sz="4" w:space="0"/>
            </w:tcBorders>
            <w:noWrap w:val="0"/>
            <w:vAlign w:val="center"/>
          </w:tcPr>
          <w:p w14:paraId="1A046E07">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00" w:lineRule="exact"/>
              <w:ind w:left="0" w:leftChars="0" w:right="0" w:firstLine="0" w:firstLineChars="0"/>
              <w:jc w:val="both"/>
              <w:textAlignment w:val="auto"/>
              <w:rPr>
                <w:rFonts w:hint="default" w:ascii="宋体" w:hAnsi="宋体" w:eastAsia="宋体" w:cs="宋体"/>
                <w:color w:val="auto"/>
                <w:sz w:val="21"/>
                <w:szCs w:val="21"/>
                <w:highlight w:val="none"/>
                <w:u w:val="none"/>
                <w:lang w:val="en-US" w:eastAsia="zh-CN"/>
              </w:rPr>
            </w:pPr>
            <w:r>
              <w:rPr>
                <w:rFonts w:hint="eastAsia" w:ascii="宋体" w:hAnsi="宋体" w:cs="宋体"/>
                <w:color w:val="auto"/>
                <w:sz w:val="21"/>
                <w:szCs w:val="21"/>
                <w:highlight w:val="none"/>
                <w:u w:val="none"/>
                <w:lang w:val="en-US" w:eastAsia="zh-CN"/>
              </w:rPr>
              <w:t>1150</w:t>
            </w:r>
          </w:p>
        </w:tc>
        <w:tc>
          <w:tcPr>
            <w:tcW w:w="372" w:type="pct"/>
            <w:tcBorders>
              <w:top w:val="single" w:color="auto" w:sz="4" w:space="0"/>
              <w:left w:val="single" w:color="auto" w:sz="4" w:space="0"/>
              <w:bottom w:val="single" w:color="auto" w:sz="4" w:space="0"/>
              <w:right w:val="single" w:color="auto" w:sz="4" w:space="0"/>
            </w:tcBorders>
            <w:noWrap w:val="0"/>
            <w:vAlign w:val="center"/>
          </w:tcPr>
          <w:p w14:paraId="2B345CD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00" w:lineRule="exact"/>
              <w:ind w:right="0"/>
              <w:jc w:val="center"/>
              <w:textAlignment w:val="auto"/>
              <w:rPr>
                <w:rFonts w:hint="default" w:ascii="宋体" w:hAnsi="宋体" w:eastAsia="宋体" w:cs="宋体"/>
                <w:color w:val="auto"/>
                <w:sz w:val="21"/>
                <w:szCs w:val="21"/>
                <w:highlight w:val="none"/>
                <w:u w:val="none"/>
                <w:lang w:val="en-US" w:eastAsia="zh-CN"/>
              </w:rPr>
            </w:pPr>
            <w:r>
              <w:rPr>
                <w:rFonts w:hint="eastAsia" w:ascii="宋体" w:hAnsi="宋体" w:cs="宋体"/>
                <w:color w:val="auto"/>
                <w:sz w:val="21"/>
                <w:szCs w:val="21"/>
                <w:highlight w:val="none"/>
                <w:u w:val="none"/>
                <w:lang w:val="en-US" w:eastAsia="zh-CN"/>
              </w:rPr>
              <w:t>张</w:t>
            </w:r>
          </w:p>
        </w:tc>
        <w:tc>
          <w:tcPr>
            <w:tcW w:w="418" w:type="pct"/>
            <w:tcBorders>
              <w:top w:val="single" w:color="auto" w:sz="4" w:space="0"/>
              <w:left w:val="single" w:color="auto" w:sz="4" w:space="0"/>
              <w:bottom w:val="single" w:color="auto" w:sz="4" w:space="0"/>
              <w:right w:val="single" w:color="auto" w:sz="4" w:space="0"/>
            </w:tcBorders>
            <w:noWrap w:val="0"/>
            <w:vAlign w:val="center"/>
          </w:tcPr>
          <w:p w14:paraId="2FA2B89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00" w:lineRule="exact"/>
              <w:ind w:left="0" w:leftChars="0" w:right="0" w:firstLine="0" w:firstLineChars="0"/>
              <w:jc w:val="both"/>
              <w:textAlignment w:val="auto"/>
              <w:rPr>
                <w:rFonts w:hint="eastAsia" w:ascii="宋体" w:hAnsi="宋体" w:eastAsia="宋体" w:cs="宋体"/>
                <w:color w:val="auto"/>
                <w:sz w:val="21"/>
                <w:szCs w:val="21"/>
                <w:highlight w:val="none"/>
                <w:u w:val="none"/>
                <w:lang w:val="en-US" w:eastAsia="zh-CN"/>
              </w:rPr>
            </w:pPr>
          </w:p>
        </w:tc>
        <w:tc>
          <w:tcPr>
            <w:tcW w:w="693" w:type="pct"/>
            <w:tcBorders>
              <w:top w:val="single" w:color="auto" w:sz="4" w:space="0"/>
              <w:left w:val="single" w:color="auto" w:sz="4" w:space="0"/>
              <w:bottom w:val="single" w:color="auto" w:sz="4" w:space="0"/>
              <w:right w:val="single" w:color="auto" w:sz="4" w:space="0"/>
            </w:tcBorders>
            <w:noWrap w:val="0"/>
            <w:vAlign w:val="center"/>
          </w:tcPr>
          <w:p w14:paraId="02B6221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00" w:lineRule="exact"/>
              <w:ind w:right="0"/>
              <w:jc w:val="both"/>
              <w:textAlignment w:val="auto"/>
              <w:rPr>
                <w:rFonts w:hint="default" w:ascii="宋体" w:hAnsi="宋体" w:eastAsia="宋体" w:cs="宋体"/>
                <w:color w:val="auto"/>
                <w:sz w:val="21"/>
                <w:szCs w:val="21"/>
                <w:highlight w:val="none"/>
                <w:u w:val="none"/>
                <w:lang w:val="en-US" w:eastAsia="zh-CN"/>
              </w:rPr>
            </w:pPr>
            <w:r>
              <w:rPr>
                <w:rFonts w:hint="eastAsia" w:ascii="宋体" w:hAnsi="宋体" w:cs="宋体"/>
                <w:color w:val="auto"/>
                <w:sz w:val="21"/>
                <w:szCs w:val="21"/>
                <w:highlight w:val="none"/>
                <w:u w:val="none"/>
                <w:lang w:val="en-US" w:eastAsia="zh-CN"/>
              </w:rPr>
              <w:t>365天/年</w:t>
            </w:r>
          </w:p>
        </w:tc>
        <w:tc>
          <w:tcPr>
            <w:tcW w:w="731" w:type="pct"/>
            <w:tcBorders>
              <w:top w:val="single" w:color="auto" w:sz="4" w:space="0"/>
              <w:left w:val="single" w:color="auto" w:sz="4" w:space="0"/>
              <w:bottom w:val="single" w:color="auto" w:sz="4" w:space="0"/>
              <w:right w:val="single" w:color="auto" w:sz="4" w:space="0"/>
            </w:tcBorders>
            <w:noWrap w:val="0"/>
            <w:vAlign w:val="center"/>
          </w:tcPr>
          <w:p w14:paraId="2C9DB03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00" w:lineRule="exact"/>
              <w:ind w:left="0" w:leftChars="0" w:right="0" w:firstLine="0" w:firstLineChars="0"/>
              <w:jc w:val="center"/>
              <w:textAlignment w:val="auto"/>
              <w:rPr>
                <w:rFonts w:hint="default" w:ascii="宋体" w:hAnsi="宋体" w:eastAsia="宋体" w:cs="宋体"/>
                <w:color w:val="auto"/>
                <w:sz w:val="21"/>
                <w:szCs w:val="21"/>
                <w:highlight w:val="none"/>
                <w:u w:val="none"/>
                <w:lang w:val="en-US" w:eastAsia="zh-CN"/>
              </w:rPr>
            </w:pPr>
            <w:r>
              <w:rPr>
                <w:rFonts w:hint="eastAsia" w:ascii="宋体" w:hAnsi="宋体" w:cs="宋体"/>
                <w:color w:val="auto"/>
                <w:sz w:val="21"/>
                <w:szCs w:val="21"/>
                <w:highlight w:val="none"/>
                <w:u w:val="none"/>
                <w:lang w:val="en-US" w:eastAsia="zh-CN"/>
              </w:rPr>
              <w:t>3年</w:t>
            </w:r>
          </w:p>
        </w:tc>
        <w:tc>
          <w:tcPr>
            <w:tcW w:w="1067" w:type="pct"/>
            <w:tcBorders>
              <w:top w:val="single" w:color="auto" w:sz="4" w:space="0"/>
              <w:left w:val="single" w:color="auto" w:sz="4" w:space="0"/>
              <w:bottom w:val="single" w:color="auto" w:sz="4" w:space="0"/>
              <w:right w:val="single" w:color="auto" w:sz="4" w:space="0"/>
            </w:tcBorders>
            <w:noWrap w:val="0"/>
            <w:vAlign w:val="center"/>
          </w:tcPr>
          <w:p w14:paraId="13CA70B9">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00" w:lineRule="exact"/>
              <w:ind w:left="0" w:leftChars="0" w:right="0" w:firstLine="0" w:firstLineChars="0"/>
              <w:jc w:val="both"/>
              <w:textAlignment w:val="auto"/>
              <w:rPr>
                <w:rFonts w:hint="eastAsia" w:ascii="宋体" w:hAnsi="宋体" w:eastAsia="宋体" w:cs="宋体"/>
                <w:color w:val="auto"/>
                <w:sz w:val="21"/>
                <w:szCs w:val="21"/>
                <w:highlight w:val="none"/>
                <w:u w:val="none"/>
                <w:lang w:val="en-US" w:eastAsia="zh-CN"/>
              </w:rPr>
            </w:pPr>
          </w:p>
        </w:tc>
      </w:tr>
      <w:tr w14:paraId="43B65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trPr>
        <w:tc>
          <w:tcPr>
            <w:tcW w:w="5000" w:type="pct"/>
            <w:gridSpan w:val="9"/>
            <w:tcBorders>
              <w:top w:val="single" w:color="auto" w:sz="4" w:space="0"/>
              <w:left w:val="single" w:color="auto" w:sz="4" w:space="0"/>
              <w:bottom w:val="single" w:color="auto" w:sz="4" w:space="0"/>
              <w:right w:val="single" w:color="auto" w:sz="4" w:space="0"/>
            </w:tcBorders>
            <w:noWrap w:val="0"/>
            <w:vAlign w:val="center"/>
          </w:tcPr>
          <w:p w14:paraId="0A6C6D2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00" w:lineRule="exact"/>
              <w:ind w:left="0" w:right="0"/>
              <w:jc w:val="both"/>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合同合计金额（人民币，大写）：</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元整（</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w:t>
            </w:r>
          </w:p>
        </w:tc>
      </w:tr>
      <w:tr w14:paraId="4FB1D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trPr>
        <w:tc>
          <w:tcPr>
            <w:tcW w:w="5000" w:type="pct"/>
            <w:gridSpan w:val="9"/>
            <w:tcBorders>
              <w:top w:val="single" w:color="auto" w:sz="4" w:space="0"/>
              <w:left w:val="single" w:color="auto" w:sz="4" w:space="0"/>
              <w:bottom w:val="single" w:color="auto" w:sz="4" w:space="0"/>
              <w:right w:val="single" w:color="auto" w:sz="4" w:space="0"/>
            </w:tcBorders>
            <w:noWrap w:val="0"/>
            <w:vAlign w:val="center"/>
          </w:tcPr>
          <w:p w14:paraId="4AD764B5">
            <w:pPr>
              <w:keepNext w:val="0"/>
              <w:keepLines w:val="0"/>
              <w:pageBreakBefore w:val="0"/>
              <w:suppressLineNumbers w:val="0"/>
              <w:kinsoku/>
              <w:overflowPunct/>
              <w:topLinePunct w:val="0"/>
              <w:bidi w:val="0"/>
              <w:spacing w:before="0" w:beforeAutospacing="0" w:after="0" w:afterAutospacing="0" w:line="400" w:lineRule="exact"/>
              <w:ind w:left="0" w:right="0" w:firstLine="420" w:firstLineChars="200"/>
              <w:textAlignment w:val="auto"/>
              <w:rPr>
                <w:rFonts w:hint="eastAsia" w:ascii="宋体" w:hAnsi="宋体" w:eastAsia="宋体" w:cs="宋体"/>
                <w:color w:val="auto"/>
                <w:sz w:val="21"/>
                <w:szCs w:val="21"/>
                <w:highlight w:val="none"/>
                <w:u w:val="none"/>
                <w:lang w:val="en-US" w:eastAsia="zh-CN"/>
              </w:rPr>
            </w:pPr>
            <w:r>
              <w:rPr>
                <w:rFonts w:hint="eastAsia" w:ascii="宋体" w:hAnsi="宋体" w:cs="宋体"/>
                <w:color w:val="auto"/>
                <w:szCs w:val="21"/>
                <w:highlight w:val="none"/>
              </w:rPr>
              <w:t>合同履约期限：</w:t>
            </w:r>
            <w:r>
              <w:rPr>
                <w:rFonts w:hint="eastAsia" w:ascii="宋体" w:hAnsi="宋体" w:cs="宋体"/>
                <w:color w:val="auto"/>
                <w:szCs w:val="21"/>
                <w:highlight w:val="none"/>
                <w:lang w:eastAsia="zh-CN"/>
              </w:rPr>
              <w:t>自签订合同之日起</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年</w:t>
            </w:r>
            <w:r>
              <w:rPr>
                <w:rFonts w:hint="eastAsia" w:ascii="宋体" w:hAnsi="宋体" w:eastAsia="宋体" w:cs="宋体"/>
                <w:color w:val="auto"/>
                <w:szCs w:val="21"/>
                <w:highlight w:val="none"/>
                <w:lang w:eastAsia="zh-CN"/>
              </w:rPr>
              <w:t>。若服务期限内累计金额达到项目合同金额的，采购人有权要求供应商停止处置服务并终止合同。</w:t>
            </w:r>
          </w:p>
        </w:tc>
      </w:tr>
    </w:tbl>
    <w:p w14:paraId="78E8F350">
      <w:pPr>
        <w:shd w:val="clear" w:color="auto" w:fill="auto"/>
        <w:spacing w:line="36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2、合同合计金额包括</w:t>
      </w:r>
      <w:r>
        <w:rPr>
          <w:rFonts w:hint="eastAsia" w:ascii="宋体" w:hAnsi="宋体" w:eastAsia="宋体" w:cs="宋体"/>
          <w:color w:val="auto"/>
          <w:szCs w:val="21"/>
          <w:highlight w:val="none"/>
          <w:lang w:val="en-US" w:eastAsia="zh-CN"/>
        </w:rPr>
        <w:t>服务、备品备件、标准附件、专用工具、人员薪酬、交通费、安装、调试、技术支持、检测检验、必要的保费、各项税费、代理服务费及本文件未列明而供应商认为必需的费用</w:t>
      </w:r>
      <w:r>
        <w:rPr>
          <w:rFonts w:hint="eastAsia" w:ascii="宋体" w:hAnsi="宋体" w:eastAsia="宋体" w:cs="宋体"/>
          <w:color w:val="auto"/>
          <w:szCs w:val="21"/>
          <w:highlight w:val="none"/>
        </w:rPr>
        <w:t>等一切税金和费用。如招投标文件对其另有规定的，从其规定。</w:t>
      </w:r>
    </w:p>
    <w:p w14:paraId="49E49C62">
      <w:pPr>
        <w:shd w:val="clear" w:color="auto" w:fill="auto"/>
        <w:snapToGrid w:val="0"/>
        <w:spacing w:line="360" w:lineRule="auto"/>
        <w:ind w:firstLine="420" w:firstLineChars="200"/>
        <w:rPr>
          <w:rFonts w:hint="eastAsia" w:ascii="宋体" w:hAnsi="宋体" w:eastAsia="宋体" w:cs="宋体"/>
          <w:color w:val="auto"/>
          <w:szCs w:val="21"/>
          <w:highlight w:val="none"/>
        </w:rPr>
      </w:pPr>
    </w:p>
    <w:p w14:paraId="42108A58">
      <w:pPr>
        <w:shd w:val="clear" w:color="auto" w:fill="auto"/>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第二条　质量保证</w:t>
      </w:r>
    </w:p>
    <w:p w14:paraId="671CF5A8">
      <w:pPr>
        <w:shd w:val="clear" w:color="auto" w:fill="auto"/>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乙方所提供的服务内容必须与投标文件和承诺相一致。</w:t>
      </w:r>
    </w:p>
    <w:p w14:paraId="7E36C671">
      <w:pPr>
        <w:shd w:val="clear" w:color="auto" w:fill="auto"/>
        <w:snapToGrid w:val="0"/>
        <w:spacing w:line="360" w:lineRule="auto"/>
        <w:ind w:firstLine="422" w:firstLineChars="200"/>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rPr>
        <w:t>第三条　 双方权利和义务</w:t>
      </w:r>
    </w:p>
    <w:p w14:paraId="3035B91E">
      <w:pPr>
        <w:shd w:val="clear" w:color="auto" w:fill="auto"/>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权利和义务</w:t>
      </w:r>
    </w:p>
    <w:p w14:paraId="472F7B6F">
      <w:pPr>
        <w:shd w:val="clear" w:color="auto" w:fill="auto"/>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有权要求</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按照环保法律法规处置其医疗废物，但不得干涉</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依法进行的管理和处置活动。</w:t>
      </w:r>
    </w:p>
    <w:p w14:paraId="37DB4DEA">
      <w:pPr>
        <w:shd w:val="clear" w:color="auto" w:fill="auto"/>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严禁将生活垃圾投放至医疗废物内，必须将医疗过程中产生的医疗废物全部足量交付给</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收集处理。</w:t>
      </w:r>
    </w:p>
    <w:p w14:paraId="6D544AAD">
      <w:pPr>
        <w:shd w:val="clear" w:color="auto" w:fill="auto"/>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产生的感染性废物应用防渗漏的医用包装袋包装，损伤性废物应用防锐器穿透的利器盒包装；包装袋和利器盒表面均应有明显警示标识，并注明生产单位,医用包装袋与利器盒由</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自理，医用包装袋与利器盒</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不予回收。</w:t>
      </w:r>
    </w:p>
    <w:p w14:paraId="6FFA80C6">
      <w:pPr>
        <w:shd w:val="clear" w:color="auto" w:fill="auto"/>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应根据现行规范和要求对医疗废物进行收集、分类和包装（包装物符合国家相关的规范，包含但不限于医用包装袋、利器盒），集中放置在专用医疗废物周转箱内，存放于医疗废物暂存点由</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负责收集运输，</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负责暂存处的日常卫生消毒和管理。</w:t>
      </w:r>
    </w:p>
    <w:p w14:paraId="004EEEE2">
      <w:pPr>
        <w:shd w:val="clear" w:color="auto" w:fill="auto"/>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医疗废物暂存间必须满足有关规定并方便</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车辆出入，如不满足</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车辆出入的，</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负责将医疗废物送到甲乙双方协商好的地点，方便</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开展医疗废物收集运输工作。</w:t>
      </w:r>
    </w:p>
    <w:p w14:paraId="6B969DE6">
      <w:pPr>
        <w:shd w:val="clear" w:color="auto" w:fill="auto"/>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负责对</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进入</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区域的人员进行各项规定的告知，并指引</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开展医疗废物收集工作。</w:t>
      </w:r>
    </w:p>
    <w:p w14:paraId="6853596A">
      <w:pPr>
        <w:shd w:val="clear" w:color="auto" w:fill="auto"/>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（7）在装车时为</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提供装载工具、通行手续办理等便利，并配合</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做好暂存点医疗废物装卸安全保障工作。</w:t>
      </w:r>
    </w:p>
    <w:p w14:paraId="1DFD5F01">
      <w:pPr>
        <w:shd w:val="clear" w:color="auto" w:fill="auto"/>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（8）</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有下列行为之一的，</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有权现场拒绝接收；</w:t>
      </w:r>
    </w:p>
    <w:p w14:paraId="1F461853">
      <w:pPr>
        <w:shd w:val="clear" w:color="auto" w:fill="auto"/>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a.暂存点医废包装物破损、包装物泄漏;</w:t>
      </w:r>
    </w:p>
    <w:p w14:paraId="2BDF92FA">
      <w:pPr>
        <w:shd w:val="clear" w:color="auto" w:fill="auto"/>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b.未使用规定材料对医废进行包装的；</w:t>
      </w:r>
    </w:p>
    <w:p w14:paraId="65F537E8">
      <w:pPr>
        <w:shd w:val="clear" w:color="auto" w:fill="auto"/>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c.化学性废物、药物性废物、病理性废物与损伤性废物、感染性废物混装的。</w:t>
      </w:r>
    </w:p>
    <w:p w14:paraId="3FF00D5B">
      <w:pPr>
        <w:shd w:val="clear" w:color="auto" w:fill="auto"/>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（9）</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保证提供给</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的医疗废物不得出现下列异常情况：</w:t>
      </w:r>
    </w:p>
    <w:p w14:paraId="67374753">
      <w:pPr>
        <w:shd w:val="clear" w:color="auto" w:fill="auto"/>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a.医疗废物种类未列入本合同； </w:t>
      </w:r>
    </w:p>
    <w:p w14:paraId="74C5E758">
      <w:pPr>
        <w:shd w:val="clear" w:color="auto" w:fill="auto"/>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b.标识不规范或者错误，包装破损或者密封不严；</w:t>
      </w:r>
    </w:p>
    <w:p w14:paraId="2CEDE128">
      <w:pPr>
        <w:shd w:val="clear" w:color="auto" w:fill="auto"/>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c.其他违反国家医疗废物包装的异常情况。</w:t>
      </w:r>
    </w:p>
    <w:p w14:paraId="1A8E7E44">
      <w:pPr>
        <w:shd w:val="clear" w:color="auto" w:fill="auto"/>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若由于出现上述异常</w:t>
      </w:r>
      <w:r>
        <w:rPr>
          <w:rFonts w:hint="eastAsia" w:ascii="宋体" w:hAnsi="宋体" w:cs="宋体"/>
          <w:color w:val="auto"/>
          <w:szCs w:val="21"/>
          <w:highlight w:val="none"/>
          <w:lang w:val="en-US" w:eastAsia="zh-CN"/>
        </w:rPr>
        <w:t>情况</w:t>
      </w:r>
      <w:r>
        <w:rPr>
          <w:rFonts w:hint="eastAsia" w:ascii="宋体" w:hAnsi="宋体" w:eastAsia="宋体" w:cs="宋体"/>
          <w:color w:val="auto"/>
          <w:szCs w:val="21"/>
          <w:highlight w:val="none"/>
        </w:rPr>
        <w:t>致使</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在运输和处置过程中引起损失和事故，或对环境造成二次污染的，</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须承担相应责任。</w:t>
      </w:r>
    </w:p>
    <w:p w14:paraId="6AA86ACA">
      <w:pPr>
        <w:shd w:val="clear" w:color="auto" w:fill="auto"/>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权利和义务</w:t>
      </w:r>
    </w:p>
    <w:p w14:paraId="1F2E8183">
      <w:pPr>
        <w:shd w:val="clear" w:color="auto" w:fill="auto"/>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需向</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提供有效的、与</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医疗废物相关的运输、处置资质证明，</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确保安全收运和处置医疗废物。</w:t>
      </w:r>
    </w:p>
    <w:p w14:paraId="4C3EAB0A">
      <w:pPr>
        <w:shd w:val="clear" w:color="auto" w:fill="auto"/>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（2）负责周转箱用后清洗和消毒处理工作。</w:t>
      </w:r>
    </w:p>
    <w:p w14:paraId="40F04DA7">
      <w:pPr>
        <w:shd w:val="clear" w:color="auto" w:fill="auto"/>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负责到双方协商确定的医疗废物暂存场地，接收医疗废物并运输至</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处置场所。</w:t>
      </w:r>
    </w:p>
    <w:p w14:paraId="734D47F5">
      <w:pPr>
        <w:shd w:val="clear" w:color="auto" w:fill="auto"/>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确保在运输</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废物过程中遵守相关规范，使医疗废物处置符合国家相关技术要求。</w:t>
      </w:r>
    </w:p>
    <w:p w14:paraId="7B427C18">
      <w:pPr>
        <w:shd w:val="clear" w:color="auto" w:fill="auto"/>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在处置</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医疗废物时，应接受环保和卫生等主管部门的监督和指导，并接受</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的监督和指导。</w:t>
      </w:r>
    </w:p>
    <w:p w14:paraId="162276EB">
      <w:pPr>
        <w:shd w:val="clear" w:color="auto" w:fill="auto"/>
        <w:snapToGrid w:val="0"/>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第</w:t>
      </w:r>
      <w:r>
        <w:rPr>
          <w:rFonts w:hint="eastAsia" w:ascii="宋体" w:hAnsi="宋体" w:eastAsia="宋体" w:cs="宋体"/>
          <w:b/>
          <w:bCs/>
          <w:color w:val="auto"/>
          <w:szCs w:val="21"/>
          <w:highlight w:val="none"/>
          <w:lang w:val="en-US" w:eastAsia="zh-CN"/>
        </w:rPr>
        <w:t>四</w:t>
      </w:r>
      <w:r>
        <w:rPr>
          <w:rFonts w:hint="eastAsia" w:ascii="宋体" w:hAnsi="宋体" w:eastAsia="宋体" w:cs="宋体"/>
          <w:b/>
          <w:bCs/>
          <w:color w:val="auto"/>
          <w:szCs w:val="21"/>
          <w:highlight w:val="none"/>
        </w:rPr>
        <w:t>条 医疗废物转移联单的管理</w:t>
      </w:r>
    </w:p>
    <w:p w14:paraId="70900441">
      <w:pPr>
        <w:shd w:val="clear" w:color="auto" w:fill="auto"/>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医疗废物转移执行二联单，联单由</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负责提供，双方交接时应按规定填写《危险废物转移联单》（医疗废物专用），医疗废物称重后，经甲乙双方确认后由</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收集人员在联单上填写箱数、重量，每种医疗废物的箱数、重量应填写清楚，由</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确认无误后在医疗卫生机构交接人员栏签字，确认后的联单甲乙双方不得随意篡改，如发现一方有篡改行为将报告当地主管部门，次月月中将甲乙双方盖章的医疗废物转移联单第一联交由</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留存，第二联由</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留存。</w:t>
      </w:r>
    </w:p>
    <w:p w14:paraId="717899B0">
      <w:pPr>
        <w:shd w:val="clear" w:color="auto" w:fill="auto"/>
        <w:snapToGrid w:val="0"/>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第</w:t>
      </w:r>
      <w:r>
        <w:rPr>
          <w:rFonts w:hint="eastAsia" w:ascii="宋体" w:hAnsi="宋体" w:eastAsia="宋体" w:cs="宋体"/>
          <w:b/>
          <w:bCs/>
          <w:color w:val="auto"/>
          <w:szCs w:val="21"/>
          <w:highlight w:val="none"/>
          <w:lang w:val="en-US" w:eastAsia="zh-CN"/>
        </w:rPr>
        <w:t>五</w:t>
      </w:r>
      <w:r>
        <w:rPr>
          <w:rFonts w:hint="eastAsia" w:ascii="宋体" w:hAnsi="宋体" w:eastAsia="宋体" w:cs="宋体"/>
          <w:b/>
          <w:bCs/>
          <w:color w:val="auto"/>
          <w:szCs w:val="21"/>
          <w:highlight w:val="none"/>
        </w:rPr>
        <w:t>条 违约责任</w:t>
      </w:r>
    </w:p>
    <w:p w14:paraId="61BDF459">
      <w:pPr>
        <w:shd w:val="clear" w:color="auto" w:fill="auto"/>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1.合同双方中任何一方违反本合同的约定，守约方有权要求违约方停止违约行为，并承担相应违约责任。若造成经济损失，受损方有权向违约方索赔。如无特殊原因，</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不能按合同约定收运，</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有权参照《南宁市医疗废弃物集中处置管理暂行办法》第二十条规定，</w:t>
      </w:r>
      <w:r>
        <w:rPr>
          <w:rFonts w:hint="eastAsia" w:ascii="宋体" w:hAnsi="宋体" w:cs="宋体"/>
          <w:color w:val="auto"/>
          <w:szCs w:val="21"/>
          <w:highlight w:val="none"/>
          <w:lang w:val="en-US" w:eastAsia="zh-CN"/>
        </w:rPr>
        <w:t>每次</w:t>
      </w:r>
      <w:r>
        <w:rPr>
          <w:rFonts w:hint="eastAsia" w:ascii="宋体" w:hAnsi="宋体" w:eastAsia="宋体" w:cs="宋体"/>
          <w:color w:val="auto"/>
          <w:szCs w:val="21"/>
          <w:highlight w:val="none"/>
        </w:rPr>
        <w:t>扣除</w:t>
      </w:r>
      <w:r>
        <w:rPr>
          <w:rFonts w:hint="eastAsia" w:ascii="宋体" w:hAnsi="宋体" w:eastAsia="宋体" w:cs="宋体"/>
          <w:color w:val="auto"/>
          <w:szCs w:val="21"/>
          <w:highlight w:val="none"/>
          <w:lang w:eastAsia="zh-CN"/>
        </w:rPr>
        <w:t>乙方</w:t>
      </w:r>
      <w:r>
        <w:rPr>
          <w:rFonts w:hint="eastAsia" w:ascii="宋体" w:hAnsi="宋体" w:cs="宋体"/>
          <w:color w:val="auto"/>
          <w:szCs w:val="21"/>
          <w:highlight w:val="none"/>
          <w:lang w:val="en-US" w:eastAsia="zh-CN"/>
        </w:rPr>
        <w:t>500元/天</w:t>
      </w:r>
      <w:r>
        <w:rPr>
          <w:rFonts w:hint="eastAsia" w:ascii="宋体" w:hAnsi="宋体" w:eastAsia="宋体" w:cs="宋体"/>
          <w:color w:val="auto"/>
          <w:szCs w:val="21"/>
          <w:highlight w:val="none"/>
        </w:rPr>
        <w:t>处置费。</w:t>
      </w:r>
    </w:p>
    <w:p w14:paraId="4F727F64">
      <w:pPr>
        <w:shd w:val="clear" w:color="auto" w:fill="auto"/>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2.合同双方中任一方擅自解除合同，应向另一方支付本合同总服务费用20%的违约金。若造成损失的，违约方应承担相应赔偿责任。</w:t>
      </w:r>
    </w:p>
    <w:p w14:paraId="265BEF60">
      <w:pPr>
        <w:shd w:val="clear" w:color="auto" w:fill="auto"/>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未经</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书面同意，将本合同约定的医疗废物交由第三方进行处理，</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按实际交第三方处理量的处置费承担违约金。</w:t>
      </w:r>
    </w:p>
    <w:p w14:paraId="12729C7B">
      <w:pPr>
        <w:shd w:val="clear" w:color="auto" w:fill="auto"/>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不得在</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接收的废物中夹带在合同、转移联单约定范围外的其他危险废物，如有发现与合同范围、转移联单内容不相符的危险废物，</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拒绝收运，已收运的退还</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需承担相应产生的运输装卸费等相应的直接及间接经济损失和运输过程中的安全、环保责任。</w:t>
      </w:r>
    </w:p>
    <w:p w14:paraId="045570C2">
      <w:pPr>
        <w:shd w:val="clear" w:color="auto" w:fill="auto"/>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.本合同执行期间，如遇不可抗力因素（如地震、战争、洪灾、职能部门政策变更等），致使合同无法履行时，甲、乙双方均不承担违约责任，并按有关法规政策及时协商处理。</w:t>
      </w:r>
    </w:p>
    <w:p w14:paraId="069A3CD5">
      <w:pPr>
        <w:shd w:val="clear" w:color="auto" w:fill="auto"/>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.非因</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（含</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委托的第三人）原因，</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未收处或未及时收处</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 xml:space="preserve">危险废物的，不属于本合同约定的违约情况，不承担违约责任。 </w:t>
      </w:r>
    </w:p>
    <w:p w14:paraId="582DB58C">
      <w:pPr>
        <w:shd w:val="clear" w:color="auto" w:fill="auto"/>
        <w:snapToGrid w:val="0"/>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第</w:t>
      </w:r>
      <w:r>
        <w:rPr>
          <w:rFonts w:hint="eastAsia" w:ascii="宋体" w:hAnsi="宋体" w:eastAsia="宋体" w:cs="宋体"/>
          <w:b/>
          <w:bCs/>
          <w:color w:val="auto"/>
          <w:szCs w:val="21"/>
          <w:highlight w:val="none"/>
          <w:lang w:val="en-US" w:eastAsia="zh-CN"/>
        </w:rPr>
        <w:t>六</w:t>
      </w:r>
      <w:r>
        <w:rPr>
          <w:rFonts w:hint="eastAsia" w:ascii="宋体" w:hAnsi="宋体" w:eastAsia="宋体" w:cs="宋体"/>
          <w:b/>
          <w:bCs/>
          <w:color w:val="auto"/>
          <w:szCs w:val="21"/>
          <w:highlight w:val="none"/>
        </w:rPr>
        <w:t>条 保密条款</w:t>
      </w:r>
    </w:p>
    <w:p w14:paraId="6A40BCE2">
      <w:pPr>
        <w:shd w:val="clear" w:color="auto" w:fill="auto"/>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协商、订立、履行期间，双方对所获得的对方任何资料、信息数据等文件均负有保密义务。未经一方书面同意，另一方不得在协商、合同期内或合同履行完毕以后以任何方式泄露或用于与本合同无关的其他任何事项。</w:t>
      </w:r>
    </w:p>
    <w:p w14:paraId="3716E751">
      <w:pPr>
        <w:shd w:val="clear" w:color="auto" w:fill="auto"/>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w:t>
      </w:r>
      <w:r>
        <w:rPr>
          <w:rFonts w:hint="eastAsia" w:ascii="宋体" w:hAnsi="宋体" w:eastAsia="宋体" w:cs="宋体"/>
          <w:b/>
          <w:color w:val="auto"/>
          <w:szCs w:val="21"/>
          <w:highlight w:val="none"/>
          <w:lang w:val="en-US" w:eastAsia="zh-CN"/>
        </w:rPr>
        <w:t>七</w:t>
      </w:r>
      <w:r>
        <w:rPr>
          <w:rFonts w:hint="eastAsia" w:ascii="宋体" w:hAnsi="宋体" w:eastAsia="宋体" w:cs="宋体"/>
          <w:b/>
          <w:color w:val="auto"/>
          <w:szCs w:val="21"/>
          <w:highlight w:val="none"/>
        </w:rPr>
        <w:t>条　服务期限</w:t>
      </w:r>
    </w:p>
    <w:p w14:paraId="504B4675">
      <w:pPr>
        <w:shd w:val="clear" w:color="auto" w:fill="auto"/>
        <w:snapToGrid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eastAsia="zh-CN"/>
        </w:rPr>
        <w:t>自签订合同之日起</w:t>
      </w:r>
      <w:r>
        <w:rPr>
          <w:rFonts w:hint="eastAsia" w:ascii="宋体" w:hAnsi="宋体" w:eastAsia="宋体" w:cs="宋体"/>
          <w:bCs/>
          <w:color w:val="auto"/>
          <w:szCs w:val="21"/>
          <w:highlight w:val="none"/>
          <w:lang w:val="en-US" w:eastAsia="zh-CN"/>
        </w:rPr>
        <w:t>3</w:t>
      </w:r>
      <w:r>
        <w:rPr>
          <w:rFonts w:hint="eastAsia" w:ascii="宋体" w:hAnsi="宋体" w:eastAsia="宋体" w:cs="宋体"/>
          <w:bCs/>
          <w:color w:val="auto"/>
          <w:szCs w:val="21"/>
          <w:highlight w:val="none"/>
          <w:lang w:eastAsia="zh-CN"/>
        </w:rPr>
        <w:t>年。</w:t>
      </w:r>
    </w:p>
    <w:p w14:paraId="3A7A209D">
      <w:pPr>
        <w:shd w:val="clear" w:color="auto" w:fill="auto"/>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w:t>
      </w:r>
      <w:r>
        <w:rPr>
          <w:rFonts w:hint="eastAsia" w:ascii="宋体" w:hAnsi="宋体" w:eastAsia="宋体" w:cs="宋体"/>
          <w:b/>
          <w:color w:val="auto"/>
          <w:szCs w:val="21"/>
          <w:highlight w:val="none"/>
          <w:lang w:val="en-US" w:eastAsia="zh-CN"/>
        </w:rPr>
        <w:t>八</w:t>
      </w:r>
      <w:r>
        <w:rPr>
          <w:rFonts w:hint="eastAsia" w:ascii="宋体" w:hAnsi="宋体" w:eastAsia="宋体" w:cs="宋体"/>
          <w:b/>
          <w:color w:val="auto"/>
          <w:szCs w:val="21"/>
          <w:highlight w:val="none"/>
        </w:rPr>
        <w:t>条　付款方式</w:t>
      </w:r>
    </w:p>
    <w:p w14:paraId="06F5A49F">
      <w:pPr>
        <w:shd w:val="clear" w:color="auto" w:fill="auto"/>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1、资金性质：</w:t>
      </w:r>
      <w:r>
        <w:rPr>
          <w:rFonts w:hint="eastAsia" w:ascii="宋体" w:hAnsi="宋体" w:eastAsia="宋体" w:cs="宋体"/>
          <w:color w:val="auto"/>
          <w:szCs w:val="21"/>
          <w:highlight w:val="none"/>
          <w:u w:val="single"/>
        </w:rPr>
        <w:t>财政性资金</w:t>
      </w:r>
    </w:p>
    <w:p w14:paraId="361C565C">
      <w:pPr>
        <w:shd w:val="clear" w:color="auto" w:fill="auto"/>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2、付款方式：</w:t>
      </w:r>
    </w:p>
    <w:p w14:paraId="5DABC989">
      <w:pPr>
        <w:shd w:val="clear" w:color="auto" w:fill="auto"/>
        <w:snapToGrid w:val="0"/>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甲方按合同约定金额按月向</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lang w:val="en-US" w:eastAsia="zh-CN"/>
        </w:rPr>
        <w:t>支付服务费，</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按照结算确认的应付款数额开具合法有效的发票并送达</w:t>
      </w:r>
      <w:r>
        <w:rPr>
          <w:rFonts w:hint="eastAsia" w:ascii="宋体" w:hAnsi="宋体" w:eastAsia="宋体" w:cs="宋体"/>
          <w:color w:val="auto"/>
          <w:szCs w:val="21"/>
          <w:highlight w:val="none"/>
          <w:lang w:val="en-US" w:eastAsia="zh-CN"/>
        </w:rPr>
        <w:t>甲方</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甲方</w:t>
      </w:r>
      <w:r>
        <w:rPr>
          <w:rFonts w:hint="eastAsia" w:ascii="宋体" w:hAnsi="宋体" w:eastAsia="宋体" w:cs="宋体"/>
          <w:color w:val="auto"/>
          <w:szCs w:val="21"/>
          <w:highlight w:val="none"/>
        </w:rPr>
        <w:t>于收到合法有效发票后支付上月服务费，需要扣减违约金、赔偿金等按合同约定</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应向</w:t>
      </w:r>
      <w:r>
        <w:rPr>
          <w:rFonts w:hint="eastAsia" w:ascii="宋体" w:hAnsi="宋体" w:eastAsia="宋体" w:cs="宋体"/>
          <w:color w:val="auto"/>
          <w:szCs w:val="21"/>
          <w:highlight w:val="none"/>
          <w:lang w:val="en-US" w:eastAsia="zh-CN"/>
        </w:rPr>
        <w:t>甲方</w:t>
      </w:r>
      <w:r>
        <w:rPr>
          <w:rFonts w:hint="eastAsia" w:ascii="宋体" w:hAnsi="宋体" w:eastAsia="宋体" w:cs="宋体"/>
          <w:color w:val="auto"/>
          <w:szCs w:val="21"/>
          <w:highlight w:val="none"/>
        </w:rPr>
        <w:t>支付的款项的，</w:t>
      </w:r>
      <w:r>
        <w:rPr>
          <w:rFonts w:hint="eastAsia" w:ascii="宋体" w:hAnsi="宋体" w:eastAsia="宋体" w:cs="宋体"/>
          <w:color w:val="auto"/>
          <w:szCs w:val="21"/>
          <w:highlight w:val="none"/>
          <w:lang w:val="en-US" w:eastAsia="zh-CN"/>
        </w:rPr>
        <w:t>甲方</w:t>
      </w:r>
      <w:r>
        <w:rPr>
          <w:rFonts w:hint="eastAsia" w:ascii="宋体" w:hAnsi="宋体" w:eastAsia="宋体" w:cs="宋体"/>
          <w:color w:val="auto"/>
          <w:szCs w:val="21"/>
          <w:highlight w:val="none"/>
        </w:rPr>
        <w:t>有权在支付服务费时直接扣减。</w:t>
      </w:r>
      <w:r>
        <w:rPr>
          <w:rFonts w:hint="eastAsia" w:ascii="宋体" w:hAnsi="宋体" w:cs="宋体"/>
          <w:color w:val="auto"/>
          <w:szCs w:val="21"/>
          <w:highlight w:val="none"/>
          <w:lang w:val="en-US" w:eastAsia="zh-CN"/>
        </w:rPr>
        <w:t>计算公式如下：每月支付费用=（床位数量*单价（</w:t>
      </w:r>
      <w:r>
        <w:rPr>
          <w:rFonts w:ascii="Segoe UI" w:hAnsi="Segoe UI" w:eastAsia="Segoe UI" w:cs="Segoe UI"/>
          <w:i w:val="0"/>
          <w:iCs w:val="0"/>
          <w:caps w:val="0"/>
          <w:color w:val="auto"/>
          <w:spacing w:val="0"/>
          <w:sz w:val="21"/>
          <w:szCs w:val="21"/>
          <w:highlight w:val="none"/>
          <w:shd w:val="clear" w:fill="FFFFFF"/>
        </w:rPr>
        <w:t>元/床/天</w:t>
      </w:r>
      <w:r>
        <w:rPr>
          <w:rFonts w:hint="eastAsia" w:ascii="宋体" w:hAnsi="宋体" w:cs="宋体"/>
          <w:color w:val="auto"/>
          <w:szCs w:val="21"/>
          <w:highlight w:val="none"/>
          <w:lang w:val="en-US" w:eastAsia="zh-CN"/>
        </w:rPr>
        <w:t>）*365*3年）/36个月。</w:t>
      </w:r>
    </w:p>
    <w:p w14:paraId="08545441">
      <w:pPr>
        <w:shd w:val="clear" w:color="auto" w:fill="auto"/>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w:t>
      </w:r>
      <w:r>
        <w:rPr>
          <w:rFonts w:hint="eastAsia" w:ascii="宋体" w:hAnsi="宋体" w:eastAsia="宋体" w:cs="宋体"/>
          <w:b/>
          <w:color w:val="auto"/>
          <w:szCs w:val="21"/>
          <w:highlight w:val="none"/>
          <w:lang w:val="en-US" w:eastAsia="zh-CN"/>
        </w:rPr>
        <w:t>九</w:t>
      </w:r>
      <w:r>
        <w:rPr>
          <w:rFonts w:hint="eastAsia" w:ascii="宋体" w:hAnsi="宋体" w:eastAsia="宋体" w:cs="宋体"/>
          <w:b/>
          <w:color w:val="auto"/>
          <w:szCs w:val="21"/>
          <w:highlight w:val="none"/>
        </w:rPr>
        <w:t>条　本合同执行中相关的一切税费均由乙方负担。</w:t>
      </w:r>
    </w:p>
    <w:p w14:paraId="6EAF4153">
      <w:pPr>
        <w:shd w:val="clear" w:color="auto" w:fill="auto"/>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w:t>
      </w:r>
      <w:r>
        <w:rPr>
          <w:rFonts w:hint="eastAsia" w:ascii="宋体" w:hAnsi="宋体" w:eastAsia="宋体" w:cs="宋体"/>
          <w:b/>
          <w:color w:val="auto"/>
          <w:szCs w:val="21"/>
          <w:highlight w:val="none"/>
          <w:lang w:val="en-US" w:eastAsia="zh-CN"/>
        </w:rPr>
        <w:t>十</w:t>
      </w:r>
      <w:r>
        <w:rPr>
          <w:rFonts w:hint="eastAsia" w:ascii="宋体" w:hAnsi="宋体" w:eastAsia="宋体" w:cs="宋体"/>
          <w:b/>
          <w:color w:val="auto"/>
          <w:szCs w:val="21"/>
          <w:highlight w:val="none"/>
        </w:rPr>
        <w:t>条　不可抗力事件处理</w:t>
      </w:r>
    </w:p>
    <w:p w14:paraId="39E7DA75">
      <w:pPr>
        <w:shd w:val="clear" w:color="auto" w:fill="auto"/>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1、在合同有效期内，任何一方因不可抗力事件导致不能履行合同，则合同履行期可延长，其延长期与不可抗力影响期相同。</w:t>
      </w:r>
    </w:p>
    <w:p w14:paraId="05ACB76E">
      <w:pPr>
        <w:shd w:val="clear" w:color="auto" w:fill="auto"/>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2、不可抗力事件发生后，应立即通知对方，并寄送有关权威机构出具的证明。</w:t>
      </w:r>
    </w:p>
    <w:p w14:paraId="1534D1A9">
      <w:pPr>
        <w:shd w:val="clear" w:color="auto" w:fill="auto"/>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3、不可抗力事件延续120天以上，双方应通过友好协商，确定是否继续履行合同。</w:t>
      </w:r>
    </w:p>
    <w:p w14:paraId="6E70D65E">
      <w:pPr>
        <w:shd w:val="clear" w:color="auto" w:fill="auto"/>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w:t>
      </w:r>
      <w:r>
        <w:rPr>
          <w:rFonts w:hint="eastAsia" w:ascii="宋体" w:hAnsi="宋体" w:eastAsia="宋体" w:cs="宋体"/>
          <w:b/>
          <w:color w:val="auto"/>
          <w:szCs w:val="21"/>
          <w:highlight w:val="none"/>
          <w:lang w:val="en-US" w:eastAsia="zh-CN"/>
        </w:rPr>
        <w:t>十一</w:t>
      </w:r>
      <w:r>
        <w:rPr>
          <w:rFonts w:hint="eastAsia" w:ascii="宋体" w:hAnsi="宋体" w:eastAsia="宋体" w:cs="宋体"/>
          <w:b/>
          <w:color w:val="auto"/>
          <w:szCs w:val="21"/>
          <w:highlight w:val="none"/>
        </w:rPr>
        <w:t>条　合同争议解决</w:t>
      </w:r>
    </w:p>
    <w:p w14:paraId="154A967B">
      <w:pPr>
        <w:shd w:val="clear" w:color="auto" w:fill="auto"/>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1、因履行本合同引起的或与本合同有关的争议，甲乙双方应首先通过友好协商解决，如果协商不能解决，可向</w:t>
      </w:r>
      <w:r>
        <w:rPr>
          <w:rFonts w:hint="eastAsia" w:ascii="宋体" w:hAnsi="宋体" w:eastAsia="宋体" w:cs="宋体"/>
          <w:color w:val="auto"/>
          <w:szCs w:val="21"/>
          <w:highlight w:val="none"/>
          <w:lang w:val="en-US" w:eastAsia="zh-CN"/>
        </w:rPr>
        <w:t>甲方</w:t>
      </w:r>
      <w:r>
        <w:rPr>
          <w:rFonts w:hint="eastAsia" w:ascii="宋体" w:hAnsi="宋体" w:eastAsia="宋体" w:cs="宋体"/>
          <w:color w:val="auto"/>
          <w:szCs w:val="21"/>
          <w:highlight w:val="none"/>
        </w:rPr>
        <w:t>人民法院提起诉讼。</w:t>
      </w:r>
    </w:p>
    <w:p w14:paraId="0C4601F6">
      <w:pPr>
        <w:shd w:val="clear" w:color="auto" w:fill="auto"/>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2、诉讼期间，本合同继续履行。</w:t>
      </w:r>
    </w:p>
    <w:p w14:paraId="6831933D">
      <w:pPr>
        <w:shd w:val="clear" w:color="auto" w:fill="auto"/>
        <w:snapToGrid w:val="0"/>
        <w:spacing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第十</w:t>
      </w:r>
      <w:r>
        <w:rPr>
          <w:rFonts w:hint="eastAsia" w:ascii="宋体" w:hAnsi="宋体" w:eastAsia="宋体" w:cs="宋体"/>
          <w:b/>
          <w:color w:val="auto"/>
          <w:szCs w:val="21"/>
          <w:highlight w:val="none"/>
          <w:lang w:val="en-US" w:eastAsia="zh-CN"/>
        </w:rPr>
        <w:t>二</w:t>
      </w:r>
      <w:r>
        <w:rPr>
          <w:rFonts w:hint="eastAsia" w:ascii="宋体" w:hAnsi="宋体" w:eastAsia="宋体" w:cs="宋体"/>
          <w:b/>
          <w:color w:val="auto"/>
          <w:szCs w:val="21"/>
          <w:highlight w:val="none"/>
        </w:rPr>
        <w:t>条　诉讼</w:t>
      </w:r>
    </w:p>
    <w:p w14:paraId="0CE195D5">
      <w:pPr>
        <w:shd w:val="clear" w:color="auto" w:fill="auto"/>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双方在执行合同中所发生的一切争议，应通过协商解决。如果协商不能解决，可向合同签订地人民法院提起诉讼。</w:t>
      </w:r>
    </w:p>
    <w:p w14:paraId="238A3E80">
      <w:pPr>
        <w:shd w:val="clear" w:color="auto" w:fill="auto"/>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w:t>
      </w:r>
      <w:r>
        <w:rPr>
          <w:rFonts w:hint="eastAsia" w:ascii="宋体" w:hAnsi="宋体" w:eastAsia="宋体" w:cs="宋体"/>
          <w:b/>
          <w:color w:val="auto"/>
          <w:szCs w:val="21"/>
          <w:highlight w:val="none"/>
          <w:lang w:val="en-US" w:eastAsia="zh-CN"/>
        </w:rPr>
        <w:t>三</w:t>
      </w:r>
      <w:r>
        <w:rPr>
          <w:rFonts w:hint="eastAsia" w:ascii="宋体" w:hAnsi="宋体" w:eastAsia="宋体" w:cs="宋体"/>
          <w:b/>
          <w:color w:val="auto"/>
          <w:szCs w:val="21"/>
          <w:highlight w:val="none"/>
        </w:rPr>
        <w:t>条　合同生效及其它</w:t>
      </w:r>
    </w:p>
    <w:p w14:paraId="28490416">
      <w:pPr>
        <w:shd w:val="clear" w:color="auto" w:fill="auto"/>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合同经双方法定代表人或授权代表签字并加盖单位公章后生效。</w:t>
      </w:r>
    </w:p>
    <w:p w14:paraId="6F86A9ED">
      <w:pPr>
        <w:shd w:val="clear" w:color="auto" w:fill="auto"/>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w:t>
      </w:r>
      <w:r>
        <w:rPr>
          <w:rFonts w:hint="eastAsia" w:ascii="宋体" w:hAnsi="宋体" w:eastAsia="宋体" w:cs="宋体"/>
          <w:b/>
          <w:color w:val="auto"/>
          <w:szCs w:val="21"/>
          <w:highlight w:val="none"/>
          <w:lang w:val="en-US" w:eastAsia="zh-CN"/>
        </w:rPr>
        <w:t>四</w:t>
      </w:r>
      <w:r>
        <w:rPr>
          <w:rFonts w:hint="eastAsia" w:ascii="宋体" w:hAnsi="宋体" w:eastAsia="宋体" w:cs="宋体"/>
          <w:b/>
          <w:color w:val="auto"/>
          <w:szCs w:val="21"/>
          <w:highlight w:val="none"/>
        </w:rPr>
        <w:t>条　合同的变更、终止与转让</w:t>
      </w:r>
    </w:p>
    <w:p w14:paraId="2E61E36A">
      <w:pPr>
        <w:shd w:val="clear" w:color="auto" w:fill="auto"/>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1、除国家法律、法规规定的情形外，本合同一经签订，甲乙双方不得擅自变更、中止或终止。</w:t>
      </w:r>
    </w:p>
    <w:p w14:paraId="6CFABC7D">
      <w:pPr>
        <w:shd w:val="clear" w:color="auto" w:fill="auto"/>
        <w:snapToGrid w:val="0"/>
        <w:spacing w:line="360" w:lineRule="auto"/>
        <w:ind w:left="-61" w:firstLine="514"/>
        <w:rPr>
          <w:rFonts w:hint="eastAsia" w:ascii="宋体" w:hAnsi="宋体" w:eastAsia="宋体" w:cs="宋体"/>
          <w:color w:val="auto"/>
          <w:szCs w:val="21"/>
          <w:highlight w:val="none"/>
        </w:rPr>
      </w:pPr>
      <w:r>
        <w:rPr>
          <w:rFonts w:hint="eastAsia" w:ascii="宋体" w:hAnsi="宋体" w:eastAsia="宋体" w:cs="宋体"/>
          <w:color w:val="auto"/>
          <w:szCs w:val="21"/>
          <w:highlight w:val="none"/>
        </w:rPr>
        <w:t>2、乙方不得擅自转让其应履行的合同义务。</w:t>
      </w:r>
    </w:p>
    <w:p w14:paraId="54FF4ADD">
      <w:pPr>
        <w:shd w:val="clear" w:color="auto" w:fill="auto"/>
        <w:snapToGrid w:val="0"/>
        <w:spacing w:line="360" w:lineRule="auto"/>
        <w:ind w:left="-61" w:firstLine="514"/>
        <w:rPr>
          <w:rFonts w:hint="eastAsia" w:ascii="宋体" w:hAnsi="宋体" w:eastAsia="宋体" w:cs="宋体"/>
          <w:color w:val="auto"/>
          <w:szCs w:val="21"/>
          <w:highlight w:val="none"/>
        </w:rPr>
      </w:pPr>
      <w:r>
        <w:rPr>
          <w:rFonts w:hint="eastAsia" w:ascii="宋体" w:hAnsi="宋体" w:eastAsia="宋体" w:cs="宋体"/>
          <w:color w:val="auto"/>
          <w:szCs w:val="21"/>
          <w:highlight w:val="none"/>
        </w:rPr>
        <w:t>3、合同经甲乙双方法定代表人（负责人、自然人）或授权代表签字并加盖单位公章后生效。</w:t>
      </w:r>
    </w:p>
    <w:p w14:paraId="76FD6736">
      <w:pPr>
        <w:shd w:val="clear" w:color="auto" w:fill="auto"/>
        <w:snapToGrid w:val="0"/>
        <w:spacing w:line="360" w:lineRule="auto"/>
        <w:ind w:left="-61" w:firstLine="514"/>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4、合同执行中涉及采购资金和采购内容修改或补充的，须经</w:t>
      </w:r>
      <w:r>
        <w:rPr>
          <w:rFonts w:hint="eastAsia" w:ascii="宋体" w:hAnsi="宋体" w:eastAsia="宋体" w:cs="宋体"/>
          <w:bCs/>
          <w:color w:val="auto"/>
          <w:spacing w:val="-6"/>
          <w:kern w:val="0"/>
          <w:szCs w:val="21"/>
          <w:highlight w:val="none"/>
        </w:rPr>
        <w:t>甲方资金监督管理部门</w:t>
      </w:r>
      <w:r>
        <w:rPr>
          <w:rFonts w:hint="eastAsia" w:ascii="宋体" w:hAnsi="宋体" w:eastAsia="宋体" w:cs="宋体"/>
          <w:color w:val="auto"/>
          <w:spacing w:val="-6"/>
          <w:szCs w:val="21"/>
          <w:highlight w:val="none"/>
        </w:rPr>
        <w:t>审批，并签书面补充协议报</w:t>
      </w:r>
      <w:r>
        <w:rPr>
          <w:rFonts w:hint="eastAsia" w:ascii="宋体" w:hAnsi="宋体" w:eastAsia="宋体" w:cs="宋体"/>
          <w:bCs/>
          <w:color w:val="auto"/>
          <w:spacing w:val="-6"/>
          <w:kern w:val="0"/>
          <w:szCs w:val="21"/>
          <w:highlight w:val="none"/>
        </w:rPr>
        <w:t>甲方资金监督管理部门</w:t>
      </w:r>
      <w:r>
        <w:rPr>
          <w:rFonts w:hint="eastAsia" w:ascii="宋体" w:hAnsi="宋体" w:eastAsia="宋体" w:cs="宋体"/>
          <w:color w:val="auto"/>
          <w:spacing w:val="-6"/>
          <w:szCs w:val="21"/>
          <w:highlight w:val="none"/>
        </w:rPr>
        <w:t>备案，方可作为主合同不可分割的一部分。</w:t>
      </w:r>
    </w:p>
    <w:p w14:paraId="3D674946">
      <w:pPr>
        <w:shd w:val="clear" w:color="auto" w:fill="auto"/>
        <w:snapToGrid w:val="0"/>
        <w:spacing w:line="360" w:lineRule="auto"/>
        <w:ind w:left="-61" w:firstLine="514"/>
        <w:rPr>
          <w:rFonts w:hint="eastAsia" w:ascii="宋体" w:hAnsi="宋体" w:eastAsia="宋体" w:cs="宋体"/>
          <w:color w:val="auto"/>
          <w:szCs w:val="21"/>
          <w:highlight w:val="none"/>
        </w:rPr>
      </w:pPr>
      <w:r>
        <w:rPr>
          <w:rFonts w:hint="eastAsia" w:ascii="宋体" w:hAnsi="宋体" w:eastAsia="宋体" w:cs="宋体"/>
          <w:color w:val="auto"/>
          <w:szCs w:val="21"/>
          <w:highlight w:val="none"/>
        </w:rPr>
        <w:t>5、本合同未尽事宜，遵照《</w:t>
      </w:r>
      <w:r>
        <w:rPr>
          <w:rFonts w:hint="eastAsia" w:ascii="宋体" w:hAnsi="宋体" w:eastAsia="宋体" w:cs="宋体"/>
          <w:color w:val="auto"/>
          <w:szCs w:val="21"/>
          <w:highlight w:val="none"/>
          <w:shd w:val="clear" w:color="auto" w:fill="FFFFFF"/>
        </w:rPr>
        <w:t>中华人民共和国民法典</w:t>
      </w:r>
      <w:r>
        <w:rPr>
          <w:rFonts w:hint="eastAsia" w:ascii="宋体" w:hAnsi="宋体" w:eastAsia="宋体" w:cs="宋体"/>
          <w:color w:val="auto"/>
          <w:szCs w:val="21"/>
          <w:highlight w:val="none"/>
        </w:rPr>
        <w:t>》有关条文执行。</w:t>
      </w:r>
    </w:p>
    <w:p w14:paraId="5924D31E">
      <w:pPr>
        <w:shd w:val="clear" w:color="auto" w:fill="auto"/>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w:t>
      </w:r>
      <w:r>
        <w:rPr>
          <w:rFonts w:hint="eastAsia" w:ascii="宋体" w:hAnsi="宋体" w:eastAsia="宋体" w:cs="宋体"/>
          <w:b/>
          <w:color w:val="auto"/>
          <w:szCs w:val="21"/>
          <w:highlight w:val="none"/>
          <w:lang w:val="en-US" w:eastAsia="zh-CN"/>
        </w:rPr>
        <w:t>五</w:t>
      </w:r>
      <w:r>
        <w:rPr>
          <w:rFonts w:hint="eastAsia" w:ascii="宋体" w:hAnsi="宋体" w:eastAsia="宋体" w:cs="宋体"/>
          <w:b/>
          <w:color w:val="auto"/>
          <w:szCs w:val="21"/>
          <w:highlight w:val="none"/>
        </w:rPr>
        <w:t>条　签订本合同依据</w:t>
      </w:r>
    </w:p>
    <w:p w14:paraId="187EAD4E">
      <w:pPr>
        <w:shd w:val="clear" w:color="auto" w:fill="auto"/>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highlight w:val="none"/>
        </w:rPr>
        <w:t>项目采购文件；</w:t>
      </w:r>
    </w:p>
    <w:p w14:paraId="1426FD35">
      <w:pPr>
        <w:shd w:val="clear" w:color="auto" w:fill="auto"/>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2、乙方提供的</w:t>
      </w:r>
      <w:bookmarkStart w:id="185" w:name="_Hlk69900059"/>
      <w:r>
        <w:rPr>
          <w:rFonts w:hint="eastAsia" w:ascii="宋体" w:hAnsi="宋体" w:eastAsia="宋体" w:cs="宋体"/>
          <w:color w:val="auto"/>
          <w:szCs w:val="21"/>
          <w:highlight w:val="none"/>
        </w:rPr>
        <w:t>采购投标文件</w:t>
      </w:r>
      <w:bookmarkEnd w:id="185"/>
      <w:r>
        <w:rPr>
          <w:rFonts w:hint="eastAsia" w:ascii="宋体" w:hAnsi="宋体" w:eastAsia="宋体" w:cs="宋体"/>
          <w:color w:val="auto"/>
          <w:szCs w:val="21"/>
          <w:highlight w:val="none"/>
        </w:rPr>
        <w:t>；</w:t>
      </w:r>
    </w:p>
    <w:p w14:paraId="47885BB8">
      <w:pPr>
        <w:shd w:val="clear" w:color="auto" w:fill="auto"/>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中标</w:t>
      </w:r>
      <w:r>
        <w:rPr>
          <w:rFonts w:hint="eastAsia" w:ascii="宋体" w:hAnsi="宋体" w:eastAsia="宋体" w:cs="宋体"/>
          <w:color w:val="auto"/>
          <w:szCs w:val="21"/>
          <w:highlight w:val="none"/>
        </w:rPr>
        <w:t>通知书。</w:t>
      </w:r>
    </w:p>
    <w:p w14:paraId="0CA9F355">
      <w:pPr>
        <w:shd w:val="clear" w:color="auto" w:fill="auto"/>
        <w:snapToGrid w:val="0"/>
        <w:spacing w:line="360" w:lineRule="auto"/>
        <w:ind w:firstLine="422" w:firstLineChars="200"/>
        <w:rPr>
          <w:rFonts w:hint="eastAsia" w:ascii="宋体" w:hAnsi="宋体" w:eastAsia="宋体" w:cs="宋体"/>
          <w:bCs/>
          <w:color w:val="auto"/>
          <w:szCs w:val="21"/>
          <w:highlight w:val="none"/>
        </w:rPr>
      </w:pPr>
      <w:r>
        <w:rPr>
          <w:rFonts w:hint="eastAsia" w:ascii="宋体" w:hAnsi="宋体" w:eastAsia="宋体" w:cs="宋体"/>
          <w:b/>
          <w:color w:val="auto"/>
          <w:szCs w:val="21"/>
          <w:highlight w:val="none"/>
        </w:rPr>
        <w:t>第十四条　</w:t>
      </w:r>
      <w:r>
        <w:rPr>
          <w:rFonts w:hint="eastAsia" w:ascii="宋体" w:hAnsi="宋体" w:eastAsia="宋体" w:cs="宋体"/>
          <w:color w:val="auto"/>
          <w:szCs w:val="21"/>
          <w:highlight w:val="none"/>
        </w:rPr>
        <w:t>本合同一式</w:t>
      </w:r>
      <w:r>
        <w:rPr>
          <w:rFonts w:hint="eastAsia" w:ascii="宋体" w:hAnsi="宋体" w:eastAsia="宋体" w:cs="宋体"/>
          <w:color w:val="auto"/>
          <w:szCs w:val="21"/>
          <w:highlight w:val="none"/>
          <w:u w:val="single"/>
        </w:rPr>
        <w:t>六</w:t>
      </w:r>
      <w:r>
        <w:rPr>
          <w:rFonts w:hint="eastAsia" w:ascii="宋体" w:hAnsi="宋体" w:eastAsia="宋体" w:cs="宋体"/>
          <w:color w:val="auto"/>
          <w:szCs w:val="21"/>
          <w:highlight w:val="none"/>
        </w:rPr>
        <w:t>份，具有同等法律效力，采购代理机构一份、甲方三份、乙方两份（可根据需要另增加）。</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0"/>
        <w:gridCol w:w="4680"/>
      </w:tblGrid>
      <w:tr w14:paraId="34F6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3" w:hRule="atLeast"/>
          <w:jc w:val="center"/>
        </w:trPr>
        <w:tc>
          <w:tcPr>
            <w:tcW w:w="4680" w:type="dxa"/>
            <w:tcBorders>
              <w:top w:val="single" w:color="auto" w:sz="4" w:space="0"/>
              <w:left w:val="single" w:color="auto" w:sz="4" w:space="0"/>
              <w:bottom w:val="single" w:color="auto" w:sz="4" w:space="0"/>
              <w:right w:val="single" w:color="auto" w:sz="4" w:space="0"/>
            </w:tcBorders>
            <w:noWrap w:val="0"/>
            <w:vAlign w:val="center"/>
          </w:tcPr>
          <w:p w14:paraId="3A618F7C">
            <w:pPr>
              <w:shd w:val="clear" w:color="auto" w:fill="auto"/>
              <w:snapToGrid w:val="0"/>
              <w:spacing w:before="12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甲方（章）           </w:t>
            </w:r>
          </w:p>
          <w:p w14:paraId="1C87186F">
            <w:pPr>
              <w:shd w:val="clear" w:color="auto" w:fill="auto"/>
              <w:snapToGrid w:val="0"/>
              <w:spacing w:before="120" w:line="360" w:lineRule="auto"/>
              <w:ind w:firstLine="945" w:firstLineChars="450"/>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   月   日</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18C74FB6">
            <w:pPr>
              <w:shd w:val="clear" w:color="auto" w:fill="auto"/>
              <w:snapToGrid w:val="0"/>
              <w:spacing w:before="12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乙方（章）              </w:t>
            </w:r>
          </w:p>
          <w:p w14:paraId="18380735">
            <w:pPr>
              <w:shd w:val="clear" w:color="auto" w:fill="auto"/>
              <w:snapToGrid w:val="0"/>
              <w:spacing w:before="120" w:line="360" w:lineRule="auto"/>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年   月   日</w:t>
            </w:r>
          </w:p>
        </w:tc>
      </w:tr>
      <w:tr w14:paraId="63E73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6" w:hRule="atLeast"/>
          <w:jc w:val="center"/>
        </w:trPr>
        <w:tc>
          <w:tcPr>
            <w:tcW w:w="4680" w:type="dxa"/>
            <w:tcBorders>
              <w:top w:val="single" w:color="auto" w:sz="4" w:space="0"/>
              <w:left w:val="single" w:color="auto" w:sz="4" w:space="0"/>
              <w:bottom w:val="single" w:color="auto" w:sz="4" w:space="0"/>
              <w:right w:val="single" w:color="auto" w:sz="4" w:space="0"/>
            </w:tcBorders>
            <w:noWrap w:val="0"/>
            <w:vAlign w:val="center"/>
          </w:tcPr>
          <w:p w14:paraId="4C58A6E6">
            <w:pPr>
              <w:shd w:val="clear" w:color="auto" w:fill="auto"/>
              <w:snapToGrid w:val="0"/>
              <w:spacing w:before="12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单位地址：</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669F3B40">
            <w:pPr>
              <w:shd w:val="clear" w:color="auto" w:fill="auto"/>
              <w:snapToGrid w:val="0"/>
              <w:spacing w:before="12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单位地址：</w:t>
            </w:r>
          </w:p>
        </w:tc>
      </w:tr>
      <w:tr w14:paraId="06363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6" w:hRule="atLeast"/>
          <w:jc w:val="center"/>
        </w:trPr>
        <w:tc>
          <w:tcPr>
            <w:tcW w:w="4680" w:type="dxa"/>
            <w:tcBorders>
              <w:top w:val="single" w:color="auto" w:sz="4" w:space="0"/>
              <w:left w:val="single" w:color="auto" w:sz="4" w:space="0"/>
              <w:bottom w:val="single" w:color="auto" w:sz="4" w:space="0"/>
              <w:right w:val="single" w:color="auto" w:sz="4" w:space="0"/>
            </w:tcBorders>
            <w:noWrap w:val="0"/>
            <w:vAlign w:val="center"/>
          </w:tcPr>
          <w:p w14:paraId="7972B6DA">
            <w:pPr>
              <w:shd w:val="clear" w:color="auto" w:fill="auto"/>
              <w:snapToGrid w:val="0"/>
              <w:spacing w:before="12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20FFD92B">
            <w:pPr>
              <w:shd w:val="clear" w:color="auto" w:fill="auto"/>
              <w:snapToGrid w:val="0"/>
              <w:spacing w:before="12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p>
        </w:tc>
      </w:tr>
      <w:tr w14:paraId="75B5C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4680" w:type="dxa"/>
            <w:tcBorders>
              <w:top w:val="single" w:color="auto" w:sz="4" w:space="0"/>
              <w:left w:val="single" w:color="auto" w:sz="4" w:space="0"/>
              <w:bottom w:val="single" w:color="auto" w:sz="4" w:space="0"/>
              <w:right w:val="single" w:color="auto" w:sz="4" w:space="0"/>
            </w:tcBorders>
            <w:noWrap w:val="0"/>
            <w:vAlign w:val="center"/>
          </w:tcPr>
          <w:p w14:paraId="26AA174E">
            <w:pPr>
              <w:shd w:val="clear" w:color="auto" w:fill="auto"/>
              <w:snapToGrid w:val="0"/>
              <w:spacing w:before="12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29007161">
            <w:pPr>
              <w:shd w:val="clear" w:color="auto" w:fill="auto"/>
              <w:snapToGrid w:val="0"/>
              <w:spacing w:before="12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w:t>
            </w:r>
          </w:p>
        </w:tc>
      </w:tr>
      <w:tr w14:paraId="763DE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1" w:hRule="atLeast"/>
          <w:jc w:val="center"/>
        </w:trPr>
        <w:tc>
          <w:tcPr>
            <w:tcW w:w="4680" w:type="dxa"/>
            <w:tcBorders>
              <w:top w:val="single" w:color="auto" w:sz="4" w:space="0"/>
              <w:left w:val="single" w:color="auto" w:sz="4" w:space="0"/>
              <w:bottom w:val="single" w:color="auto" w:sz="4" w:space="0"/>
              <w:right w:val="single" w:color="auto" w:sz="4" w:space="0"/>
            </w:tcBorders>
            <w:noWrap w:val="0"/>
            <w:vAlign w:val="center"/>
          </w:tcPr>
          <w:p w14:paraId="6EF1A589">
            <w:pPr>
              <w:shd w:val="clear" w:color="auto" w:fill="auto"/>
              <w:snapToGrid w:val="0"/>
              <w:spacing w:before="12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电话：</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2A9BDA05">
            <w:pPr>
              <w:shd w:val="clear" w:color="auto" w:fill="auto"/>
              <w:snapToGrid w:val="0"/>
              <w:spacing w:before="12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电话：</w:t>
            </w:r>
          </w:p>
        </w:tc>
      </w:tr>
      <w:tr w14:paraId="41036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0" w:hRule="atLeast"/>
          <w:jc w:val="center"/>
        </w:trPr>
        <w:tc>
          <w:tcPr>
            <w:tcW w:w="4680" w:type="dxa"/>
            <w:tcBorders>
              <w:top w:val="single" w:color="auto" w:sz="4" w:space="0"/>
              <w:left w:val="single" w:color="auto" w:sz="4" w:space="0"/>
              <w:bottom w:val="single" w:color="auto" w:sz="4" w:space="0"/>
              <w:right w:val="single" w:color="auto" w:sz="4" w:space="0"/>
            </w:tcBorders>
            <w:noWrap w:val="0"/>
            <w:vAlign w:val="center"/>
          </w:tcPr>
          <w:p w14:paraId="0DA0B6B7">
            <w:pPr>
              <w:shd w:val="clear" w:color="auto" w:fill="auto"/>
              <w:snapToGrid w:val="0"/>
              <w:spacing w:before="12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6DDE9F2E">
            <w:pPr>
              <w:shd w:val="clear" w:color="auto" w:fill="auto"/>
              <w:snapToGrid w:val="0"/>
              <w:spacing w:before="12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p>
        </w:tc>
      </w:tr>
      <w:tr w14:paraId="1215E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jc w:val="center"/>
        </w:trPr>
        <w:tc>
          <w:tcPr>
            <w:tcW w:w="4680" w:type="dxa"/>
            <w:tcBorders>
              <w:top w:val="single" w:color="auto" w:sz="4" w:space="0"/>
              <w:left w:val="single" w:color="auto" w:sz="4" w:space="0"/>
              <w:bottom w:val="single" w:color="auto" w:sz="4" w:space="0"/>
              <w:right w:val="single" w:color="auto" w:sz="4" w:space="0"/>
            </w:tcBorders>
            <w:noWrap w:val="0"/>
            <w:vAlign w:val="center"/>
          </w:tcPr>
          <w:p w14:paraId="73536862">
            <w:pPr>
              <w:shd w:val="clear" w:color="auto" w:fill="auto"/>
              <w:snapToGrid w:val="0"/>
              <w:spacing w:before="12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账号：</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468AC244">
            <w:pPr>
              <w:shd w:val="clear" w:color="auto" w:fill="auto"/>
              <w:snapToGrid w:val="0"/>
              <w:spacing w:before="12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账号：</w:t>
            </w:r>
          </w:p>
        </w:tc>
      </w:tr>
    </w:tbl>
    <w:p w14:paraId="0E62255B">
      <w:pPr>
        <w:pStyle w:val="38"/>
        <w:jc w:val="both"/>
        <w:outlineLvl w:val="9"/>
        <w:rPr>
          <w:color w:val="auto"/>
          <w:highlight w:val="none"/>
        </w:rPr>
      </w:pPr>
    </w:p>
    <w:p w14:paraId="2CEE5039">
      <w:pPr>
        <w:snapToGrid w:val="0"/>
        <w:spacing w:line="360" w:lineRule="auto"/>
        <w:jc w:val="center"/>
        <w:rPr>
          <w:rFonts w:hint="eastAsia" w:ascii="宋体" w:hAnsi="宋体" w:cs="宋体"/>
          <w:bCs/>
          <w:color w:val="auto"/>
          <w:sz w:val="32"/>
          <w:szCs w:val="32"/>
          <w:highlight w:val="none"/>
        </w:rPr>
      </w:pPr>
      <w:r>
        <w:rPr>
          <w:rFonts w:hint="eastAsia" w:ascii="宋体" w:hAnsi="宋体" w:eastAsia="宋体" w:cs="宋体"/>
          <w:b/>
          <w:bCs/>
          <w:color w:val="auto"/>
          <w:sz w:val="21"/>
          <w:szCs w:val="21"/>
          <w:highlight w:val="none"/>
        </w:rPr>
        <w:br w:type="page"/>
      </w:r>
      <w:bookmarkEnd w:id="183"/>
      <w:bookmarkEnd w:id="184"/>
    </w:p>
    <w:p w14:paraId="617FC525">
      <w:pPr>
        <w:jc w:val="center"/>
        <w:outlineLvl w:val="9"/>
        <w:rPr>
          <w:rFonts w:hint="eastAsia" w:ascii="宋体" w:hAnsi="宋体" w:cs="宋体"/>
          <w:color w:val="auto"/>
          <w:highlight w:val="none"/>
        </w:rPr>
      </w:pPr>
      <w:bookmarkStart w:id="186" w:name="_Toc25427"/>
      <w:bookmarkStart w:id="187" w:name="_Toc30294"/>
      <w:bookmarkStart w:id="188" w:name="_Toc20718"/>
    </w:p>
    <w:p w14:paraId="192A34D2">
      <w:pPr>
        <w:pStyle w:val="2"/>
        <w:jc w:val="center"/>
        <w:rPr>
          <w:rFonts w:hint="eastAsia" w:ascii="宋体" w:hAnsi="宋体" w:cs="宋体"/>
          <w:color w:val="auto"/>
          <w:highlight w:val="none"/>
        </w:rPr>
      </w:pPr>
      <w:r>
        <w:rPr>
          <w:rFonts w:hint="eastAsia" w:ascii="宋体" w:hAnsi="宋体" w:cs="宋体"/>
          <w:color w:val="auto"/>
          <w:highlight w:val="none"/>
        </w:rPr>
        <w:t>第六章　投标文件格式</w:t>
      </w:r>
      <w:bookmarkEnd w:id="186"/>
      <w:bookmarkEnd w:id="187"/>
      <w:bookmarkEnd w:id="188"/>
    </w:p>
    <w:p w14:paraId="20F2819B">
      <w:pPr>
        <w:snapToGrid w:val="0"/>
        <w:spacing w:before="50" w:after="50"/>
        <w:rPr>
          <w:rFonts w:hint="eastAsia" w:ascii="宋体" w:hAnsi="宋体" w:cs="宋体"/>
          <w:color w:val="auto"/>
          <w:sz w:val="32"/>
          <w:szCs w:val="20"/>
          <w:highlight w:val="none"/>
        </w:rPr>
      </w:pPr>
    </w:p>
    <w:p w14:paraId="5684AE93">
      <w:pPr>
        <w:snapToGrid w:val="0"/>
        <w:spacing w:before="50" w:after="50"/>
        <w:rPr>
          <w:rFonts w:hint="eastAsia" w:ascii="宋体" w:hAnsi="宋体" w:cs="宋体"/>
          <w:color w:val="auto"/>
          <w:sz w:val="32"/>
          <w:szCs w:val="20"/>
          <w:highlight w:val="none"/>
        </w:rPr>
      </w:pPr>
    </w:p>
    <w:p w14:paraId="69B4E796">
      <w:pPr>
        <w:snapToGrid w:val="0"/>
        <w:spacing w:before="50" w:after="50"/>
        <w:rPr>
          <w:rFonts w:hint="eastAsia" w:ascii="宋体" w:hAnsi="宋体" w:cs="宋体"/>
          <w:color w:val="auto"/>
          <w:sz w:val="32"/>
          <w:szCs w:val="20"/>
          <w:highlight w:val="none"/>
        </w:rPr>
      </w:pPr>
    </w:p>
    <w:p w14:paraId="622E724D">
      <w:pPr>
        <w:snapToGrid w:val="0"/>
        <w:spacing w:before="50" w:after="50"/>
        <w:rPr>
          <w:rFonts w:hint="eastAsia" w:ascii="宋体" w:hAnsi="宋体" w:cs="宋体"/>
          <w:color w:val="auto"/>
          <w:sz w:val="32"/>
          <w:szCs w:val="20"/>
          <w:highlight w:val="none"/>
        </w:rPr>
      </w:pPr>
    </w:p>
    <w:p w14:paraId="6AC39249">
      <w:pPr>
        <w:snapToGrid w:val="0"/>
        <w:spacing w:before="50" w:after="50"/>
        <w:rPr>
          <w:rFonts w:hint="eastAsia" w:ascii="宋体" w:hAnsi="宋体" w:cs="宋体"/>
          <w:color w:val="auto"/>
          <w:sz w:val="32"/>
          <w:szCs w:val="20"/>
          <w:highlight w:val="none"/>
        </w:rPr>
      </w:pPr>
    </w:p>
    <w:p w14:paraId="1E91AD27">
      <w:pPr>
        <w:snapToGrid w:val="0"/>
        <w:spacing w:before="50" w:after="50"/>
        <w:rPr>
          <w:rFonts w:hint="eastAsia" w:ascii="宋体" w:hAnsi="宋体" w:cs="宋体"/>
          <w:color w:val="auto"/>
          <w:sz w:val="32"/>
          <w:szCs w:val="20"/>
          <w:highlight w:val="none"/>
        </w:rPr>
      </w:pPr>
    </w:p>
    <w:p w14:paraId="58F9D42E">
      <w:pPr>
        <w:snapToGrid w:val="0"/>
        <w:spacing w:before="50" w:after="50"/>
        <w:rPr>
          <w:rFonts w:hint="eastAsia" w:ascii="宋体" w:hAnsi="宋体" w:cs="宋体"/>
          <w:color w:val="auto"/>
          <w:sz w:val="32"/>
          <w:szCs w:val="20"/>
          <w:highlight w:val="none"/>
        </w:rPr>
      </w:pPr>
    </w:p>
    <w:p w14:paraId="2BB5C806">
      <w:pPr>
        <w:snapToGrid w:val="0"/>
        <w:spacing w:before="50" w:after="50"/>
        <w:rPr>
          <w:rFonts w:hint="eastAsia" w:ascii="宋体" w:hAnsi="宋体" w:cs="宋体"/>
          <w:color w:val="auto"/>
          <w:sz w:val="32"/>
          <w:szCs w:val="20"/>
          <w:highlight w:val="none"/>
        </w:rPr>
      </w:pPr>
    </w:p>
    <w:p w14:paraId="7E77AFF8">
      <w:pPr>
        <w:outlineLvl w:val="1"/>
        <w:rPr>
          <w:rFonts w:hint="eastAsia" w:ascii="宋体" w:hAnsi="宋体" w:cs="宋体"/>
          <w:b/>
          <w:color w:val="auto"/>
          <w:sz w:val="28"/>
          <w:szCs w:val="28"/>
          <w:highlight w:val="none"/>
        </w:rPr>
      </w:pPr>
      <w:r>
        <w:rPr>
          <w:rFonts w:hint="eastAsia" w:ascii="宋体" w:hAnsi="宋体" w:cs="宋体"/>
          <w:color w:val="auto"/>
          <w:sz w:val="32"/>
          <w:szCs w:val="20"/>
          <w:highlight w:val="none"/>
        </w:rPr>
        <w:br w:type="page"/>
      </w:r>
      <w:bookmarkStart w:id="189" w:name="_Toc7400"/>
      <w:bookmarkStart w:id="190" w:name="_Toc19686836"/>
      <w:bookmarkStart w:id="191" w:name="_Toc2369"/>
      <w:bookmarkStart w:id="192" w:name="_Toc254970557"/>
      <w:bookmarkStart w:id="193" w:name="_Toc254970698"/>
      <w:r>
        <w:rPr>
          <w:rFonts w:hint="eastAsia" w:ascii="宋体" w:hAnsi="宋体" w:cs="宋体"/>
          <w:b/>
          <w:color w:val="auto"/>
          <w:sz w:val="28"/>
          <w:szCs w:val="28"/>
          <w:highlight w:val="none"/>
        </w:rPr>
        <w:t>一、报价文件格式</w:t>
      </w:r>
      <w:bookmarkEnd w:id="189"/>
      <w:bookmarkEnd w:id="190"/>
      <w:bookmarkEnd w:id="191"/>
    </w:p>
    <w:p w14:paraId="6B714A9C">
      <w:pPr>
        <w:snapToGrid w:val="0"/>
        <w:spacing w:before="120" w:beforeLines="50" w:after="50" w:line="360" w:lineRule="auto"/>
        <w:ind w:left="142"/>
        <w:jc w:val="left"/>
        <w:rPr>
          <w:rFonts w:hint="eastAsia" w:ascii="宋体" w:hAnsi="宋体" w:cs="宋体"/>
          <w:color w:val="auto"/>
          <w:sz w:val="24"/>
          <w:szCs w:val="20"/>
          <w:highlight w:val="none"/>
        </w:rPr>
      </w:pPr>
      <w:r>
        <w:rPr>
          <w:rFonts w:hint="eastAsia" w:ascii="宋体" w:hAnsi="宋体" w:cs="宋体"/>
          <w:b/>
          <w:color w:val="auto"/>
          <w:sz w:val="24"/>
          <w:highlight w:val="none"/>
        </w:rPr>
        <w:t xml:space="preserve">1. 报价文件封面格式： </w:t>
      </w:r>
    </w:p>
    <w:p w14:paraId="0D9A6E23">
      <w:pPr>
        <w:snapToGrid w:val="0"/>
        <w:spacing w:before="120" w:beforeLines="50" w:after="50" w:line="360" w:lineRule="auto"/>
        <w:ind w:left="142"/>
        <w:jc w:val="center"/>
        <w:rPr>
          <w:rFonts w:hint="eastAsia" w:ascii="宋体" w:hAnsi="宋体" w:cs="宋体"/>
          <w:bCs/>
          <w:color w:val="auto"/>
          <w:sz w:val="48"/>
          <w:szCs w:val="48"/>
          <w:highlight w:val="none"/>
        </w:rPr>
      </w:pPr>
      <w:r>
        <w:rPr>
          <w:rFonts w:hint="eastAsia" w:ascii="宋体" w:hAnsi="宋体" w:cs="宋体"/>
          <w:bCs/>
          <w:color w:val="auto"/>
          <w:sz w:val="48"/>
          <w:szCs w:val="48"/>
          <w:highlight w:val="none"/>
        </w:rPr>
        <w:t>电子投标文件</w:t>
      </w:r>
    </w:p>
    <w:p w14:paraId="467E215D">
      <w:pPr>
        <w:snapToGrid w:val="0"/>
        <w:spacing w:before="120" w:beforeLines="50" w:after="50" w:line="400" w:lineRule="exact"/>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p>
    <w:p w14:paraId="4522CD2B">
      <w:pPr>
        <w:snapToGrid w:val="0"/>
        <w:spacing w:before="120" w:beforeLines="50" w:after="50" w:line="400" w:lineRule="exact"/>
        <w:jc w:val="center"/>
        <w:rPr>
          <w:rFonts w:hint="eastAsia" w:ascii="宋体" w:hAnsi="宋体" w:cs="宋体"/>
          <w:bCs/>
          <w:color w:val="auto"/>
          <w:sz w:val="24"/>
          <w:szCs w:val="20"/>
          <w:highlight w:val="none"/>
        </w:rPr>
      </w:pPr>
    </w:p>
    <w:p w14:paraId="6AF96BE4">
      <w:pPr>
        <w:snapToGrid w:val="0"/>
        <w:spacing w:before="120" w:beforeLines="50" w:after="50" w:line="400" w:lineRule="exact"/>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报价文件</w:t>
      </w:r>
    </w:p>
    <w:p w14:paraId="1DD4B84F">
      <w:pPr>
        <w:snapToGrid w:val="0"/>
        <w:spacing w:before="120" w:beforeLines="50" w:after="50" w:line="400" w:lineRule="exact"/>
        <w:rPr>
          <w:rFonts w:hint="eastAsia" w:ascii="宋体" w:hAnsi="宋体" w:cs="宋体"/>
          <w:bCs/>
          <w:color w:val="auto"/>
          <w:sz w:val="24"/>
          <w:szCs w:val="20"/>
          <w:highlight w:val="none"/>
        </w:rPr>
      </w:pPr>
    </w:p>
    <w:p w14:paraId="6B41922A">
      <w:pPr>
        <w:snapToGrid w:val="0"/>
        <w:spacing w:before="120" w:beforeLines="50" w:after="50" w:line="400" w:lineRule="exact"/>
        <w:rPr>
          <w:rFonts w:hint="eastAsia" w:ascii="宋体" w:hAnsi="宋体" w:cs="宋体"/>
          <w:bCs/>
          <w:color w:val="auto"/>
          <w:sz w:val="24"/>
          <w:szCs w:val="20"/>
          <w:highlight w:val="none"/>
        </w:rPr>
      </w:pPr>
    </w:p>
    <w:p w14:paraId="6BFA5E51">
      <w:pPr>
        <w:snapToGrid w:val="0"/>
        <w:spacing w:before="120" w:beforeLines="50" w:after="50" w:line="400" w:lineRule="exact"/>
        <w:rPr>
          <w:rFonts w:hint="eastAsia" w:ascii="宋体" w:hAnsi="宋体" w:cs="宋体"/>
          <w:bCs/>
          <w:color w:val="auto"/>
          <w:sz w:val="24"/>
          <w:szCs w:val="20"/>
          <w:highlight w:val="none"/>
        </w:rPr>
      </w:pPr>
    </w:p>
    <w:p w14:paraId="50A331C3">
      <w:pPr>
        <w:snapToGrid w:val="0"/>
        <w:spacing w:before="120" w:beforeLines="50" w:after="50" w:line="400" w:lineRule="exact"/>
        <w:rPr>
          <w:rFonts w:hint="eastAsia" w:ascii="宋体" w:hAnsi="宋体" w:cs="宋体"/>
          <w:bCs/>
          <w:color w:val="auto"/>
          <w:sz w:val="24"/>
          <w:szCs w:val="20"/>
          <w:highlight w:val="none"/>
        </w:rPr>
      </w:pPr>
    </w:p>
    <w:p w14:paraId="0E008AE9">
      <w:pPr>
        <w:snapToGrid w:val="0"/>
        <w:spacing w:before="120"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 xml:space="preserve">项目名称： </w:t>
      </w:r>
    </w:p>
    <w:p w14:paraId="5E56B636">
      <w:pPr>
        <w:snapToGrid w:val="0"/>
        <w:spacing w:before="120" w:beforeLines="50" w:after="50" w:line="400" w:lineRule="exact"/>
        <w:ind w:firstLine="360" w:firstLineChars="150"/>
        <w:rPr>
          <w:rFonts w:hint="eastAsia" w:ascii="宋体" w:hAnsi="宋体" w:cs="宋体"/>
          <w:bCs/>
          <w:color w:val="auto"/>
          <w:sz w:val="24"/>
          <w:highlight w:val="none"/>
        </w:rPr>
      </w:pPr>
    </w:p>
    <w:p w14:paraId="7CF29F11">
      <w:pPr>
        <w:snapToGrid w:val="0"/>
        <w:spacing w:before="120"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 xml:space="preserve">项目编号： </w:t>
      </w:r>
    </w:p>
    <w:p w14:paraId="43C0A92B">
      <w:pPr>
        <w:snapToGrid w:val="0"/>
        <w:spacing w:before="120" w:beforeLines="50" w:after="50" w:line="400" w:lineRule="exact"/>
        <w:ind w:firstLine="360" w:firstLineChars="150"/>
        <w:rPr>
          <w:rFonts w:hint="eastAsia" w:ascii="宋体" w:hAnsi="宋体" w:cs="宋体"/>
          <w:bCs/>
          <w:color w:val="auto"/>
          <w:sz w:val="24"/>
          <w:highlight w:val="none"/>
        </w:rPr>
      </w:pPr>
    </w:p>
    <w:p w14:paraId="5A63D3A7">
      <w:pPr>
        <w:snapToGrid w:val="0"/>
        <w:spacing w:before="120"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所投分标：</w:t>
      </w:r>
    </w:p>
    <w:p w14:paraId="3FC876A5">
      <w:pPr>
        <w:snapToGrid w:val="0"/>
        <w:spacing w:before="120" w:beforeLines="50" w:after="50" w:line="400" w:lineRule="exact"/>
        <w:ind w:firstLine="360" w:firstLineChars="150"/>
        <w:rPr>
          <w:rFonts w:hint="eastAsia" w:ascii="宋体" w:hAnsi="宋体" w:cs="宋体"/>
          <w:bCs/>
          <w:color w:val="auto"/>
          <w:sz w:val="24"/>
          <w:highlight w:val="none"/>
        </w:rPr>
      </w:pPr>
    </w:p>
    <w:p w14:paraId="627FBFA9">
      <w:pPr>
        <w:snapToGrid w:val="0"/>
        <w:spacing w:before="120"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投标人名称：</w:t>
      </w:r>
    </w:p>
    <w:p w14:paraId="74866F94">
      <w:pPr>
        <w:snapToGrid w:val="0"/>
        <w:spacing w:before="120" w:beforeLines="50" w:after="50" w:line="400" w:lineRule="exact"/>
        <w:ind w:firstLine="360" w:firstLineChars="150"/>
        <w:rPr>
          <w:rFonts w:hint="eastAsia" w:ascii="宋体" w:hAnsi="宋体" w:cs="宋体"/>
          <w:bCs/>
          <w:color w:val="auto"/>
          <w:sz w:val="24"/>
          <w:highlight w:val="none"/>
        </w:rPr>
      </w:pPr>
    </w:p>
    <w:p w14:paraId="5DDB6866">
      <w:pPr>
        <w:snapToGrid w:val="0"/>
        <w:spacing w:before="120"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投标人地址：</w:t>
      </w:r>
    </w:p>
    <w:p w14:paraId="1962BB55">
      <w:pPr>
        <w:pStyle w:val="9"/>
        <w:snapToGrid w:val="0"/>
        <w:spacing w:before="50" w:after="50" w:line="400" w:lineRule="exact"/>
        <w:ind w:firstLine="960" w:firstLineChars="400"/>
        <w:rPr>
          <w:rFonts w:hint="eastAsia" w:ascii="宋体" w:hAnsi="宋体" w:cs="宋体"/>
          <w:bCs/>
          <w:color w:val="auto"/>
          <w:sz w:val="24"/>
          <w:szCs w:val="24"/>
          <w:highlight w:val="none"/>
        </w:rPr>
      </w:pPr>
    </w:p>
    <w:p w14:paraId="43931896">
      <w:pPr>
        <w:snapToGrid w:val="0"/>
        <w:spacing w:before="120" w:beforeLines="50" w:after="50" w:line="400" w:lineRule="exact"/>
        <w:rPr>
          <w:rFonts w:hint="eastAsia" w:ascii="宋体" w:hAnsi="宋体" w:cs="宋体"/>
          <w:color w:val="auto"/>
          <w:sz w:val="30"/>
          <w:szCs w:val="20"/>
          <w:highlight w:val="none"/>
        </w:rPr>
      </w:pPr>
      <w:r>
        <w:rPr>
          <w:rFonts w:hint="eastAsia" w:ascii="宋体" w:hAnsi="宋体" w:cs="宋体"/>
          <w:color w:val="auto"/>
          <w:sz w:val="24"/>
          <w:highlight w:val="none"/>
        </w:rPr>
        <w:t xml:space="preserve">                                   年  月  日</w:t>
      </w:r>
    </w:p>
    <w:p w14:paraId="5CD265E3">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color w:val="auto"/>
          <w:sz w:val="24"/>
          <w:szCs w:val="20"/>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2.</w:t>
      </w:r>
      <w:r>
        <w:rPr>
          <w:rFonts w:hint="eastAsia" w:ascii="宋体" w:hAnsi="宋体" w:cs="宋体"/>
          <w:b/>
          <w:bCs/>
          <w:color w:val="auto"/>
          <w:sz w:val="24"/>
          <w:highlight w:val="none"/>
        </w:rPr>
        <w:t>报价文件目录</w:t>
      </w:r>
    </w:p>
    <w:p w14:paraId="633D9070">
      <w:pPr>
        <w:keepNext w:val="0"/>
        <w:keepLines w:val="0"/>
        <w:pageBreakBefore w:val="0"/>
        <w:widowControl w:val="0"/>
        <w:kinsoku/>
        <w:wordWrap/>
        <w:overflowPunct/>
        <w:topLinePunct w:val="0"/>
        <w:autoSpaceDE/>
        <w:autoSpaceDN/>
        <w:bidi w:val="0"/>
        <w:adjustRightInd/>
        <w:snapToGrid w:val="0"/>
        <w:spacing w:before="50" w:after="120" w:afterLines="50" w:line="400" w:lineRule="exact"/>
        <w:jc w:val="left"/>
        <w:textAlignment w:val="auto"/>
        <w:rPr>
          <w:rFonts w:hint="eastAsia" w:ascii="宋体" w:hAnsi="宋体" w:cs="宋体"/>
          <w:b/>
          <w:color w:val="auto"/>
          <w:sz w:val="24"/>
          <w:highlight w:val="none"/>
        </w:rPr>
      </w:pPr>
      <w:r>
        <w:rPr>
          <w:rFonts w:hint="eastAsia" w:ascii="宋体" w:hAnsi="宋体" w:cs="宋体"/>
          <w:color w:val="auto"/>
          <w:szCs w:val="21"/>
          <w:highlight w:val="none"/>
        </w:rPr>
        <w:t>根据招标文件规定及投标人提供的材料自行编写目录。</w:t>
      </w:r>
    </w:p>
    <w:p w14:paraId="3619BCEE">
      <w:pPr>
        <w:snapToGrid w:val="0"/>
        <w:spacing w:before="120" w:beforeLines="50" w:after="50"/>
        <w:rPr>
          <w:rFonts w:hint="eastAsia" w:ascii="宋体" w:hAnsi="宋体" w:cs="宋体"/>
          <w:b/>
          <w:color w:val="auto"/>
          <w:sz w:val="24"/>
          <w:highlight w:val="none"/>
        </w:rPr>
      </w:pPr>
    </w:p>
    <w:p w14:paraId="6587A41D">
      <w:pPr>
        <w:snapToGrid w:val="0"/>
        <w:spacing w:before="120" w:beforeLines="50" w:after="50"/>
        <w:rPr>
          <w:rFonts w:hint="eastAsia" w:ascii="宋体" w:hAnsi="宋体" w:cs="宋体"/>
          <w:b/>
          <w:color w:val="auto"/>
          <w:sz w:val="24"/>
          <w:highlight w:val="none"/>
        </w:rPr>
      </w:pPr>
    </w:p>
    <w:p w14:paraId="590DB7AD">
      <w:pPr>
        <w:snapToGrid w:val="0"/>
        <w:spacing w:before="120" w:beforeLines="50" w:after="50"/>
        <w:rPr>
          <w:rFonts w:hint="eastAsia" w:ascii="宋体" w:hAnsi="宋体" w:cs="宋体"/>
          <w:b/>
          <w:color w:val="auto"/>
          <w:sz w:val="24"/>
          <w:highlight w:val="none"/>
        </w:rPr>
      </w:pPr>
    </w:p>
    <w:p w14:paraId="012AE2EB">
      <w:pPr>
        <w:snapToGrid w:val="0"/>
        <w:spacing w:before="120" w:beforeLines="50" w:after="50"/>
        <w:ind w:left="142"/>
        <w:jc w:val="left"/>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3. 投标函格式：</w:t>
      </w:r>
    </w:p>
    <w:p w14:paraId="1D18C58C">
      <w:pPr>
        <w:snapToGrid w:val="0"/>
        <w:spacing w:before="120" w:beforeLines="50" w:after="50"/>
        <w:ind w:left="420"/>
        <w:jc w:val="center"/>
        <w:rPr>
          <w:rFonts w:hint="eastAsia" w:ascii="宋体" w:hAnsi="宋体" w:cs="宋体"/>
          <w:b/>
          <w:bCs/>
          <w:color w:val="auto"/>
          <w:spacing w:val="-17"/>
          <w:sz w:val="30"/>
          <w:szCs w:val="30"/>
          <w:highlight w:val="none"/>
        </w:rPr>
      </w:pPr>
      <w:r>
        <w:rPr>
          <w:rFonts w:hint="eastAsia" w:ascii="宋体" w:hAnsi="宋体" w:cs="宋体"/>
          <w:b/>
          <w:bCs/>
          <w:color w:val="auto"/>
          <w:spacing w:val="-17"/>
          <w:sz w:val="30"/>
          <w:szCs w:val="30"/>
          <w:highlight w:val="none"/>
        </w:rPr>
        <w:t>投 标 函</w:t>
      </w:r>
    </w:p>
    <w:p w14:paraId="4F21EF8A">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u w:val="single"/>
        </w:rPr>
        <w:t>采购人名称</w:t>
      </w:r>
    </w:p>
    <w:p w14:paraId="59F894B1">
      <w:pPr>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hint="eastAsia" w:ascii="宋体" w:hAnsi="宋体" w:cs="宋体"/>
          <w:color w:val="auto"/>
          <w:szCs w:val="21"/>
          <w:highlight w:val="none"/>
        </w:rPr>
      </w:pPr>
      <w:r>
        <w:rPr>
          <w:rFonts w:hint="eastAsia" w:ascii="宋体" w:hAnsi="宋体" w:cs="宋体"/>
          <w:color w:val="auto"/>
          <w:szCs w:val="21"/>
          <w:highlight w:val="none"/>
        </w:rPr>
        <w:t>根据贵方</w:t>
      </w:r>
      <w:r>
        <w:rPr>
          <w:rFonts w:hint="eastAsia" w:ascii="宋体" w:hAnsi="宋体" w:cs="宋体"/>
          <w:color w:val="auto"/>
          <w:szCs w:val="21"/>
          <w:highlight w:val="none"/>
          <w:u w:val="single"/>
        </w:rPr>
        <w:t xml:space="preserve">     项目名称  </w:t>
      </w:r>
      <w:r>
        <w:rPr>
          <w:rFonts w:hint="eastAsia" w:ascii="宋体" w:hAnsi="宋体" w:cs="宋体"/>
          <w:color w:val="auto"/>
          <w:szCs w:val="21"/>
          <w:highlight w:val="none"/>
        </w:rPr>
        <w:t>（项目编号：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）的招标文件，签字代表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（姓名）经正式授权并代表投标人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（投标人名称）提交投标文件。</w:t>
      </w:r>
    </w:p>
    <w:p w14:paraId="07CECB73">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据此函，我方宣布同意如下：</w:t>
      </w:r>
    </w:p>
    <w:p w14:paraId="35330A9E">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1.我方已详细审查全部“招标文件”，包括修改文件（如有的话）以及全部参考资料和有关附件，已经了解我方对于招标文件、采购过程、采购结果有依法进行询问、质疑、投诉的权利及相关渠道和要求。</w:t>
      </w:r>
    </w:p>
    <w:p w14:paraId="6AC323C8">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2.我方在投标之前已经完全理解并接受招标文件的各项规定和要求，对招标文件的合理性、合法性不再有异议。</w:t>
      </w:r>
    </w:p>
    <w:p w14:paraId="10413EE6">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3.本投标有效期自投标截止之日起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7DF7B1ED">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4.如中标，本投标文件至本项目合同履行完毕止均保持有效，我方将按“招标文件”及政府采购法律、法规的规定履行合同责任和义务。</w:t>
      </w:r>
    </w:p>
    <w:p w14:paraId="094C8CFC">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5.我方同意按照贵方要求提供与投标有关的一切数据或者资料。</w:t>
      </w:r>
    </w:p>
    <w:p w14:paraId="5B2497BF">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6.我方向贵方提交的所有投标文件、资料都是准确的和真实的。</w:t>
      </w:r>
    </w:p>
    <w:p w14:paraId="66CBA18C">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7.以上事项如有虚假或者隐瞒，我方愿意承担一切后果，并不再寻求任何旨在减轻或者免除法律责任的辩解。</w:t>
      </w:r>
    </w:p>
    <w:p w14:paraId="7EEA0B93">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8.根据《中华人民共和国政府采购法实施条例》第五十条要求对政府采购合同进行公告，但政府采购合同中涉及国家秘密、商业秘密的内容除外。我方就对本次投标文件进行注明如下：（两项内容中必须选择一项）</w:t>
      </w:r>
    </w:p>
    <w:p w14:paraId="7C62E427">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□我方本次投标文件</w:t>
      </w:r>
      <w:r>
        <w:rPr>
          <w:rFonts w:hint="eastAsia" w:ascii="宋体" w:hAnsi="宋体" w:cs="宋体"/>
          <w:color w:val="auto"/>
          <w:kern w:val="0"/>
          <w:szCs w:val="21"/>
          <w:highlight w:val="none"/>
        </w:rPr>
        <w:t>内容中</w:t>
      </w:r>
      <w:r>
        <w:rPr>
          <w:rFonts w:hint="eastAsia" w:ascii="宋体" w:hAnsi="宋体" w:cs="宋体"/>
          <w:color w:val="auto"/>
          <w:szCs w:val="21"/>
          <w:highlight w:val="none"/>
        </w:rPr>
        <w:t>未</w:t>
      </w:r>
      <w:r>
        <w:rPr>
          <w:rFonts w:hint="eastAsia" w:ascii="宋体" w:hAnsi="宋体" w:cs="宋体"/>
          <w:color w:val="auto"/>
          <w:kern w:val="0"/>
          <w:szCs w:val="21"/>
          <w:highlight w:val="none"/>
        </w:rPr>
        <w:t>涉及商业秘密；</w:t>
      </w:r>
    </w:p>
    <w:p w14:paraId="7F342A05">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□我方本次投标文件</w:t>
      </w:r>
      <w:r>
        <w:rPr>
          <w:rFonts w:hint="eastAsia" w:ascii="宋体" w:hAnsi="宋体" w:cs="宋体"/>
          <w:color w:val="auto"/>
          <w:kern w:val="0"/>
          <w:szCs w:val="21"/>
          <w:highlight w:val="none"/>
        </w:rPr>
        <w:t>涉及商业秘密的内容有：</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p>
    <w:p w14:paraId="41FAC180">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9.与本项目有关的一切正式往来信函请寄：</w:t>
      </w:r>
    </w:p>
    <w:p w14:paraId="4C5BDBA3">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邮编：</w:t>
      </w:r>
      <w:r>
        <w:rPr>
          <w:rFonts w:hint="eastAsia" w:ascii="宋体" w:hAnsi="宋体" w:cs="宋体"/>
          <w:color w:val="auto"/>
          <w:szCs w:val="21"/>
          <w:highlight w:val="none"/>
          <w:u w:val="single"/>
        </w:rPr>
        <w:t xml:space="preserve">            </w:t>
      </w:r>
    </w:p>
    <w:p w14:paraId="6BBCA894">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联系人：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电话：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传真：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电子邮箱：</w:t>
      </w:r>
      <w:r>
        <w:rPr>
          <w:rFonts w:hint="eastAsia" w:ascii="宋体" w:hAnsi="宋体" w:cs="宋体"/>
          <w:color w:val="auto"/>
          <w:szCs w:val="21"/>
          <w:highlight w:val="none"/>
          <w:u w:val="single"/>
        </w:rPr>
        <w:t xml:space="preserve">         </w:t>
      </w:r>
    </w:p>
    <w:p w14:paraId="44D9BF9B">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投标人名称：</w:t>
      </w:r>
      <w:r>
        <w:rPr>
          <w:rFonts w:hint="eastAsia" w:ascii="宋体" w:hAnsi="宋体" w:cs="宋体"/>
          <w:color w:val="auto"/>
          <w:szCs w:val="21"/>
          <w:highlight w:val="none"/>
          <w:u w:val="single"/>
        </w:rPr>
        <w:t xml:space="preserve">                </w:t>
      </w:r>
    </w:p>
    <w:p w14:paraId="305DC2F1">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开户银行：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银行账号：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2BDDD89B">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792841A5">
      <w:pPr>
        <w:keepNext w:val="0"/>
        <w:keepLines w:val="0"/>
        <w:pageBreakBefore w:val="0"/>
        <w:widowControl w:val="0"/>
        <w:kinsoku/>
        <w:wordWrap/>
        <w:overflowPunct/>
        <w:topLinePunct w:val="0"/>
        <w:autoSpaceDE/>
        <w:autoSpaceDN/>
        <w:bidi w:val="0"/>
        <w:adjustRightInd/>
        <w:snapToGrid w:val="0"/>
        <w:spacing w:line="400" w:lineRule="exact"/>
        <w:ind w:firstLine="3045" w:firstLineChars="1450"/>
        <w:jc w:val="left"/>
        <w:textAlignment w:val="auto"/>
        <w:rPr>
          <w:rFonts w:hint="eastAsia" w:ascii="宋体" w:hAnsi="宋体" w:cs="宋体"/>
          <w:color w:val="auto"/>
          <w:szCs w:val="21"/>
          <w:highlight w:val="none"/>
        </w:rPr>
      </w:pPr>
    </w:p>
    <w:p w14:paraId="180B6D91">
      <w:pPr>
        <w:keepNext w:val="0"/>
        <w:keepLines w:val="0"/>
        <w:pageBreakBefore w:val="0"/>
        <w:widowControl w:val="0"/>
        <w:kinsoku/>
        <w:wordWrap/>
        <w:overflowPunct/>
        <w:topLinePunct w:val="0"/>
        <w:autoSpaceDE/>
        <w:autoSpaceDN/>
        <w:bidi w:val="0"/>
        <w:adjustRightInd/>
        <w:snapToGrid w:val="0"/>
        <w:spacing w:line="400" w:lineRule="exact"/>
        <w:ind w:firstLine="3045" w:firstLineChars="14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法定代表人或者委托代理人（签字或者电子签名）：</w:t>
      </w:r>
      <w:r>
        <w:rPr>
          <w:rFonts w:hint="eastAsia" w:ascii="宋体" w:hAnsi="宋体" w:cs="宋体"/>
          <w:color w:val="auto"/>
          <w:szCs w:val="21"/>
          <w:highlight w:val="none"/>
          <w:u w:val="single"/>
        </w:rPr>
        <w:t xml:space="preserve">          </w:t>
      </w:r>
    </w:p>
    <w:p w14:paraId="678C6291">
      <w:pPr>
        <w:pStyle w:val="22"/>
        <w:keepNext w:val="0"/>
        <w:keepLines w:val="0"/>
        <w:pageBreakBefore w:val="0"/>
        <w:widowControl w:val="0"/>
        <w:kinsoku/>
        <w:wordWrap/>
        <w:overflowPunct/>
        <w:topLinePunct w:val="0"/>
        <w:autoSpaceDE/>
        <w:autoSpaceDN/>
        <w:bidi w:val="0"/>
        <w:adjustRightInd/>
        <w:snapToGrid w:val="0"/>
        <w:spacing w:before="295" w:after="295" w:line="400" w:lineRule="exact"/>
        <w:jc w:val="center"/>
        <w:textAlignment w:val="auto"/>
        <w:rPr>
          <w:rFonts w:hint="eastAsia" w:hAnsi="宋体" w:cs="宋体"/>
          <w:color w:val="auto"/>
          <w:highlight w:val="none"/>
          <w:u w:val="single"/>
        </w:rPr>
      </w:pPr>
      <w:r>
        <w:rPr>
          <w:rFonts w:hint="eastAsia" w:hAnsi="宋体" w:cs="宋体"/>
          <w:color w:val="auto"/>
          <w:highlight w:val="none"/>
        </w:rPr>
        <w:t xml:space="preserve">                                     投标人名称（电子签章）：</w:t>
      </w:r>
      <w:r>
        <w:rPr>
          <w:rFonts w:hint="eastAsia" w:hAnsi="宋体" w:cs="宋体"/>
          <w:color w:val="auto"/>
          <w:highlight w:val="none"/>
          <w:u w:val="single"/>
        </w:rPr>
        <w:t xml:space="preserve">          </w:t>
      </w:r>
    </w:p>
    <w:p w14:paraId="0719530F">
      <w:pPr>
        <w:pStyle w:val="22"/>
        <w:keepNext w:val="0"/>
        <w:keepLines w:val="0"/>
        <w:pageBreakBefore w:val="0"/>
        <w:widowControl w:val="0"/>
        <w:kinsoku/>
        <w:wordWrap/>
        <w:overflowPunct/>
        <w:topLinePunct w:val="0"/>
        <w:autoSpaceDE/>
        <w:autoSpaceDN/>
        <w:bidi w:val="0"/>
        <w:adjustRightInd/>
        <w:snapToGrid w:val="0"/>
        <w:spacing w:before="295" w:after="295" w:line="400" w:lineRule="exact"/>
        <w:textAlignment w:val="auto"/>
        <w:rPr>
          <w:rFonts w:hint="eastAsia" w:hAnsi="宋体" w:cs="宋体"/>
          <w:color w:val="auto"/>
          <w:highlight w:val="none"/>
        </w:rPr>
      </w:pPr>
      <w:r>
        <w:rPr>
          <w:rFonts w:hint="eastAsia" w:hAnsi="宋体" w:cs="宋体"/>
          <w:color w:val="auto"/>
          <w:highlight w:val="none"/>
        </w:rPr>
        <w:t xml:space="preserve">                                                </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月</w:t>
      </w:r>
      <w:r>
        <w:rPr>
          <w:rFonts w:hint="eastAsia" w:hAnsi="宋体" w:cs="宋体"/>
          <w:color w:val="auto"/>
          <w:highlight w:val="none"/>
          <w:u w:val="single"/>
        </w:rPr>
        <w:t xml:space="preserve">     </w:t>
      </w:r>
      <w:r>
        <w:rPr>
          <w:rFonts w:hint="eastAsia" w:hAnsi="宋体" w:cs="宋体"/>
          <w:color w:val="auto"/>
          <w:highlight w:val="none"/>
        </w:rPr>
        <w:t>日</w:t>
      </w:r>
    </w:p>
    <w:p w14:paraId="0F76CBBE">
      <w:pPr>
        <w:snapToGrid w:val="0"/>
        <w:spacing w:before="120" w:beforeLines="50" w:after="50"/>
        <w:jc w:val="left"/>
        <w:rPr>
          <w:rFonts w:hint="eastAsia" w:ascii="宋体" w:hAnsi="宋体" w:cs="宋体"/>
          <w:b/>
          <w:color w:val="auto"/>
          <w:sz w:val="24"/>
          <w:szCs w:val="20"/>
          <w:highlight w:val="none"/>
        </w:rPr>
      </w:pPr>
      <w:r>
        <w:rPr>
          <w:rFonts w:hint="eastAsia" w:ascii="宋体" w:hAnsi="宋体" w:cs="宋体"/>
          <w:color w:val="auto"/>
          <w:highlight w:val="none"/>
          <w:u w:val="single"/>
        </w:rPr>
        <w:br w:type="page"/>
      </w:r>
      <w:r>
        <w:rPr>
          <w:rFonts w:hint="eastAsia" w:ascii="宋体" w:hAnsi="宋体" w:cs="宋体"/>
          <w:b/>
          <w:color w:val="auto"/>
          <w:sz w:val="24"/>
          <w:highlight w:val="none"/>
        </w:rPr>
        <w:t>4.开标一览表（服务类格式）</w:t>
      </w:r>
    </w:p>
    <w:p w14:paraId="4785B577">
      <w:pPr>
        <w:snapToGrid w:val="0"/>
        <w:spacing w:before="120" w:beforeLines="50" w:after="50"/>
        <w:ind w:left="420"/>
        <w:jc w:val="center"/>
        <w:rPr>
          <w:rFonts w:hint="eastAsia" w:ascii="宋体" w:hAnsi="宋体" w:cs="宋体"/>
          <w:b/>
          <w:bCs/>
          <w:color w:val="auto"/>
          <w:spacing w:val="-17"/>
          <w:sz w:val="30"/>
          <w:szCs w:val="30"/>
          <w:highlight w:val="none"/>
        </w:rPr>
      </w:pPr>
      <w:r>
        <w:rPr>
          <w:rFonts w:hint="eastAsia" w:ascii="宋体" w:hAnsi="宋体" w:cs="宋体"/>
          <w:b/>
          <w:bCs/>
          <w:color w:val="auto"/>
          <w:spacing w:val="-17"/>
          <w:sz w:val="30"/>
          <w:szCs w:val="30"/>
          <w:highlight w:val="none"/>
        </w:rPr>
        <w:t>开标一览表</w:t>
      </w:r>
    </w:p>
    <w:p w14:paraId="222D63C2">
      <w:pPr>
        <w:keepNext w:val="0"/>
        <w:keepLines w:val="0"/>
        <w:pageBreakBefore w:val="0"/>
        <w:wordWrap/>
        <w:overflowPunct/>
        <w:topLinePunct w:val="0"/>
        <w:bidi w:val="0"/>
        <w:snapToGrid w:val="0"/>
        <w:spacing w:before="50" w:after="50" w:line="400" w:lineRule="exact"/>
        <w:rPr>
          <w:rFonts w:hint="eastAsia" w:ascii="宋体" w:hAnsi="宋体" w:cs="宋体"/>
          <w:color w:val="auto"/>
          <w:szCs w:val="21"/>
          <w:highlight w:val="none"/>
          <w:u w:val="singl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分标：</w:t>
      </w:r>
      <w:r>
        <w:rPr>
          <w:rFonts w:hint="eastAsia" w:ascii="宋体" w:hAnsi="宋体" w:cs="宋体"/>
          <w:color w:val="auto"/>
          <w:szCs w:val="21"/>
          <w:highlight w:val="none"/>
          <w:u w:val="single"/>
        </w:rPr>
        <w:t xml:space="preserve">           </w:t>
      </w:r>
    </w:p>
    <w:p w14:paraId="49503ABA">
      <w:pPr>
        <w:keepNext w:val="0"/>
        <w:keepLines w:val="0"/>
        <w:pageBreakBefore w:val="0"/>
        <w:wordWrap/>
        <w:overflowPunct/>
        <w:topLinePunct w:val="0"/>
        <w:bidi w:val="0"/>
        <w:snapToGrid w:val="0"/>
        <w:spacing w:before="50" w:after="50" w:line="400" w:lineRule="exact"/>
        <w:rPr>
          <w:rFonts w:hint="eastAsia" w:ascii="宋体" w:hAnsi="宋体" w:cs="宋体"/>
          <w:color w:val="auto"/>
          <w:szCs w:val="21"/>
          <w:highlight w:val="none"/>
          <w:u w:val="single"/>
        </w:rPr>
      </w:pPr>
      <w:r>
        <w:rPr>
          <w:rFonts w:hint="eastAsia" w:ascii="宋体" w:hAnsi="宋体" w:cs="宋体"/>
          <w:color w:val="auto"/>
          <w:szCs w:val="21"/>
          <w:highlight w:val="none"/>
        </w:rPr>
        <w:t>投标人名称：</w:t>
      </w:r>
      <w:r>
        <w:rPr>
          <w:rFonts w:hint="eastAsia" w:ascii="宋体" w:hAnsi="宋体" w:cs="宋体"/>
          <w:color w:val="auto"/>
          <w:szCs w:val="21"/>
          <w:highlight w:val="none"/>
          <w:u w:val="single"/>
        </w:rPr>
        <w:t xml:space="preserve">                  </w:t>
      </w:r>
    </w:p>
    <w:p w14:paraId="361047EB">
      <w:pPr>
        <w:pStyle w:val="13"/>
        <w:rPr>
          <w:rFonts w:hint="eastAsia" w:ascii="宋体" w:hAnsi="宋体" w:cs="宋体"/>
          <w:color w:val="auto"/>
          <w:szCs w:val="21"/>
          <w:highlight w:val="none"/>
          <w:u w:val="single"/>
        </w:rPr>
      </w:pPr>
    </w:p>
    <w:p w14:paraId="193F02D7">
      <w:pPr>
        <w:rPr>
          <w:rFonts w:hint="eastAsia"/>
          <w:color w:val="auto"/>
          <w:highlight w:val="none"/>
        </w:rPr>
      </w:pPr>
    </w:p>
    <w:tbl>
      <w:tblPr>
        <w:tblStyle w:val="4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729"/>
        <w:gridCol w:w="811"/>
        <w:gridCol w:w="945"/>
        <w:gridCol w:w="636"/>
        <w:gridCol w:w="712"/>
        <w:gridCol w:w="1180"/>
        <w:gridCol w:w="1158"/>
        <w:gridCol w:w="1915"/>
      </w:tblGrid>
      <w:tr w14:paraId="19342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250" w:type="pct"/>
            <w:tcBorders>
              <w:top w:val="single" w:color="auto" w:sz="4" w:space="0"/>
              <w:left w:val="single" w:color="auto" w:sz="4" w:space="0"/>
              <w:bottom w:val="single" w:color="auto" w:sz="4" w:space="0"/>
              <w:right w:val="single" w:color="auto" w:sz="4" w:space="0"/>
            </w:tcBorders>
            <w:noWrap w:val="0"/>
            <w:vAlign w:val="center"/>
          </w:tcPr>
          <w:p w14:paraId="23D6317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00" w:lineRule="exact"/>
              <w:ind w:left="0" w:right="0"/>
              <w:jc w:val="center"/>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序号</w:t>
            </w:r>
          </w:p>
        </w:tc>
        <w:tc>
          <w:tcPr>
            <w:tcW w:w="429" w:type="pct"/>
            <w:tcBorders>
              <w:top w:val="single" w:color="auto" w:sz="4" w:space="0"/>
              <w:left w:val="single" w:color="auto" w:sz="4" w:space="0"/>
              <w:bottom w:val="single" w:color="auto" w:sz="4" w:space="0"/>
              <w:right w:val="single" w:color="auto" w:sz="4" w:space="0"/>
            </w:tcBorders>
            <w:noWrap w:val="0"/>
            <w:vAlign w:val="center"/>
          </w:tcPr>
          <w:p w14:paraId="2D5AF5E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00" w:lineRule="exact"/>
              <w:ind w:left="0" w:right="0"/>
              <w:jc w:val="center"/>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名称</w:t>
            </w:r>
          </w:p>
        </w:tc>
        <w:tc>
          <w:tcPr>
            <w:tcW w:w="477" w:type="pct"/>
            <w:tcBorders>
              <w:top w:val="single" w:color="auto" w:sz="4" w:space="0"/>
              <w:left w:val="single" w:color="auto" w:sz="4" w:space="0"/>
              <w:bottom w:val="single" w:color="auto" w:sz="4" w:space="0"/>
              <w:right w:val="single" w:color="auto" w:sz="4" w:space="0"/>
            </w:tcBorders>
            <w:noWrap w:val="0"/>
            <w:vAlign w:val="center"/>
          </w:tcPr>
          <w:p w14:paraId="744EED8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00" w:lineRule="exact"/>
              <w:ind w:left="0" w:right="0"/>
              <w:jc w:val="center"/>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服务内容</w:t>
            </w:r>
          </w:p>
        </w:tc>
        <w:tc>
          <w:tcPr>
            <w:tcW w:w="555" w:type="pct"/>
            <w:tcBorders>
              <w:top w:val="single" w:color="auto" w:sz="4" w:space="0"/>
              <w:left w:val="single" w:color="auto" w:sz="4" w:space="0"/>
              <w:bottom w:val="single" w:color="auto" w:sz="4" w:space="0"/>
              <w:right w:val="single" w:color="auto" w:sz="4" w:space="0"/>
            </w:tcBorders>
            <w:noWrap w:val="0"/>
            <w:vAlign w:val="center"/>
          </w:tcPr>
          <w:p w14:paraId="46E993E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00" w:lineRule="exact"/>
              <w:ind w:left="0" w:right="0"/>
              <w:jc w:val="center"/>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cs="宋体"/>
                <w:b/>
                <w:bCs/>
                <w:color w:val="auto"/>
                <w:sz w:val="21"/>
                <w:szCs w:val="21"/>
                <w:highlight w:val="none"/>
                <w:u w:val="none"/>
                <w:lang w:val="en-US" w:eastAsia="zh-CN"/>
              </w:rPr>
              <w:t>床位</w:t>
            </w:r>
            <w:r>
              <w:rPr>
                <w:rFonts w:hint="eastAsia" w:ascii="宋体" w:hAnsi="宋体" w:eastAsia="宋体" w:cs="宋体"/>
                <w:b/>
                <w:bCs/>
                <w:color w:val="auto"/>
                <w:sz w:val="21"/>
                <w:szCs w:val="21"/>
                <w:highlight w:val="none"/>
                <w:u w:val="none"/>
                <w:lang w:val="en-US" w:eastAsia="zh-CN"/>
              </w:rPr>
              <w:t>数量</w:t>
            </w:r>
            <w:r>
              <w:rPr>
                <w:rFonts w:hint="default" w:ascii="Calibri" w:hAnsi="Calibri" w:eastAsia="宋体" w:cs="Calibri"/>
                <w:b/>
                <w:bCs/>
                <w:color w:val="auto"/>
                <w:sz w:val="21"/>
                <w:szCs w:val="21"/>
                <w:highlight w:val="none"/>
                <w:u w:val="none"/>
                <w:lang w:val="en-US" w:eastAsia="zh-CN"/>
              </w:rPr>
              <w:t>①</w:t>
            </w:r>
          </w:p>
        </w:tc>
        <w:tc>
          <w:tcPr>
            <w:tcW w:w="373" w:type="pct"/>
            <w:tcBorders>
              <w:top w:val="single" w:color="auto" w:sz="4" w:space="0"/>
              <w:left w:val="single" w:color="auto" w:sz="4" w:space="0"/>
              <w:bottom w:val="single" w:color="auto" w:sz="4" w:space="0"/>
              <w:right w:val="single" w:color="auto" w:sz="4" w:space="0"/>
            </w:tcBorders>
            <w:noWrap w:val="0"/>
            <w:vAlign w:val="center"/>
          </w:tcPr>
          <w:p w14:paraId="26CDF91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00" w:lineRule="exact"/>
              <w:ind w:left="0" w:right="0"/>
              <w:jc w:val="center"/>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单位</w:t>
            </w:r>
          </w:p>
        </w:tc>
        <w:tc>
          <w:tcPr>
            <w:tcW w:w="418" w:type="pct"/>
            <w:tcBorders>
              <w:top w:val="single" w:color="auto" w:sz="4" w:space="0"/>
              <w:left w:val="single" w:color="auto" w:sz="4" w:space="0"/>
              <w:bottom w:val="single" w:color="auto" w:sz="4" w:space="0"/>
              <w:right w:val="single" w:color="auto" w:sz="4" w:space="0"/>
            </w:tcBorders>
            <w:noWrap w:val="0"/>
            <w:vAlign w:val="center"/>
          </w:tcPr>
          <w:p w14:paraId="7D9B824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00" w:lineRule="exact"/>
              <w:ind w:left="0" w:right="0"/>
              <w:jc w:val="center"/>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单价（元/床/天）</w:t>
            </w:r>
            <w:r>
              <w:rPr>
                <w:rFonts w:hint="default" w:ascii="Calibri" w:hAnsi="Calibri" w:eastAsia="宋体" w:cs="Calibri"/>
                <w:b/>
                <w:bCs/>
                <w:color w:val="auto"/>
                <w:sz w:val="21"/>
                <w:szCs w:val="21"/>
                <w:highlight w:val="none"/>
                <w:u w:val="none"/>
                <w:lang w:val="en-US" w:eastAsia="zh-CN"/>
              </w:rPr>
              <w:t>②</w:t>
            </w:r>
          </w:p>
        </w:tc>
        <w:tc>
          <w:tcPr>
            <w:tcW w:w="693" w:type="pct"/>
            <w:tcBorders>
              <w:top w:val="single" w:color="auto" w:sz="4" w:space="0"/>
              <w:left w:val="single" w:color="auto" w:sz="4" w:space="0"/>
              <w:bottom w:val="single" w:color="auto" w:sz="4" w:space="0"/>
              <w:right w:val="single" w:color="auto" w:sz="4" w:space="0"/>
            </w:tcBorders>
            <w:noWrap w:val="0"/>
            <w:vAlign w:val="center"/>
          </w:tcPr>
          <w:p w14:paraId="2B21426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00" w:lineRule="exact"/>
              <w:ind w:left="0" w:right="0"/>
              <w:jc w:val="center"/>
              <w:textAlignment w:val="auto"/>
              <w:rPr>
                <w:rFonts w:hint="default" w:ascii="宋体" w:hAnsi="宋体" w:eastAsia="宋体" w:cs="宋体"/>
                <w:b/>
                <w:bCs/>
                <w:color w:val="auto"/>
                <w:sz w:val="21"/>
                <w:szCs w:val="21"/>
                <w:highlight w:val="none"/>
                <w:u w:val="none"/>
                <w:lang w:val="en-US" w:eastAsia="zh-CN"/>
              </w:rPr>
            </w:pPr>
            <w:r>
              <w:rPr>
                <w:rFonts w:hint="eastAsia" w:ascii="宋体" w:hAnsi="宋体" w:cs="宋体"/>
                <w:b/>
                <w:bCs/>
                <w:color w:val="auto"/>
                <w:sz w:val="21"/>
                <w:szCs w:val="21"/>
                <w:highlight w:val="none"/>
                <w:u w:val="none"/>
                <w:lang w:val="en-US" w:eastAsia="zh-CN"/>
              </w:rPr>
              <w:t>服务时间（</w:t>
            </w:r>
            <w:r>
              <w:rPr>
                <w:rFonts w:hint="eastAsia" w:ascii="宋体" w:hAnsi="宋体" w:cs="宋体"/>
                <w:color w:val="auto"/>
                <w:sz w:val="21"/>
                <w:szCs w:val="21"/>
                <w:highlight w:val="none"/>
                <w:u w:val="none"/>
                <w:lang w:val="en-US" w:eastAsia="zh-CN"/>
              </w:rPr>
              <w:t>天/年</w:t>
            </w:r>
            <w:r>
              <w:rPr>
                <w:rFonts w:hint="eastAsia" w:ascii="宋体" w:hAnsi="宋体" w:cs="宋体"/>
                <w:b/>
                <w:bCs/>
                <w:color w:val="auto"/>
                <w:sz w:val="21"/>
                <w:szCs w:val="21"/>
                <w:highlight w:val="none"/>
                <w:u w:val="none"/>
                <w:lang w:val="en-US" w:eastAsia="zh-CN"/>
              </w:rPr>
              <w:t>）</w:t>
            </w:r>
            <w:r>
              <w:rPr>
                <w:rFonts w:hint="default" w:ascii="Calibri" w:hAnsi="Calibri" w:cs="Calibri"/>
                <w:b/>
                <w:bCs/>
                <w:color w:val="auto"/>
                <w:sz w:val="21"/>
                <w:szCs w:val="21"/>
                <w:highlight w:val="none"/>
                <w:u w:val="none"/>
                <w:lang w:val="en-US" w:eastAsia="zh-CN"/>
              </w:rPr>
              <w:t>③</w:t>
            </w:r>
          </w:p>
        </w:tc>
        <w:tc>
          <w:tcPr>
            <w:tcW w:w="680" w:type="pct"/>
            <w:tcBorders>
              <w:top w:val="single" w:color="auto" w:sz="4" w:space="0"/>
              <w:left w:val="single" w:color="auto" w:sz="4" w:space="0"/>
              <w:bottom w:val="single" w:color="auto" w:sz="4" w:space="0"/>
              <w:right w:val="single" w:color="auto" w:sz="4" w:space="0"/>
            </w:tcBorders>
            <w:noWrap w:val="0"/>
            <w:vAlign w:val="center"/>
          </w:tcPr>
          <w:p w14:paraId="3D56164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00" w:lineRule="exact"/>
              <w:ind w:left="0" w:right="0"/>
              <w:jc w:val="center"/>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医疗废物</w:t>
            </w:r>
          </w:p>
          <w:p w14:paraId="629FAB7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00" w:lineRule="exact"/>
              <w:ind w:left="0" w:right="0"/>
              <w:jc w:val="center"/>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处置费</w:t>
            </w:r>
            <w:r>
              <w:rPr>
                <w:rFonts w:hint="eastAsia" w:ascii="宋体" w:hAnsi="宋体" w:cs="宋体"/>
                <w:b/>
                <w:bCs/>
                <w:color w:val="auto"/>
                <w:sz w:val="21"/>
                <w:szCs w:val="21"/>
                <w:highlight w:val="none"/>
                <w:u w:val="none"/>
                <w:lang w:val="en-US" w:eastAsia="zh-CN"/>
              </w:rPr>
              <w:t>服务期</w:t>
            </w:r>
          </w:p>
          <w:p w14:paraId="47C3E2AC">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00" w:lineRule="exact"/>
              <w:ind w:left="0" w:right="0"/>
              <w:jc w:val="center"/>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（年）</w:t>
            </w:r>
            <w:r>
              <w:rPr>
                <w:rFonts w:hint="eastAsia" w:ascii="微软雅黑" w:hAnsi="微软雅黑" w:eastAsia="微软雅黑" w:cs="微软雅黑"/>
                <w:b/>
                <w:bCs/>
                <w:color w:val="auto"/>
                <w:sz w:val="21"/>
                <w:szCs w:val="21"/>
                <w:highlight w:val="none"/>
                <w:u w:val="none"/>
                <w:lang w:val="en-US" w:eastAsia="zh-CN"/>
              </w:rPr>
              <w:t>④</w:t>
            </w:r>
          </w:p>
        </w:tc>
        <w:tc>
          <w:tcPr>
            <w:tcW w:w="1121" w:type="pct"/>
            <w:tcBorders>
              <w:top w:val="single" w:color="auto" w:sz="4" w:space="0"/>
              <w:left w:val="single" w:color="auto" w:sz="4" w:space="0"/>
              <w:bottom w:val="single" w:color="auto" w:sz="4" w:space="0"/>
              <w:right w:val="single" w:color="auto" w:sz="4" w:space="0"/>
            </w:tcBorders>
            <w:noWrap w:val="0"/>
            <w:vAlign w:val="center"/>
          </w:tcPr>
          <w:p w14:paraId="79CA85C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00" w:lineRule="exact"/>
              <w:ind w:left="0" w:right="0"/>
              <w:jc w:val="center"/>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总  价</w:t>
            </w:r>
          </w:p>
          <w:p w14:paraId="3CD8BE6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00" w:lineRule="exact"/>
              <w:ind w:left="0" w:right="0"/>
              <w:jc w:val="center"/>
              <w:textAlignment w:val="auto"/>
              <w:rPr>
                <w:rFonts w:hint="default"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（元）⑤</w:t>
            </w:r>
            <w:r>
              <w:rPr>
                <w:rFonts w:hint="eastAsia" w:ascii="宋体" w:hAnsi="宋体" w:cs="宋体"/>
                <w:b/>
                <w:bCs/>
                <w:color w:val="auto"/>
                <w:sz w:val="21"/>
                <w:szCs w:val="21"/>
                <w:highlight w:val="none"/>
                <w:u w:val="none"/>
                <w:lang w:val="en-US" w:eastAsia="zh-CN"/>
              </w:rPr>
              <w:t>=</w:t>
            </w:r>
            <w:r>
              <w:rPr>
                <w:rFonts w:hint="default" w:ascii="Calibri" w:hAnsi="Calibri" w:eastAsia="宋体" w:cs="Calibri"/>
                <w:b/>
                <w:bCs/>
                <w:color w:val="auto"/>
                <w:sz w:val="21"/>
                <w:szCs w:val="21"/>
                <w:highlight w:val="none"/>
                <w:u w:val="none"/>
                <w:lang w:val="en-US" w:eastAsia="zh-CN"/>
              </w:rPr>
              <w:t>①</w:t>
            </w:r>
            <w:r>
              <w:rPr>
                <w:rFonts w:hint="eastAsia" w:cs="Calibri"/>
                <w:b/>
                <w:bCs/>
                <w:color w:val="auto"/>
                <w:sz w:val="21"/>
                <w:szCs w:val="21"/>
                <w:highlight w:val="none"/>
                <w:u w:val="none"/>
                <w:lang w:val="en-US" w:eastAsia="zh-CN"/>
              </w:rPr>
              <w:t>*</w:t>
            </w:r>
            <w:r>
              <w:rPr>
                <w:rFonts w:hint="default" w:ascii="Calibri" w:hAnsi="Calibri" w:eastAsia="宋体" w:cs="Calibri"/>
                <w:b/>
                <w:bCs/>
                <w:color w:val="auto"/>
                <w:sz w:val="21"/>
                <w:szCs w:val="21"/>
                <w:highlight w:val="none"/>
                <w:u w:val="none"/>
                <w:lang w:val="en-US" w:eastAsia="zh-CN"/>
              </w:rPr>
              <w:t>②</w:t>
            </w:r>
            <w:r>
              <w:rPr>
                <w:rFonts w:hint="eastAsia" w:cs="Calibri"/>
                <w:b/>
                <w:bCs/>
                <w:color w:val="auto"/>
                <w:sz w:val="21"/>
                <w:szCs w:val="21"/>
                <w:highlight w:val="none"/>
                <w:u w:val="none"/>
                <w:lang w:val="en-US" w:eastAsia="zh-CN"/>
              </w:rPr>
              <w:t>*</w:t>
            </w:r>
            <w:r>
              <w:rPr>
                <w:rFonts w:hint="default" w:ascii="Calibri" w:hAnsi="Calibri" w:cs="Calibri"/>
                <w:b/>
                <w:bCs/>
                <w:color w:val="auto"/>
                <w:sz w:val="21"/>
                <w:szCs w:val="21"/>
                <w:highlight w:val="none"/>
                <w:u w:val="none"/>
                <w:lang w:val="en-US" w:eastAsia="zh-CN"/>
              </w:rPr>
              <w:t>③</w:t>
            </w:r>
            <w:r>
              <w:rPr>
                <w:rFonts w:hint="eastAsia" w:cs="Calibri"/>
                <w:b/>
                <w:bCs/>
                <w:color w:val="auto"/>
                <w:sz w:val="21"/>
                <w:szCs w:val="21"/>
                <w:highlight w:val="none"/>
                <w:u w:val="none"/>
                <w:lang w:val="en-US" w:eastAsia="zh-CN"/>
              </w:rPr>
              <w:t>*</w:t>
            </w:r>
            <w:r>
              <w:rPr>
                <w:rFonts w:hint="eastAsia" w:ascii="微软雅黑" w:hAnsi="微软雅黑" w:eastAsia="微软雅黑" w:cs="微软雅黑"/>
                <w:b/>
                <w:bCs/>
                <w:color w:val="auto"/>
                <w:sz w:val="21"/>
                <w:szCs w:val="21"/>
                <w:highlight w:val="none"/>
                <w:u w:val="none"/>
                <w:lang w:val="en-US" w:eastAsia="zh-CN"/>
              </w:rPr>
              <w:t>④</w:t>
            </w:r>
          </w:p>
        </w:tc>
      </w:tr>
      <w:tr w14:paraId="7D4C4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250" w:type="pct"/>
            <w:tcBorders>
              <w:top w:val="single" w:color="auto" w:sz="4" w:space="0"/>
              <w:left w:val="single" w:color="auto" w:sz="4" w:space="0"/>
              <w:bottom w:val="single" w:color="auto" w:sz="4" w:space="0"/>
              <w:right w:val="single" w:color="auto" w:sz="4" w:space="0"/>
            </w:tcBorders>
            <w:noWrap w:val="0"/>
            <w:vAlign w:val="center"/>
          </w:tcPr>
          <w:p w14:paraId="0341AD2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00" w:lineRule="exact"/>
              <w:ind w:left="0" w:right="0"/>
              <w:jc w:val="both"/>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1</w:t>
            </w:r>
          </w:p>
        </w:tc>
        <w:tc>
          <w:tcPr>
            <w:tcW w:w="429" w:type="pct"/>
            <w:tcBorders>
              <w:top w:val="single" w:color="auto" w:sz="4" w:space="0"/>
              <w:left w:val="single" w:color="auto" w:sz="4" w:space="0"/>
              <w:bottom w:val="single" w:color="auto" w:sz="4" w:space="0"/>
              <w:right w:val="single" w:color="auto" w:sz="4" w:space="0"/>
            </w:tcBorders>
            <w:noWrap w:val="0"/>
            <w:vAlign w:val="center"/>
          </w:tcPr>
          <w:p w14:paraId="0AFAAB61">
            <w:pPr>
              <w:keepNext w:val="0"/>
              <w:keepLines w:val="0"/>
              <w:pageBreakBefore w:val="0"/>
              <w:suppressLineNumbers w:val="0"/>
              <w:kinsoku/>
              <w:wordWrap/>
              <w:overflowPunct/>
              <w:topLinePunct w:val="0"/>
              <w:autoSpaceDE/>
              <w:autoSpaceDN/>
              <w:bidi w:val="0"/>
              <w:spacing w:before="0" w:beforeLines="0" w:beforeAutospacing="0" w:after="0" w:afterLines="0" w:afterAutospacing="0" w:line="400" w:lineRule="exact"/>
              <w:ind w:left="0" w:right="0"/>
              <w:jc w:val="both"/>
              <w:textAlignment w:val="auto"/>
              <w:rPr>
                <w:rFonts w:hint="eastAsia" w:ascii="宋体" w:hAnsi="宋体" w:eastAsia="宋体" w:cs="宋体"/>
                <w:color w:val="auto"/>
                <w:sz w:val="21"/>
                <w:szCs w:val="21"/>
                <w:highlight w:val="none"/>
                <w:u w:val="none"/>
                <w:lang w:val="en-US" w:eastAsia="zh-CN"/>
              </w:rPr>
            </w:pPr>
          </w:p>
        </w:tc>
        <w:tc>
          <w:tcPr>
            <w:tcW w:w="477" w:type="pct"/>
            <w:tcBorders>
              <w:top w:val="single" w:color="auto" w:sz="4" w:space="0"/>
              <w:left w:val="single" w:color="auto" w:sz="4" w:space="0"/>
              <w:bottom w:val="single" w:color="auto" w:sz="4" w:space="0"/>
              <w:right w:val="single" w:color="auto" w:sz="4" w:space="0"/>
            </w:tcBorders>
            <w:noWrap w:val="0"/>
            <w:vAlign w:val="center"/>
          </w:tcPr>
          <w:p w14:paraId="5245B05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00" w:lineRule="exact"/>
              <w:ind w:left="0" w:leftChars="0" w:right="0" w:firstLine="0" w:firstLineChars="0"/>
              <w:jc w:val="both"/>
              <w:textAlignment w:val="auto"/>
              <w:rPr>
                <w:rFonts w:hint="eastAsia" w:ascii="宋体" w:hAnsi="宋体" w:eastAsia="宋体" w:cs="宋体"/>
                <w:color w:val="auto"/>
                <w:sz w:val="21"/>
                <w:szCs w:val="21"/>
                <w:highlight w:val="none"/>
                <w:u w:val="none"/>
                <w:lang w:val="en-US" w:eastAsia="zh-CN"/>
              </w:rPr>
            </w:pPr>
          </w:p>
        </w:tc>
        <w:tc>
          <w:tcPr>
            <w:tcW w:w="555" w:type="pct"/>
            <w:tcBorders>
              <w:top w:val="single" w:color="auto" w:sz="4" w:space="0"/>
              <w:left w:val="single" w:color="auto" w:sz="4" w:space="0"/>
              <w:bottom w:val="single" w:color="auto" w:sz="4" w:space="0"/>
              <w:right w:val="single" w:color="auto" w:sz="4" w:space="0"/>
            </w:tcBorders>
            <w:noWrap w:val="0"/>
            <w:vAlign w:val="center"/>
          </w:tcPr>
          <w:p w14:paraId="052DF5D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00" w:lineRule="exact"/>
              <w:ind w:left="0" w:leftChars="0" w:right="0" w:firstLine="0" w:firstLineChars="0"/>
              <w:jc w:val="center"/>
              <w:textAlignment w:val="auto"/>
              <w:rPr>
                <w:rFonts w:hint="default" w:ascii="宋体" w:hAnsi="宋体" w:eastAsia="宋体" w:cs="宋体"/>
                <w:color w:val="auto"/>
                <w:sz w:val="21"/>
                <w:szCs w:val="21"/>
                <w:highlight w:val="none"/>
                <w:u w:val="none"/>
                <w:lang w:val="en-US" w:eastAsia="zh-CN"/>
              </w:rPr>
            </w:pPr>
            <w:r>
              <w:rPr>
                <w:rFonts w:hint="eastAsia" w:ascii="宋体" w:hAnsi="宋体" w:cs="宋体"/>
                <w:color w:val="auto"/>
                <w:sz w:val="21"/>
                <w:szCs w:val="21"/>
                <w:highlight w:val="none"/>
                <w:u w:val="none"/>
                <w:lang w:val="en-US" w:eastAsia="zh-CN"/>
              </w:rPr>
              <w:t>1150</w:t>
            </w:r>
          </w:p>
        </w:tc>
        <w:tc>
          <w:tcPr>
            <w:tcW w:w="373" w:type="pct"/>
            <w:tcBorders>
              <w:top w:val="single" w:color="auto" w:sz="4" w:space="0"/>
              <w:left w:val="single" w:color="auto" w:sz="4" w:space="0"/>
              <w:bottom w:val="single" w:color="auto" w:sz="4" w:space="0"/>
              <w:right w:val="single" w:color="auto" w:sz="4" w:space="0"/>
            </w:tcBorders>
            <w:noWrap w:val="0"/>
            <w:vAlign w:val="center"/>
          </w:tcPr>
          <w:p w14:paraId="0B627B5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00" w:lineRule="exact"/>
              <w:ind w:left="0" w:leftChars="0" w:right="0" w:firstLine="210" w:firstLineChars="100"/>
              <w:jc w:val="both"/>
              <w:textAlignment w:val="auto"/>
              <w:rPr>
                <w:rFonts w:hint="default" w:ascii="宋体" w:hAnsi="宋体" w:eastAsia="宋体" w:cs="宋体"/>
                <w:color w:val="auto"/>
                <w:sz w:val="21"/>
                <w:szCs w:val="21"/>
                <w:highlight w:val="none"/>
                <w:u w:val="none"/>
                <w:lang w:val="en-US" w:eastAsia="zh-CN"/>
              </w:rPr>
            </w:pPr>
            <w:r>
              <w:rPr>
                <w:rFonts w:hint="eastAsia" w:ascii="宋体" w:hAnsi="宋体" w:cs="宋体"/>
                <w:color w:val="auto"/>
                <w:sz w:val="21"/>
                <w:szCs w:val="21"/>
                <w:highlight w:val="none"/>
                <w:u w:val="none"/>
                <w:lang w:val="en-US" w:eastAsia="zh-CN"/>
              </w:rPr>
              <w:t>张</w:t>
            </w:r>
          </w:p>
        </w:tc>
        <w:tc>
          <w:tcPr>
            <w:tcW w:w="418" w:type="pct"/>
            <w:tcBorders>
              <w:top w:val="single" w:color="auto" w:sz="4" w:space="0"/>
              <w:left w:val="single" w:color="auto" w:sz="4" w:space="0"/>
              <w:bottom w:val="single" w:color="auto" w:sz="4" w:space="0"/>
              <w:right w:val="single" w:color="auto" w:sz="4" w:space="0"/>
            </w:tcBorders>
            <w:noWrap w:val="0"/>
            <w:vAlign w:val="center"/>
          </w:tcPr>
          <w:p w14:paraId="050CFE8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00" w:lineRule="exact"/>
              <w:ind w:left="0" w:leftChars="0" w:right="0" w:firstLine="0" w:firstLineChars="0"/>
              <w:jc w:val="both"/>
              <w:textAlignment w:val="auto"/>
              <w:rPr>
                <w:rFonts w:hint="eastAsia" w:ascii="宋体" w:hAnsi="宋体" w:eastAsia="宋体" w:cs="宋体"/>
                <w:color w:val="auto"/>
                <w:sz w:val="21"/>
                <w:szCs w:val="21"/>
                <w:highlight w:val="none"/>
                <w:u w:val="none"/>
                <w:lang w:val="en-US" w:eastAsia="zh-CN"/>
              </w:rPr>
            </w:pPr>
          </w:p>
        </w:tc>
        <w:tc>
          <w:tcPr>
            <w:tcW w:w="693" w:type="pct"/>
            <w:tcBorders>
              <w:top w:val="single" w:color="auto" w:sz="4" w:space="0"/>
              <w:left w:val="single" w:color="auto" w:sz="4" w:space="0"/>
              <w:bottom w:val="single" w:color="auto" w:sz="4" w:space="0"/>
              <w:right w:val="single" w:color="auto" w:sz="4" w:space="0"/>
            </w:tcBorders>
            <w:noWrap w:val="0"/>
            <w:vAlign w:val="center"/>
          </w:tcPr>
          <w:p w14:paraId="7788587C">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00" w:lineRule="exact"/>
              <w:ind w:right="0"/>
              <w:jc w:val="both"/>
              <w:textAlignment w:val="auto"/>
              <w:rPr>
                <w:rFonts w:hint="default" w:ascii="宋体" w:hAnsi="宋体" w:eastAsia="宋体" w:cs="宋体"/>
                <w:color w:val="auto"/>
                <w:sz w:val="21"/>
                <w:szCs w:val="21"/>
                <w:highlight w:val="none"/>
                <w:u w:val="none"/>
                <w:lang w:val="en-US" w:eastAsia="zh-CN"/>
              </w:rPr>
            </w:pPr>
            <w:r>
              <w:rPr>
                <w:rFonts w:hint="eastAsia" w:ascii="宋体" w:hAnsi="宋体" w:cs="宋体"/>
                <w:color w:val="auto"/>
                <w:sz w:val="21"/>
                <w:szCs w:val="21"/>
                <w:highlight w:val="none"/>
                <w:u w:val="none"/>
                <w:lang w:val="en-US" w:eastAsia="zh-CN"/>
              </w:rPr>
              <w:t>365天/年</w:t>
            </w:r>
          </w:p>
        </w:tc>
        <w:tc>
          <w:tcPr>
            <w:tcW w:w="680" w:type="pct"/>
            <w:tcBorders>
              <w:top w:val="single" w:color="auto" w:sz="4" w:space="0"/>
              <w:left w:val="single" w:color="auto" w:sz="4" w:space="0"/>
              <w:bottom w:val="single" w:color="auto" w:sz="4" w:space="0"/>
              <w:right w:val="single" w:color="auto" w:sz="4" w:space="0"/>
            </w:tcBorders>
            <w:noWrap w:val="0"/>
            <w:vAlign w:val="center"/>
          </w:tcPr>
          <w:p w14:paraId="093F4C5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00" w:lineRule="exact"/>
              <w:ind w:left="0" w:leftChars="0" w:right="0" w:firstLine="0" w:firstLineChars="0"/>
              <w:jc w:val="center"/>
              <w:textAlignment w:val="auto"/>
              <w:rPr>
                <w:rFonts w:hint="default" w:ascii="宋体" w:hAnsi="宋体" w:eastAsia="宋体" w:cs="宋体"/>
                <w:color w:val="auto"/>
                <w:sz w:val="21"/>
                <w:szCs w:val="21"/>
                <w:highlight w:val="none"/>
                <w:u w:val="none"/>
                <w:lang w:val="en-US" w:eastAsia="zh-CN"/>
              </w:rPr>
            </w:pPr>
            <w:r>
              <w:rPr>
                <w:rFonts w:hint="eastAsia" w:ascii="宋体" w:hAnsi="宋体" w:cs="宋体"/>
                <w:color w:val="auto"/>
                <w:sz w:val="21"/>
                <w:szCs w:val="21"/>
                <w:highlight w:val="none"/>
                <w:u w:val="none"/>
                <w:lang w:val="en-US" w:eastAsia="zh-CN"/>
              </w:rPr>
              <w:t>3年</w:t>
            </w:r>
          </w:p>
        </w:tc>
        <w:tc>
          <w:tcPr>
            <w:tcW w:w="1121" w:type="pct"/>
            <w:tcBorders>
              <w:top w:val="single" w:color="auto" w:sz="4" w:space="0"/>
              <w:left w:val="single" w:color="auto" w:sz="4" w:space="0"/>
              <w:bottom w:val="single" w:color="auto" w:sz="4" w:space="0"/>
              <w:right w:val="single" w:color="auto" w:sz="4" w:space="0"/>
            </w:tcBorders>
            <w:noWrap w:val="0"/>
            <w:vAlign w:val="center"/>
          </w:tcPr>
          <w:p w14:paraId="2C39DAB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00" w:lineRule="exact"/>
              <w:ind w:left="0" w:leftChars="0" w:right="0" w:firstLine="0" w:firstLineChars="0"/>
              <w:jc w:val="both"/>
              <w:textAlignment w:val="auto"/>
              <w:rPr>
                <w:rFonts w:hint="eastAsia" w:ascii="宋体" w:hAnsi="宋体" w:eastAsia="宋体" w:cs="宋体"/>
                <w:color w:val="auto"/>
                <w:sz w:val="21"/>
                <w:szCs w:val="21"/>
                <w:highlight w:val="none"/>
                <w:u w:val="none"/>
                <w:lang w:val="en-US" w:eastAsia="zh-CN"/>
              </w:rPr>
            </w:pPr>
          </w:p>
        </w:tc>
      </w:tr>
      <w:tr w14:paraId="76AE0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trPr>
        <w:tc>
          <w:tcPr>
            <w:tcW w:w="5000" w:type="pct"/>
            <w:gridSpan w:val="9"/>
            <w:tcBorders>
              <w:top w:val="single" w:color="auto" w:sz="4" w:space="0"/>
              <w:left w:val="single" w:color="auto" w:sz="4" w:space="0"/>
              <w:bottom w:val="single" w:color="auto" w:sz="4" w:space="0"/>
              <w:right w:val="single" w:color="auto" w:sz="4" w:space="0"/>
            </w:tcBorders>
            <w:noWrap w:val="0"/>
            <w:vAlign w:val="center"/>
          </w:tcPr>
          <w:p w14:paraId="005C5F3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00" w:lineRule="exact"/>
              <w:ind w:left="0" w:right="0"/>
              <w:jc w:val="both"/>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合同合计金额（人民币，大写）：</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元整（</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w:t>
            </w:r>
          </w:p>
        </w:tc>
      </w:tr>
      <w:tr w14:paraId="33FC6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trPr>
        <w:tc>
          <w:tcPr>
            <w:tcW w:w="5000" w:type="pct"/>
            <w:gridSpan w:val="9"/>
            <w:tcBorders>
              <w:top w:val="single" w:color="auto" w:sz="4" w:space="0"/>
              <w:left w:val="single" w:color="auto" w:sz="4" w:space="0"/>
              <w:bottom w:val="single" w:color="auto" w:sz="4" w:space="0"/>
              <w:right w:val="single" w:color="auto" w:sz="4" w:space="0"/>
            </w:tcBorders>
            <w:noWrap w:val="0"/>
            <w:vAlign w:val="center"/>
          </w:tcPr>
          <w:p w14:paraId="7CF9053C">
            <w:pPr>
              <w:keepNext w:val="0"/>
              <w:keepLines w:val="0"/>
              <w:pageBreakBefore w:val="0"/>
              <w:suppressLineNumbers w:val="0"/>
              <w:kinsoku/>
              <w:overflowPunct/>
              <w:topLinePunct w:val="0"/>
              <w:bidi w:val="0"/>
              <w:spacing w:before="0" w:beforeAutospacing="0" w:after="0" w:afterAutospacing="0" w:line="400" w:lineRule="exact"/>
              <w:ind w:left="0" w:right="0" w:firstLine="420" w:firstLineChars="200"/>
              <w:textAlignment w:val="auto"/>
              <w:rPr>
                <w:rFonts w:hint="eastAsia" w:ascii="宋体" w:hAnsi="宋体" w:eastAsia="宋体" w:cs="宋体"/>
                <w:color w:val="auto"/>
                <w:sz w:val="21"/>
                <w:szCs w:val="21"/>
                <w:highlight w:val="none"/>
                <w:u w:val="none"/>
                <w:lang w:val="en-US" w:eastAsia="zh-CN"/>
              </w:rPr>
            </w:pPr>
            <w:r>
              <w:rPr>
                <w:rFonts w:hint="eastAsia" w:ascii="宋体" w:hAnsi="宋体" w:cs="宋体"/>
                <w:color w:val="auto"/>
                <w:szCs w:val="21"/>
                <w:highlight w:val="none"/>
              </w:rPr>
              <w:t>合同履约期限：</w:t>
            </w:r>
            <w:r>
              <w:rPr>
                <w:rFonts w:hint="eastAsia" w:ascii="宋体" w:hAnsi="宋体" w:cs="宋体"/>
                <w:color w:val="auto"/>
                <w:szCs w:val="21"/>
                <w:highlight w:val="none"/>
                <w:lang w:eastAsia="zh-CN"/>
              </w:rPr>
              <w:t>自签订合同之日起</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年</w:t>
            </w:r>
            <w:r>
              <w:rPr>
                <w:rFonts w:hint="eastAsia" w:ascii="宋体" w:hAnsi="宋体" w:eastAsia="宋体" w:cs="宋体"/>
                <w:color w:val="auto"/>
                <w:szCs w:val="21"/>
                <w:highlight w:val="none"/>
                <w:lang w:eastAsia="zh-CN"/>
              </w:rPr>
              <w:t>。若服务期限内累计金额达到项目合同金额的，采购人有权要求供应商停止处置服务并终止合同。</w:t>
            </w:r>
            <w:bookmarkStart w:id="204" w:name="_GoBack"/>
            <w:bookmarkEnd w:id="204"/>
          </w:p>
        </w:tc>
      </w:tr>
    </w:tbl>
    <w:p w14:paraId="309E96AE">
      <w:pPr>
        <w:keepNext w:val="0"/>
        <w:keepLines w:val="0"/>
        <w:pageBreakBefore w:val="0"/>
        <w:wordWrap/>
        <w:overflowPunct/>
        <w:topLinePunct w:val="0"/>
        <w:bidi w:val="0"/>
        <w:snapToGrid w:val="0"/>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注： </w:t>
      </w:r>
    </w:p>
    <w:p w14:paraId="22F3D958">
      <w:pPr>
        <w:keepNext w:val="0"/>
        <w:keepLines w:val="0"/>
        <w:pageBreakBefore w:val="0"/>
        <w:wordWrap/>
        <w:overflowPunct/>
        <w:topLinePunct w:val="0"/>
        <w:bidi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1.投标人的开标一览表必须加盖投标人电子签章并由法定代表人或者委托代理人签字或者电子签名，</w:t>
      </w:r>
      <w:r>
        <w:rPr>
          <w:rFonts w:hint="eastAsia" w:ascii="宋体" w:hAnsi="宋体" w:cs="宋体"/>
          <w:b/>
          <w:color w:val="auto"/>
          <w:szCs w:val="21"/>
          <w:highlight w:val="none"/>
        </w:rPr>
        <w:t>否则其投标作无效标处理</w:t>
      </w:r>
      <w:r>
        <w:rPr>
          <w:rFonts w:hint="eastAsia" w:ascii="宋体" w:hAnsi="宋体" w:cs="宋体"/>
          <w:color w:val="auto"/>
          <w:szCs w:val="21"/>
          <w:highlight w:val="none"/>
        </w:rPr>
        <w:t>。</w:t>
      </w:r>
    </w:p>
    <w:p w14:paraId="406473FD">
      <w:pPr>
        <w:keepNext w:val="0"/>
        <w:keepLines w:val="0"/>
        <w:pageBreakBefore w:val="0"/>
        <w:wordWrap/>
        <w:overflowPunct/>
        <w:topLinePunct w:val="0"/>
        <w:bidi w:val="0"/>
        <w:snapToGrid w:val="0"/>
        <w:spacing w:line="400" w:lineRule="exact"/>
        <w:ind w:firstLine="420" w:firstLineChars="200"/>
        <w:jc w:val="left"/>
        <w:rPr>
          <w:rFonts w:hint="eastAsia" w:ascii="宋体" w:hAnsi="宋体" w:cs="宋体"/>
          <w:b/>
          <w:color w:val="auto"/>
          <w:szCs w:val="21"/>
          <w:highlight w:val="none"/>
        </w:rPr>
      </w:pPr>
      <w:r>
        <w:rPr>
          <w:rFonts w:hint="eastAsia" w:ascii="宋体" w:hAnsi="宋体" w:cs="宋体"/>
          <w:bCs/>
          <w:color w:val="auto"/>
          <w:szCs w:val="21"/>
          <w:highlight w:val="none"/>
        </w:rPr>
        <w:t>2.</w:t>
      </w:r>
      <w:r>
        <w:rPr>
          <w:rFonts w:hint="eastAsia" w:ascii="宋体" w:hAnsi="宋体" w:cs="宋体"/>
          <w:color w:val="auto"/>
          <w:szCs w:val="21"/>
          <w:highlight w:val="none"/>
        </w:rPr>
        <w:t>报价一经涂改，应在涂改处加盖投标人公章或者加盖电子签章或者由法定代表人或者委托代理人签字（或者电子签名）</w:t>
      </w:r>
      <w:r>
        <w:rPr>
          <w:rFonts w:hint="eastAsia" w:ascii="宋体" w:hAnsi="宋体" w:cs="宋体"/>
          <w:b/>
          <w:color w:val="auto"/>
          <w:szCs w:val="21"/>
          <w:highlight w:val="none"/>
        </w:rPr>
        <w:t>，否则其投标作无效标处理。</w:t>
      </w:r>
    </w:p>
    <w:p w14:paraId="531D999F">
      <w:pPr>
        <w:keepNext w:val="0"/>
        <w:keepLines w:val="0"/>
        <w:pageBreakBefore w:val="0"/>
        <w:wordWrap/>
        <w:overflowPunct/>
        <w:topLinePunct w:val="0"/>
        <w:bidi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3.如为联合体投标，“投标人名称”处必须列明联合体各方名称，并标注联合体牵头人名称，</w:t>
      </w:r>
      <w:r>
        <w:rPr>
          <w:rFonts w:hint="eastAsia" w:ascii="宋体" w:hAnsi="宋体" w:cs="宋体"/>
          <w:b/>
          <w:color w:val="auto"/>
          <w:szCs w:val="21"/>
          <w:highlight w:val="none"/>
        </w:rPr>
        <w:t>否则其投标作无效标处理。</w:t>
      </w:r>
    </w:p>
    <w:p w14:paraId="55B21D46">
      <w:pPr>
        <w:keepNext w:val="0"/>
        <w:keepLines w:val="0"/>
        <w:pageBreakBefore w:val="0"/>
        <w:wordWrap/>
        <w:overflowPunct/>
        <w:topLinePunct w:val="0"/>
        <w:bidi w:val="0"/>
        <w:snapToGrid w:val="0"/>
        <w:spacing w:line="400" w:lineRule="exact"/>
        <w:ind w:firstLine="396" w:firstLineChars="200"/>
        <w:jc w:val="left"/>
        <w:rPr>
          <w:rFonts w:hint="eastAsia" w:ascii="宋体" w:hAnsi="宋体" w:cs="宋体"/>
          <w:color w:val="auto"/>
          <w:spacing w:val="-6"/>
          <w:szCs w:val="21"/>
          <w:highlight w:val="none"/>
        </w:rPr>
      </w:pPr>
      <w:r>
        <w:rPr>
          <w:rFonts w:hint="eastAsia" w:ascii="宋体" w:hAnsi="宋体" w:cs="宋体"/>
          <w:color w:val="auto"/>
          <w:spacing w:val="-6"/>
          <w:szCs w:val="21"/>
          <w:highlight w:val="none"/>
        </w:rPr>
        <w:t>4.如为联合体投标，盖章处须加盖联合体牵头人电子签章，</w:t>
      </w:r>
      <w:r>
        <w:rPr>
          <w:rFonts w:hint="eastAsia" w:ascii="宋体" w:hAnsi="宋体" w:cs="宋体"/>
          <w:b/>
          <w:color w:val="auto"/>
          <w:spacing w:val="-6"/>
          <w:szCs w:val="21"/>
          <w:highlight w:val="none"/>
        </w:rPr>
        <w:t>否则其投标作无效标处理。</w:t>
      </w:r>
    </w:p>
    <w:p w14:paraId="0949BB71">
      <w:pPr>
        <w:keepNext w:val="0"/>
        <w:keepLines w:val="0"/>
        <w:pageBreakBefore w:val="0"/>
        <w:wordWrap/>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5.如有多分标，按分标分别提供开标一览表，</w:t>
      </w:r>
      <w:r>
        <w:rPr>
          <w:rFonts w:hint="eastAsia" w:ascii="宋体" w:hAnsi="宋体" w:cs="宋体"/>
          <w:b/>
          <w:color w:val="auto"/>
          <w:szCs w:val="21"/>
          <w:highlight w:val="none"/>
        </w:rPr>
        <w:t>否则投标无效。</w:t>
      </w:r>
    </w:p>
    <w:p w14:paraId="54311296">
      <w:pPr>
        <w:keepNext w:val="0"/>
        <w:keepLines w:val="0"/>
        <w:pageBreakBefore w:val="0"/>
        <w:wordWrap/>
        <w:overflowPunct/>
        <w:topLinePunct w:val="0"/>
        <w:bidi w:val="0"/>
        <w:snapToGrid w:val="0"/>
        <w:spacing w:line="400" w:lineRule="exact"/>
        <w:ind w:left="-2" w:leftChars="-1" w:right="-817" w:rightChars="-389"/>
        <w:rPr>
          <w:rFonts w:hint="eastAsia" w:ascii="宋体" w:hAnsi="宋体" w:cs="宋体"/>
          <w:color w:val="auto"/>
          <w:szCs w:val="21"/>
          <w:highlight w:val="none"/>
        </w:rPr>
      </w:pPr>
    </w:p>
    <w:p w14:paraId="5433BBC9">
      <w:pPr>
        <w:keepNext w:val="0"/>
        <w:keepLines w:val="0"/>
        <w:pageBreakBefore w:val="0"/>
        <w:wordWrap/>
        <w:overflowPunct/>
        <w:topLinePunct w:val="0"/>
        <w:bidi w:val="0"/>
        <w:snapToGrid w:val="0"/>
        <w:spacing w:line="400" w:lineRule="exact"/>
        <w:ind w:left="-2" w:leftChars="-1" w:right="-817" w:rightChars="-389"/>
        <w:rPr>
          <w:rFonts w:hint="eastAsia" w:ascii="宋体" w:hAnsi="宋体" w:cs="宋体"/>
          <w:color w:val="auto"/>
          <w:szCs w:val="21"/>
          <w:highlight w:val="none"/>
        </w:rPr>
      </w:pPr>
      <w:r>
        <w:rPr>
          <w:rFonts w:hint="eastAsia" w:ascii="宋体" w:hAnsi="宋体" w:cs="宋体"/>
          <w:color w:val="auto"/>
          <w:szCs w:val="21"/>
          <w:highlight w:val="none"/>
        </w:rPr>
        <w:t xml:space="preserve">                           法定代表人或者委托代理人（签字或者电子签名）： </w:t>
      </w:r>
    </w:p>
    <w:p w14:paraId="44F7EA91">
      <w:pPr>
        <w:keepNext w:val="0"/>
        <w:keepLines w:val="0"/>
        <w:pageBreakBefore w:val="0"/>
        <w:wordWrap/>
        <w:overflowPunct/>
        <w:topLinePunct w:val="0"/>
        <w:bidi w:val="0"/>
        <w:snapToGrid w:val="0"/>
        <w:spacing w:line="400" w:lineRule="exact"/>
        <w:ind w:left="-6" w:leftChars="-15" w:right="-817" w:rightChars="-389" w:hanging="25" w:hangingChars="12"/>
        <w:rPr>
          <w:rFonts w:hint="eastAsia" w:ascii="宋体" w:hAnsi="宋体" w:cs="宋体"/>
          <w:color w:val="auto"/>
          <w:szCs w:val="21"/>
          <w:highlight w:val="none"/>
        </w:rPr>
      </w:pPr>
      <w:r>
        <w:rPr>
          <w:rFonts w:hint="eastAsia" w:ascii="宋体" w:hAnsi="宋体" w:cs="宋体"/>
          <w:color w:val="auto"/>
          <w:szCs w:val="21"/>
          <w:highlight w:val="none"/>
        </w:rPr>
        <w:t xml:space="preserve">                                  投标人名称（电子签章）：</w:t>
      </w:r>
    </w:p>
    <w:p w14:paraId="67BC9422">
      <w:pPr>
        <w:keepNext w:val="0"/>
        <w:keepLines w:val="0"/>
        <w:pageBreakBefore w:val="0"/>
        <w:wordWrap/>
        <w:overflowPunct/>
        <w:topLinePunct w:val="0"/>
        <w:bidi w:val="0"/>
        <w:snapToGrid w:val="0"/>
        <w:spacing w:line="400" w:lineRule="exact"/>
        <w:ind w:left="-6" w:leftChars="-15" w:right="-817" w:rightChars="-389" w:hanging="25" w:hangingChars="12"/>
        <w:rPr>
          <w:rFonts w:hint="eastAsia" w:ascii="宋体" w:hAnsi="宋体" w:cs="宋体"/>
          <w:color w:val="auto"/>
          <w:szCs w:val="21"/>
          <w:highlight w:val="none"/>
        </w:rPr>
      </w:pPr>
      <w:r>
        <w:rPr>
          <w:rFonts w:hint="eastAsia" w:ascii="宋体" w:hAnsi="宋体" w:cs="宋体"/>
          <w:color w:val="auto"/>
          <w:szCs w:val="21"/>
          <w:highlight w:val="none"/>
        </w:rPr>
        <w:t xml:space="preserve">                                  日期：    年   月   日</w:t>
      </w:r>
    </w:p>
    <w:p w14:paraId="3CE0B1F9">
      <w:pPr>
        <w:rPr>
          <w:rFonts w:hint="eastAsia" w:ascii="宋体" w:hAnsi="宋体" w:cs="宋体"/>
          <w:color w:val="auto"/>
          <w:highlight w:val="none"/>
        </w:rPr>
      </w:pPr>
      <w:r>
        <w:rPr>
          <w:rFonts w:hint="eastAsia" w:ascii="宋体" w:hAnsi="宋体" w:cs="宋体"/>
          <w:b/>
          <w:bCs/>
          <w:color w:val="auto"/>
          <w:sz w:val="24"/>
          <w:highlight w:val="none"/>
        </w:rPr>
        <w:br w:type="page"/>
      </w:r>
      <w:bookmarkStart w:id="194" w:name="_Toc19686837"/>
      <w:r>
        <w:rPr>
          <w:rFonts w:hint="eastAsia" w:ascii="宋体" w:hAnsi="宋体" w:cs="宋体"/>
          <w:b/>
          <w:color w:val="auto"/>
          <w:sz w:val="24"/>
          <w:highlight w:val="none"/>
        </w:rPr>
        <w:t>3.中小企业声明函格式</w:t>
      </w:r>
    </w:p>
    <w:p w14:paraId="33A5ED70">
      <w:pPr>
        <w:rPr>
          <w:rFonts w:hint="eastAsia" w:ascii="宋体" w:hAnsi="宋体" w:cs="宋体"/>
          <w:color w:val="auto"/>
          <w:highlight w:val="none"/>
        </w:rPr>
      </w:pPr>
    </w:p>
    <w:p w14:paraId="0C6F697D">
      <w:p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中小企业声明函（服务）</w:t>
      </w:r>
    </w:p>
    <w:p w14:paraId="6E349563">
      <w:pPr>
        <w:spacing w:before="2" w:line="500" w:lineRule="exact"/>
        <w:rPr>
          <w:rFonts w:hint="eastAsia" w:ascii="宋体" w:hAnsi="宋体" w:cs="宋体"/>
          <w:b/>
          <w:bCs/>
          <w:color w:val="auto"/>
          <w:szCs w:val="21"/>
          <w:highlight w:val="none"/>
        </w:rPr>
      </w:pPr>
    </w:p>
    <w:p w14:paraId="54B92466">
      <w:pPr>
        <w:pStyle w:val="13"/>
        <w:keepNext w:val="0"/>
        <w:keepLines w:val="0"/>
        <w:pageBreakBefore w:val="0"/>
        <w:widowControl w:val="0"/>
        <w:kinsoku/>
        <w:wordWrap/>
        <w:overflowPunct/>
        <w:topLinePunct w:val="0"/>
        <w:autoSpaceDE/>
        <w:autoSpaceDN/>
        <w:bidi w:val="0"/>
        <w:adjustRightInd/>
        <w:snapToGrid/>
        <w:spacing w:line="400" w:lineRule="exact"/>
        <w:ind w:right="142"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本公司（联合体）郑重声明，根据《政府采购促进中小企业发展管理办法》（财库﹝2020﹞46号）的规定，本公司（联合体）参加</w:t>
      </w:r>
      <w:r>
        <w:rPr>
          <w:rFonts w:hint="eastAsia" w:ascii="宋体" w:hAnsi="宋体" w:cs="宋体"/>
          <w:color w:val="auto"/>
          <w:szCs w:val="21"/>
          <w:highlight w:val="none"/>
          <w:u w:val="single"/>
        </w:rPr>
        <w:t>（单位名称）</w:t>
      </w:r>
      <w:r>
        <w:rPr>
          <w:rFonts w:hint="eastAsia" w:ascii="宋体" w:hAnsi="宋体" w:cs="宋体"/>
          <w:color w:val="auto"/>
          <w:szCs w:val="21"/>
          <w:highlight w:val="none"/>
        </w:rPr>
        <w:t>的</w:t>
      </w:r>
      <w:r>
        <w:rPr>
          <w:rFonts w:hint="eastAsia" w:ascii="宋体" w:hAnsi="宋体" w:cs="宋体"/>
          <w:color w:val="auto"/>
          <w:szCs w:val="21"/>
          <w:highlight w:val="none"/>
          <w:u w:val="single"/>
        </w:rPr>
        <w:t>（项目名称）</w:t>
      </w:r>
      <w:r>
        <w:rPr>
          <w:rFonts w:hint="eastAsia" w:ascii="宋体" w:hAnsi="宋体" w:cs="宋体"/>
          <w:color w:val="auto"/>
          <w:szCs w:val="21"/>
          <w:highlight w:val="none"/>
        </w:rPr>
        <w:t>采购活动，服务全部由符合政策要求的中小企业承接。相关企业（含联合体中的中小企业、签订分包意向协议的中小企业）的具体情况如下：</w:t>
      </w:r>
    </w:p>
    <w:p w14:paraId="3F87A083">
      <w:pPr>
        <w:keepNext w:val="0"/>
        <w:keepLines w:val="0"/>
        <w:pageBreakBefore w:val="0"/>
        <w:widowControl w:val="0"/>
        <w:tabs>
          <w:tab w:val="left" w:pos="1384"/>
          <w:tab w:val="left" w:pos="4562"/>
          <w:tab w:val="left" w:pos="6803"/>
        </w:tabs>
        <w:kinsoku/>
        <w:wordWrap/>
        <w:overflowPunct/>
        <w:topLinePunct w:val="0"/>
        <w:autoSpaceDE/>
        <w:autoSpaceDN/>
        <w:bidi w:val="0"/>
        <w:adjustRightInd/>
        <w:snapToGrid/>
        <w:spacing w:before="13" w:line="400" w:lineRule="exact"/>
        <w:ind w:right="142" w:firstLine="600" w:firstLineChars="286"/>
        <w:textAlignment w:val="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u w:val="single"/>
        </w:rPr>
        <w:t>（标的名称）</w:t>
      </w:r>
      <w:r>
        <w:rPr>
          <w:rFonts w:hint="eastAsia" w:ascii="宋体" w:hAnsi="宋体" w:cs="宋体"/>
          <w:color w:val="auto"/>
          <w:szCs w:val="21"/>
          <w:highlight w:val="none"/>
        </w:rPr>
        <w:t>，属于</w:t>
      </w:r>
      <w:r>
        <w:rPr>
          <w:rFonts w:hint="eastAsia" w:ascii="宋体" w:hAnsi="宋体" w:cs="宋体"/>
          <w:color w:val="auto"/>
          <w:szCs w:val="21"/>
          <w:highlight w:val="none"/>
          <w:u w:val="single"/>
        </w:rPr>
        <w:t>（采购文件中明确的所属行业）</w:t>
      </w:r>
      <w:r>
        <w:rPr>
          <w:rFonts w:hint="eastAsia" w:ascii="宋体" w:hAnsi="宋体" w:cs="宋体"/>
          <w:color w:val="auto"/>
          <w:szCs w:val="21"/>
          <w:highlight w:val="none"/>
        </w:rPr>
        <w:t>；承接企业为</w:t>
      </w:r>
      <w:r>
        <w:rPr>
          <w:rFonts w:hint="eastAsia" w:ascii="宋体" w:hAnsi="宋体" w:cs="宋体"/>
          <w:color w:val="auto"/>
          <w:szCs w:val="21"/>
          <w:highlight w:val="none"/>
          <w:u w:val="single"/>
        </w:rPr>
        <w:t>（企业名称）</w:t>
      </w:r>
      <w:r>
        <w:rPr>
          <w:rFonts w:hint="eastAsia" w:ascii="宋体" w:hAnsi="宋体" w:cs="宋体"/>
          <w:color w:val="auto"/>
          <w:szCs w:val="21"/>
          <w:highlight w:val="none"/>
        </w:rPr>
        <w:t>，从业人员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人，营业收入为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万元，资产总额为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万元，属于</w:t>
      </w:r>
      <w:r>
        <w:rPr>
          <w:rFonts w:hint="eastAsia" w:ascii="宋体" w:hAnsi="宋体" w:cs="宋体"/>
          <w:color w:val="auto"/>
          <w:szCs w:val="21"/>
          <w:highlight w:val="none"/>
          <w:u w:val="single"/>
        </w:rPr>
        <w:t>（中型企业、小型企业、微型企业）</w:t>
      </w:r>
      <w:r>
        <w:rPr>
          <w:rFonts w:hint="eastAsia" w:ascii="宋体" w:hAnsi="宋体" w:cs="宋体"/>
          <w:color w:val="auto"/>
          <w:szCs w:val="21"/>
          <w:highlight w:val="none"/>
        </w:rPr>
        <w:t>；</w:t>
      </w:r>
    </w:p>
    <w:p w14:paraId="01BDA9B7">
      <w:pPr>
        <w:pStyle w:val="13"/>
        <w:keepNext w:val="0"/>
        <w:keepLines w:val="0"/>
        <w:pageBreakBefore w:val="0"/>
        <w:widowControl w:val="0"/>
        <w:kinsoku/>
        <w:wordWrap/>
        <w:overflowPunct/>
        <w:topLinePunct w:val="0"/>
        <w:autoSpaceDE/>
        <w:autoSpaceDN/>
        <w:bidi w:val="0"/>
        <w:adjustRightInd/>
        <w:snapToGrid/>
        <w:spacing w:before="34" w:line="400" w:lineRule="exact"/>
        <w:ind w:left="765" w:right="142" w:hanging="5"/>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021CB364">
      <w:pPr>
        <w:pStyle w:val="13"/>
        <w:keepNext w:val="0"/>
        <w:keepLines w:val="0"/>
        <w:pageBreakBefore w:val="0"/>
        <w:widowControl w:val="0"/>
        <w:kinsoku/>
        <w:wordWrap/>
        <w:overflowPunct/>
        <w:topLinePunct w:val="0"/>
        <w:autoSpaceDE/>
        <w:autoSpaceDN/>
        <w:bidi w:val="0"/>
        <w:adjustRightInd/>
        <w:snapToGrid/>
        <w:spacing w:before="34" w:line="400" w:lineRule="exact"/>
        <w:ind w:right="142"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以上企业，不属于大企业的分支机构，不存在控股股东为大企业的情形，也不存在与大企业的负责人为同一人的情形。</w:t>
      </w:r>
    </w:p>
    <w:p w14:paraId="62F4CB24">
      <w:pPr>
        <w:pStyle w:val="13"/>
        <w:keepNext w:val="0"/>
        <w:keepLines w:val="0"/>
        <w:pageBreakBefore w:val="0"/>
        <w:widowControl w:val="0"/>
        <w:kinsoku/>
        <w:wordWrap/>
        <w:overflowPunct/>
        <w:topLinePunct w:val="0"/>
        <w:autoSpaceDE/>
        <w:autoSpaceDN/>
        <w:bidi w:val="0"/>
        <w:adjustRightInd/>
        <w:snapToGrid/>
        <w:spacing w:before="34" w:line="400" w:lineRule="exact"/>
        <w:ind w:right="142"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本企业对上述声明内容的真实性负责。如有虚假，将依法承担相应责任。</w:t>
      </w:r>
    </w:p>
    <w:p w14:paraId="3A7AA23B">
      <w:pPr>
        <w:pStyle w:val="13"/>
        <w:keepNext w:val="0"/>
        <w:keepLines w:val="0"/>
        <w:pageBreakBefore w:val="0"/>
        <w:widowControl w:val="0"/>
        <w:kinsoku/>
        <w:wordWrap/>
        <w:overflowPunct/>
        <w:topLinePunct w:val="0"/>
        <w:autoSpaceDE/>
        <w:autoSpaceDN/>
        <w:bidi w:val="0"/>
        <w:adjustRightInd/>
        <w:snapToGrid/>
        <w:spacing w:before="56" w:line="400" w:lineRule="exact"/>
        <w:ind w:left="3960" w:right="1808"/>
        <w:textAlignment w:val="auto"/>
        <w:rPr>
          <w:rFonts w:hint="eastAsia" w:ascii="宋体" w:hAnsi="宋体" w:cs="宋体"/>
          <w:color w:val="auto"/>
          <w:szCs w:val="21"/>
          <w:highlight w:val="none"/>
        </w:rPr>
      </w:pPr>
      <w:r>
        <w:rPr>
          <w:rFonts w:hint="eastAsia" w:ascii="宋体" w:hAnsi="宋体" w:cs="宋体"/>
          <w:color w:val="auto"/>
          <w:kern w:val="24"/>
          <w:szCs w:val="21"/>
          <w:highlight w:val="none"/>
        </w:rPr>
        <w:t>企业名称（电子签章）：</w:t>
      </w:r>
      <w:r>
        <w:rPr>
          <w:rFonts w:hint="eastAsia" w:ascii="宋体" w:hAnsi="宋体" w:cs="宋体"/>
          <w:color w:val="auto"/>
          <w:szCs w:val="21"/>
          <w:highlight w:val="none"/>
        </w:rPr>
        <w:t xml:space="preserve"> </w:t>
      </w:r>
    </w:p>
    <w:p w14:paraId="09EC9B14">
      <w:pPr>
        <w:pStyle w:val="13"/>
        <w:keepNext w:val="0"/>
        <w:keepLines w:val="0"/>
        <w:pageBreakBefore w:val="0"/>
        <w:widowControl w:val="0"/>
        <w:kinsoku/>
        <w:wordWrap/>
        <w:overflowPunct/>
        <w:topLinePunct w:val="0"/>
        <w:autoSpaceDE/>
        <w:autoSpaceDN/>
        <w:bidi w:val="0"/>
        <w:adjustRightInd/>
        <w:snapToGrid/>
        <w:spacing w:before="56" w:line="400" w:lineRule="exact"/>
        <w:ind w:left="3960" w:right="1808"/>
        <w:textAlignment w:val="auto"/>
        <w:rPr>
          <w:rFonts w:hint="eastAsia" w:ascii="宋体" w:hAnsi="宋体" w:cs="宋体"/>
          <w:color w:val="auto"/>
          <w:szCs w:val="21"/>
          <w:highlight w:val="none"/>
        </w:rPr>
      </w:pPr>
      <w:r>
        <w:rPr>
          <w:rFonts w:hint="eastAsia" w:ascii="宋体" w:hAnsi="宋体" w:cs="宋体"/>
          <w:color w:val="auto"/>
          <w:szCs w:val="21"/>
          <w:highlight w:val="none"/>
        </w:rPr>
        <w:t>日 期：</w:t>
      </w:r>
    </w:p>
    <w:p w14:paraId="56DBA02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1"/>
          <w:highlight w:val="none"/>
        </w:rPr>
      </w:pPr>
      <w:r>
        <w:rPr>
          <w:rFonts w:hint="eastAsia" w:ascii="宋体" w:hAnsi="宋体" w:cs="宋体"/>
          <w:color w:val="auto"/>
          <w:spacing w:val="6"/>
          <w:szCs w:val="21"/>
          <w:highlight w:val="none"/>
        </w:rPr>
        <w:t xml:space="preserve"> </w:t>
      </w:r>
    </w:p>
    <w:p w14:paraId="464F975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b/>
          <w:color w:val="auto"/>
          <w:sz w:val="24"/>
          <w:highlight w:val="none"/>
        </w:rPr>
      </w:pPr>
      <w:r>
        <w:rPr>
          <w:rFonts w:hint="eastAsia" w:ascii="宋体" w:hAnsi="宋体" w:cs="宋体"/>
          <w:color w:val="auto"/>
          <w:szCs w:val="21"/>
          <w:highlight w:val="none"/>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r>
        <w:rPr>
          <w:rFonts w:hint="eastAsia" w:ascii="宋体" w:hAnsi="宋体" w:cs="宋体"/>
          <w:color w:val="auto"/>
          <w:highlight w:val="none"/>
        </w:rPr>
        <w:br w:type="page"/>
      </w:r>
      <w:r>
        <w:rPr>
          <w:rFonts w:hint="eastAsia" w:ascii="宋体" w:hAnsi="宋体" w:cs="宋体"/>
          <w:color w:val="auto"/>
          <w:highlight w:val="none"/>
        </w:rPr>
        <w:t>4</w:t>
      </w:r>
      <w:r>
        <w:rPr>
          <w:rFonts w:hint="eastAsia" w:ascii="宋体" w:hAnsi="宋体" w:cs="宋体"/>
          <w:b/>
          <w:color w:val="auto"/>
          <w:sz w:val="24"/>
          <w:highlight w:val="none"/>
        </w:rPr>
        <w:t>.残疾人福利性单位声明函格式</w:t>
      </w:r>
    </w:p>
    <w:p w14:paraId="60114535">
      <w:pPr>
        <w:spacing w:line="588" w:lineRule="exact"/>
        <w:jc w:val="center"/>
        <w:rPr>
          <w:rFonts w:hint="eastAsia" w:ascii="宋体" w:hAnsi="宋体" w:cs="宋体"/>
          <w:b/>
          <w:color w:val="auto"/>
          <w:spacing w:val="6"/>
          <w:sz w:val="32"/>
          <w:szCs w:val="32"/>
          <w:highlight w:val="none"/>
        </w:rPr>
      </w:pPr>
    </w:p>
    <w:p w14:paraId="4B0B162E">
      <w:pPr>
        <w:spacing w:line="588" w:lineRule="exact"/>
        <w:jc w:val="center"/>
        <w:rPr>
          <w:rFonts w:hint="eastAsia" w:ascii="宋体" w:hAnsi="宋体" w:cs="宋体"/>
          <w:b/>
          <w:bCs/>
          <w:color w:val="auto"/>
          <w:spacing w:val="6"/>
          <w:sz w:val="30"/>
          <w:szCs w:val="30"/>
          <w:highlight w:val="none"/>
        </w:rPr>
      </w:pPr>
      <w:r>
        <w:rPr>
          <w:rFonts w:hint="eastAsia" w:ascii="宋体" w:hAnsi="宋体" w:cs="宋体"/>
          <w:b/>
          <w:bCs/>
          <w:color w:val="auto"/>
          <w:spacing w:val="6"/>
          <w:sz w:val="30"/>
          <w:szCs w:val="30"/>
          <w:highlight w:val="none"/>
        </w:rPr>
        <w:t>残疾人福利性单位声明函</w:t>
      </w:r>
    </w:p>
    <w:p w14:paraId="019EB9D1">
      <w:pPr>
        <w:spacing w:line="588" w:lineRule="exact"/>
        <w:rPr>
          <w:rFonts w:hint="eastAsia" w:ascii="宋体" w:hAnsi="宋体" w:cs="宋体"/>
          <w:b/>
          <w:color w:val="auto"/>
          <w:spacing w:val="6"/>
          <w:sz w:val="30"/>
          <w:szCs w:val="30"/>
          <w:highlight w:val="none"/>
        </w:rPr>
      </w:pPr>
    </w:p>
    <w:p w14:paraId="57D3CA52">
      <w:pPr>
        <w:keepNext w:val="0"/>
        <w:keepLines w:val="0"/>
        <w:pageBreakBefore w:val="0"/>
        <w:widowControl w:val="0"/>
        <w:kinsoku/>
        <w:wordWrap/>
        <w:overflowPunct/>
        <w:topLinePunct w:val="0"/>
        <w:autoSpaceDE/>
        <w:autoSpaceDN/>
        <w:bidi w:val="0"/>
        <w:adjustRightInd/>
        <w:snapToGrid/>
        <w:spacing w:line="400" w:lineRule="exact"/>
        <w:ind w:firstLine="444" w:firstLineChars="200"/>
        <w:textAlignment w:val="auto"/>
        <w:rPr>
          <w:rFonts w:hint="eastAsia" w:ascii="宋体" w:hAnsi="宋体" w:cs="宋体"/>
          <w:color w:val="auto"/>
          <w:spacing w:val="6"/>
          <w:szCs w:val="21"/>
          <w:highlight w:val="none"/>
        </w:rPr>
      </w:pPr>
      <w:r>
        <w:rPr>
          <w:rFonts w:hint="eastAsia" w:ascii="宋体" w:hAnsi="宋体" w:cs="宋体"/>
          <w:color w:val="auto"/>
          <w:spacing w:val="6"/>
          <w:szCs w:val="21"/>
          <w:highlight w:val="none"/>
        </w:rPr>
        <w:t>本单位郑重声明，根据《财政部 民政部 中国残疾人联合会关于促进残疾人就业政府采购政策的通知》（财库</w:t>
      </w:r>
      <w:r>
        <w:rPr>
          <w:rFonts w:hint="eastAsia" w:ascii="宋体" w:hAnsi="宋体" w:cs="宋体"/>
          <w:color w:val="auto"/>
          <w:szCs w:val="21"/>
          <w:highlight w:val="none"/>
        </w:rPr>
        <w:t>〔2017〕 141</w:t>
      </w:r>
      <w:r>
        <w:rPr>
          <w:rFonts w:hint="eastAsia" w:ascii="宋体" w:hAnsi="宋体" w:cs="宋体"/>
          <w:color w:val="auto"/>
          <w:spacing w:val="6"/>
          <w:szCs w:val="21"/>
          <w:highlight w:val="none"/>
        </w:rPr>
        <w:t>号）的规定，本单位为符合条件的残疾人福利性单位，且本单位参加______单位的______项目采购活动提供本单位制造的货物（由本单位承担工程/提供服务），或者提供其他残</w:t>
      </w:r>
      <w:r>
        <w:rPr>
          <w:rFonts w:hint="eastAsia" w:ascii="宋体" w:hAnsi="宋体" w:cs="宋体"/>
          <w:color w:val="auto"/>
          <w:spacing w:val="-6"/>
          <w:szCs w:val="21"/>
          <w:highlight w:val="none"/>
        </w:rPr>
        <w:t>疾人福利性单位制造的货物（不包括使用非残疾人福利性单位注册商标的货物）。</w:t>
      </w:r>
    </w:p>
    <w:p w14:paraId="7B07B277">
      <w:pPr>
        <w:keepNext w:val="0"/>
        <w:keepLines w:val="0"/>
        <w:pageBreakBefore w:val="0"/>
        <w:widowControl w:val="0"/>
        <w:kinsoku/>
        <w:wordWrap/>
        <w:overflowPunct/>
        <w:topLinePunct w:val="0"/>
        <w:autoSpaceDE/>
        <w:autoSpaceDN/>
        <w:bidi w:val="0"/>
        <w:adjustRightInd/>
        <w:snapToGrid/>
        <w:spacing w:line="400" w:lineRule="exact"/>
        <w:ind w:firstLine="444" w:firstLineChars="200"/>
        <w:textAlignment w:val="auto"/>
        <w:rPr>
          <w:rFonts w:hint="eastAsia" w:ascii="宋体" w:hAnsi="宋体" w:cs="宋体"/>
          <w:color w:val="auto"/>
          <w:spacing w:val="6"/>
          <w:szCs w:val="21"/>
          <w:highlight w:val="none"/>
        </w:rPr>
      </w:pPr>
      <w:r>
        <w:rPr>
          <w:rFonts w:hint="eastAsia" w:ascii="宋体" w:hAnsi="宋体" w:cs="宋体"/>
          <w:color w:val="auto"/>
          <w:spacing w:val="6"/>
          <w:szCs w:val="21"/>
          <w:highlight w:val="none"/>
        </w:rPr>
        <w:t>本单位对上述声明的真实性负责。如有虚假，将依法承担相应责任。</w:t>
      </w:r>
    </w:p>
    <w:p w14:paraId="3F980F4F">
      <w:pPr>
        <w:keepNext w:val="0"/>
        <w:keepLines w:val="0"/>
        <w:pageBreakBefore w:val="0"/>
        <w:widowControl w:val="0"/>
        <w:kinsoku/>
        <w:wordWrap/>
        <w:overflowPunct/>
        <w:topLinePunct w:val="0"/>
        <w:autoSpaceDE/>
        <w:autoSpaceDN/>
        <w:bidi w:val="0"/>
        <w:adjustRightInd/>
        <w:snapToGrid/>
        <w:spacing w:line="400" w:lineRule="exact"/>
        <w:ind w:firstLine="444" w:firstLineChars="200"/>
        <w:textAlignment w:val="auto"/>
        <w:rPr>
          <w:rFonts w:hint="eastAsia" w:ascii="宋体" w:hAnsi="宋体" w:cs="宋体"/>
          <w:color w:val="auto"/>
          <w:spacing w:val="6"/>
          <w:szCs w:val="21"/>
          <w:highlight w:val="none"/>
        </w:rPr>
      </w:pPr>
    </w:p>
    <w:p w14:paraId="03099BF6">
      <w:pPr>
        <w:keepNext w:val="0"/>
        <w:keepLines w:val="0"/>
        <w:pageBreakBefore w:val="0"/>
        <w:widowControl w:val="0"/>
        <w:kinsoku/>
        <w:wordWrap/>
        <w:overflowPunct/>
        <w:topLinePunct w:val="0"/>
        <w:autoSpaceDE/>
        <w:autoSpaceDN/>
        <w:bidi w:val="0"/>
        <w:adjustRightInd/>
        <w:snapToGrid/>
        <w:spacing w:line="400" w:lineRule="exact"/>
        <w:ind w:firstLine="444" w:firstLineChars="200"/>
        <w:textAlignment w:val="auto"/>
        <w:rPr>
          <w:rFonts w:hint="eastAsia" w:ascii="宋体" w:hAnsi="宋体" w:cs="宋体"/>
          <w:color w:val="auto"/>
          <w:spacing w:val="6"/>
          <w:szCs w:val="21"/>
          <w:highlight w:val="none"/>
        </w:rPr>
      </w:pPr>
    </w:p>
    <w:p w14:paraId="536BFE2A">
      <w:pPr>
        <w:keepNext w:val="0"/>
        <w:keepLines w:val="0"/>
        <w:pageBreakBefore w:val="0"/>
        <w:widowControl w:val="0"/>
        <w:tabs>
          <w:tab w:val="left" w:pos="4860"/>
        </w:tabs>
        <w:kinsoku/>
        <w:wordWrap/>
        <w:overflowPunct/>
        <w:topLinePunct w:val="0"/>
        <w:autoSpaceDE/>
        <w:autoSpaceDN/>
        <w:bidi w:val="0"/>
        <w:adjustRightInd/>
        <w:snapToGrid/>
        <w:spacing w:line="400" w:lineRule="exact"/>
        <w:ind w:right="1560" w:firstLine="444" w:firstLineChars="200"/>
        <w:contextualSpacing/>
        <w:jc w:val="center"/>
        <w:textAlignment w:val="auto"/>
        <w:rPr>
          <w:rFonts w:hint="eastAsia" w:ascii="宋体" w:hAnsi="宋体" w:cs="宋体"/>
          <w:color w:val="auto"/>
          <w:spacing w:val="6"/>
          <w:szCs w:val="21"/>
          <w:highlight w:val="none"/>
        </w:rPr>
      </w:pPr>
      <w:r>
        <w:rPr>
          <w:rFonts w:hint="eastAsia" w:ascii="宋体" w:hAnsi="宋体" w:cs="宋体"/>
          <w:color w:val="auto"/>
          <w:spacing w:val="6"/>
          <w:szCs w:val="21"/>
          <w:highlight w:val="none"/>
        </w:rPr>
        <w:t>单位名称（电子签章）：</w:t>
      </w:r>
    </w:p>
    <w:p w14:paraId="385D7120">
      <w:pPr>
        <w:keepNext w:val="0"/>
        <w:keepLines w:val="0"/>
        <w:pageBreakBefore w:val="0"/>
        <w:widowControl w:val="0"/>
        <w:tabs>
          <w:tab w:val="left" w:pos="4860"/>
        </w:tabs>
        <w:kinsoku/>
        <w:wordWrap/>
        <w:overflowPunct/>
        <w:topLinePunct w:val="0"/>
        <w:autoSpaceDE/>
        <w:autoSpaceDN/>
        <w:bidi w:val="0"/>
        <w:adjustRightInd/>
        <w:snapToGrid/>
        <w:spacing w:line="400" w:lineRule="exact"/>
        <w:ind w:right="1560" w:firstLine="444" w:firstLineChars="200"/>
        <w:contextualSpacing/>
        <w:jc w:val="center"/>
        <w:textAlignment w:val="auto"/>
        <w:rPr>
          <w:rFonts w:hint="eastAsia" w:ascii="宋体" w:hAnsi="宋体" w:cs="宋体"/>
          <w:color w:val="auto"/>
          <w:spacing w:val="6"/>
          <w:szCs w:val="21"/>
          <w:highlight w:val="none"/>
        </w:rPr>
      </w:pPr>
      <w:r>
        <w:rPr>
          <w:rFonts w:hint="eastAsia" w:ascii="宋体" w:hAnsi="宋体" w:cs="宋体"/>
          <w:color w:val="auto"/>
          <w:spacing w:val="6"/>
          <w:szCs w:val="21"/>
          <w:highlight w:val="none"/>
        </w:rPr>
        <w:t>日  期：</w:t>
      </w:r>
    </w:p>
    <w:p w14:paraId="11F87CE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1"/>
          <w:highlight w:val="none"/>
        </w:rPr>
      </w:pPr>
    </w:p>
    <w:p w14:paraId="6A962AA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1"/>
          <w:highlight w:val="none"/>
        </w:rPr>
      </w:pPr>
    </w:p>
    <w:p w14:paraId="1E34280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1"/>
          <w:highlight w:val="none"/>
        </w:rPr>
      </w:pPr>
    </w:p>
    <w:p w14:paraId="027E4BB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5A5214E6">
      <w:pPr>
        <w:ind w:firstLine="3990" w:firstLineChars="1900"/>
        <w:rPr>
          <w:rFonts w:hint="eastAsia" w:ascii="宋体" w:hAnsi="宋体" w:cs="宋体"/>
          <w:color w:val="auto"/>
          <w:szCs w:val="21"/>
          <w:highlight w:val="none"/>
        </w:rPr>
      </w:pPr>
    </w:p>
    <w:p w14:paraId="4E2EC5D0">
      <w:pPr>
        <w:spacing w:line="360" w:lineRule="auto"/>
        <w:rPr>
          <w:rFonts w:hint="eastAsia"/>
          <w:color w:val="auto"/>
          <w:szCs w:val="21"/>
          <w:highlight w:val="none"/>
        </w:rPr>
      </w:pPr>
    </w:p>
    <w:p w14:paraId="3D98601C">
      <w:pPr>
        <w:rPr>
          <w:rFonts w:hint="eastAsia"/>
          <w:color w:val="auto"/>
          <w:szCs w:val="21"/>
          <w:highlight w:val="none"/>
        </w:rPr>
      </w:pPr>
    </w:p>
    <w:p w14:paraId="00E4B4B5">
      <w:pPr>
        <w:spacing w:line="360" w:lineRule="auto"/>
        <w:rPr>
          <w:rFonts w:hint="eastAsia"/>
          <w:color w:val="auto"/>
          <w:highlight w:val="none"/>
        </w:rPr>
      </w:pPr>
    </w:p>
    <w:p w14:paraId="4768B9BE">
      <w:pPr>
        <w:spacing w:line="360" w:lineRule="auto"/>
        <w:rPr>
          <w:rFonts w:hint="eastAsia"/>
          <w:color w:val="auto"/>
          <w:highlight w:val="none"/>
        </w:rPr>
      </w:pPr>
    </w:p>
    <w:p w14:paraId="281CEF25">
      <w:pPr>
        <w:rPr>
          <w:rFonts w:hint="eastAsia" w:ascii="宋体" w:hAnsi="宋体" w:cs="宋体"/>
          <w:color w:val="auto"/>
          <w:sz w:val="24"/>
          <w:highlight w:val="none"/>
        </w:rPr>
      </w:pPr>
    </w:p>
    <w:p w14:paraId="1165BF1C">
      <w:pPr>
        <w:pStyle w:val="3"/>
        <w:rPr>
          <w:rFonts w:hint="eastAsia"/>
          <w:color w:val="auto"/>
          <w:highlight w:val="none"/>
        </w:rPr>
      </w:pPr>
      <w:r>
        <w:rPr>
          <w:rFonts w:hint="eastAsia"/>
          <w:color w:val="auto"/>
          <w:highlight w:val="none"/>
        </w:rPr>
        <w:br w:type="page"/>
      </w:r>
      <w:bookmarkStart w:id="195" w:name="_Toc23452"/>
      <w:bookmarkStart w:id="196" w:name="_Toc560"/>
      <w:r>
        <w:rPr>
          <w:rFonts w:hint="eastAsia"/>
          <w:color w:val="auto"/>
          <w:highlight w:val="none"/>
        </w:rPr>
        <w:t>二、资格证明文件格式</w:t>
      </w:r>
      <w:bookmarkEnd w:id="192"/>
      <w:bookmarkEnd w:id="193"/>
      <w:bookmarkEnd w:id="194"/>
      <w:bookmarkEnd w:id="195"/>
      <w:bookmarkEnd w:id="196"/>
    </w:p>
    <w:p w14:paraId="64B61697">
      <w:pPr>
        <w:snapToGrid w:val="0"/>
        <w:spacing w:before="120" w:beforeLines="50" w:after="50"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t xml:space="preserve">1.资格证明文件封面格式： </w:t>
      </w:r>
    </w:p>
    <w:p w14:paraId="6C76BF23">
      <w:pPr>
        <w:snapToGrid w:val="0"/>
        <w:spacing w:before="120" w:beforeLines="50" w:after="50"/>
        <w:jc w:val="center"/>
        <w:rPr>
          <w:rFonts w:hint="eastAsia" w:ascii="宋体" w:hAnsi="宋体" w:cs="宋体"/>
          <w:bCs/>
          <w:color w:val="auto"/>
          <w:sz w:val="48"/>
          <w:szCs w:val="48"/>
          <w:highlight w:val="none"/>
        </w:rPr>
      </w:pPr>
    </w:p>
    <w:p w14:paraId="249C6EA8">
      <w:pPr>
        <w:snapToGrid w:val="0"/>
        <w:spacing w:before="120" w:beforeLines="50" w:after="50"/>
        <w:jc w:val="center"/>
        <w:rPr>
          <w:rFonts w:hint="eastAsia" w:ascii="宋体" w:hAnsi="宋体" w:cs="宋体"/>
          <w:bCs/>
          <w:color w:val="auto"/>
          <w:sz w:val="48"/>
          <w:szCs w:val="48"/>
          <w:highlight w:val="none"/>
        </w:rPr>
      </w:pPr>
    </w:p>
    <w:p w14:paraId="2CB833E1">
      <w:pPr>
        <w:snapToGrid w:val="0"/>
        <w:spacing w:before="120" w:beforeLines="50" w:after="50"/>
        <w:jc w:val="center"/>
        <w:rPr>
          <w:rFonts w:hint="eastAsia" w:ascii="宋体" w:hAnsi="宋体" w:cs="宋体"/>
          <w:bCs/>
          <w:color w:val="auto"/>
          <w:sz w:val="48"/>
          <w:szCs w:val="48"/>
          <w:highlight w:val="none"/>
        </w:rPr>
      </w:pPr>
      <w:r>
        <w:rPr>
          <w:rFonts w:hint="eastAsia" w:ascii="宋体" w:hAnsi="宋体" w:cs="宋体"/>
          <w:bCs/>
          <w:color w:val="auto"/>
          <w:sz w:val="48"/>
          <w:szCs w:val="48"/>
          <w:highlight w:val="none"/>
        </w:rPr>
        <w:t>电子投标文件</w:t>
      </w:r>
    </w:p>
    <w:p w14:paraId="6BB22754">
      <w:pPr>
        <w:snapToGrid w:val="0"/>
        <w:spacing w:before="120" w:beforeLines="50" w:after="50"/>
        <w:rPr>
          <w:rFonts w:hint="eastAsia" w:ascii="宋体" w:hAnsi="宋体" w:cs="宋体"/>
          <w:color w:val="auto"/>
          <w:sz w:val="24"/>
          <w:szCs w:val="20"/>
          <w:highlight w:val="none"/>
        </w:rPr>
      </w:pPr>
      <w:r>
        <w:rPr>
          <w:rFonts w:hint="eastAsia" w:ascii="宋体" w:hAnsi="宋体" w:cs="宋体"/>
          <w:color w:val="auto"/>
          <w:sz w:val="24"/>
          <w:highlight w:val="none"/>
        </w:rPr>
        <w:t xml:space="preserve">                 </w:t>
      </w:r>
    </w:p>
    <w:p w14:paraId="5376D341">
      <w:pPr>
        <w:snapToGrid w:val="0"/>
        <w:spacing w:before="120" w:beforeLines="50" w:after="50"/>
        <w:jc w:val="center"/>
        <w:rPr>
          <w:rFonts w:hint="eastAsia" w:ascii="宋体" w:hAnsi="宋体" w:cs="宋体"/>
          <w:b/>
          <w:color w:val="auto"/>
          <w:sz w:val="24"/>
          <w:szCs w:val="20"/>
          <w:highlight w:val="none"/>
        </w:rPr>
      </w:pPr>
      <w:r>
        <w:rPr>
          <w:rFonts w:hint="eastAsia" w:ascii="宋体" w:hAnsi="宋体" w:cs="宋体"/>
          <w:b/>
          <w:color w:val="auto"/>
          <w:sz w:val="32"/>
          <w:szCs w:val="32"/>
          <w:highlight w:val="none"/>
        </w:rPr>
        <w:t>资格证明文件</w:t>
      </w:r>
    </w:p>
    <w:p w14:paraId="711FE49B">
      <w:pPr>
        <w:snapToGrid w:val="0"/>
        <w:spacing w:before="120" w:beforeLines="50" w:after="50"/>
        <w:rPr>
          <w:rFonts w:hint="eastAsia" w:ascii="宋体" w:hAnsi="宋体" w:cs="宋体"/>
          <w:bCs/>
          <w:color w:val="auto"/>
          <w:sz w:val="24"/>
          <w:szCs w:val="20"/>
          <w:highlight w:val="none"/>
        </w:rPr>
      </w:pPr>
    </w:p>
    <w:p w14:paraId="65891198">
      <w:pPr>
        <w:snapToGrid w:val="0"/>
        <w:spacing w:before="120" w:beforeLines="50" w:after="50"/>
        <w:rPr>
          <w:rFonts w:hint="eastAsia" w:ascii="宋体" w:hAnsi="宋体" w:cs="宋体"/>
          <w:bCs/>
          <w:color w:val="auto"/>
          <w:sz w:val="24"/>
          <w:szCs w:val="20"/>
          <w:highlight w:val="none"/>
        </w:rPr>
      </w:pPr>
    </w:p>
    <w:p w14:paraId="331043EC">
      <w:pPr>
        <w:snapToGrid w:val="0"/>
        <w:spacing w:before="120" w:beforeLines="50" w:after="50"/>
        <w:rPr>
          <w:rFonts w:hint="eastAsia" w:ascii="宋体" w:hAnsi="宋体" w:cs="宋体"/>
          <w:bCs/>
          <w:color w:val="auto"/>
          <w:sz w:val="24"/>
          <w:szCs w:val="20"/>
          <w:highlight w:val="none"/>
        </w:rPr>
      </w:pPr>
    </w:p>
    <w:p w14:paraId="1C9A6474">
      <w:pPr>
        <w:snapToGrid w:val="0"/>
        <w:spacing w:before="120" w:beforeLines="50" w:after="50"/>
        <w:rPr>
          <w:rFonts w:hint="eastAsia" w:ascii="宋体" w:hAnsi="宋体" w:cs="宋体"/>
          <w:bCs/>
          <w:color w:val="auto"/>
          <w:sz w:val="24"/>
          <w:szCs w:val="20"/>
          <w:highlight w:val="none"/>
        </w:rPr>
      </w:pPr>
    </w:p>
    <w:p w14:paraId="2034999B">
      <w:pPr>
        <w:snapToGrid w:val="0"/>
        <w:spacing w:before="120" w:beforeLines="50" w:after="50"/>
        <w:rPr>
          <w:rFonts w:hint="eastAsia" w:ascii="宋体" w:hAnsi="宋体" w:cs="宋体"/>
          <w:bCs/>
          <w:color w:val="auto"/>
          <w:sz w:val="24"/>
          <w:szCs w:val="20"/>
          <w:highlight w:val="none"/>
        </w:rPr>
      </w:pPr>
    </w:p>
    <w:p w14:paraId="6E28ADB4">
      <w:pPr>
        <w:snapToGrid w:val="0"/>
        <w:spacing w:before="120" w:beforeLines="50" w:after="50"/>
        <w:rPr>
          <w:rFonts w:hint="eastAsia" w:ascii="宋体" w:hAnsi="宋体" w:cs="宋体"/>
          <w:bCs/>
          <w:color w:val="auto"/>
          <w:sz w:val="24"/>
          <w:szCs w:val="20"/>
          <w:highlight w:val="none"/>
        </w:rPr>
      </w:pPr>
    </w:p>
    <w:p w14:paraId="6B49D852">
      <w:pPr>
        <w:snapToGrid w:val="0"/>
        <w:spacing w:before="120" w:beforeLines="50" w:after="50"/>
        <w:rPr>
          <w:rFonts w:hint="eastAsia" w:ascii="宋体" w:hAnsi="宋体" w:cs="宋体"/>
          <w:bCs/>
          <w:color w:val="auto"/>
          <w:sz w:val="24"/>
          <w:szCs w:val="20"/>
          <w:highlight w:val="none"/>
        </w:rPr>
      </w:pPr>
    </w:p>
    <w:p w14:paraId="762129F9">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项目名称：</w:t>
      </w:r>
    </w:p>
    <w:p w14:paraId="6A929033">
      <w:pPr>
        <w:snapToGrid w:val="0"/>
        <w:spacing w:before="120" w:beforeLines="50" w:after="50"/>
        <w:ind w:firstLine="540" w:firstLineChars="225"/>
        <w:rPr>
          <w:rFonts w:hint="eastAsia" w:ascii="宋体" w:hAnsi="宋体" w:cs="宋体"/>
          <w:bCs/>
          <w:color w:val="auto"/>
          <w:sz w:val="24"/>
          <w:szCs w:val="20"/>
          <w:highlight w:val="none"/>
        </w:rPr>
      </w:pPr>
    </w:p>
    <w:p w14:paraId="176B7EAF">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项目编号：</w:t>
      </w:r>
    </w:p>
    <w:p w14:paraId="1384C439">
      <w:pPr>
        <w:snapToGrid w:val="0"/>
        <w:spacing w:before="120" w:beforeLines="50" w:after="50"/>
        <w:ind w:firstLine="540" w:firstLineChars="225"/>
        <w:rPr>
          <w:rFonts w:hint="eastAsia" w:ascii="宋体" w:hAnsi="宋体" w:cs="宋体"/>
          <w:bCs/>
          <w:color w:val="auto"/>
          <w:sz w:val="24"/>
          <w:szCs w:val="20"/>
          <w:highlight w:val="none"/>
        </w:rPr>
      </w:pPr>
    </w:p>
    <w:p w14:paraId="0D3CD219">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所投分标：</w:t>
      </w:r>
    </w:p>
    <w:p w14:paraId="44EDE92B">
      <w:pPr>
        <w:pStyle w:val="9"/>
        <w:snapToGrid w:val="0"/>
        <w:spacing w:before="50" w:after="50"/>
        <w:ind w:firstLine="540" w:firstLineChars="225"/>
        <w:rPr>
          <w:rFonts w:hint="eastAsia" w:ascii="宋体" w:hAnsi="宋体" w:cs="宋体"/>
          <w:bCs/>
          <w:color w:val="auto"/>
          <w:sz w:val="24"/>
          <w:szCs w:val="24"/>
          <w:highlight w:val="none"/>
        </w:rPr>
      </w:pPr>
    </w:p>
    <w:p w14:paraId="4777482B">
      <w:pPr>
        <w:pStyle w:val="9"/>
        <w:snapToGrid w:val="0"/>
        <w:spacing w:before="50" w:after="50"/>
        <w:ind w:firstLine="540" w:firstLineChars="225"/>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投标人名称：</w:t>
      </w:r>
    </w:p>
    <w:p w14:paraId="580DE809">
      <w:pPr>
        <w:pStyle w:val="9"/>
        <w:snapToGrid w:val="0"/>
        <w:spacing w:before="50" w:after="50"/>
        <w:ind w:firstLine="540" w:firstLineChars="225"/>
        <w:rPr>
          <w:rFonts w:hint="eastAsia" w:ascii="宋体" w:hAnsi="宋体" w:cs="宋体"/>
          <w:bCs/>
          <w:color w:val="auto"/>
          <w:sz w:val="24"/>
          <w:szCs w:val="24"/>
          <w:highlight w:val="none"/>
        </w:rPr>
      </w:pPr>
    </w:p>
    <w:p w14:paraId="0B17E512">
      <w:pPr>
        <w:pStyle w:val="9"/>
        <w:snapToGrid w:val="0"/>
        <w:spacing w:before="50" w:after="50"/>
        <w:ind w:firstLine="960" w:firstLineChars="400"/>
        <w:rPr>
          <w:rFonts w:hint="eastAsia" w:ascii="宋体" w:hAnsi="宋体" w:cs="宋体"/>
          <w:bCs/>
          <w:color w:val="auto"/>
          <w:sz w:val="24"/>
          <w:szCs w:val="24"/>
          <w:highlight w:val="none"/>
        </w:rPr>
      </w:pPr>
    </w:p>
    <w:p w14:paraId="6FACC8B2">
      <w:pPr>
        <w:snapToGrid w:val="0"/>
        <w:spacing w:before="120" w:beforeLines="50" w:after="50"/>
        <w:ind w:firstLine="645"/>
        <w:jc w:val="center"/>
        <w:rPr>
          <w:rFonts w:hint="eastAsia" w:ascii="宋体" w:hAnsi="宋体" w:cs="宋体"/>
          <w:color w:val="auto"/>
          <w:sz w:val="24"/>
          <w:highlight w:val="none"/>
        </w:rPr>
      </w:pPr>
      <w:r>
        <w:rPr>
          <w:rFonts w:hint="eastAsia" w:ascii="宋体" w:hAnsi="宋体" w:cs="宋体"/>
          <w:color w:val="auto"/>
          <w:sz w:val="24"/>
          <w:highlight w:val="none"/>
        </w:rPr>
        <w:t>年  月  日</w:t>
      </w:r>
    </w:p>
    <w:p w14:paraId="0364144D">
      <w:pPr>
        <w:snapToGrid w:val="0"/>
        <w:spacing w:before="120" w:beforeLines="50" w:after="50"/>
        <w:rPr>
          <w:rFonts w:hint="eastAsia" w:ascii="宋体" w:hAnsi="宋体" w:cs="宋体"/>
          <w:color w:val="auto"/>
          <w:sz w:val="24"/>
          <w:szCs w:val="20"/>
          <w:highlight w:val="none"/>
        </w:rPr>
      </w:pPr>
      <w:r>
        <w:rPr>
          <w:rFonts w:hint="eastAsia" w:ascii="宋体" w:hAnsi="宋体" w:cs="宋体"/>
          <w:color w:val="auto"/>
          <w:sz w:val="24"/>
          <w:szCs w:val="20"/>
          <w:highlight w:val="none"/>
        </w:rPr>
        <w:t xml:space="preserve"> </w:t>
      </w:r>
    </w:p>
    <w:p w14:paraId="4547304A">
      <w:pPr>
        <w:snapToGrid w:val="0"/>
        <w:spacing w:before="120" w:beforeLines="50" w:after="50"/>
        <w:rPr>
          <w:rFonts w:hint="eastAsia" w:ascii="宋体" w:hAnsi="宋体" w:cs="宋体"/>
          <w:color w:val="auto"/>
          <w:sz w:val="24"/>
          <w:szCs w:val="20"/>
          <w:highlight w:val="none"/>
        </w:rPr>
      </w:pPr>
    </w:p>
    <w:p w14:paraId="45CE8D77">
      <w:pPr>
        <w:snapToGrid w:val="0"/>
        <w:spacing w:before="120" w:beforeLines="50" w:after="50" w:line="360" w:lineRule="auto"/>
        <w:ind w:firstLine="120" w:firstLineChars="50"/>
        <w:jc w:val="left"/>
        <w:rPr>
          <w:rFonts w:hint="eastAsia" w:ascii="宋体" w:hAnsi="宋体" w:cs="宋体"/>
          <w:color w:val="auto"/>
          <w:sz w:val="24"/>
          <w:szCs w:val="20"/>
          <w:highlight w:val="none"/>
        </w:rPr>
      </w:pPr>
      <w:r>
        <w:rPr>
          <w:rFonts w:hint="eastAsia" w:ascii="宋体" w:hAnsi="宋体" w:cs="宋体"/>
          <w:b/>
          <w:bCs/>
          <w:color w:val="auto"/>
          <w:sz w:val="24"/>
          <w:highlight w:val="none"/>
        </w:rPr>
        <w:br w:type="page"/>
      </w:r>
      <w:r>
        <w:rPr>
          <w:rFonts w:hint="eastAsia" w:ascii="宋体" w:hAnsi="宋体" w:cs="宋体"/>
          <w:b/>
          <w:bCs/>
          <w:color w:val="auto"/>
          <w:sz w:val="24"/>
          <w:highlight w:val="none"/>
        </w:rPr>
        <w:t>2.资格证明文件目录</w:t>
      </w:r>
    </w:p>
    <w:p w14:paraId="3B106173">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根据招标文件规定及投标人提供的材料自行编写目录。</w:t>
      </w:r>
    </w:p>
    <w:p w14:paraId="3054FA1D">
      <w:pPr>
        <w:snapToGrid w:val="0"/>
        <w:spacing w:before="50" w:after="120" w:afterLines="50"/>
        <w:jc w:val="left"/>
        <w:rPr>
          <w:rFonts w:hint="eastAsia" w:ascii="宋体" w:hAnsi="宋体" w:cs="宋体"/>
          <w:color w:val="auto"/>
          <w:sz w:val="24"/>
          <w:highlight w:val="none"/>
        </w:rPr>
      </w:pPr>
    </w:p>
    <w:p w14:paraId="07FCBE9B">
      <w:pPr>
        <w:snapToGrid w:val="0"/>
        <w:spacing w:before="50" w:after="120" w:afterLines="50"/>
        <w:jc w:val="left"/>
        <w:rPr>
          <w:rFonts w:hint="eastAsia" w:ascii="宋体" w:hAnsi="宋体" w:cs="宋体"/>
          <w:color w:val="auto"/>
          <w:sz w:val="24"/>
          <w:highlight w:val="none"/>
        </w:rPr>
      </w:pPr>
    </w:p>
    <w:p w14:paraId="7FDD8D2A">
      <w:pPr>
        <w:snapToGrid w:val="0"/>
        <w:spacing w:before="120" w:beforeLines="50" w:after="50"/>
        <w:jc w:val="left"/>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3.</w:t>
      </w:r>
      <w:r>
        <w:rPr>
          <w:rFonts w:hint="eastAsia" w:ascii="宋体" w:hAnsi="宋体" w:cs="宋体"/>
          <w:b/>
          <w:color w:val="auto"/>
          <w:sz w:val="28"/>
          <w:szCs w:val="28"/>
          <w:highlight w:val="none"/>
        </w:rPr>
        <w:t>投标人直接控股、管理关系信息表</w:t>
      </w:r>
    </w:p>
    <w:p w14:paraId="29899F23">
      <w:pPr>
        <w:snapToGrid w:val="0"/>
        <w:spacing w:before="50" w:after="120" w:afterLines="50"/>
        <w:jc w:val="center"/>
        <w:rPr>
          <w:rFonts w:hint="eastAsia" w:ascii="宋体" w:hAnsi="宋体" w:cs="宋体"/>
          <w:b/>
          <w:color w:val="auto"/>
          <w:sz w:val="28"/>
          <w:szCs w:val="28"/>
          <w:highlight w:val="none"/>
        </w:rPr>
      </w:pPr>
    </w:p>
    <w:p w14:paraId="3766D9DC">
      <w:pPr>
        <w:snapToGrid w:val="0"/>
        <w:spacing w:before="120" w:beforeLines="50" w:after="50"/>
        <w:ind w:left="420"/>
        <w:jc w:val="center"/>
        <w:rPr>
          <w:rFonts w:hint="eastAsia" w:ascii="宋体" w:hAnsi="宋体" w:cs="宋体"/>
          <w:bCs/>
          <w:color w:val="auto"/>
          <w:spacing w:val="-17"/>
          <w:sz w:val="44"/>
          <w:szCs w:val="44"/>
          <w:highlight w:val="none"/>
        </w:rPr>
      </w:pPr>
      <w:r>
        <w:rPr>
          <w:rFonts w:hint="eastAsia" w:ascii="宋体" w:hAnsi="宋体" w:cs="宋体"/>
          <w:bCs/>
          <w:color w:val="auto"/>
          <w:spacing w:val="-17"/>
          <w:sz w:val="44"/>
          <w:szCs w:val="44"/>
          <w:highlight w:val="none"/>
        </w:rPr>
        <w:t>供应商直接控股、管理关系信息表</w:t>
      </w:r>
    </w:p>
    <w:tbl>
      <w:tblPr>
        <w:tblStyle w:val="40"/>
        <w:tblW w:w="506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
        <w:gridCol w:w="1049"/>
        <w:gridCol w:w="803"/>
        <w:gridCol w:w="1484"/>
        <w:gridCol w:w="4510"/>
      </w:tblGrid>
      <w:tr w14:paraId="519DB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trPr>
        <w:tc>
          <w:tcPr>
            <w:tcW w:w="2386" w:type="pct"/>
            <w:gridSpan w:val="4"/>
            <w:shd w:val="clear" w:color="auto" w:fill="F2DBDB"/>
            <w:noWrap w:val="0"/>
            <w:vAlign w:val="center"/>
          </w:tcPr>
          <w:p w14:paraId="2FC83A82">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投标人直接控股股东信息表</w:t>
            </w:r>
          </w:p>
        </w:tc>
        <w:tc>
          <w:tcPr>
            <w:tcW w:w="2613" w:type="pct"/>
            <w:shd w:val="clear" w:color="auto" w:fill="F2DBDB"/>
            <w:noWrap w:val="0"/>
            <w:vAlign w:val="center"/>
          </w:tcPr>
          <w:p w14:paraId="1B949A91">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hint="eastAsia" w:ascii="宋体" w:hAnsi="宋体" w:cs="宋体"/>
                <w:b/>
                <w:color w:val="auto"/>
                <w:szCs w:val="21"/>
                <w:highlight w:val="none"/>
              </w:rPr>
            </w:pPr>
            <w:r>
              <w:rPr>
                <w:rFonts w:hint="eastAsia" w:ascii="宋体" w:hAnsi="宋体" w:cs="宋体"/>
                <w:b/>
                <w:color w:val="auto"/>
                <w:szCs w:val="21"/>
                <w:highlight w:val="none"/>
              </w:rPr>
              <w:t>说明</w:t>
            </w:r>
          </w:p>
        </w:tc>
      </w:tr>
      <w:tr w14:paraId="764F3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noWrap w:val="0"/>
            <w:vAlign w:val="center"/>
          </w:tcPr>
          <w:p w14:paraId="5FFD33ED">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608" w:type="pct"/>
            <w:noWrap w:val="0"/>
            <w:vAlign w:val="center"/>
          </w:tcPr>
          <w:p w14:paraId="69305F0F">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直接控股股东名称</w:t>
            </w:r>
          </w:p>
        </w:tc>
        <w:tc>
          <w:tcPr>
            <w:tcW w:w="464" w:type="pct"/>
            <w:noWrap w:val="0"/>
            <w:vAlign w:val="center"/>
          </w:tcPr>
          <w:p w14:paraId="07F6DDDF">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出资比例</w:t>
            </w:r>
          </w:p>
        </w:tc>
        <w:tc>
          <w:tcPr>
            <w:tcW w:w="858" w:type="pct"/>
            <w:noWrap w:val="0"/>
            <w:vAlign w:val="center"/>
          </w:tcPr>
          <w:p w14:paraId="0EE1943A">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身份证号码或者统一社会信用代码</w:t>
            </w:r>
          </w:p>
        </w:tc>
        <w:tc>
          <w:tcPr>
            <w:tcW w:w="2613" w:type="pct"/>
            <w:vMerge w:val="restart"/>
            <w:noWrap w:val="0"/>
            <w:vAlign w:val="center"/>
          </w:tcPr>
          <w:p w14:paraId="0DB5DC0E">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5E2D718">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2.本表所指的控股关系仅限于直接控股关系，不包括间接的控股关系。公司实际控制人与公司之间的关系不属于本表所指的直接控股关系。</w:t>
            </w:r>
          </w:p>
          <w:p w14:paraId="45455176">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cs="宋体"/>
                <w:b/>
                <w:bCs/>
                <w:color w:val="auto"/>
                <w:kern w:val="0"/>
                <w:szCs w:val="21"/>
                <w:highlight w:val="none"/>
              </w:rPr>
            </w:pPr>
            <w:r>
              <w:rPr>
                <w:rFonts w:hint="eastAsia" w:ascii="宋体" w:hAnsi="宋体" w:cs="宋体"/>
                <w:color w:val="auto"/>
                <w:szCs w:val="21"/>
                <w:highlight w:val="none"/>
              </w:rPr>
              <w:t>3.供应商不存在直接控股股东的，则填“无”。</w:t>
            </w:r>
          </w:p>
        </w:tc>
      </w:tr>
      <w:tr w14:paraId="5F914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noWrap w:val="0"/>
            <w:vAlign w:val="top"/>
          </w:tcPr>
          <w:p w14:paraId="27812626">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1</w:t>
            </w:r>
          </w:p>
        </w:tc>
        <w:tc>
          <w:tcPr>
            <w:tcW w:w="608" w:type="pct"/>
            <w:noWrap w:val="0"/>
            <w:vAlign w:val="top"/>
          </w:tcPr>
          <w:p w14:paraId="1DA7635C">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Cs w:val="21"/>
                <w:highlight w:val="none"/>
              </w:rPr>
            </w:pPr>
          </w:p>
        </w:tc>
        <w:tc>
          <w:tcPr>
            <w:tcW w:w="464" w:type="pct"/>
            <w:noWrap w:val="0"/>
            <w:vAlign w:val="top"/>
          </w:tcPr>
          <w:p w14:paraId="3236112F">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Cs w:val="21"/>
                <w:highlight w:val="none"/>
              </w:rPr>
            </w:pPr>
          </w:p>
        </w:tc>
        <w:tc>
          <w:tcPr>
            <w:tcW w:w="858" w:type="pct"/>
            <w:noWrap w:val="0"/>
            <w:vAlign w:val="top"/>
          </w:tcPr>
          <w:p w14:paraId="1F07F73D">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Cs w:val="21"/>
                <w:highlight w:val="none"/>
              </w:rPr>
            </w:pPr>
          </w:p>
        </w:tc>
        <w:tc>
          <w:tcPr>
            <w:tcW w:w="2613" w:type="pct"/>
            <w:vMerge w:val="continue"/>
            <w:noWrap w:val="0"/>
            <w:vAlign w:val="top"/>
          </w:tcPr>
          <w:p w14:paraId="765ED47D">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cs="宋体"/>
                <w:color w:val="auto"/>
                <w:szCs w:val="21"/>
                <w:highlight w:val="none"/>
              </w:rPr>
            </w:pPr>
          </w:p>
        </w:tc>
      </w:tr>
      <w:tr w14:paraId="7D9FE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noWrap w:val="0"/>
            <w:vAlign w:val="top"/>
          </w:tcPr>
          <w:p w14:paraId="57E2E48C">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w:t>
            </w:r>
          </w:p>
        </w:tc>
        <w:tc>
          <w:tcPr>
            <w:tcW w:w="608" w:type="pct"/>
            <w:noWrap w:val="0"/>
            <w:vAlign w:val="top"/>
          </w:tcPr>
          <w:p w14:paraId="6B566034">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Cs w:val="21"/>
                <w:highlight w:val="none"/>
              </w:rPr>
            </w:pPr>
          </w:p>
        </w:tc>
        <w:tc>
          <w:tcPr>
            <w:tcW w:w="464" w:type="pct"/>
            <w:noWrap w:val="0"/>
            <w:vAlign w:val="top"/>
          </w:tcPr>
          <w:p w14:paraId="6FE9F778">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Cs w:val="21"/>
                <w:highlight w:val="none"/>
              </w:rPr>
            </w:pPr>
          </w:p>
        </w:tc>
        <w:tc>
          <w:tcPr>
            <w:tcW w:w="858" w:type="pct"/>
            <w:noWrap w:val="0"/>
            <w:vAlign w:val="top"/>
          </w:tcPr>
          <w:p w14:paraId="42E8E6CE">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Cs w:val="21"/>
                <w:highlight w:val="none"/>
              </w:rPr>
            </w:pPr>
          </w:p>
        </w:tc>
        <w:tc>
          <w:tcPr>
            <w:tcW w:w="2613" w:type="pct"/>
            <w:vMerge w:val="continue"/>
            <w:noWrap w:val="0"/>
            <w:vAlign w:val="top"/>
          </w:tcPr>
          <w:p w14:paraId="40040D67">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Cs w:val="21"/>
                <w:highlight w:val="none"/>
              </w:rPr>
            </w:pPr>
          </w:p>
        </w:tc>
      </w:tr>
      <w:tr w14:paraId="6C7BD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tcBorders>
              <w:bottom w:val="single" w:color="auto" w:sz="4" w:space="0"/>
            </w:tcBorders>
            <w:noWrap w:val="0"/>
            <w:vAlign w:val="top"/>
          </w:tcPr>
          <w:p w14:paraId="3FDA6427">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Cs w:val="21"/>
                <w:highlight w:val="none"/>
              </w:rPr>
            </w:pPr>
            <w:r>
              <w:rPr>
                <w:rFonts w:hint="eastAsia" w:ascii="宋体" w:hAnsi="宋体" w:cs="宋体"/>
                <w:color w:val="auto"/>
                <w:kern w:val="0"/>
                <w:szCs w:val="21"/>
                <w:highlight w:val="none"/>
              </w:rPr>
              <w:t>……</w:t>
            </w:r>
          </w:p>
        </w:tc>
        <w:tc>
          <w:tcPr>
            <w:tcW w:w="608" w:type="pct"/>
            <w:tcBorders>
              <w:bottom w:val="single" w:color="auto" w:sz="4" w:space="0"/>
            </w:tcBorders>
            <w:noWrap w:val="0"/>
            <w:vAlign w:val="top"/>
          </w:tcPr>
          <w:p w14:paraId="2B8F145A">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Cs w:val="21"/>
                <w:highlight w:val="none"/>
              </w:rPr>
            </w:pPr>
          </w:p>
        </w:tc>
        <w:tc>
          <w:tcPr>
            <w:tcW w:w="464" w:type="pct"/>
            <w:tcBorders>
              <w:bottom w:val="single" w:color="auto" w:sz="4" w:space="0"/>
            </w:tcBorders>
            <w:noWrap w:val="0"/>
            <w:vAlign w:val="top"/>
          </w:tcPr>
          <w:p w14:paraId="6ADFEBF5">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Cs w:val="21"/>
                <w:highlight w:val="none"/>
              </w:rPr>
            </w:pPr>
          </w:p>
        </w:tc>
        <w:tc>
          <w:tcPr>
            <w:tcW w:w="858" w:type="pct"/>
            <w:tcBorders>
              <w:bottom w:val="single" w:color="auto" w:sz="4" w:space="0"/>
            </w:tcBorders>
            <w:noWrap w:val="0"/>
            <w:vAlign w:val="top"/>
          </w:tcPr>
          <w:p w14:paraId="7C8AC108">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Cs w:val="21"/>
                <w:highlight w:val="none"/>
              </w:rPr>
            </w:pPr>
          </w:p>
        </w:tc>
        <w:tc>
          <w:tcPr>
            <w:tcW w:w="2613" w:type="pct"/>
            <w:vMerge w:val="continue"/>
            <w:tcBorders>
              <w:bottom w:val="single" w:color="auto" w:sz="4" w:space="0"/>
            </w:tcBorders>
            <w:noWrap w:val="0"/>
            <w:vAlign w:val="top"/>
          </w:tcPr>
          <w:p w14:paraId="59F11082">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Cs w:val="21"/>
                <w:highlight w:val="none"/>
              </w:rPr>
            </w:pPr>
          </w:p>
        </w:tc>
      </w:tr>
      <w:tr w14:paraId="2999C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2386" w:type="pct"/>
            <w:gridSpan w:val="4"/>
            <w:shd w:val="clear" w:color="auto" w:fill="F2DBDB"/>
            <w:noWrap w:val="0"/>
            <w:vAlign w:val="center"/>
          </w:tcPr>
          <w:p w14:paraId="2C5AB6AF">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投标人直接管理关系信息表</w:t>
            </w:r>
          </w:p>
        </w:tc>
        <w:tc>
          <w:tcPr>
            <w:tcW w:w="2613" w:type="pct"/>
            <w:shd w:val="clear" w:color="auto" w:fill="F2DBDB"/>
            <w:noWrap w:val="0"/>
            <w:vAlign w:val="center"/>
          </w:tcPr>
          <w:p w14:paraId="0103FC6F">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hint="eastAsia" w:ascii="宋体" w:hAnsi="宋体" w:cs="宋体"/>
                <w:b/>
                <w:color w:val="auto"/>
                <w:szCs w:val="21"/>
                <w:highlight w:val="none"/>
              </w:rPr>
            </w:pPr>
            <w:r>
              <w:rPr>
                <w:rFonts w:hint="eastAsia" w:ascii="宋体" w:hAnsi="宋体" w:cs="宋体"/>
                <w:b/>
                <w:color w:val="auto"/>
                <w:szCs w:val="21"/>
                <w:highlight w:val="none"/>
              </w:rPr>
              <w:t>说明</w:t>
            </w:r>
          </w:p>
        </w:tc>
      </w:tr>
      <w:tr w14:paraId="2A14B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noWrap w:val="0"/>
            <w:vAlign w:val="center"/>
          </w:tcPr>
          <w:p w14:paraId="76D8387D">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hint="eastAsia" w:ascii="宋体" w:hAnsi="宋体" w:cs="宋体"/>
                <w:b/>
                <w:color w:val="auto"/>
                <w:szCs w:val="21"/>
                <w:highlight w:val="none"/>
              </w:rPr>
            </w:pPr>
            <w:r>
              <w:rPr>
                <w:rFonts w:hint="eastAsia" w:ascii="宋体" w:hAnsi="宋体" w:cs="宋体"/>
                <w:b/>
                <w:bCs/>
                <w:color w:val="auto"/>
                <w:kern w:val="0"/>
                <w:szCs w:val="21"/>
                <w:highlight w:val="none"/>
              </w:rPr>
              <w:t>序号</w:t>
            </w:r>
          </w:p>
        </w:tc>
        <w:tc>
          <w:tcPr>
            <w:tcW w:w="1073" w:type="pct"/>
            <w:gridSpan w:val="2"/>
            <w:noWrap w:val="0"/>
            <w:vAlign w:val="center"/>
          </w:tcPr>
          <w:p w14:paraId="501437ED">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hint="eastAsia" w:ascii="宋体" w:hAnsi="宋体" w:cs="宋体"/>
                <w:b/>
                <w:color w:val="auto"/>
                <w:szCs w:val="21"/>
                <w:highlight w:val="none"/>
              </w:rPr>
            </w:pPr>
            <w:r>
              <w:rPr>
                <w:rFonts w:hint="eastAsia" w:ascii="宋体" w:hAnsi="宋体" w:cs="宋体"/>
                <w:b/>
                <w:bCs/>
                <w:color w:val="auto"/>
                <w:kern w:val="0"/>
                <w:szCs w:val="21"/>
                <w:highlight w:val="none"/>
              </w:rPr>
              <w:t>直接管理关系单位名称</w:t>
            </w:r>
          </w:p>
        </w:tc>
        <w:tc>
          <w:tcPr>
            <w:tcW w:w="858" w:type="pct"/>
            <w:noWrap w:val="0"/>
            <w:vAlign w:val="center"/>
          </w:tcPr>
          <w:p w14:paraId="77980DE1">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hint="eastAsia" w:ascii="宋体" w:hAnsi="宋体" w:cs="宋体"/>
                <w:b/>
                <w:color w:val="auto"/>
                <w:szCs w:val="21"/>
                <w:highlight w:val="none"/>
              </w:rPr>
            </w:pPr>
            <w:r>
              <w:rPr>
                <w:rFonts w:hint="eastAsia" w:ascii="宋体" w:hAnsi="宋体" w:cs="宋体"/>
                <w:b/>
                <w:bCs/>
                <w:color w:val="auto"/>
                <w:kern w:val="0"/>
                <w:szCs w:val="21"/>
                <w:highlight w:val="none"/>
              </w:rPr>
              <w:t>统一社会信用代码</w:t>
            </w:r>
          </w:p>
        </w:tc>
        <w:tc>
          <w:tcPr>
            <w:tcW w:w="2613" w:type="pct"/>
            <w:vMerge w:val="restart"/>
            <w:noWrap w:val="0"/>
            <w:vAlign w:val="center"/>
          </w:tcPr>
          <w:p w14:paraId="256DA5CA">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1.管理关系：是指不具有出资持股关系的其他单位之间存在的管理与被管理关系，如一些上下级关系的事业单位和团体组织。</w:t>
            </w:r>
          </w:p>
          <w:p w14:paraId="64EB7A2B">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2.本表所指的管理关系仅限于直接管理关系，不包括间接的管理关系。</w:t>
            </w:r>
          </w:p>
          <w:p w14:paraId="14F70D02">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3.供应商不存在直接管理关系的，则填“无”。</w:t>
            </w:r>
          </w:p>
        </w:tc>
      </w:tr>
      <w:tr w14:paraId="6E574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noWrap w:val="0"/>
            <w:vAlign w:val="center"/>
          </w:tcPr>
          <w:p w14:paraId="4495AD2E">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1</w:t>
            </w:r>
          </w:p>
        </w:tc>
        <w:tc>
          <w:tcPr>
            <w:tcW w:w="1073" w:type="pct"/>
            <w:gridSpan w:val="2"/>
            <w:noWrap w:val="0"/>
            <w:vAlign w:val="center"/>
          </w:tcPr>
          <w:p w14:paraId="016805CD">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hint="eastAsia" w:ascii="宋体" w:hAnsi="宋体" w:cs="宋体"/>
                <w:b/>
                <w:bCs/>
                <w:color w:val="auto"/>
                <w:kern w:val="0"/>
                <w:szCs w:val="21"/>
                <w:highlight w:val="none"/>
              </w:rPr>
            </w:pPr>
          </w:p>
        </w:tc>
        <w:tc>
          <w:tcPr>
            <w:tcW w:w="858" w:type="pct"/>
            <w:noWrap w:val="0"/>
            <w:vAlign w:val="center"/>
          </w:tcPr>
          <w:p w14:paraId="4B9C35F2">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hint="eastAsia" w:ascii="宋体" w:hAnsi="宋体" w:cs="宋体"/>
                <w:b/>
                <w:bCs/>
                <w:color w:val="auto"/>
                <w:kern w:val="0"/>
                <w:szCs w:val="21"/>
                <w:highlight w:val="none"/>
              </w:rPr>
            </w:pPr>
          </w:p>
        </w:tc>
        <w:tc>
          <w:tcPr>
            <w:tcW w:w="2613" w:type="pct"/>
            <w:vMerge w:val="continue"/>
            <w:noWrap w:val="0"/>
            <w:vAlign w:val="center"/>
          </w:tcPr>
          <w:p w14:paraId="19B2CE06">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cs="宋体"/>
                <w:color w:val="auto"/>
                <w:szCs w:val="21"/>
                <w:highlight w:val="none"/>
              </w:rPr>
            </w:pPr>
          </w:p>
        </w:tc>
      </w:tr>
      <w:tr w14:paraId="3BC37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noWrap w:val="0"/>
            <w:vAlign w:val="center"/>
          </w:tcPr>
          <w:p w14:paraId="6B4B5E61">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ascii="宋体" w:hAnsi="宋体" w:cs="宋体"/>
                <w:b/>
                <w:bCs/>
                <w:color w:val="auto"/>
                <w:kern w:val="0"/>
                <w:szCs w:val="21"/>
                <w:highlight w:val="none"/>
              </w:rPr>
            </w:pPr>
            <w:r>
              <w:rPr>
                <w:rFonts w:hint="eastAsia" w:ascii="宋体" w:hAnsi="宋体" w:cs="宋体"/>
                <w:b/>
                <w:bCs/>
                <w:color w:val="auto"/>
                <w:kern w:val="0"/>
                <w:szCs w:val="21"/>
                <w:highlight w:val="none"/>
              </w:rPr>
              <w:t>2</w:t>
            </w:r>
          </w:p>
        </w:tc>
        <w:tc>
          <w:tcPr>
            <w:tcW w:w="1073" w:type="pct"/>
            <w:gridSpan w:val="2"/>
            <w:noWrap w:val="0"/>
            <w:vAlign w:val="center"/>
          </w:tcPr>
          <w:p w14:paraId="46C3D18D">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hint="eastAsia" w:ascii="宋体" w:hAnsi="宋体" w:cs="宋体"/>
                <w:b/>
                <w:bCs/>
                <w:color w:val="auto"/>
                <w:kern w:val="0"/>
                <w:szCs w:val="21"/>
                <w:highlight w:val="none"/>
              </w:rPr>
            </w:pPr>
          </w:p>
        </w:tc>
        <w:tc>
          <w:tcPr>
            <w:tcW w:w="858" w:type="pct"/>
            <w:noWrap w:val="0"/>
            <w:vAlign w:val="center"/>
          </w:tcPr>
          <w:p w14:paraId="50B83454">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hint="eastAsia" w:ascii="宋体" w:hAnsi="宋体" w:cs="宋体"/>
                <w:b/>
                <w:bCs/>
                <w:color w:val="auto"/>
                <w:kern w:val="0"/>
                <w:szCs w:val="21"/>
                <w:highlight w:val="none"/>
              </w:rPr>
            </w:pPr>
          </w:p>
        </w:tc>
        <w:tc>
          <w:tcPr>
            <w:tcW w:w="2613" w:type="pct"/>
            <w:vMerge w:val="continue"/>
            <w:noWrap w:val="0"/>
            <w:vAlign w:val="center"/>
          </w:tcPr>
          <w:p w14:paraId="16E39BC5">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cs="宋体"/>
                <w:color w:val="auto"/>
                <w:szCs w:val="21"/>
                <w:highlight w:val="none"/>
              </w:rPr>
            </w:pPr>
          </w:p>
        </w:tc>
      </w:tr>
      <w:tr w14:paraId="03FD6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noWrap w:val="0"/>
            <w:vAlign w:val="center"/>
          </w:tcPr>
          <w:p w14:paraId="7BAC4E53">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hint="eastAsia" w:ascii="宋体" w:hAnsi="宋体" w:cs="宋体"/>
                <w:b/>
                <w:bCs/>
                <w:color w:val="auto"/>
                <w:kern w:val="0"/>
                <w:szCs w:val="21"/>
                <w:highlight w:val="none"/>
              </w:rPr>
            </w:pPr>
            <w:r>
              <w:rPr>
                <w:rFonts w:hint="eastAsia" w:ascii="宋体" w:hAnsi="宋体" w:cs="宋体"/>
                <w:color w:val="auto"/>
                <w:kern w:val="0"/>
                <w:szCs w:val="21"/>
                <w:highlight w:val="none"/>
              </w:rPr>
              <w:t>……</w:t>
            </w:r>
          </w:p>
        </w:tc>
        <w:tc>
          <w:tcPr>
            <w:tcW w:w="1073" w:type="pct"/>
            <w:gridSpan w:val="2"/>
            <w:noWrap w:val="0"/>
            <w:vAlign w:val="center"/>
          </w:tcPr>
          <w:p w14:paraId="4F8DA26F">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hint="eastAsia" w:ascii="宋体" w:hAnsi="宋体" w:cs="宋体"/>
                <w:b/>
                <w:bCs/>
                <w:color w:val="auto"/>
                <w:kern w:val="0"/>
                <w:szCs w:val="21"/>
                <w:highlight w:val="none"/>
              </w:rPr>
            </w:pPr>
          </w:p>
        </w:tc>
        <w:tc>
          <w:tcPr>
            <w:tcW w:w="858" w:type="pct"/>
            <w:noWrap w:val="0"/>
            <w:vAlign w:val="center"/>
          </w:tcPr>
          <w:p w14:paraId="4F3FD7FD">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hint="eastAsia" w:ascii="宋体" w:hAnsi="宋体" w:cs="宋体"/>
                <w:b/>
                <w:bCs/>
                <w:color w:val="auto"/>
                <w:kern w:val="0"/>
                <w:szCs w:val="21"/>
                <w:highlight w:val="none"/>
              </w:rPr>
            </w:pPr>
          </w:p>
        </w:tc>
        <w:tc>
          <w:tcPr>
            <w:tcW w:w="2613" w:type="pct"/>
            <w:vMerge w:val="continue"/>
            <w:noWrap w:val="0"/>
            <w:vAlign w:val="center"/>
          </w:tcPr>
          <w:p w14:paraId="614AFD17">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cs="宋体"/>
                <w:color w:val="auto"/>
                <w:szCs w:val="21"/>
                <w:highlight w:val="none"/>
              </w:rPr>
            </w:pPr>
          </w:p>
        </w:tc>
      </w:tr>
    </w:tbl>
    <w:p w14:paraId="7B9DA0C1">
      <w:pPr>
        <w:snapToGrid w:val="0"/>
        <w:spacing w:line="400" w:lineRule="exact"/>
        <w:jc w:val="left"/>
        <w:rPr>
          <w:rFonts w:hint="eastAsia" w:ascii="宋体" w:hAnsi="宋体" w:cs="宋体"/>
          <w:color w:val="auto"/>
          <w:szCs w:val="21"/>
          <w:highlight w:val="none"/>
        </w:rPr>
      </w:pPr>
    </w:p>
    <w:p w14:paraId="46B4E539">
      <w:pPr>
        <w:snapToGrid w:val="0"/>
        <w:spacing w:line="400" w:lineRule="exact"/>
        <w:ind w:left="-2" w:leftChars="-1" w:right="-817" w:rightChars="-389"/>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50B2218C">
      <w:pPr>
        <w:snapToGrid w:val="0"/>
        <w:spacing w:line="400" w:lineRule="exact"/>
        <w:ind w:left="-6" w:leftChars="-15" w:right="-817" w:rightChars="-389" w:hanging="25" w:hangingChars="12"/>
        <w:rPr>
          <w:rFonts w:hint="eastAsia" w:ascii="宋体" w:hAnsi="宋体" w:cs="宋体"/>
          <w:color w:val="auto"/>
          <w:szCs w:val="21"/>
          <w:highlight w:val="none"/>
        </w:rPr>
      </w:pPr>
      <w:r>
        <w:rPr>
          <w:rFonts w:hint="eastAsia" w:ascii="宋体" w:hAnsi="宋体" w:cs="宋体"/>
          <w:color w:val="auto"/>
          <w:szCs w:val="21"/>
          <w:highlight w:val="none"/>
        </w:rPr>
        <w:t xml:space="preserve">                                    投标人名称（电子签章）：</w:t>
      </w:r>
    </w:p>
    <w:p w14:paraId="69C55B7D">
      <w:pPr>
        <w:snapToGrid w:val="0"/>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                                    日期：    年   月   日</w:t>
      </w:r>
    </w:p>
    <w:p w14:paraId="3F6FF82F">
      <w:pPr>
        <w:snapToGrid w:val="0"/>
        <w:jc w:val="center"/>
        <w:rPr>
          <w:rFonts w:hint="eastAsia" w:ascii="宋体" w:hAnsi="宋体" w:cs="宋体"/>
          <w:b/>
          <w:color w:val="auto"/>
          <w:sz w:val="28"/>
          <w:szCs w:val="28"/>
          <w:highlight w:val="none"/>
        </w:rPr>
      </w:pPr>
    </w:p>
    <w:p w14:paraId="44A10FB0">
      <w:pPr>
        <w:snapToGrid w:val="0"/>
        <w:spacing w:before="120" w:beforeLines="50" w:after="50"/>
        <w:jc w:val="left"/>
        <w:rPr>
          <w:rFonts w:hint="eastAsia"/>
          <w:color w:val="auto"/>
          <w:szCs w:val="20"/>
          <w:highlight w:val="none"/>
        </w:rPr>
      </w:pPr>
      <w:r>
        <w:rPr>
          <w:rFonts w:hint="eastAsia" w:ascii="宋体" w:hAnsi="宋体" w:cs="宋体"/>
          <w:b/>
          <w:color w:val="auto"/>
          <w:sz w:val="32"/>
          <w:szCs w:val="32"/>
          <w:highlight w:val="none"/>
        </w:rPr>
        <w:br w:type="page"/>
      </w:r>
      <w:r>
        <w:rPr>
          <w:rFonts w:hint="eastAsia" w:ascii="宋体" w:hAnsi="宋体" w:cs="宋体"/>
          <w:b/>
          <w:color w:val="auto"/>
          <w:sz w:val="28"/>
          <w:szCs w:val="28"/>
          <w:highlight w:val="none"/>
        </w:rPr>
        <w:t>4.投标声明</w:t>
      </w:r>
    </w:p>
    <w:p w14:paraId="04D7C332">
      <w:pPr>
        <w:snapToGrid w:val="0"/>
        <w:spacing w:before="50" w:after="120" w:afterLines="50"/>
        <w:jc w:val="left"/>
        <w:rPr>
          <w:rFonts w:hint="eastAsia" w:ascii="宋体" w:hAnsi="宋体" w:cs="宋体"/>
          <w:color w:val="auto"/>
          <w:highlight w:val="none"/>
        </w:rPr>
      </w:pPr>
    </w:p>
    <w:p w14:paraId="140E41DD">
      <w:pPr>
        <w:snapToGrid w:val="0"/>
        <w:spacing w:before="120" w:beforeLines="50" w:after="50"/>
        <w:ind w:left="420"/>
        <w:jc w:val="center"/>
        <w:rPr>
          <w:rFonts w:hint="eastAsia" w:ascii="宋体" w:hAnsi="宋体" w:cs="宋体"/>
          <w:b/>
          <w:bCs/>
          <w:color w:val="auto"/>
          <w:spacing w:val="-17"/>
          <w:sz w:val="30"/>
          <w:szCs w:val="30"/>
          <w:highlight w:val="none"/>
        </w:rPr>
      </w:pPr>
      <w:r>
        <w:rPr>
          <w:rFonts w:hint="eastAsia" w:ascii="宋体" w:hAnsi="宋体" w:cs="宋体"/>
          <w:b/>
          <w:bCs/>
          <w:color w:val="auto"/>
          <w:spacing w:val="-17"/>
          <w:sz w:val="30"/>
          <w:szCs w:val="30"/>
          <w:highlight w:val="none"/>
        </w:rPr>
        <w:t>投标声明</w:t>
      </w:r>
    </w:p>
    <w:p w14:paraId="6EBFDF3A">
      <w:pPr>
        <w:keepNext w:val="0"/>
        <w:keepLines w:val="0"/>
        <w:pageBreakBefore w:val="0"/>
        <w:widowControl w:val="0"/>
        <w:kinsoku/>
        <w:wordWrap/>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（采购人名称）：</w:t>
      </w:r>
    </w:p>
    <w:p w14:paraId="7B8AE100">
      <w:pPr>
        <w:keepNext w:val="0"/>
        <w:keepLines w:val="0"/>
        <w:pageBreakBefore w:val="0"/>
        <w:widowControl w:val="0"/>
        <w:kinsoku/>
        <w:wordWrap/>
        <w:overflowPunct/>
        <w:topLinePunct w:val="0"/>
        <w:autoSpaceDE/>
        <w:autoSpaceDN/>
        <w:bidi w:val="0"/>
        <w:adjustRightInd/>
        <w:spacing w:line="400" w:lineRule="exact"/>
        <w:ind w:firstLine="457" w:firstLineChars="218"/>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我方参加贵单位组织</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）的政府采购活动。我方在此郑重声明：</w:t>
      </w:r>
    </w:p>
    <w:p w14:paraId="30875DFA">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5207D7B7">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2.我方不是为本次采购项目提供整体设计、规范编制或者项目管理、监理、检测等服务的供应商。</w:t>
      </w:r>
    </w:p>
    <w:p w14:paraId="539515B6">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3.我方承诺符合《中华人民共和国政府采购法》第二十二条规定：</w:t>
      </w:r>
    </w:p>
    <w:p w14:paraId="0DD7105A">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（一）具有独立承担民事责任的能力；</w:t>
      </w:r>
    </w:p>
    <w:p w14:paraId="07671473">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（二）具有良好的商业信誉和健全的财务会计制度；</w:t>
      </w:r>
    </w:p>
    <w:p w14:paraId="180116B2">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（三）具有履行合同所必需的设备和专业技术能力；</w:t>
      </w:r>
    </w:p>
    <w:p w14:paraId="2DBA749D">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（四）有依法缴纳税收和社会保障资金的良好记录；</w:t>
      </w:r>
    </w:p>
    <w:p w14:paraId="1CCAC286">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（五）参加政府采购活动前三年内，在经营活动中没有重大违法记录；</w:t>
      </w:r>
    </w:p>
    <w:p w14:paraId="0EB823E3">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（六）法律、行政法规规定的其他条件。</w:t>
      </w:r>
    </w:p>
    <w:p w14:paraId="44BD205D">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4.以上事项如有虚假或者隐瞒，我方愿意承担一切后果，并不再寻求任何旨在减轻或者免除法律责任的辩解。</w:t>
      </w:r>
    </w:p>
    <w:p w14:paraId="3E76833E">
      <w:pPr>
        <w:keepNext w:val="0"/>
        <w:keepLines w:val="0"/>
        <w:pageBreakBefore w:val="0"/>
        <w:widowControl w:val="0"/>
        <w:kinsoku/>
        <w:wordWrap/>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特此承诺。</w:t>
      </w:r>
    </w:p>
    <w:p w14:paraId="57E33E92">
      <w:pPr>
        <w:keepNext w:val="0"/>
        <w:keepLines w:val="0"/>
        <w:pageBreakBefore w:val="0"/>
        <w:widowControl w:val="0"/>
        <w:kinsoku/>
        <w:wordWrap/>
        <w:overflowPunct/>
        <w:topLinePunct w:val="0"/>
        <w:autoSpaceDE/>
        <w:autoSpaceDN/>
        <w:bidi w:val="0"/>
        <w:adjustRightInd/>
        <w:snapToGrid w:val="0"/>
        <w:spacing w:before="50" w:after="50" w:line="400" w:lineRule="exact"/>
        <w:ind w:firstLine="930" w:firstLineChars="441"/>
        <w:textAlignment w:val="auto"/>
        <w:rPr>
          <w:rFonts w:hint="eastAsia" w:ascii="宋体" w:hAnsi="宋体" w:cs="宋体"/>
          <w:color w:val="auto"/>
          <w:spacing w:val="20"/>
          <w:szCs w:val="21"/>
          <w:highlight w:val="none"/>
          <w:u w:val="single"/>
        </w:rPr>
      </w:pPr>
      <w:r>
        <w:rPr>
          <w:rFonts w:hint="eastAsia" w:ascii="宋体" w:hAnsi="宋体" w:cs="宋体"/>
          <w:b/>
          <w:color w:val="auto"/>
          <w:szCs w:val="21"/>
          <w:highlight w:val="none"/>
        </w:rPr>
        <w:t xml:space="preserve">                 </w:t>
      </w:r>
      <w:r>
        <w:rPr>
          <w:rFonts w:hint="eastAsia" w:ascii="宋体" w:hAnsi="宋体" w:cs="宋体"/>
          <w:color w:val="auto"/>
          <w:szCs w:val="21"/>
          <w:highlight w:val="none"/>
        </w:rPr>
        <w:t>法定代表人</w:t>
      </w:r>
      <w:r>
        <w:rPr>
          <w:rFonts w:hint="eastAsia" w:ascii="宋体" w:hAnsi="宋体" w:cs="宋体"/>
          <w:color w:val="auto"/>
          <w:spacing w:val="20"/>
          <w:szCs w:val="21"/>
          <w:highlight w:val="none"/>
        </w:rPr>
        <w:t>（签字或者电子签名）：</w:t>
      </w:r>
      <w:r>
        <w:rPr>
          <w:rFonts w:hint="eastAsia" w:ascii="宋体" w:hAnsi="宋体" w:cs="宋体"/>
          <w:color w:val="auto"/>
          <w:spacing w:val="20"/>
          <w:szCs w:val="21"/>
          <w:highlight w:val="none"/>
          <w:u w:val="single"/>
        </w:rPr>
        <w:t xml:space="preserve">        </w:t>
      </w:r>
    </w:p>
    <w:p w14:paraId="3BAF43F1">
      <w:pPr>
        <w:keepNext w:val="0"/>
        <w:keepLines w:val="0"/>
        <w:pageBreakBefore w:val="0"/>
        <w:widowControl w:val="0"/>
        <w:kinsoku/>
        <w:wordWrap/>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投标人名称（电子签章）：</w:t>
      </w:r>
      <w:r>
        <w:rPr>
          <w:rFonts w:hint="eastAsia" w:ascii="宋体" w:hAnsi="宋体" w:cs="宋体"/>
          <w:color w:val="auto"/>
          <w:szCs w:val="21"/>
          <w:highlight w:val="none"/>
          <w:u w:val="single"/>
        </w:rPr>
        <w:t xml:space="preserve">                 </w:t>
      </w:r>
    </w:p>
    <w:p w14:paraId="60C29640">
      <w:pPr>
        <w:keepNext w:val="0"/>
        <w:keepLines w:val="0"/>
        <w:pageBreakBefore w:val="0"/>
        <w:widowControl w:val="0"/>
        <w:kinsoku/>
        <w:wordWrap/>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p w14:paraId="185C361A">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b/>
          <w:color w:val="auto"/>
          <w:szCs w:val="21"/>
          <w:highlight w:val="none"/>
        </w:rPr>
      </w:pPr>
      <w:r>
        <w:rPr>
          <w:rFonts w:hint="eastAsia" w:ascii="宋体" w:hAnsi="宋体" w:cs="宋体"/>
          <w:b/>
          <w:color w:val="auto"/>
          <w:szCs w:val="21"/>
          <w:highlight w:val="none"/>
        </w:rPr>
        <w:t>注：如为联合体投标，盖章处须加盖联合体牵头人电子签章并由联合体牵头人法定代表人分别签字或者盖章或者电子签名，否则投标无效。</w:t>
      </w:r>
    </w:p>
    <w:p w14:paraId="4568E55D">
      <w:pPr>
        <w:snapToGrid w:val="0"/>
        <w:spacing w:before="120" w:beforeLines="50" w:after="50"/>
        <w:jc w:val="left"/>
        <w:rPr>
          <w:rFonts w:ascii="宋体" w:hAnsi="宋体" w:cs="宋体"/>
          <w:b/>
          <w:color w:val="auto"/>
          <w:sz w:val="28"/>
          <w:szCs w:val="28"/>
          <w:highlight w:val="none"/>
        </w:rPr>
      </w:pPr>
    </w:p>
    <w:p w14:paraId="7201A7E1">
      <w:pPr>
        <w:snapToGrid w:val="0"/>
        <w:spacing w:before="120" w:beforeLines="50" w:after="50"/>
        <w:jc w:val="left"/>
        <w:rPr>
          <w:rFonts w:hint="eastAsia"/>
          <w:color w:val="auto"/>
          <w:spacing w:val="20"/>
          <w:sz w:val="24"/>
          <w:highlight w:val="none"/>
        </w:rPr>
      </w:pPr>
      <w:r>
        <w:rPr>
          <w:b/>
          <w:color w:val="auto"/>
          <w:highlight w:val="none"/>
        </w:rPr>
        <w:br w:type="page"/>
      </w:r>
      <w:r>
        <w:rPr>
          <w:rFonts w:hint="eastAsia" w:ascii="宋体" w:hAnsi="宋体" w:cs="宋体"/>
          <w:b/>
          <w:color w:val="auto"/>
          <w:sz w:val="28"/>
          <w:szCs w:val="28"/>
          <w:highlight w:val="none"/>
        </w:rPr>
        <w:t>5.联合投标协议书格式</w:t>
      </w:r>
    </w:p>
    <w:p w14:paraId="6445AC4B">
      <w:pPr>
        <w:pStyle w:val="9"/>
        <w:overflowPunct w:val="0"/>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联合体协议书</w:t>
      </w:r>
    </w:p>
    <w:p w14:paraId="06018F51">
      <w:pPr>
        <w:pStyle w:val="9"/>
        <w:overflowPunct w:val="0"/>
        <w:spacing w:line="360" w:lineRule="auto"/>
        <w:ind w:firstLine="0"/>
        <w:contextualSpacing/>
        <w:rPr>
          <w:rFonts w:hint="eastAsia" w:ascii="宋体" w:hAnsi="宋体" w:cs="宋体"/>
          <w:color w:val="auto"/>
          <w:sz w:val="24"/>
          <w:highlight w:val="none"/>
        </w:rPr>
      </w:pPr>
    </w:p>
    <w:p w14:paraId="2DB86274">
      <w:pPr>
        <w:pStyle w:val="9"/>
        <w:keepNext w:val="0"/>
        <w:keepLines w:val="0"/>
        <w:pageBreakBefore w:val="0"/>
        <w:widowControl w:val="0"/>
        <w:kinsoku/>
        <w:wordWrap/>
        <w:overflowPunct w:val="0"/>
        <w:topLinePunct w:val="0"/>
        <w:autoSpaceDE/>
        <w:autoSpaceDN/>
        <w:bidi w:val="0"/>
        <w:adjustRightInd/>
        <w:snapToGrid/>
        <w:spacing w:line="400" w:lineRule="exact"/>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rPr>
        <w:t>（所有成员单位名称）自愿组成</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rPr>
        <w:t>（联合体名称）联合体，共同参加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（项目名称）   </w:t>
      </w:r>
      <w:r>
        <w:rPr>
          <w:rFonts w:hint="eastAsia" w:ascii="宋体" w:cs="宋体"/>
          <w:color w:val="auto"/>
          <w:kern w:val="0"/>
          <w:szCs w:val="21"/>
          <w:highlight w:val="none"/>
        </w:rPr>
        <w:t>（项目编号：</w:t>
      </w:r>
      <w:r>
        <w:rPr>
          <w:rFonts w:hint="eastAsia" w:ascii="宋体" w:cs="宋体"/>
          <w:color w:val="auto"/>
          <w:kern w:val="0"/>
          <w:szCs w:val="21"/>
          <w:highlight w:val="none"/>
          <w:u w:val="single"/>
        </w:rPr>
        <w:t xml:space="preserve">     </w:t>
      </w:r>
      <w:r>
        <w:rPr>
          <w:rFonts w:hint="eastAsia" w:ascii="宋体" w:cs="宋体"/>
          <w:color w:val="auto"/>
          <w:kern w:val="0"/>
          <w:szCs w:val="21"/>
          <w:highlight w:val="none"/>
        </w:rPr>
        <w:t>）</w:t>
      </w:r>
      <w:r>
        <w:rPr>
          <w:rFonts w:hint="eastAsia" w:ascii="宋体" w:cs="宋体"/>
          <w:color w:val="auto"/>
          <w:kern w:val="0"/>
          <w:szCs w:val="21"/>
          <w:highlight w:val="none"/>
          <w:u w:val="single"/>
        </w:rPr>
        <w:t xml:space="preserve">   </w:t>
      </w:r>
      <w:r>
        <w:rPr>
          <w:rFonts w:hint="eastAsia" w:ascii="宋体" w:hAnsi="宋体" w:cs="宋体"/>
          <w:color w:val="auto"/>
          <w:szCs w:val="21"/>
          <w:highlight w:val="none"/>
        </w:rPr>
        <w:t>分标采购招标项目投标。现就联合体投标事宜订立如下协议。</w:t>
      </w:r>
    </w:p>
    <w:p w14:paraId="3CDB49AC">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1.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（某成员单位名称）为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rPr>
        <w:t>（联合体名称）牵头人。</w:t>
      </w:r>
    </w:p>
    <w:p w14:paraId="592785CB">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2.联合体各成员授权牵头人代表联合体参加投标活动，签署文件及对文件的盖章，提交和接收相关的资料、 信息及指示，进行合同谈判活动，负责合同实施阶段的组织和协调工作，以及处理与本招标项 目有关的一切事宜。</w:t>
      </w:r>
    </w:p>
    <w:p w14:paraId="74FF7769">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3.联合体牵头人在本项目中签署和盖章的一切文件和处理的一切事宜，联合体各成员均予以承认。 联合体各成员将严格按照招标文件、投标文件和合同的要求全面履行义务，并向招标人承担连带责任。</w:t>
      </w:r>
    </w:p>
    <w:p w14:paraId="6BD7625C">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4.联合体各成员单位内部的职责分工如下：</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53383580">
      <w:pPr>
        <w:keepNext w:val="0"/>
        <w:keepLines w:val="0"/>
        <w:pageBreakBefore w:val="0"/>
        <w:widowControl w:val="0"/>
        <w:kinsoku/>
        <w:wordWrap/>
        <w:topLinePunct w:val="0"/>
        <w:autoSpaceDE/>
        <w:autoSpaceDN/>
        <w:bidi w:val="0"/>
        <w:adjustRightInd/>
        <w:snapToGrid/>
        <w:spacing w:line="400" w:lineRule="exact"/>
        <w:ind w:firstLine="420" w:firstLineChars="200"/>
        <w:textAlignment w:val="auto"/>
        <w:rPr>
          <w:rFonts w:hint="eastAsia"/>
          <w:color w:val="auto"/>
          <w:szCs w:val="21"/>
          <w:highlight w:val="none"/>
        </w:rPr>
      </w:pPr>
      <w:r>
        <w:rPr>
          <w:rFonts w:hint="eastAsia" w:ascii="宋体" w:hAnsi="宋体" w:cs="宋体"/>
          <w:color w:val="auto"/>
          <w:kern w:val="0"/>
          <w:szCs w:val="20"/>
          <w:highlight w:val="none"/>
        </w:rPr>
        <w:t>5.本联合体中，</w:t>
      </w:r>
      <w:r>
        <w:rPr>
          <w:rFonts w:hint="eastAsia" w:ascii="宋体" w:hAnsi="宋体" w:cs="宋体"/>
          <w:color w:val="auto"/>
          <w:kern w:val="0"/>
          <w:szCs w:val="20"/>
          <w:highlight w:val="none"/>
          <w:u w:val="single"/>
        </w:rPr>
        <w:t xml:space="preserve"> （某成员单位名称） </w:t>
      </w:r>
      <w:r>
        <w:rPr>
          <w:rFonts w:hint="eastAsia" w:ascii="宋体" w:hAnsi="宋体" w:cs="宋体"/>
          <w:color w:val="auto"/>
          <w:kern w:val="0"/>
          <w:szCs w:val="20"/>
          <w:highlight w:val="none"/>
        </w:rPr>
        <w:t>为</w:t>
      </w:r>
      <w:r>
        <w:rPr>
          <w:rFonts w:hint="eastAsia" w:ascii="宋体" w:hAnsi="Courier New"/>
          <w:color w:val="auto"/>
          <w:szCs w:val="20"/>
          <w:highlight w:val="none"/>
          <w:u w:val="single"/>
        </w:rPr>
        <w:t xml:space="preserve">        </w:t>
      </w:r>
      <w:r>
        <w:rPr>
          <w:rFonts w:hint="eastAsia" w:ascii="宋体" w:hAnsi="Courier New"/>
          <w:color w:val="auto"/>
          <w:szCs w:val="20"/>
          <w:highlight w:val="none"/>
        </w:rPr>
        <w:t>（请填写：中型、小型、微型）企业，其协议合同金额占联合体协议合同总金额的</w:t>
      </w:r>
      <w:r>
        <w:rPr>
          <w:rFonts w:hint="eastAsia" w:ascii="宋体" w:hAnsi="Courier New"/>
          <w:color w:val="auto"/>
          <w:szCs w:val="20"/>
          <w:highlight w:val="none"/>
          <w:u w:val="single"/>
        </w:rPr>
        <w:t xml:space="preserve">           </w:t>
      </w:r>
      <w:r>
        <w:rPr>
          <w:rFonts w:hint="eastAsia" w:ascii="宋体" w:hAnsi="Courier New"/>
          <w:color w:val="auto"/>
          <w:szCs w:val="20"/>
          <w:highlight w:val="none"/>
        </w:rPr>
        <w:t>%。【如联合体成员中有小型、微型企业的，请填写此条，否则无需填写；如联合体成员中有多个小型、微型企业的，请逐一列出。】</w:t>
      </w:r>
    </w:p>
    <w:p w14:paraId="21B3E2ED">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6.本协议书自所有成员单位法定代表人或者其委托代理人签字（或者电子签名）或者盖公章之日起生效，合同履行完毕后自动失效。</w:t>
      </w:r>
    </w:p>
    <w:p w14:paraId="6E08149B">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7.本协议书一式</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rPr>
        <w:t>份，联合体成员和招标人各执一份。</w:t>
      </w:r>
    </w:p>
    <w:p w14:paraId="35202210">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注：本协议书应附法定代表人身份证明；有委托代理的，应附授权委托书（格式自拟）。</w:t>
      </w:r>
    </w:p>
    <w:p w14:paraId="6A34D66B">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p>
    <w:p w14:paraId="4A8EB08E">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联合体牵头人名称（电子签章）：</w:t>
      </w:r>
    </w:p>
    <w:p w14:paraId="2E2ED4EA">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法定代表人或者其委托代理人：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（签字或者电子签名）</w:t>
      </w:r>
    </w:p>
    <w:p w14:paraId="49F46F24">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p>
    <w:p w14:paraId="602CDBDC">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联合体成员名称（盖公章或者电子签章）：</w:t>
      </w:r>
    </w:p>
    <w:p w14:paraId="0FFB2D77">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法定代表人或者其委托代理人：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（签字或者电子签名）</w:t>
      </w:r>
    </w:p>
    <w:p w14:paraId="1B9ACF03">
      <w:pPr>
        <w:pStyle w:val="9"/>
        <w:overflowPunct w:val="0"/>
        <w:spacing w:line="360" w:lineRule="auto"/>
        <w:ind w:firstLine="367" w:firstLineChars="175"/>
        <w:contextualSpacing/>
        <w:rPr>
          <w:rFonts w:hint="eastAsia" w:ascii="宋体" w:hAnsi="宋体" w:cs="宋体"/>
          <w:color w:val="auto"/>
          <w:szCs w:val="21"/>
          <w:highlight w:val="none"/>
        </w:rPr>
      </w:pPr>
      <w:r>
        <w:rPr>
          <w:rFonts w:hint="eastAsia" w:ascii="宋体" w:hAnsi="宋体" w:cs="宋体"/>
          <w:color w:val="auto"/>
          <w:szCs w:val="21"/>
          <w:highlight w:val="none"/>
        </w:rPr>
        <w:t>……</w:t>
      </w:r>
    </w:p>
    <w:p w14:paraId="6BC8832D">
      <w:pPr>
        <w:pStyle w:val="3"/>
        <w:rPr>
          <w:rFonts w:hint="eastAsia" w:ascii="宋体" w:hAnsi="宋体" w:cs="宋体"/>
          <w:color w:val="auto"/>
          <w:sz w:val="28"/>
          <w:szCs w:val="28"/>
          <w:highlight w:val="none"/>
        </w:rPr>
      </w:pPr>
      <w:r>
        <w:rPr>
          <w:color w:val="auto"/>
          <w:sz w:val="21"/>
          <w:szCs w:val="21"/>
          <w:highlight w:val="none"/>
        </w:rPr>
        <w:br w:type="page"/>
      </w:r>
      <w:bookmarkStart w:id="197" w:name="_Toc6222"/>
      <w:bookmarkStart w:id="198" w:name="_Toc7619"/>
      <w:bookmarkStart w:id="199" w:name="_Toc19686838"/>
      <w:r>
        <w:rPr>
          <w:rFonts w:hint="eastAsia" w:ascii="宋体" w:hAnsi="宋体" w:cs="宋体"/>
          <w:color w:val="auto"/>
          <w:sz w:val="28"/>
          <w:szCs w:val="28"/>
          <w:highlight w:val="none"/>
        </w:rPr>
        <w:t>三、商务及技术文件格式</w:t>
      </w:r>
      <w:bookmarkEnd w:id="197"/>
      <w:bookmarkEnd w:id="198"/>
      <w:bookmarkEnd w:id="199"/>
    </w:p>
    <w:p w14:paraId="341959AF">
      <w:pPr>
        <w:snapToGrid w:val="0"/>
        <w:spacing w:before="120" w:beforeLines="50" w:after="50" w:line="360" w:lineRule="auto"/>
        <w:jc w:val="left"/>
        <w:rPr>
          <w:rFonts w:hint="eastAsia" w:ascii="宋体" w:hAnsi="宋体"/>
          <w:b/>
          <w:color w:val="auto"/>
          <w:sz w:val="24"/>
          <w:highlight w:val="none"/>
        </w:rPr>
      </w:pPr>
      <w:r>
        <w:rPr>
          <w:rFonts w:hint="eastAsia" w:ascii="宋体" w:hAnsi="宋体"/>
          <w:b/>
          <w:color w:val="auto"/>
          <w:sz w:val="24"/>
          <w:highlight w:val="none"/>
          <w:lang w:val="en-US" w:eastAsia="zh-CN"/>
        </w:rPr>
        <w:t>1.</w:t>
      </w:r>
      <w:r>
        <w:rPr>
          <w:rFonts w:hint="eastAsia" w:ascii="宋体" w:hAnsi="宋体"/>
          <w:b/>
          <w:color w:val="auto"/>
          <w:sz w:val="24"/>
          <w:highlight w:val="none"/>
        </w:rPr>
        <w:t xml:space="preserve">商务及技术文件封面格式： </w:t>
      </w:r>
    </w:p>
    <w:p w14:paraId="35AEB949">
      <w:pPr>
        <w:snapToGrid w:val="0"/>
        <w:spacing w:before="120" w:beforeLines="50" w:after="50"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t xml:space="preserve">： </w:t>
      </w:r>
    </w:p>
    <w:p w14:paraId="682FA8E4">
      <w:pPr>
        <w:snapToGrid w:val="0"/>
        <w:spacing w:before="120" w:beforeLines="50" w:after="50"/>
        <w:jc w:val="center"/>
        <w:rPr>
          <w:rFonts w:hint="eastAsia" w:ascii="宋体" w:hAnsi="宋体" w:cs="宋体"/>
          <w:color w:val="auto"/>
          <w:sz w:val="24"/>
          <w:highlight w:val="none"/>
        </w:rPr>
      </w:pPr>
      <w:r>
        <w:rPr>
          <w:rFonts w:hint="eastAsia" w:ascii="宋体" w:hAnsi="宋体" w:cs="宋体"/>
          <w:bCs/>
          <w:color w:val="auto"/>
          <w:sz w:val="48"/>
          <w:szCs w:val="48"/>
          <w:highlight w:val="none"/>
        </w:rPr>
        <w:t>电子投标文件</w:t>
      </w:r>
    </w:p>
    <w:p w14:paraId="57640C0B">
      <w:pPr>
        <w:snapToGrid w:val="0"/>
        <w:spacing w:before="120" w:beforeLines="50" w:after="50"/>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773F36C9">
      <w:pPr>
        <w:rPr>
          <w:rFonts w:hint="eastAsia" w:ascii="宋体" w:hAnsi="宋体" w:cs="宋体"/>
          <w:color w:val="auto"/>
          <w:sz w:val="24"/>
          <w:highlight w:val="none"/>
        </w:rPr>
      </w:pPr>
    </w:p>
    <w:p w14:paraId="0B24F3AA">
      <w:pPr>
        <w:rPr>
          <w:rFonts w:hint="eastAsia"/>
          <w:color w:val="auto"/>
          <w:highlight w:val="none"/>
        </w:rPr>
      </w:pPr>
    </w:p>
    <w:p w14:paraId="082C6DFE">
      <w:pPr>
        <w:snapToGrid w:val="0"/>
        <w:spacing w:before="120" w:beforeLines="50" w:after="50"/>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商务</w:t>
      </w:r>
      <w:r>
        <w:rPr>
          <w:rFonts w:hint="eastAsia" w:ascii="宋体" w:hAnsi="宋体"/>
          <w:b/>
          <w:color w:val="auto"/>
          <w:sz w:val="32"/>
          <w:szCs w:val="32"/>
          <w:highlight w:val="none"/>
        </w:rPr>
        <w:t>及技术</w:t>
      </w:r>
      <w:r>
        <w:rPr>
          <w:rFonts w:hint="eastAsia" w:ascii="宋体" w:hAnsi="宋体" w:cs="宋体"/>
          <w:b/>
          <w:color w:val="auto"/>
          <w:sz w:val="32"/>
          <w:szCs w:val="32"/>
          <w:highlight w:val="none"/>
        </w:rPr>
        <w:t>文件</w:t>
      </w:r>
    </w:p>
    <w:p w14:paraId="3C140D0A">
      <w:pPr>
        <w:rPr>
          <w:rFonts w:hint="eastAsia" w:ascii="宋体" w:hAnsi="宋体" w:cs="宋体"/>
          <w:b/>
          <w:color w:val="auto"/>
          <w:sz w:val="32"/>
          <w:szCs w:val="32"/>
          <w:highlight w:val="none"/>
        </w:rPr>
      </w:pPr>
    </w:p>
    <w:p w14:paraId="284CBE47">
      <w:pPr>
        <w:rPr>
          <w:rFonts w:hint="eastAsia"/>
          <w:color w:val="auto"/>
          <w:highlight w:val="none"/>
        </w:rPr>
      </w:pPr>
    </w:p>
    <w:p w14:paraId="60C5AE28">
      <w:pPr>
        <w:snapToGrid w:val="0"/>
        <w:spacing w:before="120" w:beforeLines="50" w:after="50"/>
        <w:rPr>
          <w:rFonts w:hint="eastAsia" w:ascii="宋体" w:hAnsi="宋体" w:cs="宋体"/>
          <w:bCs/>
          <w:color w:val="auto"/>
          <w:sz w:val="24"/>
          <w:szCs w:val="20"/>
          <w:highlight w:val="none"/>
        </w:rPr>
      </w:pPr>
    </w:p>
    <w:p w14:paraId="4CEA1DD2">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项目名称：</w:t>
      </w:r>
    </w:p>
    <w:p w14:paraId="4A361037">
      <w:pPr>
        <w:snapToGrid w:val="0"/>
        <w:spacing w:before="120" w:beforeLines="50" w:after="50"/>
        <w:ind w:firstLine="540" w:firstLineChars="225"/>
        <w:rPr>
          <w:rFonts w:hint="eastAsia" w:ascii="宋体" w:hAnsi="宋体" w:cs="宋体"/>
          <w:bCs/>
          <w:color w:val="auto"/>
          <w:sz w:val="24"/>
          <w:szCs w:val="20"/>
          <w:highlight w:val="none"/>
        </w:rPr>
      </w:pPr>
    </w:p>
    <w:p w14:paraId="27339D99">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项目编号：</w:t>
      </w:r>
    </w:p>
    <w:p w14:paraId="78BA5F04">
      <w:pPr>
        <w:snapToGrid w:val="0"/>
        <w:spacing w:before="120" w:beforeLines="50" w:after="50"/>
        <w:ind w:firstLine="540" w:firstLineChars="225"/>
        <w:rPr>
          <w:rFonts w:hint="eastAsia" w:ascii="宋体" w:hAnsi="宋体" w:cs="宋体"/>
          <w:bCs/>
          <w:color w:val="auto"/>
          <w:sz w:val="24"/>
          <w:szCs w:val="20"/>
          <w:highlight w:val="none"/>
        </w:rPr>
      </w:pPr>
      <w:r>
        <w:rPr>
          <w:rFonts w:hint="eastAsia" w:ascii="宋体" w:hAnsi="宋体" w:cs="宋体"/>
          <w:bCs/>
          <w:color w:val="auto"/>
          <w:sz w:val="24"/>
          <w:highlight w:val="none"/>
        </w:rPr>
        <w:t xml:space="preserve"> </w:t>
      </w:r>
    </w:p>
    <w:p w14:paraId="537E9763">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所投分标：</w:t>
      </w:r>
    </w:p>
    <w:p w14:paraId="1487F3BC">
      <w:pPr>
        <w:snapToGrid w:val="0"/>
        <w:spacing w:before="120" w:beforeLines="50" w:after="50"/>
        <w:ind w:firstLine="540" w:firstLineChars="225"/>
        <w:rPr>
          <w:rFonts w:hint="eastAsia" w:ascii="宋体" w:hAnsi="宋体" w:cs="宋体"/>
          <w:bCs/>
          <w:color w:val="auto"/>
          <w:sz w:val="24"/>
          <w:szCs w:val="20"/>
          <w:highlight w:val="none"/>
        </w:rPr>
      </w:pPr>
    </w:p>
    <w:p w14:paraId="191586AF">
      <w:pPr>
        <w:pStyle w:val="9"/>
        <w:snapToGrid w:val="0"/>
        <w:spacing w:before="50" w:after="50"/>
        <w:ind w:firstLine="540" w:firstLineChars="225"/>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投标人名称：</w:t>
      </w:r>
    </w:p>
    <w:p w14:paraId="425A1056">
      <w:pPr>
        <w:pStyle w:val="9"/>
        <w:snapToGrid w:val="0"/>
        <w:spacing w:before="50" w:after="50"/>
        <w:ind w:firstLine="540" w:firstLineChars="225"/>
        <w:rPr>
          <w:rFonts w:hint="eastAsia" w:ascii="宋体" w:hAnsi="宋体" w:cs="宋体"/>
          <w:bCs/>
          <w:color w:val="auto"/>
          <w:sz w:val="24"/>
          <w:szCs w:val="24"/>
          <w:highlight w:val="none"/>
        </w:rPr>
      </w:pPr>
    </w:p>
    <w:p w14:paraId="73D6CF70">
      <w:pPr>
        <w:pStyle w:val="9"/>
        <w:snapToGrid w:val="0"/>
        <w:spacing w:before="50" w:after="50"/>
        <w:ind w:firstLine="540" w:firstLineChars="225"/>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投标人地址：</w:t>
      </w:r>
    </w:p>
    <w:p w14:paraId="6CF05E2F">
      <w:pPr>
        <w:pStyle w:val="9"/>
        <w:snapToGrid w:val="0"/>
        <w:spacing w:before="50" w:after="50"/>
        <w:ind w:firstLine="960" w:firstLineChars="400"/>
        <w:rPr>
          <w:rFonts w:hint="eastAsia" w:ascii="宋体" w:hAnsi="宋体" w:cs="宋体"/>
          <w:bCs/>
          <w:color w:val="auto"/>
          <w:sz w:val="24"/>
          <w:szCs w:val="24"/>
          <w:highlight w:val="none"/>
        </w:rPr>
      </w:pPr>
    </w:p>
    <w:p w14:paraId="67E48A09">
      <w:pPr>
        <w:snapToGrid w:val="0"/>
        <w:spacing w:before="120" w:beforeLines="50" w:after="50"/>
        <w:ind w:firstLine="645"/>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433B0B56">
      <w:pPr>
        <w:snapToGrid w:val="0"/>
        <w:spacing w:before="120" w:beforeLines="50" w:after="50"/>
        <w:rPr>
          <w:rFonts w:hint="eastAsia" w:ascii="宋体" w:hAnsi="宋体" w:cs="宋体"/>
          <w:color w:val="auto"/>
          <w:sz w:val="24"/>
          <w:szCs w:val="20"/>
          <w:highlight w:val="none"/>
        </w:rPr>
      </w:pPr>
      <w:r>
        <w:rPr>
          <w:rFonts w:hint="eastAsia" w:ascii="宋体" w:hAnsi="宋体" w:cs="宋体"/>
          <w:color w:val="auto"/>
          <w:sz w:val="24"/>
          <w:szCs w:val="20"/>
          <w:highlight w:val="none"/>
        </w:rPr>
        <w:t xml:space="preserve"> </w:t>
      </w:r>
    </w:p>
    <w:p w14:paraId="4F05AF32">
      <w:pPr>
        <w:snapToGrid w:val="0"/>
        <w:spacing w:line="360" w:lineRule="auto"/>
        <w:jc w:val="center"/>
        <w:rPr>
          <w:rFonts w:hint="eastAsia" w:ascii="宋体" w:hAnsi="宋体" w:cs="宋体"/>
          <w:b/>
          <w:bCs/>
          <w:color w:val="auto"/>
          <w:sz w:val="28"/>
          <w:szCs w:val="28"/>
          <w:highlight w:val="none"/>
        </w:rPr>
      </w:pPr>
      <w:r>
        <w:rPr>
          <w:rFonts w:hint="eastAsia" w:ascii="宋体" w:hAnsi="宋体" w:cs="宋体"/>
          <w:color w:val="auto"/>
          <w:sz w:val="24"/>
          <w:szCs w:val="20"/>
          <w:highlight w:val="none"/>
        </w:rPr>
        <w:br w:type="page"/>
      </w:r>
      <w:r>
        <w:rPr>
          <w:rFonts w:hint="eastAsia" w:ascii="宋体" w:hAnsi="宋体" w:eastAsia="宋体" w:cs="宋体"/>
          <w:b/>
          <w:bCs/>
          <w:color w:val="auto"/>
          <w:sz w:val="28"/>
          <w:szCs w:val="28"/>
          <w:highlight w:val="none"/>
          <w:lang w:val="en-US" w:eastAsia="zh-CN"/>
        </w:rPr>
        <w:t>2.</w:t>
      </w:r>
      <w:r>
        <w:rPr>
          <w:rFonts w:hint="eastAsia" w:ascii="宋体" w:hAnsi="宋体" w:eastAsia="宋体" w:cs="宋体"/>
          <w:b/>
          <w:bCs/>
          <w:color w:val="auto"/>
          <w:sz w:val="28"/>
          <w:szCs w:val="28"/>
          <w:highlight w:val="none"/>
        </w:rPr>
        <w:t>商务及技术文件</w:t>
      </w:r>
      <w:r>
        <w:rPr>
          <w:rFonts w:hint="eastAsia" w:ascii="宋体" w:hAnsi="宋体" w:cs="宋体"/>
          <w:b/>
          <w:bCs/>
          <w:color w:val="auto"/>
          <w:sz w:val="28"/>
          <w:szCs w:val="28"/>
          <w:highlight w:val="none"/>
        </w:rPr>
        <w:t>目录</w:t>
      </w:r>
    </w:p>
    <w:p w14:paraId="773179EA">
      <w:pPr>
        <w:snapToGrid w:val="0"/>
        <w:spacing w:before="50" w:after="120" w:afterLines="50" w:line="360" w:lineRule="auto"/>
        <w:jc w:val="center"/>
        <w:rPr>
          <w:rFonts w:hint="eastAsia" w:ascii="宋体" w:hAnsi="宋体" w:cs="宋体"/>
          <w:b/>
          <w:bCs/>
          <w:color w:val="auto"/>
          <w:sz w:val="24"/>
          <w:highlight w:val="none"/>
        </w:rPr>
      </w:pPr>
      <w:r>
        <w:rPr>
          <w:rFonts w:hint="eastAsia" w:ascii="宋体" w:hAnsi="宋体" w:cs="宋体"/>
          <w:color w:val="auto"/>
          <w:szCs w:val="21"/>
          <w:highlight w:val="none"/>
        </w:rPr>
        <w:t>根据招标文件规定及投标人提供的材料自行编写目录。</w:t>
      </w:r>
    </w:p>
    <w:p w14:paraId="29609BEF">
      <w:pPr>
        <w:snapToGrid w:val="0"/>
        <w:spacing w:before="50" w:after="120" w:afterLines="50"/>
        <w:jc w:val="left"/>
        <w:rPr>
          <w:rFonts w:hint="eastAsia" w:ascii="宋体" w:hAnsi="宋体" w:cs="宋体"/>
          <w:color w:val="auto"/>
          <w:highlight w:val="none"/>
        </w:rPr>
      </w:pPr>
    </w:p>
    <w:p w14:paraId="3B1A5D9F">
      <w:pPr>
        <w:snapToGrid w:val="0"/>
        <w:spacing w:before="120" w:beforeLines="50" w:after="50"/>
        <w:jc w:val="left"/>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lang w:val="en-US" w:eastAsia="zh-CN"/>
        </w:rPr>
        <w:t>3</w:t>
      </w:r>
      <w:r>
        <w:rPr>
          <w:rFonts w:hint="eastAsia" w:ascii="宋体" w:hAnsi="宋体" w:cs="宋体"/>
          <w:b/>
          <w:color w:val="auto"/>
          <w:sz w:val="24"/>
          <w:highlight w:val="none"/>
        </w:rPr>
        <w:t>. 无串通投标行为的承诺函</w:t>
      </w:r>
    </w:p>
    <w:p w14:paraId="48E52DEA">
      <w:pPr>
        <w:snapToGrid w:val="0"/>
        <w:spacing w:before="120" w:beforeLines="50" w:after="50"/>
        <w:jc w:val="left"/>
        <w:rPr>
          <w:rFonts w:hint="eastAsia" w:ascii="宋体" w:hAnsi="宋体" w:cs="宋体"/>
          <w:b/>
          <w:color w:val="auto"/>
          <w:sz w:val="24"/>
          <w:highlight w:val="none"/>
        </w:rPr>
      </w:pPr>
    </w:p>
    <w:p w14:paraId="092C192F">
      <w:pPr>
        <w:snapToGrid w:val="0"/>
        <w:spacing w:before="120" w:beforeLines="50" w:after="50"/>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无串通投标行为的承诺函</w:t>
      </w:r>
    </w:p>
    <w:p w14:paraId="3AE702D8">
      <w:pPr>
        <w:keepNext w:val="0"/>
        <w:keepLines w:val="0"/>
        <w:pageBreakBefore w:val="0"/>
        <w:widowControl w:val="0"/>
        <w:kinsoku/>
        <w:wordWrap/>
        <w:overflowPunct/>
        <w:topLinePunct w:val="0"/>
        <w:autoSpaceDE/>
        <w:autoSpaceDN/>
        <w:bidi w:val="0"/>
        <w:adjustRightInd/>
        <w:snapToGrid/>
        <w:spacing w:line="400" w:lineRule="exact"/>
        <w:contextualSpacing/>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一、我方承诺无下列相互串通投标的情形：</w:t>
      </w:r>
    </w:p>
    <w:p w14:paraId="59877BBB">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1.不同投标人的投标文件由同一单位或者个人编制；或者不同投标人报名的IP地址一致的；或者编制标书硬件设备CPU编号、硬盘编号、网卡地址一致的情况。</w:t>
      </w:r>
    </w:p>
    <w:p w14:paraId="29FFB19E">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2.不同投标人委托同一单位或者个人办理投标事宜；</w:t>
      </w:r>
    </w:p>
    <w:p w14:paraId="31A7E8D8">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3.不同的投标人的投标文件载明的项目管理员为同一个人；</w:t>
      </w:r>
    </w:p>
    <w:p w14:paraId="0805759A">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4.不同投标人的投标文件异常一致或者投标报价呈规律性差异；</w:t>
      </w:r>
    </w:p>
    <w:p w14:paraId="0949F551">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5.不同投标人的投标文件相互混装；</w:t>
      </w:r>
    </w:p>
    <w:p w14:paraId="35429497">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6.不同投标人的投标保证金从同一单位或者个人账户转出。</w:t>
      </w:r>
    </w:p>
    <w:p w14:paraId="7FEB53DA">
      <w:pPr>
        <w:keepNext w:val="0"/>
        <w:keepLines w:val="0"/>
        <w:pageBreakBefore w:val="0"/>
        <w:widowControl w:val="0"/>
        <w:kinsoku/>
        <w:wordWrap/>
        <w:overflowPunct/>
        <w:topLinePunct w:val="0"/>
        <w:autoSpaceDE/>
        <w:autoSpaceDN/>
        <w:bidi w:val="0"/>
        <w:adjustRightInd/>
        <w:snapToGri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b/>
          <w:color w:val="auto"/>
          <w:szCs w:val="21"/>
          <w:highlight w:val="none"/>
        </w:rPr>
        <w:t>二、我方承诺无下列恶意串通的情形：</w:t>
      </w:r>
    </w:p>
    <w:p w14:paraId="13D912F8">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1.投标人直接或者间接从采购人或者采购代理机构处获得其他投标人的相关信息并修改其投标文件或者响应文件；</w:t>
      </w:r>
    </w:p>
    <w:p w14:paraId="6B91FAC7">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2.投标人按照采购人或者采购代理机构的授意撤换、修改投标文件或者响应文件；</w:t>
      </w:r>
    </w:p>
    <w:p w14:paraId="20E00ECC">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3.投标人之间协商报价、技术方案等投标文件或者响应文件的实质性内容；</w:t>
      </w:r>
    </w:p>
    <w:p w14:paraId="6EC9E142">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4.属于同一集团、协会、商会等组织成员的投标人按照该组织要求协同参加政府采购活动；</w:t>
      </w:r>
    </w:p>
    <w:p w14:paraId="2F95A699">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5.投标人之间事先约定一致抬高或者压低投标报价，或者在招标项目中事先约定轮流以高价位或者低价位中标，或者事先约定由某一特定投标人中标，然后再参加投标；</w:t>
      </w:r>
    </w:p>
    <w:p w14:paraId="5D45135A">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6.投标人之间商定部分投标人放弃参加政府采购活动或者放弃中标；</w:t>
      </w:r>
    </w:p>
    <w:p w14:paraId="1F2BEBAB">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7.投标人与采购人或者采购代理机构之间、投标人相互之间，为谋求特定投标人中标或者排斥其他投标人的其他串通行为。</w:t>
      </w:r>
    </w:p>
    <w:p w14:paraId="3A2C2484">
      <w:pPr>
        <w:keepNext w:val="0"/>
        <w:keepLines w:val="0"/>
        <w:pageBreakBefore w:val="0"/>
        <w:widowControl w:val="0"/>
        <w:kinsoku/>
        <w:wordWrap/>
        <w:overflowPunct/>
        <w:topLinePunct w:val="0"/>
        <w:autoSpaceDE/>
        <w:autoSpaceDN/>
        <w:bidi w:val="0"/>
        <w:adjustRightInd/>
        <w:snapToGrid/>
        <w:spacing w:line="400" w:lineRule="exact"/>
        <w:ind w:firstLine="413" w:firstLineChars="196"/>
        <w:contextualSpacing/>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以上情形一经核查属实，我方愿意承担一切后果，并不再寻求任何旨在减轻或者免除法律责任的辩解。</w:t>
      </w:r>
    </w:p>
    <w:p w14:paraId="4C6E3FD7">
      <w:pPr>
        <w:pStyle w:val="22"/>
        <w:keepNext w:val="0"/>
        <w:keepLines w:val="0"/>
        <w:pageBreakBefore w:val="0"/>
        <w:widowControl w:val="0"/>
        <w:kinsoku/>
        <w:wordWrap/>
        <w:overflowPunct/>
        <w:topLinePunct w:val="0"/>
        <w:autoSpaceDE/>
        <w:autoSpaceDN/>
        <w:bidi w:val="0"/>
        <w:adjustRightInd/>
        <w:snapToGrid/>
        <w:spacing w:line="400" w:lineRule="exact"/>
        <w:ind w:firstLine="840" w:firstLineChars="400"/>
        <w:textAlignment w:val="auto"/>
        <w:rPr>
          <w:rFonts w:hint="eastAsia" w:hAnsi="宋体" w:cs="宋体"/>
          <w:color w:val="auto"/>
          <w:highlight w:val="none"/>
        </w:rPr>
      </w:pPr>
      <w:r>
        <w:rPr>
          <w:rFonts w:hint="eastAsia" w:hAnsi="宋体" w:cs="宋体"/>
          <w:color w:val="auto"/>
          <w:highlight w:val="none"/>
        </w:rPr>
        <w:t xml:space="preserve"> </w:t>
      </w:r>
    </w:p>
    <w:p w14:paraId="6B4A33C4">
      <w:pPr>
        <w:pStyle w:val="22"/>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hAnsi="宋体" w:cs="宋体"/>
          <w:color w:val="auto"/>
          <w:highlight w:val="none"/>
        </w:rPr>
      </w:pPr>
      <w:r>
        <w:rPr>
          <w:rFonts w:hint="eastAsia" w:hAnsi="宋体" w:cs="宋体"/>
          <w:color w:val="auto"/>
          <w:highlight w:val="none"/>
        </w:rPr>
        <w:t xml:space="preserve">                                    投标人名称（电子签章）:</w:t>
      </w:r>
      <w:r>
        <w:rPr>
          <w:rFonts w:hint="eastAsia" w:hAnsi="宋体" w:cs="宋体"/>
          <w:color w:val="auto"/>
          <w:spacing w:val="20"/>
          <w:highlight w:val="none"/>
          <w:u w:val="single"/>
        </w:rPr>
        <w:t xml:space="preserve">            </w:t>
      </w:r>
      <w:r>
        <w:rPr>
          <w:rFonts w:hint="eastAsia" w:hAnsi="宋体" w:cs="宋体"/>
          <w:color w:val="auto"/>
          <w:spacing w:val="20"/>
          <w:highlight w:val="none"/>
        </w:rPr>
        <w:t xml:space="preserve"> </w:t>
      </w:r>
    </w:p>
    <w:p w14:paraId="72A6EA7D">
      <w:pPr>
        <w:pStyle w:val="22"/>
        <w:keepNext w:val="0"/>
        <w:keepLines w:val="0"/>
        <w:pageBreakBefore w:val="0"/>
        <w:widowControl w:val="0"/>
        <w:kinsoku/>
        <w:wordWrap/>
        <w:overflowPunct/>
        <w:topLinePunct w:val="0"/>
        <w:autoSpaceDE/>
        <w:autoSpaceDN/>
        <w:bidi w:val="0"/>
        <w:adjustRightInd/>
        <w:snapToGrid/>
        <w:spacing w:line="400" w:lineRule="exact"/>
        <w:contextualSpacing/>
        <w:jc w:val="right"/>
        <w:textAlignment w:val="auto"/>
        <w:rPr>
          <w:rFonts w:hint="eastAsia" w:hAnsi="宋体" w:cs="宋体"/>
          <w:color w:val="auto"/>
          <w:highlight w:val="none"/>
        </w:rPr>
      </w:pPr>
      <w:r>
        <w:rPr>
          <w:rFonts w:hint="eastAsia" w:hAnsi="宋体" w:cs="宋体"/>
          <w:color w:val="auto"/>
          <w:highlight w:val="none"/>
        </w:rPr>
        <w:t xml:space="preserve">                                                </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月</w:t>
      </w:r>
      <w:r>
        <w:rPr>
          <w:rFonts w:hint="eastAsia" w:hAnsi="宋体" w:cs="宋体"/>
          <w:color w:val="auto"/>
          <w:highlight w:val="none"/>
          <w:u w:val="single"/>
        </w:rPr>
        <w:t xml:space="preserve">     </w:t>
      </w:r>
      <w:r>
        <w:rPr>
          <w:rFonts w:hint="eastAsia" w:hAnsi="宋体" w:cs="宋体"/>
          <w:color w:val="auto"/>
          <w:highlight w:val="none"/>
        </w:rPr>
        <w:t>日</w:t>
      </w:r>
    </w:p>
    <w:p w14:paraId="161D1F2A">
      <w:pPr>
        <w:snapToGrid w:val="0"/>
        <w:spacing w:before="120" w:beforeLines="50" w:after="50" w:line="360" w:lineRule="auto"/>
        <w:ind w:firstLine="472" w:firstLineChars="196"/>
        <w:jc w:val="left"/>
        <w:rPr>
          <w:rFonts w:hint="eastAsia" w:ascii="宋体" w:hAnsi="宋体"/>
          <w:color w:val="auto"/>
          <w:szCs w:val="21"/>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lang w:val="en-US" w:eastAsia="zh-CN"/>
        </w:rPr>
        <w:t>4</w:t>
      </w:r>
      <w:r>
        <w:rPr>
          <w:rFonts w:hint="eastAsia" w:ascii="宋体" w:hAnsi="宋体" w:cs="宋体"/>
          <w:b/>
          <w:color w:val="auto"/>
          <w:sz w:val="24"/>
          <w:highlight w:val="none"/>
        </w:rPr>
        <w:t>.投标保证金缴纳证明</w:t>
      </w:r>
    </w:p>
    <w:p w14:paraId="014AC5E1">
      <w:pPr>
        <w:keepNext w:val="0"/>
        <w:keepLines w:val="0"/>
        <w:pageBreakBefore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olor w:val="auto"/>
          <w:szCs w:val="21"/>
          <w:highlight w:val="none"/>
        </w:rPr>
      </w:pPr>
      <w:r>
        <w:rPr>
          <w:rFonts w:hint="eastAsia" w:ascii="宋体" w:hAnsi="宋体"/>
          <w:color w:val="auto"/>
          <w:szCs w:val="21"/>
          <w:highlight w:val="none"/>
        </w:rPr>
        <w:t>附：银行出具的汇款单或转账凭证扫描件或保函扫描件。</w:t>
      </w:r>
    </w:p>
    <w:p w14:paraId="706F2186">
      <w:pPr>
        <w:rPr>
          <w:rFonts w:hint="eastAsia"/>
          <w:color w:val="auto"/>
          <w:highlight w:val="none"/>
        </w:rPr>
      </w:pPr>
    </w:p>
    <w:p w14:paraId="16E03044">
      <w:pPr>
        <w:spacing w:line="520" w:lineRule="exact"/>
        <w:ind w:left="239" w:leftChars="114" w:firstLine="6144" w:firstLineChars="2550"/>
        <w:jc w:val="left"/>
        <w:rPr>
          <w:rFonts w:hint="eastAsia" w:ascii="宋体" w:hAnsi="宋体" w:cs="宋体"/>
          <w:b/>
          <w:color w:val="auto"/>
          <w:kern w:val="0"/>
          <w:sz w:val="24"/>
          <w:highlight w:val="none"/>
        </w:rPr>
      </w:pPr>
    </w:p>
    <w:p w14:paraId="33B8897B">
      <w:pPr>
        <w:snapToGrid w:val="0"/>
        <w:spacing w:before="120" w:beforeLines="50" w:after="50"/>
        <w:ind w:firstLine="472" w:firstLineChars="196"/>
        <w:jc w:val="left"/>
        <w:rPr>
          <w:rFonts w:hint="eastAsia" w:ascii="宋体" w:hAnsi="宋体" w:cs="宋体"/>
          <w:b/>
          <w:color w:val="auto"/>
          <w:sz w:val="24"/>
          <w:szCs w:val="20"/>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lang w:val="en-US" w:eastAsia="zh-CN"/>
        </w:rPr>
        <w:t>5</w:t>
      </w:r>
      <w:r>
        <w:rPr>
          <w:rFonts w:hint="eastAsia" w:ascii="宋体" w:hAnsi="宋体" w:cs="宋体"/>
          <w:b/>
          <w:color w:val="auto"/>
          <w:sz w:val="24"/>
          <w:highlight w:val="none"/>
        </w:rPr>
        <w:t>.法定代表人身份证明</w:t>
      </w:r>
    </w:p>
    <w:p w14:paraId="4BAECEAB">
      <w:pPr>
        <w:spacing w:before="240" w:beforeLines="100" w:after="120" w:afterLines="50"/>
        <w:ind w:left="540"/>
        <w:jc w:val="center"/>
        <w:rPr>
          <w:rFonts w:hint="eastAsia" w:ascii="宋体" w:hAnsi="宋体" w:cs="宋体"/>
          <w:b/>
          <w:color w:val="auto"/>
          <w:sz w:val="32"/>
          <w:szCs w:val="32"/>
          <w:highlight w:val="none"/>
        </w:rPr>
      </w:pPr>
    </w:p>
    <w:p w14:paraId="629D46BB">
      <w:pPr>
        <w:spacing w:before="240" w:beforeLines="100" w:after="120" w:afterLines="50"/>
        <w:ind w:left="540"/>
        <w:jc w:val="center"/>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法定代表人身份证明</w:t>
      </w:r>
    </w:p>
    <w:p w14:paraId="234218E7">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r>
        <w:rPr>
          <w:rFonts w:hint="eastAsia" w:ascii="宋体" w:hAnsi="宋体" w:cs="宋体"/>
          <w:color w:val="auto"/>
          <w:szCs w:val="21"/>
          <w:highlight w:val="none"/>
        </w:rPr>
        <w:t>投 标 人：</w:t>
      </w:r>
      <w:r>
        <w:rPr>
          <w:rFonts w:hint="eastAsia" w:ascii="宋体" w:hAnsi="宋体" w:cs="宋体"/>
          <w:color w:val="auto"/>
          <w:szCs w:val="21"/>
          <w:highlight w:val="none"/>
          <w:u w:val="single"/>
        </w:rPr>
        <w:t xml:space="preserve">                                                        </w:t>
      </w:r>
    </w:p>
    <w:p w14:paraId="40F72481">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r>
        <w:rPr>
          <w:rFonts w:hint="eastAsia" w:ascii="宋体" w:hAnsi="宋体" w:cs="宋体"/>
          <w:color w:val="auto"/>
          <w:szCs w:val="21"/>
          <w:highlight w:val="none"/>
        </w:rPr>
        <w:t>地    址：</w:t>
      </w:r>
      <w:r>
        <w:rPr>
          <w:rFonts w:hint="eastAsia" w:ascii="宋体" w:hAnsi="宋体" w:cs="宋体"/>
          <w:color w:val="auto"/>
          <w:szCs w:val="21"/>
          <w:highlight w:val="none"/>
          <w:u w:val="single"/>
        </w:rPr>
        <w:t xml:space="preserve">                                                        </w:t>
      </w:r>
    </w:p>
    <w:p w14:paraId="74B2D3CD">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r>
        <w:rPr>
          <w:rFonts w:hint="eastAsia" w:ascii="宋体" w:hAnsi="宋体" w:cs="宋体"/>
          <w:color w:val="auto"/>
          <w:szCs w:val="21"/>
          <w:highlight w:val="none"/>
        </w:rPr>
        <w:t>姓    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      别：</w:t>
      </w:r>
      <w:r>
        <w:rPr>
          <w:rFonts w:hint="eastAsia" w:ascii="宋体" w:hAnsi="宋体" w:cs="宋体"/>
          <w:color w:val="auto"/>
          <w:szCs w:val="21"/>
          <w:highlight w:val="none"/>
          <w:u w:val="single"/>
        </w:rPr>
        <w:t xml:space="preserve">                </w:t>
      </w:r>
    </w:p>
    <w:p w14:paraId="6C5C73EA">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年    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      务：</w:t>
      </w:r>
      <w:r>
        <w:rPr>
          <w:rFonts w:hint="eastAsia" w:ascii="宋体" w:hAnsi="宋体" w:cs="宋体"/>
          <w:color w:val="auto"/>
          <w:szCs w:val="21"/>
          <w:highlight w:val="none"/>
          <w:u w:val="single"/>
        </w:rPr>
        <w:t xml:space="preserve">                </w:t>
      </w:r>
    </w:p>
    <w:p w14:paraId="1DE8B7C8">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p>
    <w:p w14:paraId="43AA769F">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u w:val="single"/>
        </w:rPr>
        <w:t xml:space="preserve">            （投标人名称）              </w:t>
      </w:r>
      <w:r>
        <w:rPr>
          <w:rFonts w:hint="eastAsia" w:ascii="宋体" w:hAnsi="宋体" w:cs="宋体"/>
          <w:color w:val="auto"/>
          <w:szCs w:val="21"/>
          <w:highlight w:val="none"/>
        </w:rPr>
        <w:t>的法定代表人。</w:t>
      </w:r>
    </w:p>
    <w:p w14:paraId="0FA08873">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r>
        <w:rPr>
          <w:rFonts w:hint="eastAsia" w:ascii="宋体" w:hAnsi="宋体" w:cs="宋体"/>
          <w:color w:val="auto"/>
          <w:szCs w:val="21"/>
          <w:highlight w:val="none"/>
        </w:rPr>
        <w:t>特此证明。</w:t>
      </w:r>
    </w:p>
    <w:p w14:paraId="316F67A0">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p>
    <w:p w14:paraId="3B3C32C0">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p>
    <w:p w14:paraId="2E886650">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r>
        <w:rPr>
          <w:rFonts w:hint="eastAsia" w:ascii="宋体" w:hAnsi="宋体" w:cs="宋体"/>
          <w:color w:val="auto"/>
          <w:szCs w:val="21"/>
          <w:highlight w:val="none"/>
        </w:rPr>
        <w:t>附件：法定代表人有效身份证正反面复印件</w:t>
      </w:r>
    </w:p>
    <w:p w14:paraId="32C2A9EC">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p>
    <w:p w14:paraId="2855C1A3">
      <w:pPr>
        <w:keepNext w:val="0"/>
        <w:keepLines w:val="0"/>
        <w:pageBreakBefore w:val="0"/>
        <w:widowControl w:val="0"/>
        <w:kinsoku/>
        <w:wordWrap/>
        <w:overflowPunct/>
        <w:topLinePunct w:val="0"/>
        <w:autoSpaceDE/>
        <w:autoSpaceDN/>
        <w:bidi w:val="0"/>
        <w:adjustRightInd/>
        <w:spacing w:line="400" w:lineRule="exact"/>
        <w:ind w:right="420" w:firstLine="4620" w:firstLineChars="2200"/>
        <w:textAlignment w:val="auto"/>
        <w:rPr>
          <w:rFonts w:hint="eastAsia" w:ascii="宋体" w:hAnsi="宋体" w:cs="宋体"/>
          <w:color w:val="auto"/>
          <w:szCs w:val="21"/>
          <w:highlight w:val="none"/>
        </w:rPr>
      </w:pPr>
      <w:r>
        <w:rPr>
          <w:rFonts w:hint="eastAsia" w:ascii="宋体" w:hAnsi="宋体" w:cs="宋体"/>
          <w:color w:val="auto"/>
          <w:szCs w:val="21"/>
          <w:highlight w:val="none"/>
        </w:rPr>
        <w:t>投标人名称（电子签章）: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180E7230">
      <w:pPr>
        <w:keepNext w:val="0"/>
        <w:keepLines w:val="0"/>
        <w:pageBreakBefore w:val="0"/>
        <w:widowControl w:val="0"/>
        <w:kinsoku/>
        <w:wordWrap/>
        <w:overflowPunct/>
        <w:topLinePunct w:val="0"/>
        <w:autoSpaceDE/>
        <w:autoSpaceDN/>
        <w:bidi w:val="0"/>
        <w:adjustRightInd/>
        <w:snapToGrid w:val="0"/>
        <w:spacing w:before="120" w:beforeLines="50" w:after="50" w:line="400" w:lineRule="exact"/>
        <w:ind w:left="540" w:right="420"/>
        <w:jc w:val="right"/>
        <w:textAlignment w:val="auto"/>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5204ABAD">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hint="eastAsia" w:ascii="宋体" w:hAnsi="宋体" w:cs="宋体"/>
          <w:b/>
          <w:color w:val="auto"/>
          <w:szCs w:val="21"/>
          <w:highlight w:val="none"/>
        </w:rPr>
      </w:pPr>
    </w:p>
    <w:p w14:paraId="52067E48">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Cs w:val="21"/>
          <w:highlight w:val="none"/>
        </w:rPr>
      </w:pPr>
      <w:r>
        <w:rPr>
          <w:rFonts w:hint="eastAsia" w:ascii="宋体" w:hAnsi="宋体" w:cs="宋体"/>
          <w:color w:val="auto"/>
          <w:szCs w:val="21"/>
          <w:highlight w:val="none"/>
        </w:rPr>
        <w:t>注：自然人投标的无需提供</w:t>
      </w:r>
    </w:p>
    <w:p w14:paraId="66CAB43A">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 w:val="24"/>
          <w:szCs w:val="20"/>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lang w:val="en-US" w:eastAsia="zh-CN"/>
        </w:rPr>
        <w:t>6</w:t>
      </w:r>
      <w:r>
        <w:rPr>
          <w:rFonts w:hint="eastAsia" w:ascii="宋体" w:hAnsi="宋体" w:cs="宋体"/>
          <w:b/>
          <w:color w:val="auto"/>
          <w:sz w:val="24"/>
          <w:highlight w:val="none"/>
        </w:rPr>
        <w:t>.授权委托书格式</w:t>
      </w:r>
    </w:p>
    <w:p w14:paraId="1C4BCE88">
      <w:pPr>
        <w:snapToGrid w:val="0"/>
        <w:spacing w:before="120" w:beforeLines="50" w:after="50"/>
        <w:jc w:val="center"/>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授权委托书</w:t>
      </w:r>
    </w:p>
    <w:p w14:paraId="524FD4D3">
      <w:pPr>
        <w:snapToGrid w:val="0"/>
        <w:spacing w:before="120" w:beforeLines="50" w:after="50"/>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（非联合体投标格式）</w:t>
      </w:r>
    </w:p>
    <w:p w14:paraId="7D3EC16A">
      <w:pPr>
        <w:snapToGrid w:val="0"/>
        <w:spacing w:before="120" w:beforeLines="50" w:after="50"/>
        <w:jc w:val="center"/>
        <w:rPr>
          <w:rFonts w:hint="eastAsia" w:ascii="宋体" w:hAnsi="宋体" w:cs="宋体"/>
          <w:b/>
          <w:color w:val="auto"/>
          <w:sz w:val="24"/>
          <w:highlight w:val="none"/>
        </w:rPr>
      </w:pPr>
      <w:r>
        <w:rPr>
          <w:rFonts w:hint="eastAsia" w:ascii="宋体" w:hAnsi="宋体" w:cs="宋体"/>
          <w:b/>
          <w:color w:val="auto"/>
          <w:sz w:val="32"/>
          <w:szCs w:val="32"/>
          <w:highlight w:val="none"/>
        </w:rPr>
        <w:t>（如有委托时）</w:t>
      </w:r>
    </w:p>
    <w:p w14:paraId="7F9E673F">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b/>
          <w:bCs/>
          <w:color w:val="auto"/>
          <w:szCs w:val="21"/>
          <w:highlight w:val="none"/>
        </w:rPr>
      </w:pPr>
      <w:r>
        <w:rPr>
          <w:rFonts w:hint="eastAsia" w:ascii="宋体" w:hAnsi="宋体" w:cs="宋体"/>
          <w:bCs/>
          <w:color w:val="auto"/>
          <w:szCs w:val="21"/>
          <w:highlight w:val="none"/>
        </w:rPr>
        <w:t>致：</w:t>
      </w:r>
      <w:r>
        <w:rPr>
          <w:rFonts w:hint="eastAsia" w:ascii="宋体" w:hAnsi="宋体" w:cs="宋体"/>
          <w:color w:val="auto"/>
          <w:szCs w:val="21"/>
          <w:highlight w:val="none"/>
          <w:u w:val="single"/>
        </w:rPr>
        <w:t>采购人名称</w:t>
      </w:r>
    </w:p>
    <w:p w14:paraId="1952A81A">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我</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（投标人名称）的法定代表人，现授权委托</w:t>
      </w:r>
      <w:r>
        <w:rPr>
          <w:rFonts w:hint="eastAsia" w:ascii="宋体" w:hAnsi="宋体" w:cs="宋体"/>
          <w:color w:val="auto"/>
          <w:szCs w:val="21"/>
          <w:highlight w:val="none"/>
          <w:u w:val="single"/>
        </w:rPr>
        <w:t xml:space="preserve">              （姓名）</w:t>
      </w:r>
      <w:r>
        <w:rPr>
          <w:rFonts w:hint="eastAsia" w:ascii="宋体" w:hAnsi="宋体" w:cs="宋体"/>
          <w:color w:val="auto"/>
          <w:szCs w:val="21"/>
          <w:highlight w:val="none"/>
        </w:rPr>
        <w:t>以我方的名义参加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项目的投标活动，并代表我方全权办理针对上述项目的所有采购程序和环节的具体事务和签署相关文件。</w:t>
      </w:r>
    </w:p>
    <w:p w14:paraId="13D942CB">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我方对委托代理人的签字或者电子签名事项负全部责任。</w:t>
      </w:r>
    </w:p>
    <w:p w14:paraId="278B7805">
      <w:pPr>
        <w:keepNext w:val="0"/>
        <w:keepLines w:val="0"/>
        <w:pageBreakBefore w:val="0"/>
        <w:widowControl w:val="0"/>
        <w:kinsoku/>
        <w:wordWrap/>
        <w:overflowPunct/>
        <w:topLinePunct w:val="0"/>
        <w:autoSpaceDE/>
        <w:autoSpaceDN/>
        <w:bidi w:val="0"/>
        <w:adjustRightInd/>
        <w:spacing w:line="400" w:lineRule="exact"/>
        <w:ind w:firstLine="480"/>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u w:val="single"/>
        </w:rPr>
        <w:t>本授权书自签署之日起生效，在撤销授权的书面通知以前，本授权书一直有效。委托代理人在授权书有效期内签署的所有文件不因授权的撤销而失效。</w:t>
      </w:r>
    </w:p>
    <w:p w14:paraId="7A825AD0">
      <w:pPr>
        <w:keepNext w:val="0"/>
        <w:keepLines w:val="0"/>
        <w:pageBreakBefore w:val="0"/>
        <w:widowControl w:val="0"/>
        <w:kinsoku/>
        <w:wordWrap/>
        <w:overflowPunct/>
        <w:topLinePunct w:val="0"/>
        <w:autoSpaceDE/>
        <w:autoSpaceDN/>
        <w:bidi w:val="0"/>
        <w:adjustRightInd/>
        <w:spacing w:line="400" w:lineRule="exact"/>
        <w:ind w:firstLine="480"/>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委托代理人无转委托权，特此委托。</w:t>
      </w:r>
    </w:p>
    <w:p w14:paraId="3D5DE1EA">
      <w:pPr>
        <w:keepNext w:val="0"/>
        <w:keepLines w:val="0"/>
        <w:pageBreakBefore w:val="0"/>
        <w:widowControl w:val="0"/>
        <w:kinsoku/>
        <w:wordWrap/>
        <w:overflowPunct/>
        <w:topLinePunct w:val="0"/>
        <w:autoSpaceDE/>
        <w:autoSpaceDN/>
        <w:bidi w:val="0"/>
        <w:adjustRightInd/>
        <w:spacing w:line="400" w:lineRule="exact"/>
        <w:ind w:firstLine="480"/>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附：法定代表人身份证明及委托代理人有效身份证正反面复印件</w:t>
      </w:r>
    </w:p>
    <w:p w14:paraId="3D309282">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rPr>
      </w:pPr>
    </w:p>
    <w:p w14:paraId="15BC6682">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委托代理人（签字或者电子签名）：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1062E482">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委托代理人身份证号码：</w:t>
      </w:r>
      <w:r>
        <w:rPr>
          <w:rFonts w:hint="eastAsia" w:ascii="宋体" w:hAnsi="宋体" w:cs="宋体"/>
          <w:color w:val="auto"/>
          <w:szCs w:val="21"/>
          <w:highlight w:val="none"/>
          <w:u w:val="single"/>
        </w:rPr>
        <w:t xml:space="preserve">                             </w:t>
      </w:r>
    </w:p>
    <w:p w14:paraId="75EC1FB7">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法定代表人（签字或者盖章或者电子签名）：</w:t>
      </w:r>
      <w:r>
        <w:rPr>
          <w:rFonts w:hint="eastAsia" w:ascii="宋体" w:hAnsi="宋体" w:cs="宋体"/>
          <w:color w:val="auto"/>
          <w:szCs w:val="21"/>
          <w:highlight w:val="none"/>
          <w:u w:val="single"/>
        </w:rPr>
        <w:t xml:space="preserve">              </w:t>
      </w:r>
    </w:p>
    <w:p w14:paraId="592CDE15">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74D10CF3">
      <w:pPr>
        <w:keepNext w:val="0"/>
        <w:keepLines w:val="0"/>
        <w:pageBreakBefore w:val="0"/>
        <w:widowControl w:val="0"/>
        <w:kinsoku/>
        <w:wordWrap/>
        <w:overflowPunct/>
        <w:topLinePunct w:val="0"/>
        <w:autoSpaceDE/>
        <w:autoSpaceDN/>
        <w:bidi w:val="0"/>
        <w:adjustRightInd/>
        <w:spacing w:line="400" w:lineRule="exact"/>
        <w:contextualSpacing/>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投标人名称（电子签章）：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5B00A977">
      <w:pPr>
        <w:keepNext w:val="0"/>
        <w:keepLines w:val="0"/>
        <w:pageBreakBefore w:val="0"/>
        <w:widowControl w:val="0"/>
        <w:kinsoku/>
        <w:wordWrap/>
        <w:overflowPunct/>
        <w:topLinePunct w:val="0"/>
        <w:autoSpaceDE/>
        <w:autoSpaceDN/>
        <w:bidi w:val="0"/>
        <w:adjustRightInd/>
        <w:snapToGrid w:val="0"/>
        <w:spacing w:before="120" w:beforeLines="50" w:after="50" w:line="400" w:lineRule="exact"/>
        <w:ind w:left="540" w:right="420"/>
        <w:jc w:val="righ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44E61026">
      <w:pPr>
        <w:keepNext w:val="0"/>
        <w:keepLines w:val="0"/>
        <w:pageBreakBefore w:val="0"/>
        <w:widowControl w:val="0"/>
        <w:kinsoku/>
        <w:wordWrap/>
        <w:overflowPunct/>
        <w:topLinePunct w:val="0"/>
        <w:autoSpaceDE/>
        <w:autoSpaceDN/>
        <w:bidi w:val="0"/>
        <w:adjustRightInd/>
        <w:spacing w:line="400" w:lineRule="exact"/>
        <w:contextualSpacing/>
        <w:jc w:val="center"/>
        <w:textAlignment w:val="auto"/>
        <w:rPr>
          <w:rFonts w:hint="eastAsia" w:ascii="宋体" w:hAnsi="宋体" w:cs="宋体"/>
          <w:color w:val="auto"/>
          <w:szCs w:val="21"/>
          <w:highlight w:val="none"/>
        </w:rPr>
      </w:pPr>
    </w:p>
    <w:p w14:paraId="0A9E25C2">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注：1.</w:t>
      </w:r>
      <w:bookmarkStart w:id="200" w:name="_Hlk65851555"/>
      <w:bookmarkStart w:id="201" w:name="_Hlk65851620"/>
      <w:r>
        <w:rPr>
          <w:rFonts w:hint="eastAsia" w:ascii="宋体" w:hAnsi="宋体" w:cs="宋体"/>
          <w:color w:val="auto"/>
          <w:szCs w:val="21"/>
          <w:highlight w:val="none"/>
        </w:rPr>
        <w:t>法定代表人必须在授权委托书上签字或者盖章或者电子签名，</w:t>
      </w:r>
      <w:bookmarkEnd w:id="200"/>
      <w:r>
        <w:rPr>
          <w:rFonts w:hint="eastAsia" w:ascii="宋体" w:hAnsi="宋体" w:cs="宋体"/>
          <w:color w:val="auto"/>
          <w:szCs w:val="21"/>
          <w:highlight w:val="none"/>
        </w:rPr>
        <w:t>委托代理人必须在授权委托书上签字或者电子签名，</w:t>
      </w:r>
      <w:r>
        <w:rPr>
          <w:rFonts w:hint="eastAsia" w:ascii="宋体" w:hAnsi="宋体" w:cs="宋体"/>
          <w:b/>
          <w:bCs/>
          <w:color w:val="auto"/>
          <w:szCs w:val="21"/>
          <w:highlight w:val="none"/>
        </w:rPr>
        <w:t>否则按无效投标处理</w:t>
      </w:r>
      <w:r>
        <w:rPr>
          <w:rFonts w:hint="eastAsia" w:ascii="宋体" w:hAnsi="宋体" w:cs="宋体"/>
          <w:color w:val="auto"/>
          <w:szCs w:val="21"/>
          <w:highlight w:val="none"/>
        </w:rPr>
        <w:t>；</w:t>
      </w:r>
      <w:bookmarkEnd w:id="201"/>
    </w:p>
    <w:p w14:paraId="7787FC3D">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2.法人、其他组织投标时“我方”是指“我单位”，自然人投标时“我方”是指“本人”。</w:t>
      </w:r>
    </w:p>
    <w:p w14:paraId="7D31BEDF">
      <w:pPr>
        <w:keepNext w:val="0"/>
        <w:keepLines w:val="0"/>
        <w:pageBreakBefore w:val="0"/>
        <w:widowControl w:val="0"/>
        <w:kinsoku/>
        <w:wordWrap/>
        <w:overflowPunct/>
        <w:topLinePunct w:val="0"/>
        <w:autoSpaceDE/>
        <w:autoSpaceDN/>
        <w:bidi w:val="0"/>
        <w:adjustRightInd/>
        <w:snapToGrid w:val="0"/>
        <w:spacing w:before="120" w:beforeLines="50" w:after="50" w:line="400" w:lineRule="exact"/>
        <w:ind w:firstLine="566" w:firstLineChars="236"/>
        <w:jc w:val="center"/>
        <w:textAlignment w:val="auto"/>
        <w:rPr>
          <w:rFonts w:hint="eastAsia" w:ascii="宋体" w:hAnsi="宋体" w:cs="宋体"/>
          <w:b/>
          <w:color w:val="auto"/>
          <w:sz w:val="30"/>
          <w:szCs w:val="30"/>
          <w:highlight w:val="none"/>
        </w:rPr>
      </w:pPr>
      <w:r>
        <w:rPr>
          <w:rFonts w:hint="eastAsia" w:ascii="宋体" w:hAnsi="宋体" w:cs="宋体"/>
          <w:color w:val="auto"/>
          <w:sz w:val="24"/>
          <w:highlight w:val="none"/>
        </w:rPr>
        <w:br w:type="page"/>
      </w:r>
      <w:r>
        <w:rPr>
          <w:rFonts w:hint="eastAsia" w:ascii="宋体" w:hAnsi="宋体" w:cs="宋体"/>
          <w:b/>
          <w:color w:val="auto"/>
          <w:sz w:val="30"/>
          <w:szCs w:val="30"/>
          <w:highlight w:val="none"/>
        </w:rPr>
        <w:t>授权委托书</w:t>
      </w:r>
    </w:p>
    <w:p w14:paraId="6FD3A827">
      <w:pPr>
        <w:snapToGrid w:val="0"/>
        <w:spacing w:before="120" w:beforeLines="50" w:after="50"/>
        <w:ind w:firstLine="758" w:firstLineChars="236"/>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（联合体投标格式）</w:t>
      </w:r>
    </w:p>
    <w:p w14:paraId="4E9A35E5">
      <w:pPr>
        <w:snapToGrid w:val="0"/>
        <w:spacing w:before="120" w:beforeLines="50" w:after="50"/>
        <w:ind w:firstLine="758" w:firstLineChars="236"/>
        <w:jc w:val="center"/>
        <w:rPr>
          <w:rFonts w:hint="eastAsia" w:ascii="宋体" w:hAnsi="宋体" w:cs="宋体"/>
          <w:color w:val="auto"/>
          <w:sz w:val="24"/>
          <w:highlight w:val="none"/>
        </w:rPr>
      </w:pPr>
      <w:r>
        <w:rPr>
          <w:rFonts w:hint="eastAsia" w:ascii="宋体" w:hAnsi="宋体" w:cs="宋体"/>
          <w:b/>
          <w:bCs/>
          <w:color w:val="auto"/>
          <w:sz w:val="32"/>
          <w:szCs w:val="32"/>
          <w:highlight w:val="none"/>
        </w:rPr>
        <w:t>（如有委托时）</w:t>
      </w:r>
    </w:p>
    <w:p w14:paraId="25B1E52F">
      <w:pPr>
        <w:keepNext w:val="0"/>
        <w:keepLines w:val="0"/>
        <w:pageBreakBefore w:val="0"/>
        <w:widowControl w:val="0"/>
        <w:kinsoku/>
        <w:wordWrap/>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bCs/>
          <w:color w:val="auto"/>
          <w:szCs w:val="21"/>
          <w:highlight w:val="none"/>
        </w:rPr>
        <w:t>致：</w:t>
      </w:r>
      <w:r>
        <w:rPr>
          <w:rFonts w:hint="eastAsia" w:ascii="宋体" w:hAnsi="宋体" w:cs="宋体"/>
          <w:color w:val="auto"/>
          <w:szCs w:val="21"/>
          <w:highlight w:val="none"/>
          <w:u w:val="single"/>
        </w:rPr>
        <w:t>采购人名称</w:t>
      </w:r>
    </w:p>
    <w:p w14:paraId="13410334">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根据 </w:t>
      </w:r>
      <w:r>
        <w:rPr>
          <w:rFonts w:hint="eastAsia" w:ascii="宋体" w:hAnsi="宋体" w:cs="宋体"/>
          <w:color w:val="auto"/>
          <w:szCs w:val="21"/>
          <w:highlight w:val="none"/>
          <w:u w:val="single"/>
        </w:rPr>
        <w:t xml:space="preserve"> （牵头人名称）</w:t>
      </w:r>
      <w:r>
        <w:rPr>
          <w:rFonts w:hint="eastAsia" w:ascii="宋体" w:hAnsi="宋体" w:cs="宋体"/>
          <w:color w:val="auto"/>
          <w:szCs w:val="21"/>
          <w:highlight w:val="none"/>
        </w:rPr>
        <w:t>与</w:t>
      </w:r>
      <w:r>
        <w:rPr>
          <w:rFonts w:hint="eastAsia" w:ascii="宋体" w:hAnsi="宋体" w:cs="宋体"/>
          <w:color w:val="auto"/>
          <w:szCs w:val="21"/>
          <w:highlight w:val="none"/>
          <w:u w:val="single"/>
        </w:rPr>
        <w:t>（联合体其他成员名称）</w:t>
      </w:r>
      <w:r>
        <w:rPr>
          <w:rFonts w:hint="eastAsia" w:ascii="宋体" w:hAnsi="宋体" w:cs="宋体"/>
          <w:color w:val="auto"/>
          <w:szCs w:val="21"/>
          <w:highlight w:val="none"/>
        </w:rPr>
        <w:t>签订的《联合体投标协议书》的内容，</w:t>
      </w:r>
      <w:r>
        <w:rPr>
          <w:rFonts w:hint="eastAsia" w:ascii="宋体" w:hAnsi="宋体" w:cs="宋体"/>
          <w:color w:val="auto"/>
          <w:szCs w:val="21"/>
          <w:highlight w:val="none"/>
          <w:u w:val="single"/>
        </w:rPr>
        <w:t>（牵头人名称）</w:t>
      </w:r>
      <w:r>
        <w:rPr>
          <w:rFonts w:hint="eastAsia" w:ascii="宋体" w:hAnsi="宋体" w:cs="宋体"/>
          <w:color w:val="auto"/>
          <w:szCs w:val="21"/>
          <w:highlight w:val="none"/>
        </w:rPr>
        <w:t>的法定代表人</w:t>
      </w:r>
      <w:r>
        <w:rPr>
          <w:rFonts w:hint="eastAsia" w:ascii="宋体" w:hAnsi="宋体" w:cs="宋体"/>
          <w:color w:val="auto"/>
          <w:szCs w:val="21"/>
          <w:highlight w:val="none"/>
          <w:u w:val="single"/>
        </w:rPr>
        <w:t>（姓名）</w:t>
      </w:r>
      <w:r>
        <w:rPr>
          <w:rFonts w:hint="eastAsia" w:ascii="宋体" w:hAnsi="宋体" w:cs="宋体"/>
          <w:color w:val="auto"/>
          <w:szCs w:val="21"/>
          <w:highlight w:val="none"/>
        </w:rPr>
        <w:t>现授权委托</w:t>
      </w:r>
      <w:r>
        <w:rPr>
          <w:rFonts w:hint="eastAsia" w:ascii="宋体" w:hAnsi="宋体" w:cs="宋体"/>
          <w:color w:val="auto"/>
          <w:szCs w:val="21"/>
          <w:highlight w:val="none"/>
          <w:u w:val="single"/>
        </w:rPr>
        <w:t xml:space="preserve">          （姓名）</w:t>
      </w:r>
      <w:r>
        <w:rPr>
          <w:rFonts w:hint="eastAsia" w:ascii="宋体" w:hAnsi="宋体" w:cs="宋体"/>
          <w:color w:val="auto"/>
          <w:szCs w:val="21"/>
          <w:highlight w:val="none"/>
        </w:rPr>
        <w:t>以我方的名义参加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项目的投标活动，并代表我方全权办理针对上述项目的所有采购程序和环节的具体事务和签署相关文件。</w:t>
      </w:r>
    </w:p>
    <w:p w14:paraId="7E36C04D">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bookmarkStart w:id="202" w:name="_Hlk65852658"/>
      <w:r>
        <w:rPr>
          <w:rFonts w:hint="eastAsia" w:ascii="宋体" w:hAnsi="宋体" w:cs="宋体"/>
          <w:color w:val="auto"/>
          <w:szCs w:val="21"/>
          <w:highlight w:val="none"/>
        </w:rPr>
        <w:t>我方对委托代理人的签字或者电子签名事项负全部责任。</w:t>
      </w:r>
    </w:p>
    <w:p w14:paraId="04969BE3">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本授权书自签署之日起生效，在撤销授权的书面通知以前，本授权书一直有效。委托代理人在授权书有效期内签署的所有文件不因授权的撤销而失效。</w:t>
      </w:r>
    </w:p>
    <w:p w14:paraId="3E1AA23D">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委托代理人无转委托权，特此委托。</w:t>
      </w:r>
    </w:p>
    <w:p w14:paraId="60E77D35">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附：牵头人法定代表人身份证明及委托代理人有效身份证正反面复印件</w:t>
      </w:r>
    </w:p>
    <w:p w14:paraId="357AFC27">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p>
    <w:p w14:paraId="286C489B">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牵头人法定代表人（签字或者盖章或者电子签名）：</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370D9E2F">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牵头人（电子签章）：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0EB9D35D">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日期：    年   月   日</w:t>
      </w:r>
    </w:p>
    <w:p w14:paraId="7454EF81">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p>
    <w:p w14:paraId="0282D610">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被授权人（签字或者电子签名）：</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6F2656C5">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日期：    年   月   日</w:t>
      </w:r>
    </w:p>
    <w:p w14:paraId="684E375C">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注：1.法定代表人必须在授权委托书上签字或者盖章或者电子签名，委托代理人必须在授权委托书上签字或者电子签名，</w:t>
      </w:r>
      <w:r>
        <w:rPr>
          <w:rFonts w:hint="eastAsia" w:ascii="宋体" w:hAnsi="宋体" w:cs="宋体"/>
          <w:b/>
          <w:bCs/>
          <w:color w:val="auto"/>
          <w:szCs w:val="21"/>
          <w:highlight w:val="none"/>
        </w:rPr>
        <w:t>否则按无效投标处理</w:t>
      </w:r>
      <w:r>
        <w:rPr>
          <w:rFonts w:hint="eastAsia" w:ascii="宋体" w:hAnsi="宋体" w:cs="宋体"/>
          <w:color w:val="auto"/>
          <w:szCs w:val="21"/>
          <w:highlight w:val="none"/>
        </w:rPr>
        <w:t>；</w:t>
      </w:r>
    </w:p>
    <w:p w14:paraId="3104B8DE">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 w:val="24"/>
          <w:highlight w:val="none"/>
        </w:rPr>
      </w:pPr>
      <w:r>
        <w:rPr>
          <w:rFonts w:hint="eastAsia" w:ascii="宋体" w:hAnsi="宋体" w:cs="宋体"/>
          <w:color w:val="auto"/>
          <w:szCs w:val="21"/>
          <w:highlight w:val="none"/>
        </w:rPr>
        <w:t>2.法人、其他组织投标时“我方”是指“我单位”，自然人投标时“我方”是指“本人”。</w:t>
      </w:r>
    </w:p>
    <w:p w14:paraId="4A947FD9">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 w:val="24"/>
          <w:highlight w:val="none"/>
        </w:rPr>
      </w:pPr>
    </w:p>
    <w:bookmarkEnd w:id="202"/>
    <w:p w14:paraId="79FF367D">
      <w:pPr>
        <w:keepNext w:val="0"/>
        <w:keepLines w:val="0"/>
        <w:pageBreakBefore w:val="0"/>
        <w:widowControl w:val="0"/>
        <w:kinsoku/>
        <w:wordWrap/>
        <w:overflowPunct/>
        <w:topLinePunct w:val="0"/>
        <w:autoSpaceDE/>
        <w:autoSpaceDN/>
        <w:bidi w:val="0"/>
        <w:adjustRightInd/>
        <w:snapToGrid w:val="0"/>
        <w:spacing w:before="50" w:after="120" w:afterLines="50" w:line="400" w:lineRule="exact"/>
        <w:ind w:firstLine="480" w:firstLineChars="200"/>
        <w:jc w:val="left"/>
        <w:textAlignment w:val="auto"/>
        <w:rPr>
          <w:rFonts w:hint="eastAsia" w:ascii="宋体" w:hAnsi="宋体" w:cs="宋体"/>
          <w:color w:val="auto"/>
          <w:sz w:val="24"/>
          <w:highlight w:val="none"/>
        </w:rPr>
        <w:sectPr>
          <w:footerReference r:id="rId10" w:type="first"/>
          <w:footerReference r:id="rId9" w:type="default"/>
          <w:pgSz w:w="11906" w:h="16838"/>
          <w:pgMar w:top="1440" w:right="1803" w:bottom="1440" w:left="1803" w:header="850" w:footer="850" w:gutter="0"/>
          <w:pgNumType w:fmt="decimal"/>
          <w:cols w:space="720" w:num="1"/>
          <w:docGrid w:linePitch="312" w:charSpace="0"/>
        </w:sectPr>
      </w:pPr>
    </w:p>
    <w:p w14:paraId="6897B251">
      <w:pPr>
        <w:rPr>
          <w:rFonts w:hint="eastAsia" w:ascii="宋体" w:hAnsi="宋体" w:cs="宋体"/>
          <w:color w:val="auto"/>
          <w:sz w:val="24"/>
          <w:highlight w:val="none"/>
        </w:rPr>
      </w:pPr>
    </w:p>
    <w:p w14:paraId="6535FF51">
      <w:pPr>
        <w:rPr>
          <w:rFonts w:hint="eastAsia" w:ascii="宋体" w:hAnsi="宋体" w:cs="宋体"/>
          <w:b/>
          <w:color w:val="auto"/>
          <w:sz w:val="24"/>
          <w:szCs w:val="20"/>
          <w:highlight w:val="none"/>
        </w:rPr>
      </w:pPr>
      <w:r>
        <w:rPr>
          <w:rFonts w:hint="eastAsia" w:ascii="宋体" w:hAnsi="宋体" w:cs="宋体"/>
          <w:b/>
          <w:color w:val="auto"/>
          <w:sz w:val="24"/>
          <w:highlight w:val="none"/>
          <w:lang w:val="en-US" w:eastAsia="zh-CN"/>
        </w:rPr>
        <w:t>7</w:t>
      </w:r>
      <w:r>
        <w:rPr>
          <w:rFonts w:hint="eastAsia" w:ascii="宋体" w:hAnsi="宋体" w:cs="宋体"/>
          <w:b/>
          <w:color w:val="auto"/>
          <w:sz w:val="24"/>
          <w:highlight w:val="none"/>
        </w:rPr>
        <w:t>.商务要求偏离表格式（注：按项目需求表具体项目修改）</w:t>
      </w:r>
    </w:p>
    <w:p w14:paraId="46C1C423">
      <w:pPr>
        <w:snapToGrid w:val="0"/>
        <w:spacing w:before="50"/>
        <w:jc w:val="left"/>
        <w:rPr>
          <w:rFonts w:hint="eastAsia" w:ascii="宋体" w:hAnsi="宋体" w:cs="宋体"/>
          <w:color w:val="auto"/>
          <w:sz w:val="24"/>
          <w:highlight w:val="none"/>
        </w:rPr>
      </w:pPr>
    </w:p>
    <w:p w14:paraId="05164BB9">
      <w:pPr>
        <w:pStyle w:val="22"/>
        <w:spacing w:line="440" w:lineRule="exact"/>
        <w:rPr>
          <w:rFonts w:hint="eastAsia" w:hAnsi="宋体" w:cs="宋体"/>
          <w:color w:val="auto"/>
          <w:highlight w:val="none"/>
        </w:rPr>
      </w:pPr>
      <w:r>
        <w:rPr>
          <w:rFonts w:hint="eastAsia" w:hAnsi="宋体" w:cs="宋体"/>
          <w:color w:val="auto"/>
          <w:highlight w:val="none"/>
        </w:rPr>
        <w:t>所投分标：</w:t>
      </w:r>
      <w:r>
        <w:rPr>
          <w:rFonts w:hint="eastAsia" w:hAnsi="宋体" w:cs="宋体"/>
          <w:color w:val="auto"/>
          <w:highlight w:val="none"/>
          <w:u w:val="single"/>
        </w:rPr>
        <w:t xml:space="preserve">     </w:t>
      </w:r>
      <w:r>
        <w:rPr>
          <w:rFonts w:hint="eastAsia" w:hAnsi="宋体" w:cs="宋体"/>
          <w:color w:val="auto"/>
          <w:highlight w:val="none"/>
        </w:rPr>
        <w:t>分标</w:t>
      </w:r>
    </w:p>
    <w:p w14:paraId="3CB2E376">
      <w:pPr>
        <w:snapToGrid w:val="0"/>
        <w:spacing w:before="50" w:line="440" w:lineRule="exact"/>
        <w:jc w:val="left"/>
        <w:rPr>
          <w:rFonts w:hint="eastAsia" w:ascii="宋体" w:hAnsi="宋体" w:cs="宋体"/>
          <w:color w:val="auto"/>
          <w:szCs w:val="21"/>
          <w:highlight w:val="none"/>
          <w:u w:val="single"/>
        </w:rPr>
      </w:pPr>
    </w:p>
    <w:tbl>
      <w:tblPr>
        <w:tblStyle w:val="40"/>
        <w:tblW w:w="0" w:type="auto"/>
        <w:tblInd w:w="9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3"/>
        <w:gridCol w:w="2776"/>
        <w:gridCol w:w="1760"/>
        <w:gridCol w:w="2853"/>
      </w:tblGrid>
      <w:tr w14:paraId="457DA1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853" w:type="dxa"/>
            <w:tcBorders>
              <w:top w:val="single" w:color="auto" w:sz="4" w:space="0"/>
              <w:left w:val="single" w:color="auto" w:sz="4" w:space="0"/>
              <w:bottom w:val="single" w:color="auto" w:sz="4" w:space="0"/>
              <w:right w:val="single" w:color="auto" w:sz="4" w:space="0"/>
            </w:tcBorders>
            <w:noWrap w:val="0"/>
            <w:vAlign w:val="top"/>
          </w:tcPr>
          <w:p w14:paraId="3E5F2B3A">
            <w:pPr>
              <w:snapToGrid w:val="0"/>
              <w:spacing w:before="120" w:beforeLines="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w:t>
            </w:r>
          </w:p>
        </w:tc>
        <w:tc>
          <w:tcPr>
            <w:tcW w:w="2776" w:type="dxa"/>
            <w:tcBorders>
              <w:top w:val="single" w:color="auto" w:sz="4" w:space="0"/>
              <w:left w:val="single" w:color="auto" w:sz="4" w:space="0"/>
              <w:bottom w:val="single" w:color="auto" w:sz="4" w:space="0"/>
              <w:right w:val="single" w:color="auto" w:sz="4" w:space="0"/>
            </w:tcBorders>
            <w:noWrap w:val="0"/>
            <w:vAlign w:val="top"/>
          </w:tcPr>
          <w:p w14:paraId="52BD6685">
            <w:pPr>
              <w:snapToGrid w:val="0"/>
              <w:spacing w:before="120" w:beforeLines="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招标文件商务要求</w:t>
            </w:r>
          </w:p>
        </w:tc>
        <w:tc>
          <w:tcPr>
            <w:tcW w:w="1760" w:type="dxa"/>
            <w:tcBorders>
              <w:top w:val="single" w:color="auto" w:sz="4" w:space="0"/>
              <w:left w:val="single" w:color="auto" w:sz="4" w:space="0"/>
              <w:bottom w:val="single" w:color="auto" w:sz="4" w:space="0"/>
              <w:right w:val="single" w:color="auto" w:sz="4" w:space="0"/>
            </w:tcBorders>
            <w:noWrap w:val="0"/>
            <w:vAlign w:val="top"/>
          </w:tcPr>
          <w:p w14:paraId="3F33B55F">
            <w:pPr>
              <w:snapToGrid w:val="0"/>
              <w:spacing w:before="120" w:beforeLines="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投标人的承诺</w:t>
            </w:r>
          </w:p>
        </w:tc>
        <w:tc>
          <w:tcPr>
            <w:tcW w:w="2853" w:type="dxa"/>
            <w:tcBorders>
              <w:top w:val="single" w:color="auto" w:sz="4" w:space="0"/>
              <w:left w:val="single" w:color="auto" w:sz="4" w:space="0"/>
              <w:bottom w:val="single" w:color="auto" w:sz="4" w:space="0"/>
              <w:right w:val="single" w:color="auto" w:sz="4" w:space="0"/>
            </w:tcBorders>
            <w:noWrap w:val="0"/>
            <w:vAlign w:val="top"/>
          </w:tcPr>
          <w:p w14:paraId="6E983B03">
            <w:pPr>
              <w:snapToGrid w:val="0"/>
              <w:spacing w:before="120" w:beforeLines="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偏离说明</w:t>
            </w:r>
          </w:p>
        </w:tc>
      </w:tr>
      <w:tr w14:paraId="7655B5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853" w:type="dxa"/>
            <w:tcBorders>
              <w:top w:val="single" w:color="auto" w:sz="4" w:space="0"/>
              <w:left w:val="single" w:color="auto" w:sz="4" w:space="0"/>
              <w:bottom w:val="single" w:color="auto" w:sz="4" w:space="0"/>
              <w:right w:val="single" w:color="auto" w:sz="4" w:space="0"/>
            </w:tcBorders>
            <w:noWrap w:val="0"/>
            <w:vAlign w:val="center"/>
          </w:tcPr>
          <w:p w14:paraId="35B0D37F">
            <w:pPr>
              <w:spacing w:line="440" w:lineRule="exact"/>
              <w:jc w:val="center"/>
              <w:rPr>
                <w:rFonts w:hint="eastAsia" w:ascii="宋体" w:hAnsi="宋体" w:cs="宋体"/>
                <w:color w:val="auto"/>
                <w:szCs w:val="21"/>
                <w:highlight w:val="none"/>
              </w:rPr>
            </w:pPr>
          </w:p>
        </w:tc>
        <w:tc>
          <w:tcPr>
            <w:tcW w:w="2776" w:type="dxa"/>
            <w:tcBorders>
              <w:top w:val="single" w:color="auto" w:sz="4" w:space="0"/>
              <w:left w:val="single" w:color="auto" w:sz="4" w:space="0"/>
              <w:bottom w:val="single" w:color="auto" w:sz="4" w:space="0"/>
              <w:right w:val="single" w:color="auto" w:sz="4" w:space="0"/>
            </w:tcBorders>
            <w:noWrap w:val="0"/>
            <w:vAlign w:val="center"/>
          </w:tcPr>
          <w:p w14:paraId="32E71C79">
            <w:pPr>
              <w:spacing w:line="440" w:lineRule="exact"/>
              <w:jc w:val="left"/>
              <w:rPr>
                <w:rFonts w:hint="eastAsia" w:ascii="宋体" w:hAnsi="宋体" w:cs="宋体"/>
                <w:color w:val="auto"/>
                <w:szCs w:val="21"/>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5DE4C10E">
            <w:pPr>
              <w:snapToGrid w:val="0"/>
              <w:spacing w:before="120" w:beforeLines="50" w:line="440" w:lineRule="exact"/>
              <w:jc w:val="center"/>
              <w:rPr>
                <w:rFonts w:hint="eastAsia" w:ascii="宋体" w:hAnsi="宋体" w:cs="宋体"/>
                <w:color w:val="auto"/>
                <w:szCs w:val="21"/>
                <w:highlight w:val="none"/>
              </w:rPr>
            </w:pPr>
          </w:p>
        </w:tc>
        <w:tc>
          <w:tcPr>
            <w:tcW w:w="2853" w:type="dxa"/>
            <w:tcBorders>
              <w:top w:val="single" w:color="auto" w:sz="4" w:space="0"/>
              <w:left w:val="single" w:color="auto" w:sz="4" w:space="0"/>
              <w:bottom w:val="single" w:color="auto" w:sz="4" w:space="0"/>
              <w:right w:val="single" w:color="auto" w:sz="4" w:space="0"/>
            </w:tcBorders>
            <w:noWrap w:val="0"/>
            <w:vAlign w:val="top"/>
          </w:tcPr>
          <w:p w14:paraId="2B488140">
            <w:pPr>
              <w:snapToGrid w:val="0"/>
              <w:spacing w:before="120" w:beforeLines="50" w:line="440" w:lineRule="exact"/>
              <w:jc w:val="center"/>
              <w:rPr>
                <w:rFonts w:hint="eastAsia" w:ascii="宋体" w:hAnsi="宋体" w:cs="宋体"/>
                <w:color w:val="auto"/>
                <w:szCs w:val="21"/>
                <w:highlight w:val="none"/>
              </w:rPr>
            </w:pPr>
          </w:p>
        </w:tc>
      </w:tr>
      <w:tr w14:paraId="3408AD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853" w:type="dxa"/>
            <w:tcBorders>
              <w:top w:val="single" w:color="auto" w:sz="4" w:space="0"/>
              <w:left w:val="single" w:color="auto" w:sz="4" w:space="0"/>
              <w:bottom w:val="single" w:color="auto" w:sz="4" w:space="0"/>
              <w:right w:val="single" w:color="auto" w:sz="4" w:space="0"/>
            </w:tcBorders>
            <w:noWrap w:val="0"/>
            <w:vAlign w:val="center"/>
          </w:tcPr>
          <w:p w14:paraId="0D9137FD">
            <w:pPr>
              <w:spacing w:line="440" w:lineRule="exact"/>
              <w:jc w:val="center"/>
              <w:rPr>
                <w:rFonts w:hint="eastAsia" w:ascii="宋体" w:hAnsi="宋体" w:cs="宋体"/>
                <w:color w:val="auto"/>
                <w:szCs w:val="21"/>
                <w:highlight w:val="none"/>
              </w:rPr>
            </w:pPr>
          </w:p>
        </w:tc>
        <w:tc>
          <w:tcPr>
            <w:tcW w:w="2776" w:type="dxa"/>
            <w:tcBorders>
              <w:top w:val="single" w:color="auto" w:sz="4" w:space="0"/>
              <w:left w:val="single" w:color="auto" w:sz="4" w:space="0"/>
              <w:bottom w:val="single" w:color="auto" w:sz="4" w:space="0"/>
              <w:right w:val="single" w:color="auto" w:sz="4" w:space="0"/>
            </w:tcBorders>
            <w:noWrap w:val="0"/>
            <w:vAlign w:val="center"/>
          </w:tcPr>
          <w:p w14:paraId="4050FF37">
            <w:pPr>
              <w:spacing w:line="440" w:lineRule="exact"/>
              <w:jc w:val="left"/>
              <w:rPr>
                <w:rFonts w:hint="eastAsia" w:ascii="宋体" w:hAnsi="宋体" w:cs="宋体"/>
                <w:color w:val="auto"/>
                <w:szCs w:val="21"/>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6E341F0D">
            <w:pPr>
              <w:snapToGrid w:val="0"/>
              <w:spacing w:before="120" w:beforeLines="50" w:line="440" w:lineRule="exact"/>
              <w:ind w:left="43"/>
              <w:jc w:val="center"/>
              <w:rPr>
                <w:rFonts w:hint="eastAsia" w:ascii="宋体" w:hAnsi="宋体" w:cs="宋体"/>
                <w:color w:val="auto"/>
                <w:szCs w:val="21"/>
                <w:highlight w:val="none"/>
              </w:rPr>
            </w:pPr>
          </w:p>
        </w:tc>
        <w:tc>
          <w:tcPr>
            <w:tcW w:w="2853" w:type="dxa"/>
            <w:tcBorders>
              <w:top w:val="single" w:color="auto" w:sz="4" w:space="0"/>
              <w:left w:val="single" w:color="auto" w:sz="4" w:space="0"/>
              <w:bottom w:val="single" w:color="auto" w:sz="4" w:space="0"/>
              <w:right w:val="single" w:color="auto" w:sz="4" w:space="0"/>
            </w:tcBorders>
            <w:noWrap w:val="0"/>
            <w:vAlign w:val="top"/>
          </w:tcPr>
          <w:p w14:paraId="4AC652E4">
            <w:pPr>
              <w:snapToGrid w:val="0"/>
              <w:spacing w:before="120" w:beforeLines="50" w:line="440" w:lineRule="exact"/>
              <w:ind w:left="43"/>
              <w:jc w:val="center"/>
              <w:rPr>
                <w:rFonts w:hint="eastAsia" w:ascii="宋体" w:hAnsi="宋体" w:cs="宋体"/>
                <w:color w:val="auto"/>
                <w:szCs w:val="21"/>
                <w:highlight w:val="none"/>
              </w:rPr>
            </w:pPr>
          </w:p>
        </w:tc>
      </w:tr>
      <w:tr w14:paraId="074C26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3" w:type="dxa"/>
            <w:tcBorders>
              <w:top w:val="single" w:color="auto" w:sz="4" w:space="0"/>
              <w:left w:val="single" w:color="auto" w:sz="4" w:space="0"/>
              <w:bottom w:val="single" w:color="auto" w:sz="4" w:space="0"/>
              <w:right w:val="single" w:color="auto" w:sz="4" w:space="0"/>
            </w:tcBorders>
            <w:noWrap w:val="0"/>
            <w:vAlign w:val="top"/>
          </w:tcPr>
          <w:p w14:paraId="2E82048A">
            <w:pPr>
              <w:snapToGrid w:val="0"/>
              <w:spacing w:before="120" w:beforeLines="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2776" w:type="dxa"/>
            <w:tcBorders>
              <w:top w:val="single" w:color="auto" w:sz="4" w:space="0"/>
              <w:left w:val="single" w:color="auto" w:sz="4" w:space="0"/>
              <w:bottom w:val="single" w:color="auto" w:sz="4" w:space="0"/>
              <w:right w:val="single" w:color="auto" w:sz="4" w:space="0"/>
            </w:tcBorders>
            <w:noWrap w:val="0"/>
            <w:vAlign w:val="top"/>
          </w:tcPr>
          <w:p w14:paraId="6DF281E4">
            <w:pPr>
              <w:snapToGrid w:val="0"/>
              <w:spacing w:before="120" w:beforeLines="50" w:line="440" w:lineRule="exact"/>
              <w:jc w:val="center"/>
              <w:rPr>
                <w:rFonts w:hint="eastAsia" w:ascii="宋体" w:hAnsi="宋体" w:cs="宋体"/>
                <w:color w:val="auto"/>
                <w:szCs w:val="21"/>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4F71C6E1">
            <w:pPr>
              <w:snapToGrid w:val="0"/>
              <w:spacing w:before="120" w:beforeLines="50" w:line="440" w:lineRule="exact"/>
              <w:jc w:val="center"/>
              <w:rPr>
                <w:rFonts w:hint="eastAsia" w:ascii="宋体" w:hAnsi="宋体" w:cs="宋体"/>
                <w:color w:val="auto"/>
                <w:szCs w:val="21"/>
                <w:highlight w:val="none"/>
              </w:rPr>
            </w:pPr>
          </w:p>
        </w:tc>
        <w:tc>
          <w:tcPr>
            <w:tcW w:w="2853" w:type="dxa"/>
            <w:tcBorders>
              <w:top w:val="single" w:color="auto" w:sz="4" w:space="0"/>
              <w:left w:val="single" w:color="auto" w:sz="4" w:space="0"/>
              <w:bottom w:val="single" w:color="auto" w:sz="4" w:space="0"/>
              <w:right w:val="single" w:color="auto" w:sz="4" w:space="0"/>
            </w:tcBorders>
            <w:noWrap w:val="0"/>
            <w:vAlign w:val="top"/>
          </w:tcPr>
          <w:p w14:paraId="709542B3">
            <w:pPr>
              <w:snapToGrid w:val="0"/>
              <w:spacing w:before="120" w:beforeLines="50" w:line="440" w:lineRule="exact"/>
              <w:jc w:val="center"/>
              <w:rPr>
                <w:rFonts w:hint="eastAsia" w:ascii="宋体" w:hAnsi="宋体" w:cs="宋体"/>
                <w:color w:val="auto"/>
                <w:szCs w:val="21"/>
                <w:highlight w:val="none"/>
              </w:rPr>
            </w:pPr>
          </w:p>
        </w:tc>
      </w:tr>
    </w:tbl>
    <w:p w14:paraId="3C1F2DC3">
      <w:pPr>
        <w:pStyle w:val="18"/>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注：</w:t>
      </w:r>
    </w:p>
    <w:p w14:paraId="37BF010D">
      <w:pPr>
        <w:pStyle w:val="11"/>
        <w:keepNext w:val="0"/>
        <w:keepLines w:val="0"/>
        <w:pageBreakBefore w:val="0"/>
        <w:widowControl w:val="0"/>
        <w:kinsoku/>
        <w:wordWrap/>
        <w:overflowPunct/>
        <w:topLinePunct w:val="0"/>
        <w:autoSpaceDE/>
        <w:autoSpaceDN/>
        <w:bidi w:val="0"/>
        <w:adjustRightInd/>
        <w:spacing w:line="400" w:lineRule="exact"/>
        <w:ind w:firstLine="0"/>
        <w:textAlignment w:val="auto"/>
        <w:rPr>
          <w:rFonts w:hint="eastAsia" w:hAnsi="宋体" w:cs="宋体"/>
          <w:color w:val="auto"/>
          <w:sz w:val="21"/>
          <w:szCs w:val="21"/>
          <w:highlight w:val="none"/>
        </w:rPr>
      </w:pPr>
      <w:r>
        <w:rPr>
          <w:rFonts w:hint="eastAsia" w:hAnsi="宋体" w:cs="宋体"/>
          <w:color w:val="auto"/>
          <w:sz w:val="21"/>
          <w:szCs w:val="21"/>
          <w:highlight w:val="none"/>
        </w:rPr>
        <w:t>1. 说明：应对照招标文件“第二章 采购需求”中的商务要求逐条作明确的投标响应，并作出偏离说明。</w:t>
      </w:r>
    </w:p>
    <w:p w14:paraId="206FE657">
      <w:pPr>
        <w:pStyle w:val="18"/>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2.投标人应根据自身的承诺，对照招标文件要求在“偏离说明”中注明“正偏离”、“负偏离”或者“无偏离”。既不属于“正偏离”也不属于“负偏离”即为“无偏离”。</w:t>
      </w:r>
    </w:p>
    <w:p w14:paraId="59490AD1">
      <w:pPr>
        <w:keepNext w:val="0"/>
        <w:keepLines w:val="0"/>
        <w:pageBreakBefore w:val="0"/>
        <w:widowControl w:val="0"/>
        <w:kinsoku/>
        <w:wordWrap/>
        <w:overflowPunct/>
        <w:topLinePunct w:val="0"/>
        <w:autoSpaceDE/>
        <w:autoSpaceDN/>
        <w:bidi w:val="0"/>
        <w:adjustRightInd/>
        <w:snapToGrid w:val="0"/>
        <w:spacing w:before="50" w:after="50" w:line="400" w:lineRule="exact"/>
        <w:textAlignment w:val="auto"/>
        <w:rPr>
          <w:rFonts w:hint="eastAsia" w:ascii="宋体" w:hAnsi="宋体" w:cs="宋体"/>
          <w:color w:val="auto"/>
          <w:szCs w:val="21"/>
          <w:highlight w:val="none"/>
        </w:rPr>
      </w:pPr>
    </w:p>
    <w:p w14:paraId="3BC2C683">
      <w:pPr>
        <w:keepNext w:val="0"/>
        <w:keepLines w:val="0"/>
        <w:pageBreakBefore w:val="0"/>
        <w:widowControl w:val="0"/>
        <w:kinsoku/>
        <w:wordWrap/>
        <w:overflowPunct/>
        <w:topLinePunct w:val="0"/>
        <w:autoSpaceDE/>
        <w:autoSpaceDN/>
        <w:bidi w:val="0"/>
        <w:adjustRightInd/>
        <w:snapToGrid w:val="0"/>
        <w:spacing w:before="50" w:after="50" w:line="400" w:lineRule="exact"/>
        <w:textAlignment w:val="auto"/>
        <w:rPr>
          <w:rFonts w:hint="eastAsia" w:ascii="宋体" w:hAnsi="宋体" w:cs="宋体"/>
          <w:color w:val="auto"/>
          <w:szCs w:val="21"/>
          <w:highlight w:val="none"/>
        </w:rPr>
      </w:pPr>
    </w:p>
    <w:p w14:paraId="68B0086A">
      <w:pPr>
        <w:keepNext w:val="0"/>
        <w:keepLines w:val="0"/>
        <w:pageBreakBefore w:val="0"/>
        <w:widowControl w:val="0"/>
        <w:kinsoku/>
        <w:wordWrap/>
        <w:overflowPunct/>
        <w:topLinePunct w:val="0"/>
        <w:autoSpaceDE/>
        <w:autoSpaceDN/>
        <w:bidi w:val="0"/>
        <w:adjustRightInd/>
        <w:snapToGrid w:val="0"/>
        <w:spacing w:before="50" w:after="50" w:line="400" w:lineRule="exact"/>
        <w:textAlignment w:val="auto"/>
        <w:rPr>
          <w:rFonts w:hint="eastAsia" w:ascii="宋体" w:hAnsi="宋体" w:cs="宋体"/>
          <w:color w:val="auto"/>
          <w:spacing w:val="20"/>
          <w:szCs w:val="21"/>
          <w:highlight w:val="none"/>
          <w:u w:val="single"/>
        </w:rPr>
      </w:pPr>
      <w:r>
        <w:rPr>
          <w:rFonts w:hint="eastAsia" w:ascii="宋体" w:hAnsi="宋体" w:cs="宋体"/>
          <w:color w:val="auto"/>
          <w:szCs w:val="21"/>
          <w:highlight w:val="none"/>
        </w:rPr>
        <w:t>法定代表人或者委托代理人</w:t>
      </w:r>
      <w:r>
        <w:rPr>
          <w:rFonts w:hint="eastAsia" w:ascii="宋体" w:hAnsi="宋体" w:cs="宋体"/>
          <w:color w:val="auto"/>
          <w:spacing w:val="20"/>
          <w:szCs w:val="21"/>
          <w:highlight w:val="none"/>
        </w:rPr>
        <w:t>（签字或者电子签名）：</w:t>
      </w:r>
      <w:r>
        <w:rPr>
          <w:rFonts w:hint="eastAsia" w:ascii="宋体" w:hAnsi="宋体" w:cs="宋体"/>
          <w:color w:val="auto"/>
          <w:spacing w:val="20"/>
          <w:szCs w:val="21"/>
          <w:highlight w:val="none"/>
          <w:u w:val="single"/>
        </w:rPr>
        <w:t xml:space="preserve">        </w:t>
      </w:r>
    </w:p>
    <w:p w14:paraId="1078BC15">
      <w:pPr>
        <w:keepNext w:val="0"/>
        <w:keepLines w:val="0"/>
        <w:pageBreakBefore w:val="0"/>
        <w:widowControl w:val="0"/>
        <w:kinsoku/>
        <w:wordWrap/>
        <w:overflowPunct/>
        <w:topLinePunct w:val="0"/>
        <w:autoSpaceDE/>
        <w:autoSpaceDN/>
        <w:bidi w:val="0"/>
        <w:adjustRightInd/>
        <w:snapToGrid w:val="0"/>
        <w:spacing w:before="120" w:beforeLines="50" w:line="400" w:lineRule="exact"/>
        <w:textAlignment w:val="auto"/>
        <w:rPr>
          <w:rFonts w:hint="eastAsia" w:ascii="宋体" w:hAnsi="宋体" w:cs="宋体"/>
          <w:color w:val="auto"/>
          <w:spacing w:val="20"/>
          <w:szCs w:val="21"/>
          <w:highlight w:val="none"/>
        </w:rPr>
      </w:pPr>
      <w:r>
        <w:rPr>
          <w:rFonts w:hint="eastAsia" w:ascii="宋体" w:hAnsi="宋体" w:cs="宋体"/>
          <w:color w:val="auto"/>
          <w:spacing w:val="20"/>
          <w:szCs w:val="21"/>
          <w:highlight w:val="none"/>
        </w:rPr>
        <w:t>投标人名称（电子签章）：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53503A86">
      <w:pPr>
        <w:keepNext w:val="0"/>
        <w:keepLines w:val="0"/>
        <w:pageBreakBefore w:val="0"/>
        <w:widowControl w:val="0"/>
        <w:kinsoku/>
        <w:wordWrap/>
        <w:overflowPunct/>
        <w:topLinePunct w:val="0"/>
        <w:autoSpaceDE/>
        <w:autoSpaceDN/>
        <w:bidi w:val="0"/>
        <w:adjustRightInd/>
        <w:snapToGrid w:val="0"/>
        <w:spacing w:before="120" w:beforeLines="50" w:after="50" w:line="400" w:lineRule="exact"/>
        <w:ind w:right="920"/>
        <w:textAlignment w:val="auto"/>
        <w:rPr>
          <w:rFonts w:hint="eastAsia" w:ascii="宋体" w:hAnsi="宋体" w:cs="宋体"/>
          <w:color w:val="auto"/>
          <w:szCs w:val="21"/>
          <w:highlight w:val="none"/>
        </w:rPr>
      </w:pPr>
      <w:r>
        <w:rPr>
          <w:rFonts w:hint="eastAsia" w:ascii="宋体" w:hAnsi="宋体" w:cs="宋体"/>
          <w:color w:val="auto"/>
          <w:spacing w:val="20"/>
          <w:szCs w:val="21"/>
          <w:highlight w:val="none"/>
        </w:rPr>
        <w:t>日  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63AD188D">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rPr>
      </w:pPr>
    </w:p>
    <w:p w14:paraId="704E753F">
      <w:pPr>
        <w:snapToGrid w:val="0"/>
        <w:spacing w:before="120" w:beforeLines="50" w:line="440" w:lineRule="exact"/>
        <w:rPr>
          <w:rFonts w:hint="eastAsia" w:ascii="宋体" w:hAnsi="宋体" w:cs="宋体"/>
          <w:color w:val="auto"/>
          <w:szCs w:val="21"/>
          <w:highlight w:val="none"/>
        </w:rPr>
      </w:pPr>
    </w:p>
    <w:p w14:paraId="3E49E625">
      <w:pPr>
        <w:snapToGrid w:val="0"/>
        <w:spacing w:before="120" w:beforeLines="50"/>
        <w:rPr>
          <w:rFonts w:hint="eastAsia" w:ascii="宋体" w:hAnsi="宋体" w:cs="宋体"/>
          <w:color w:val="auto"/>
          <w:sz w:val="24"/>
          <w:szCs w:val="20"/>
          <w:highlight w:val="none"/>
        </w:rPr>
      </w:pPr>
    </w:p>
    <w:p w14:paraId="5C6D84C7">
      <w:pPr>
        <w:snapToGrid w:val="0"/>
        <w:spacing w:before="120" w:beforeLines="50" w:after="50"/>
        <w:jc w:val="left"/>
        <w:rPr>
          <w:rFonts w:hint="eastAsia" w:ascii="宋体" w:hAnsi="宋体" w:cs="宋体"/>
          <w:color w:val="auto"/>
          <w:sz w:val="24"/>
          <w:szCs w:val="20"/>
          <w:highlight w:val="none"/>
        </w:rPr>
        <w:sectPr>
          <w:footerReference r:id="rId14" w:type="first"/>
          <w:headerReference r:id="rId11" w:type="default"/>
          <w:footerReference r:id="rId12" w:type="default"/>
          <w:footerReference r:id="rId13" w:type="even"/>
          <w:pgSz w:w="11906" w:h="16838"/>
          <w:pgMar w:top="1134" w:right="1247" w:bottom="1134" w:left="1417" w:header="850" w:footer="850" w:gutter="0"/>
          <w:pgNumType w:fmt="decimal"/>
          <w:cols w:space="720" w:num="1"/>
          <w:titlePg/>
          <w:docGrid w:linePitch="312" w:charSpace="0"/>
        </w:sectPr>
      </w:pPr>
    </w:p>
    <w:p w14:paraId="696EB727">
      <w:pPr>
        <w:snapToGrid w:val="0"/>
        <w:spacing w:before="165" w:beforeLines="50" w:after="50"/>
        <w:jc w:val="left"/>
        <w:rPr>
          <w:rFonts w:hint="eastAsia" w:ascii="宋体" w:hAnsi="宋体" w:cs="宋体"/>
          <w:b/>
          <w:color w:val="auto"/>
          <w:sz w:val="24"/>
          <w:highlight w:val="none"/>
        </w:rPr>
      </w:pPr>
      <w:r>
        <w:rPr>
          <w:rFonts w:hint="eastAsia" w:ascii="宋体" w:hAnsi="宋体" w:cs="宋体"/>
          <w:b/>
          <w:color w:val="auto"/>
          <w:sz w:val="24"/>
          <w:highlight w:val="none"/>
          <w:lang w:val="en-US" w:eastAsia="zh-CN"/>
        </w:rPr>
        <w:t>8</w:t>
      </w:r>
      <w:r>
        <w:rPr>
          <w:rFonts w:hint="eastAsia" w:ascii="宋体" w:hAnsi="宋体" w:cs="宋体"/>
          <w:b/>
          <w:color w:val="auto"/>
          <w:sz w:val="24"/>
          <w:highlight w:val="none"/>
        </w:rPr>
        <w:t>.投标人业绩证明材料</w:t>
      </w:r>
    </w:p>
    <w:p w14:paraId="7139FDFC">
      <w:pPr>
        <w:pStyle w:val="31"/>
        <w:snapToGrid w:val="0"/>
        <w:ind w:left="480" w:hanging="480"/>
        <w:rPr>
          <w:rFonts w:hint="eastAsia" w:ascii="宋体" w:hAnsi="宋体" w:cs="宋体"/>
          <w:color w:val="auto"/>
          <w:sz w:val="24"/>
          <w:highlight w:val="none"/>
        </w:rPr>
      </w:pPr>
    </w:p>
    <w:p w14:paraId="3BA48A99">
      <w:pPr>
        <w:pStyle w:val="31"/>
        <w:snapToGrid w:val="0"/>
        <w:spacing w:line="440" w:lineRule="exact"/>
        <w:ind w:left="600" w:hanging="600"/>
        <w:jc w:val="center"/>
        <w:rPr>
          <w:rFonts w:hint="eastAsia" w:ascii="宋体" w:hAnsi="宋体" w:cs="宋体"/>
          <w:color w:val="auto"/>
          <w:sz w:val="30"/>
          <w:szCs w:val="30"/>
          <w:highlight w:val="none"/>
        </w:rPr>
      </w:pPr>
      <w:r>
        <w:rPr>
          <w:rFonts w:hint="eastAsia" w:ascii="宋体" w:hAnsi="宋体" w:cs="宋体"/>
          <w:color w:val="auto"/>
          <w:sz w:val="30"/>
          <w:szCs w:val="30"/>
          <w:highlight w:val="none"/>
        </w:rPr>
        <w:t xml:space="preserve">投标人业绩情况一览表格式 </w:t>
      </w:r>
    </w:p>
    <w:tbl>
      <w:tblPr>
        <w:tblStyle w:val="40"/>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365"/>
        <w:gridCol w:w="1963"/>
        <w:gridCol w:w="1963"/>
        <w:gridCol w:w="3167"/>
      </w:tblGrid>
      <w:tr w14:paraId="47CD50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250" w:type="pct"/>
            <w:vMerge w:val="restart"/>
            <w:tcBorders>
              <w:top w:val="single" w:color="auto" w:sz="4" w:space="0"/>
              <w:left w:val="single" w:color="auto" w:sz="4" w:space="0"/>
              <w:bottom w:val="single" w:color="auto" w:sz="4" w:space="0"/>
              <w:right w:val="single" w:color="auto" w:sz="4" w:space="0"/>
            </w:tcBorders>
            <w:noWrap w:val="0"/>
            <w:vAlign w:val="center"/>
          </w:tcPr>
          <w:p w14:paraId="0F0B6D78">
            <w:pPr>
              <w:snapToGrid w:val="0"/>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采购人名称</w:t>
            </w:r>
          </w:p>
        </w:tc>
        <w:tc>
          <w:tcPr>
            <w:tcW w:w="1038" w:type="pct"/>
            <w:vMerge w:val="restart"/>
            <w:tcBorders>
              <w:top w:val="single" w:color="auto" w:sz="4" w:space="0"/>
              <w:left w:val="single" w:color="auto" w:sz="4" w:space="0"/>
              <w:bottom w:val="single" w:color="auto" w:sz="4" w:space="0"/>
              <w:right w:val="single" w:color="auto" w:sz="4" w:space="0"/>
            </w:tcBorders>
            <w:noWrap w:val="0"/>
            <w:vAlign w:val="center"/>
          </w:tcPr>
          <w:p w14:paraId="77B3A5D9">
            <w:pPr>
              <w:snapToGrid w:val="0"/>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项目名称</w:t>
            </w:r>
          </w:p>
        </w:tc>
        <w:tc>
          <w:tcPr>
            <w:tcW w:w="1038" w:type="pct"/>
            <w:vMerge w:val="restart"/>
            <w:tcBorders>
              <w:top w:val="single" w:color="auto" w:sz="4" w:space="0"/>
              <w:left w:val="single" w:color="auto" w:sz="4" w:space="0"/>
              <w:bottom w:val="single" w:color="auto" w:sz="4" w:space="0"/>
              <w:right w:val="single" w:color="auto" w:sz="4" w:space="0"/>
            </w:tcBorders>
            <w:noWrap w:val="0"/>
            <w:vAlign w:val="center"/>
          </w:tcPr>
          <w:p w14:paraId="182F6683">
            <w:pPr>
              <w:snapToGrid w:val="0"/>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合同金额</w:t>
            </w:r>
          </w:p>
          <w:p w14:paraId="23BFC3F9">
            <w:pPr>
              <w:snapToGrid w:val="0"/>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674" w:type="pct"/>
            <w:vMerge w:val="restart"/>
            <w:tcBorders>
              <w:top w:val="single" w:color="auto" w:sz="4" w:space="0"/>
              <w:left w:val="single" w:color="auto" w:sz="4" w:space="0"/>
              <w:bottom w:val="single" w:color="auto" w:sz="4" w:space="0"/>
              <w:right w:val="single" w:color="auto" w:sz="4" w:space="0"/>
            </w:tcBorders>
            <w:noWrap w:val="0"/>
            <w:vAlign w:val="center"/>
          </w:tcPr>
          <w:p w14:paraId="7D391A7F">
            <w:pPr>
              <w:snapToGrid w:val="0"/>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采购人联系人及</w:t>
            </w:r>
          </w:p>
          <w:p w14:paraId="135E7B5A">
            <w:pPr>
              <w:snapToGrid w:val="0"/>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联系电话</w:t>
            </w:r>
          </w:p>
        </w:tc>
      </w:tr>
      <w:tr w14:paraId="2DBED3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250" w:type="pct"/>
            <w:vMerge w:val="continue"/>
            <w:tcBorders>
              <w:top w:val="single" w:color="auto" w:sz="4" w:space="0"/>
              <w:left w:val="single" w:color="auto" w:sz="4" w:space="0"/>
              <w:bottom w:val="single" w:color="auto" w:sz="4" w:space="0"/>
              <w:right w:val="single" w:color="auto" w:sz="4" w:space="0"/>
            </w:tcBorders>
            <w:noWrap w:val="0"/>
            <w:vAlign w:val="center"/>
          </w:tcPr>
          <w:p w14:paraId="5F29E96E">
            <w:pPr>
              <w:spacing w:line="440" w:lineRule="exact"/>
              <w:jc w:val="left"/>
              <w:rPr>
                <w:rFonts w:hint="eastAsia" w:ascii="宋体" w:hAnsi="宋体" w:cs="宋体"/>
                <w:color w:val="auto"/>
                <w:szCs w:val="21"/>
                <w:highlight w:val="none"/>
              </w:rPr>
            </w:pPr>
          </w:p>
        </w:tc>
        <w:tc>
          <w:tcPr>
            <w:tcW w:w="1038" w:type="pct"/>
            <w:vMerge w:val="continue"/>
            <w:tcBorders>
              <w:top w:val="single" w:color="auto" w:sz="4" w:space="0"/>
              <w:left w:val="single" w:color="auto" w:sz="4" w:space="0"/>
              <w:bottom w:val="single" w:color="auto" w:sz="4" w:space="0"/>
              <w:right w:val="single" w:color="auto" w:sz="4" w:space="0"/>
            </w:tcBorders>
            <w:noWrap w:val="0"/>
            <w:vAlign w:val="center"/>
          </w:tcPr>
          <w:p w14:paraId="6A17196B">
            <w:pPr>
              <w:spacing w:line="440" w:lineRule="exact"/>
              <w:jc w:val="left"/>
              <w:rPr>
                <w:rFonts w:hint="eastAsia" w:ascii="宋体" w:hAnsi="宋体" w:cs="宋体"/>
                <w:color w:val="auto"/>
                <w:szCs w:val="21"/>
                <w:highlight w:val="none"/>
              </w:rPr>
            </w:pPr>
          </w:p>
        </w:tc>
        <w:tc>
          <w:tcPr>
            <w:tcW w:w="1038" w:type="pct"/>
            <w:vMerge w:val="continue"/>
            <w:tcBorders>
              <w:top w:val="single" w:color="auto" w:sz="4" w:space="0"/>
              <w:left w:val="single" w:color="auto" w:sz="4" w:space="0"/>
              <w:bottom w:val="single" w:color="auto" w:sz="4" w:space="0"/>
              <w:right w:val="single" w:color="auto" w:sz="4" w:space="0"/>
            </w:tcBorders>
            <w:noWrap w:val="0"/>
            <w:vAlign w:val="center"/>
          </w:tcPr>
          <w:p w14:paraId="6098F388">
            <w:pPr>
              <w:spacing w:line="440" w:lineRule="exact"/>
              <w:jc w:val="left"/>
              <w:rPr>
                <w:rFonts w:hint="eastAsia" w:ascii="宋体" w:hAnsi="宋体" w:cs="宋体"/>
                <w:color w:val="auto"/>
                <w:szCs w:val="21"/>
                <w:highlight w:val="none"/>
              </w:rPr>
            </w:pPr>
          </w:p>
        </w:tc>
        <w:tc>
          <w:tcPr>
            <w:tcW w:w="1674" w:type="pct"/>
            <w:vMerge w:val="continue"/>
            <w:tcBorders>
              <w:top w:val="single" w:color="auto" w:sz="4" w:space="0"/>
              <w:left w:val="single" w:color="auto" w:sz="4" w:space="0"/>
              <w:bottom w:val="single" w:color="auto" w:sz="4" w:space="0"/>
              <w:right w:val="single" w:color="auto" w:sz="4" w:space="0"/>
            </w:tcBorders>
            <w:noWrap w:val="0"/>
            <w:vAlign w:val="center"/>
          </w:tcPr>
          <w:p w14:paraId="40DF06A9">
            <w:pPr>
              <w:spacing w:line="440" w:lineRule="exact"/>
              <w:jc w:val="left"/>
              <w:rPr>
                <w:rFonts w:hint="eastAsia" w:ascii="宋体" w:hAnsi="宋体" w:cs="宋体"/>
                <w:color w:val="auto"/>
                <w:szCs w:val="21"/>
                <w:highlight w:val="none"/>
              </w:rPr>
            </w:pPr>
          </w:p>
        </w:tc>
      </w:tr>
      <w:tr w14:paraId="2230B1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250" w:type="pct"/>
            <w:tcBorders>
              <w:top w:val="single" w:color="auto" w:sz="4" w:space="0"/>
              <w:left w:val="single" w:color="auto" w:sz="4" w:space="0"/>
              <w:bottom w:val="single" w:color="auto" w:sz="4" w:space="0"/>
              <w:right w:val="single" w:color="auto" w:sz="4" w:space="0"/>
            </w:tcBorders>
            <w:noWrap w:val="0"/>
            <w:vAlign w:val="top"/>
          </w:tcPr>
          <w:p w14:paraId="4DE22938">
            <w:pPr>
              <w:snapToGrid w:val="0"/>
              <w:spacing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1E89CB97">
            <w:pPr>
              <w:snapToGrid w:val="0"/>
              <w:spacing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108BDDEE">
            <w:pPr>
              <w:snapToGrid w:val="0"/>
              <w:spacing w:line="440" w:lineRule="exact"/>
              <w:jc w:val="left"/>
              <w:rPr>
                <w:rFonts w:hint="eastAsia" w:ascii="宋体" w:hAnsi="宋体" w:cs="宋体"/>
                <w:color w:val="auto"/>
                <w:szCs w:val="21"/>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2771466E">
            <w:pPr>
              <w:snapToGrid w:val="0"/>
              <w:spacing w:line="440" w:lineRule="exact"/>
              <w:jc w:val="left"/>
              <w:rPr>
                <w:rFonts w:hint="eastAsia" w:ascii="宋体" w:hAnsi="宋体" w:cs="宋体"/>
                <w:color w:val="auto"/>
                <w:szCs w:val="21"/>
                <w:highlight w:val="none"/>
              </w:rPr>
            </w:pPr>
          </w:p>
        </w:tc>
      </w:tr>
      <w:tr w14:paraId="39961C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vAlign w:val="top"/>
          </w:tcPr>
          <w:p w14:paraId="7587AC88">
            <w:pPr>
              <w:snapToGrid w:val="0"/>
              <w:spacing w:before="50" w:after="165" w:afterLines="50"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529FE064">
            <w:pPr>
              <w:snapToGrid w:val="0"/>
              <w:spacing w:before="50" w:after="165" w:afterLines="50"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576E99E8">
            <w:pPr>
              <w:snapToGrid w:val="0"/>
              <w:spacing w:before="50" w:after="165" w:afterLines="50" w:line="440" w:lineRule="exact"/>
              <w:jc w:val="left"/>
              <w:rPr>
                <w:rFonts w:hint="eastAsia" w:ascii="宋体" w:hAnsi="宋体" w:cs="宋体"/>
                <w:color w:val="auto"/>
                <w:szCs w:val="21"/>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5216E56A">
            <w:pPr>
              <w:snapToGrid w:val="0"/>
              <w:spacing w:before="50" w:after="165" w:afterLines="50" w:line="440" w:lineRule="exact"/>
              <w:jc w:val="left"/>
              <w:rPr>
                <w:rFonts w:hint="eastAsia" w:ascii="宋体" w:hAnsi="宋体" w:cs="宋体"/>
                <w:color w:val="auto"/>
                <w:szCs w:val="21"/>
                <w:highlight w:val="none"/>
              </w:rPr>
            </w:pPr>
          </w:p>
        </w:tc>
      </w:tr>
      <w:tr w14:paraId="1B2B90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250" w:type="pct"/>
            <w:tcBorders>
              <w:top w:val="single" w:color="auto" w:sz="4" w:space="0"/>
              <w:left w:val="single" w:color="auto" w:sz="4" w:space="0"/>
              <w:bottom w:val="single" w:color="auto" w:sz="4" w:space="0"/>
              <w:right w:val="single" w:color="auto" w:sz="4" w:space="0"/>
            </w:tcBorders>
            <w:noWrap w:val="0"/>
            <w:vAlign w:val="top"/>
          </w:tcPr>
          <w:p w14:paraId="2E6E745D">
            <w:pPr>
              <w:snapToGrid w:val="0"/>
              <w:spacing w:before="50" w:after="165" w:afterLines="50"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2EB29FA1">
            <w:pPr>
              <w:snapToGrid w:val="0"/>
              <w:spacing w:before="50" w:after="165" w:afterLines="50"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73A306F3">
            <w:pPr>
              <w:snapToGrid w:val="0"/>
              <w:spacing w:before="50" w:after="165" w:afterLines="50" w:line="440" w:lineRule="exact"/>
              <w:jc w:val="left"/>
              <w:rPr>
                <w:rFonts w:hint="eastAsia" w:ascii="宋体" w:hAnsi="宋体" w:cs="宋体"/>
                <w:color w:val="auto"/>
                <w:szCs w:val="21"/>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07A8A0E3">
            <w:pPr>
              <w:snapToGrid w:val="0"/>
              <w:spacing w:before="50" w:after="165" w:afterLines="50" w:line="440" w:lineRule="exact"/>
              <w:jc w:val="left"/>
              <w:rPr>
                <w:rFonts w:hint="eastAsia" w:ascii="宋体" w:hAnsi="宋体" w:cs="宋体"/>
                <w:color w:val="auto"/>
                <w:szCs w:val="21"/>
                <w:highlight w:val="none"/>
              </w:rPr>
            </w:pPr>
          </w:p>
        </w:tc>
      </w:tr>
      <w:tr w14:paraId="500755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vAlign w:val="top"/>
          </w:tcPr>
          <w:p w14:paraId="550626C0">
            <w:pPr>
              <w:snapToGrid w:val="0"/>
              <w:spacing w:before="50" w:after="165" w:afterLines="50"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2DC2C229">
            <w:pPr>
              <w:snapToGrid w:val="0"/>
              <w:spacing w:before="50" w:after="165" w:afterLines="50"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6CF13017">
            <w:pPr>
              <w:snapToGrid w:val="0"/>
              <w:spacing w:before="50" w:after="165" w:afterLines="50" w:line="440" w:lineRule="exact"/>
              <w:jc w:val="left"/>
              <w:rPr>
                <w:rFonts w:hint="eastAsia" w:ascii="宋体" w:hAnsi="宋体" w:cs="宋体"/>
                <w:color w:val="auto"/>
                <w:szCs w:val="21"/>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1A1CA097">
            <w:pPr>
              <w:snapToGrid w:val="0"/>
              <w:spacing w:before="50" w:after="165" w:afterLines="50" w:line="440" w:lineRule="exact"/>
              <w:jc w:val="left"/>
              <w:rPr>
                <w:rFonts w:hint="eastAsia" w:ascii="宋体" w:hAnsi="宋体" w:cs="宋体"/>
                <w:color w:val="auto"/>
                <w:szCs w:val="21"/>
                <w:highlight w:val="none"/>
              </w:rPr>
            </w:pPr>
          </w:p>
        </w:tc>
      </w:tr>
      <w:tr w14:paraId="72680E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vAlign w:val="top"/>
          </w:tcPr>
          <w:p w14:paraId="36644257">
            <w:pPr>
              <w:snapToGrid w:val="0"/>
              <w:spacing w:before="50" w:after="165" w:afterLines="50"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375153E4">
            <w:pPr>
              <w:snapToGrid w:val="0"/>
              <w:spacing w:before="50" w:after="165" w:afterLines="50"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35FF4EB9">
            <w:pPr>
              <w:snapToGrid w:val="0"/>
              <w:spacing w:before="50" w:after="165" w:afterLines="50" w:line="440" w:lineRule="exact"/>
              <w:jc w:val="left"/>
              <w:rPr>
                <w:rFonts w:hint="eastAsia" w:ascii="宋体" w:hAnsi="宋体" w:cs="宋体"/>
                <w:color w:val="auto"/>
                <w:szCs w:val="21"/>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5183888D">
            <w:pPr>
              <w:snapToGrid w:val="0"/>
              <w:spacing w:before="50" w:after="165" w:afterLines="50" w:line="440" w:lineRule="exact"/>
              <w:jc w:val="left"/>
              <w:rPr>
                <w:rFonts w:hint="eastAsia" w:ascii="宋体" w:hAnsi="宋体" w:cs="宋体"/>
                <w:color w:val="auto"/>
                <w:szCs w:val="21"/>
                <w:highlight w:val="none"/>
              </w:rPr>
            </w:pPr>
          </w:p>
        </w:tc>
      </w:tr>
    </w:tbl>
    <w:p w14:paraId="70D6FBA8">
      <w:pPr>
        <w:pStyle w:val="14"/>
        <w:spacing w:before="0" w:after="0" w:line="440" w:lineRule="exact"/>
        <w:contextualSpacing/>
        <w:rPr>
          <w:rFonts w:hint="eastAsia" w:ascii="宋体" w:hAnsi="宋体" w:eastAsia="宋体" w:cs="宋体"/>
          <w:color w:val="auto"/>
          <w:sz w:val="21"/>
          <w:szCs w:val="21"/>
          <w:highlight w:val="none"/>
        </w:rPr>
      </w:pPr>
    </w:p>
    <w:p w14:paraId="7D8082CB">
      <w:pPr>
        <w:pStyle w:val="14"/>
        <w:spacing w:before="0" w:after="0" w:line="440" w:lineRule="exact"/>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注：投标人根据评标标准具体要求附业绩证明材料。</w:t>
      </w:r>
    </w:p>
    <w:p w14:paraId="481A436F">
      <w:pPr>
        <w:pStyle w:val="14"/>
        <w:spacing w:before="0" w:after="0" w:line="440" w:lineRule="exact"/>
        <w:contextualSpacing/>
        <w:jc w:val="left"/>
        <w:rPr>
          <w:rFonts w:hint="eastAsia" w:ascii="宋体" w:hAnsi="宋体" w:eastAsia="宋体" w:cs="宋体"/>
          <w:color w:val="auto"/>
          <w:sz w:val="21"/>
          <w:szCs w:val="21"/>
          <w:highlight w:val="none"/>
        </w:rPr>
      </w:pPr>
    </w:p>
    <w:p w14:paraId="6D5ACE30">
      <w:pPr>
        <w:pStyle w:val="14"/>
        <w:spacing w:before="0" w:after="0" w:line="440" w:lineRule="exact"/>
        <w:contextualSpacing/>
        <w:jc w:val="left"/>
        <w:rPr>
          <w:rFonts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法定代表人或者委托代理人（签字或者电子签名）：</w:t>
      </w:r>
      <w:r>
        <w:rPr>
          <w:rFonts w:hint="eastAsia" w:ascii="宋体" w:hAnsi="宋体" w:eastAsia="宋体" w:cs="宋体"/>
          <w:color w:val="auto"/>
          <w:sz w:val="21"/>
          <w:szCs w:val="21"/>
          <w:highlight w:val="none"/>
          <w:u w:val="single"/>
        </w:rPr>
        <w:t xml:space="preserve">             </w:t>
      </w:r>
    </w:p>
    <w:p w14:paraId="532DAE5D">
      <w:pPr>
        <w:spacing w:line="440" w:lineRule="exact"/>
        <w:ind w:right="480"/>
        <w:contextualSpacing/>
        <w:jc w:val="left"/>
        <w:rPr>
          <w:rFonts w:hint="eastAsia" w:ascii="宋体" w:hAnsi="宋体" w:cs="宋体"/>
          <w:color w:val="auto"/>
          <w:szCs w:val="21"/>
          <w:highlight w:val="none"/>
          <w:u w:val="single"/>
        </w:rPr>
      </w:pPr>
      <w:r>
        <w:rPr>
          <w:rFonts w:hint="eastAsia" w:ascii="宋体" w:hAnsi="宋体" w:cs="宋体"/>
          <w:color w:val="auto"/>
          <w:szCs w:val="21"/>
          <w:highlight w:val="none"/>
        </w:rPr>
        <w:t xml:space="preserve">投标人名称（电子签章）： </w:t>
      </w:r>
      <w:r>
        <w:rPr>
          <w:rFonts w:hint="eastAsia" w:ascii="宋体" w:hAnsi="宋体" w:cs="宋体"/>
          <w:color w:val="auto"/>
          <w:szCs w:val="21"/>
          <w:highlight w:val="none"/>
          <w:u w:val="single"/>
        </w:rPr>
        <w:t xml:space="preserve">                </w:t>
      </w:r>
    </w:p>
    <w:p w14:paraId="116154CC">
      <w:pPr>
        <w:snapToGrid w:val="0"/>
        <w:spacing w:before="165" w:beforeLines="50" w:after="50"/>
        <w:ind w:right="840"/>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52BB63CC">
      <w:pPr>
        <w:snapToGrid w:val="0"/>
        <w:spacing w:before="165" w:beforeLines="50" w:after="50"/>
        <w:ind w:left="142"/>
        <w:jc w:val="left"/>
        <w:rPr>
          <w:rFonts w:hint="eastAsia"/>
          <w:b/>
          <w:color w:val="auto"/>
          <w:highlight w:val="none"/>
        </w:rPr>
      </w:pPr>
      <w:r>
        <w:rPr>
          <w:rFonts w:hint="eastAsia" w:ascii="宋体" w:hAnsi="宋体" w:cs="宋体"/>
          <w:color w:val="auto"/>
          <w:sz w:val="24"/>
          <w:highlight w:val="none"/>
        </w:rPr>
        <w:br w:type="page"/>
      </w:r>
      <w:r>
        <w:rPr>
          <w:rFonts w:hint="eastAsia" w:ascii="宋体" w:hAnsi="宋体" w:cs="宋体"/>
          <w:b/>
          <w:color w:val="auto"/>
          <w:sz w:val="24"/>
          <w:highlight w:val="none"/>
          <w:lang w:val="en-US" w:eastAsia="zh-CN"/>
        </w:rPr>
        <w:t>9</w:t>
      </w:r>
      <w:r>
        <w:rPr>
          <w:rFonts w:hint="eastAsia" w:ascii="宋体" w:hAnsi="宋体" w:cs="宋体"/>
          <w:b/>
          <w:color w:val="auto"/>
          <w:sz w:val="24"/>
          <w:highlight w:val="none"/>
        </w:rPr>
        <w:t>.技术要求偏离表格式</w:t>
      </w:r>
    </w:p>
    <w:p w14:paraId="10B142F5">
      <w:pPr>
        <w:snapToGrid w:val="0"/>
        <w:spacing w:before="165" w:beforeLines="50" w:after="50"/>
        <w:ind w:left="142"/>
        <w:jc w:val="left"/>
        <w:rPr>
          <w:rFonts w:hint="eastAsia" w:ascii="宋体" w:hAnsi="宋体" w:cs="宋体"/>
          <w:b/>
          <w:color w:val="auto"/>
          <w:sz w:val="24"/>
          <w:highlight w:val="none"/>
        </w:rPr>
      </w:pPr>
    </w:p>
    <w:p w14:paraId="144BFD7F">
      <w:pPr>
        <w:snapToGrid w:val="0"/>
        <w:spacing w:before="165" w:beforeLines="50" w:after="50"/>
        <w:ind w:left="142"/>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技术要求偏离表</w:t>
      </w:r>
    </w:p>
    <w:p w14:paraId="7C72175D">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r>
        <w:rPr>
          <w:rFonts w:hint="eastAsia" w:hAnsi="宋体" w:cs="宋体"/>
          <w:color w:val="auto"/>
          <w:highlight w:val="none"/>
        </w:rPr>
        <w:t>所投分标：</w:t>
      </w:r>
      <w:r>
        <w:rPr>
          <w:rFonts w:hint="eastAsia" w:hAnsi="宋体" w:cs="宋体"/>
          <w:color w:val="auto"/>
          <w:highlight w:val="none"/>
          <w:u w:val="single"/>
        </w:rPr>
        <w:t xml:space="preserve">     </w:t>
      </w:r>
      <w:r>
        <w:rPr>
          <w:rFonts w:hint="eastAsia" w:hAnsi="宋体" w:cs="宋体"/>
          <w:color w:val="auto"/>
          <w:highlight w:val="none"/>
        </w:rPr>
        <w:t>分标</w:t>
      </w:r>
    </w:p>
    <w:tbl>
      <w:tblPr>
        <w:tblStyle w:val="40"/>
        <w:tblW w:w="91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5"/>
        <w:gridCol w:w="2143"/>
        <w:gridCol w:w="1834"/>
        <w:gridCol w:w="2181"/>
        <w:gridCol w:w="2084"/>
      </w:tblGrid>
      <w:tr w14:paraId="304A2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925" w:type="dxa"/>
            <w:noWrap w:val="0"/>
            <w:vAlign w:val="center"/>
          </w:tcPr>
          <w:p w14:paraId="4FCFB4DA">
            <w:pPr>
              <w:pStyle w:val="2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color w:val="auto"/>
                <w:highlight w:val="none"/>
              </w:rPr>
            </w:pPr>
            <w:r>
              <w:rPr>
                <w:rFonts w:hint="eastAsia" w:hAnsi="宋体" w:cs="宋体"/>
                <w:color w:val="auto"/>
                <w:highlight w:val="none"/>
              </w:rPr>
              <w:t>项号</w:t>
            </w:r>
          </w:p>
        </w:tc>
        <w:tc>
          <w:tcPr>
            <w:tcW w:w="2143" w:type="dxa"/>
            <w:noWrap w:val="0"/>
            <w:vAlign w:val="center"/>
          </w:tcPr>
          <w:p w14:paraId="19503388">
            <w:pPr>
              <w:pStyle w:val="2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color w:val="auto"/>
                <w:highlight w:val="none"/>
              </w:rPr>
            </w:pPr>
            <w:r>
              <w:rPr>
                <w:rFonts w:hint="eastAsia" w:hAnsi="宋体" w:cs="宋体"/>
                <w:color w:val="auto"/>
                <w:highlight w:val="none"/>
              </w:rPr>
              <w:t>标的名称</w:t>
            </w:r>
          </w:p>
        </w:tc>
        <w:tc>
          <w:tcPr>
            <w:tcW w:w="1834" w:type="dxa"/>
            <w:noWrap w:val="0"/>
            <w:vAlign w:val="center"/>
          </w:tcPr>
          <w:p w14:paraId="42C6310F">
            <w:pPr>
              <w:pStyle w:val="2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color w:val="auto"/>
                <w:highlight w:val="none"/>
              </w:rPr>
            </w:pPr>
            <w:r>
              <w:rPr>
                <w:rFonts w:hint="eastAsia" w:hAnsi="宋体" w:cs="宋体"/>
                <w:color w:val="auto"/>
                <w:highlight w:val="none"/>
              </w:rPr>
              <w:t>项目要求及技术需求</w:t>
            </w:r>
          </w:p>
        </w:tc>
        <w:tc>
          <w:tcPr>
            <w:tcW w:w="2181" w:type="dxa"/>
            <w:noWrap w:val="0"/>
            <w:vAlign w:val="center"/>
          </w:tcPr>
          <w:p w14:paraId="33710FFC">
            <w:pPr>
              <w:pStyle w:val="2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color w:val="auto"/>
                <w:highlight w:val="none"/>
              </w:rPr>
            </w:pPr>
            <w:r>
              <w:rPr>
                <w:rFonts w:hint="eastAsia" w:hAnsi="宋体" w:cs="宋体"/>
                <w:color w:val="auto"/>
                <w:highlight w:val="none"/>
              </w:rPr>
              <w:t>投标响应</w:t>
            </w:r>
          </w:p>
        </w:tc>
        <w:tc>
          <w:tcPr>
            <w:tcW w:w="2084" w:type="dxa"/>
            <w:noWrap w:val="0"/>
            <w:vAlign w:val="center"/>
          </w:tcPr>
          <w:p w14:paraId="10E6382A">
            <w:pPr>
              <w:pStyle w:val="2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color w:val="auto"/>
                <w:highlight w:val="none"/>
              </w:rPr>
            </w:pPr>
            <w:r>
              <w:rPr>
                <w:rFonts w:hint="eastAsia" w:hAnsi="宋体" w:cs="宋体"/>
                <w:color w:val="auto"/>
                <w:highlight w:val="none"/>
              </w:rPr>
              <w:t>偏离说明</w:t>
            </w:r>
          </w:p>
        </w:tc>
      </w:tr>
      <w:tr w14:paraId="0B6C0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dxa"/>
            <w:noWrap w:val="0"/>
            <w:vAlign w:val="top"/>
          </w:tcPr>
          <w:p w14:paraId="4E614730">
            <w:pPr>
              <w:pStyle w:val="2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color w:val="auto"/>
                <w:highlight w:val="none"/>
              </w:rPr>
            </w:pPr>
          </w:p>
        </w:tc>
        <w:tc>
          <w:tcPr>
            <w:tcW w:w="2143" w:type="dxa"/>
            <w:noWrap w:val="0"/>
            <w:vAlign w:val="center"/>
          </w:tcPr>
          <w:p w14:paraId="28D65749">
            <w:pPr>
              <w:pStyle w:val="2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color w:val="auto"/>
                <w:highlight w:val="none"/>
              </w:rPr>
            </w:pPr>
          </w:p>
        </w:tc>
        <w:tc>
          <w:tcPr>
            <w:tcW w:w="1834" w:type="dxa"/>
            <w:noWrap w:val="0"/>
            <w:vAlign w:val="center"/>
          </w:tcPr>
          <w:p w14:paraId="50AA2367">
            <w:pPr>
              <w:pStyle w:val="2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color w:val="auto"/>
                <w:highlight w:val="none"/>
              </w:rPr>
            </w:pPr>
          </w:p>
        </w:tc>
        <w:tc>
          <w:tcPr>
            <w:tcW w:w="2181" w:type="dxa"/>
            <w:noWrap w:val="0"/>
            <w:vAlign w:val="center"/>
          </w:tcPr>
          <w:p w14:paraId="71AFC007">
            <w:pPr>
              <w:pStyle w:val="2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color w:val="auto"/>
                <w:highlight w:val="none"/>
              </w:rPr>
            </w:pPr>
          </w:p>
        </w:tc>
        <w:tc>
          <w:tcPr>
            <w:tcW w:w="2084" w:type="dxa"/>
            <w:noWrap w:val="0"/>
            <w:vAlign w:val="center"/>
          </w:tcPr>
          <w:p w14:paraId="522F5313">
            <w:pPr>
              <w:pStyle w:val="2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color w:val="auto"/>
                <w:highlight w:val="none"/>
              </w:rPr>
            </w:pPr>
          </w:p>
        </w:tc>
      </w:tr>
      <w:tr w14:paraId="63353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dxa"/>
            <w:noWrap w:val="0"/>
            <w:vAlign w:val="top"/>
          </w:tcPr>
          <w:p w14:paraId="2C05AFEF">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143" w:type="dxa"/>
            <w:noWrap w:val="0"/>
            <w:vAlign w:val="top"/>
          </w:tcPr>
          <w:p w14:paraId="79CCE38F">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1834" w:type="dxa"/>
            <w:noWrap w:val="0"/>
            <w:vAlign w:val="top"/>
          </w:tcPr>
          <w:p w14:paraId="2F2C19FB">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181" w:type="dxa"/>
            <w:noWrap w:val="0"/>
            <w:vAlign w:val="top"/>
          </w:tcPr>
          <w:p w14:paraId="68CF7B08">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084" w:type="dxa"/>
            <w:noWrap w:val="0"/>
            <w:vAlign w:val="top"/>
          </w:tcPr>
          <w:p w14:paraId="04B3EADF">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r>
      <w:tr w14:paraId="5C5D0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dxa"/>
            <w:noWrap w:val="0"/>
            <w:vAlign w:val="top"/>
          </w:tcPr>
          <w:p w14:paraId="47DE820B">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143" w:type="dxa"/>
            <w:noWrap w:val="0"/>
            <w:vAlign w:val="top"/>
          </w:tcPr>
          <w:p w14:paraId="515CDA63">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1834" w:type="dxa"/>
            <w:noWrap w:val="0"/>
            <w:vAlign w:val="top"/>
          </w:tcPr>
          <w:p w14:paraId="16406693">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181" w:type="dxa"/>
            <w:noWrap w:val="0"/>
            <w:vAlign w:val="top"/>
          </w:tcPr>
          <w:p w14:paraId="4D5197F2">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084" w:type="dxa"/>
            <w:noWrap w:val="0"/>
            <w:vAlign w:val="top"/>
          </w:tcPr>
          <w:p w14:paraId="0C590346">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r>
      <w:tr w14:paraId="30AB6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dxa"/>
            <w:noWrap w:val="0"/>
            <w:vAlign w:val="top"/>
          </w:tcPr>
          <w:p w14:paraId="0EBD72F5">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143" w:type="dxa"/>
            <w:noWrap w:val="0"/>
            <w:vAlign w:val="top"/>
          </w:tcPr>
          <w:p w14:paraId="5A863C74">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1834" w:type="dxa"/>
            <w:noWrap w:val="0"/>
            <w:vAlign w:val="top"/>
          </w:tcPr>
          <w:p w14:paraId="10FE54B9">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181" w:type="dxa"/>
            <w:noWrap w:val="0"/>
            <w:vAlign w:val="top"/>
          </w:tcPr>
          <w:p w14:paraId="22F04665">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084" w:type="dxa"/>
            <w:noWrap w:val="0"/>
            <w:vAlign w:val="top"/>
          </w:tcPr>
          <w:p w14:paraId="2B5BF119">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r>
      <w:tr w14:paraId="35E84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dxa"/>
            <w:noWrap w:val="0"/>
            <w:vAlign w:val="top"/>
          </w:tcPr>
          <w:p w14:paraId="67233ED2">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143" w:type="dxa"/>
            <w:noWrap w:val="0"/>
            <w:vAlign w:val="top"/>
          </w:tcPr>
          <w:p w14:paraId="4BF6C111">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1834" w:type="dxa"/>
            <w:noWrap w:val="0"/>
            <w:vAlign w:val="top"/>
          </w:tcPr>
          <w:p w14:paraId="4309FEA6">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181" w:type="dxa"/>
            <w:noWrap w:val="0"/>
            <w:vAlign w:val="top"/>
          </w:tcPr>
          <w:p w14:paraId="7C58567B">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084" w:type="dxa"/>
            <w:noWrap w:val="0"/>
            <w:vAlign w:val="top"/>
          </w:tcPr>
          <w:p w14:paraId="10B36CAE">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r>
      <w:tr w14:paraId="1D445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dxa"/>
            <w:noWrap w:val="0"/>
            <w:vAlign w:val="top"/>
          </w:tcPr>
          <w:p w14:paraId="24460BF1">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143" w:type="dxa"/>
            <w:noWrap w:val="0"/>
            <w:vAlign w:val="top"/>
          </w:tcPr>
          <w:p w14:paraId="5C1003CA">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1834" w:type="dxa"/>
            <w:noWrap w:val="0"/>
            <w:vAlign w:val="top"/>
          </w:tcPr>
          <w:p w14:paraId="5F7144DA">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181" w:type="dxa"/>
            <w:noWrap w:val="0"/>
            <w:vAlign w:val="top"/>
          </w:tcPr>
          <w:p w14:paraId="16049060">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084" w:type="dxa"/>
            <w:noWrap w:val="0"/>
            <w:vAlign w:val="top"/>
          </w:tcPr>
          <w:p w14:paraId="2DE352A1">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r>
      <w:tr w14:paraId="0AFE9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dxa"/>
            <w:noWrap w:val="0"/>
            <w:vAlign w:val="top"/>
          </w:tcPr>
          <w:p w14:paraId="219506DE">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143" w:type="dxa"/>
            <w:noWrap w:val="0"/>
            <w:vAlign w:val="top"/>
          </w:tcPr>
          <w:p w14:paraId="0A51AE6B">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1834" w:type="dxa"/>
            <w:noWrap w:val="0"/>
            <w:vAlign w:val="top"/>
          </w:tcPr>
          <w:p w14:paraId="226E8980">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181" w:type="dxa"/>
            <w:noWrap w:val="0"/>
            <w:vAlign w:val="top"/>
          </w:tcPr>
          <w:p w14:paraId="28C9CAA9">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084" w:type="dxa"/>
            <w:noWrap w:val="0"/>
            <w:vAlign w:val="top"/>
          </w:tcPr>
          <w:p w14:paraId="263253AA">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r>
    </w:tbl>
    <w:p w14:paraId="4627C66E">
      <w:pPr>
        <w:pStyle w:val="18"/>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注：</w:t>
      </w:r>
    </w:p>
    <w:p w14:paraId="6934E05E">
      <w:pPr>
        <w:pStyle w:val="11"/>
        <w:keepNext w:val="0"/>
        <w:keepLines w:val="0"/>
        <w:pageBreakBefore w:val="0"/>
        <w:widowControl w:val="0"/>
        <w:kinsoku/>
        <w:wordWrap/>
        <w:overflowPunct/>
        <w:topLinePunct w:val="0"/>
        <w:autoSpaceDE/>
        <w:autoSpaceDN/>
        <w:bidi w:val="0"/>
        <w:adjustRightInd/>
        <w:snapToGrid/>
        <w:spacing w:line="400" w:lineRule="exact"/>
        <w:ind w:firstLine="0"/>
        <w:contextualSpacing/>
        <w:textAlignment w:val="auto"/>
        <w:rPr>
          <w:rFonts w:hint="eastAsia" w:hAnsi="宋体" w:cs="宋体"/>
          <w:color w:val="auto"/>
          <w:sz w:val="21"/>
          <w:szCs w:val="21"/>
          <w:highlight w:val="none"/>
        </w:rPr>
      </w:pPr>
      <w:r>
        <w:rPr>
          <w:rFonts w:hint="eastAsia" w:hAnsi="宋体" w:cs="宋体"/>
          <w:color w:val="auto"/>
          <w:sz w:val="21"/>
          <w:szCs w:val="21"/>
          <w:highlight w:val="none"/>
        </w:rPr>
        <w:t>1. 说明：应对照招标文件“第二章 采购需求”中的项目要求及技术需求逐条作明确的投标响应，并作出偏离说明。</w:t>
      </w:r>
    </w:p>
    <w:p w14:paraId="6151D101">
      <w:pPr>
        <w:pStyle w:val="18"/>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2.投标人应根据自身的承诺，对照招标文件要求，在“偏离说明”中注明“正偏离”、“负偏离”或者“无偏离”。既不属于“正偏离”也不属于“负偏离”即为“无偏离”。</w:t>
      </w:r>
    </w:p>
    <w:p w14:paraId="6584660D">
      <w:pPr>
        <w:pStyle w:val="18"/>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cs="宋体"/>
          <w:color w:val="auto"/>
          <w:spacing w:val="20"/>
          <w:sz w:val="21"/>
          <w:szCs w:val="21"/>
          <w:highlight w:val="none"/>
        </w:rPr>
      </w:pPr>
    </w:p>
    <w:p w14:paraId="6C74854F">
      <w:pPr>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cs="宋体"/>
          <w:color w:val="auto"/>
          <w:spacing w:val="20"/>
          <w:szCs w:val="21"/>
          <w:highlight w:val="none"/>
          <w:u w:val="single"/>
        </w:rPr>
      </w:pPr>
      <w:r>
        <w:rPr>
          <w:rFonts w:hint="eastAsia" w:ascii="宋体" w:hAnsi="宋体" w:cs="宋体"/>
          <w:color w:val="auto"/>
          <w:szCs w:val="21"/>
          <w:highlight w:val="none"/>
        </w:rPr>
        <w:t>法定代表人或者委托代理人</w:t>
      </w:r>
      <w:r>
        <w:rPr>
          <w:rFonts w:hint="eastAsia" w:ascii="宋体" w:hAnsi="宋体" w:cs="宋体"/>
          <w:color w:val="auto"/>
          <w:spacing w:val="20"/>
          <w:szCs w:val="21"/>
          <w:highlight w:val="none"/>
        </w:rPr>
        <w:t>（签字或者电子签名）：</w:t>
      </w:r>
      <w:r>
        <w:rPr>
          <w:rFonts w:hint="eastAsia" w:ascii="宋体" w:hAnsi="宋体" w:cs="宋体"/>
          <w:color w:val="auto"/>
          <w:spacing w:val="20"/>
          <w:szCs w:val="21"/>
          <w:highlight w:val="none"/>
          <w:u w:val="single"/>
        </w:rPr>
        <w:t xml:space="preserve">        </w:t>
      </w:r>
    </w:p>
    <w:p w14:paraId="6448D76E">
      <w:pPr>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cs="宋体"/>
          <w:color w:val="auto"/>
          <w:spacing w:val="20"/>
          <w:szCs w:val="21"/>
          <w:highlight w:val="none"/>
        </w:rPr>
      </w:pPr>
      <w:r>
        <w:rPr>
          <w:rFonts w:hint="eastAsia" w:ascii="宋体" w:hAnsi="宋体" w:cs="宋体"/>
          <w:color w:val="auto"/>
          <w:spacing w:val="20"/>
          <w:szCs w:val="21"/>
          <w:highlight w:val="none"/>
        </w:rPr>
        <w:t>投标人名称（电子签章）：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7E5E5F77">
      <w:pPr>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cs="宋体"/>
          <w:color w:val="auto"/>
          <w:spacing w:val="20"/>
          <w:szCs w:val="21"/>
          <w:highlight w:val="none"/>
          <w:u w:val="single"/>
        </w:rPr>
      </w:pPr>
      <w:r>
        <w:rPr>
          <w:rFonts w:hint="eastAsia" w:ascii="宋体" w:hAnsi="宋体" w:cs="宋体"/>
          <w:color w:val="auto"/>
          <w:spacing w:val="20"/>
          <w:szCs w:val="21"/>
          <w:highlight w:val="none"/>
        </w:rPr>
        <w:t>日  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57662F33">
      <w:pPr>
        <w:spacing w:line="360" w:lineRule="auto"/>
        <w:contextualSpacing/>
        <w:rPr>
          <w:rFonts w:hint="eastAsia" w:ascii="宋体" w:hAnsi="宋体" w:cs="宋体"/>
          <w:color w:val="auto"/>
          <w:sz w:val="24"/>
          <w:szCs w:val="20"/>
          <w:highlight w:val="none"/>
        </w:rPr>
      </w:pPr>
    </w:p>
    <w:p w14:paraId="44C60F2C">
      <w:pPr>
        <w:snapToGrid w:val="0"/>
        <w:spacing w:before="165" w:beforeLines="50" w:after="50"/>
        <w:ind w:left="142"/>
        <w:jc w:val="left"/>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lang w:val="en-US" w:eastAsia="zh-CN"/>
        </w:rPr>
        <w:t>10</w:t>
      </w:r>
      <w:r>
        <w:rPr>
          <w:rFonts w:hint="eastAsia" w:ascii="宋体" w:hAnsi="宋体" w:cs="宋体"/>
          <w:b/>
          <w:color w:val="auto"/>
          <w:sz w:val="24"/>
          <w:highlight w:val="none"/>
        </w:rPr>
        <w:t>.项目实施人员一览表格式</w:t>
      </w:r>
    </w:p>
    <w:p w14:paraId="124FEE67">
      <w:pPr>
        <w:snapToGrid w:val="0"/>
        <w:spacing w:before="165" w:beforeLines="50" w:after="50"/>
        <w:ind w:left="142"/>
        <w:jc w:val="left"/>
        <w:rPr>
          <w:rFonts w:hint="eastAsia" w:ascii="宋体" w:hAnsi="宋体" w:cs="宋体"/>
          <w:b/>
          <w:color w:val="auto"/>
          <w:sz w:val="24"/>
          <w:highlight w:val="none"/>
        </w:rPr>
      </w:pPr>
    </w:p>
    <w:p w14:paraId="2CC569F7">
      <w:pPr>
        <w:snapToGrid w:val="0"/>
        <w:spacing w:before="165" w:beforeLines="50" w:after="50"/>
        <w:ind w:left="142"/>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项目实施人员一览表</w:t>
      </w:r>
    </w:p>
    <w:p w14:paraId="2504E11A">
      <w:pPr>
        <w:pStyle w:val="22"/>
        <w:keepNext w:val="0"/>
        <w:keepLines w:val="0"/>
        <w:pageBreakBefore w:val="0"/>
        <w:widowControl w:val="0"/>
        <w:kinsoku/>
        <w:overflowPunct/>
        <w:topLinePunct w:val="0"/>
        <w:autoSpaceDE/>
        <w:autoSpaceDN/>
        <w:bidi w:val="0"/>
        <w:adjustRightInd/>
        <w:spacing w:line="400" w:lineRule="exact"/>
        <w:textAlignment w:val="auto"/>
        <w:rPr>
          <w:rFonts w:hint="eastAsia" w:hAnsi="宋体" w:cs="宋体"/>
          <w:color w:val="auto"/>
          <w:highlight w:val="none"/>
        </w:rPr>
      </w:pPr>
      <w:r>
        <w:rPr>
          <w:rFonts w:hint="eastAsia" w:hAnsi="宋体" w:cs="宋体"/>
          <w:color w:val="auto"/>
          <w:highlight w:val="none"/>
        </w:rPr>
        <w:t>所投分标：</w:t>
      </w:r>
      <w:r>
        <w:rPr>
          <w:rFonts w:hint="eastAsia" w:hAnsi="宋体" w:cs="宋体"/>
          <w:color w:val="auto"/>
          <w:highlight w:val="none"/>
          <w:u w:val="single"/>
        </w:rPr>
        <w:t xml:space="preserve">     </w:t>
      </w:r>
      <w:r>
        <w:rPr>
          <w:rFonts w:hint="eastAsia" w:hAnsi="宋体" w:cs="宋体"/>
          <w:color w:val="auto"/>
          <w:highlight w:val="none"/>
        </w:rPr>
        <w:t>分标</w:t>
      </w:r>
    </w:p>
    <w:tbl>
      <w:tblPr>
        <w:tblStyle w:val="4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6"/>
        <w:gridCol w:w="777"/>
        <w:gridCol w:w="1865"/>
        <w:gridCol w:w="1557"/>
        <w:gridCol w:w="1862"/>
        <w:gridCol w:w="2406"/>
      </w:tblGrid>
      <w:tr w14:paraId="5FCE6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0" w:hRule="atLeast"/>
        </w:trPr>
        <w:tc>
          <w:tcPr>
            <w:tcW w:w="896" w:type="dxa"/>
            <w:noWrap w:val="0"/>
            <w:vAlign w:val="center"/>
          </w:tcPr>
          <w:p w14:paraId="143A1F32">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777" w:type="dxa"/>
            <w:noWrap w:val="0"/>
            <w:vAlign w:val="center"/>
          </w:tcPr>
          <w:p w14:paraId="48E64A3E">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职务</w:t>
            </w:r>
          </w:p>
        </w:tc>
        <w:tc>
          <w:tcPr>
            <w:tcW w:w="1865" w:type="dxa"/>
            <w:noWrap w:val="0"/>
            <w:vAlign w:val="center"/>
          </w:tcPr>
          <w:p w14:paraId="629C88EF">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专业技术资格（职称）或者职业资格或者执业资格证或者其他证书</w:t>
            </w:r>
          </w:p>
        </w:tc>
        <w:tc>
          <w:tcPr>
            <w:tcW w:w="1557" w:type="dxa"/>
            <w:noWrap w:val="0"/>
            <w:vAlign w:val="center"/>
          </w:tcPr>
          <w:p w14:paraId="1F7B03AD">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证书编号</w:t>
            </w:r>
          </w:p>
        </w:tc>
        <w:tc>
          <w:tcPr>
            <w:tcW w:w="1862" w:type="dxa"/>
            <w:noWrap w:val="0"/>
            <w:vAlign w:val="center"/>
          </w:tcPr>
          <w:p w14:paraId="3E3CB563">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参加本单位</w:t>
            </w:r>
          </w:p>
          <w:p w14:paraId="1D662536">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工作时间</w:t>
            </w:r>
          </w:p>
        </w:tc>
        <w:tc>
          <w:tcPr>
            <w:tcW w:w="2406" w:type="dxa"/>
            <w:noWrap w:val="0"/>
            <w:vAlign w:val="center"/>
          </w:tcPr>
          <w:p w14:paraId="1BB06FD2">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劳动合同编号</w:t>
            </w:r>
          </w:p>
        </w:tc>
      </w:tr>
      <w:tr w14:paraId="12DA7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896" w:type="dxa"/>
            <w:noWrap w:val="0"/>
            <w:vAlign w:val="center"/>
          </w:tcPr>
          <w:p w14:paraId="68452873">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777" w:type="dxa"/>
            <w:noWrap w:val="0"/>
            <w:vAlign w:val="center"/>
          </w:tcPr>
          <w:p w14:paraId="108C1425">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1865" w:type="dxa"/>
            <w:noWrap w:val="0"/>
            <w:vAlign w:val="center"/>
          </w:tcPr>
          <w:p w14:paraId="7891938F">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1557" w:type="dxa"/>
            <w:noWrap w:val="0"/>
            <w:vAlign w:val="center"/>
          </w:tcPr>
          <w:p w14:paraId="44A73F63">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1862" w:type="dxa"/>
            <w:noWrap w:val="0"/>
            <w:vAlign w:val="center"/>
          </w:tcPr>
          <w:p w14:paraId="7C83C4B1">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2406" w:type="dxa"/>
            <w:noWrap w:val="0"/>
            <w:vAlign w:val="center"/>
          </w:tcPr>
          <w:p w14:paraId="74E26D66">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r>
      <w:tr w14:paraId="6A75B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896" w:type="dxa"/>
            <w:noWrap w:val="0"/>
            <w:vAlign w:val="center"/>
          </w:tcPr>
          <w:p w14:paraId="5A11EE1A">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777" w:type="dxa"/>
            <w:noWrap w:val="0"/>
            <w:vAlign w:val="center"/>
          </w:tcPr>
          <w:p w14:paraId="52B24C17">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1865" w:type="dxa"/>
            <w:noWrap w:val="0"/>
            <w:vAlign w:val="center"/>
          </w:tcPr>
          <w:p w14:paraId="1BF96424">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1557" w:type="dxa"/>
            <w:noWrap w:val="0"/>
            <w:vAlign w:val="center"/>
          </w:tcPr>
          <w:p w14:paraId="1AC0A161">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1862" w:type="dxa"/>
            <w:noWrap w:val="0"/>
            <w:vAlign w:val="center"/>
          </w:tcPr>
          <w:p w14:paraId="4A29A999">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2406" w:type="dxa"/>
            <w:noWrap w:val="0"/>
            <w:vAlign w:val="center"/>
          </w:tcPr>
          <w:p w14:paraId="146826CC">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r>
      <w:tr w14:paraId="686EC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896" w:type="dxa"/>
            <w:noWrap w:val="0"/>
            <w:vAlign w:val="center"/>
          </w:tcPr>
          <w:p w14:paraId="2795AB49">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777" w:type="dxa"/>
            <w:noWrap w:val="0"/>
            <w:vAlign w:val="center"/>
          </w:tcPr>
          <w:p w14:paraId="4ED4F4A1">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1865" w:type="dxa"/>
            <w:noWrap w:val="0"/>
            <w:vAlign w:val="center"/>
          </w:tcPr>
          <w:p w14:paraId="46340420">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1557" w:type="dxa"/>
            <w:noWrap w:val="0"/>
            <w:vAlign w:val="center"/>
          </w:tcPr>
          <w:p w14:paraId="3C8F351F">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1862" w:type="dxa"/>
            <w:noWrap w:val="0"/>
            <w:vAlign w:val="center"/>
          </w:tcPr>
          <w:p w14:paraId="32C0F01C">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2406" w:type="dxa"/>
            <w:noWrap w:val="0"/>
            <w:vAlign w:val="center"/>
          </w:tcPr>
          <w:p w14:paraId="22A315E6">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r>
    </w:tbl>
    <w:p w14:paraId="245FA82C">
      <w:pPr>
        <w:keepNext w:val="0"/>
        <w:keepLines w:val="0"/>
        <w:pageBreakBefore w:val="0"/>
        <w:widowControl w:val="0"/>
        <w:kinsoku/>
        <w:overflowPunct/>
        <w:topLinePunct w:val="0"/>
        <w:autoSpaceDE/>
        <w:autoSpaceDN/>
        <w:bidi w:val="0"/>
        <w:adjustRightInd/>
        <w:snapToGrid w:val="0"/>
        <w:spacing w:before="50" w:after="165" w:afterLines="50" w:line="400" w:lineRule="exact"/>
        <w:jc w:val="left"/>
        <w:textAlignment w:val="auto"/>
        <w:rPr>
          <w:rFonts w:hint="eastAsia" w:ascii="宋体" w:hAnsi="宋体" w:cs="宋体"/>
          <w:color w:val="auto"/>
          <w:szCs w:val="21"/>
          <w:highlight w:val="none"/>
        </w:rPr>
      </w:pPr>
    </w:p>
    <w:p w14:paraId="0AD56B3E">
      <w:pPr>
        <w:keepNext w:val="0"/>
        <w:keepLines w:val="0"/>
        <w:pageBreakBefore w:val="0"/>
        <w:widowControl w:val="0"/>
        <w:kinsoku/>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注：</w:t>
      </w:r>
    </w:p>
    <w:p w14:paraId="729C7C2C">
      <w:pPr>
        <w:keepNext w:val="0"/>
        <w:keepLines w:val="0"/>
        <w:pageBreakBefore w:val="0"/>
        <w:widowControl w:val="0"/>
        <w:kinsoku/>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1.在填写时，如本表格不适合投标单位的实际情况，可根据本表格式自行制表填写。</w:t>
      </w:r>
    </w:p>
    <w:p w14:paraId="0573E7E2">
      <w:pPr>
        <w:keepNext w:val="0"/>
        <w:keepLines w:val="0"/>
        <w:pageBreakBefore w:val="0"/>
        <w:widowControl w:val="0"/>
        <w:kinsoku/>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2.投标人应当附本表所列证书的复印件并加盖投标人电子签章。</w:t>
      </w:r>
    </w:p>
    <w:p w14:paraId="695F3662">
      <w:pPr>
        <w:keepNext w:val="0"/>
        <w:keepLines w:val="0"/>
        <w:pageBreakBefore w:val="0"/>
        <w:widowControl w:val="0"/>
        <w:kinsoku/>
        <w:wordWrap w:val="0"/>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p>
    <w:p w14:paraId="7E3DC191">
      <w:pPr>
        <w:keepNext w:val="0"/>
        <w:keepLines w:val="0"/>
        <w:pageBreakBefore w:val="0"/>
        <w:widowControl w:val="0"/>
        <w:kinsoku/>
        <w:wordWrap w:val="0"/>
        <w:overflowPunct/>
        <w:topLinePunct w:val="0"/>
        <w:autoSpaceDE/>
        <w:autoSpaceDN/>
        <w:bidi w:val="0"/>
        <w:adjustRightInd/>
        <w:spacing w:line="400" w:lineRule="exact"/>
        <w:contextualSpacing/>
        <w:textAlignment w:val="auto"/>
        <w:rPr>
          <w:rFonts w:hint="eastAsia" w:ascii="宋体" w:hAnsi="宋体" w:cs="宋体"/>
          <w:color w:val="auto"/>
          <w:spacing w:val="20"/>
          <w:szCs w:val="21"/>
          <w:highlight w:val="none"/>
          <w:u w:val="single"/>
        </w:rPr>
      </w:pPr>
      <w:r>
        <w:rPr>
          <w:rFonts w:hint="eastAsia" w:ascii="宋体" w:hAnsi="宋体" w:cs="宋体"/>
          <w:color w:val="auto"/>
          <w:szCs w:val="21"/>
          <w:highlight w:val="none"/>
        </w:rPr>
        <w:t>法定代表人或者委托代理人</w:t>
      </w:r>
      <w:r>
        <w:rPr>
          <w:rFonts w:hint="eastAsia" w:ascii="宋体" w:hAnsi="宋体" w:cs="宋体"/>
          <w:color w:val="auto"/>
          <w:spacing w:val="20"/>
          <w:szCs w:val="21"/>
          <w:highlight w:val="none"/>
        </w:rPr>
        <w:t>（签字或者电子签名）：</w:t>
      </w:r>
      <w:r>
        <w:rPr>
          <w:rFonts w:hint="eastAsia" w:ascii="宋体" w:hAnsi="宋体" w:cs="宋体"/>
          <w:color w:val="auto"/>
          <w:spacing w:val="20"/>
          <w:szCs w:val="21"/>
          <w:highlight w:val="none"/>
          <w:u w:val="single"/>
        </w:rPr>
        <w:t xml:space="preserve">        </w:t>
      </w:r>
    </w:p>
    <w:p w14:paraId="21C6D0EF">
      <w:pPr>
        <w:keepNext w:val="0"/>
        <w:keepLines w:val="0"/>
        <w:pageBreakBefore w:val="0"/>
        <w:widowControl w:val="0"/>
        <w:kinsoku/>
        <w:wordWrap w:val="0"/>
        <w:overflowPunct/>
        <w:topLinePunct w:val="0"/>
        <w:autoSpaceDE/>
        <w:autoSpaceDN/>
        <w:bidi w:val="0"/>
        <w:adjustRightInd/>
        <w:spacing w:line="400" w:lineRule="exact"/>
        <w:contextualSpacing/>
        <w:jc w:val="left"/>
        <w:textAlignment w:val="auto"/>
        <w:rPr>
          <w:rFonts w:hint="eastAsia" w:ascii="宋体" w:hAnsi="宋体" w:cs="宋体"/>
          <w:color w:val="auto"/>
          <w:spacing w:val="20"/>
          <w:szCs w:val="21"/>
          <w:highlight w:val="none"/>
        </w:rPr>
      </w:pPr>
      <w:r>
        <w:rPr>
          <w:rFonts w:hint="eastAsia" w:ascii="宋体" w:hAnsi="宋体" w:cs="宋体"/>
          <w:color w:val="auto"/>
          <w:spacing w:val="20"/>
          <w:szCs w:val="21"/>
          <w:highlight w:val="none"/>
        </w:rPr>
        <w:t>投标人名称（电子签章）：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49B30968">
      <w:pPr>
        <w:keepNext w:val="0"/>
        <w:keepLines w:val="0"/>
        <w:pageBreakBefore w:val="0"/>
        <w:widowControl w:val="0"/>
        <w:kinsoku/>
        <w:wordWrap w:val="0"/>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color w:val="auto"/>
          <w:spacing w:val="20"/>
          <w:szCs w:val="21"/>
          <w:highlight w:val="none"/>
        </w:rPr>
        <w:t>日 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64CBA946">
      <w:pPr>
        <w:spacing w:line="360" w:lineRule="auto"/>
        <w:contextualSpacing/>
        <w:jc w:val="left"/>
        <w:rPr>
          <w:rFonts w:hint="eastAsia" w:ascii="宋体" w:hAnsi="宋体" w:cs="宋体"/>
          <w:color w:val="auto"/>
          <w:sz w:val="24"/>
          <w:szCs w:val="20"/>
          <w:highlight w:val="none"/>
        </w:rPr>
      </w:pPr>
    </w:p>
    <w:p w14:paraId="6A70128A">
      <w:pPr>
        <w:snapToGrid w:val="0"/>
        <w:spacing w:before="50" w:after="165" w:afterLines="50"/>
        <w:jc w:val="left"/>
        <w:rPr>
          <w:rFonts w:hint="eastAsia" w:ascii="宋体" w:hAnsi="宋体" w:cs="宋体"/>
          <w:color w:val="auto"/>
          <w:sz w:val="24"/>
          <w:szCs w:val="20"/>
          <w:highlight w:val="none"/>
        </w:rPr>
      </w:pPr>
    </w:p>
    <w:p w14:paraId="2164FA82">
      <w:pPr>
        <w:snapToGrid w:val="0"/>
        <w:spacing w:before="165" w:beforeLines="50" w:after="50"/>
        <w:jc w:val="left"/>
        <w:rPr>
          <w:rFonts w:hint="eastAsia" w:ascii="宋体" w:hAnsi="宋体" w:cs="宋体"/>
          <w:color w:val="auto"/>
          <w:sz w:val="24"/>
          <w:szCs w:val="20"/>
          <w:highlight w:val="none"/>
        </w:rPr>
      </w:pPr>
    </w:p>
    <w:p w14:paraId="0AADEBE9">
      <w:pPr>
        <w:snapToGrid w:val="0"/>
        <w:spacing w:before="50" w:after="165" w:afterLines="50"/>
        <w:jc w:val="left"/>
        <w:rPr>
          <w:rFonts w:hint="eastAsia" w:ascii="宋体" w:hAnsi="宋体" w:cs="宋体"/>
          <w:color w:val="auto"/>
          <w:sz w:val="24"/>
          <w:szCs w:val="20"/>
          <w:highlight w:val="none"/>
        </w:rPr>
      </w:pPr>
    </w:p>
    <w:p w14:paraId="048EA3FC">
      <w:pPr>
        <w:rPr>
          <w:rFonts w:hint="eastAsia" w:ascii="宋体" w:hAnsi="宋体" w:cs="宋体"/>
          <w:b/>
          <w:color w:val="auto"/>
          <w:sz w:val="28"/>
          <w:szCs w:val="28"/>
          <w:highlight w:val="none"/>
        </w:rPr>
      </w:pPr>
      <w:r>
        <w:rPr>
          <w:rFonts w:hint="eastAsia" w:ascii="宋体" w:hAnsi="宋体" w:cs="宋体"/>
          <w:b/>
          <w:bCs/>
          <w:color w:val="auto"/>
          <w:sz w:val="24"/>
          <w:highlight w:val="none"/>
        </w:rPr>
        <w:br w:type="page"/>
      </w:r>
      <w:bookmarkStart w:id="203" w:name="_Toc19686840"/>
      <w:r>
        <w:rPr>
          <w:rFonts w:hint="eastAsia" w:ascii="宋体" w:hAnsi="宋体" w:cs="宋体"/>
          <w:b/>
          <w:color w:val="auto"/>
          <w:sz w:val="28"/>
          <w:szCs w:val="28"/>
          <w:highlight w:val="none"/>
        </w:rPr>
        <w:t>四、其他文书、文件格式</w:t>
      </w:r>
      <w:bookmarkEnd w:id="203"/>
    </w:p>
    <w:p w14:paraId="4712E090">
      <w:pPr>
        <w:spacing w:line="360" w:lineRule="auto"/>
        <w:jc w:val="left"/>
        <w:rPr>
          <w:rFonts w:hint="eastAsia" w:ascii="宋体" w:hAnsi="宋体" w:cs="宋体"/>
          <w:b/>
          <w:bCs/>
          <w:color w:val="auto"/>
          <w:sz w:val="32"/>
          <w:szCs w:val="32"/>
          <w:highlight w:val="none"/>
        </w:rPr>
      </w:pPr>
      <w:r>
        <w:rPr>
          <w:rFonts w:hint="eastAsia" w:ascii="宋体" w:hAnsi="宋体" w:cs="宋体"/>
          <w:b/>
          <w:color w:val="auto"/>
          <w:sz w:val="24"/>
          <w:highlight w:val="none"/>
        </w:rPr>
        <w:t>1.质疑函（格式）</w:t>
      </w:r>
    </w:p>
    <w:p w14:paraId="4BB3AA39">
      <w:pPr>
        <w:spacing w:line="360" w:lineRule="auto"/>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质疑函（格式）</w:t>
      </w:r>
    </w:p>
    <w:p w14:paraId="522BDDAC">
      <w:pPr>
        <w:pStyle w:val="22"/>
        <w:keepNext w:val="0"/>
        <w:keepLines w:val="0"/>
        <w:pageBreakBefore w:val="0"/>
        <w:widowControl w:val="0"/>
        <w:kinsoku/>
        <w:wordWrap/>
        <w:overflowPunct/>
        <w:topLinePunct w:val="0"/>
        <w:autoSpaceDE/>
        <w:autoSpaceDN/>
        <w:bidi w:val="0"/>
        <w:adjustRightInd/>
        <w:snapToGrid w:val="0"/>
        <w:spacing w:line="400" w:lineRule="exact"/>
        <w:ind w:firstLine="422" w:firstLineChars="200"/>
        <w:textAlignment w:val="auto"/>
        <w:rPr>
          <w:rFonts w:hint="eastAsia" w:hAnsi="宋体" w:cs="宋体"/>
          <w:b/>
          <w:bCs/>
          <w:color w:val="auto"/>
          <w:highlight w:val="none"/>
        </w:rPr>
      </w:pPr>
      <w:r>
        <w:rPr>
          <w:rFonts w:hint="eastAsia" w:hAnsi="宋体" w:cs="宋体"/>
          <w:b/>
          <w:bCs/>
          <w:color w:val="auto"/>
          <w:highlight w:val="none"/>
        </w:rPr>
        <w:t>一、质疑供应商基本信息：</w:t>
      </w:r>
    </w:p>
    <w:p w14:paraId="7076CA5D">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hAnsi="宋体" w:cs="宋体"/>
          <w:bCs/>
          <w:color w:val="auto"/>
          <w:highlight w:val="none"/>
          <w:u w:val="single"/>
        </w:rPr>
      </w:pPr>
      <w:r>
        <w:rPr>
          <w:rFonts w:hint="eastAsia" w:hAnsi="宋体" w:cs="宋体"/>
          <w:bCs/>
          <w:color w:val="auto"/>
          <w:highlight w:val="none"/>
        </w:rPr>
        <w:t>质疑供应商：</w:t>
      </w:r>
      <w:r>
        <w:rPr>
          <w:rFonts w:hint="eastAsia" w:hAnsi="宋体" w:cs="宋体"/>
          <w:bCs/>
          <w:color w:val="auto"/>
          <w:highlight w:val="none"/>
          <w:u w:val="single"/>
        </w:rPr>
        <w:t xml:space="preserve">                                       </w:t>
      </w:r>
      <w:r>
        <w:rPr>
          <w:rFonts w:hint="eastAsia" w:hAnsi="宋体" w:cs="宋体"/>
          <w:bCs/>
          <w:color w:val="auto"/>
          <w:highlight w:val="none"/>
        </w:rPr>
        <w:t xml:space="preserve">                 </w:t>
      </w:r>
    </w:p>
    <w:p w14:paraId="5018D20A">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地址：</w:t>
      </w:r>
      <w:r>
        <w:rPr>
          <w:rFonts w:hint="eastAsia" w:hAnsi="宋体" w:cs="宋体"/>
          <w:bCs/>
          <w:color w:val="auto"/>
          <w:highlight w:val="none"/>
          <w:u w:val="single"/>
        </w:rPr>
        <w:t xml:space="preserve">                                          </w:t>
      </w:r>
      <w:r>
        <w:rPr>
          <w:rFonts w:hint="eastAsia" w:hAnsi="宋体" w:cs="宋体"/>
          <w:bCs/>
          <w:color w:val="auto"/>
          <w:highlight w:val="none"/>
        </w:rPr>
        <w:t>邮编：</w:t>
      </w:r>
      <w:r>
        <w:rPr>
          <w:rFonts w:hint="eastAsia" w:hAnsi="宋体" w:cs="宋体"/>
          <w:bCs/>
          <w:color w:val="auto"/>
          <w:highlight w:val="none"/>
          <w:u w:val="single"/>
        </w:rPr>
        <w:t xml:space="preserve">                  </w:t>
      </w:r>
      <w:r>
        <w:rPr>
          <w:rFonts w:hint="eastAsia" w:hAnsi="宋体" w:cs="宋体"/>
          <w:bCs/>
          <w:color w:val="auto"/>
          <w:highlight w:val="none"/>
        </w:rPr>
        <w:t xml:space="preserve"> </w:t>
      </w:r>
    </w:p>
    <w:p w14:paraId="0D6CDC69">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联系人：</w:t>
      </w:r>
      <w:r>
        <w:rPr>
          <w:rFonts w:hint="eastAsia" w:hAnsi="宋体" w:cs="宋体"/>
          <w:bCs/>
          <w:color w:val="auto"/>
          <w:highlight w:val="none"/>
          <w:u w:val="single"/>
        </w:rPr>
        <w:t xml:space="preserve">                     </w:t>
      </w:r>
      <w:r>
        <w:rPr>
          <w:rFonts w:hint="eastAsia" w:hAnsi="宋体" w:cs="宋体"/>
          <w:bCs/>
          <w:color w:val="auto"/>
          <w:highlight w:val="none"/>
        </w:rPr>
        <w:t>联系电话：</w:t>
      </w:r>
      <w:r>
        <w:rPr>
          <w:rFonts w:hint="eastAsia" w:hAnsi="宋体" w:cs="宋体"/>
          <w:bCs/>
          <w:color w:val="auto"/>
          <w:highlight w:val="none"/>
          <w:u w:val="single"/>
        </w:rPr>
        <w:t xml:space="preserve">                 </w:t>
      </w:r>
    </w:p>
    <w:p w14:paraId="4C7DDB10">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授权代表：</w:t>
      </w:r>
      <w:r>
        <w:rPr>
          <w:rFonts w:hint="eastAsia" w:hAnsi="宋体" w:cs="宋体"/>
          <w:bCs/>
          <w:color w:val="auto"/>
          <w:highlight w:val="none"/>
          <w:u w:val="single"/>
        </w:rPr>
        <w:t xml:space="preserve">                      </w:t>
      </w:r>
    </w:p>
    <w:p w14:paraId="1AF4216E">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hAnsi="宋体" w:cs="宋体"/>
          <w:bCs/>
          <w:color w:val="auto"/>
          <w:highlight w:val="none"/>
          <w:u w:val="single"/>
        </w:rPr>
      </w:pPr>
      <w:r>
        <w:rPr>
          <w:rFonts w:hint="eastAsia" w:hAnsi="宋体" w:cs="宋体"/>
          <w:bCs/>
          <w:color w:val="auto"/>
          <w:highlight w:val="none"/>
        </w:rPr>
        <w:t>联系电话：</w:t>
      </w:r>
      <w:r>
        <w:rPr>
          <w:rFonts w:hint="eastAsia" w:hAnsi="宋体" w:cs="宋体"/>
          <w:bCs/>
          <w:color w:val="auto"/>
          <w:highlight w:val="none"/>
          <w:u w:val="single"/>
        </w:rPr>
        <w:t xml:space="preserve">                      </w:t>
      </w:r>
    </w:p>
    <w:p w14:paraId="3186388B">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地址：</w:t>
      </w:r>
      <w:r>
        <w:rPr>
          <w:rFonts w:hint="eastAsia" w:hAnsi="宋体" w:cs="宋体"/>
          <w:bCs/>
          <w:color w:val="auto"/>
          <w:highlight w:val="none"/>
          <w:u w:val="single"/>
        </w:rPr>
        <w:t xml:space="preserve">                 </w:t>
      </w:r>
      <w:r>
        <w:rPr>
          <w:rFonts w:hint="eastAsia" w:hAnsi="宋体" w:cs="宋体"/>
          <w:bCs/>
          <w:color w:val="auto"/>
          <w:highlight w:val="none"/>
        </w:rPr>
        <w:t>邮编：</w:t>
      </w:r>
      <w:r>
        <w:rPr>
          <w:rFonts w:hint="eastAsia" w:hAnsi="宋体" w:cs="宋体"/>
          <w:bCs/>
          <w:color w:val="auto"/>
          <w:highlight w:val="none"/>
          <w:u w:val="single"/>
        </w:rPr>
        <w:t xml:space="preserve">                  </w:t>
      </w:r>
      <w:r>
        <w:rPr>
          <w:rFonts w:hint="eastAsia" w:hAnsi="宋体" w:cs="宋体"/>
          <w:bCs/>
          <w:color w:val="auto"/>
          <w:highlight w:val="none"/>
        </w:rPr>
        <w:t xml:space="preserve">     </w:t>
      </w:r>
    </w:p>
    <w:p w14:paraId="72F1919F">
      <w:pPr>
        <w:pStyle w:val="22"/>
        <w:keepNext w:val="0"/>
        <w:keepLines w:val="0"/>
        <w:pageBreakBefore w:val="0"/>
        <w:widowControl w:val="0"/>
        <w:kinsoku/>
        <w:wordWrap/>
        <w:overflowPunct/>
        <w:topLinePunct w:val="0"/>
        <w:autoSpaceDE/>
        <w:autoSpaceDN/>
        <w:bidi w:val="0"/>
        <w:adjustRightInd/>
        <w:snapToGrid w:val="0"/>
        <w:spacing w:line="400" w:lineRule="exact"/>
        <w:ind w:firstLine="422" w:firstLineChars="200"/>
        <w:textAlignment w:val="auto"/>
        <w:rPr>
          <w:rFonts w:hint="eastAsia" w:hAnsi="宋体" w:cs="宋体"/>
          <w:b/>
          <w:bCs/>
          <w:color w:val="auto"/>
          <w:highlight w:val="none"/>
        </w:rPr>
      </w:pPr>
      <w:r>
        <w:rPr>
          <w:rFonts w:hint="eastAsia" w:hAnsi="宋体" w:cs="宋体"/>
          <w:b/>
          <w:bCs/>
          <w:color w:val="auto"/>
          <w:highlight w:val="none"/>
        </w:rPr>
        <w:t>二、质疑项目基本情况：</w:t>
      </w:r>
    </w:p>
    <w:p w14:paraId="3985296E">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bCs/>
          <w:color w:val="auto"/>
          <w:highlight w:val="none"/>
        </w:rPr>
        <w:t>质疑</w:t>
      </w:r>
      <w:r>
        <w:rPr>
          <w:rFonts w:hint="eastAsia" w:hAnsi="宋体" w:cs="宋体"/>
          <w:color w:val="auto"/>
          <w:highlight w:val="none"/>
        </w:rPr>
        <w:t>项目的名称：</w:t>
      </w:r>
      <w:r>
        <w:rPr>
          <w:rFonts w:hint="eastAsia" w:hAnsi="宋体" w:cs="宋体"/>
          <w:bCs/>
          <w:color w:val="auto"/>
          <w:highlight w:val="none"/>
          <w:u w:val="single"/>
        </w:rPr>
        <w:t xml:space="preserve">                                     </w:t>
      </w:r>
    </w:p>
    <w:p w14:paraId="673C56FF">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bCs/>
          <w:color w:val="auto"/>
          <w:highlight w:val="none"/>
        </w:rPr>
        <w:t>质疑</w:t>
      </w:r>
      <w:r>
        <w:rPr>
          <w:rFonts w:hint="eastAsia" w:hAnsi="宋体" w:cs="宋体"/>
          <w:color w:val="auto"/>
          <w:highlight w:val="none"/>
        </w:rPr>
        <w:t>项目的编号：</w:t>
      </w:r>
      <w:r>
        <w:rPr>
          <w:rFonts w:hint="eastAsia" w:hAnsi="宋体" w:cs="宋体"/>
          <w:bCs/>
          <w:color w:val="auto"/>
          <w:highlight w:val="none"/>
          <w:u w:val="single"/>
        </w:rPr>
        <w:t xml:space="preserve">                                     </w:t>
      </w:r>
    </w:p>
    <w:p w14:paraId="48A982C6">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采购人名称：</w:t>
      </w:r>
      <w:r>
        <w:rPr>
          <w:rFonts w:hint="eastAsia" w:hAnsi="宋体" w:cs="宋体"/>
          <w:bCs/>
          <w:color w:val="auto"/>
          <w:highlight w:val="none"/>
          <w:u w:val="single"/>
        </w:rPr>
        <w:t xml:space="preserve">                                         </w:t>
      </w:r>
    </w:p>
    <w:p w14:paraId="571A0A46">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质疑事项：</w:t>
      </w:r>
    </w:p>
    <w:p w14:paraId="17CBAC31">
      <w:pPr>
        <w:pStyle w:val="22"/>
        <w:keepNext w:val="0"/>
        <w:keepLines w:val="0"/>
        <w:pageBreakBefore w:val="0"/>
        <w:widowControl w:val="0"/>
        <w:kinsoku/>
        <w:wordWrap/>
        <w:overflowPunct/>
        <w:topLinePunct w:val="0"/>
        <w:autoSpaceDE/>
        <w:autoSpaceDN/>
        <w:bidi w:val="0"/>
        <w:adjustRightInd/>
        <w:spacing w:line="400" w:lineRule="exact"/>
        <w:ind w:left="25" w:leftChars="12" w:firstLine="308" w:firstLineChars="147"/>
        <w:textAlignment w:val="auto"/>
        <w:rPr>
          <w:rFonts w:hint="eastAsia" w:hAnsi="宋体" w:cs="宋体"/>
          <w:color w:val="auto"/>
          <w:highlight w:val="none"/>
        </w:rPr>
      </w:pPr>
      <w:r>
        <w:rPr>
          <w:rFonts w:hint="eastAsia" w:hAnsi="宋体" w:cs="宋体"/>
          <w:color w:val="auto"/>
          <w:highlight w:val="none"/>
        </w:rPr>
        <w:t>□招标文件   招标文件获取日期：</w:t>
      </w:r>
      <w:r>
        <w:rPr>
          <w:rFonts w:hint="eastAsia" w:hAnsi="宋体" w:cs="宋体"/>
          <w:bCs/>
          <w:color w:val="auto"/>
          <w:highlight w:val="none"/>
          <w:u w:val="single"/>
        </w:rPr>
        <w:t xml:space="preserve">                                   </w:t>
      </w:r>
    </w:p>
    <w:p w14:paraId="049751C5">
      <w:pPr>
        <w:pStyle w:val="22"/>
        <w:keepNext w:val="0"/>
        <w:keepLines w:val="0"/>
        <w:pageBreakBefore w:val="0"/>
        <w:widowControl w:val="0"/>
        <w:kinsoku/>
        <w:wordWrap/>
        <w:overflowPunct/>
        <w:topLinePunct w:val="0"/>
        <w:autoSpaceDE/>
        <w:autoSpaceDN/>
        <w:bidi w:val="0"/>
        <w:adjustRightInd/>
        <w:spacing w:line="400" w:lineRule="exact"/>
        <w:ind w:left="25" w:leftChars="12" w:firstLine="308" w:firstLineChars="147"/>
        <w:textAlignment w:val="auto"/>
        <w:rPr>
          <w:rFonts w:hint="eastAsia" w:hAnsi="宋体" w:cs="宋体"/>
          <w:color w:val="auto"/>
          <w:highlight w:val="none"/>
        </w:rPr>
      </w:pPr>
      <w:r>
        <w:rPr>
          <w:rFonts w:hint="eastAsia" w:hAnsi="宋体" w:cs="宋体"/>
          <w:color w:val="auto"/>
          <w:highlight w:val="none"/>
        </w:rPr>
        <w:t xml:space="preserve">□招标过程   </w:t>
      </w:r>
    </w:p>
    <w:p w14:paraId="4AB5C70F">
      <w:pPr>
        <w:pStyle w:val="22"/>
        <w:keepNext w:val="0"/>
        <w:keepLines w:val="0"/>
        <w:pageBreakBefore w:val="0"/>
        <w:widowControl w:val="0"/>
        <w:kinsoku/>
        <w:wordWrap/>
        <w:overflowPunct/>
        <w:topLinePunct w:val="0"/>
        <w:autoSpaceDE/>
        <w:autoSpaceDN/>
        <w:bidi w:val="0"/>
        <w:adjustRightInd/>
        <w:spacing w:line="400" w:lineRule="exact"/>
        <w:ind w:left="25" w:leftChars="12" w:firstLine="308" w:firstLineChars="147"/>
        <w:textAlignment w:val="auto"/>
        <w:rPr>
          <w:rFonts w:hint="eastAsia" w:hAnsi="宋体" w:cs="宋体"/>
          <w:bCs/>
          <w:color w:val="auto"/>
          <w:highlight w:val="none"/>
          <w:u w:val="single"/>
        </w:rPr>
      </w:pPr>
      <w:r>
        <w:rPr>
          <w:rFonts w:hint="eastAsia" w:hAnsi="宋体" w:cs="宋体"/>
          <w:color w:val="auto"/>
          <w:highlight w:val="none"/>
        </w:rPr>
        <w:t xml:space="preserve">□招标结果   </w:t>
      </w:r>
    </w:p>
    <w:p w14:paraId="20AE6D5B">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6"/>
        <w:textAlignment w:val="auto"/>
        <w:rPr>
          <w:rFonts w:hint="eastAsia" w:hAnsi="宋体" w:cs="宋体"/>
          <w:b/>
          <w:color w:val="auto"/>
          <w:highlight w:val="none"/>
        </w:rPr>
      </w:pPr>
      <w:r>
        <w:rPr>
          <w:rFonts w:hint="eastAsia" w:hAnsi="宋体" w:cs="宋体"/>
          <w:b/>
          <w:color w:val="auto"/>
          <w:highlight w:val="none"/>
        </w:rPr>
        <w:t>三、质疑事项具体内容</w:t>
      </w:r>
    </w:p>
    <w:p w14:paraId="038519E4">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质疑事项1：</w:t>
      </w:r>
      <w:r>
        <w:rPr>
          <w:rFonts w:hint="eastAsia" w:hAnsi="宋体" w:cs="宋体"/>
          <w:bCs/>
          <w:color w:val="auto"/>
          <w:highlight w:val="none"/>
          <w:u w:val="single"/>
        </w:rPr>
        <w:t xml:space="preserve">                                                                    </w:t>
      </w:r>
    </w:p>
    <w:p w14:paraId="5E46ED91">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事实依据：</w:t>
      </w:r>
      <w:r>
        <w:rPr>
          <w:rFonts w:hint="eastAsia" w:hAnsi="宋体" w:cs="宋体"/>
          <w:bCs/>
          <w:color w:val="auto"/>
          <w:highlight w:val="none"/>
          <w:u w:val="single"/>
        </w:rPr>
        <w:t xml:space="preserve">                                                                      </w:t>
      </w:r>
    </w:p>
    <w:p w14:paraId="5DF46D93">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法律依据：</w:t>
      </w:r>
      <w:r>
        <w:rPr>
          <w:rFonts w:hint="eastAsia" w:hAnsi="宋体" w:cs="宋体"/>
          <w:color w:val="auto"/>
          <w:highlight w:val="none"/>
          <w:u w:val="single"/>
        </w:rPr>
        <w:t xml:space="preserve">                                                        </w:t>
      </w:r>
      <w:r>
        <w:rPr>
          <w:rFonts w:hint="eastAsia" w:hAnsi="宋体" w:cs="宋体"/>
          <w:bCs/>
          <w:color w:val="auto"/>
          <w:highlight w:val="none"/>
          <w:u w:val="single"/>
        </w:rPr>
        <w:t xml:space="preserve">               </w:t>
      </w:r>
    </w:p>
    <w:p w14:paraId="0A908578">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质疑事项2</w:t>
      </w:r>
    </w:p>
    <w:p w14:paraId="37DE7A85">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w:t>
      </w:r>
    </w:p>
    <w:p w14:paraId="187C895C">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四、与质疑事项相关的质疑请求：</w:t>
      </w:r>
    </w:p>
    <w:p w14:paraId="7194B85C">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请求：</w:t>
      </w:r>
      <w:r>
        <w:rPr>
          <w:rFonts w:hint="eastAsia" w:hAnsi="宋体" w:cs="宋体"/>
          <w:bCs/>
          <w:color w:val="auto"/>
          <w:highlight w:val="none"/>
          <w:u w:val="single"/>
        </w:rPr>
        <w:t xml:space="preserve">                                                                </w:t>
      </w:r>
    </w:p>
    <w:p w14:paraId="5C98CE64">
      <w:pPr>
        <w:pStyle w:val="22"/>
        <w:keepNext w:val="0"/>
        <w:keepLines w:val="0"/>
        <w:pageBreakBefore w:val="0"/>
        <w:widowControl w:val="0"/>
        <w:kinsoku/>
        <w:wordWrap/>
        <w:overflowPunct/>
        <w:topLinePunct w:val="0"/>
        <w:autoSpaceDE/>
        <w:autoSpaceDN/>
        <w:bidi w:val="0"/>
        <w:adjustRightInd/>
        <w:spacing w:line="400" w:lineRule="exact"/>
        <w:ind w:left="25" w:leftChars="12" w:firstLine="308" w:firstLineChars="147"/>
        <w:textAlignment w:val="auto"/>
        <w:rPr>
          <w:rFonts w:hint="eastAsia" w:hAnsi="宋体" w:cs="宋体"/>
          <w:color w:val="auto"/>
          <w:highlight w:val="none"/>
        </w:rPr>
      </w:pPr>
    </w:p>
    <w:p w14:paraId="286FEEEB">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签字（签章）：                                       公章：</w:t>
      </w:r>
    </w:p>
    <w:p w14:paraId="11B54CD7">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日期：</w:t>
      </w:r>
    </w:p>
    <w:p w14:paraId="7D83ADBA">
      <w:pPr>
        <w:pStyle w:val="22"/>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hAnsi="宋体" w:cs="宋体"/>
          <w:b/>
          <w:color w:val="auto"/>
          <w:highlight w:val="none"/>
        </w:rPr>
      </w:pPr>
      <w:r>
        <w:rPr>
          <w:rFonts w:hint="eastAsia" w:hAnsi="宋体" w:cs="宋体"/>
          <w:b/>
          <w:color w:val="auto"/>
          <w:highlight w:val="none"/>
        </w:rPr>
        <w:t>说明：</w:t>
      </w:r>
    </w:p>
    <w:p w14:paraId="192F01E8">
      <w:pPr>
        <w:pStyle w:val="22"/>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bCs/>
          <w:color w:val="auto"/>
          <w:highlight w:val="none"/>
        </w:rPr>
      </w:pPr>
      <w:r>
        <w:rPr>
          <w:rFonts w:hint="eastAsia" w:hAnsi="宋体" w:cs="宋体"/>
          <w:b/>
          <w:color w:val="auto"/>
          <w:highlight w:val="none"/>
        </w:rPr>
        <w:t>1.供应商提出质疑时，应提交质疑函和必要的证明材料</w:t>
      </w:r>
      <w:r>
        <w:rPr>
          <w:rFonts w:hint="eastAsia" w:hAnsi="宋体" w:cs="宋体"/>
          <w:b/>
          <w:bCs/>
          <w:color w:val="auto"/>
          <w:highlight w:val="none"/>
        </w:rPr>
        <w:t>。</w:t>
      </w:r>
    </w:p>
    <w:p w14:paraId="297FAFF2">
      <w:pPr>
        <w:pStyle w:val="22"/>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5FF2A87">
      <w:pPr>
        <w:pStyle w:val="22"/>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3.质疑函的质疑事项应具体、明确，并有必要的事实依据和法律依据。</w:t>
      </w:r>
    </w:p>
    <w:p w14:paraId="1762465C">
      <w:pPr>
        <w:pStyle w:val="22"/>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4.质疑函的质疑请求应与质疑事项相关。</w:t>
      </w:r>
    </w:p>
    <w:p w14:paraId="05E5BEF0">
      <w:pPr>
        <w:pStyle w:val="22"/>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5.质疑供应商为法人或者其他组织的，质疑函应由法定代表人、主要负责人，或者其授权代表签字或者盖章，并加盖公章。</w:t>
      </w:r>
    </w:p>
    <w:p w14:paraId="43D5C313">
      <w:pPr>
        <w:spacing w:line="460" w:lineRule="exact"/>
        <w:rPr>
          <w:rFonts w:hint="eastAsia" w:ascii="宋体" w:hAnsi="宋体" w:cs="宋体"/>
          <w:color w:val="auto"/>
          <w:sz w:val="44"/>
          <w:highlight w:val="none"/>
        </w:rPr>
      </w:pPr>
    </w:p>
    <w:p w14:paraId="50EABAF7">
      <w:pPr>
        <w:spacing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2.投诉书（格式）</w:t>
      </w:r>
    </w:p>
    <w:p w14:paraId="7043DF4C">
      <w:pPr>
        <w:spacing w:line="360" w:lineRule="auto"/>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投诉书（格式）</w:t>
      </w:r>
    </w:p>
    <w:p w14:paraId="3A420C6A">
      <w:pPr>
        <w:pStyle w:val="22"/>
        <w:keepNext w:val="0"/>
        <w:keepLines w:val="0"/>
        <w:pageBreakBefore w:val="0"/>
        <w:widowControl w:val="0"/>
        <w:kinsoku/>
        <w:wordWrap/>
        <w:overflowPunct/>
        <w:topLinePunct w:val="0"/>
        <w:autoSpaceDE/>
        <w:autoSpaceDN/>
        <w:bidi w:val="0"/>
        <w:adjustRightInd/>
        <w:snapToGrid w:val="0"/>
        <w:spacing w:line="400" w:lineRule="exact"/>
        <w:ind w:firstLine="422" w:firstLineChars="200"/>
        <w:textAlignment w:val="auto"/>
        <w:rPr>
          <w:rFonts w:hint="eastAsia" w:hAnsi="宋体" w:cs="宋体"/>
          <w:b/>
          <w:bCs/>
          <w:color w:val="auto"/>
          <w:highlight w:val="none"/>
        </w:rPr>
      </w:pPr>
      <w:r>
        <w:rPr>
          <w:rFonts w:hint="eastAsia" w:hAnsi="宋体" w:cs="宋体"/>
          <w:b/>
          <w:bCs/>
          <w:color w:val="auto"/>
          <w:highlight w:val="none"/>
        </w:rPr>
        <w:t>一、投诉相关主体基本情况：</w:t>
      </w:r>
    </w:p>
    <w:p w14:paraId="37AE40FA">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u w:val="single"/>
        </w:rPr>
      </w:pPr>
      <w:r>
        <w:rPr>
          <w:rFonts w:hint="eastAsia" w:hAnsi="宋体" w:cs="宋体"/>
          <w:bCs/>
          <w:color w:val="auto"/>
          <w:highlight w:val="none"/>
        </w:rPr>
        <w:t>投标人：</w:t>
      </w:r>
      <w:r>
        <w:rPr>
          <w:rFonts w:hint="eastAsia" w:hAnsi="宋体" w:cs="宋体"/>
          <w:bCs/>
          <w:color w:val="auto"/>
          <w:highlight w:val="none"/>
          <w:u w:val="single"/>
        </w:rPr>
        <w:t xml:space="preserve">                                                                        </w:t>
      </w:r>
    </w:p>
    <w:p w14:paraId="1CC29447">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rPr>
      </w:pPr>
      <w:r>
        <w:rPr>
          <w:rFonts w:hint="eastAsia" w:hAnsi="宋体" w:cs="宋体"/>
          <w:bCs/>
          <w:color w:val="auto"/>
          <w:highlight w:val="none"/>
        </w:rPr>
        <w:t>地址：</w:t>
      </w:r>
      <w:r>
        <w:rPr>
          <w:rFonts w:hint="eastAsia" w:hAnsi="宋体" w:cs="宋体"/>
          <w:bCs/>
          <w:color w:val="auto"/>
          <w:highlight w:val="none"/>
          <w:u w:val="single"/>
        </w:rPr>
        <w:t xml:space="preserve">                                          </w:t>
      </w:r>
      <w:r>
        <w:rPr>
          <w:rFonts w:hint="eastAsia" w:hAnsi="宋体" w:cs="宋体"/>
          <w:bCs/>
          <w:color w:val="auto"/>
          <w:highlight w:val="none"/>
        </w:rPr>
        <w:t>邮编：</w:t>
      </w:r>
      <w:r>
        <w:rPr>
          <w:rFonts w:hint="eastAsia" w:hAnsi="宋体" w:cs="宋体"/>
          <w:bCs/>
          <w:color w:val="auto"/>
          <w:highlight w:val="none"/>
          <w:u w:val="single"/>
        </w:rPr>
        <w:t xml:space="preserve">                          </w:t>
      </w:r>
    </w:p>
    <w:p w14:paraId="29A6335A">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u w:val="single"/>
        </w:rPr>
      </w:pPr>
      <w:r>
        <w:rPr>
          <w:rFonts w:hint="eastAsia" w:hAnsi="宋体" w:cs="宋体"/>
          <w:bCs/>
          <w:color w:val="auto"/>
          <w:highlight w:val="none"/>
        </w:rPr>
        <w:t>法定代表人/主要负责人：</w:t>
      </w:r>
      <w:r>
        <w:rPr>
          <w:rFonts w:hint="eastAsia" w:hAnsi="宋体" w:cs="宋体"/>
          <w:bCs/>
          <w:color w:val="auto"/>
          <w:highlight w:val="none"/>
          <w:u w:val="single"/>
        </w:rPr>
        <w:t xml:space="preserve">                                                         </w:t>
      </w:r>
    </w:p>
    <w:p w14:paraId="645E21F5">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rPr>
      </w:pPr>
      <w:r>
        <w:rPr>
          <w:rFonts w:hint="eastAsia" w:hAnsi="宋体" w:cs="宋体"/>
          <w:bCs/>
          <w:color w:val="auto"/>
          <w:highlight w:val="none"/>
        </w:rPr>
        <w:t>联系电话：</w:t>
      </w:r>
      <w:r>
        <w:rPr>
          <w:rFonts w:hint="eastAsia" w:hAnsi="宋体" w:cs="宋体"/>
          <w:bCs/>
          <w:color w:val="auto"/>
          <w:highlight w:val="none"/>
          <w:u w:val="single"/>
        </w:rPr>
        <w:t xml:space="preserve">                                         </w:t>
      </w:r>
    </w:p>
    <w:p w14:paraId="209AB98E">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u w:val="single"/>
        </w:rPr>
      </w:pPr>
      <w:r>
        <w:rPr>
          <w:rFonts w:hint="eastAsia" w:hAnsi="宋体" w:cs="宋体"/>
          <w:bCs/>
          <w:color w:val="auto"/>
          <w:highlight w:val="none"/>
        </w:rPr>
        <w:t>授权代表：</w:t>
      </w:r>
      <w:r>
        <w:rPr>
          <w:rFonts w:hint="eastAsia" w:hAnsi="宋体" w:cs="宋体"/>
          <w:bCs/>
          <w:color w:val="auto"/>
          <w:highlight w:val="none"/>
          <w:u w:val="single"/>
        </w:rPr>
        <w:t xml:space="preserve">                                         </w:t>
      </w:r>
      <w:r>
        <w:rPr>
          <w:rFonts w:hint="eastAsia" w:hAnsi="宋体" w:cs="宋体"/>
          <w:bCs/>
          <w:color w:val="auto"/>
          <w:highlight w:val="none"/>
        </w:rPr>
        <w:t>联系电话：</w:t>
      </w:r>
      <w:r>
        <w:rPr>
          <w:rFonts w:hint="eastAsia" w:hAnsi="宋体" w:cs="宋体"/>
          <w:bCs/>
          <w:color w:val="auto"/>
          <w:highlight w:val="none"/>
          <w:u w:val="single"/>
        </w:rPr>
        <w:t xml:space="preserve">                   </w:t>
      </w:r>
    </w:p>
    <w:p w14:paraId="4D1F9A82">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u w:val="single"/>
        </w:rPr>
      </w:pPr>
      <w:r>
        <w:rPr>
          <w:rFonts w:hint="eastAsia" w:hAnsi="宋体" w:cs="宋体"/>
          <w:bCs/>
          <w:color w:val="auto"/>
          <w:highlight w:val="none"/>
        </w:rPr>
        <w:t>地址：</w:t>
      </w:r>
      <w:r>
        <w:rPr>
          <w:rFonts w:hint="eastAsia" w:hAnsi="宋体" w:cs="宋体"/>
          <w:bCs/>
          <w:color w:val="auto"/>
          <w:highlight w:val="none"/>
          <w:u w:val="single"/>
        </w:rPr>
        <w:t xml:space="preserve">                                                            </w:t>
      </w:r>
    </w:p>
    <w:p w14:paraId="709286B5">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rPr>
      </w:pPr>
      <w:r>
        <w:rPr>
          <w:rFonts w:hint="eastAsia" w:hAnsi="宋体" w:cs="宋体"/>
          <w:bCs/>
          <w:color w:val="auto"/>
          <w:highlight w:val="none"/>
        </w:rPr>
        <w:t>邮编：</w:t>
      </w:r>
      <w:r>
        <w:rPr>
          <w:rFonts w:hint="eastAsia" w:hAnsi="宋体" w:cs="宋体"/>
          <w:bCs/>
          <w:color w:val="auto"/>
          <w:highlight w:val="none"/>
          <w:u w:val="single"/>
        </w:rPr>
        <w:t xml:space="preserve">         </w:t>
      </w:r>
      <w:r>
        <w:rPr>
          <w:rFonts w:hint="eastAsia" w:hAnsi="宋体" w:cs="宋体"/>
          <w:bCs/>
          <w:color w:val="auto"/>
          <w:highlight w:val="none"/>
        </w:rPr>
        <w:t xml:space="preserve">   </w:t>
      </w:r>
    </w:p>
    <w:p w14:paraId="1545363F">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rPr>
      </w:pPr>
      <w:r>
        <w:rPr>
          <w:rFonts w:hint="eastAsia" w:hAnsi="宋体" w:cs="宋体"/>
          <w:bCs/>
          <w:color w:val="auto"/>
          <w:highlight w:val="none"/>
        </w:rPr>
        <w:t>被投诉人1：</w:t>
      </w:r>
    </w:p>
    <w:p w14:paraId="1B41B203">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u w:val="single"/>
        </w:rPr>
      </w:pPr>
      <w:r>
        <w:rPr>
          <w:rFonts w:hint="eastAsia" w:hAnsi="宋体" w:cs="宋体"/>
          <w:bCs/>
          <w:color w:val="auto"/>
          <w:highlight w:val="none"/>
        </w:rPr>
        <w:t>地址：</w:t>
      </w:r>
      <w:r>
        <w:rPr>
          <w:rFonts w:hint="eastAsia" w:hAnsi="宋体" w:cs="宋体"/>
          <w:bCs/>
          <w:color w:val="auto"/>
          <w:highlight w:val="none"/>
          <w:u w:val="single"/>
        </w:rPr>
        <w:t xml:space="preserve">                                                            </w:t>
      </w:r>
    </w:p>
    <w:p w14:paraId="0648173A">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rPr>
      </w:pPr>
      <w:r>
        <w:rPr>
          <w:rFonts w:hint="eastAsia" w:hAnsi="宋体" w:cs="宋体"/>
          <w:bCs/>
          <w:color w:val="auto"/>
          <w:highlight w:val="none"/>
        </w:rPr>
        <w:t>邮编：</w:t>
      </w:r>
      <w:r>
        <w:rPr>
          <w:rFonts w:hint="eastAsia" w:hAnsi="宋体" w:cs="宋体"/>
          <w:bCs/>
          <w:color w:val="auto"/>
          <w:highlight w:val="none"/>
          <w:u w:val="single"/>
        </w:rPr>
        <w:t xml:space="preserve">         </w:t>
      </w:r>
      <w:r>
        <w:rPr>
          <w:rFonts w:hint="eastAsia" w:hAnsi="宋体" w:cs="宋体"/>
          <w:bCs/>
          <w:color w:val="auto"/>
          <w:highlight w:val="none"/>
        </w:rPr>
        <w:t xml:space="preserve">  </w:t>
      </w:r>
    </w:p>
    <w:p w14:paraId="576DE462">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u w:val="single"/>
        </w:rPr>
      </w:pPr>
      <w:r>
        <w:rPr>
          <w:rFonts w:hint="eastAsia" w:hAnsi="宋体" w:cs="宋体"/>
          <w:bCs/>
          <w:color w:val="auto"/>
          <w:highlight w:val="none"/>
        </w:rPr>
        <w:t>联系人：</w:t>
      </w:r>
      <w:r>
        <w:rPr>
          <w:rFonts w:hint="eastAsia" w:hAnsi="宋体" w:cs="宋体"/>
          <w:bCs/>
          <w:color w:val="auto"/>
          <w:highlight w:val="none"/>
          <w:u w:val="single"/>
        </w:rPr>
        <w:t xml:space="preserve">                                </w:t>
      </w:r>
      <w:r>
        <w:rPr>
          <w:rFonts w:hint="eastAsia" w:hAnsi="宋体" w:cs="宋体"/>
          <w:bCs/>
          <w:color w:val="auto"/>
          <w:highlight w:val="none"/>
        </w:rPr>
        <w:t>联系电话：</w:t>
      </w:r>
      <w:r>
        <w:rPr>
          <w:rFonts w:hint="eastAsia" w:hAnsi="宋体" w:cs="宋体"/>
          <w:bCs/>
          <w:color w:val="auto"/>
          <w:highlight w:val="none"/>
          <w:u w:val="single"/>
        </w:rPr>
        <w:t xml:space="preserve">                </w:t>
      </w:r>
    </w:p>
    <w:p w14:paraId="7162BBC8">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rPr>
      </w:pPr>
      <w:r>
        <w:rPr>
          <w:rFonts w:hint="eastAsia" w:hAnsi="宋体" w:cs="宋体"/>
          <w:bCs/>
          <w:color w:val="auto"/>
          <w:highlight w:val="none"/>
        </w:rPr>
        <w:t>被投诉人2：</w:t>
      </w:r>
    </w:p>
    <w:p w14:paraId="0CE3BC53">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rPr>
      </w:pPr>
      <w:r>
        <w:rPr>
          <w:rFonts w:hint="eastAsia" w:hAnsi="宋体" w:cs="宋体"/>
          <w:bCs/>
          <w:color w:val="auto"/>
          <w:highlight w:val="none"/>
        </w:rPr>
        <w:t>……</w:t>
      </w:r>
    </w:p>
    <w:p w14:paraId="2E5B04D3">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u w:val="single"/>
        </w:rPr>
      </w:pPr>
      <w:r>
        <w:rPr>
          <w:rFonts w:hint="eastAsia" w:hAnsi="宋体" w:cs="宋体"/>
          <w:bCs/>
          <w:color w:val="auto"/>
          <w:highlight w:val="none"/>
        </w:rPr>
        <w:t>相关供应商：</w:t>
      </w:r>
      <w:r>
        <w:rPr>
          <w:rFonts w:hint="eastAsia" w:hAnsi="宋体" w:cs="宋体"/>
          <w:bCs/>
          <w:color w:val="auto"/>
          <w:highlight w:val="none"/>
          <w:u w:val="single"/>
        </w:rPr>
        <w:t xml:space="preserve">                                                                       </w:t>
      </w:r>
    </w:p>
    <w:p w14:paraId="35BD3505">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u w:val="single"/>
        </w:rPr>
      </w:pPr>
      <w:r>
        <w:rPr>
          <w:rFonts w:hint="eastAsia" w:hAnsi="宋体" w:cs="宋体"/>
          <w:bCs/>
          <w:color w:val="auto"/>
          <w:highlight w:val="none"/>
        </w:rPr>
        <w:t>地址：</w:t>
      </w:r>
      <w:r>
        <w:rPr>
          <w:rFonts w:hint="eastAsia" w:hAnsi="宋体" w:cs="宋体"/>
          <w:bCs/>
          <w:color w:val="auto"/>
          <w:highlight w:val="none"/>
          <w:u w:val="single"/>
        </w:rPr>
        <w:t xml:space="preserve">                                              </w:t>
      </w:r>
      <w:r>
        <w:rPr>
          <w:rFonts w:hint="eastAsia" w:hAnsi="宋体" w:cs="宋体"/>
          <w:bCs/>
          <w:color w:val="auto"/>
          <w:highlight w:val="none"/>
        </w:rPr>
        <w:t>邮编：</w:t>
      </w:r>
      <w:r>
        <w:rPr>
          <w:rFonts w:hint="eastAsia" w:hAnsi="宋体" w:cs="宋体"/>
          <w:bCs/>
          <w:color w:val="auto"/>
          <w:highlight w:val="none"/>
          <w:u w:val="single"/>
        </w:rPr>
        <w:t xml:space="preserve">                         </w:t>
      </w:r>
    </w:p>
    <w:p w14:paraId="323EEF3B">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rPr>
      </w:pPr>
      <w:r>
        <w:rPr>
          <w:rFonts w:hint="eastAsia" w:hAnsi="宋体" w:cs="宋体"/>
          <w:bCs/>
          <w:color w:val="auto"/>
          <w:highlight w:val="none"/>
        </w:rPr>
        <w:t>联系人：</w:t>
      </w:r>
      <w:r>
        <w:rPr>
          <w:rFonts w:hint="eastAsia" w:hAnsi="宋体" w:cs="宋体"/>
          <w:bCs/>
          <w:color w:val="auto"/>
          <w:highlight w:val="none"/>
          <w:u w:val="single"/>
        </w:rPr>
        <w:t xml:space="preserve">                                            </w:t>
      </w:r>
      <w:r>
        <w:rPr>
          <w:rFonts w:hint="eastAsia" w:hAnsi="宋体" w:cs="宋体"/>
          <w:bCs/>
          <w:color w:val="auto"/>
          <w:highlight w:val="none"/>
        </w:rPr>
        <w:t>联系电话：</w:t>
      </w:r>
      <w:r>
        <w:rPr>
          <w:rFonts w:hint="eastAsia" w:hAnsi="宋体" w:cs="宋体"/>
          <w:bCs/>
          <w:color w:val="auto"/>
          <w:highlight w:val="none"/>
          <w:u w:val="single"/>
        </w:rPr>
        <w:t xml:space="preserve">                     </w:t>
      </w:r>
      <w:r>
        <w:rPr>
          <w:rFonts w:hint="eastAsia" w:hAnsi="宋体" w:cs="宋体"/>
          <w:bCs/>
          <w:color w:val="auto"/>
          <w:highlight w:val="none"/>
        </w:rPr>
        <w:t xml:space="preserve">                </w:t>
      </w:r>
    </w:p>
    <w:p w14:paraId="2F61BABA">
      <w:pPr>
        <w:pStyle w:val="22"/>
        <w:keepNext w:val="0"/>
        <w:keepLines w:val="0"/>
        <w:pageBreakBefore w:val="0"/>
        <w:widowControl w:val="0"/>
        <w:kinsoku/>
        <w:wordWrap/>
        <w:overflowPunct/>
        <w:topLinePunct w:val="0"/>
        <w:autoSpaceDE/>
        <w:autoSpaceDN/>
        <w:bidi w:val="0"/>
        <w:adjustRightInd/>
        <w:snapToGrid w:val="0"/>
        <w:spacing w:line="400" w:lineRule="exact"/>
        <w:ind w:firstLine="422" w:firstLineChars="200"/>
        <w:textAlignment w:val="auto"/>
        <w:rPr>
          <w:rFonts w:hint="eastAsia" w:hAnsi="宋体" w:cs="宋体"/>
          <w:b/>
          <w:bCs/>
          <w:color w:val="auto"/>
          <w:highlight w:val="none"/>
        </w:rPr>
      </w:pPr>
      <w:r>
        <w:rPr>
          <w:rFonts w:hint="eastAsia" w:hAnsi="宋体" w:cs="宋体"/>
          <w:b/>
          <w:bCs/>
          <w:color w:val="auto"/>
          <w:highlight w:val="none"/>
        </w:rPr>
        <w:t>二、投诉项目基本情况：</w:t>
      </w:r>
    </w:p>
    <w:p w14:paraId="65402765">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招标项目的名称：</w:t>
      </w:r>
      <w:r>
        <w:rPr>
          <w:rFonts w:hint="eastAsia" w:hAnsi="宋体" w:cs="宋体"/>
          <w:bCs/>
          <w:color w:val="auto"/>
          <w:highlight w:val="none"/>
          <w:u w:val="single"/>
        </w:rPr>
        <w:t xml:space="preserve">                                                                   </w:t>
      </w:r>
    </w:p>
    <w:p w14:paraId="5E6FE23F">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招标项目的编号：</w:t>
      </w:r>
      <w:r>
        <w:rPr>
          <w:rFonts w:hint="eastAsia" w:hAnsi="宋体" w:cs="宋体"/>
          <w:bCs/>
          <w:color w:val="auto"/>
          <w:highlight w:val="none"/>
          <w:u w:val="single"/>
        </w:rPr>
        <w:t xml:space="preserve">                                          </w:t>
      </w:r>
    </w:p>
    <w:p w14:paraId="6CFACB0B">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bCs/>
          <w:color w:val="auto"/>
          <w:highlight w:val="none"/>
          <w:u w:val="single"/>
        </w:rPr>
      </w:pPr>
      <w:r>
        <w:rPr>
          <w:rFonts w:hint="eastAsia" w:hAnsi="宋体" w:cs="宋体"/>
          <w:color w:val="auto"/>
          <w:highlight w:val="none"/>
        </w:rPr>
        <w:t>采购人名称：</w:t>
      </w:r>
      <w:r>
        <w:rPr>
          <w:rFonts w:hint="eastAsia" w:hAnsi="宋体" w:cs="宋体"/>
          <w:bCs/>
          <w:color w:val="auto"/>
          <w:highlight w:val="none"/>
          <w:u w:val="single"/>
        </w:rPr>
        <w:t xml:space="preserve">                                                                        </w:t>
      </w:r>
    </w:p>
    <w:p w14:paraId="5EB7FED3">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bCs/>
          <w:color w:val="auto"/>
          <w:highlight w:val="none"/>
          <w:u w:val="single"/>
        </w:rPr>
      </w:pPr>
      <w:r>
        <w:rPr>
          <w:rFonts w:hint="eastAsia" w:hAnsi="宋体" w:cs="宋体"/>
          <w:color w:val="auto"/>
          <w:highlight w:val="none"/>
        </w:rPr>
        <w:t>代理机构名称：</w:t>
      </w:r>
      <w:r>
        <w:rPr>
          <w:rFonts w:hint="eastAsia" w:hAnsi="宋体" w:cs="宋体"/>
          <w:bCs/>
          <w:color w:val="auto"/>
          <w:highlight w:val="none"/>
          <w:u w:val="single"/>
        </w:rPr>
        <w:t xml:space="preserve">                                                                      </w:t>
      </w:r>
    </w:p>
    <w:p w14:paraId="5DAE6FAE">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bCs/>
          <w:color w:val="auto"/>
          <w:highlight w:val="none"/>
          <w:u w:val="single"/>
        </w:rPr>
      </w:pPr>
      <w:r>
        <w:rPr>
          <w:rFonts w:hint="eastAsia" w:hAnsi="宋体" w:cs="宋体"/>
          <w:color w:val="auto"/>
          <w:highlight w:val="none"/>
        </w:rPr>
        <w:t>招标</w:t>
      </w:r>
      <w:r>
        <w:rPr>
          <w:rFonts w:hint="eastAsia" w:hAnsi="宋体" w:cs="宋体"/>
          <w:bCs/>
          <w:color w:val="auto"/>
          <w:highlight w:val="none"/>
        </w:rPr>
        <w:t>文件公告：</w:t>
      </w:r>
      <w:r>
        <w:rPr>
          <w:rFonts w:hint="eastAsia" w:hAnsi="宋体" w:cs="宋体"/>
          <w:bCs/>
          <w:color w:val="auto"/>
          <w:highlight w:val="none"/>
          <w:u w:val="single"/>
        </w:rPr>
        <w:t>是/否</w:t>
      </w:r>
      <w:r>
        <w:rPr>
          <w:rFonts w:hint="eastAsia" w:hAnsi="宋体" w:cs="宋体"/>
          <w:bCs/>
          <w:color w:val="auto"/>
          <w:highlight w:val="none"/>
        </w:rPr>
        <w:t>公告期限：</w:t>
      </w:r>
      <w:r>
        <w:rPr>
          <w:rFonts w:hint="eastAsia" w:hAnsi="宋体" w:cs="宋体"/>
          <w:bCs/>
          <w:color w:val="auto"/>
          <w:highlight w:val="none"/>
          <w:u w:val="single"/>
        </w:rPr>
        <w:t xml:space="preserve">                                                       </w:t>
      </w:r>
    </w:p>
    <w:p w14:paraId="1F339F37">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b/>
          <w:color w:val="auto"/>
          <w:highlight w:val="none"/>
        </w:rPr>
      </w:pPr>
      <w:r>
        <w:rPr>
          <w:rFonts w:hint="eastAsia" w:hAnsi="宋体" w:cs="宋体"/>
          <w:color w:val="auto"/>
          <w:highlight w:val="none"/>
        </w:rPr>
        <w:t>招标</w:t>
      </w:r>
      <w:r>
        <w:rPr>
          <w:rFonts w:hint="eastAsia" w:hAnsi="宋体" w:cs="宋体"/>
          <w:bCs/>
          <w:color w:val="auto"/>
          <w:highlight w:val="none"/>
        </w:rPr>
        <w:t>结果公告：</w:t>
      </w:r>
      <w:r>
        <w:rPr>
          <w:rFonts w:hint="eastAsia" w:hAnsi="宋体" w:cs="宋体"/>
          <w:bCs/>
          <w:color w:val="auto"/>
          <w:highlight w:val="none"/>
          <w:u w:val="single"/>
        </w:rPr>
        <w:t>是/否</w:t>
      </w:r>
      <w:r>
        <w:rPr>
          <w:rFonts w:hint="eastAsia" w:hAnsi="宋体" w:cs="宋体"/>
          <w:bCs/>
          <w:color w:val="auto"/>
          <w:highlight w:val="none"/>
        </w:rPr>
        <w:t>公告期限：</w:t>
      </w:r>
      <w:r>
        <w:rPr>
          <w:rFonts w:hint="eastAsia" w:hAnsi="宋体" w:cs="宋体"/>
          <w:bCs/>
          <w:color w:val="auto"/>
          <w:highlight w:val="none"/>
          <w:u w:val="single"/>
        </w:rPr>
        <w:t xml:space="preserve">                                                    </w:t>
      </w:r>
    </w:p>
    <w:p w14:paraId="3DE88DAC">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6"/>
        <w:textAlignment w:val="auto"/>
        <w:rPr>
          <w:rFonts w:hint="eastAsia" w:hAnsi="宋体" w:cs="宋体"/>
          <w:b/>
          <w:color w:val="auto"/>
          <w:highlight w:val="none"/>
        </w:rPr>
      </w:pPr>
      <w:r>
        <w:rPr>
          <w:rFonts w:hint="eastAsia" w:hAnsi="宋体" w:cs="宋体"/>
          <w:b/>
          <w:color w:val="auto"/>
          <w:highlight w:val="none"/>
        </w:rPr>
        <w:t>三、质疑基本情况</w:t>
      </w:r>
    </w:p>
    <w:p w14:paraId="709302DD">
      <w:pPr>
        <w:pStyle w:val="22"/>
        <w:keepNext w:val="0"/>
        <w:keepLines w:val="0"/>
        <w:pageBreakBefore w:val="0"/>
        <w:widowControl w:val="0"/>
        <w:kinsoku/>
        <w:wordWrap/>
        <w:overflowPunct/>
        <w:topLinePunct w:val="0"/>
        <w:autoSpaceDE/>
        <w:autoSpaceDN/>
        <w:bidi w:val="0"/>
        <w:adjustRightInd/>
        <w:spacing w:line="400" w:lineRule="exact"/>
        <w:ind w:left="25" w:leftChars="12" w:firstLine="420" w:firstLineChars="200"/>
        <w:textAlignment w:val="auto"/>
        <w:rPr>
          <w:rFonts w:hint="eastAsia" w:hAnsi="宋体" w:cs="宋体"/>
          <w:color w:val="auto"/>
          <w:highlight w:val="none"/>
        </w:rPr>
      </w:pPr>
      <w:r>
        <w:rPr>
          <w:rFonts w:hint="eastAsia" w:hAnsi="宋体" w:cs="宋体"/>
          <w:color w:val="auto"/>
          <w:highlight w:val="none"/>
        </w:rPr>
        <w:t>投诉人于</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月</w:t>
      </w:r>
      <w:r>
        <w:rPr>
          <w:rFonts w:hint="eastAsia" w:hAnsi="宋体" w:cs="宋体"/>
          <w:color w:val="auto"/>
          <w:highlight w:val="none"/>
          <w:u w:val="single"/>
        </w:rPr>
        <w:t xml:space="preserve">   </w:t>
      </w:r>
      <w:r>
        <w:rPr>
          <w:rFonts w:hint="eastAsia" w:hAnsi="宋体" w:cs="宋体"/>
          <w:color w:val="auto"/>
          <w:highlight w:val="none"/>
        </w:rPr>
        <w:t>日，向</w:t>
      </w:r>
      <w:r>
        <w:rPr>
          <w:rFonts w:hint="eastAsia" w:hAnsi="宋体" w:cs="宋体"/>
          <w:color w:val="auto"/>
          <w:highlight w:val="none"/>
          <w:u w:val="single"/>
        </w:rPr>
        <w:t xml:space="preserve">                                </w:t>
      </w:r>
      <w:r>
        <w:rPr>
          <w:rFonts w:hint="eastAsia" w:hAnsi="宋体" w:cs="宋体"/>
          <w:color w:val="auto"/>
          <w:highlight w:val="none"/>
        </w:rPr>
        <w:t>提出质疑，质疑事项为：</w:t>
      </w:r>
    </w:p>
    <w:p w14:paraId="6F6003C5">
      <w:pPr>
        <w:pStyle w:val="22"/>
        <w:keepNext w:val="0"/>
        <w:keepLines w:val="0"/>
        <w:pageBreakBefore w:val="0"/>
        <w:widowControl w:val="0"/>
        <w:kinsoku/>
        <w:wordWrap/>
        <w:overflowPunct/>
        <w:topLinePunct w:val="0"/>
        <w:autoSpaceDE/>
        <w:autoSpaceDN/>
        <w:bidi w:val="0"/>
        <w:adjustRightInd/>
        <w:spacing w:line="400" w:lineRule="exact"/>
        <w:ind w:firstLine="241"/>
        <w:textAlignment w:val="auto"/>
        <w:rPr>
          <w:rFonts w:hint="eastAsia" w:hAnsi="宋体" w:cs="宋体"/>
          <w:bCs/>
          <w:color w:val="auto"/>
          <w:highlight w:val="none"/>
          <w:u w:val="single"/>
        </w:rPr>
      </w:pPr>
      <w:r>
        <w:rPr>
          <w:rFonts w:hint="eastAsia" w:hAnsi="宋体" w:cs="宋体"/>
          <w:color w:val="auto"/>
          <w:highlight w:val="none"/>
        </w:rPr>
        <w:t xml:space="preserve">    </w:t>
      </w:r>
      <w:r>
        <w:rPr>
          <w:rFonts w:hint="eastAsia" w:hAnsi="宋体" w:cs="宋体"/>
          <w:bCs/>
          <w:color w:val="auto"/>
          <w:highlight w:val="none"/>
          <w:u w:val="single"/>
        </w:rPr>
        <w:t xml:space="preserve">                                                                                      </w:t>
      </w:r>
    </w:p>
    <w:p w14:paraId="0875DFFF">
      <w:pPr>
        <w:pStyle w:val="22"/>
        <w:keepNext w:val="0"/>
        <w:keepLines w:val="0"/>
        <w:pageBreakBefore w:val="0"/>
        <w:widowControl w:val="0"/>
        <w:kinsoku/>
        <w:wordWrap/>
        <w:overflowPunct/>
        <w:topLinePunct w:val="0"/>
        <w:autoSpaceDE/>
        <w:autoSpaceDN/>
        <w:bidi w:val="0"/>
        <w:adjustRightInd/>
        <w:spacing w:line="400" w:lineRule="exact"/>
        <w:ind w:firstLine="241"/>
        <w:textAlignment w:val="auto"/>
        <w:rPr>
          <w:rFonts w:hint="eastAsia" w:hAnsi="宋体" w:cs="宋体"/>
          <w:bCs/>
          <w:color w:val="auto"/>
          <w:highlight w:val="none"/>
          <w:u w:val="single"/>
        </w:rPr>
      </w:pPr>
      <w:r>
        <w:rPr>
          <w:rFonts w:hint="eastAsia" w:hAnsi="宋体" w:cs="宋体"/>
          <w:bCs/>
          <w:color w:val="auto"/>
          <w:highlight w:val="none"/>
        </w:rPr>
        <w:t xml:space="preserve">    </w:t>
      </w:r>
      <w:r>
        <w:rPr>
          <w:rFonts w:hint="eastAsia" w:hAnsi="宋体" w:cs="宋体"/>
          <w:bCs/>
          <w:color w:val="auto"/>
          <w:highlight w:val="none"/>
          <w:u w:val="single"/>
        </w:rPr>
        <w:t xml:space="preserve">                                                                                      </w:t>
      </w:r>
    </w:p>
    <w:p w14:paraId="17652FE2">
      <w:pPr>
        <w:pStyle w:val="22"/>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hAnsi="宋体" w:cs="宋体"/>
          <w:color w:val="auto"/>
          <w:highlight w:val="none"/>
        </w:rPr>
      </w:pPr>
      <w:r>
        <w:rPr>
          <w:rFonts w:hint="eastAsia" w:hAnsi="宋体" w:cs="宋体"/>
          <w:bCs/>
          <w:color w:val="auto"/>
          <w:highlight w:val="none"/>
          <w:u w:val="single"/>
        </w:rPr>
        <w:t>采购人/代理机构</w:t>
      </w:r>
      <w:r>
        <w:rPr>
          <w:rFonts w:hint="eastAsia" w:hAnsi="宋体" w:cs="宋体"/>
          <w:bCs/>
          <w:color w:val="auto"/>
          <w:highlight w:val="none"/>
        </w:rPr>
        <w:t>于</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月</w:t>
      </w:r>
      <w:r>
        <w:rPr>
          <w:rFonts w:hint="eastAsia" w:hAnsi="宋体" w:cs="宋体"/>
          <w:color w:val="auto"/>
          <w:highlight w:val="none"/>
          <w:u w:val="single"/>
        </w:rPr>
        <w:t xml:space="preserve">   </w:t>
      </w:r>
      <w:r>
        <w:rPr>
          <w:rFonts w:hint="eastAsia" w:hAnsi="宋体" w:cs="宋体"/>
          <w:color w:val="auto"/>
          <w:highlight w:val="none"/>
        </w:rPr>
        <w:t>日，</w:t>
      </w:r>
      <w:r>
        <w:rPr>
          <w:rFonts w:hint="eastAsia" w:hAnsi="宋体" w:cs="宋体"/>
          <w:bCs/>
          <w:color w:val="auto"/>
          <w:highlight w:val="none"/>
        </w:rPr>
        <w:t xml:space="preserve">就质疑事项作出了答复/没有在法定期限内作出答复。                                                                                             </w:t>
      </w:r>
    </w:p>
    <w:p w14:paraId="5767ED93">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6"/>
        <w:textAlignment w:val="auto"/>
        <w:rPr>
          <w:rFonts w:hint="eastAsia" w:hAnsi="宋体" w:cs="宋体"/>
          <w:b/>
          <w:color w:val="auto"/>
          <w:highlight w:val="none"/>
        </w:rPr>
      </w:pPr>
      <w:r>
        <w:rPr>
          <w:rFonts w:hint="eastAsia" w:hAnsi="宋体" w:cs="宋体"/>
          <w:b/>
          <w:color w:val="auto"/>
          <w:highlight w:val="none"/>
        </w:rPr>
        <w:t>四、投诉事项具体内容</w:t>
      </w:r>
    </w:p>
    <w:p w14:paraId="560DE7DC">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bCs/>
          <w:color w:val="auto"/>
          <w:highlight w:val="none"/>
          <w:u w:val="single"/>
        </w:rPr>
      </w:pPr>
      <w:r>
        <w:rPr>
          <w:rFonts w:hint="eastAsia" w:hAnsi="宋体" w:cs="宋体"/>
          <w:color w:val="auto"/>
          <w:highlight w:val="none"/>
        </w:rPr>
        <w:t>投诉事项1：</w:t>
      </w:r>
      <w:r>
        <w:rPr>
          <w:rFonts w:hint="eastAsia" w:hAnsi="宋体" w:cs="宋体"/>
          <w:bCs/>
          <w:color w:val="auto"/>
          <w:highlight w:val="none"/>
          <w:u w:val="single"/>
        </w:rPr>
        <w:t xml:space="preserve">                                                                           </w:t>
      </w:r>
    </w:p>
    <w:p w14:paraId="47F2EB39">
      <w:pPr>
        <w:pStyle w:val="22"/>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hAnsi="宋体" w:cs="宋体"/>
          <w:bCs/>
          <w:color w:val="auto"/>
          <w:highlight w:val="none"/>
          <w:u w:val="single"/>
        </w:rPr>
      </w:pPr>
      <w:r>
        <w:rPr>
          <w:rFonts w:hint="eastAsia" w:hAnsi="宋体" w:cs="宋体"/>
          <w:bCs/>
          <w:color w:val="auto"/>
          <w:highlight w:val="none"/>
        </w:rPr>
        <w:t>事实依据：</w:t>
      </w:r>
      <w:r>
        <w:rPr>
          <w:rFonts w:hint="eastAsia" w:hAnsi="宋体" w:cs="宋体"/>
          <w:color w:val="auto"/>
          <w:highlight w:val="none"/>
        </w:rPr>
        <w:t xml:space="preserve"> </w:t>
      </w:r>
      <w:r>
        <w:rPr>
          <w:rFonts w:hint="eastAsia" w:hAnsi="宋体" w:cs="宋体"/>
          <w:bCs/>
          <w:color w:val="auto"/>
          <w:highlight w:val="none"/>
          <w:u w:val="single"/>
        </w:rPr>
        <w:t xml:space="preserve">                                                                                      </w:t>
      </w:r>
    </w:p>
    <w:p w14:paraId="1D82E6B0">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bCs/>
          <w:color w:val="auto"/>
          <w:highlight w:val="none"/>
          <w:u w:val="single"/>
        </w:rPr>
        <w:t xml:space="preserve">                                                                                        </w:t>
      </w:r>
    </w:p>
    <w:p w14:paraId="24876F71">
      <w:pPr>
        <w:pStyle w:val="22"/>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hAnsi="宋体" w:cs="宋体"/>
          <w:bCs/>
          <w:color w:val="auto"/>
          <w:highlight w:val="none"/>
          <w:u w:val="single"/>
        </w:rPr>
      </w:pPr>
      <w:r>
        <w:rPr>
          <w:rFonts w:hint="eastAsia" w:hAnsi="宋体" w:cs="宋体"/>
          <w:bCs/>
          <w:color w:val="auto"/>
          <w:highlight w:val="none"/>
        </w:rPr>
        <w:t>法律依据：</w:t>
      </w:r>
      <w:r>
        <w:rPr>
          <w:rFonts w:hint="eastAsia" w:hAnsi="宋体" w:cs="宋体"/>
          <w:color w:val="auto"/>
          <w:highlight w:val="none"/>
        </w:rPr>
        <w:t xml:space="preserve"> </w:t>
      </w:r>
      <w:r>
        <w:rPr>
          <w:rFonts w:hint="eastAsia" w:hAnsi="宋体" w:cs="宋体"/>
          <w:bCs/>
          <w:color w:val="auto"/>
          <w:highlight w:val="none"/>
          <w:u w:val="single"/>
        </w:rPr>
        <w:t xml:space="preserve">                                                                                      </w:t>
      </w:r>
    </w:p>
    <w:p w14:paraId="7308747A">
      <w:pPr>
        <w:pStyle w:val="22"/>
        <w:keepNext w:val="0"/>
        <w:keepLines w:val="0"/>
        <w:pageBreakBefore w:val="0"/>
        <w:widowControl w:val="0"/>
        <w:kinsoku/>
        <w:wordWrap/>
        <w:overflowPunct/>
        <w:topLinePunct w:val="0"/>
        <w:autoSpaceDE/>
        <w:autoSpaceDN/>
        <w:bidi w:val="0"/>
        <w:adjustRightInd/>
        <w:spacing w:line="400" w:lineRule="exact"/>
        <w:ind w:left="25" w:leftChars="12" w:firstLine="308" w:firstLineChars="147"/>
        <w:textAlignment w:val="auto"/>
        <w:rPr>
          <w:rFonts w:hint="eastAsia" w:hAnsi="宋体" w:cs="宋体"/>
          <w:bCs/>
          <w:color w:val="auto"/>
          <w:highlight w:val="none"/>
          <w:u w:val="single"/>
        </w:rPr>
      </w:pPr>
      <w:r>
        <w:rPr>
          <w:rFonts w:hint="eastAsia" w:hAnsi="宋体" w:cs="宋体"/>
          <w:bCs/>
          <w:color w:val="auto"/>
          <w:highlight w:val="none"/>
        </w:rPr>
        <w:t xml:space="preserve"> </w:t>
      </w:r>
      <w:r>
        <w:rPr>
          <w:rFonts w:hint="eastAsia" w:hAnsi="宋体" w:cs="宋体"/>
          <w:bCs/>
          <w:color w:val="auto"/>
          <w:highlight w:val="none"/>
          <w:u w:val="single"/>
        </w:rPr>
        <w:t xml:space="preserve">                                                                                        </w:t>
      </w:r>
    </w:p>
    <w:p w14:paraId="183AA67D">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bCs/>
          <w:color w:val="auto"/>
          <w:highlight w:val="none"/>
        </w:rPr>
      </w:pPr>
      <w:r>
        <w:rPr>
          <w:rFonts w:hint="eastAsia" w:hAnsi="宋体" w:cs="宋体"/>
          <w:color w:val="auto"/>
          <w:highlight w:val="none"/>
        </w:rPr>
        <w:t xml:space="preserve">投诉事项2  </w:t>
      </w:r>
      <w:r>
        <w:rPr>
          <w:rFonts w:hint="eastAsia" w:hAnsi="宋体" w:cs="宋体"/>
          <w:bCs/>
          <w:color w:val="auto"/>
          <w:highlight w:val="none"/>
        </w:rPr>
        <w:t xml:space="preserve">   </w:t>
      </w:r>
    </w:p>
    <w:p w14:paraId="09D0949C">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bCs/>
          <w:color w:val="auto"/>
          <w:highlight w:val="none"/>
        </w:rPr>
      </w:pPr>
      <w:r>
        <w:rPr>
          <w:rFonts w:hint="eastAsia" w:hAnsi="宋体" w:cs="宋体"/>
          <w:bCs/>
          <w:color w:val="auto"/>
          <w:highlight w:val="none"/>
        </w:rPr>
        <w:t>……</w:t>
      </w:r>
    </w:p>
    <w:p w14:paraId="3966FF32">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6"/>
        <w:textAlignment w:val="auto"/>
        <w:rPr>
          <w:rFonts w:hint="eastAsia" w:hAnsi="宋体" w:cs="宋体"/>
          <w:b/>
          <w:color w:val="auto"/>
          <w:highlight w:val="none"/>
        </w:rPr>
      </w:pPr>
      <w:r>
        <w:rPr>
          <w:rFonts w:hint="eastAsia" w:hAnsi="宋体" w:cs="宋体"/>
          <w:b/>
          <w:color w:val="auto"/>
          <w:highlight w:val="none"/>
        </w:rPr>
        <w:t>五、与投诉事项相关的投诉请求：</w:t>
      </w:r>
    </w:p>
    <w:p w14:paraId="797C432F">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请求：</w:t>
      </w:r>
      <w:r>
        <w:rPr>
          <w:rFonts w:hint="eastAsia" w:hAnsi="宋体" w:cs="宋体"/>
          <w:bCs/>
          <w:color w:val="auto"/>
          <w:highlight w:val="none"/>
          <w:u w:val="single"/>
        </w:rPr>
        <w:t xml:space="preserve">                                                                                 </w:t>
      </w:r>
    </w:p>
    <w:p w14:paraId="445055AA">
      <w:pPr>
        <w:pStyle w:val="22"/>
        <w:keepNext w:val="0"/>
        <w:keepLines w:val="0"/>
        <w:pageBreakBefore w:val="0"/>
        <w:widowControl w:val="0"/>
        <w:kinsoku/>
        <w:wordWrap/>
        <w:overflowPunct/>
        <w:topLinePunct w:val="0"/>
        <w:autoSpaceDE/>
        <w:autoSpaceDN/>
        <w:bidi w:val="0"/>
        <w:adjustRightInd/>
        <w:spacing w:line="400" w:lineRule="exact"/>
        <w:ind w:left="25" w:leftChars="12" w:firstLine="308" w:firstLineChars="147"/>
        <w:textAlignment w:val="auto"/>
        <w:rPr>
          <w:rFonts w:hint="eastAsia" w:hAnsi="宋体" w:cs="宋体"/>
          <w:color w:val="auto"/>
          <w:highlight w:val="none"/>
        </w:rPr>
      </w:pPr>
    </w:p>
    <w:p w14:paraId="3002675F">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签字（签章）：                                       公章：</w:t>
      </w:r>
    </w:p>
    <w:p w14:paraId="55FD3CFC">
      <w:pPr>
        <w:pStyle w:val="22"/>
        <w:keepNext w:val="0"/>
        <w:keepLines w:val="0"/>
        <w:pageBreakBefore w:val="0"/>
        <w:widowControl w:val="0"/>
        <w:kinsoku/>
        <w:wordWrap/>
        <w:overflowPunct/>
        <w:topLinePunct w:val="0"/>
        <w:autoSpaceDE/>
        <w:autoSpaceDN/>
        <w:bidi w:val="0"/>
        <w:adjustRightInd/>
        <w:spacing w:line="400" w:lineRule="exact"/>
        <w:ind w:left="25" w:leftChars="12" w:firstLine="308" w:firstLineChars="147"/>
        <w:textAlignment w:val="auto"/>
        <w:rPr>
          <w:rFonts w:hint="eastAsia" w:hAnsi="宋体" w:cs="宋体"/>
          <w:color w:val="auto"/>
          <w:highlight w:val="none"/>
        </w:rPr>
      </w:pPr>
    </w:p>
    <w:p w14:paraId="7711F5DA">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日期：</w:t>
      </w:r>
    </w:p>
    <w:p w14:paraId="4A0DC678">
      <w:pPr>
        <w:pStyle w:val="22"/>
        <w:keepNext w:val="0"/>
        <w:keepLines w:val="0"/>
        <w:pageBreakBefore w:val="0"/>
        <w:widowControl w:val="0"/>
        <w:kinsoku/>
        <w:wordWrap/>
        <w:overflowPunct/>
        <w:topLinePunct w:val="0"/>
        <w:autoSpaceDE/>
        <w:autoSpaceDN/>
        <w:bidi w:val="0"/>
        <w:adjustRightInd/>
        <w:spacing w:line="400" w:lineRule="exact"/>
        <w:ind w:left="25" w:leftChars="12" w:firstLine="415" w:firstLineChars="197"/>
        <w:textAlignment w:val="auto"/>
        <w:rPr>
          <w:rFonts w:hint="eastAsia" w:hAnsi="宋体" w:cs="宋体"/>
          <w:b/>
          <w:color w:val="auto"/>
          <w:highlight w:val="none"/>
        </w:rPr>
      </w:pPr>
      <w:r>
        <w:rPr>
          <w:rFonts w:hint="eastAsia" w:hAnsi="宋体" w:cs="宋体"/>
          <w:b/>
          <w:color w:val="auto"/>
          <w:highlight w:val="none"/>
        </w:rPr>
        <w:t>说明：</w:t>
      </w:r>
    </w:p>
    <w:p w14:paraId="67A9F61B">
      <w:pPr>
        <w:pStyle w:val="22"/>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bCs/>
          <w:color w:val="auto"/>
          <w:highlight w:val="none"/>
        </w:rPr>
      </w:pPr>
      <w:r>
        <w:rPr>
          <w:rFonts w:hint="eastAsia" w:hAnsi="宋体" w:cs="宋体"/>
          <w:b/>
          <w:color w:val="auto"/>
          <w:highlight w:val="none"/>
        </w:rPr>
        <w:t>1.投诉人提起投诉时，应当提交投诉书和必要的证明材料，并按照被投诉人和与投诉事项有关的供应商数量提供投诉书副本</w:t>
      </w:r>
      <w:r>
        <w:rPr>
          <w:rFonts w:hint="eastAsia" w:hAnsi="宋体" w:cs="宋体"/>
          <w:b/>
          <w:bCs/>
          <w:color w:val="auto"/>
          <w:highlight w:val="none"/>
        </w:rPr>
        <w:t>。</w:t>
      </w:r>
    </w:p>
    <w:p w14:paraId="62865AF3">
      <w:pPr>
        <w:pStyle w:val="22"/>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6F238839">
      <w:pPr>
        <w:pStyle w:val="22"/>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3.投诉书应简要列明质疑事项，质疑函、质疑答复等作为附件材料提供。</w:t>
      </w:r>
    </w:p>
    <w:p w14:paraId="68439676">
      <w:pPr>
        <w:pStyle w:val="22"/>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4.投诉书的投诉事项应具体、明确，并有必要的事实依据和法律依据。</w:t>
      </w:r>
    </w:p>
    <w:p w14:paraId="6250A117">
      <w:pPr>
        <w:pStyle w:val="22"/>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5.投诉书的投诉请求应与投诉事项相关。</w:t>
      </w:r>
    </w:p>
    <w:p w14:paraId="66A67A3D">
      <w:pPr>
        <w:pStyle w:val="22"/>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6.投诉人为法人或者其他组织的，投诉书应由法定代表人、主要负责人，或者其授权代表签字或者盖章，并加盖公章。</w:t>
      </w:r>
      <w:bookmarkEnd w:id="1"/>
      <w:bookmarkEnd w:id="2"/>
      <w:bookmarkEnd w:id="3"/>
      <w:bookmarkEnd w:id="4"/>
    </w:p>
    <w:p w14:paraId="0C6ED87B">
      <w:pPr>
        <w:rPr>
          <w:rFonts w:hint="eastAsia"/>
          <w:color w:val="auto"/>
          <w:highlight w:val="none"/>
        </w:rPr>
      </w:pPr>
    </w:p>
    <w:sectPr>
      <w:footerReference r:id="rId17" w:type="first"/>
      <w:footerReference r:id="rId15" w:type="default"/>
      <w:footerReference r:id="rId16" w:type="even"/>
      <w:pgSz w:w="11906" w:h="16838"/>
      <w:pgMar w:top="1134" w:right="1247" w:bottom="1134" w:left="1417" w:header="720" w:footer="720" w:gutter="0"/>
      <w:pgNumType w:fmt="decimal"/>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2"/>
    <w:family w:val="auto"/>
    <w:pitch w:val="default"/>
    <w:sig w:usb0="E0002EFF" w:usb1="C000785B" w:usb2="00000009" w:usb3="00000000" w:csb0="400001FF" w:csb1="FFFF0000"/>
  </w:font>
  <w:font w:name="宋体">
    <w:panose1 w:val="02010600030101010101"/>
    <w:charset w:val="3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99B9B1A-245D-43C8-BE5E-22376353AB4A}"/>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2" w:fontKey="{D5D5B1C2-C2EC-4224-9CD3-B36ECFC06182}"/>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7D154CE6-E812-4299-A862-E584647C0BC3}"/>
  </w:font>
  <w:font w:name="仿宋_GB2312">
    <w:panose1 w:val="02010609030101010101"/>
    <w:charset w:val="86"/>
    <w:family w:val="modern"/>
    <w:pitch w:val="default"/>
    <w:sig w:usb0="00000001" w:usb1="080E0000" w:usb2="00000000" w:usb3="00000000" w:csb0="00040000" w:csb1="00000000"/>
    <w:embedRegular r:id="rId4" w:fontKey="{5F89F7DB-309F-4952-8F74-7018325AA63D}"/>
  </w:font>
  <w:font w:name="方正仿宋_GBK">
    <w:panose1 w:val="02000000000000000000"/>
    <w:charset w:val="86"/>
    <w:family w:val="script"/>
    <w:pitch w:val="default"/>
    <w:sig w:usb0="A00002BF" w:usb1="38CF7CFA" w:usb2="00082016"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Segoe UI">
    <w:panose1 w:val="020B0502040204020203"/>
    <w:charset w:val="00"/>
    <w:family w:val="auto"/>
    <w:pitch w:val="default"/>
    <w:sig w:usb0="E4002EFF" w:usb1="C000E47F" w:usb2="00000009" w:usb3="00000000" w:csb0="200001FF" w:csb1="00000000"/>
    <w:embedRegular r:id="rId5" w:fontKey="{63162EB8-21C7-4652-905B-1F29EB56B6D2}"/>
  </w:font>
  <w:font w:name="微软雅黑">
    <w:panose1 w:val="020B0503020204020204"/>
    <w:charset w:val="86"/>
    <w:family w:val="auto"/>
    <w:pitch w:val="default"/>
    <w:sig w:usb0="80000287" w:usb1="2ACF3C50" w:usb2="00000016" w:usb3="00000000" w:csb0="0004001F" w:csb1="00000000"/>
    <w:embedRegular r:id="rId6" w:fontKey="{9CB44958-AF82-4CF0-87D3-E5643C4A61D8}"/>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A5990">
    <w:pPr>
      <w:pStyle w:val="27"/>
      <w:jc w:val="center"/>
    </w:pPr>
  </w:p>
  <w:p w14:paraId="42B98F77">
    <w:pPr>
      <w:pStyle w:val="27"/>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28B95">
    <w:pPr>
      <w:pStyle w:val="27"/>
      <w:ind w:right="360"/>
      <w:jc w:val="both"/>
      <w:rPr>
        <w:rFonts w:hint="eastAsia"/>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2A8313">
                          <w:pPr>
                            <w:pStyle w:val="27"/>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92A8313">
                    <w:pPr>
                      <w:pStyle w:val="27"/>
                    </w:pPr>
                    <w:r>
                      <w:fldChar w:fldCharType="begin"/>
                    </w:r>
                    <w:r>
                      <w:instrText xml:space="preserve"> PAGE  \* MERGEFORMAT </w:instrText>
                    </w:r>
                    <w:r>
                      <w:fldChar w:fldCharType="separate"/>
                    </w:r>
                    <w:r>
                      <w:t>76</w:t>
                    </w:r>
                    <w:r>
                      <w:fldChar w:fldCharType="end"/>
                    </w:r>
                  </w:p>
                </w:txbxContent>
              </v:textbox>
            </v:shape>
          </w:pict>
        </mc:Fallback>
      </mc:AlternateContent>
    </w:r>
    <w:r>
      <w:rPr>
        <w:rFonts w:hint="eastAsia"/>
      </w:rPr>
      <w:t>121</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82951A">
    <w:pPr>
      <w:pStyle w:val="27"/>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7A1CCD">
                          <w:pPr>
                            <w:pStyle w:val="27"/>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37A1CCD">
                    <w:pPr>
                      <w:pStyle w:val="27"/>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1207B">
    <w:pPr>
      <w:pStyle w:val="27"/>
      <w:framePr w:wrap="around" w:vAnchor="text" w:hAnchor="margin" w:xAlign="center" w:y="1"/>
      <w:rPr>
        <w:rStyle w:val="43"/>
      </w:rPr>
    </w:pPr>
    <w:r>
      <w:fldChar w:fldCharType="begin"/>
    </w:r>
    <w:r>
      <w:rPr>
        <w:rStyle w:val="43"/>
      </w:rPr>
      <w:instrText xml:space="preserve">PAGE  </w:instrText>
    </w:r>
    <w:r>
      <w:fldChar w:fldCharType="end"/>
    </w:r>
  </w:p>
  <w:p w14:paraId="57695A03">
    <w:pPr>
      <w:pStyle w:val="27"/>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7E090">
    <w:pPr>
      <w:pStyle w:val="27"/>
      <w:framePr w:wrap="around" w:vAnchor="text" w:hAnchor="margin" w:xAlign="right" w:y="1"/>
      <w:rPr>
        <w:rStyle w:val="43"/>
      </w:rPr>
    </w:pPr>
    <w:r>
      <w:fldChar w:fldCharType="begin"/>
    </w:r>
    <w:r>
      <w:rPr>
        <w:rStyle w:val="43"/>
      </w:rPr>
      <w:instrText xml:space="preserve">PAGE  </w:instrText>
    </w:r>
    <w:r>
      <w:fldChar w:fldCharType="separate"/>
    </w:r>
    <w:r>
      <w:rPr>
        <w:rStyle w:val="43"/>
      </w:rPr>
      <w:t>122</w:t>
    </w:r>
    <w:r>
      <w:fldChar w:fldCharType="end"/>
    </w:r>
  </w:p>
  <w:p w14:paraId="6B84741A">
    <w:pPr>
      <w:pStyle w:val="27"/>
      <w:ind w:right="360"/>
      <w:jc w:val="both"/>
      <w:rPr>
        <w:rFonts w:hint="eastAsia"/>
      </w:rPr>
    </w:pPr>
    <w:r>
      <w:rPr>
        <w:rFonts w:hint="eastAsia"/>
      </w:rPr>
      <w:t>121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D6F03">
    <w:pPr>
      <w:pStyle w:val="27"/>
      <w:framePr w:wrap="around" w:vAnchor="text" w:hAnchor="margin" w:xAlign="center" w:y="1"/>
      <w:rPr>
        <w:rStyle w:val="43"/>
      </w:rPr>
    </w:pPr>
    <w:r>
      <w:fldChar w:fldCharType="begin"/>
    </w:r>
    <w:r>
      <w:rPr>
        <w:rStyle w:val="43"/>
      </w:rPr>
      <w:instrText xml:space="preserve">PAGE  </w:instrText>
    </w:r>
    <w:r>
      <w:fldChar w:fldCharType="end"/>
    </w:r>
  </w:p>
  <w:p w14:paraId="6B623762">
    <w:pPr>
      <w:pStyle w:val="2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54829">
    <w:pPr>
      <w:pStyle w:val="27"/>
      <w:ind w:right="360"/>
      <w:jc w:val="both"/>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44A58">
    <w:pPr>
      <w:pStyle w:val="27"/>
      <w:jc w:val="center"/>
    </w:pPr>
  </w:p>
  <w:p w14:paraId="2CCFF38E">
    <w:pPr>
      <w:pStyle w:val="2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1E2A6">
    <w:pPr>
      <w:pStyle w:val="27"/>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F3D671">
                          <w:pPr>
                            <w:pStyle w:val="2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BF3D671">
                    <w:pPr>
                      <w:pStyle w:val="27"/>
                    </w:pPr>
                    <w:r>
                      <w:fldChar w:fldCharType="begin"/>
                    </w:r>
                    <w:r>
                      <w:instrText xml:space="preserve"> PAGE  \* MERGEFORMAT </w:instrText>
                    </w:r>
                    <w:r>
                      <w:fldChar w:fldCharType="separate"/>
                    </w:r>
                    <w:r>
                      <w:t>1</w:t>
                    </w:r>
                    <w:r>
                      <w:fldChar w:fldCharType="end"/>
                    </w:r>
                  </w:p>
                </w:txbxContent>
              </v:textbox>
            </v:shape>
          </w:pict>
        </mc:Fallback>
      </mc:AlternateContent>
    </w:r>
  </w:p>
  <w:p w14:paraId="65438CCC">
    <w:pPr>
      <w:pStyle w:val="2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3CB1D">
    <w:pPr>
      <w:pStyle w:val="27"/>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F80A34">
                          <w:pPr>
                            <w:pStyle w:val="27"/>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EF80A34">
                    <w:pPr>
                      <w:pStyle w:val="27"/>
                    </w:pPr>
                    <w:r>
                      <w:fldChar w:fldCharType="begin"/>
                    </w:r>
                    <w:r>
                      <w:instrText xml:space="preserve"> PAGE  \* MERGEFORMAT </w:instrText>
                    </w:r>
                    <w:r>
                      <w:fldChar w:fldCharType="separate"/>
                    </w:r>
                    <w:r>
                      <w:t>46</w:t>
                    </w:r>
                    <w:r>
                      <w:fldChar w:fldCharType="end"/>
                    </w:r>
                  </w:p>
                </w:txbxContent>
              </v:textbox>
            </v:shape>
          </w:pict>
        </mc:Fallback>
      </mc:AlternateContent>
    </w:r>
  </w:p>
  <w:p w14:paraId="3DA79313">
    <w:pPr>
      <w:pStyle w:val="27"/>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10B37">
    <w:pPr>
      <w:pStyle w:val="27"/>
      <w:ind w:right="360"/>
      <w:jc w:val="both"/>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8531EF8">
                          <w:pPr>
                            <w:pStyle w:val="27"/>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NJQgnIAQAAmQMAAA4AAAAAAAAAAQAgAAAAHgEAAGRycy9lMm9Eb2Mu&#10;eG1sUEsFBgAAAAAGAAYAWQEAAFgFAAAAAA==&#10;">
              <v:fill on="f" focussize="0,0"/>
              <v:stroke on="f"/>
              <v:imagedata o:title=""/>
              <o:lock v:ext="edit" aspectratio="f"/>
              <v:textbox inset="0mm,0mm,0mm,0mm" style="mso-fit-shape-to-text:t;">
                <w:txbxContent>
                  <w:p w14:paraId="18531EF8">
                    <w:pPr>
                      <w:pStyle w:val="2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50212">
    <w:pPr>
      <w:pStyle w:val="27"/>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D1BCE2">
                          <w:pPr>
                            <w:pStyle w:val="27"/>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FD1BCE2">
                    <w:pPr>
                      <w:pStyle w:val="27"/>
                    </w:pPr>
                    <w:r>
                      <w:fldChar w:fldCharType="begin"/>
                    </w:r>
                    <w:r>
                      <w:instrText xml:space="preserve"> PAGE  \* MERGEFORMAT </w:instrText>
                    </w:r>
                    <w:r>
                      <w:fldChar w:fldCharType="separate"/>
                    </w:r>
                    <w:r>
                      <w:t>0</w:t>
                    </w:r>
                    <w:r>
                      <w:fldChar w:fldCharType="end"/>
                    </w:r>
                  </w:p>
                </w:txbxContent>
              </v:textbox>
            </v:shape>
          </w:pict>
        </mc:Fallback>
      </mc:AlternateContent>
    </w:r>
  </w:p>
  <w:p w14:paraId="1419F92C">
    <w:pPr>
      <w:pStyle w:val="27"/>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1F632">
    <w:pPr>
      <w:pStyle w:val="27"/>
      <w:framePr w:wrap="around" w:vAnchor="text" w:hAnchor="margin" w:xAlign="center" w:y="1"/>
      <w:rPr>
        <w:rStyle w:val="43"/>
      </w:rPr>
    </w:pPr>
    <w:r>
      <w:fldChar w:fldCharType="begin"/>
    </w:r>
    <w:r>
      <w:rPr>
        <w:rStyle w:val="43"/>
      </w:rPr>
      <w:instrText xml:space="preserve">PAGE  </w:instrText>
    </w:r>
    <w:r>
      <w:fldChar w:fldCharType="end"/>
    </w:r>
  </w:p>
  <w:p w14:paraId="1E353442">
    <w:pPr>
      <w:pStyle w:val="2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BA042F">
    <w:pPr>
      <w:pStyle w:val="28"/>
      <w:pBdr>
        <w:bottom w:val="none" w:color="auto" w:sz="0" w:space="0"/>
      </w:pBdr>
      <w:tabs>
        <w:tab w:val="center" w:pos="0"/>
        <w:tab w:val="left" w:pos="8306"/>
        <w:tab w:val="clear" w:pos="4153"/>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F3A07">
    <w:pPr>
      <w:pStyle w:val="28"/>
      <w:pBdr>
        <w:bottom w:val="none" w:color="auto" w:sz="0" w:space="0"/>
      </w:pBdr>
      <w:tabs>
        <w:tab w:val="center" w:pos="0"/>
        <w:tab w:val="left" w:pos="8306"/>
        <w:tab w:val="clea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01917"/>
    <w:multiLevelType w:val="singleLevel"/>
    <w:tmpl w:val="4C601917"/>
    <w:lvl w:ilvl="0" w:tentative="0">
      <w:start w:val="1"/>
      <w:numFmt w:val="decimal"/>
      <w:suff w:val="nothing"/>
      <w:lvlText w:val="（%1）"/>
      <w:lvlJc w:val="left"/>
    </w:lvl>
  </w:abstractNum>
  <w:abstractNum w:abstractNumId="1">
    <w:nsid w:val="5FABD14B"/>
    <w:multiLevelType w:val="singleLevel"/>
    <w:tmpl w:val="5FABD14B"/>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HorizontalSpacing w:val="105"/>
  <w:drawingGridVerticalSpacing w:val="331"/>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wMGM5NzNkMGFmZjdmNjdmOTliN2YyNmZmOTBjMmUifQ=="/>
    <w:docVar w:name="KSO_WPS_MARK_KEY" w:val="34a85f2c-7737-46bb-95af-ad2512184d9f"/>
  </w:docVars>
  <w:rsids>
    <w:rsidRoot w:val="08171363"/>
    <w:rsid w:val="0000096C"/>
    <w:rsid w:val="00000CDB"/>
    <w:rsid w:val="00001CDA"/>
    <w:rsid w:val="00004344"/>
    <w:rsid w:val="00005909"/>
    <w:rsid w:val="000207D5"/>
    <w:rsid w:val="00022127"/>
    <w:rsid w:val="00024E82"/>
    <w:rsid w:val="00027659"/>
    <w:rsid w:val="00030800"/>
    <w:rsid w:val="00031652"/>
    <w:rsid w:val="00034A7D"/>
    <w:rsid w:val="00035197"/>
    <w:rsid w:val="00035F9C"/>
    <w:rsid w:val="000401CD"/>
    <w:rsid w:val="000404B0"/>
    <w:rsid w:val="0004235B"/>
    <w:rsid w:val="00044EDB"/>
    <w:rsid w:val="00051641"/>
    <w:rsid w:val="00054304"/>
    <w:rsid w:val="000553BC"/>
    <w:rsid w:val="00056551"/>
    <w:rsid w:val="0006218D"/>
    <w:rsid w:val="00063F24"/>
    <w:rsid w:val="00065AF0"/>
    <w:rsid w:val="00066EA9"/>
    <w:rsid w:val="00066FE1"/>
    <w:rsid w:val="00074D5F"/>
    <w:rsid w:val="00076A60"/>
    <w:rsid w:val="00077BF5"/>
    <w:rsid w:val="00081789"/>
    <w:rsid w:val="00085A0D"/>
    <w:rsid w:val="00092A54"/>
    <w:rsid w:val="00092F65"/>
    <w:rsid w:val="0009317E"/>
    <w:rsid w:val="00093B18"/>
    <w:rsid w:val="000946EB"/>
    <w:rsid w:val="00094E84"/>
    <w:rsid w:val="000A6432"/>
    <w:rsid w:val="000A7A4B"/>
    <w:rsid w:val="000B5A03"/>
    <w:rsid w:val="000B7B3B"/>
    <w:rsid w:val="000C1DCC"/>
    <w:rsid w:val="000C302E"/>
    <w:rsid w:val="000C5D44"/>
    <w:rsid w:val="000D5F48"/>
    <w:rsid w:val="000D7284"/>
    <w:rsid w:val="000E6783"/>
    <w:rsid w:val="000F1BBE"/>
    <w:rsid w:val="001031E7"/>
    <w:rsid w:val="00104245"/>
    <w:rsid w:val="001108AC"/>
    <w:rsid w:val="00110A97"/>
    <w:rsid w:val="00110DD2"/>
    <w:rsid w:val="00111240"/>
    <w:rsid w:val="0011187C"/>
    <w:rsid w:val="00116FC9"/>
    <w:rsid w:val="00120C46"/>
    <w:rsid w:val="001251B9"/>
    <w:rsid w:val="00125837"/>
    <w:rsid w:val="001306A8"/>
    <w:rsid w:val="00140B14"/>
    <w:rsid w:val="00140CE8"/>
    <w:rsid w:val="00141619"/>
    <w:rsid w:val="00143DA6"/>
    <w:rsid w:val="00151CEE"/>
    <w:rsid w:val="0015209C"/>
    <w:rsid w:val="001551E7"/>
    <w:rsid w:val="001552B2"/>
    <w:rsid w:val="00155890"/>
    <w:rsid w:val="00170AA7"/>
    <w:rsid w:val="00173852"/>
    <w:rsid w:val="00174F9B"/>
    <w:rsid w:val="00177D95"/>
    <w:rsid w:val="00181460"/>
    <w:rsid w:val="00182C28"/>
    <w:rsid w:val="00190F4C"/>
    <w:rsid w:val="00193D49"/>
    <w:rsid w:val="0019577E"/>
    <w:rsid w:val="001B1366"/>
    <w:rsid w:val="001B2BDE"/>
    <w:rsid w:val="001B2FAE"/>
    <w:rsid w:val="001C097E"/>
    <w:rsid w:val="001C2516"/>
    <w:rsid w:val="001C2E44"/>
    <w:rsid w:val="001D047F"/>
    <w:rsid w:val="001D758B"/>
    <w:rsid w:val="001E0216"/>
    <w:rsid w:val="001E0590"/>
    <w:rsid w:val="001E3E3A"/>
    <w:rsid w:val="001E484E"/>
    <w:rsid w:val="001E4E53"/>
    <w:rsid w:val="001E6153"/>
    <w:rsid w:val="001E6C5D"/>
    <w:rsid w:val="001E7AB6"/>
    <w:rsid w:val="001F330A"/>
    <w:rsid w:val="001F4D3C"/>
    <w:rsid w:val="001F6F77"/>
    <w:rsid w:val="00201770"/>
    <w:rsid w:val="00202F39"/>
    <w:rsid w:val="00204164"/>
    <w:rsid w:val="00204F25"/>
    <w:rsid w:val="00205999"/>
    <w:rsid w:val="00207350"/>
    <w:rsid w:val="00207DB7"/>
    <w:rsid w:val="00213B47"/>
    <w:rsid w:val="00221909"/>
    <w:rsid w:val="002230A4"/>
    <w:rsid w:val="0022698C"/>
    <w:rsid w:val="00227913"/>
    <w:rsid w:val="00231EAB"/>
    <w:rsid w:val="00232E04"/>
    <w:rsid w:val="00236055"/>
    <w:rsid w:val="00236B7D"/>
    <w:rsid w:val="00241686"/>
    <w:rsid w:val="00242C6C"/>
    <w:rsid w:val="00244627"/>
    <w:rsid w:val="002563B4"/>
    <w:rsid w:val="0025753A"/>
    <w:rsid w:val="00262C01"/>
    <w:rsid w:val="002738BD"/>
    <w:rsid w:val="0027629D"/>
    <w:rsid w:val="00281099"/>
    <w:rsid w:val="002867CF"/>
    <w:rsid w:val="00293976"/>
    <w:rsid w:val="00297271"/>
    <w:rsid w:val="002B3400"/>
    <w:rsid w:val="002B4610"/>
    <w:rsid w:val="002C0483"/>
    <w:rsid w:val="002C1328"/>
    <w:rsid w:val="002C2756"/>
    <w:rsid w:val="002C27F2"/>
    <w:rsid w:val="002C38A0"/>
    <w:rsid w:val="002C7DD7"/>
    <w:rsid w:val="002D0079"/>
    <w:rsid w:val="002D05BB"/>
    <w:rsid w:val="002D2EF2"/>
    <w:rsid w:val="002D5E57"/>
    <w:rsid w:val="002E0A18"/>
    <w:rsid w:val="002E6BA4"/>
    <w:rsid w:val="002E7EA0"/>
    <w:rsid w:val="002F320A"/>
    <w:rsid w:val="002F55FD"/>
    <w:rsid w:val="002F667D"/>
    <w:rsid w:val="003014B1"/>
    <w:rsid w:val="003051FD"/>
    <w:rsid w:val="00305816"/>
    <w:rsid w:val="00315EB2"/>
    <w:rsid w:val="003162D6"/>
    <w:rsid w:val="00316994"/>
    <w:rsid w:val="0031699F"/>
    <w:rsid w:val="00320B19"/>
    <w:rsid w:val="00322C10"/>
    <w:rsid w:val="00327461"/>
    <w:rsid w:val="00330EE9"/>
    <w:rsid w:val="003331F5"/>
    <w:rsid w:val="00337A9F"/>
    <w:rsid w:val="00344631"/>
    <w:rsid w:val="00346976"/>
    <w:rsid w:val="00347950"/>
    <w:rsid w:val="00350024"/>
    <w:rsid w:val="00353905"/>
    <w:rsid w:val="00355191"/>
    <w:rsid w:val="00366E54"/>
    <w:rsid w:val="0037075A"/>
    <w:rsid w:val="00371C87"/>
    <w:rsid w:val="00380673"/>
    <w:rsid w:val="003809BA"/>
    <w:rsid w:val="00384EB6"/>
    <w:rsid w:val="003868E3"/>
    <w:rsid w:val="0039417D"/>
    <w:rsid w:val="003A3917"/>
    <w:rsid w:val="003A622A"/>
    <w:rsid w:val="003B031E"/>
    <w:rsid w:val="003B31F1"/>
    <w:rsid w:val="003B38DA"/>
    <w:rsid w:val="003B7C9A"/>
    <w:rsid w:val="003C027A"/>
    <w:rsid w:val="003C393F"/>
    <w:rsid w:val="003D3465"/>
    <w:rsid w:val="003D478D"/>
    <w:rsid w:val="003D7400"/>
    <w:rsid w:val="003E0AD4"/>
    <w:rsid w:val="003E1425"/>
    <w:rsid w:val="003E64C1"/>
    <w:rsid w:val="003F1067"/>
    <w:rsid w:val="003F1F9C"/>
    <w:rsid w:val="003F7B0D"/>
    <w:rsid w:val="004029ED"/>
    <w:rsid w:val="00403AA3"/>
    <w:rsid w:val="0040651A"/>
    <w:rsid w:val="00431C3B"/>
    <w:rsid w:val="00435268"/>
    <w:rsid w:val="0044023A"/>
    <w:rsid w:val="004437ED"/>
    <w:rsid w:val="00443922"/>
    <w:rsid w:val="0044600A"/>
    <w:rsid w:val="00447BDE"/>
    <w:rsid w:val="00450ADB"/>
    <w:rsid w:val="00452102"/>
    <w:rsid w:val="004531C4"/>
    <w:rsid w:val="00455C16"/>
    <w:rsid w:val="0046694A"/>
    <w:rsid w:val="0046760D"/>
    <w:rsid w:val="00467833"/>
    <w:rsid w:val="00474447"/>
    <w:rsid w:val="004771BA"/>
    <w:rsid w:val="004820E2"/>
    <w:rsid w:val="004853B6"/>
    <w:rsid w:val="004861BA"/>
    <w:rsid w:val="00486E44"/>
    <w:rsid w:val="0049027F"/>
    <w:rsid w:val="004925A4"/>
    <w:rsid w:val="004929AD"/>
    <w:rsid w:val="004A0443"/>
    <w:rsid w:val="004A0E38"/>
    <w:rsid w:val="004A5F2A"/>
    <w:rsid w:val="004A6736"/>
    <w:rsid w:val="004B49D2"/>
    <w:rsid w:val="004C5B3E"/>
    <w:rsid w:val="004C75A0"/>
    <w:rsid w:val="004D5AF4"/>
    <w:rsid w:val="004D6E99"/>
    <w:rsid w:val="004E126C"/>
    <w:rsid w:val="004F5BCD"/>
    <w:rsid w:val="004F68CF"/>
    <w:rsid w:val="005033B8"/>
    <w:rsid w:val="00503A40"/>
    <w:rsid w:val="00506840"/>
    <w:rsid w:val="00511A25"/>
    <w:rsid w:val="00516FAA"/>
    <w:rsid w:val="00517D40"/>
    <w:rsid w:val="00520861"/>
    <w:rsid w:val="00521880"/>
    <w:rsid w:val="00525C35"/>
    <w:rsid w:val="005279FB"/>
    <w:rsid w:val="00532BF5"/>
    <w:rsid w:val="0053541C"/>
    <w:rsid w:val="005458AD"/>
    <w:rsid w:val="0054778A"/>
    <w:rsid w:val="0055409E"/>
    <w:rsid w:val="00554A36"/>
    <w:rsid w:val="00562514"/>
    <w:rsid w:val="00564C6D"/>
    <w:rsid w:val="005707EB"/>
    <w:rsid w:val="00570DF9"/>
    <w:rsid w:val="005739CF"/>
    <w:rsid w:val="00576E04"/>
    <w:rsid w:val="0057733C"/>
    <w:rsid w:val="00581AC2"/>
    <w:rsid w:val="00583AC0"/>
    <w:rsid w:val="00584BFC"/>
    <w:rsid w:val="005873D0"/>
    <w:rsid w:val="005917A6"/>
    <w:rsid w:val="005932B6"/>
    <w:rsid w:val="00596F89"/>
    <w:rsid w:val="005B53A3"/>
    <w:rsid w:val="005C06FA"/>
    <w:rsid w:val="005C5049"/>
    <w:rsid w:val="005D54D6"/>
    <w:rsid w:val="005D6CCE"/>
    <w:rsid w:val="005E671C"/>
    <w:rsid w:val="005F6F86"/>
    <w:rsid w:val="00600743"/>
    <w:rsid w:val="006048A4"/>
    <w:rsid w:val="00605362"/>
    <w:rsid w:val="006064F7"/>
    <w:rsid w:val="006068F0"/>
    <w:rsid w:val="00606C3B"/>
    <w:rsid w:val="00622C28"/>
    <w:rsid w:val="00626CA8"/>
    <w:rsid w:val="006271A0"/>
    <w:rsid w:val="006301C4"/>
    <w:rsid w:val="00630567"/>
    <w:rsid w:val="00631BAB"/>
    <w:rsid w:val="006324D3"/>
    <w:rsid w:val="00636B69"/>
    <w:rsid w:val="006406A8"/>
    <w:rsid w:val="00640B4E"/>
    <w:rsid w:val="00641D5B"/>
    <w:rsid w:val="00644AAD"/>
    <w:rsid w:val="00647270"/>
    <w:rsid w:val="0065223B"/>
    <w:rsid w:val="00653CDE"/>
    <w:rsid w:val="00656442"/>
    <w:rsid w:val="00661DA0"/>
    <w:rsid w:val="006632E6"/>
    <w:rsid w:val="0066542F"/>
    <w:rsid w:val="00670E85"/>
    <w:rsid w:val="0067703D"/>
    <w:rsid w:val="00677CAF"/>
    <w:rsid w:val="006831E3"/>
    <w:rsid w:val="006867BB"/>
    <w:rsid w:val="00691B1A"/>
    <w:rsid w:val="00695425"/>
    <w:rsid w:val="006A101B"/>
    <w:rsid w:val="006A6DC8"/>
    <w:rsid w:val="006C015A"/>
    <w:rsid w:val="006C2360"/>
    <w:rsid w:val="006C55A9"/>
    <w:rsid w:val="006C5999"/>
    <w:rsid w:val="006D0A1B"/>
    <w:rsid w:val="006D6A62"/>
    <w:rsid w:val="006E4D05"/>
    <w:rsid w:val="006F0015"/>
    <w:rsid w:val="00707FF2"/>
    <w:rsid w:val="00712AF4"/>
    <w:rsid w:val="00715456"/>
    <w:rsid w:val="00717D53"/>
    <w:rsid w:val="0072351B"/>
    <w:rsid w:val="00730FBB"/>
    <w:rsid w:val="0073261C"/>
    <w:rsid w:val="00736625"/>
    <w:rsid w:val="00744B4B"/>
    <w:rsid w:val="00745BFF"/>
    <w:rsid w:val="0074683F"/>
    <w:rsid w:val="007549ED"/>
    <w:rsid w:val="0075643C"/>
    <w:rsid w:val="00756DD1"/>
    <w:rsid w:val="00757B36"/>
    <w:rsid w:val="00761289"/>
    <w:rsid w:val="00761EA6"/>
    <w:rsid w:val="00767154"/>
    <w:rsid w:val="007728DC"/>
    <w:rsid w:val="00773B6C"/>
    <w:rsid w:val="00773FEE"/>
    <w:rsid w:val="00781DF2"/>
    <w:rsid w:val="00790B95"/>
    <w:rsid w:val="007937A3"/>
    <w:rsid w:val="007B4684"/>
    <w:rsid w:val="007C09EA"/>
    <w:rsid w:val="007C2309"/>
    <w:rsid w:val="007C3B9F"/>
    <w:rsid w:val="007C4D61"/>
    <w:rsid w:val="007D5273"/>
    <w:rsid w:val="007D6581"/>
    <w:rsid w:val="007D6EBC"/>
    <w:rsid w:val="007F0A33"/>
    <w:rsid w:val="007F1D2B"/>
    <w:rsid w:val="007F4D7D"/>
    <w:rsid w:val="007F717F"/>
    <w:rsid w:val="00817450"/>
    <w:rsid w:val="008176CE"/>
    <w:rsid w:val="008204EB"/>
    <w:rsid w:val="008232D5"/>
    <w:rsid w:val="00823F88"/>
    <w:rsid w:val="0082700E"/>
    <w:rsid w:val="008300D6"/>
    <w:rsid w:val="00843D45"/>
    <w:rsid w:val="00852105"/>
    <w:rsid w:val="0085544C"/>
    <w:rsid w:val="008604A4"/>
    <w:rsid w:val="008606F1"/>
    <w:rsid w:val="00860D9E"/>
    <w:rsid w:val="00862516"/>
    <w:rsid w:val="0086784A"/>
    <w:rsid w:val="008811BB"/>
    <w:rsid w:val="00884C48"/>
    <w:rsid w:val="0089747C"/>
    <w:rsid w:val="008974F2"/>
    <w:rsid w:val="008A2903"/>
    <w:rsid w:val="008A6ED3"/>
    <w:rsid w:val="008A7438"/>
    <w:rsid w:val="008C3744"/>
    <w:rsid w:val="008C4798"/>
    <w:rsid w:val="008D3FFB"/>
    <w:rsid w:val="008D43F8"/>
    <w:rsid w:val="008D5DE5"/>
    <w:rsid w:val="008D7AB4"/>
    <w:rsid w:val="008E268A"/>
    <w:rsid w:val="008E3451"/>
    <w:rsid w:val="008E53FF"/>
    <w:rsid w:val="00904A9B"/>
    <w:rsid w:val="00905884"/>
    <w:rsid w:val="00920D6C"/>
    <w:rsid w:val="009276D5"/>
    <w:rsid w:val="0093775E"/>
    <w:rsid w:val="00942D58"/>
    <w:rsid w:val="00942FDE"/>
    <w:rsid w:val="00952863"/>
    <w:rsid w:val="009528FA"/>
    <w:rsid w:val="0096166D"/>
    <w:rsid w:val="00986C7E"/>
    <w:rsid w:val="009911B9"/>
    <w:rsid w:val="009924D4"/>
    <w:rsid w:val="009961B0"/>
    <w:rsid w:val="009963BC"/>
    <w:rsid w:val="009A6C00"/>
    <w:rsid w:val="009B644A"/>
    <w:rsid w:val="009B67C7"/>
    <w:rsid w:val="009C3D9F"/>
    <w:rsid w:val="009C60E6"/>
    <w:rsid w:val="009D594D"/>
    <w:rsid w:val="009D5E30"/>
    <w:rsid w:val="009D64B0"/>
    <w:rsid w:val="009D78FE"/>
    <w:rsid w:val="009E0DF2"/>
    <w:rsid w:val="009E2765"/>
    <w:rsid w:val="009E2C4C"/>
    <w:rsid w:val="009E509B"/>
    <w:rsid w:val="009E5F55"/>
    <w:rsid w:val="009F48CE"/>
    <w:rsid w:val="009F5431"/>
    <w:rsid w:val="009F5C57"/>
    <w:rsid w:val="00A079C6"/>
    <w:rsid w:val="00A11791"/>
    <w:rsid w:val="00A15437"/>
    <w:rsid w:val="00A207B9"/>
    <w:rsid w:val="00A317A2"/>
    <w:rsid w:val="00A31C07"/>
    <w:rsid w:val="00A31E32"/>
    <w:rsid w:val="00A35D90"/>
    <w:rsid w:val="00A36574"/>
    <w:rsid w:val="00A37DDB"/>
    <w:rsid w:val="00A37ECC"/>
    <w:rsid w:val="00A41DC7"/>
    <w:rsid w:val="00A4364F"/>
    <w:rsid w:val="00A5424F"/>
    <w:rsid w:val="00A54EBE"/>
    <w:rsid w:val="00A56CB5"/>
    <w:rsid w:val="00A64717"/>
    <w:rsid w:val="00A748C9"/>
    <w:rsid w:val="00A77398"/>
    <w:rsid w:val="00A80C51"/>
    <w:rsid w:val="00A81EDF"/>
    <w:rsid w:val="00A83A62"/>
    <w:rsid w:val="00A929CC"/>
    <w:rsid w:val="00A9536F"/>
    <w:rsid w:val="00A95495"/>
    <w:rsid w:val="00A955F2"/>
    <w:rsid w:val="00A975B7"/>
    <w:rsid w:val="00AA0FBE"/>
    <w:rsid w:val="00AA4479"/>
    <w:rsid w:val="00AA48D1"/>
    <w:rsid w:val="00AB7E31"/>
    <w:rsid w:val="00AC1E51"/>
    <w:rsid w:val="00AD2F5B"/>
    <w:rsid w:val="00AD464B"/>
    <w:rsid w:val="00AD6A4F"/>
    <w:rsid w:val="00AD7E81"/>
    <w:rsid w:val="00AE0FF5"/>
    <w:rsid w:val="00AE127D"/>
    <w:rsid w:val="00AF12E5"/>
    <w:rsid w:val="00AF1624"/>
    <w:rsid w:val="00AF7D70"/>
    <w:rsid w:val="00B017FE"/>
    <w:rsid w:val="00B05D04"/>
    <w:rsid w:val="00B17E63"/>
    <w:rsid w:val="00B17F7F"/>
    <w:rsid w:val="00B20869"/>
    <w:rsid w:val="00B211ED"/>
    <w:rsid w:val="00B319D0"/>
    <w:rsid w:val="00B31F82"/>
    <w:rsid w:val="00B33AE6"/>
    <w:rsid w:val="00B33B3B"/>
    <w:rsid w:val="00B52B37"/>
    <w:rsid w:val="00B548FD"/>
    <w:rsid w:val="00B556FB"/>
    <w:rsid w:val="00B56361"/>
    <w:rsid w:val="00B61746"/>
    <w:rsid w:val="00B62005"/>
    <w:rsid w:val="00B67234"/>
    <w:rsid w:val="00B67934"/>
    <w:rsid w:val="00B76FFB"/>
    <w:rsid w:val="00B7795B"/>
    <w:rsid w:val="00B77961"/>
    <w:rsid w:val="00B803FE"/>
    <w:rsid w:val="00B84C74"/>
    <w:rsid w:val="00B94CF1"/>
    <w:rsid w:val="00BA2379"/>
    <w:rsid w:val="00BA6F13"/>
    <w:rsid w:val="00BB3A8E"/>
    <w:rsid w:val="00BB5CD0"/>
    <w:rsid w:val="00BB7111"/>
    <w:rsid w:val="00BC0690"/>
    <w:rsid w:val="00BC2A7B"/>
    <w:rsid w:val="00BC4D83"/>
    <w:rsid w:val="00BC6D1F"/>
    <w:rsid w:val="00BD1CD3"/>
    <w:rsid w:val="00BE0F5B"/>
    <w:rsid w:val="00BE242C"/>
    <w:rsid w:val="00BF061C"/>
    <w:rsid w:val="00BF2DE4"/>
    <w:rsid w:val="00BF4E4B"/>
    <w:rsid w:val="00BF7045"/>
    <w:rsid w:val="00C03881"/>
    <w:rsid w:val="00C03EC3"/>
    <w:rsid w:val="00C051BA"/>
    <w:rsid w:val="00C052AB"/>
    <w:rsid w:val="00C114D9"/>
    <w:rsid w:val="00C115C2"/>
    <w:rsid w:val="00C12A33"/>
    <w:rsid w:val="00C20A8B"/>
    <w:rsid w:val="00C234FA"/>
    <w:rsid w:val="00C31DD3"/>
    <w:rsid w:val="00C32BEA"/>
    <w:rsid w:val="00C3405B"/>
    <w:rsid w:val="00C510B7"/>
    <w:rsid w:val="00C5115E"/>
    <w:rsid w:val="00C54574"/>
    <w:rsid w:val="00C67F26"/>
    <w:rsid w:val="00C72985"/>
    <w:rsid w:val="00C73607"/>
    <w:rsid w:val="00C7554B"/>
    <w:rsid w:val="00C7749B"/>
    <w:rsid w:val="00C806B6"/>
    <w:rsid w:val="00C82DE7"/>
    <w:rsid w:val="00C90F87"/>
    <w:rsid w:val="00C91EA9"/>
    <w:rsid w:val="00CB10A1"/>
    <w:rsid w:val="00CB1671"/>
    <w:rsid w:val="00CB3128"/>
    <w:rsid w:val="00CB582D"/>
    <w:rsid w:val="00CB63FC"/>
    <w:rsid w:val="00CB78F3"/>
    <w:rsid w:val="00CC1E96"/>
    <w:rsid w:val="00CC7527"/>
    <w:rsid w:val="00CD60E2"/>
    <w:rsid w:val="00CD79F0"/>
    <w:rsid w:val="00CE0705"/>
    <w:rsid w:val="00CF37DE"/>
    <w:rsid w:val="00CF45D0"/>
    <w:rsid w:val="00CF4883"/>
    <w:rsid w:val="00CF6FCC"/>
    <w:rsid w:val="00D06972"/>
    <w:rsid w:val="00D21461"/>
    <w:rsid w:val="00D22BE5"/>
    <w:rsid w:val="00D30B85"/>
    <w:rsid w:val="00D37A63"/>
    <w:rsid w:val="00D44310"/>
    <w:rsid w:val="00D44681"/>
    <w:rsid w:val="00D44B33"/>
    <w:rsid w:val="00D536B1"/>
    <w:rsid w:val="00D556A1"/>
    <w:rsid w:val="00D563C2"/>
    <w:rsid w:val="00D57164"/>
    <w:rsid w:val="00D57281"/>
    <w:rsid w:val="00D65967"/>
    <w:rsid w:val="00D732AF"/>
    <w:rsid w:val="00D777F1"/>
    <w:rsid w:val="00D8185B"/>
    <w:rsid w:val="00D8194A"/>
    <w:rsid w:val="00D82F3E"/>
    <w:rsid w:val="00D969A3"/>
    <w:rsid w:val="00DA584A"/>
    <w:rsid w:val="00DB6895"/>
    <w:rsid w:val="00DC4C07"/>
    <w:rsid w:val="00DC7AB8"/>
    <w:rsid w:val="00DD525D"/>
    <w:rsid w:val="00DD5508"/>
    <w:rsid w:val="00DE0E0D"/>
    <w:rsid w:val="00DE1C4D"/>
    <w:rsid w:val="00DE5E63"/>
    <w:rsid w:val="00DE675A"/>
    <w:rsid w:val="00E135DB"/>
    <w:rsid w:val="00E1452E"/>
    <w:rsid w:val="00E235C9"/>
    <w:rsid w:val="00E375E1"/>
    <w:rsid w:val="00E40A3B"/>
    <w:rsid w:val="00E42CD9"/>
    <w:rsid w:val="00E431DF"/>
    <w:rsid w:val="00E54657"/>
    <w:rsid w:val="00E6697F"/>
    <w:rsid w:val="00E74681"/>
    <w:rsid w:val="00E77CF4"/>
    <w:rsid w:val="00E8042B"/>
    <w:rsid w:val="00E820A0"/>
    <w:rsid w:val="00E9217F"/>
    <w:rsid w:val="00E9496E"/>
    <w:rsid w:val="00E95E2C"/>
    <w:rsid w:val="00E96765"/>
    <w:rsid w:val="00E97D09"/>
    <w:rsid w:val="00EA009B"/>
    <w:rsid w:val="00EA04B7"/>
    <w:rsid w:val="00EA0937"/>
    <w:rsid w:val="00EA7723"/>
    <w:rsid w:val="00EB17F3"/>
    <w:rsid w:val="00EB28CA"/>
    <w:rsid w:val="00EB57D6"/>
    <w:rsid w:val="00EC5445"/>
    <w:rsid w:val="00EE1688"/>
    <w:rsid w:val="00EE23CC"/>
    <w:rsid w:val="00EF36D5"/>
    <w:rsid w:val="00EF3F63"/>
    <w:rsid w:val="00EF4C13"/>
    <w:rsid w:val="00EF6EEB"/>
    <w:rsid w:val="00F02CB5"/>
    <w:rsid w:val="00F072C2"/>
    <w:rsid w:val="00F07DE8"/>
    <w:rsid w:val="00F07F4C"/>
    <w:rsid w:val="00F1066F"/>
    <w:rsid w:val="00F21207"/>
    <w:rsid w:val="00F5110A"/>
    <w:rsid w:val="00F52FF2"/>
    <w:rsid w:val="00F53FD4"/>
    <w:rsid w:val="00F56BEA"/>
    <w:rsid w:val="00F72D89"/>
    <w:rsid w:val="00F74F31"/>
    <w:rsid w:val="00F95FE2"/>
    <w:rsid w:val="00FA0D4F"/>
    <w:rsid w:val="00FA3C12"/>
    <w:rsid w:val="00FB02D1"/>
    <w:rsid w:val="00FB3A1E"/>
    <w:rsid w:val="00FB3C91"/>
    <w:rsid w:val="00FB4DCC"/>
    <w:rsid w:val="00FB6647"/>
    <w:rsid w:val="00FD3F1A"/>
    <w:rsid w:val="00FD442A"/>
    <w:rsid w:val="00FD6406"/>
    <w:rsid w:val="00FD72DA"/>
    <w:rsid w:val="00FE5FE9"/>
    <w:rsid w:val="00FE7D94"/>
    <w:rsid w:val="00FF0F02"/>
    <w:rsid w:val="00FF7F1F"/>
    <w:rsid w:val="01773477"/>
    <w:rsid w:val="0273010D"/>
    <w:rsid w:val="030571A0"/>
    <w:rsid w:val="03541CED"/>
    <w:rsid w:val="038B1487"/>
    <w:rsid w:val="0454399B"/>
    <w:rsid w:val="049360A4"/>
    <w:rsid w:val="04FC07BA"/>
    <w:rsid w:val="05C21244"/>
    <w:rsid w:val="064029FC"/>
    <w:rsid w:val="075F2E64"/>
    <w:rsid w:val="078B0F5C"/>
    <w:rsid w:val="07B83C8D"/>
    <w:rsid w:val="07C025C7"/>
    <w:rsid w:val="07F46FDB"/>
    <w:rsid w:val="08171363"/>
    <w:rsid w:val="08AB2AB1"/>
    <w:rsid w:val="09CD219B"/>
    <w:rsid w:val="09E42488"/>
    <w:rsid w:val="09ED576F"/>
    <w:rsid w:val="09F14739"/>
    <w:rsid w:val="0A2A0535"/>
    <w:rsid w:val="0D116C13"/>
    <w:rsid w:val="0D5A43A4"/>
    <w:rsid w:val="0ED76AD5"/>
    <w:rsid w:val="10525806"/>
    <w:rsid w:val="10670755"/>
    <w:rsid w:val="10CF4AB8"/>
    <w:rsid w:val="1371067C"/>
    <w:rsid w:val="14583CD7"/>
    <w:rsid w:val="148126CD"/>
    <w:rsid w:val="14DE2927"/>
    <w:rsid w:val="163F05DA"/>
    <w:rsid w:val="16593F9F"/>
    <w:rsid w:val="168503A9"/>
    <w:rsid w:val="16C21457"/>
    <w:rsid w:val="16C90EF1"/>
    <w:rsid w:val="17281EC0"/>
    <w:rsid w:val="181E6DC2"/>
    <w:rsid w:val="1953639C"/>
    <w:rsid w:val="19C07C84"/>
    <w:rsid w:val="1A167B3A"/>
    <w:rsid w:val="1AAE7F75"/>
    <w:rsid w:val="1C202209"/>
    <w:rsid w:val="1C3D55BC"/>
    <w:rsid w:val="1DA20C31"/>
    <w:rsid w:val="1E454BFC"/>
    <w:rsid w:val="1F7532BF"/>
    <w:rsid w:val="1FD746B4"/>
    <w:rsid w:val="210705F3"/>
    <w:rsid w:val="216750D4"/>
    <w:rsid w:val="22557C1D"/>
    <w:rsid w:val="226B7889"/>
    <w:rsid w:val="22E33BF0"/>
    <w:rsid w:val="2340395B"/>
    <w:rsid w:val="23897365"/>
    <w:rsid w:val="23B858BF"/>
    <w:rsid w:val="23C120FD"/>
    <w:rsid w:val="243D3F18"/>
    <w:rsid w:val="245B3C6C"/>
    <w:rsid w:val="25100723"/>
    <w:rsid w:val="25873D4C"/>
    <w:rsid w:val="25AD0C5F"/>
    <w:rsid w:val="26931E56"/>
    <w:rsid w:val="28A736BD"/>
    <w:rsid w:val="29AB7408"/>
    <w:rsid w:val="29BF6131"/>
    <w:rsid w:val="2A5176CA"/>
    <w:rsid w:val="2AD92D72"/>
    <w:rsid w:val="2BD870AF"/>
    <w:rsid w:val="2D102879"/>
    <w:rsid w:val="2E0A551A"/>
    <w:rsid w:val="2EA339A5"/>
    <w:rsid w:val="2F162065"/>
    <w:rsid w:val="2F7B20F9"/>
    <w:rsid w:val="2FBA487A"/>
    <w:rsid w:val="313229D6"/>
    <w:rsid w:val="314865E7"/>
    <w:rsid w:val="32422B29"/>
    <w:rsid w:val="327D7DC5"/>
    <w:rsid w:val="33DF2DA8"/>
    <w:rsid w:val="34C226AB"/>
    <w:rsid w:val="35074561"/>
    <w:rsid w:val="35A74912"/>
    <w:rsid w:val="35CB5EC9"/>
    <w:rsid w:val="38E65C15"/>
    <w:rsid w:val="39A35D51"/>
    <w:rsid w:val="3B1359D3"/>
    <w:rsid w:val="3BB80F8B"/>
    <w:rsid w:val="3BCE327C"/>
    <w:rsid w:val="3C345451"/>
    <w:rsid w:val="3C9B457A"/>
    <w:rsid w:val="3E9D7E49"/>
    <w:rsid w:val="3F9904AC"/>
    <w:rsid w:val="402107A3"/>
    <w:rsid w:val="40591E84"/>
    <w:rsid w:val="42400CB9"/>
    <w:rsid w:val="430317C0"/>
    <w:rsid w:val="43505326"/>
    <w:rsid w:val="43C45845"/>
    <w:rsid w:val="44CA4BFA"/>
    <w:rsid w:val="4593672A"/>
    <w:rsid w:val="472B0583"/>
    <w:rsid w:val="475A67D9"/>
    <w:rsid w:val="4793136F"/>
    <w:rsid w:val="499221D0"/>
    <w:rsid w:val="4B8D6ED7"/>
    <w:rsid w:val="4BC766E9"/>
    <w:rsid w:val="4CB836EB"/>
    <w:rsid w:val="4CF96DDA"/>
    <w:rsid w:val="4D083EE4"/>
    <w:rsid w:val="4D792F09"/>
    <w:rsid w:val="4DA20DD2"/>
    <w:rsid w:val="4E512B63"/>
    <w:rsid w:val="4E9B7A20"/>
    <w:rsid w:val="4EB96475"/>
    <w:rsid w:val="504970E8"/>
    <w:rsid w:val="51D05F5C"/>
    <w:rsid w:val="52F63E57"/>
    <w:rsid w:val="53D159C3"/>
    <w:rsid w:val="54F7F469"/>
    <w:rsid w:val="562F308A"/>
    <w:rsid w:val="56901E7C"/>
    <w:rsid w:val="589E5842"/>
    <w:rsid w:val="59260BAB"/>
    <w:rsid w:val="59476CE1"/>
    <w:rsid w:val="5981360E"/>
    <w:rsid w:val="59906E68"/>
    <w:rsid w:val="599A26EE"/>
    <w:rsid w:val="59CA6DA1"/>
    <w:rsid w:val="5C0F2AAB"/>
    <w:rsid w:val="5C8E0F41"/>
    <w:rsid w:val="5D373670"/>
    <w:rsid w:val="5DA0717E"/>
    <w:rsid w:val="5E911FD2"/>
    <w:rsid w:val="5F891239"/>
    <w:rsid w:val="5FBB5A03"/>
    <w:rsid w:val="5FBF36E9"/>
    <w:rsid w:val="5FF5B184"/>
    <w:rsid w:val="611449CF"/>
    <w:rsid w:val="61662B0C"/>
    <w:rsid w:val="62771C70"/>
    <w:rsid w:val="62A02B74"/>
    <w:rsid w:val="62A94B4A"/>
    <w:rsid w:val="63DF45AD"/>
    <w:rsid w:val="65164566"/>
    <w:rsid w:val="66B1396B"/>
    <w:rsid w:val="67207B20"/>
    <w:rsid w:val="675B5AF4"/>
    <w:rsid w:val="680447AD"/>
    <w:rsid w:val="69472BA3"/>
    <w:rsid w:val="69814D1C"/>
    <w:rsid w:val="69BD5AF7"/>
    <w:rsid w:val="6C6E7C95"/>
    <w:rsid w:val="6CAF546D"/>
    <w:rsid w:val="6D2D3A36"/>
    <w:rsid w:val="6E686EB1"/>
    <w:rsid w:val="6E7042BE"/>
    <w:rsid w:val="6ECF7BC3"/>
    <w:rsid w:val="6FA86B63"/>
    <w:rsid w:val="700C5525"/>
    <w:rsid w:val="717F3BC0"/>
    <w:rsid w:val="72677E12"/>
    <w:rsid w:val="73A04113"/>
    <w:rsid w:val="747B1BB4"/>
    <w:rsid w:val="75457F23"/>
    <w:rsid w:val="75501031"/>
    <w:rsid w:val="760477CC"/>
    <w:rsid w:val="7758241F"/>
    <w:rsid w:val="793547C6"/>
    <w:rsid w:val="796F6888"/>
    <w:rsid w:val="7A0F0482"/>
    <w:rsid w:val="7CA64A0C"/>
    <w:rsid w:val="7CB93960"/>
    <w:rsid w:val="7D174734"/>
    <w:rsid w:val="7D827261"/>
    <w:rsid w:val="7DE62533"/>
    <w:rsid w:val="7DF7A1B5"/>
    <w:rsid w:val="7E8A580B"/>
    <w:rsid w:val="7EBD33CD"/>
    <w:rsid w:val="7F19500C"/>
    <w:rsid w:val="7F797C95"/>
    <w:rsid w:val="7F9F3B25"/>
    <w:rsid w:val="99F31EBA"/>
    <w:rsid w:val="B5FF3FD2"/>
    <w:rsid w:val="D556ED8A"/>
    <w:rsid w:val="E6DEEDEF"/>
    <w:rsid w:val="F65D4E9A"/>
    <w:rsid w:val="F8FEE162"/>
    <w:rsid w:val="FEBF8EC9"/>
    <w:rsid w:val="FFDC38A8"/>
    <w:rsid w:val="FFF335C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qFormat="1" w:unhideWhenUsed="0" w:uiPriority="99"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iPriority="99"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0"/>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67"/>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52"/>
    <w:qFormat/>
    <w:uiPriority w:val="0"/>
    <w:pPr>
      <w:keepNext/>
      <w:keepLines/>
      <w:spacing w:line="600" w:lineRule="exact"/>
      <w:ind w:firstLine="643" w:firstLineChars="200"/>
      <w:outlineLvl w:val="2"/>
    </w:pPr>
    <w:rPr>
      <w:b/>
      <w:bCs/>
      <w:sz w:val="32"/>
      <w:szCs w:val="32"/>
    </w:rPr>
  </w:style>
  <w:style w:type="paragraph" w:styleId="5">
    <w:name w:val="heading 4"/>
    <w:basedOn w:val="1"/>
    <w:next w:val="1"/>
    <w:link w:val="53"/>
    <w:qFormat/>
    <w:uiPriority w:val="0"/>
    <w:pPr>
      <w:tabs>
        <w:tab w:val="left" w:pos="2155"/>
      </w:tabs>
      <w:adjustRightInd w:val="0"/>
      <w:spacing w:before="120" w:beforeLines="0" w:line="360" w:lineRule="auto"/>
      <w:ind w:left="2155" w:hanging="1078"/>
      <w:textAlignment w:val="baseline"/>
      <w:outlineLvl w:val="3"/>
    </w:pPr>
    <w:rPr>
      <w:rFonts w:ascii="Arial" w:eastAsia="黑体"/>
      <w:kern w:val="0"/>
      <w:sz w:val="28"/>
      <w:szCs w:val="20"/>
    </w:rPr>
  </w:style>
  <w:style w:type="paragraph" w:styleId="6">
    <w:name w:val="heading 5"/>
    <w:basedOn w:val="1"/>
    <w:next w:val="1"/>
    <w:link w:val="54"/>
    <w:qFormat/>
    <w:uiPriority w:val="0"/>
    <w:pPr>
      <w:keepNext/>
      <w:keepLines/>
      <w:spacing w:before="280" w:after="290" w:line="376" w:lineRule="auto"/>
      <w:outlineLvl w:val="4"/>
    </w:pPr>
    <w:rPr>
      <w:b/>
      <w:bCs/>
      <w:sz w:val="28"/>
      <w:szCs w:val="28"/>
    </w:rPr>
  </w:style>
  <w:style w:type="character" w:default="1" w:styleId="42">
    <w:name w:val="Default Paragraph Font"/>
    <w:semiHidden/>
    <w:qFormat/>
    <w:uiPriority w:val="0"/>
  </w:style>
  <w:style w:type="table" w:default="1" w:styleId="40">
    <w:name w:val="Normal Table"/>
    <w:semiHidden/>
    <w:qFormat/>
    <w:uiPriority w:val="0"/>
    <w:tblPr>
      <w:tblCellMar>
        <w:top w:w="0" w:type="dxa"/>
        <w:left w:w="108" w:type="dxa"/>
        <w:bottom w:w="0" w:type="dxa"/>
        <w:right w:w="108" w:type="dxa"/>
      </w:tblCellMar>
    </w:tblPr>
  </w:style>
  <w:style w:type="paragraph" w:styleId="7">
    <w:name w:val="toc 7"/>
    <w:basedOn w:val="1"/>
    <w:next w:val="1"/>
    <w:qFormat/>
    <w:uiPriority w:val="0"/>
    <w:pPr>
      <w:jc w:val="left"/>
    </w:pPr>
    <w:rPr>
      <w:rFonts w:ascii="Calibri" w:hAnsi="Calibri"/>
      <w:sz w:val="22"/>
      <w:szCs w:val="22"/>
    </w:rPr>
  </w:style>
  <w:style w:type="paragraph" w:styleId="8">
    <w:name w:val="index 8"/>
    <w:basedOn w:val="1"/>
    <w:next w:val="1"/>
    <w:semiHidden/>
    <w:qFormat/>
    <w:uiPriority w:val="99"/>
    <w:pPr>
      <w:adjustRightInd w:val="0"/>
      <w:spacing w:line="360" w:lineRule="atLeast"/>
      <w:ind w:left="2940"/>
      <w:textAlignment w:val="baseline"/>
    </w:pPr>
  </w:style>
  <w:style w:type="paragraph" w:styleId="9">
    <w:name w:val="Normal Indent"/>
    <w:basedOn w:val="1"/>
    <w:next w:val="10"/>
    <w:qFormat/>
    <w:uiPriority w:val="0"/>
    <w:pPr>
      <w:ind w:firstLine="420"/>
    </w:pPr>
    <w:rPr>
      <w:szCs w:val="20"/>
    </w:rPr>
  </w:style>
  <w:style w:type="paragraph" w:styleId="10">
    <w:name w:val="Body Text First Indent 2"/>
    <w:basedOn w:val="11"/>
    <w:next w:val="12"/>
    <w:qFormat/>
    <w:uiPriority w:val="0"/>
    <w:pPr>
      <w:spacing w:line="600" w:lineRule="exact"/>
      <w:ind w:firstLine="200" w:firstLineChars="200"/>
      <w:jc w:val="both"/>
    </w:pPr>
    <w:rPr>
      <w:rFonts w:ascii="Times New Roman" w:hAnsi="Times New Roman" w:eastAsia="仿宋_GB2312" w:cs="Times New Roman"/>
      <w:kern w:val="2"/>
      <w:sz w:val="32"/>
      <w:szCs w:val="21"/>
      <w:lang w:val="en-US" w:eastAsia="zh-CN" w:bidi="ar-SA"/>
    </w:rPr>
  </w:style>
  <w:style w:type="paragraph" w:styleId="11">
    <w:name w:val="Body Text Indent"/>
    <w:basedOn w:val="1"/>
    <w:next w:val="9"/>
    <w:link w:val="59"/>
    <w:qFormat/>
    <w:uiPriority w:val="0"/>
    <w:pPr>
      <w:spacing w:line="200" w:lineRule="exact"/>
      <w:ind w:firstLine="301"/>
    </w:pPr>
    <w:rPr>
      <w:rFonts w:ascii="宋体" w:hAnsi="Courier New"/>
      <w:spacing w:val="-4"/>
      <w:sz w:val="18"/>
      <w:szCs w:val="20"/>
    </w:rPr>
  </w:style>
  <w:style w:type="paragraph" w:styleId="12">
    <w:name w:val="Body Text First Indent"/>
    <w:basedOn w:val="13"/>
    <w:next w:val="9"/>
    <w:qFormat/>
    <w:uiPriority w:val="0"/>
    <w:pPr>
      <w:wordWrap w:val="0"/>
      <w:topLinePunct/>
      <w:spacing w:after="0" w:line="600" w:lineRule="exact"/>
      <w:ind w:firstLine="880" w:firstLineChars="200"/>
    </w:pPr>
  </w:style>
  <w:style w:type="paragraph" w:styleId="13">
    <w:name w:val="Body Text"/>
    <w:basedOn w:val="1"/>
    <w:next w:val="1"/>
    <w:link w:val="58"/>
    <w:qFormat/>
    <w:uiPriority w:val="0"/>
    <w:pPr>
      <w:spacing w:after="120"/>
    </w:pPr>
  </w:style>
  <w:style w:type="paragraph" w:styleId="14">
    <w:name w:val="caption"/>
    <w:basedOn w:val="1"/>
    <w:next w:val="1"/>
    <w:qFormat/>
    <w:uiPriority w:val="0"/>
    <w:pPr>
      <w:spacing w:before="152" w:after="160"/>
    </w:pPr>
    <w:rPr>
      <w:rFonts w:ascii="Arial" w:hAnsi="Arial" w:eastAsia="黑体" w:cs="Arial"/>
      <w:sz w:val="20"/>
      <w:szCs w:val="20"/>
    </w:rPr>
  </w:style>
  <w:style w:type="paragraph" w:styleId="15">
    <w:name w:val="Document Map"/>
    <w:basedOn w:val="1"/>
    <w:link w:val="55"/>
    <w:qFormat/>
    <w:uiPriority w:val="0"/>
    <w:rPr>
      <w:rFonts w:ascii="宋体"/>
      <w:sz w:val="18"/>
      <w:szCs w:val="18"/>
    </w:rPr>
  </w:style>
  <w:style w:type="paragraph" w:styleId="16">
    <w:name w:val="annotation text"/>
    <w:basedOn w:val="1"/>
    <w:link w:val="56"/>
    <w:qFormat/>
    <w:uiPriority w:val="0"/>
    <w:pPr>
      <w:jc w:val="left"/>
    </w:pPr>
  </w:style>
  <w:style w:type="paragraph" w:styleId="17">
    <w:name w:val="index 6"/>
    <w:basedOn w:val="1"/>
    <w:next w:val="1"/>
    <w:qFormat/>
    <w:uiPriority w:val="0"/>
    <w:pPr>
      <w:ind w:left="2100"/>
    </w:pPr>
    <w:rPr>
      <w:rFonts w:ascii="Times New Roman" w:hAnsi="Times New Roman"/>
    </w:rPr>
  </w:style>
  <w:style w:type="paragraph" w:styleId="18">
    <w:name w:val="Body Text 3"/>
    <w:basedOn w:val="1"/>
    <w:link w:val="57"/>
    <w:qFormat/>
    <w:uiPriority w:val="0"/>
    <w:pPr>
      <w:spacing w:after="120"/>
    </w:pPr>
    <w:rPr>
      <w:sz w:val="16"/>
      <w:szCs w:val="16"/>
    </w:rPr>
  </w:style>
  <w:style w:type="paragraph" w:styleId="19">
    <w:name w:val="Block Text"/>
    <w:basedOn w:val="1"/>
    <w:unhideWhenUsed/>
    <w:qFormat/>
    <w:uiPriority w:val="99"/>
    <w:pPr>
      <w:spacing w:after="120"/>
      <w:ind w:left="1440" w:leftChars="700" w:right="1440" w:rightChars="700"/>
    </w:pPr>
    <w:rPr>
      <w:rFonts w:ascii="Times New Roman" w:hAnsi="Times New Roman" w:eastAsia="宋体" w:cs="Times New Roman"/>
    </w:rPr>
  </w:style>
  <w:style w:type="paragraph" w:styleId="20">
    <w:name w:val="toc 5"/>
    <w:basedOn w:val="1"/>
    <w:next w:val="1"/>
    <w:qFormat/>
    <w:uiPriority w:val="0"/>
    <w:pPr>
      <w:jc w:val="left"/>
    </w:pPr>
    <w:rPr>
      <w:rFonts w:ascii="Calibri" w:hAnsi="Calibri"/>
      <w:sz w:val="22"/>
      <w:szCs w:val="22"/>
    </w:rPr>
  </w:style>
  <w:style w:type="paragraph" w:styleId="21">
    <w:name w:val="toc 3"/>
    <w:basedOn w:val="1"/>
    <w:next w:val="1"/>
    <w:qFormat/>
    <w:uiPriority w:val="0"/>
    <w:pPr>
      <w:jc w:val="left"/>
    </w:pPr>
    <w:rPr>
      <w:rFonts w:ascii="Calibri" w:hAnsi="Calibri"/>
      <w:smallCaps/>
      <w:sz w:val="22"/>
      <w:szCs w:val="22"/>
    </w:rPr>
  </w:style>
  <w:style w:type="paragraph" w:styleId="22">
    <w:name w:val="Plain Text"/>
    <w:basedOn w:val="1"/>
    <w:next w:val="1"/>
    <w:link w:val="60"/>
    <w:qFormat/>
    <w:uiPriority w:val="0"/>
    <w:rPr>
      <w:rFonts w:ascii="宋体" w:hAnsi="Courier New"/>
      <w:szCs w:val="20"/>
    </w:rPr>
  </w:style>
  <w:style w:type="paragraph" w:styleId="23">
    <w:name w:val="toc 8"/>
    <w:basedOn w:val="1"/>
    <w:next w:val="1"/>
    <w:qFormat/>
    <w:uiPriority w:val="0"/>
    <w:pPr>
      <w:jc w:val="left"/>
    </w:pPr>
    <w:rPr>
      <w:rFonts w:ascii="Calibri" w:hAnsi="Calibri"/>
      <w:sz w:val="22"/>
      <w:szCs w:val="22"/>
    </w:rPr>
  </w:style>
  <w:style w:type="paragraph" w:styleId="24">
    <w:name w:val="Date"/>
    <w:basedOn w:val="1"/>
    <w:next w:val="1"/>
    <w:link w:val="61"/>
    <w:qFormat/>
    <w:uiPriority w:val="0"/>
    <w:pPr>
      <w:ind w:left="100" w:leftChars="2500"/>
    </w:pPr>
  </w:style>
  <w:style w:type="paragraph" w:styleId="25">
    <w:name w:val="Body Text Indent 2"/>
    <w:basedOn w:val="1"/>
    <w:link w:val="62"/>
    <w:qFormat/>
    <w:uiPriority w:val="0"/>
    <w:pPr>
      <w:spacing w:after="120" w:afterLines="0" w:line="480" w:lineRule="auto"/>
      <w:ind w:left="420" w:leftChars="200"/>
    </w:pPr>
  </w:style>
  <w:style w:type="paragraph" w:styleId="26">
    <w:name w:val="Balloon Text"/>
    <w:basedOn w:val="1"/>
    <w:link w:val="63"/>
    <w:qFormat/>
    <w:uiPriority w:val="0"/>
    <w:rPr>
      <w:sz w:val="18"/>
      <w:szCs w:val="18"/>
    </w:rPr>
  </w:style>
  <w:style w:type="paragraph" w:styleId="27">
    <w:name w:val="footer"/>
    <w:basedOn w:val="1"/>
    <w:next w:val="1"/>
    <w:link w:val="64"/>
    <w:unhideWhenUsed/>
    <w:qFormat/>
    <w:uiPriority w:val="99"/>
    <w:pPr>
      <w:tabs>
        <w:tab w:val="center" w:pos="4153"/>
        <w:tab w:val="right" w:pos="8306"/>
      </w:tabs>
      <w:snapToGrid w:val="0"/>
      <w:jc w:val="left"/>
    </w:pPr>
    <w:rPr>
      <w:sz w:val="18"/>
      <w:szCs w:val="18"/>
    </w:rPr>
  </w:style>
  <w:style w:type="paragraph" w:styleId="28">
    <w:name w:val="header"/>
    <w:basedOn w:val="1"/>
    <w:link w:val="65"/>
    <w:qFormat/>
    <w:uiPriority w:val="0"/>
    <w:pPr>
      <w:pBdr>
        <w:bottom w:val="single" w:color="auto" w:sz="6" w:space="1"/>
      </w:pBdr>
      <w:tabs>
        <w:tab w:val="center" w:pos="4153"/>
        <w:tab w:val="right" w:pos="8306"/>
      </w:tabs>
      <w:snapToGrid w:val="0"/>
      <w:jc w:val="center"/>
    </w:pPr>
    <w:rPr>
      <w:sz w:val="18"/>
      <w:szCs w:val="18"/>
    </w:rPr>
  </w:style>
  <w:style w:type="paragraph" w:styleId="29">
    <w:name w:val="toc 1"/>
    <w:basedOn w:val="1"/>
    <w:next w:val="1"/>
    <w:qFormat/>
    <w:uiPriority w:val="0"/>
    <w:pPr>
      <w:spacing w:before="360" w:after="360"/>
      <w:jc w:val="left"/>
    </w:pPr>
    <w:rPr>
      <w:rFonts w:ascii="Calibri" w:hAnsi="Calibri"/>
      <w:b/>
      <w:bCs/>
      <w:caps/>
      <w:sz w:val="22"/>
      <w:szCs w:val="22"/>
      <w:u w:val="single"/>
    </w:rPr>
  </w:style>
  <w:style w:type="paragraph" w:styleId="30">
    <w:name w:val="toc 4"/>
    <w:basedOn w:val="1"/>
    <w:next w:val="1"/>
    <w:qFormat/>
    <w:uiPriority w:val="0"/>
    <w:pPr>
      <w:jc w:val="left"/>
    </w:pPr>
    <w:rPr>
      <w:rFonts w:ascii="Calibri" w:hAnsi="Calibri"/>
      <w:sz w:val="22"/>
      <w:szCs w:val="22"/>
    </w:rPr>
  </w:style>
  <w:style w:type="paragraph" w:styleId="31">
    <w:name w:val="List"/>
    <w:basedOn w:val="1"/>
    <w:qFormat/>
    <w:uiPriority w:val="0"/>
    <w:pPr>
      <w:ind w:left="200" w:hanging="200" w:hangingChars="200"/>
    </w:pPr>
    <w:rPr>
      <w:sz w:val="28"/>
    </w:rPr>
  </w:style>
  <w:style w:type="paragraph" w:styleId="32">
    <w:name w:val="footnote text"/>
    <w:basedOn w:val="1"/>
    <w:next w:val="13"/>
    <w:unhideWhenUsed/>
    <w:qFormat/>
    <w:uiPriority w:val="99"/>
    <w:pPr>
      <w:snapToGrid w:val="0"/>
      <w:jc w:val="left"/>
    </w:pPr>
    <w:rPr>
      <w:sz w:val="18"/>
      <w:szCs w:val="18"/>
    </w:rPr>
  </w:style>
  <w:style w:type="paragraph" w:styleId="33">
    <w:name w:val="toc 6"/>
    <w:basedOn w:val="1"/>
    <w:next w:val="1"/>
    <w:qFormat/>
    <w:uiPriority w:val="0"/>
    <w:pPr>
      <w:jc w:val="left"/>
    </w:pPr>
    <w:rPr>
      <w:rFonts w:ascii="Calibri" w:hAnsi="Calibri"/>
      <w:sz w:val="22"/>
      <w:szCs w:val="22"/>
    </w:rPr>
  </w:style>
  <w:style w:type="paragraph" w:styleId="34">
    <w:name w:val="toc 2"/>
    <w:basedOn w:val="1"/>
    <w:next w:val="1"/>
    <w:qFormat/>
    <w:uiPriority w:val="0"/>
    <w:pPr>
      <w:jc w:val="left"/>
    </w:pPr>
    <w:rPr>
      <w:rFonts w:ascii="Calibri" w:hAnsi="Calibri"/>
      <w:b/>
      <w:bCs/>
      <w:smallCaps/>
      <w:sz w:val="22"/>
      <w:szCs w:val="22"/>
    </w:rPr>
  </w:style>
  <w:style w:type="paragraph" w:styleId="35">
    <w:name w:val="toc 9"/>
    <w:basedOn w:val="1"/>
    <w:next w:val="1"/>
    <w:qFormat/>
    <w:uiPriority w:val="0"/>
    <w:pPr>
      <w:jc w:val="left"/>
    </w:pPr>
    <w:rPr>
      <w:rFonts w:ascii="Calibri" w:hAnsi="Calibri"/>
      <w:sz w:val="22"/>
      <w:szCs w:val="22"/>
    </w:rPr>
  </w:style>
  <w:style w:type="paragraph" w:styleId="3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37">
    <w:name w:val="index 1"/>
    <w:basedOn w:val="1"/>
    <w:next w:val="1"/>
    <w:semiHidden/>
    <w:qFormat/>
    <w:uiPriority w:val="0"/>
    <w:pPr>
      <w:spacing w:line="400" w:lineRule="exact"/>
      <w:ind w:firstLine="420" w:firstLineChars="200"/>
    </w:pPr>
    <w:rPr>
      <w:rFonts w:ascii="宋体" w:hAnsi="Courier New"/>
      <w:b/>
      <w:szCs w:val="20"/>
    </w:rPr>
  </w:style>
  <w:style w:type="paragraph" w:styleId="38">
    <w:name w:val="Title"/>
    <w:basedOn w:val="1"/>
    <w:next w:val="1"/>
    <w:qFormat/>
    <w:uiPriority w:val="0"/>
    <w:pPr>
      <w:widowControl w:val="0"/>
      <w:spacing w:before="240" w:after="60"/>
      <w:jc w:val="center"/>
      <w:outlineLvl w:val="0"/>
    </w:pPr>
    <w:rPr>
      <w:rFonts w:ascii="Arial" w:hAnsi="Arial" w:eastAsia="宋体" w:cs="Arial"/>
      <w:b/>
      <w:bCs/>
      <w:kern w:val="2"/>
      <w:sz w:val="32"/>
      <w:szCs w:val="32"/>
      <w:lang w:val="en-US" w:eastAsia="zh-CN" w:bidi="ar-SA"/>
    </w:rPr>
  </w:style>
  <w:style w:type="paragraph" w:styleId="39">
    <w:name w:val="annotation subject"/>
    <w:basedOn w:val="16"/>
    <w:next w:val="16"/>
    <w:link w:val="66"/>
    <w:qFormat/>
    <w:uiPriority w:val="0"/>
    <w:rPr>
      <w:b/>
      <w:bCs/>
    </w:rPr>
  </w:style>
  <w:style w:type="table" w:styleId="41">
    <w:name w:val="Table Grid"/>
    <w:basedOn w:val="4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3">
    <w:name w:val="page number"/>
    <w:qFormat/>
    <w:uiPriority w:val="0"/>
  </w:style>
  <w:style w:type="character" w:styleId="44">
    <w:name w:val="FollowedHyperlink"/>
    <w:qFormat/>
    <w:uiPriority w:val="0"/>
    <w:rPr>
      <w:color w:val="800080"/>
      <w:u w:val="single"/>
    </w:rPr>
  </w:style>
  <w:style w:type="character" w:styleId="45">
    <w:name w:val="Hyperlink"/>
    <w:qFormat/>
    <w:uiPriority w:val="0"/>
    <w:rPr>
      <w:color w:val="0000FF"/>
      <w:u w:val="single"/>
    </w:rPr>
  </w:style>
  <w:style w:type="character" w:styleId="46">
    <w:name w:val="annotation reference"/>
    <w:qFormat/>
    <w:uiPriority w:val="0"/>
    <w:rPr>
      <w:sz w:val="21"/>
      <w:szCs w:val="21"/>
    </w:rPr>
  </w:style>
  <w:style w:type="paragraph" w:customStyle="1" w:styleId="47">
    <w:name w:val="Default"/>
    <w:basedOn w:val="38"/>
    <w:qFormat/>
    <w:uiPriority w:val="0"/>
    <w:pPr>
      <w:widowControl w:val="0"/>
      <w:autoSpaceDE w:val="0"/>
      <w:autoSpaceDN w:val="0"/>
      <w:adjustRightInd w:val="0"/>
    </w:pPr>
    <w:rPr>
      <w:rFonts w:hint="eastAsia" w:ascii="方正仿宋_GBK" w:hAnsi="方正仿宋_GBK" w:eastAsia="方正仿宋_GBK"/>
      <w:color w:val="000000"/>
      <w:sz w:val="24"/>
      <w:lang w:val="en-US" w:eastAsia="zh-CN" w:bidi="ar-SA"/>
    </w:rPr>
  </w:style>
  <w:style w:type="paragraph" w:customStyle="1" w:styleId="48">
    <w:name w:val="BodyText1I2"/>
    <w:basedOn w:val="49"/>
    <w:qFormat/>
    <w:uiPriority w:val="0"/>
    <w:pPr>
      <w:ind w:firstLine="420"/>
    </w:pPr>
  </w:style>
  <w:style w:type="paragraph" w:customStyle="1" w:styleId="49">
    <w:name w:val="BodyTextIndent"/>
    <w:basedOn w:val="1"/>
    <w:qFormat/>
    <w:uiPriority w:val="0"/>
    <w:pPr>
      <w:spacing w:after="120"/>
      <w:ind w:left="420" w:leftChars="200"/>
      <w:textAlignment w:val="baseline"/>
    </w:pPr>
  </w:style>
  <w:style w:type="character" w:customStyle="1" w:styleId="50">
    <w:name w:val="标题 1 字符1"/>
    <w:link w:val="2"/>
    <w:qFormat/>
    <w:uiPriority w:val="0"/>
    <w:rPr>
      <w:b/>
      <w:bCs/>
      <w:kern w:val="44"/>
      <w:sz w:val="44"/>
      <w:szCs w:val="44"/>
    </w:rPr>
  </w:style>
  <w:style w:type="character" w:customStyle="1" w:styleId="51">
    <w:name w:val="标题 2 字符1"/>
    <w:link w:val="3"/>
    <w:qFormat/>
    <w:uiPriority w:val="0"/>
    <w:rPr>
      <w:rFonts w:ascii="Arial" w:hAnsi="Arial" w:eastAsia="黑体"/>
      <w:b/>
      <w:bCs/>
      <w:kern w:val="2"/>
      <w:sz w:val="32"/>
      <w:szCs w:val="32"/>
    </w:rPr>
  </w:style>
  <w:style w:type="character" w:customStyle="1" w:styleId="52">
    <w:name w:val="标题 3 字符1"/>
    <w:link w:val="4"/>
    <w:qFormat/>
    <w:uiPriority w:val="0"/>
    <w:rPr>
      <w:b/>
      <w:bCs/>
      <w:kern w:val="2"/>
      <w:sz w:val="32"/>
      <w:szCs w:val="32"/>
    </w:rPr>
  </w:style>
  <w:style w:type="character" w:customStyle="1" w:styleId="53">
    <w:name w:val="标题 4 字符1"/>
    <w:link w:val="5"/>
    <w:qFormat/>
    <w:uiPriority w:val="0"/>
    <w:rPr>
      <w:rFonts w:ascii="Arial" w:eastAsia="黑体"/>
      <w:sz w:val="28"/>
    </w:rPr>
  </w:style>
  <w:style w:type="character" w:customStyle="1" w:styleId="54">
    <w:name w:val="标题 5 字符1"/>
    <w:link w:val="6"/>
    <w:qFormat/>
    <w:uiPriority w:val="9"/>
    <w:rPr>
      <w:b/>
      <w:bCs/>
      <w:kern w:val="2"/>
      <w:sz w:val="28"/>
      <w:szCs w:val="28"/>
    </w:rPr>
  </w:style>
  <w:style w:type="character" w:customStyle="1" w:styleId="55">
    <w:name w:val="文档结构图 字符1"/>
    <w:link w:val="15"/>
    <w:qFormat/>
    <w:uiPriority w:val="0"/>
    <w:rPr>
      <w:rFonts w:ascii="宋体"/>
      <w:kern w:val="2"/>
      <w:sz w:val="18"/>
      <w:szCs w:val="18"/>
    </w:rPr>
  </w:style>
  <w:style w:type="character" w:customStyle="1" w:styleId="56">
    <w:name w:val="批注文字 字符2"/>
    <w:link w:val="16"/>
    <w:qFormat/>
    <w:uiPriority w:val="0"/>
    <w:rPr>
      <w:kern w:val="2"/>
      <w:sz w:val="21"/>
      <w:szCs w:val="24"/>
    </w:rPr>
  </w:style>
  <w:style w:type="character" w:customStyle="1" w:styleId="57">
    <w:name w:val="正文文本 3 字符1"/>
    <w:link w:val="18"/>
    <w:qFormat/>
    <w:uiPriority w:val="99"/>
    <w:rPr>
      <w:kern w:val="2"/>
      <w:sz w:val="16"/>
      <w:szCs w:val="16"/>
    </w:rPr>
  </w:style>
  <w:style w:type="character" w:customStyle="1" w:styleId="58">
    <w:name w:val="正文文本 字符1"/>
    <w:link w:val="13"/>
    <w:qFormat/>
    <w:uiPriority w:val="99"/>
    <w:rPr>
      <w:kern w:val="2"/>
      <w:sz w:val="21"/>
      <w:szCs w:val="24"/>
    </w:rPr>
  </w:style>
  <w:style w:type="character" w:customStyle="1" w:styleId="59">
    <w:name w:val="正文文本缩进 字符1"/>
    <w:link w:val="11"/>
    <w:qFormat/>
    <w:uiPriority w:val="0"/>
    <w:rPr>
      <w:rFonts w:ascii="宋体" w:hAnsi="Courier New" w:eastAsia="宋体"/>
      <w:spacing w:val="-4"/>
      <w:kern w:val="2"/>
      <w:sz w:val="18"/>
      <w:lang w:val="en-US" w:eastAsia="zh-CN" w:bidi="ar-SA"/>
    </w:rPr>
  </w:style>
  <w:style w:type="character" w:customStyle="1" w:styleId="60">
    <w:name w:val="纯文本 字符3"/>
    <w:link w:val="22"/>
    <w:qFormat/>
    <w:uiPriority w:val="0"/>
    <w:rPr>
      <w:rFonts w:ascii="宋体" w:hAnsi="Courier New" w:eastAsia="宋体"/>
      <w:kern w:val="2"/>
      <w:sz w:val="21"/>
      <w:lang w:val="en-US" w:eastAsia="zh-CN" w:bidi="ar-SA"/>
    </w:rPr>
  </w:style>
  <w:style w:type="character" w:customStyle="1" w:styleId="61">
    <w:name w:val="日期 字符1"/>
    <w:link w:val="24"/>
    <w:qFormat/>
    <w:uiPriority w:val="0"/>
    <w:rPr>
      <w:kern w:val="2"/>
      <w:sz w:val="21"/>
      <w:szCs w:val="24"/>
    </w:rPr>
  </w:style>
  <w:style w:type="character" w:customStyle="1" w:styleId="62">
    <w:name w:val="正文文本缩进 2 字符1"/>
    <w:link w:val="25"/>
    <w:qFormat/>
    <w:uiPriority w:val="0"/>
    <w:rPr>
      <w:kern w:val="2"/>
      <w:sz w:val="21"/>
      <w:szCs w:val="24"/>
    </w:rPr>
  </w:style>
  <w:style w:type="character" w:customStyle="1" w:styleId="63">
    <w:name w:val="批注框文本 字符1"/>
    <w:link w:val="26"/>
    <w:qFormat/>
    <w:uiPriority w:val="0"/>
    <w:rPr>
      <w:kern w:val="2"/>
      <w:sz w:val="18"/>
      <w:szCs w:val="18"/>
    </w:rPr>
  </w:style>
  <w:style w:type="character" w:customStyle="1" w:styleId="64">
    <w:name w:val="页脚 字符2"/>
    <w:link w:val="27"/>
    <w:qFormat/>
    <w:uiPriority w:val="99"/>
    <w:rPr>
      <w:kern w:val="2"/>
      <w:sz w:val="18"/>
      <w:szCs w:val="18"/>
    </w:rPr>
  </w:style>
  <w:style w:type="character" w:customStyle="1" w:styleId="65">
    <w:name w:val="页眉 字符2"/>
    <w:link w:val="28"/>
    <w:qFormat/>
    <w:uiPriority w:val="99"/>
    <w:rPr>
      <w:kern w:val="2"/>
      <w:sz w:val="18"/>
      <w:szCs w:val="18"/>
    </w:rPr>
  </w:style>
  <w:style w:type="character" w:customStyle="1" w:styleId="66">
    <w:name w:val="批注主题 字符1"/>
    <w:link w:val="39"/>
    <w:qFormat/>
    <w:uiPriority w:val="99"/>
    <w:rPr>
      <w:b/>
      <w:bCs/>
      <w:kern w:val="2"/>
      <w:sz w:val="21"/>
      <w:szCs w:val="24"/>
    </w:rPr>
  </w:style>
  <w:style w:type="character" w:customStyle="1" w:styleId="67">
    <w:name w:val="标题 2 字符2"/>
    <w:link w:val="3"/>
    <w:qFormat/>
    <w:uiPriority w:val="0"/>
    <w:rPr>
      <w:rFonts w:ascii="Arial" w:hAnsi="Arial" w:eastAsia="黑体" w:cs="Times New Roman"/>
      <w:b/>
      <w:bCs/>
      <w:sz w:val="32"/>
      <w:szCs w:val="32"/>
    </w:rPr>
  </w:style>
  <w:style w:type="character" w:customStyle="1" w:styleId="68">
    <w:name w:val="页眉 字符"/>
    <w:qFormat/>
    <w:uiPriority w:val="99"/>
    <w:rPr>
      <w:rFonts w:ascii="Times New Roman" w:hAnsi="Times New Roman"/>
      <w:kern w:val="2"/>
      <w:sz w:val="18"/>
      <w:szCs w:val="18"/>
    </w:rPr>
  </w:style>
  <w:style w:type="character" w:customStyle="1" w:styleId="69">
    <w:name w:val="Char Char1"/>
    <w:qFormat/>
    <w:uiPriority w:val="0"/>
    <w:rPr>
      <w:rFonts w:ascii="宋体" w:hAnsi="Courier New" w:eastAsia="宋体"/>
      <w:kern w:val="2"/>
      <w:sz w:val="21"/>
      <w:lang w:val="en-US" w:eastAsia="zh-CN" w:bidi="ar-SA"/>
    </w:rPr>
  </w:style>
  <w:style w:type="character" w:customStyle="1" w:styleId="70">
    <w:name w:val="纯文本 字符2"/>
    <w:qFormat/>
    <w:uiPriority w:val="0"/>
    <w:rPr>
      <w:rFonts w:ascii="宋体" w:hAnsi="Courier New" w:eastAsia="宋体" w:cs="Courier New"/>
      <w:szCs w:val="21"/>
    </w:rPr>
  </w:style>
  <w:style w:type="character" w:customStyle="1" w:styleId="71">
    <w:name w:val="正文文本_"/>
    <w:link w:val="72"/>
    <w:qFormat/>
    <w:uiPriority w:val="0"/>
    <w:rPr>
      <w:rFonts w:ascii="MingLiU" w:hAnsi="MingLiU" w:eastAsia="MingLiU" w:cs="MingLiU"/>
      <w:spacing w:val="9"/>
      <w:sz w:val="19"/>
      <w:szCs w:val="19"/>
      <w:shd w:val="clear" w:color="auto" w:fill="FFFFFF"/>
    </w:rPr>
  </w:style>
  <w:style w:type="paragraph" w:customStyle="1" w:styleId="72">
    <w:name w:val="正文文本1"/>
    <w:basedOn w:val="1"/>
    <w:link w:val="71"/>
    <w:qFormat/>
    <w:uiPriority w:val="0"/>
    <w:pPr>
      <w:shd w:val="clear" w:color="auto" w:fill="FFFFFF"/>
      <w:spacing w:line="302" w:lineRule="exact"/>
      <w:ind w:firstLine="460"/>
      <w:jc w:val="left"/>
    </w:pPr>
    <w:rPr>
      <w:rFonts w:ascii="MingLiU" w:hAnsi="MingLiU" w:eastAsia="MingLiU"/>
      <w:spacing w:val="9"/>
      <w:kern w:val="0"/>
      <w:sz w:val="19"/>
      <w:szCs w:val="19"/>
    </w:rPr>
  </w:style>
  <w:style w:type="character" w:customStyle="1" w:styleId="73">
    <w:name w:val="纯文本 Char1"/>
    <w:link w:val="74"/>
    <w:qFormat/>
    <w:uiPriority w:val="0"/>
    <w:rPr>
      <w:rFonts w:ascii="宋体" w:hAnsi="Courier New" w:eastAsia="宋体"/>
      <w:kern w:val="2"/>
      <w:sz w:val="21"/>
      <w:lang w:val="en-US" w:eastAsia="zh-CN" w:bidi="ar-SA"/>
    </w:rPr>
  </w:style>
  <w:style w:type="paragraph" w:customStyle="1" w:styleId="74">
    <w:name w:val="纯文本1"/>
    <w:basedOn w:val="1"/>
    <w:link w:val="73"/>
    <w:qFormat/>
    <w:uiPriority w:val="0"/>
    <w:rPr>
      <w:rFonts w:ascii="宋体" w:hAnsi="Courier New"/>
      <w:szCs w:val="20"/>
    </w:rPr>
  </w:style>
  <w:style w:type="character" w:customStyle="1" w:styleId="75">
    <w:name w:val="正文文本 + 10 pt"/>
    <w:qFormat/>
    <w:uiPriority w:val="0"/>
    <w:rPr>
      <w:rFonts w:ascii="MingLiU" w:hAnsi="MingLiU" w:eastAsia="MingLiU" w:cs="MingLiU"/>
      <w:color w:val="000000"/>
      <w:spacing w:val="8"/>
      <w:w w:val="100"/>
      <w:position w:val="0"/>
      <w:sz w:val="20"/>
      <w:szCs w:val="20"/>
      <w:shd w:val="clear" w:color="auto" w:fill="FFFFFF"/>
      <w:lang w:val="zh-TW"/>
    </w:rPr>
  </w:style>
  <w:style w:type="character" w:customStyle="1" w:styleId="76">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77">
    <w:name w:val="页脚 字符"/>
    <w:qFormat/>
    <w:uiPriority w:val="99"/>
    <w:rPr>
      <w:sz w:val="18"/>
      <w:szCs w:val="18"/>
    </w:rPr>
  </w:style>
  <w:style w:type="character" w:customStyle="1" w:styleId="78">
    <w:name w:val="批注文字 字符1"/>
    <w:qFormat/>
    <w:uiPriority w:val="0"/>
    <w:rPr>
      <w:rFonts w:ascii="Times New Roman" w:hAnsi="Times New Roman"/>
      <w:kern w:val="2"/>
      <w:sz w:val="21"/>
      <w:szCs w:val="24"/>
    </w:rPr>
  </w:style>
  <w:style w:type="character" w:customStyle="1" w:styleId="79">
    <w:name w:val="正文2 Char Char"/>
    <w:link w:val="80"/>
    <w:qFormat/>
    <w:uiPriority w:val="0"/>
    <w:rPr>
      <w:kern w:val="2"/>
      <w:sz w:val="24"/>
    </w:rPr>
  </w:style>
  <w:style w:type="paragraph" w:customStyle="1" w:styleId="80">
    <w:name w:val="正文2"/>
    <w:basedOn w:val="1"/>
    <w:link w:val="79"/>
    <w:qFormat/>
    <w:uiPriority w:val="0"/>
    <w:pPr>
      <w:adjustRightInd w:val="0"/>
      <w:spacing w:before="156" w:line="360" w:lineRule="auto"/>
      <w:ind w:firstLine="510" w:firstLineChars="200"/>
    </w:pPr>
    <w:rPr>
      <w:sz w:val="24"/>
      <w:szCs w:val="20"/>
    </w:rPr>
  </w:style>
  <w:style w:type="character" w:customStyle="1" w:styleId="81">
    <w:name w:val="纯文本 Char_0"/>
    <w:link w:val="82"/>
    <w:qFormat/>
    <w:uiPriority w:val="0"/>
    <w:rPr>
      <w:rFonts w:ascii="宋体" w:hAnsi="Courier New"/>
      <w:kern w:val="2"/>
      <w:sz w:val="21"/>
      <w:szCs w:val="21"/>
    </w:rPr>
  </w:style>
  <w:style w:type="paragraph" w:customStyle="1" w:styleId="82">
    <w:name w:val="纯文本_0_0"/>
    <w:basedOn w:val="1"/>
    <w:link w:val="81"/>
    <w:qFormat/>
    <w:uiPriority w:val="0"/>
    <w:rPr>
      <w:rFonts w:ascii="宋体" w:hAnsi="Courier New"/>
      <w:szCs w:val="21"/>
    </w:rPr>
  </w:style>
  <w:style w:type="character" w:customStyle="1" w:styleId="83">
    <w:name w:val="批注文字 Char1"/>
    <w:qFormat/>
    <w:uiPriority w:val="0"/>
    <w:rPr>
      <w:rFonts w:ascii="Times New Roman" w:hAnsi="Times New Roman"/>
      <w:kern w:val="2"/>
      <w:sz w:val="21"/>
      <w:szCs w:val="24"/>
    </w:rPr>
  </w:style>
  <w:style w:type="paragraph" w:styleId="84">
    <w:name w:val="List Paragraph"/>
    <w:basedOn w:val="1"/>
    <w:qFormat/>
    <w:uiPriority w:val="34"/>
    <w:pPr>
      <w:ind w:firstLine="420" w:firstLineChars="200"/>
    </w:pPr>
  </w:style>
  <w:style w:type="paragraph" w:customStyle="1" w:styleId="85">
    <w:name w:val="Char Char Char1 Char Char Char Char Char Char Char"/>
    <w:basedOn w:val="1"/>
    <w:qFormat/>
    <w:uiPriority w:val="0"/>
  </w:style>
  <w:style w:type="paragraph" w:customStyle="1" w:styleId="86">
    <w:name w:val="Char Char Char"/>
    <w:basedOn w:val="1"/>
    <w:qFormat/>
    <w:uiPriority w:val="0"/>
    <w:rPr>
      <w:szCs w:val="20"/>
    </w:rPr>
  </w:style>
  <w:style w:type="paragraph" w:customStyle="1" w:styleId="87">
    <w:name w:val=" Char Char Char Char Char Char Char Char Char Char Char Char"/>
    <w:basedOn w:val="1"/>
    <w:qFormat/>
    <w:uiPriority w:val="0"/>
    <w:pPr>
      <w:widowControl/>
      <w:spacing w:after="160" w:afterLines="0" w:line="240" w:lineRule="exact"/>
      <w:jc w:val="left"/>
    </w:pPr>
  </w:style>
  <w:style w:type="paragraph" w:customStyle="1" w:styleId="88">
    <w:name w:val="列出段落1"/>
    <w:basedOn w:val="1"/>
    <w:qFormat/>
    <w:uiPriority w:val="34"/>
    <w:pPr>
      <w:spacing w:before="100" w:beforeAutospacing="1" w:after="100" w:afterAutospacing="1" w:line="360" w:lineRule="auto"/>
      <w:ind w:firstLine="420" w:firstLineChars="200"/>
    </w:pPr>
  </w:style>
  <w:style w:type="paragraph" w:customStyle="1" w:styleId="89">
    <w:name w:val="_Style 85"/>
    <w:basedOn w:val="2"/>
    <w:next w:val="1"/>
    <w:qFormat/>
    <w:uiPriority w:val="39"/>
    <w:pPr>
      <w:widowControl/>
      <w:spacing w:before="480" w:after="0" w:line="276" w:lineRule="auto"/>
      <w:jc w:val="left"/>
      <w:outlineLvl w:val="9"/>
    </w:pPr>
    <w:rPr>
      <w:rFonts w:ascii="Cambria" w:hAnsi="Cambria" w:eastAsia="宋体" w:cs="Times New Roman"/>
      <w:color w:val="365F91"/>
      <w:kern w:val="0"/>
      <w:sz w:val="28"/>
      <w:szCs w:val="28"/>
      <w:lang w:val="en-US" w:eastAsia="zh-CN"/>
    </w:rPr>
  </w:style>
  <w:style w:type="paragraph" w:customStyle="1" w:styleId="90">
    <w:name w:val="样式 标题 2 + 非加粗 首行缩进:  2 字符"/>
    <w:basedOn w:val="3"/>
    <w:qFormat/>
    <w:uiPriority w:val="0"/>
    <w:pPr>
      <w:spacing w:before="0" w:beforeLines="0" w:after="0" w:afterLines="0" w:line="600" w:lineRule="exact"/>
      <w:ind w:firstLine="640" w:firstLineChars="200"/>
      <w:jc w:val="left"/>
    </w:pPr>
    <w:rPr>
      <w:rFonts w:cs="宋体"/>
      <w:b w:val="0"/>
      <w:bCs w:val="0"/>
      <w:szCs w:val="20"/>
    </w:rPr>
  </w:style>
  <w:style w:type="paragraph" w:customStyle="1" w:styleId="91">
    <w:name w:val="Table Paragraph"/>
    <w:basedOn w:val="1"/>
    <w:qFormat/>
    <w:uiPriority w:val="1"/>
    <w:pPr>
      <w:jc w:val="left"/>
    </w:pPr>
    <w:rPr>
      <w:rFonts w:ascii="Calibri" w:hAnsi="Calibri"/>
      <w:kern w:val="0"/>
      <w:sz w:val="22"/>
      <w:szCs w:val="22"/>
      <w:lang w:eastAsia="en-US"/>
    </w:rPr>
  </w:style>
  <w:style w:type="paragraph" w:customStyle="1" w:styleId="92">
    <w:name w:val=" Char"/>
    <w:basedOn w:val="1"/>
    <w:qFormat/>
    <w:uiPriority w:val="0"/>
    <w:rPr>
      <w:szCs w:val="21"/>
    </w:rPr>
  </w:style>
  <w:style w:type="paragraph" w:customStyle="1" w:styleId="93">
    <w:name w:val="Char Char Char Char Char Char Char"/>
    <w:basedOn w:val="1"/>
    <w:qFormat/>
    <w:uiPriority w:val="0"/>
  </w:style>
  <w:style w:type="paragraph" w:customStyle="1" w:styleId="94">
    <w:name w:val=" Char Char Char Char Char Char Char"/>
    <w:basedOn w:val="1"/>
    <w:qFormat/>
    <w:uiPriority w:val="0"/>
  </w:style>
  <w:style w:type="paragraph" w:customStyle="1" w:styleId="95">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96">
    <w:name w:val="Char Char Char Char Char Char Char Char Char Char Char Char"/>
    <w:basedOn w:val="1"/>
    <w:qFormat/>
    <w:uiPriority w:val="0"/>
    <w:pPr>
      <w:widowControl/>
      <w:spacing w:after="160" w:afterLines="0" w:line="240" w:lineRule="exact"/>
      <w:jc w:val="left"/>
    </w:pPr>
  </w:style>
  <w:style w:type="paragraph" w:customStyle="1" w:styleId="97">
    <w:name w:val="表格文字"/>
    <w:basedOn w:val="11"/>
    <w:next w:val="13"/>
    <w:qFormat/>
    <w:uiPriority w:val="0"/>
    <w:pPr>
      <w:adjustRightInd w:val="0"/>
      <w:spacing w:line="420" w:lineRule="atLeast"/>
      <w:jc w:val="left"/>
      <w:textAlignment w:val="baseline"/>
    </w:pPr>
    <w:rPr>
      <w:kern w:val="0"/>
    </w:rPr>
  </w:style>
  <w:style w:type="paragraph" w:customStyle="1" w:styleId="98">
    <w:name w:val="_Style 94"/>
    <w:qFormat/>
    <w:uiPriority w:val="0"/>
    <w:rPr>
      <w:rFonts w:ascii="Times New Roman" w:hAnsi="Times New Roman" w:eastAsia="宋体" w:cs="Times New Roman"/>
      <w:kern w:val="2"/>
      <w:sz w:val="21"/>
      <w:szCs w:val="24"/>
      <w:lang w:val="en-US" w:eastAsia="zh-CN" w:bidi="ar-SA"/>
    </w:rPr>
  </w:style>
  <w:style w:type="paragraph" w:customStyle="1" w:styleId="99">
    <w:name w:val="正文段"/>
    <w:basedOn w:val="1"/>
    <w:qFormat/>
    <w:uiPriority w:val="0"/>
    <w:pPr>
      <w:widowControl/>
      <w:snapToGrid w:val="0"/>
      <w:spacing w:after="156" w:afterLines="50"/>
      <w:ind w:firstLine="200" w:firstLineChars="200"/>
    </w:pPr>
    <w:rPr>
      <w:kern w:val="0"/>
      <w:sz w:val="24"/>
      <w:szCs w:val="20"/>
    </w:rPr>
  </w:style>
  <w:style w:type="paragraph" w:customStyle="1" w:styleId="100">
    <w:name w:val="Char Char Char Char"/>
    <w:basedOn w:val="1"/>
    <w:qFormat/>
    <w:uiPriority w:val="0"/>
    <w:pPr>
      <w:widowControl/>
      <w:spacing w:after="160" w:afterLines="0" w:line="240" w:lineRule="exact"/>
      <w:jc w:val="left"/>
    </w:pPr>
  </w:style>
  <w:style w:type="paragraph" w:customStyle="1" w:styleId="101">
    <w:name w:val="Char"/>
    <w:basedOn w:val="1"/>
    <w:qFormat/>
    <w:uiPriority w:val="0"/>
  </w:style>
  <w:style w:type="paragraph" w:customStyle="1" w:styleId="102">
    <w:name w:val=" Char Char Char Char"/>
    <w:basedOn w:val="1"/>
    <w:qFormat/>
    <w:uiPriority w:val="0"/>
    <w:pPr>
      <w:widowControl/>
      <w:spacing w:after="160" w:afterLines="0" w:line="240" w:lineRule="exact"/>
      <w:jc w:val="left"/>
    </w:pPr>
  </w:style>
  <w:style w:type="paragraph" w:customStyle="1" w:styleId="103">
    <w:name w:val="样式 标题 1 + 居中 段前: 0 磅 段后: 0 磅 行距: 固定值 30 磅"/>
    <w:basedOn w:val="2"/>
    <w:qFormat/>
    <w:uiPriority w:val="0"/>
    <w:pPr>
      <w:spacing w:before="0" w:beforeLines="0" w:after="0" w:afterLines="0" w:line="600" w:lineRule="exact"/>
      <w:jc w:val="center"/>
    </w:pPr>
    <w:rPr>
      <w:rFonts w:cs="宋体"/>
      <w:szCs w:val="20"/>
    </w:rPr>
  </w:style>
  <w:style w:type="paragraph" w:customStyle="1" w:styleId="104">
    <w:name w:val="正文缩进1"/>
    <w:basedOn w:val="1"/>
    <w:next w:val="11"/>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105">
    <w:name w:val="p0"/>
    <w:basedOn w:val="1"/>
    <w:qFormat/>
    <w:uiPriority w:val="0"/>
    <w:pPr>
      <w:widowControl/>
    </w:pPr>
    <w:rPr>
      <w:kern w:val="0"/>
      <w:szCs w:val="21"/>
    </w:rPr>
  </w:style>
  <w:style w:type="paragraph" w:customStyle="1" w:styleId="106">
    <w:name w:val="默认段落字体 Para Char Char Char Char Char Char Char Char Char1 Char Char Char Char"/>
    <w:basedOn w:val="1"/>
    <w:qFormat/>
    <w:uiPriority w:val="0"/>
    <w:rPr>
      <w:rFonts w:ascii="Tahoma" w:hAnsi="Tahoma"/>
      <w:sz w:val="24"/>
      <w:szCs w:val="20"/>
    </w:rPr>
  </w:style>
  <w:style w:type="character" w:customStyle="1" w:styleId="107">
    <w:name w:val="正文文本 字符"/>
    <w:qFormat/>
    <w:uiPriority w:val="99"/>
    <w:rPr>
      <w:kern w:val="2"/>
      <w:sz w:val="21"/>
      <w:szCs w:val="24"/>
    </w:rPr>
  </w:style>
  <w:style w:type="character" w:customStyle="1" w:styleId="108">
    <w:name w:val="纯文本 字符"/>
    <w:qFormat/>
    <w:uiPriority w:val="0"/>
    <w:rPr>
      <w:rFonts w:ascii="宋体" w:hAnsi="Courier New"/>
      <w:kern w:val="2"/>
      <w:sz w:val="21"/>
    </w:rPr>
  </w:style>
  <w:style w:type="character" w:customStyle="1" w:styleId="109">
    <w:name w:val="标题 1 字符"/>
    <w:qFormat/>
    <w:uiPriority w:val="0"/>
    <w:rPr>
      <w:b/>
      <w:bCs/>
      <w:kern w:val="44"/>
      <w:sz w:val="44"/>
      <w:szCs w:val="44"/>
    </w:rPr>
  </w:style>
  <w:style w:type="character" w:customStyle="1" w:styleId="110">
    <w:name w:val="标题 2 字符"/>
    <w:qFormat/>
    <w:uiPriority w:val="0"/>
    <w:rPr>
      <w:rFonts w:ascii="Arial" w:hAnsi="Arial" w:eastAsia="黑体"/>
      <w:b/>
      <w:bCs/>
      <w:kern w:val="2"/>
      <w:sz w:val="32"/>
      <w:szCs w:val="32"/>
    </w:rPr>
  </w:style>
  <w:style w:type="character" w:customStyle="1" w:styleId="111">
    <w:name w:val="标题 3 字符"/>
    <w:qFormat/>
    <w:uiPriority w:val="0"/>
    <w:rPr>
      <w:b/>
      <w:bCs/>
      <w:kern w:val="2"/>
      <w:sz w:val="32"/>
      <w:szCs w:val="32"/>
    </w:rPr>
  </w:style>
  <w:style w:type="character" w:customStyle="1" w:styleId="112">
    <w:name w:val="标题 4 字符"/>
    <w:qFormat/>
    <w:uiPriority w:val="0"/>
    <w:rPr>
      <w:rFonts w:ascii="Arial" w:eastAsia="黑体"/>
      <w:sz w:val="28"/>
    </w:rPr>
  </w:style>
  <w:style w:type="character" w:customStyle="1" w:styleId="113">
    <w:name w:val="标题 5 字符"/>
    <w:qFormat/>
    <w:uiPriority w:val="9"/>
    <w:rPr>
      <w:b/>
      <w:bCs/>
      <w:kern w:val="2"/>
      <w:sz w:val="28"/>
      <w:szCs w:val="28"/>
    </w:rPr>
  </w:style>
  <w:style w:type="character" w:customStyle="1" w:styleId="114">
    <w:name w:val="文档结构图 字符"/>
    <w:qFormat/>
    <w:uiPriority w:val="0"/>
    <w:rPr>
      <w:rFonts w:ascii="宋体"/>
      <w:kern w:val="2"/>
      <w:sz w:val="18"/>
      <w:szCs w:val="18"/>
    </w:rPr>
  </w:style>
  <w:style w:type="character" w:customStyle="1" w:styleId="115">
    <w:name w:val="批注文字 字符"/>
    <w:qFormat/>
    <w:uiPriority w:val="0"/>
    <w:rPr>
      <w:kern w:val="2"/>
      <w:sz w:val="21"/>
      <w:szCs w:val="24"/>
    </w:rPr>
  </w:style>
  <w:style w:type="character" w:customStyle="1" w:styleId="116">
    <w:name w:val="正文文本 3 字符"/>
    <w:qFormat/>
    <w:uiPriority w:val="99"/>
    <w:rPr>
      <w:kern w:val="2"/>
      <w:sz w:val="16"/>
      <w:szCs w:val="16"/>
    </w:rPr>
  </w:style>
  <w:style w:type="character" w:customStyle="1" w:styleId="117">
    <w:name w:val="正文文本缩进 字符"/>
    <w:qFormat/>
    <w:uiPriority w:val="0"/>
    <w:rPr>
      <w:rFonts w:ascii="宋体" w:hAnsi="Courier New"/>
      <w:spacing w:val="-4"/>
      <w:kern w:val="2"/>
      <w:sz w:val="18"/>
    </w:rPr>
  </w:style>
  <w:style w:type="character" w:customStyle="1" w:styleId="118">
    <w:name w:val="日期 字符"/>
    <w:qFormat/>
    <w:uiPriority w:val="0"/>
    <w:rPr>
      <w:kern w:val="2"/>
      <w:sz w:val="21"/>
      <w:szCs w:val="24"/>
    </w:rPr>
  </w:style>
  <w:style w:type="character" w:customStyle="1" w:styleId="119">
    <w:name w:val="正文文本缩进 2 字符"/>
    <w:qFormat/>
    <w:uiPriority w:val="0"/>
    <w:rPr>
      <w:kern w:val="2"/>
      <w:sz w:val="21"/>
      <w:szCs w:val="24"/>
    </w:rPr>
  </w:style>
  <w:style w:type="character" w:customStyle="1" w:styleId="120">
    <w:name w:val="批注框文本 字符"/>
    <w:qFormat/>
    <w:uiPriority w:val="0"/>
    <w:rPr>
      <w:kern w:val="2"/>
      <w:sz w:val="18"/>
      <w:szCs w:val="18"/>
    </w:rPr>
  </w:style>
  <w:style w:type="character" w:customStyle="1" w:styleId="121">
    <w:name w:val="页脚 字符1"/>
    <w:qFormat/>
    <w:uiPriority w:val="99"/>
    <w:rPr>
      <w:kern w:val="2"/>
      <w:sz w:val="18"/>
      <w:szCs w:val="18"/>
    </w:rPr>
  </w:style>
  <w:style w:type="character" w:customStyle="1" w:styleId="122">
    <w:name w:val="页眉 字符1"/>
    <w:qFormat/>
    <w:uiPriority w:val="99"/>
    <w:rPr>
      <w:kern w:val="2"/>
      <w:sz w:val="18"/>
      <w:szCs w:val="18"/>
    </w:rPr>
  </w:style>
  <w:style w:type="character" w:customStyle="1" w:styleId="123">
    <w:name w:val="批注主题 字符"/>
    <w:qFormat/>
    <w:uiPriority w:val="99"/>
    <w:rPr>
      <w:b/>
      <w:bCs/>
      <w:kern w:val="2"/>
      <w:sz w:val="21"/>
      <w:szCs w:val="24"/>
    </w:rPr>
  </w:style>
  <w:style w:type="paragraph" w:customStyle="1" w:styleId="124">
    <w:name w:val="_Style 117"/>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25">
    <w:name w:val="纯文本 字符1"/>
    <w:semiHidden/>
    <w:qFormat/>
    <w:locked/>
    <w:uiPriority w:val="0"/>
    <w:rPr>
      <w:rFonts w:ascii="宋体" w:hAnsi="Courier New"/>
      <w:kern w:val="2"/>
      <w:sz w:val="21"/>
    </w:rPr>
  </w:style>
  <w:style w:type="paragraph" w:customStyle="1" w:styleId="126">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127">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color w:val="000000"/>
      <w:kern w:val="0"/>
      <w:szCs w:val="21"/>
    </w:rPr>
  </w:style>
  <w:style w:type="paragraph" w:customStyle="1" w:styleId="128">
    <w:name w:val="Legal_L2"/>
    <w:basedOn w:val="1"/>
    <w:qFormat/>
    <w:uiPriority w:val="0"/>
    <w:pPr>
      <w:widowControl/>
      <w:spacing w:after="240" w:line="259" w:lineRule="auto"/>
      <w:jc w:val="left"/>
      <w:outlineLvl w:val="1"/>
    </w:pPr>
    <w:rPr>
      <w:kern w:val="0"/>
      <w:sz w:val="24"/>
      <w:lang w:eastAsia="en-US"/>
    </w:rPr>
  </w:style>
  <w:style w:type="character" w:customStyle="1" w:styleId="129">
    <w:name w:val="NormalCharacter"/>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jpeg"/><Relationship Id="rId18" Type="http://schemas.openxmlformats.org/officeDocument/2006/relationships/theme" Target="theme/theme1.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header" Target="header2.xml"/><Relationship Id="rId10" Type="http://schemas.openxmlformats.org/officeDocument/2006/relationships/footer" Target="footer7.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ngzhengyi\Library\Containers\com.kingsoft.wpsoffice.mac\Data\C:\Users\langzhengyi\Library\Containers\com.kingsoft.wpsoffice.mac\Data\C:\home\inspur\C:\home\inspur\192.168.200.66\4&#37096;&#20849;&#20139;1\2025&#24180;&#25307;&#26631;&#39033;&#30446;\11&#26376;\&#20840;&#21306;&#38750;&#27861;&#22534;&#23384;&#12289;&#36716;&#31227;&#28041;&#37325;&#22266;&#20307;&#24223;&#29289;&#21361;&#38505;&#29305;&#24615;&#37492;&#21035;&#21450;&#27745;&#26579;&#37322;&#25918;&#33021;&#21147;&#35780;&#20272;&#39033;&#30446;\&#65288;1117&#25307;&#26631;&#25991;&#20214;&#65289;12.&#20840;&#21306;&#38750;&#27861;&#22534;&#23384;&#12289;&#36716;&#31227;&#28041;&#37325;&#22266;&#20307;&#24223;&#29289;&#21361;&#38505;&#29305;&#24615;&#37492;&#21035;&#21450;&#27745;&#26579;&#37322;&#25918;&#33021;&#21147;&#35780;&#20272;&#39033;&#30446;.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（1117招标文件）12.全区非法堆存、转移涉重固体废物危险特性鉴别及污染释放能力评估项目.dotx</Template>
  <Pages>76</Pages>
  <Words>1527</Words>
  <Characters>1943</Characters>
  <Lines>396</Lines>
  <Paragraphs>111</Paragraphs>
  <TotalTime>430</TotalTime>
  <ScaleCrop>false</ScaleCrop>
  <LinksUpToDate>false</LinksUpToDate>
  <CharactersWithSpaces>2066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2025-11-20T03:43:00Z</dcterms:created>
  <dc:creator>黄艳颀</dc:creator>
  <cp:lastModifiedBy>周珺</cp:lastModifiedBy>
  <dcterms:modified xsi:type="dcterms:W3CDTF">2026-07-27T04:44:23Z</dcterms:modified>
  <dc:title>南财采管〔2012〕3号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678B39C6E0DE4C5183B5251048F5B67E_13</vt:lpwstr>
  </property>
  <property fmtid="{D5CDD505-2E9C-101B-9397-08002B2CF9AE}" pid="4" name="KSOTemplateDocerSaveRecord">
    <vt:lpwstr>eyJoZGlkIjoiMzgxNTg0MzZjYTkxZWEwYjIwZmJiMThmNGRjNGM5NTYiLCJ1c2VySWQiOiIxNjY2ODAwODE3In0=</vt:lpwstr>
  </property>
</Properties>
</file>