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459C5A">
      <w:pPr>
        <w:snapToGrid w:val="0"/>
        <w:spacing w:before="120" w:beforeLines="50" w:line="360" w:lineRule="auto"/>
        <w:jc w:val="center"/>
        <w:rPr>
          <w:rFonts w:hint="eastAsia" w:ascii="宋体" w:hAnsi="宋体" w:eastAsia="宋体" w:cs="宋体"/>
          <w:b/>
          <w:color w:val="auto"/>
          <w:sz w:val="60"/>
          <w:szCs w:val="60"/>
          <w:highlight w:val="none"/>
          <w:lang w:eastAsia="zh-CN"/>
        </w:rPr>
      </w:pPr>
      <w:bookmarkStart w:id="0" w:name="_Toc434315322"/>
      <w:r>
        <w:rPr>
          <w:rFonts w:hint="eastAsia" w:ascii="宋体" w:hAnsi="宋体" w:cs="宋体"/>
          <w:b/>
          <w:color w:val="auto"/>
          <w:sz w:val="60"/>
          <w:szCs w:val="60"/>
          <w:highlight w:val="none"/>
          <w:lang w:eastAsia="zh-CN"/>
        </w:rPr>
        <w:t>广西合士嘉项目咨询有限公司</w:t>
      </w:r>
    </w:p>
    <w:p w14:paraId="13A040F1">
      <w:pPr>
        <w:pStyle w:val="13"/>
        <w:ind w:firstLine="105"/>
        <w:jc w:val="center"/>
        <w:rPr>
          <w:rFonts w:hint="eastAsia" w:hAnsi="宋体" w:cs="宋体"/>
          <w:color w:val="auto"/>
          <w:sz w:val="24"/>
          <w:szCs w:val="24"/>
          <w:highlight w:val="none"/>
        </w:rPr>
      </w:pPr>
    </w:p>
    <w:p w14:paraId="2E5ADC29">
      <w:pPr>
        <w:spacing w:line="360" w:lineRule="auto"/>
        <w:jc w:val="center"/>
        <w:rPr>
          <w:rFonts w:hint="eastAsia" w:ascii="宋体" w:hAnsi="宋体" w:cs="宋体"/>
          <w:color w:val="auto"/>
          <w:sz w:val="22"/>
          <w:szCs w:val="28"/>
          <w:highlight w:val="none"/>
        </w:rPr>
      </w:pPr>
    </w:p>
    <w:p w14:paraId="2B23DE09">
      <w:pPr>
        <w:spacing w:line="360" w:lineRule="auto"/>
        <w:jc w:val="left"/>
        <w:rPr>
          <w:rFonts w:hint="eastAsia" w:ascii="宋体" w:hAnsi="宋体" w:cs="宋体"/>
          <w:color w:val="auto"/>
          <w:highlight w:val="none"/>
        </w:rPr>
      </w:pPr>
    </w:p>
    <w:p w14:paraId="057AFCB5">
      <w:pPr>
        <w:spacing w:line="360" w:lineRule="auto"/>
        <w:jc w:val="center"/>
        <w:rPr>
          <w:rFonts w:hint="eastAsia" w:ascii="宋体" w:hAnsi="宋体" w:cs="宋体"/>
          <w:color w:val="auto"/>
          <w:highlight w:val="none"/>
        </w:rPr>
      </w:pPr>
    </w:p>
    <w:p w14:paraId="21D142A0">
      <w:pPr>
        <w:spacing w:line="360" w:lineRule="auto"/>
        <w:jc w:val="both"/>
        <w:rPr>
          <w:rFonts w:hint="eastAsia" w:ascii="宋体" w:hAnsi="宋体" w:cs="宋体"/>
          <w:color w:val="auto"/>
          <w:highlight w:val="none"/>
        </w:rPr>
      </w:pPr>
    </w:p>
    <w:p w14:paraId="2C8097DB">
      <w:pPr>
        <w:spacing w:line="360" w:lineRule="auto"/>
        <w:jc w:val="center"/>
        <w:rPr>
          <w:rFonts w:hint="eastAsia" w:ascii="宋体" w:hAnsi="宋体" w:cs="宋体"/>
          <w:b/>
          <w:color w:val="auto"/>
          <w:sz w:val="44"/>
          <w:szCs w:val="44"/>
          <w:highlight w:val="none"/>
        </w:rPr>
      </w:pPr>
    </w:p>
    <w:p w14:paraId="5DF72BC1">
      <w:pPr>
        <w:spacing w:before="120" w:beforeLines="50"/>
        <w:jc w:val="center"/>
        <w:rPr>
          <w:rFonts w:hint="eastAsia" w:ascii="宋体" w:hAnsi="宋体" w:cs="宋体"/>
          <w:color w:val="auto"/>
          <w:highlight w:val="none"/>
        </w:rPr>
      </w:pPr>
      <w:r>
        <w:rPr>
          <w:rFonts w:hint="eastAsia" w:ascii="宋体" w:hAnsi="宋体" w:cs="宋体"/>
          <w:b/>
          <w:color w:val="auto"/>
          <w:sz w:val="84"/>
          <w:szCs w:val="84"/>
          <w:highlight w:val="none"/>
          <w:lang w:val="en-US" w:eastAsia="zh-CN"/>
        </w:rPr>
        <w:t>竞争性磋商</w:t>
      </w:r>
      <w:r>
        <w:rPr>
          <w:rFonts w:hint="eastAsia" w:ascii="宋体" w:hAnsi="宋体" w:cs="宋体"/>
          <w:b/>
          <w:color w:val="auto"/>
          <w:sz w:val="84"/>
          <w:szCs w:val="84"/>
          <w:highlight w:val="none"/>
        </w:rPr>
        <w:t>文件</w:t>
      </w:r>
    </w:p>
    <w:p w14:paraId="70FDA0E9">
      <w:pPr>
        <w:pStyle w:val="29"/>
        <w:ind w:firstLine="640"/>
        <w:rPr>
          <w:rFonts w:hint="eastAsia" w:ascii="宋体" w:hAnsi="宋体" w:eastAsia="宋体" w:cs="宋体"/>
          <w:color w:val="auto"/>
          <w:highlight w:val="none"/>
        </w:rPr>
      </w:pPr>
    </w:p>
    <w:p w14:paraId="2CEE1D09">
      <w:pPr>
        <w:pStyle w:val="29"/>
        <w:ind w:firstLine="640"/>
        <w:rPr>
          <w:rFonts w:hint="eastAsia" w:ascii="宋体" w:hAnsi="宋体" w:eastAsia="宋体" w:cs="宋体"/>
          <w:color w:val="auto"/>
          <w:highlight w:val="none"/>
        </w:rPr>
      </w:pPr>
    </w:p>
    <w:p w14:paraId="1676968D">
      <w:pPr>
        <w:pStyle w:val="29"/>
        <w:ind w:firstLine="640"/>
        <w:rPr>
          <w:rFonts w:hint="eastAsia" w:ascii="宋体" w:hAnsi="宋体" w:eastAsia="宋体" w:cs="宋体"/>
          <w:color w:val="auto"/>
          <w:highlight w:val="none"/>
        </w:rPr>
      </w:pPr>
    </w:p>
    <w:p w14:paraId="2809A4F1">
      <w:pPr>
        <w:pStyle w:val="13"/>
        <w:snapToGrid w:val="0"/>
        <w:spacing w:line="672" w:lineRule="auto"/>
        <w:rPr>
          <w:rFonts w:hint="eastAsia" w:hAnsi="宋体" w:cs="宋体"/>
          <w:color w:val="auto"/>
          <w:w w:val="95"/>
          <w:sz w:val="30"/>
          <w:szCs w:val="30"/>
          <w:highlight w:val="none"/>
          <w:lang w:eastAsia="zh-CN"/>
        </w:rPr>
      </w:pPr>
    </w:p>
    <w:p w14:paraId="44D2BD80">
      <w:pPr>
        <w:pStyle w:val="13"/>
        <w:snapToGrid w:val="0"/>
        <w:spacing w:line="672" w:lineRule="auto"/>
        <w:ind w:firstLine="1010" w:firstLineChars="353"/>
        <w:rPr>
          <w:rFonts w:hint="eastAsia" w:ascii="宋体" w:hAnsi="宋体" w:eastAsia="宋体" w:cs="宋体"/>
          <w:b/>
          <w:bCs/>
          <w:color w:val="auto"/>
          <w:w w:val="95"/>
          <w:sz w:val="30"/>
          <w:szCs w:val="30"/>
          <w:highlight w:val="none"/>
          <w:lang w:val="en-US" w:eastAsia="zh-CN"/>
        </w:rPr>
      </w:pPr>
      <w:r>
        <w:rPr>
          <w:rFonts w:hint="eastAsia" w:ascii="宋体" w:hAnsi="宋体" w:eastAsia="宋体" w:cs="宋体"/>
          <w:b/>
          <w:bCs/>
          <w:color w:val="auto"/>
          <w:w w:val="95"/>
          <w:sz w:val="30"/>
          <w:szCs w:val="30"/>
          <w:highlight w:val="none"/>
          <w:lang w:eastAsia="zh-CN"/>
        </w:rPr>
        <w:t>项目名称：</w:t>
      </w:r>
      <w:r>
        <w:rPr>
          <w:rFonts w:hint="eastAsia" w:ascii="宋体" w:hAnsi="宋体" w:eastAsia="宋体" w:cs="宋体"/>
          <w:b/>
          <w:bCs/>
          <w:sz w:val="30"/>
          <w:szCs w:val="30"/>
          <w:u w:val="none"/>
          <w:lang w:val="en-US" w:eastAsia="zh-CN"/>
        </w:rPr>
        <w:t>浦北县第二中学运动场维修项目</w:t>
      </w:r>
      <w:r>
        <w:rPr>
          <w:rFonts w:hint="eastAsia" w:ascii="宋体" w:hAnsi="宋体" w:eastAsia="宋体" w:cs="宋体"/>
          <w:b/>
          <w:bCs/>
          <w:color w:val="auto"/>
          <w:w w:val="95"/>
          <w:sz w:val="30"/>
          <w:szCs w:val="30"/>
          <w:highlight w:val="none"/>
          <w:lang w:val="en-US" w:eastAsia="zh-CN"/>
        </w:rPr>
        <w:t xml:space="preserve">          </w:t>
      </w:r>
    </w:p>
    <w:p w14:paraId="3A239202">
      <w:pPr>
        <w:pStyle w:val="13"/>
        <w:snapToGrid w:val="0"/>
        <w:spacing w:line="672" w:lineRule="auto"/>
        <w:ind w:firstLine="1010" w:firstLineChars="353"/>
        <w:rPr>
          <w:rFonts w:hint="eastAsia" w:ascii="宋体" w:hAnsi="宋体" w:eastAsia="宋体" w:cs="宋体"/>
          <w:b/>
          <w:bCs/>
          <w:color w:val="auto"/>
          <w:w w:val="95"/>
          <w:sz w:val="30"/>
          <w:szCs w:val="30"/>
          <w:highlight w:val="none"/>
          <w:lang w:val="en-US" w:eastAsia="zh-CN"/>
        </w:rPr>
      </w:pPr>
      <w:r>
        <w:rPr>
          <w:rFonts w:hint="eastAsia" w:ascii="宋体" w:hAnsi="宋体" w:eastAsia="宋体" w:cs="宋体"/>
          <w:b/>
          <w:bCs/>
          <w:color w:val="auto"/>
          <w:w w:val="95"/>
          <w:sz w:val="30"/>
          <w:szCs w:val="30"/>
          <w:highlight w:val="none"/>
          <w:lang w:eastAsia="zh-CN"/>
        </w:rPr>
        <w:t>项目编号：</w:t>
      </w:r>
      <w:r>
        <w:rPr>
          <w:rFonts w:hint="eastAsia" w:ascii="宋体" w:hAnsi="宋体" w:eastAsia="宋体" w:cs="宋体"/>
          <w:b/>
          <w:bCs/>
          <w:i w:val="0"/>
          <w:iCs w:val="0"/>
          <w:caps w:val="0"/>
          <w:color w:val="auto"/>
          <w:spacing w:val="0"/>
          <w:sz w:val="30"/>
          <w:szCs w:val="30"/>
          <w:highlight w:val="none"/>
          <w:shd w:val="clear" w:color="auto" w:fill="auto"/>
        </w:rPr>
        <w:t>QZZC2026-C2-220047-GXHS</w:t>
      </w:r>
      <w:r>
        <w:rPr>
          <w:rFonts w:hint="eastAsia" w:ascii="宋体" w:hAnsi="宋体" w:eastAsia="宋体" w:cs="宋体"/>
          <w:b/>
          <w:bCs/>
          <w:color w:val="auto"/>
          <w:w w:val="95"/>
          <w:sz w:val="30"/>
          <w:szCs w:val="30"/>
          <w:highlight w:val="none"/>
          <w:shd w:val="clear" w:color="auto" w:fill="auto"/>
          <w:lang w:val="en-US" w:eastAsia="zh-CN"/>
        </w:rPr>
        <w:t xml:space="preserve">    </w:t>
      </w:r>
      <w:r>
        <w:rPr>
          <w:rFonts w:hint="eastAsia" w:ascii="宋体" w:hAnsi="宋体" w:eastAsia="宋体" w:cs="宋体"/>
          <w:b/>
          <w:bCs/>
          <w:color w:val="auto"/>
          <w:w w:val="95"/>
          <w:sz w:val="30"/>
          <w:szCs w:val="30"/>
          <w:highlight w:val="none"/>
          <w:lang w:val="en-US" w:eastAsia="zh-CN"/>
        </w:rPr>
        <w:t xml:space="preserve">    </w:t>
      </w:r>
    </w:p>
    <w:p w14:paraId="44E35813">
      <w:pPr>
        <w:pStyle w:val="13"/>
        <w:snapToGrid w:val="0"/>
        <w:spacing w:line="672" w:lineRule="auto"/>
        <w:ind w:firstLine="1010" w:firstLineChars="353"/>
        <w:rPr>
          <w:rFonts w:hint="eastAsia" w:ascii="宋体" w:hAnsi="宋体" w:eastAsia="宋体" w:cs="宋体"/>
          <w:b/>
          <w:bCs/>
          <w:color w:val="auto"/>
          <w:w w:val="95"/>
          <w:sz w:val="30"/>
          <w:szCs w:val="30"/>
          <w:highlight w:val="none"/>
          <w:lang w:eastAsia="zh-CN"/>
        </w:rPr>
      </w:pPr>
    </w:p>
    <w:p w14:paraId="51309A1D">
      <w:pPr>
        <w:pStyle w:val="13"/>
        <w:snapToGrid w:val="0"/>
        <w:spacing w:line="672" w:lineRule="auto"/>
        <w:ind w:firstLine="1010" w:firstLineChars="353"/>
        <w:rPr>
          <w:rFonts w:hint="eastAsia" w:ascii="宋体" w:hAnsi="宋体" w:eastAsia="宋体" w:cs="宋体"/>
          <w:b/>
          <w:bCs/>
          <w:color w:val="auto"/>
          <w:w w:val="95"/>
          <w:sz w:val="30"/>
          <w:szCs w:val="30"/>
          <w:highlight w:val="none"/>
          <w:lang w:val="en-US" w:eastAsia="zh-CN"/>
        </w:rPr>
      </w:pPr>
      <w:r>
        <w:rPr>
          <w:rFonts w:hint="eastAsia" w:ascii="宋体" w:hAnsi="宋体" w:eastAsia="宋体" w:cs="宋体"/>
          <w:b/>
          <w:bCs/>
          <w:color w:val="auto"/>
          <w:w w:val="95"/>
          <w:sz w:val="30"/>
          <w:szCs w:val="30"/>
          <w:highlight w:val="none"/>
          <w:lang w:eastAsia="zh-CN"/>
        </w:rPr>
        <w:t>采购人：</w:t>
      </w:r>
      <w:r>
        <w:rPr>
          <w:rFonts w:hint="eastAsia" w:ascii="宋体" w:hAnsi="宋体" w:eastAsia="宋体" w:cs="宋体"/>
          <w:b/>
          <w:bCs/>
          <w:sz w:val="30"/>
          <w:szCs w:val="30"/>
          <w:u w:val="none"/>
          <w:lang w:val="en-US" w:eastAsia="zh-CN"/>
        </w:rPr>
        <w:t>浦北县第二中学</w:t>
      </w:r>
      <w:r>
        <w:rPr>
          <w:rFonts w:hint="eastAsia" w:ascii="宋体" w:hAnsi="宋体" w:eastAsia="宋体" w:cs="宋体"/>
          <w:b/>
          <w:bCs/>
          <w:color w:val="auto"/>
          <w:w w:val="95"/>
          <w:sz w:val="30"/>
          <w:szCs w:val="30"/>
          <w:highlight w:val="none"/>
          <w:lang w:eastAsia="zh-CN"/>
        </w:rPr>
        <w:t>（盖公章）</w:t>
      </w:r>
      <w:r>
        <w:rPr>
          <w:rFonts w:hint="eastAsia" w:ascii="宋体" w:hAnsi="宋体" w:eastAsia="宋体" w:cs="宋体"/>
          <w:b/>
          <w:bCs/>
          <w:color w:val="auto"/>
          <w:w w:val="95"/>
          <w:sz w:val="30"/>
          <w:szCs w:val="30"/>
          <w:highlight w:val="none"/>
          <w:lang w:val="en-US" w:eastAsia="zh-CN"/>
        </w:rPr>
        <w:t xml:space="preserve">             </w:t>
      </w:r>
    </w:p>
    <w:p w14:paraId="04B60950">
      <w:pPr>
        <w:pStyle w:val="13"/>
        <w:snapToGrid w:val="0"/>
        <w:spacing w:line="672" w:lineRule="auto"/>
        <w:ind w:firstLine="1010" w:firstLineChars="353"/>
        <w:rPr>
          <w:rFonts w:hint="eastAsia" w:ascii="宋体" w:hAnsi="宋体" w:eastAsia="宋体" w:cs="宋体"/>
          <w:color w:val="auto"/>
          <w:w w:val="95"/>
          <w:sz w:val="30"/>
          <w:szCs w:val="30"/>
          <w:highlight w:val="none"/>
        </w:rPr>
      </w:pPr>
      <w:r>
        <w:rPr>
          <w:rFonts w:hint="eastAsia" w:ascii="宋体" w:hAnsi="宋体" w:eastAsia="宋体" w:cs="宋体"/>
          <w:b/>
          <w:bCs/>
          <w:color w:val="auto"/>
          <w:w w:val="95"/>
          <w:sz w:val="30"/>
          <w:szCs w:val="30"/>
          <w:highlight w:val="none"/>
          <w:lang w:eastAsia="zh-CN"/>
        </w:rPr>
        <w:t>采购代理机构：</w:t>
      </w:r>
      <w:r>
        <w:rPr>
          <w:rFonts w:hint="eastAsia" w:ascii="宋体" w:hAnsi="宋体" w:eastAsia="宋体" w:cs="宋体"/>
          <w:b/>
          <w:bCs/>
          <w:color w:val="auto"/>
          <w:w w:val="95"/>
          <w:sz w:val="30"/>
          <w:szCs w:val="30"/>
          <w:highlight w:val="none"/>
          <w:lang w:val="en-US" w:eastAsia="zh-CN"/>
        </w:rPr>
        <w:t>广西合士嘉项目咨询有限公司</w:t>
      </w:r>
      <w:r>
        <w:rPr>
          <w:rFonts w:hint="eastAsia" w:ascii="宋体" w:hAnsi="宋体" w:eastAsia="宋体" w:cs="宋体"/>
          <w:b/>
          <w:bCs/>
          <w:color w:val="auto"/>
          <w:w w:val="95"/>
          <w:sz w:val="30"/>
          <w:szCs w:val="30"/>
          <w:highlight w:val="none"/>
          <w:lang w:eastAsia="zh-CN"/>
        </w:rPr>
        <w:t>（盖公章）</w:t>
      </w:r>
      <w:r>
        <w:rPr>
          <w:rFonts w:hint="eastAsia" w:ascii="宋体" w:hAnsi="宋体" w:eastAsia="宋体" w:cs="宋体"/>
          <w:b/>
          <w:bCs/>
          <w:color w:val="auto"/>
          <w:w w:val="95"/>
          <w:sz w:val="30"/>
          <w:szCs w:val="30"/>
          <w:highlight w:val="none"/>
          <w:lang w:val="en-US" w:eastAsia="zh-CN"/>
        </w:rPr>
        <w:t xml:space="preserve"> </w:t>
      </w:r>
      <w:r>
        <w:rPr>
          <w:rFonts w:hint="eastAsia" w:ascii="宋体" w:hAnsi="宋体" w:eastAsia="宋体" w:cs="宋体"/>
          <w:color w:val="auto"/>
          <w:w w:val="95"/>
          <w:sz w:val="30"/>
          <w:szCs w:val="30"/>
          <w:highlight w:val="none"/>
          <w:lang w:val="en-US" w:eastAsia="zh-CN"/>
        </w:rPr>
        <w:t xml:space="preserve">      </w:t>
      </w:r>
    </w:p>
    <w:p w14:paraId="2317D8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w w:val="95"/>
          <w:sz w:val="30"/>
          <w:szCs w:val="30"/>
          <w:highlight w:val="none"/>
          <w:lang w:eastAsia="zh-CN"/>
        </w:rPr>
        <w:t>202</w:t>
      </w:r>
      <w:r>
        <w:rPr>
          <w:rFonts w:hint="eastAsia" w:ascii="宋体" w:hAnsi="宋体" w:cs="宋体"/>
          <w:b/>
          <w:bCs/>
          <w:color w:val="auto"/>
          <w:w w:val="95"/>
          <w:sz w:val="30"/>
          <w:szCs w:val="30"/>
          <w:highlight w:val="none"/>
          <w:lang w:val="en-US" w:eastAsia="zh-CN"/>
        </w:rPr>
        <w:t>6</w:t>
      </w:r>
      <w:r>
        <w:rPr>
          <w:rFonts w:hint="eastAsia" w:ascii="宋体" w:hAnsi="宋体" w:eastAsia="宋体" w:cs="宋体"/>
          <w:b/>
          <w:bCs/>
          <w:color w:val="auto"/>
          <w:w w:val="95"/>
          <w:sz w:val="30"/>
          <w:szCs w:val="30"/>
          <w:highlight w:val="none"/>
          <w:lang w:eastAsia="zh-CN"/>
        </w:rPr>
        <w:t>年</w:t>
      </w:r>
      <w:r>
        <w:rPr>
          <w:rFonts w:hint="eastAsia" w:ascii="宋体" w:hAnsi="宋体" w:cs="宋体"/>
          <w:b/>
          <w:bCs/>
          <w:color w:val="auto"/>
          <w:w w:val="95"/>
          <w:sz w:val="30"/>
          <w:szCs w:val="30"/>
          <w:highlight w:val="none"/>
          <w:lang w:val="en-US" w:eastAsia="zh-CN"/>
        </w:rPr>
        <w:t>05</w:t>
      </w:r>
      <w:r>
        <w:rPr>
          <w:rFonts w:hint="eastAsia" w:ascii="宋体" w:hAnsi="宋体" w:eastAsia="宋体" w:cs="宋体"/>
          <w:b/>
          <w:bCs/>
          <w:color w:val="auto"/>
          <w:w w:val="95"/>
          <w:sz w:val="30"/>
          <w:szCs w:val="30"/>
          <w:highlight w:val="none"/>
          <w:lang w:eastAsia="zh-CN"/>
        </w:rPr>
        <w:t>月</w:t>
      </w:r>
      <w:r>
        <w:rPr>
          <w:rFonts w:hint="eastAsia" w:ascii="宋体" w:hAnsi="宋体" w:eastAsia="宋体" w:cs="宋体"/>
          <w:color w:val="auto"/>
          <w:sz w:val="30"/>
          <w:szCs w:val="30"/>
          <w:highlight w:val="none"/>
        </w:rPr>
        <w:br w:type="page"/>
      </w:r>
    </w:p>
    <w:p w14:paraId="623862DF">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宋体" w:hAnsi="宋体" w:cs="宋体"/>
          <w:color w:val="auto"/>
          <w:highlight w:val="none"/>
        </w:rPr>
        <w:sectPr>
          <w:pgSz w:w="11906" w:h="16838"/>
          <w:pgMar w:top="1134" w:right="1134" w:bottom="1134" w:left="1417" w:header="850" w:footer="992" w:gutter="0"/>
          <w:cols w:space="720" w:num="1"/>
          <w:docGrid w:type="lines" w:linePitch="317" w:charSpace="0"/>
        </w:sectPr>
      </w:pPr>
    </w:p>
    <w:sdt>
      <w:sdtPr>
        <w:rPr>
          <w:rFonts w:ascii="宋体" w:hAnsi="宋体" w:eastAsia="宋体" w:cs="Times New Roman"/>
          <w:color w:val="auto"/>
          <w:kern w:val="2"/>
          <w:sz w:val="28"/>
          <w:szCs w:val="36"/>
          <w:highlight w:val="none"/>
          <w:lang w:val="en-US" w:eastAsia="zh-CN" w:bidi="ar-SA"/>
        </w:rPr>
        <w:id w:val="147475717"/>
        <w15:color w:val="DBDBDB"/>
        <w:docPartObj>
          <w:docPartGallery w:val="Table of Contents"/>
          <w:docPartUnique/>
        </w:docPartObj>
      </w:sdtPr>
      <w:sdtEndPr>
        <w:rPr>
          <w:rFonts w:ascii="宋体" w:hAnsi="宋体" w:eastAsia="宋体" w:cs="宋体"/>
          <w:color w:val="auto"/>
          <w:kern w:val="2"/>
          <w:sz w:val="28"/>
          <w:szCs w:val="40"/>
          <w:highlight w:val="none"/>
          <w:lang w:val="en-US" w:eastAsia="zh-CN" w:bidi="ar-SA"/>
        </w:rPr>
      </w:sdtEndPr>
      <w:sdtContent>
        <w:p w14:paraId="6C22FD5E">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color w:val="auto"/>
              <w:sz w:val="44"/>
              <w:szCs w:val="44"/>
              <w:highlight w:val="none"/>
            </w:rPr>
          </w:pPr>
          <w:r>
            <w:rPr>
              <w:rFonts w:ascii="宋体" w:hAnsi="宋体" w:eastAsia="宋体"/>
              <w:b/>
              <w:bCs/>
              <w:color w:val="auto"/>
              <w:sz w:val="44"/>
              <w:szCs w:val="44"/>
              <w:highlight w:val="none"/>
            </w:rPr>
            <w:t>目</w:t>
          </w:r>
          <w:r>
            <w:rPr>
              <w:rFonts w:hint="eastAsia" w:ascii="宋体" w:hAnsi="宋体"/>
              <w:b/>
              <w:bCs/>
              <w:color w:val="auto"/>
              <w:sz w:val="44"/>
              <w:szCs w:val="44"/>
              <w:highlight w:val="none"/>
              <w:lang w:val="en-US" w:eastAsia="zh-CN"/>
            </w:rPr>
            <w:t xml:space="preserve">  </w:t>
          </w:r>
          <w:r>
            <w:rPr>
              <w:rFonts w:ascii="宋体" w:hAnsi="宋体" w:eastAsia="宋体"/>
              <w:b/>
              <w:bCs/>
              <w:color w:val="auto"/>
              <w:sz w:val="44"/>
              <w:szCs w:val="44"/>
              <w:highlight w:val="none"/>
            </w:rPr>
            <w:t>录</w:t>
          </w:r>
        </w:p>
        <w:p w14:paraId="4C87B5D5">
          <w:pPr>
            <w:pStyle w:val="20"/>
            <w:tabs>
              <w:tab w:val="right" w:leader="dot" w:pos="9799"/>
            </w:tabs>
            <w:rPr>
              <w:rFonts w:hint="eastAsia" w:ascii="宋体" w:hAnsi="宋体" w:eastAsia="宋体" w:cs="宋体"/>
              <w:color w:val="auto"/>
              <w:sz w:val="28"/>
              <w:szCs w:val="36"/>
              <w:highlight w:val="none"/>
            </w:rPr>
          </w:pPr>
          <w:r>
            <w:rPr>
              <w:rFonts w:ascii="宋体" w:hAnsi="宋体" w:cs="宋体"/>
              <w:color w:val="auto"/>
              <w:sz w:val="32"/>
              <w:szCs w:val="40"/>
              <w:highlight w:val="none"/>
            </w:rPr>
            <w:fldChar w:fldCharType="begin"/>
          </w:r>
          <w:r>
            <w:rPr>
              <w:rFonts w:ascii="宋体" w:hAnsi="宋体" w:cs="宋体"/>
              <w:color w:val="auto"/>
              <w:sz w:val="32"/>
              <w:szCs w:val="40"/>
              <w:highlight w:val="none"/>
            </w:rPr>
            <w:instrText xml:space="preserve">TOC \o "1-1" \h \u </w:instrText>
          </w:r>
          <w:r>
            <w:rPr>
              <w:rFonts w:ascii="宋体" w:hAnsi="宋体" w:cs="宋体"/>
              <w:color w:val="auto"/>
              <w:sz w:val="32"/>
              <w:szCs w:val="40"/>
              <w:highlight w:val="none"/>
            </w:rPr>
            <w:fldChar w:fldCharType="separate"/>
          </w:r>
        </w:p>
        <w:p w14:paraId="5F4874C0">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_Toc29312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第一章</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_Toc29312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FE6152B">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_Toc5416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4"/>
              <w:kern w:val="0"/>
              <w:position w:val="-6"/>
              <w:sz w:val="24"/>
              <w:szCs w:val="24"/>
              <w:highlight w:val="none"/>
            </w:rPr>
            <w:t xml:space="preserve">第二章 </w:t>
          </w:r>
          <w:r>
            <w:rPr>
              <w:rFonts w:hint="eastAsia" w:ascii="宋体" w:hAnsi="宋体" w:cs="宋体"/>
              <w:bCs/>
              <w:color w:val="auto"/>
              <w:spacing w:val="-14"/>
              <w:kern w:val="0"/>
              <w:position w:val="-6"/>
              <w:sz w:val="24"/>
              <w:szCs w:val="24"/>
              <w:highlight w:val="none"/>
              <w:lang w:val="en-US" w:eastAsia="zh-CN"/>
            </w:rPr>
            <w:t xml:space="preserve">  供应商</w:t>
          </w:r>
          <w:r>
            <w:rPr>
              <w:rFonts w:hint="eastAsia" w:ascii="宋体" w:hAnsi="宋体" w:eastAsia="宋体" w:cs="宋体"/>
              <w:bCs/>
              <w:color w:val="auto"/>
              <w:spacing w:val="-14"/>
              <w:kern w:val="0"/>
              <w:position w:val="-6"/>
              <w:sz w:val="24"/>
              <w:szCs w:val="24"/>
              <w:highlight w:val="none"/>
            </w:rPr>
            <w:t>须知前附表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_Toc5416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C5B5D77">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_Toc26558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4"/>
              <w:kern w:val="0"/>
              <w:position w:val="-6"/>
              <w:sz w:val="24"/>
              <w:szCs w:val="24"/>
              <w:highlight w:val="none"/>
            </w:rPr>
            <w:t xml:space="preserve">第三章  </w:t>
          </w:r>
          <w:r>
            <w:rPr>
              <w:rFonts w:hint="eastAsia" w:ascii="宋体" w:hAnsi="宋体" w:cs="宋体"/>
              <w:bCs/>
              <w:color w:val="auto"/>
              <w:spacing w:val="-14"/>
              <w:kern w:val="0"/>
              <w:position w:val="-6"/>
              <w:sz w:val="24"/>
              <w:szCs w:val="24"/>
              <w:highlight w:val="none"/>
              <w:lang w:val="en-US" w:eastAsia="zh-CN"/>
            </w:rPr>
            <w:t xml:space="preserve"> </w:t>
          </w:r>
          <w:r>
            <w:rPr>
              <w:rFonts w:hint="eastAsia" w:ascii="宋体" w:hAnsi="宋体" w:eastAsia="宋体" w:cs="宋体"/>
              <w:bCs/>
              <w:color w:val="auto"/>
              <w:spacing w:val="-14"/>
              <w:kern w:val="0"/>
              <w:position w:val="-6"/>
              <w:sz w:val="24"/>
              <w:szCs w:val="24"/>
              <w:highlight w:val="none"/>
            </w:rPr>
            <w:t>项目基本情况及要求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_Toc26558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5095CD0">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_Toc20069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0"/>
              <w:sz w:val="24"/>
              <w:szCs w:val="24"/>
              <w:highlight w:val="none"/>
              <w:lang w:val="en-US" w:eastAsia="zh-CN"/>
            </w:rPr>
            <w:t>第四章</w:t>
          </w:r>
          <w:r>
            <w:rPr>
              <w:rFonts w:hint="eastAsia" w:ascii="宋体" w:hAnsi="宋体" w:eastAsia="宋体" w:cs="宋体"/>
              <w:bCs/>
              <w:color w:val="auto"/>
              <w:kern w:val="0"/>
              <w:sz w:val="24"/>
              <w:szCs w:val="24"/>
              <w:highlight w:val="none"/>
            </w:rPr>
            <w:t xml:space="preserve"> </w:t>
          </w:r>
          <w:r>
            <w:rPr>
              <w:rFonts w:hint="eastAsia" w:ascii="宋体" w:hAnsi="宋体" w:cs="宋体"/>
              <w:bCs/>
              <w:color w:val="auto"/>
              <w:kern w:val="0"/>
              <w:sz w:val="24"/>
              <w:szCs w:val="24"/>
              <w:highlight w:val="none"/>
              <w:lang w:val="en-US" w:eastAsia="zh-CN"/>
            </w:rPr>
            <w:t xml:space="preserve"> </w:t>
          </w:r>
          <w:r>
            <w:rPr>
              <w:rFonts w:hint="eastAsia" w:ascii="宋体" w:hAnsi="宋体" w:eastAsia="宋体" w:cs="宋体"/>
              <w:bCs/>
              <w:color w:val="auto"/>
              <w:kern w:val="0"/>
              <w:sz w:val="24"/>
              <w:szCs w:val="24"/>
              <w:highlight w:val="none"/>
            </w:rPr>
            <w:t>评审标准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_Toc20069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4EAC6F2">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_Toc15543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0"/>
              <w:sz w:val="24"/>
              <w:szCs w:val="24"/>
              <w:highlight w:val="none"/>
            </w:rPr>
            <w:t>第</w:t>
          </w:r>
          <w:r>
            <w:rPr>
              <w:rFonts w:hint="eastAsia" w:ascii="宋体" w:hAnsi="宋体" w:eastAsia="宋体" w:cs="宋体"/>
              <w:bCs/>
              <w:color w:val="auto"/>
              <w:kern w:val="0"/>
              <w:sz w:val="24"/>
              <w:szCs w:val="24"/>
              <w:highlight w:val="none"/>
              <w:lang w:val="en-US" w:eastAsia="zh-CN"/>
            </w:rPr>
            <w:t>五</w:t>
          </w:r>
          <w:r>
            <w:rPr>
              <w:rFonts w:hint="eastAsia" w:ascii="宋体" w:hAnsi="宋体" w:eastAsia="宋体" w:cs="宋体"/>
              <w:bCs/>
              <w:color w:val="auto"/>
              <w:kern w:val="0"/>
              <w:sz w:val="24"/>
              <w:szCs w:val="24"/>
              <w:highlight w:val="none"/>
            </w:rPr>
            <w:t>章</w:t>
          </w:r>
          <w:r>
            <w:rPr>
              <w:rFonts w:hint="eastAsia" w:ascii="宋体" w:hAnsi="宋体" w:cs="宋体"/>
              <w:bCs/>
              <w:color w:val="auto"/>
              <w:kern w:val="0"/>
              <w:sz w:val="24"/>
              <w:szCs w:val="24"/>
              <w:highlight w:val="none"/>
              <w:lang w:val="en-US" w:eastAsia="zh-CN"/>
            </w:rPr>
            <w:t xml:space="preserve"> </w:t>
          </w:r>
          <w:r>
            <w:rPr>
              <w:rFonts w:hint="eastAsia" w:ascii="宋体" w:hAnsi="宋体" w:eastAsia="宋体" w:cs="宋体"/>
              <w:bCs/>
              <w:color w:val="auto"/>
              <w:kern w:val="0"/>
              <w:sz w:val="24"/>
              <w:szCs w:val="24"/>
              <w:highlight w:val="none"/>
            </w:rPr>
            <w:t xml:space="preserve"> 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_Toc15543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9E53216">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_Toc3612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pacing w:val="-14"/>
              <w:kern w:val="0"/>
              <w:position w:val="-6"/>
              <w:sz w:val="24"/>
              <w:szCs w:val="24"/>
              <w:highlight w:val="none"/>
            </w:rPr>
            <w:t xml:space="preserve">第六章 </w:t>
          </w:r>
          <w:r>
            <w:rPr>
              <w:rFonts w:hint="eastAsia" w:ascii="宋体" w:hAnsi="宋体" w:cs="宋体"/>
              <w:color w:val="auto"/>
              <w:spacing w:val="-14"/>
              <w:kern w:val="0"/>
              <w:position w:val="-6"/>
              <w:sz w:val="24"/>
              <w:szCs w:val="24"/>
              <w:highlight w:val="none"/>
              <w:lang w:val="en-US" w:eastAsia="zh-CN"/>
            </w:rPr>
            <w:t xml:space="preserve">  </w:t>
          </w:r>
          <w:r>
            <w:rPr>
              <w:rFonts w:hint="eastAsia" w:ascii="宋体" w:hAnsi="宋体" w:eastAsia="宋体" w:cs="宋体"/>
              <w:color w:val="auto"/>
              <w:spacing w:val="-14"/>
              <w:kern w:val="0"/>
              <w:position w:val="-6"/>
              <w:sz w:val="24"/>
              <w:szCs w:val="24"/>
              <w:highlight w:val="none"/>
            </w:rPr>
            <w:t>合同主要条款 (参考格式)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_Toc3612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B1D5DCC">
          <w:pPr>
            <w:pStyle w:val="20"/>
            <w:tabs>
              <w:tab w:val="right" w:leader="dot" w:pos="9799"/>
            </w:tabs>
            <w:spacing w:line="360" w:lineRule="auto"/>
            <w:rPr>
              <w:color w:val="auto"/>
              <w:sz w:val="20"/>
              <w:szCs w:val="22"/>
              <w:highlight w:val="none"/>
            </w:rPr>
          </w:pPr>
        </w:p>
        <w:p w14:paraId="69EF90EE">
          <w:pPr>
            <w:pStyle w:val="20"/>
            <w:keepNext w:val="0"/>
            <w:keepLines w:val="0"/>
            <w:pageBreakBefore w:val="0"/>
            <w:tabs>
              <w:tab w:val="center" w:pos="4899"/>
            </w:tabs>
            <w:kinsoku/>
            <w:wordWrap/>
            <w:overflowPunct/>
            <w:topLinePunct w:val="0"/>
            <w:autoSpaceDE/>
            <w:autoSpaceDN/>
            <w:bidi w:val="0"/>
            <w:adjustRightInd/>
            <w:snapToGrid/>
            <w:spacing w:line="360" w:lineRule="auto"/>
            <w:textAlignment w:val="auto"/>
            <w:rPr>
              <w:rFonts w:ascii="宋体" w:hAnsi="宋体" w:cs="宋体"/>
              <w:color w:val="auto"/>
              <w:sz w:val="32"/>
              <w:szCs w:val="40"/>
              <w:highlight w:val="none"/>
            </w:rPr>
          </w:pPr>
          <w:r>
            <w:rPr>
              <w:rFonts w:ascii="宋体" w:hAnsi="宋体" w:cs="宋体"/>
              <w:color w:val="auto"/>
              <w:szCs w:val="40"/>
              <w:highlight w:val="none"/>
            </w:rPr>
            <w:fldChar w:fldCharType="end"/>
          </w:r>
          <w:r>
            <w:rPr>
              <w:rFonts w:hint="eastAsia" w:ascii="宋体" w:hAnsi="宋体" w:cs="宋体"/>
              <w:color w:val="auto"/>
              <w:szCs w:val="40"/>
              <w:highlight w:val="none"/>
              <w:lang w:eastAsia="zh-CN"/>
            </w:rPr>
            <w:tab/>
          </w:r>
        </w:p>
      </w:sdtContent>
    </w:sdt>
    <w:p w14:paraId="366B8D7B">
      <w:pPr>
        <w:pStyle w:val="10"/>
        <w:tabs>
          <w:tab w:val="left" w:pos="4386"/>
        </w:tabs>
        <w:autoSpaceDE/>
        <w:autoSpaceDN/>
        <w:adjustRightInd/>
        <w:spacing w:line="320" w:lineRule="exact"/>
        <w:jc w:val="left"/>
        <w:rPr>
          <w:rFonts w:hint="eastAsia" w:hAnsi="宋体" w:eastAsia="宋体" w:cs="宋体"/>
          <w:b/>
          <w:bCs/>
          <w:color w:val="auto"/>
          <w:spacing w:val="-14"/>
          <w:position w:val="-6"/>
          <w:sz w:val="36"/>
          <w:szCs w:val="36"/>
          <w:highlight w:val="none"/>
          <w:lang w:eastAsia="zh-CN"/>
        </w:rPr>
      </w:pPr>
      <w:r>
        <w:rPr>
          <w:rFonts w:hint="eastAsia" w:hAnsi="宋体" w:cs="宋体"/>
          <w:b/>
          <w:bCs/>
          <w:color w:val="auto"/>
          <w:spacing w:val="-14"/>
          <w:position w:val="-6"/>
          <w:sz w:val="36"/>
          <w:szCs w:val="36"/>
          <w:highlight w:val="none"/>
          <w:lang w:eastAsia="zh-CN"/>
        </w:rPr>
        <w:tab/>
      </w:r>
    </w:p>
    <w:p w14:paraId="3A74561A">
      <w:pPr>
        <w:tabs>
          <w:tab w:val="left" w:pos="6703"/>
        </w:tabs>
        <w:bidi w:val="0"/>
        <w:jc w:val="left"/>
        <w:rPr>
          <w:rFonts w:hint="eastAsia" w:eastAsia="宋体"/>
          <w:color w:val="auto"/>
          <w:highlight w:val="none"/>
          <w:lang w:eastAsia="zh-CN"/>
        </w:rPr>
        <w:sectPr>
          <w:headerReference r:id="rId3" w:type="default"/>
          <w:footerReference r:id="rId4" w:type="default"/>
          <w:pgSz w:w="11906" w:h="16838"/>
          <w:pgMar w:top="1440" w:right="1080" w:bottom="1440" w:left="460" w:header="851" w:footer="794" w:gutter="567"/>
          <w:pgNumType w:fmt="decimal" w:start="1"/>
          <w:cols w:space="720" w:num="1"/>
        </w:sectPr>
      </w:pPr>
      <w:r>
        <w:rPr>
          <w:rFonts w:hint="eastAsia"/>
          <w:color w:val="auto"/>
          <w:highlight w:val="none"/>
          <w:lang w:eastAsia="zh-CN"/>
        </w:rPr>
        <w:tab/>
      </w:r>
    </w:p>
    <w:p w14:paraId="569CBA14">
      <w:pPr>
        <w:pStyle w:val="2"/>
        <w:keepNext/>
        <w:keepLines/>
        <w:pageBreakBefore w:val="0"/>
        <w:widowControl w:val="0"/>
        <w:kinsoku/>
        <w:wordWrap/>
        <w:overflowPunct/>
        <w:topLinePunct w:val="0"/>
        <w:autoSpaceDE/>
        <w:autoSpaceDN/>
        <w:bidi w:val="0"/>
        <w:adjustRightInd/>
        <w:snapToGrid/>
        <w:spacing w:before="0" w:after="0" w:afterLines="50" w:line="520" w:lineRule="exact"/>
        <w:jc w:val="center"/>
        <w:textAlignment w:val="auto"/>
        <w:rPr>
          <w:rFonts w:hint="eastAsia"/>
          <w:color w:val="auto"/>
          <w:sz w:val="32"/>
          <w:szCs w:val="32"/>
          <w:highlight w:val="none"/>
          <w:lang w:eastAsia="zh-CN"/>
        </w:rPr>
      </w:pPr>
      <w:bookmarkStart w:id="1" w:name="_Toc29312"/>
      <w:r>
        <w:rPr>
          <w:rFonts w:hint="eastAsia"/>
          <w:color w:val="auto"/>
          <w:sz w:val="32"/>
          <w:szCs w:val="32"/>
          <w:highlight w:val="none"/>
        </w:rPr>
        <w:t>第一章</w:t>
      </w:r>
      <w:bookmarkEnd w:id="0"/>
      <w:bookmarkEnd w:id="1"/>
      <w:bookmarkStart w:id="2" w:name="_Toc434315323"/>
      <w:r>
        <w:rPr>
          <w:rFonts w:hint="eastAsia"/>
          <w:color w:val="auto"/>
          <w:sz w:val="32"/>
          <w:szCs w:val="32"/>
          <w:highlight w:val="none"/>
          <w:lang w:val="en-US" w:eastAsia="zh-CN"/>
        </w:rPr>
        <w:t xml:space="preserve">  竞争性</w:t>
      </w:r>
      <w:r>
        <w:rPr>
          <w:rFonts w:hint="eastAsia"/>
          <w:color w:val="auto"/>
          <w:sz w:val="32"/>
          <w:szCs w:val="32"/>
          <w:highlight w:val="none"/>
          <w:lang w:eastAsia="zh-CN"/>
        </w:rPr>
        <w:t>磋商公告</w:t>
      </w:r>
    </w:p>
    <w:p w14:paraId="6B7A5B2D">
      <w:pPr>
        <w:keepNext w:val="0"/>
        <w:keepLines w:val="0"/>
        <w:pageBreakBefore w:val="0"/>
        <w:widowControl w:val="0"/>
        <w:kinsoku/>
        <w:wordWrap/>
        <w:overflowPunct/>
        <w:topLinePunct w:val="0"/>
        <w:autoSpaceDE/>
        <w:autoSpaceDN/>
        <w:bidi w:val="0"/>
        <w:adjustRightInd/>
        <w:snapToGrid/>
        <w:spacing w:after="0" w:afterLines="50" w:line="460" w:lineRule="exact"/>
        <w:jc w:val="left"/>
        <w:textAlignment w:val="auto"/>
        <w:rPr>
          <w:color w:val="auto"/>
          <w:sz w:val="30"/>
          <w:szCs w:val="30"/>
          <w:highlight w:val="none"/>
        </w:rPr>
      </w:pPr>
      <w:r>
        <w:rPr>
          <w:rFonts w:hint="eastAsia" w:ascii="宋体" w:hAnsi="宋体"/>
          <w:b/>
          <w:color w:val="auto"/>
          <w:sz w:val="30"/>
          <w:szCs w:val="30"/>
          <w:highlight w:val="none"/>
          <w:lang w:val="en-US" w:eastAsia="zh-CN"/>
        </w:rPr>
        <w:t>广西合士嘉项目咨询有限公司</w:t>
      </w:r>
      <w:r>
        <w:rPr>
          <w:rFonts w:hint="eastAsia" w:ascii="宋体" w:hAnsi="宋体"/>
          <w:b/>
          <w:color w:val="auto"/>
          <w:sz w:val="30"/>
          <w:szCs w:val="30"/>
          <w:highlight w:val="none"/>
        </w:rPr>
        <w:t>关于</w:t>
      </w:r>
      <w:bookmarkStart w:id="3" w:name="_Toc2948"/>
      <w:r>
        <w:rPr>
          <w:rFonts w:hint="eastAsia" w:ascii="宋体" w:hAnsi="宋体" w:eastAsia="宋体" w:cs="宋体"/>
          <w:b/>
          <w:bCs/>
          <w:color w:val="auto"/>
          <w:sz w:val="30"/>
          <w:szCs w:val="30"/>
          <w:u w:val="none"/>
          <w:lang w:val="en-US" w:eastAsia="zh-CN"/>
        </w:rPr>
        <w:t>浦北县第二中学运动场维修项目</w:t>
      </w:r>
      <w:r>
        <w:rPr>
          <w:rFonts w:hint="eastAsia" w:ascii="宋体" w:hAnsi="宋体" w:eastAsia="宋体" w:cs="宋体"/>
          <w:b/>
          <w:bCs/>
          <w:color w:val="auto"/>
          <w:sz w:val="30"/>
          <w:szCs w:val="30"/>
          <w:highlight w:val="none"/>
          <w:u w:val="none"/>
          <w:lang w:val="en-US" w:eastAsia="zh-CN"/>
        </w:rPr>
        <w:t>（</w:t>
      </w:r>
      <w:r>
        <w:rPr>
          <w:rFonts w:hint="eastAsia" w:ascii="宋体" w:hAnsi="宋体" w:eastAsia="宋体" w:cs="宋体"/>
          <w:b/>
          <w:bCs/>
          <w:i w:val="0"/>
          <w:iCs w:val="0"/>
          <w:caps w:val="0"/>
          <w:color w:val="auto"/>
          <w:spacing w:val="0"/>
          <w:sz w:val="30"/>
          <w:szCs w:val="30"/>
          <w:highlight w:val="none"/>
          <w:shd w:val="clear" w:color="auto" w:fill="auto"/>
        </w:rPr>
        <w:t>QZZC2026-C2-220047-GXHS</w:t>
      </w:r>
      <w:r>
        <w:rPr>
          <w:rFonts w:hint="eastAsia" w:ascii="宋体" w:hAnsi="宋体"/>
          <w:b/>
          <w:bCs/>
          <w:color w:val="auto"/>
          <w:sz w:val="30"/>
          <w:szCs w:val="30"/>
          <w:highlight w:val="none"/>
          <w:u w:val="none"/>
          <w:lang w:val="en-US" w:eastAsia="zh-CN"/>
        </w:rPr>
        <w:t>）</w:t>
      </w:r>
      <w:r>
        <w:rPr>
          <w:rFonts w:hint="eastAsia" w:ascii="宋体" w:hAnsi="宋体"/>
          <w:b/>
          <w:color w:val="auto"/>
          <w:sz w:val="30"/>
          <w:szCs w:val="30"/>
          <w:highlight w:val="none"/>
          <w:u w:val="none"/>
          <w:lang w:val="en-US" w:eastAsia="zh-CN"/>
        </w:rPr>
        <w:t>竞争</w:t>
      </w:r>
      <w:r>
        <w:rPr>
          <w:rFonts w:hint="eastAsia" w:ascii="宋体" w:hAnsi="宋体" w:eastAsia="宋体"/>
          <w:b/>
          <w:color w:val="auto"/>
          <w:sz w:val="30"/>
          <w:szCs w:val="30"/>
          <w:highlight w:val="none"/>
          <w:lang w:val="en-US" w:eastAsia="zh-CN"/>
        </w:rPr>
        <w:t>性</w:t>
      </w:r>
      <w:r>
        <w:rPr>
          <w:rFonts w:hint="eastAsia" w:ascii="宋体" w:hAnsi="宋体" w:eastAsia="宋体"/>
          <w:b/>
          <w:color w:val="auto"/>
          <w:sz w:val="30"/>
          <w:szCs w:val="30"/>
          <w:highlight w:val="none"/>
          <w:lang w:eastAsia="zh-CN"/>
        </w:rPr>
        <w:t>磋商公告</w:t>
      </w:r>
      <w:bookmarkEnd w:id="3"/>
    </w:p>
    <w:tbl>
      <w:tblPr>
        <w:tblStyle w:val="30"/>
        <w:tblW w:w="9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6"/>
      </w:tblGrid>
      <w:tr w14:paraId="31F7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9266" w:type="dxa"/>
            <w:noWrap w:val="0"/>
            <w:vAlign w:val="top"/>
          </w:tcPr>
          <w:p w14:paraId="15DB63F5">
            <w:pPr>
              <w:spacing w:line="400" w:lineRule="exact"/>
              <w:rPr>
                <w:rFonts w:ascii="宋体" w:hAnsi="宋体" w:cs="宋体"/>
                <w:color w:val="auto"/>
                <w:szCs w:val="21"/>
                <w:highlight w:val="none"/>
              </w:rPr>
            </w:pPr>
            <w:r>
              <w:rPr>
                <w:rFonts w:hint="eastAsia" w:ascii="宋体" w:hAnsi="宋体" w:cs="宋体"/>
                <w:color w:val="auto"/>
                <w:szCs w:val="21"/>
                <w:highlight w:val="none"/>
              </w:rPr>
              <w:t>项目概况</w:t>
            </w:r>
          </w:p>
          <w:p w14:paraId="106182FC">
            <w:pPr>
              <w:spacing w:line="400" w:lineRule="exact"/>
              <w:ind w:firstLine="420" w:firstLineChars="200"/>
              <w:rPr>
                <w:color w:val="auto"/>
                <w:highlight w:val="none"/>
              </w:rPr>
            </w:pPr>
            <w:r>
              <w:rPr>
                <w:rFonts w:hint="eastAsia" w:ascii="宋体" w:hAnsi="宋体" w:eastAsia="宋体" w:cs="宋体"/>
                <w:b w:val="0"/>
                <w:bCs w:val="0"/>
                <w:color w:val="auto"/>
                <w:sz w:val="21"/>
                <w:szCs w:val="21"/>
                <w:u w:val="single"/>
                <w:lang w:val="en-US" w:eastAsia="zh-CN"/>
              </w:rPr>
              <w:t>浦北县第二中学运动场维修项目</w:t>
            </w:r>
            <w:r>
              <w:rPr>
                <w:rFonts w:hint="eastAsia" w:ascii="宋体" w:hAnsi="宋体" w:cs="宋体"/>
                <w:color w:val="auto"/>
                <w:szCs w:val="21"/>
                <w:highlight w:val="none"/>
              </w:rPr>
              <w:t>采购项目的潜在供应商应在</w:t>
            </w:r>
            <w:r>
              <w:rPr>
                <w:rFonts w:hint="eastAsia" w:ascii="宋体" w:hAnsi="宋体" w:cs="宋体"/>
                <w:color w:val="auto"/>
                <w:szCs w:val="21"/>
                <w:highlight w:val="none"/>
                <w:u w:val="single"/>
                <w:lang w:eastAsia="zh-CN"/>
              </w:rPr>
              <w:t>广西政府采购云平台</w:t>
            </w:r>
            <w:r>
              <w:rPr>
                <w:rFonts w:hint="eastAsia" w:ascii="宋体" w:hAnsi="宋体" w:eastAsia="宋体" w:cs="宋体"/>
                <w:color w:val="auto"/>
                <w:szCs w:val="21"/>
                <w:highlight w:val="none"/>
                <w:u w:val="single"/>
                <w:lang w:eastAsia="zh-CN"/>
              </w:rPr>
              <w:t>（</w:t>
            </w:r>
            <w:r>
              <w:rPr>
                <w:rFonts w:hint="eastAsia" w:ascii="宋体" w:hAnsi="宋体" w:cs="宋体"/>
                <w:color w:val="auto"/>
                <w:szCs w:val="21"/>
                <w:highlight w:val="none"/>
                <w:u w:val="single"/>
                <w:lang w:eastAsia="zh-CN"/>
              </w:rPr>
              <w:t>https://www.gcy.zfcg.gxzf.gov.cn</w:t>
            </w:r>
            <w:r>
              <w:rPr>
                <w:rFonts w:hint="eastAsia" w:ascii="宋体" w:hAnsi="宋体" w:eastAsia="宋体" w:cs="宋体"/>
                <w:color w:val="auto"/>
                <w:szCs w:val="21"/>
                <w:highlight w:val="none"/>
                <w:u w:val="single"/>
                <w:lang w:eastAsia="zh-CN"/>
              </w:rPr>
              <w:t>）</w:t>
            </w:r>
            <w:r>
              <w:rPr>
                <w:rFonts w:hint="eastAsia" w:ascii="宋体" w:hAnsi="宋体" w:cs="宋体"/>
                <w:color w:val="auto"/>
                <w:szCs w:val="21"/>
                <w:highlight w:val="none"/>
              </w:rPr>
              <w:t>获取</w:t>
            </w:r>
            <w:r>
              <w:rPr>
                <w:rFonts w:hint="eastAsia" w:ascii="宋体" w:hAnsi="宋体" w:cs="宋体"/>
                <w:color w:val="auto"/>
                <w:highlight w:val="none"/>
              </w:rPr>
              <w:t>采购文件</w:t>
            </w:r>
            <w:r>
              <w:rPr>
                <w:rFonts w:hint="eastAsia" w:ascii="宋体" w:hAnsi="宋体" w:cs="宋体"/>
                <w:color w:val="auto"/>
                <w:szCs w:val="21"/>
                <w:highlight w:val="none"/>
              </w:rPr>
              <w:t>，并于</w:t>
            </w:r>
            <w:r>
              <w:rPr>
                <w:rFonts w:hint="eastAsia" w:ascii="宋体" w:hAnsi="宋体" w:cs="宋体"/>
                <w:color w:val="auto"/>
                <w:szCs w:val="21"/>
                <w:highlight w:val="none"/>
                <w:u w:val="single"/>
                <w:lang w:val="en-US" w:eastAsia="zh-CN"/>
              </w:rPr>
              <w:t>2026年06</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rPr>
              <w:t>日</w:t>
            </w:r>
            <w:r>
              <w:rPr>
                <w:rFonts w:hint="eastAsia" w:ascii="宋体" w:hAnsi="宋体" w:cs="宋体"/>
                <w:color w:val="auto"/>
                <w:szCs w:val="21"/>
                <w:highlight w:val="none"/>
                <w:u w:val="single"/>
                <w:lang w:val="en-US" w:eastAsia="zh-CN"/>
              </w:rPr>
              <w:t xml:space="preserve">09 </w:t>
            </w:r>
            <w:r>
              <w:rPr>
                <w:rFonts w:hint="eastAsia" w:ascii="宋体" w:hAnsi="宋体" w:cs="宋体"/>
                <w:color w:val="auto"/>
                <w:szCs w:val="21"/>
                <w:highlight w:val="none"/>
                <w:u w:val="single"/>
              </w:rPr>
              <w:t>时</w:t>
            </w:r>
            <w:r>
              <w:rPr>
                <w:rFonts w:hint="eastAsia" w:ascii="宋体" w:hAnsi="宋体" w:cs="宋体"/>
                <w:color w:val="auto"/>
                <w:szCs w:val="21"/>
                <w:highlight w:val="none"/>
                <w:u w:val="single"/>
                <w:lang w:val="en-US" w:eastAsia="zh-CN"/>
              </w:rPr>
              <w:t xml:space="preserve">30 </w:t>
            </w:r>
            <w:r>
              <w:rPr>
                <w:rFonts w:hint="eastAsia" w:ascii="宋体" w:hAnsi="宋体" w:cs="宋体"/>
                <w:color w:val="auto"/>
                <w:szCs w:val="21"/>
                <w:highlight w:val="none"/>
                <w:u w:val="single"/>
              </w:rPr>
              <w:t>分（北京时间）</w:t>
            </w:r>
            <w:r>
              <w:rPr>
                <w:rFonts w:hint="eastAsia" w:ascii="宋体" w:hAnsi="宋体" w:cs="宋体"/>
                <w:color w:val="auto"/>
                <w:szCs w:val="21"/>
                <w:highlight w:val="none"/>
              </w:rPr>
              <w:t>前提交响应文件。</w:t>
            </w:r>
          </w:p>
        </w:tc>
      </w:tr>
    </w:tbl>
    <w:p w14:paraId="5D9B5FB3">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rPr>
      </w:pPr>
      <w:bookmarkStart w:id="4" w:name="_Toc28359012"/>
      <w:bookmarkStart w:id="5" w:name="_Toc35393629"/>
      <w:bookmarkStart w:id="6" w:name="_Toc31859"/>
      <w:bookmarkStart w:id="7" w:name="_Toc9324"/>
      <w:bookmarkStart w:id="8" w:name="_Toc35393798"/>
      <w:bookmarkStart w:id="9" w:name="_Toc28359089"/>
      <w:r>
        <w:rPr>
          <w:rFonts w:hint="eastAsia" w:ascii="宋体" w:hAnsi="宋体" w:eastAsia="宋体" w:cs="宋体"/>
          <w:bCs w:val="0"/>
          <w:color w:val="auto"/>
          <w:sz w:val="21"/>
          <w:szCs w:val="21"/>
          <w:highlight w:val="none"/>
        </w:rPr>
        <w:t>一、项目基本情况</w:t>
      </w:r>
      <w:bookmarkEnd w:id="4"/>
      <w:bookmarkEnd w:id="5"/>
      <w:bookmarkEnd w:id="6"/>
      <w:bookmarkEnd w:id="7"/>
      <w:bookmarkEnd w:id="8"/>
      <w:bookmarkEnd w:id="9"/>
    </w:p>
    <w:p w14:paraId="07A6C347">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eastAsia="宋体" w:cs="宋体"/>
          <w:b w:val="0"/>
          <w:bCs w:val="0"/>
          <w:i w:val="0"/>
          <w:iCs w:val="0"/>
          <w:caps w:val="0"/>
          <w:color w:val="auto"/>
          <w:spacing w:val="0"/>
          <w:sz w:val="21"/>
          <w:szCs w:val="21"/>
          <w:highlight w:val="none"/>
          <w:shd w:val="clear" w:color="auto" w:fill="auto"/>
        </w:rPr>
        <w:t>QZZC2026-C2-220047-GXHS</w:t>
      </w:r>
    </w:p>
    <w:p w14:paraId="5BC8F3A9">
      <w:pPr>
        <w:pageBreakBefore w:val="0"/>
        <w:widowControl w:val="0"/>
        <w:kinsoku/>
        <w:wordWrap/>
        <w:overflowPunct/>
        <w:topLinePunct w:val="0"/>
        <w:bidi w:val="0"/>
        <w:adjustRightInd/>
        <w:spacing w:line="420" w:lineRule="exact"/>
        <w:ind w:firstLine="420" w:firstLineChars="200"/>
        <w:textAlignment w:val="auto"/>
        <w:rPr>
          <w:rFonts w:hint="default" w:ascii="宋体" w:hAnsi="宋体" w:eastAsia="宋体" w:cs="宋体"/>
          <w:color w:val="auto"/>
          <w:szCs w:val="21"/>
          <w:highlight w:val="none"/>
          <w:u w:val="none"/>
          <w:lang w:val="en-US"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u w:val="none"/>
        </w:rPr>
        <w:t>：</w:t>
      </w:r>
      <w:r>
        <w:rPr>
          <w:rFonts w:hint="eastAsia" w:ascii="宋体" w:hAnsi="宋体" w:eastAsia="宋体" w:cs="宋体"/>
          <w:b w:val="0"/>
          <w:bCs w:val="0"/>
          <w:color w:val="auto"/>
          <w:sz w:val="21"/>
          <w:szCs w:val="21"/>
          <w:u w:val="none"/>
          <w:lang w:val="en-US" w:eastAsia="zh-CN"/>
        </w:rPr>
        <w:t>浦北县第二中学运动场维修项目</w:t>
      </w:r>
    </w:p>
    <w:p w14:paraId="2508390B">
      <w:pPr>
        <w:pageBreakBefore w:val="0"/>
        <w:widowControl w:val="0"/>
        <w:kinsoku/>
        <w:wordWrap/>
        <w:overflowPunct/>
        <w:topLinePunct w:val="0"/>
        <w:bidi w:val="0"/>
        <w:adjustRightInd/>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采购方式：</w:t>
      </w:r>
      <w:r>
        <w:rPr>
          <w:rFonts w:hint="eastAsia" w:ascii="宋体" w:hAnsi="宋体" w:cs="宋体"/>
          <w:color w:val="auto"/>
          <w:highlight w:val="none"/>
        </w:rPr>
        <w:t>竞争性磋商</w:t>
      </w:r>
    </w:p>
    <w:p w14:paraId="5AD3D417">
      <w:pPr>
        <w:pageBreakBefore w:val="0"/>
        <w:widowControl w:val="0"/>
        <w:kinsoku/>
        <w:wordWrap/>
        <w:overflowPunct/>
        <w:topLinePunct w:val="0"/>
        <w:bidi w:val="0"/>
        <w:adjustRightInd/>
        <w:spacing w:line="42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预算</w:t>
      </w:r>
      <w:r>
        <w:rPr>
          <w:rFonts w:hint="eastAsia" w:ascii="宋体" w:hAnsi="宋体" w:cs="宋体"/>
          <w:color w:val="auto"/>
          <w:szCs w:val="21"/>
          <w:highlight w:val="none"/>
          <w:lang w:eastAsia="zh-CN"/>
        </w:rPr>
        <w:t>总</w:t>
      </w:r>
      <w:r>
        <w:rPr>
          <w:rFonts w:hint="eastAsia" w:ascii="宋体" w:hAnsi="宋体" w:cs="宋体"/>
          <w:color w:val="auto"/>
          <w:szCs w:val="21"/>
          <w:highlight w:val="none"/>
        </w:rPr>
        <w:t>金额（元）：</w:t>
      </w:r>
      <w:r>
        <w:rPr>
          <w:rFonts w:hint="eastAsia" w:ascii="宋体" w:hAnsi="宋体" w:eastAsia="宋体" w:cs="宋体"/>
          <w:b w:val="0"/>
          <w:bCs w:val="0"/>
          <w:color w:val="auto"/>
          <w:kern w:val="10"/>
          <w:sz w:val="21"/>
          <w:szCs w:val="21"/>
          <w:u w:val="none"/>
          <w:lang w:val="en-US" w:eastAsia="zh-CN"/>
        </w:rPr>
        <w:t>688648.65</w:t>
      </w:r>
    </w:p>
    <w:p w14:paraId="1CCEC00E">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采购需求：具体详见竞争性磋商文件、工程量清单及施工图纸</w:t>
      </w:r>
    </w:p>
    <w:p w14:paraId="39A12AE7">
      <w:pPr>
        <w:pageBreakBefore w:val="0"/>
        <w:widowControl w:val="0"/>
        <w:kinsoku/>
        <w:wordWrap/>
        <w:overflowPunct/>
        <w:topLinePunct w:val="0"/>
        <w:bidi w:val="0"/>
        <w:adjustRightInd/>
        <w:spacing w:line="420" w:lineRule="exact"/>
        <w:ind w:firstLine="420" w:firstLineChars="200"/>
        <w:textAlignment w:val="auto"/>
        <w:rPr>
          <w:rFonts w:hint="default" w:ascii="宋体" w:hAnsi="宋体" w:eastAsia="宋体" w:cs="宋体"/>
          <w:color w:val="auto"/>
          <w:szCs w:val="21"/>
          <w:highlight w:val="none"/>
          <w:u w:val="none"/>
          <w:lang w:val="en-US" w:eastAsia="zh-CN"/>
        </w:rPr>
      </w:pPr>
      <w:r>
        <w:rPr>
          <w:rFonts w:hint="eastAsia" w:ascii="宋体" w:hAnsi="宋体" w:cs="宋体"/>
          <w:color w:val="auto"/>
          <w:szCs w:val="21"/>
          <w:highlight w:val="none"/>
        </w:rPr>
        <w:t>标项名称</w:t>
      </w:r>
      <w:r>
        <w:rPr>
          <w:rFonts w:hint="eastAsia" w:ascii="宋体" w:hAnsi="宋体" w:cs="宋体"/>
          <w:color w:val="auto"/>
          <w:szCs w:val="21"/>
          <w:highlight w:val="none"/>
          <w:lang w:eastAsia="zh-CN"/>
        </w:rPr>
        <w:t>：</w:t>
      </w:r>
      <w:r>
        <w:rPr>
          <w:rFonts w:hint="eastAsia" w:ascii="宋体" w:hAnsi="宋体" w:eastAsia="宋体" w:cs="宋体"/>
          <w:b w:val="0"/>
          <w:bCs w:val="0"/>
          <w:color w:val="auto"/>
          <w:sz w:val="21"/>
          <w:szCs w:val="21"/>
          <w:u w:val="none"/>
          <w:lang w:val="en-US" w:eastAsia="zh-CN"/>
        </w:rPr>
        <w:t>浦北县第二中学运动场维修项目</w:t>
      </w:r>
    </w:p>
    <w:p w14:paraId="108720FC">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数量:不限</w:t>
      </w:r>
    </w:p>
    <w:p w14:paraId="39B6BDF4">
      <w:pPr>
        <w:pageBreakBefore w:val="0"/>
        <w:widowControl w:val="0"/>
        <w:kinsoku/>
        <w:wordWrap/>
        <w:overflowPunct/>
        <w:topLinePunct w:val="0"/>
        <w:bidi w:val="0"/>
        <w:adjustRightInd/>
        <w:spacing w:line="420" w:lineRule="exact"/>
        <w:ind w:left="420" w:leftChars="200" w:firstLine="0" w:firstLineChars="0"/>
        <w:textAlignment w:val="auto"/>
        <w:rPr>
          <w:rFonts w:hint="eastAsia" w:ascii="宋体" w:hAnsi="宋体" w:eastAsia="宋体" w:cs="宋体"/>
          <w:b w:val="0"/>
          <w:bCs w:val="0"/>
          <w:color w:val="auto"/>
          <w:kern w:val="10"/>
          <w:sz w:val="21"/>
          <w:szCs w:val="21"/>
          <w:u w:val="none"/>
          <w:lang w:val="en-US" w:eastAsia="zh-CN"/>
        </w:rPr>
      </w:pPr>
      <w:r>
        <w:rPr>
          <w:rFonts w:hint="eastAsia" w:ascii="宋体" w:hAnsi="宋体" w:cs="宋体"/>
          <w:color w:val="auto"/>
          <w:szCs w:val="21"/>
          <w:highlight w:val="none"/>
        </w:rPr>
        <w:t>预算金额（元）</w:t>
      </w:r>
      <w:r>
        <w:rPr>
          <w:rFonts w:hint="eastAsia" w:ascii="宋体" w:hAnsi="宋体" w:cs="宋体"/>
          <w:color w:val="auto"/>
          <w:szCs w:val="21"/>
          <w:highlight w:val="none"/>
          <w:lang w:eastAsia="zh-CN"/>
        </w:rPr>
        <w:t>：</w:t>
      </w:r>
      <w:r>
        <w:rPr>
          <w:rFonts w:hint="eastAsia" w:ascii="宋体" w:hAnsi="宋体" w:eastAsia="宋体" w:cs="宋体"/>
          <w:b w:val="0"/>
          <w:bCs w:val="0"/>
          <w:color w:val="auto"/>
          <w:kern w:val="10"/>
          <w:sz w:val="21"/>
          <w:szCs w:val="21"/>
          <w:u w:val="none"/>
          <w:lang w:val="en-US" w:eastAsia="zh-CN"/>
        </w:rPr>
        <w:t>688648.65</w:t>
      </w:r>
    </w:p>
    <w:p w14:paraId="0C090DF1">
      <w:pPr>
        <w:pageBreakBefore w:val="0"/>
        <w:widowControl w:val="0"/>
        <w:kinsoku/>
        <w:wordWrap/>
        <w:overflowPunct/>
        <w:topLinePunct w:val="0"/>
        <w:bidi w:val="0"/>
        <w:adjustRightInd/>
        <w:spacing w:line="420" w:lineRule="exact"/>
        <w:ind w:left="420" w:leftChars="200" w:firstLine="0" w:firstLineChars="0"/>
        <w:textAlignment w:val="auto"/>
        <w:rPr>
          <w:rFonts w:hint="eastAsia" w:ascii="宋体" w:hAnsi="宋体" w:cs="宋体"/>
          <w:color w:val="auto"/>
          <w:szCs w:val="21"/>
          <w:highlight w:val="none"/>
        </w:rPr>
      </w:pPr>
      <w:r>
        <w:rPr>
          <w:rFonts w:hint="eastAsia" w:ascii="宋体" w:hAnsi="宋体" w:cs="宋体"/>
          <w:color w:val="auto"/>
          <w:szCs w:val="21"/>
          <w:highlight w:val="none"/>
        </w:rPr>
        <w:t>简要规格描述或项目基本概况介绍、用途：</w:t>
      </w:r>
      <w:r>
        <w:rPr>
          <w:rFonts w:hint="eastAsia" w:ascii="宋体" w:hAnsi="宋体" w:eastAsia="宋体" w:cs="宋体"/>
          <w:b w:val="0"/>
          <w:bCs w:val="0"/>
          <w:color w:val="auto"/>
          <w:sz w:val="21"/>
          <w:szCs w:val="21"/>
          <w:u w:val="none"/>
          <w:lang w:val="en-US" w:eastAsia="zh-CN"/>
        </w:rPr>
        <w:t>浦北县第二中学运动场维修项目</w:t>
      </w:r>
      <w:r>
        <w:rPr>
          <w:color w:val="auto"/>
        </w:rPr>
        <w:t>，具体内容</w:t>
      </w:r>
      <w:r>
        <w:rPr>
          <w:rFonts w:hint="eastAsia"/>
          <w:color w:val="auto"/>
          <w:lang w:val="en-US" w:eastAsia="zh-CN"/>
        </w:rPr>
        <w:t>详</w:t>
      </w:r>
      <w:r>
        <w:rPr>
          <w:color w:val="auto"/>
        </w:rPr>
        <w:t>见</w:t>
      </w:r>
      <w:r>
        <w:rPr>
          <w:rFonts w:hint="eastAsia"/>
          <w:color w:val="auto"/>
          <w:lang w:val="en-US" w:eastAsia="zh-CN"/>
        </w:rPr>
        <w:t>工程量清单</w:t>
      </w:r>
      <w:r>
        <w:rPr>
          <w:rFonts w:hint="eastAsia" w:ascii="宋体" w:hAnsi="宋体" w:cs="宋体"/>
          <w:color w:val="auto"/>
          <w:szCs w:val="21"/>
          <w:highlight w:val="none"/>
          <w:lang w:eastAsia="zh-CN"/>
        </w:rPr>
        <w:t>及施工图纸</w:t>
      </w:r>
      <w:r>
        <w:rPr>
          <w:rFonts w:hint="eastAsia" w:ascii="宋体" w:hAnsi="宋体" w:eastAsia="宋体" w:cs="宋体"/>
          <w:color w:val="auto"/>
          <w:sz w:val="21"/>
          <w:szCs w:val="21"/>
          <w:highlight w:val="none"/>
          <w:lang w:eastAsia="zh-CN"/>
        </w:rPr>
        <w:t>。</w:t>
      </w:r>
    </w:p>
    <w:p w14:paraId="28861777">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cs="宋体"/>
          <w:b w:val="0"/>
          <w:bCs w:val="0"/>
          <w:color w:val="auto"/>
          <w:kern w:val="10"/>
          <w:sz w:val="21"/>
          <w:szCs w:val="21"/>
          <w:u w:val="none"/>
          <w:lang w:val="en-US" w:eastAsia="zh-CN"/>
        </w:rPr>
      </w:pPr>
      <w:r>
        <w:rPr>
          <w:rFonts w:hint="eastAsia" w:ascii="宋体" w:hAnsi="宋体" w:cs="宋体"/>
          <w:color w:val="auto"/>
          <w:szCs w:val="21"/>
          <w:highlight w:val="none"/>
        </w:rPr>
        <w:t>最高限价（如有）：</w:t>
      </w:r>
      <w:r>
        <w:rPr>
          <w:rFonts w:hint="eastAsia" w:ascii="宋体" w:hAnsi="宋体" w:cs="宋体"/>
          <w:b w:val="0"/>
          <w:bCs w:val="0"/>
          <w:color w:val="auto"/>
          <w:kern w:val="10"/>
          <w:sz w:val="21"/>
          <w:szCs w:val="21"/>
          <w:u w:val="none"/>
          <w:lang w:val="en-US" w:eastAsia="zh-CN"/>
        </w:rPr>
        <w:t>619783.00</w:t>
      </w:r>
    </w:p>
    <w:p w14:paraId="7C33905F">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合同履约期限：</w:t>
      </w:r>
      <w:r>
        <w:rPr>
          <w:rFonts w:hint="eastAsia" w:ascii="宋体" w:hAnsi="宋体" w:cs="宋体"/>
          <w:color w:val="auto"/>
          <w:szCs w:val="21"/>
          <w:highlight w:val="none"/>
          <w:lang w:eastAsia="zh-CN"/>
        </w:rPr>
        <w:t>施工工期</w:t>
      </w:r>
      <w:r>
        <w:rPr>
          <w:rFonts w:hint="eastAsia" w:ascii="宋体" w:hAnsi="宋体" w:cs="宋体"/>
          <w:color w:val="auto"/>
          <w:szCs w:val="21"/>
          <w:highlight w:val="none"/>
          <w:u w:val="single"/>
          <w:lang w:val="en-US" w:eastAsia="zh-CN"/>
        </w:rPr>
        <w:t>20</w:t>
      </w:r>
      <w:r>
        <w:rPr>
          <w:rFonts w:hint="eastAsia" w:ascii="宋体" w:hAnsi="宋体" w:cs="宋体"/>
          <w:color w:val="auto"/>
          <w:szCs w:val="21"/>
          <w:highlight w:val="none"/>
          <w:lang w:eastAsia="zh-CN"/>
        </w:rPr>
        <w:t>日历天</w:t>
      </w:r>
    </w:p>
    <w:p w14:paraId="428ADBEF">
      <w:pPr>
        <w:pageBreakBefore w:val="0"/>
        <w:widowControl w:val="0"/>
        <w:kinsoku/>
        <w:wordWrap/>
        <w:overflowPunct/>
        <w:topLinePunct w:val="0"/>
        <w:bidi w:val="0"/>
        <w:adjustRightInd/>
        <w:spacing w:line="420" w:lineRule="exact"/>
        <w:ind w:left="420" w:leftChars="200" w:firstLine="0" w:firstLineChars="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本标项（否）接受联合体投标</w:t>
      </w:r>
    </w:p>
    <w:p w14:paraId="6895AF8B">
      <w:pPr>
        <w:pageBreakBefore w:val="0"/>
        <w:widowControl w:val="0"/>
        <w:kinsoku/>
        <w:wordWrap/>
        <w:overflowPunct/>
        <w:topLinePunct w:val="0"/>
        <w:bidi w:val="0"/>
        <w:adjustRightInd/>
        <w:spacing w:line="420" w:lineRule="exact"/>
        <w:ind w:left="420" w:leftChars="200" w:firstLine="0" w:firstLineChars="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备注：</w:t>
      </w:r>
      <w:r>
        <w:rPr>
          <w:rFonts w:hint="eastAsia" w:ascii="宋体" w:hAnsi="宋体" w:cs="宋体"/>
          <w:color w:val="auto"/>
          <w:szCs w:val="21"/>
          <w:highlight w:val="none"/>
          <w:lang w:eastAsia="zh-CN"/>
        </w:rPr>
        <w:t>无</w:t>
      </w:r>
    </w:p>
    <w:p w14:paraId="7710EFFC">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rPr>
      </w:pPr>
      <w:bookmarkStart w:id="10" w:name="_Toc35393799"/>
      <w:bookmarkStart w:id="11" w:name="_Toc28359013"/>
      <w:bookmarkStart w:id="12" w:name="_Toc28359090"/>
      <w:bookmarkStart w:id="13" w:name="_Toc35393630"/>
      <w:bookmarkStart w:id="14" w:name="_Toc21513"/>
      <w:r>
        <w:rPr>
          <w:rFonts w:hint="eastAsia" w:ascii="宋体" w:hAnsi="宋体" w:eastAsia="宋体" w:cs="宋体"/>
          <w:bCs w:val="0"/>
          <w:color w:val="auto"/>
          <w:sz w:val="21"/>
          <w:szCs w:val="21"/>
          <w:highlight w:val="none"/>
        </w:rPr>
        <w:t>二、申请人的资格要求：</w:t>
      </w:r>
      <w:bookmarkEnd w:id="10"/>
      <w:bookmarkEnd w:id="11"/>
      <w:bookmarkEnd w:id="12"/>
      <w:bookmarkEnd w:id="13"/>
      <w:bookmarkEnd w:id="14"/>
    </w:p>
    <w:p w14:paraId="75AC9595">
      <w:pPr>
        <w:pageBreakBefore w:val="0"/>
        <w:widowControl w:val="0"/>
        <w:kinsoku/>
        <w:wordWrap/>
        <w:overflowPunct/>
        <w:topLinePunct w:val="0"/>
        <w:bidi w:val="0"/>
        <w:adjustRightInd/>
        <w:snapToGrid w:val="0"/>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1.符合《中华人民共和国政府采购法》第二十二条规定</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w:t>
      </w:r>
    </w:p>
    <w:p w14:paraId="0BBF747C">
      <w:pPr>
        <w:pageBreakBefore w:val="0"/>
        <w:widowControl w:val="0"/>
        <w:kinsoku/>
        <w:wordWrap/>
        <w:overflowPunct/>
        <w:topLinePunct w:val="0"/>
        <w:bidi w:val="0"/>
        <w:adjustRightInd/>
        <w:spacing w:line="42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2.落实政府采购政策需满足的资格要求：</w:t>
      </w:r>
      <w:r>
        <w:rPr>
          <w:rFonts w:hint="eastAsia" w:ascii="宋体" w:hAnsi="宋体" w:cs="宋体"/>
          <w:color w:val="auto"/>
          <w:szCs w:val="21"/>
          <w:highlight w:val="none"/>
          <w:lang w:eastAsia="zh-CN"/>
        </w:rPr>
        <w:t>本项目为专门面向中小企业采购的项目</w:t>
      </w:r>
      <w:r>
        <w:rPr>
          <w:rFonts w:hint="eastAsia" w:ascii="宋体" w:hAnsi="宋体" w:cs="宋体"/>
          <w:color w:val="auto"/>
          <w:szCs w:val="21"/>
          <w:highlight w:val="none"/>
          <w:lang w:val="en-US" w:eastAsia="zh-CN"/>
        </w:rPr>
        <w:t>；</w:t>
      </w:r>
    </w:p>
    <w:p w14:paraId="225097A2">
      <w:pPr>
        <w:pStyle w:val="10"/>
        <w:keepNext w:val="0"/>
        <w:keepLines w:val="0"/>
        <w:pageBreakBefore w:val="0"/>
        <w:widowControl w:val="0"/>
        <w:kinsoku/>
        <w:wordWrap/>
        <w:overflowPunct/>
        <w:topLinePunct w:val="0"/>
        <w:autoSpaceDE/>
        <w:autoSpaceDN/>
        <w:bidi w:val="0"/>
        <w:adjustRightInd/>
        <w:snapToGrid/>
        <w:spacing w:after="0" w:line="420" w:lineRule="exact"/>
        <w:ind w:firstLine="420" w:firstLineChars="200"/>
        <w:textAlignment w:val="auto"/>
        <w:rPr>
          <w:rFonts w:hint="eastAsia" w:hAnsi="宋体" w:eastAsia="宋体" w:cs="宋体"/>
          <w:color w:val="auto"/>
          <w:sz w:val="21"/>
          <w:szCs w:val="21"/>
          <w:highlight w:val="none"/>
          <w:lang w:eastAsia="zh-CN"/>
        </w:rPr>
      </w:pPr>
      <w:bookmarkStart w:id="15" w:name="_Toc28359014"/>
      <w:bookmarkStart w:id="16" w:name="_Toc28359091"/>
      <w:r>
        <w:rPr>
          <w:rFonts w:hint="eastAsia" w:hAnsi="宋体" w:cs="宋体"/>
          <w:color w:val="auto"/>
          <w:sz w:val="21"/>
          <w:szCs w:val="21"/>
          <w:highlight w:val="none"/>
        </w:rPr>
        <w:t>3.本项目的特定资格要求：</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1</w:t>
      </w:r>
      <w:r>
        <w:rPr>
          <w:rFonts w:hint="eastAsia" w:hAnsi="宋体" w:cs="宋体"/>
          <w:color w:val="auto"/>
          <w:sz w:val="21"/>
          <w:szCs w:val="21"/>
          <w:highlight w:val="none"/>
          <w:lang w:eastAsia="zh-CN"/>
        </w:rPr>
        <w:t>）竞标人须具备市政公用工程施工总承包三级（含三级）以上资质以及有效的安全生产许可证，在人员、设备、资金等方面具备相应的施工能力</w:t>
      </w:r>
      <w:r>
        <w:rPr>
          <w:rFonts w:hint="eastAsia" w:hAnsi="宋体" w:cs="宋体"/>
          <w:color w:val="auto"/>
          <w:sz w:val="21"/>
          <w:szCs w:val="21"/>
          <w:highlight w:val="none"/>
          <w:lang w:val="en-US" w:eastAsia="zh-CN"/>
        </w:rPr>
        <w:t>。</w:t>
      </w:r>
      <w:r>
        <w:rPr>
          <w:rFonts w:hint="eastAsia" w:hAnsi="宋体" w:cs="宋体"/>
          <w:color w:val="auto"/>
          <w:kern w:val="0"/>
          <w:sz w:val="21"/>
          <w:szCs w:val="21"/>
          <w:highlight w:val="none"/>
          <w:lang w:val="en-US" w:eastAsia="zh-CN" w:bidi="ar-SA"/>
        </w:rPr>
        <w:t>（2）</w:t>
      </w:r>
      <w:r>
        <w:rPr>
          <w:rFonts w:hint="eastAsia" w:ascii="宋体" w:hAnsi="宋体" w:eastAsia="宋体" w:cs="宋体"/>
          <w:color w:val="auto"/>
          <w:sz w:val="21"/>
          <w:szCs w:val="21"/>
          <w:highlight w:val="none"/>
          <w:lang w:val="en-US" w:eastAsia="zh-CN"/>
        </w:rPr>
        <w:t>拟投入本工程的项目经理必须</w:t>
      </w:r>
      <w:r>
        <w:rPr>
          <w:rFonts w:hint="eastAsia" w:ascii="宋体" w:hAnsi="宋体" w:eastAsia="宋体" w:cs="宋体"/>
          <w:color w:val="auto"/>
          <w:sz w:val="21"/>
          <w:szCs w:val="21"/>
          <w:highlight w:val="none"/>
          <w:lang w:eastAsia="zh-CN"/>
        </w:rPr>
        <w:t>具备市政公用工程专业二级（含二级）以上注册建造师执业资格，且具备有效的安全生产考核合格证书（B类）</w:t>
      </w:r>
      <w:r>
        <w:rPr>
          <w:rFonts w:hint="eastAsia" w:hAnsi="宋体" w:cs="宋体"/>
          <w:color w:val="auto"/>
          <w:sz w:val="21"/>
          <w:szCs w:val="21"/>
          <w:highlight w:val="none"/>
        </w:rPr>
        <w:t>。</w:t>
      </w:r>
    </w:p>
    <w:p w14:paraId="5EE8B442">
      <w:pPr>
        <w:pStyle w:val="3"/>
        <w:pageBreakBefore w:val="0"/>
        <w:widowControl w:val="0"/>
        <w:kinsoku/>
        <w:wordWrap/>
        <w:overflowPunct/>
        <w:topLinePunct w:val="0"/>
        <w:bidi w:val="0"/>
        <w:adjustRightInd/>
        <w:spacing w:line="420" w:lineRule="exact"/>
        <w:textAlignment w:val="auto"/>
        <w:outlineLvl w:val="0"/>
        <w:rPr>
          <w:rFonts w:hint="eastAsia" w:ascii="宋体" w:hAnsi="宋体" w:eastAsia="宋体" w:cs="宋体"/>
          <w:bCs w:val="0"/>
          <w:color w:val="auto"/>
          <w:sz w:val="21"/>
          <w:szCs w:val="21"/>
          <w:highlight w:val="none"/>
        </w:rPr>
      </w:pPr>
      <w:bookmarkStart w:id="17" w:name="_Toc35393800"/>
      <w:bookmarkStart w:id="18" w:name="_Toc13777"/>
      <w:bookmarkStart w:id="19" w:name="_Toc35393631"/>
      <w:bookmarkStart w:id="20" w:name="_Toc9125"/>
      <w:r>
        <w:rPr>
          <w:rFonts w:hint="eastAsia" w:ascii="宋体" w:hAnsi="宋体" w:eastAsia="宋体" w:cs="宋体"/>
          <w:bCs w:val="0"/>
          <w:color w:val="auto"/>
          <w:sz w:val="21"/>
          <w:szCs w:val="21"/>
          <w:highlight w:val="none"/>
        </w:rPr>
        <w:t>三、获取采购文件</w:t>
      </w:r>
      <w:bookmarkEnd w:id="15"/>
      <w:bookmarkEnd w:id="16"/>
      <w:bookmarkEnd w:id="17"/>
      <w:bookmarkEnd w:id="18"/>
      <w:bookmarkEnd w:id="19"/>
      <w:bookmarkEnd w:id="20"/>
    </w:p>
    <w:p w14:paraId="2EED1C82">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color w:val="auto"/>
          <w:szCs w:val="21"/>
          <w:highlight w:val="none"/>
          <w:u w:val="none"/>
          <w:lang w:eastAsia="zh-CN"/>
        </w:rPr>
      </w:pPr>
      <w:r>
        <w:rPr>
          <w:rFonts w:hint="eastAsia" w:ascii="宋体" w:hAnsi="宋体" w:cs="宋体"/>
          <w:color w:val="auto"/>
          <w:szCs w:val="21"/>
          <w:highlight w:val="none"/>
          <w:u w:val="none"/>
        </w:rPr>
        <w:t>时间：</w:t>
      </w:r>
      <w:r>
        <w:rPr>
          <w:rFonts w:hint="eastAsia" w:ascii="宋体" w:hAnsi="宋体" w:cs="宋体"/>
          <w:color w:val="auto"/>
          <w:szCs w:val="21"/>
          <w:highlight w:val="none"/>
          <w:u w:val="none"/>
          <w:lang w:val="en-US" w:eastAsia="zh-CN"/>
        </w:rPr>
        <w:t>2026</w:t>
      </w:r>
      <w:r>
        <w:rPr>
          <w:rFonts w:hint="eastAsia" w:ascii="宋体" w:hAnsi="宋体" w:cs="宋体"/>
          <w:color w:val="auto"/>
          <w:szCs w:val="21"/>
          <w:highlight w:val="none"/>
          <w:u w:val="none"/>
          <w:lang w:eastAsia="zh-CN"/>
        </w:rPr>
        <w:t>年</w:t>
      </w:r>
      <w:r>
        <w:rPr>
          <w:rFonts w:hint="eastAsia" w:ascii="宋体" w:hAnsi="宋体" w:cs="宋体"/>
          <w:color w:val="auto"/>
          <w:szCs w:val="21"/>
          <w:highlight w:val="none"/>
          <w:u w:val="none"/>
          <w:lang w:val="en-US" w:eastAsia="zh-CN"/>
        </w:rPr>
        <w:t>05</w:t>
      </w:r>
      <w:r>
        <w:rPr>
          <w:rFonts w:hint="eastAsia" w:ascii="宋体" w:hAnsi="宋体" w:cs="宋体"/>
          <w:color w:val="auto"/>
          <w:szCs w:val="21"/>
          <w:highlight w:val="none"/>
          <w:u w:val="none"/>
        </w:rPr>
        <w:t>月</w:t>
      </w:r>
      <w:r>
        <w:rPr>
          <w:rFonts w:hint="eastAsia" w:ascii="宋体" w:hAnsi="宋体" w:cs="宋体"/>
          <w:color w:val="auto"/>
          <w:szCs w:val="21"/>
          <w:highlight w:val="none"/>
          <w:u w:val="none"/>
          <w:lang w:val="en-US" w:eastAsia="zh-CN"/>
        </w:rPr>
        <w:t>15</w:t>
      </w:r>
      <w:r>
        <w:rPr>
          <w:rFonts w:hint="eastAsia" w:ascii="宋体" w:hAnsi="宋体" w:cs="宋体"/>
          <w:color w:val="auto"/>
          <w:szCs w:val="21"/>
          <w:highlight w:val="none"/>
          <w:u w:val="none"/>
        </w:rPr>
        <w:t>日至</w:t>
      </w:r>
      <w:r>
        <w:rPr>
          <w:rFonts w:hint="eastAsia" w:ascii="宋体" w:hAnsi="宋体" w:cs="宋体"/>
          <w:color w:val="auto"/>
          <w:szCs w:val="21"/>
          <w:highlight w:val="none"/>
          <w:u w:val="none"/>
          <w:lang w:val="en-US" w:eastAsia="zh-CN"/>
        </w:rPr>
        <w:t>2026</w:t>
      </w:r>
      <w:r>
        <w:rPr>
          <w:rFonts w:hint="eastAsia" w:ascii="宋体" w:hAnsi="宋体" w:cs="宋体"/>
          <w:color w:val="auto"/>
          <w:szCs w:val="21"/>
          <w:highlight w:val="none"/>
          <w:u w:val="none"/>
          <w:lang w:eastAsia="zh-CN"/>
        </w:rPr>
        <w:t>年</w:t>
      </w:r>
      <w:r>
        <w:rPr>
          <w:rFonts w:hint="eastAsia" w:ascii="宋体" w:hAnsi="宋体" w:cs="宋体"/>
          <w:color w:val="auto"/>
          <w:szCs w:val="21"/>
          <w:highlight w:val="none"/>
          <w:u w:val="none"/>
          <w:lang w:val="en-US" w:eastAsia="zh-CN"/>
        </w:rPr>
        <w:t>05</w:t>
      </w:r>
      <w:r>
        <w:rPr>
          <w:rFonts w:hint="eastAsia" w:ascii="宋体" w:hAnsi="宋体" w:cs="宋体"/>
          <w:color w:val="auto"/>
          <w:szCs w:val="21"/>
          <w:highlight w:val="none"/>
          <w:u w:val="none"/>
        </w:rPr>
        <w:t>月</w:t>
      </w:r>
      <w:r>
        <w:rPr>
          <w:rFonts w:hint="eastAsia" w:ascii="宋体" w:hAnsi="宋体" w:cs="宋体"/>
          <w:color w:val="auto"/>
          <w:szCs w:val="21"/>
          <w:highlight w:val="none"/>
          <w:u w:val="none"/>
          <w:lang w:val="en-US" w:eastAsia="zh-CN"/>
        </w:rPr>
        <w:t xml:space="preserve">22 </w:t>
      </w:r>
      <w:r>
        <w:rPr>
          <w:rFonts w:hint="eastAsia" w:ascii="宋体" w:hAnsi="宋体" w:cs="宋体"/>
          <w:color w:val="auto"/>
          <w:szCs w:val="21"/>
          <w:highlight w:val="none"/>
          <w:u w:val="none"/>
        </w:rPr>
        <w:t>日，每天上午8:00至12:00，下午</w:t>
      </w:r>
      <w:r>
        <w:rPr>
          <w:rFonts w:hint="eastAsia" w:ascii="宋体" w:hAnsi="宋体" w:cs="宋体"/>
          <w:color w:val="auto"/>
          <w:szCs w:val="21"/>
          <w:highlight w:val="none"/>
          <w:u w:val="none"/>
          <w:lang w:val="en-US" w:eastAsia="zh-CN"/>
        </w:rPr>
        <w:t>15</w:t>
      </w:r>
      <w:r>
        <w:rPr>
          <w:rFonts w:hint="eastAsia" w:ascii="宋体" w:hAnsi="宋体" w:cs="宋体"/>
          <w:color w:val="auto"/>
          <w:szCs w:val="21"/>
          <w:highlight w:val="none"/>
          <w:u w:val="none"/>
        </w:rPr>
        <w:t>:00至</w:t>
      </w:r>
      <w:r>
        <w:rPr>
          <w:rFonts w:hint="eastAsia" w:ascii="宋体" w:hAnsi="宋体" w:cs="宋体"/>
          <w:color w:val="auto"/>
          <w:szCs w:val="21"/>
          <w:highlight w:val="none"/>
          <w:u w:val="none"/>
          <w:lang w:val="en-US" w:eastAsia="zh-CN"/>
        </w:rPr>
        <w:t>18</w:t>
      </w:r>
      <w:r>
        <w:rPr>
          <w:rFonts w:hint="eastAsia" w:ascii="宋体" w:hAnsi="宋体" w:cs="宋体"/>
          <w:color w:val="auto"/>
          <w:szCs w:val="21"/>
          <w:highlight w:val="none"/>
          <w:u w:val="none"/>
        </w:rPr>
        <w:t>:</w:t>
      </w:r>
      <w:r>
        <w:rPr>
          <w:rFonts w:hint="eastAsia" w:ascii="宋体" w:hAnsi="宋体" w:cs="宋体"/>
          <w:color w:val="auto"/>
          <w:szCs w:val="21"/>
          <w:highlight w:val="none"/>
          <w:u w:val="none"/>
          <w:lang w:val="en-US" w:eastAsia="zh-CN"/>
        </w:rPr>
        <w:t>00</w:t>
      </w:r>
      <w:r>
        <w:rPr>
          <w:rFonts w:hint="eastAsia" w:ascii="宋体" w:hAnsi="宋体" w:cs="宋体"/>
          <w:color w:val="auto"/>
          <w:szCs w:val="21"/>
          <w:highlight w:val="none"/>
          <w:u w:val="none"/>
        </w:rPr>
        <w:t>（北京时间，法定节假日除外）</w:t>
      </w:r>
      <w:r>
        <w:rPr>
          <w:rFonts w:hint="eastAsia" w:ascii="宋体" w:hAnsi="宋体" w:cs="宋体"/>
          <w:color w:val="auto"/>
          <w:szCs w:val="21"/>
          <w:highlight w:val="none"/>
          <w:u w:val="none"/>
          <w:lang w:eastAsia="zh-CN"/>
        </w:rPr>
        <w:t>。</w:t>
      </w:r>
    </w:p>
    <w:p w14:paraId="08A5F64F">
      <w:pPr>
        <w:keepNext w:val="0"/>
        <w:keepLines w:val="0"/>
        <w:pageBreakBefore w:val="0"/>
        <w:widowControl w:val="0"/>
        <w:kinsoku/>
        <w:wordWrap/>
        <w:overflowPunct/>
        <w:topLinePunct w:val="0"/>
        <w:autoSpaceDE/>
        <w:autoSpaceDN/>
        <w:bidi w:val="0"/>
        <w:adjustRightInd/>
        <w:spacing w:line="420" w:lineRule="exact"/>
        <w:ind w:left="0" w:leftChars="0" w:firstLine="367" w:firstLineChars="175"/>
        <w:textAlignment w:val="auto"/>
        <w:rPr>
          <w:rFonts w:hint="eastAsia" w:ascii="宋体" w:hAnsi="宋体" w:eastAsia="宋体" w:cs="宋体"/>
          <w:iCs/>
          <w:color w:val="auto"/>
          <w:spacing w:val="0"/>
          <w:sz w:val="21"/>
          <w:szCs w:val="21"/>
          <w:highlight w:val="none"/>
          <w:u w:val="none"/>
          <w:lang w:eastAsia="zh-CN"/>
        </w:rPr>
      </w:pPr>
      <w:r>
        <w:rPr>
          <w:rFonts w:hint="eastAsia" w:ascii="宋体" w:hAnsi="宋体" w:eastAsia="宋体" w:cs="宋体"/>
          <w:color w:val="auto"/>
          <w:spacing w:val="0"/>
          <w:sz w:val="21"/>
          <w:szCs w:val="21"/>
          <w:highlight w:val="none"/>
          <w:u w:val="none"/>
        </w:rPr>
        <w:t>地</w:t>
      </w:r>
      <w:r>
        <w:rPr>
          <w:rFonts w:hint="eastAsia" w:ascii="宋体" w:hAnsi="宋体" w:cs="宋体"/>
          <w:color w:val="auto"/>
          <w:spacing w:val="0"/>
          <w:sz w:val="21"/>
          <w:szCs w:val="21"/>
          <w:highlight w:val="none"/>
          <w:u w:val="none"/>
          <w:lang w:eastAsia="zh-CN"/>
        </w:rPr>
        <w:t>点</w:t>
      </w:r>
      <w:r>
        <w:rPr>
          <w:rFonts w:hint="eastAsia" w:ascii="宋体" w:hAnsi="宋体" w:cs="宋体"/>
          <w:color w:val="auto"/>
          <w:spacing w:val="0"/>
          <w:sz w:val="21"/>
          <w:szCs w:val="21"/>
          <w:highlight w:val="none"/>
          <w:u w:val="none"/>
          <w:lang w:val="en-US" w:eastAsia="zh-CN"/>
        </w:rPr>
        <w:t>（网址）</w:t>
      </w:r>
      <w:r>
        <w:rPr>
          <w:rFonts w:hint="eastAsia" w:ascii="宋体" w:hAnsi="宋体" w:eastAsia="宋体" w:cs="宋体"/>
          <w:color w:val="auto"/>
          <w:spacing w:val="0"/>
          <w:sz w:val="21"/>
          <w:szCs w:val="21"/>
          <w:highlight w:val="none"/>
          <w:u w:val="none"/>
          <w:lang w:val="en-US" w:eastAsia="zh-CN"/>
        </w:rPr>
        <w:t>：</w:t>
      </w:r>
      <w:r>
        <w:rPr>
          <w:rFonts w:hint="eastAsia" w:ascii="宋体" w:hAnsi="宋体" w:cs="Times New Roman"/>
          <w:color w:val="auto"/>
          <w:szCs w:val="21"/>
          <w:highlight w:val="none"/>
          <w:u w:val="none"/>
          <w:lang w:eastAsia="zh-CN"/>
        </w:rPr>
        <w:t>广西政府采购云平台</w:t>
      </w:r>
      <w:r>
        <w:rPr>
          <w:rFonts w:hint="eastAsia" w:ascii="宋体" w:hAnsi="宋体" w:eastAsia="宋体" w:cs="Times New Roman"/>
          <w:color w:val="auto"/>
          <w:szCs w:val="21"/>
          <w:highlight w:val="none"/>
          <w:u w:val="none"/>
        </w:rPr>
        <w:t>（</w:t>
      </w:r>
      <w:r>
        <w:rPr>
          <w:rFonts w:hint="eastAsia" w:ascii="宋体" w:hAnsi="宋体" w:cs="Times New Roman"/>
          <w:color w:val="auto"/>
          <w:szCs w:val="21"/>
          <w:highlight w:val="none"/>
          <w:u w:val="none"/>
          <w:lang w:eastAsia="zh-CN"/>
        </w:rPr>
        <w:t>https://www.gcy.zfcg.gxzf.gov.cn</w:t>
      </w:r>
      <w:r>
        <w:rPr>
          <w:rFonts w:hint="eastAsia" w:ascii="宋体" w:hAnsi="宋体" w:eastAsia="宋体" w:cs="Times New Roman"/>
          <w:color w:val="auto"/>
          <w:szCs w:val="21"/>
          <w:highlight w:val="none"/>
          <w:u w:val="none"/>
        </w:rPr>
        <w:t>）</w:t>
      </w:r>
    </w:p>
    <w:p w14:paraId="777AEE0C">
      <w:pPr>
        <w:keepNext w:val="0"/>
        <w:keepLines w:val="0"/>
        <w:pageBreakBefore w:val="0"/>
        <w:widowControl w:val="0"/>
        <w:kinsoku/>
        <w:wordWrap/>
        <w:overflowPunct/>
        <w:topLinePunct w:val="0"/>
        <w:autoSpaceDE/>
        <w:autoSpaceDN/>
        <w:bidi w:val="0"/>
        <w:adjustRightInd/>
        <w:snapToGrid w:val="0"/>
        <w:spacing w:line="420" w:lineRule="exact"/>
        <w:ind w:left="0" w:leftChars="0" w:firstLine="367" w:firstLineChars="175"/>
        <w:textAlignment w:val="auto"/>
        <w:rPr>
          <w:color w:val="auto"/>
          <w:highlight w:val="none"/>
        </w:rPr>
      </w:pPr>
      <w:r>
        <w:rPr>
          <w:rFonts w:hint="eastAsia" w:ascii="宋体" w:hAnsi="宋体"/>
          <w:color w:val="auto"/>
          <w:szCs w:val="21"/>
          <w:highlight w:val="none"/>
        </w:rPr>
        <w:t>方式</w:t>
      </w:r>
      <w:r>
        <w:rPr>
          <w:rFonts w:hint="eastAsia" w:ascii="宋体" w:hAnsi="宋体"/>
          <w:color w:val="auto"/>
          <w:szCs w:val="21"/>
          <w:highlight w:val="none"/>
          <w:lang w:eastAsia="zh-CN"/>
        </w:rPr>
        <w:t>：供应商登录广西政府采购云平台https://www.gcy.zfcg.gxzf.gov.cn/在线申请获取采购文件（进入“项目采购”应用，在获取采购文件菜单中选择项目，申请获取采购文件）。</w:t>
      </w:r>
    </w:p>
    <w:p w14:paraId="1AFA5F69">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rPr>
      </w:pPr>
      <w:bookmarkStart w:id="21" w:name="_Toc28359015"/>
      <w:bookmarkStart w:id="22" w:name="_Toc35393632"/>
      <w:bookmarkStart w:id="23" w:name="_Toc28970"/>
      <w:bookmarkStart w:id="24" w:name="_Toc28359092"/>
      <w:bookmarkStart w:id="25" w:name="_Toc18110"/>
      <w:bookmarkStart w:id="26" w:name="_Toc35393801"/>
      <w:r>
        <w:rPr>
          <w:rFonts w:hint="eastAsia" w:ascii="宋体" w:hAnsi="宋体" w:eastAsia="宋体" w:cs="宋体"/>
          <w:bCs w:val="0"/>
          <w:color w:val="auto"/>
          <w:sz w:val="21"/>
          <w:szCs w:val="21"/>
          <w:highlight w:val="none"/>
        </w:rPr>
        <w:t>四、响应文件提交</w:t>
      </w:r>
      <w:bookmarkEnd w:id="21"/>
      <w:bookmarkEnd w:id="22"/>
      <w:bookmarkEnd w:id="23"/>
      <w:bookmarkEnd w:id="24"/>
      <w:bookmarkEnd w:id="25"/>
      <w:bookmarkEnd w:id="26"/>
    </w:p>
    <w:p w14:paraId="1D7E5D56">
      <w:pPr>
        <w:keepNext w:val="0"/>
        <w:keepLines w:val="0"/>
        <w:pageBreakBefore w:val="0"/>
        <w:widowControl w:val="0"/>
        <w:kinsoku/>
        <w:wordWrap/>
        <w:overflowPunct/>
        <w:topLinePunct w:val="0"/>
        <w:autoSpaceDE/>
        <w:autoSpaceDN/>
        <w:bidi w:val="0"/>
        <w:adjustRightInd/>
        <w:spacing w:line="420" w:lineRule="exact"/>
        <w:ind w:left="0" w:leftChars="0" w:firstLine="367" w:firstLineChars="175"/>
        <w:textAlignment w:val="auto"/>
        <w:rPr>
          <w:rFonts w:hint="eastAsia" w:ascii="宋体" w:hAnsi="宋体" w:eastAsia="宋体" w:cs="宋体"/>
          <w:color w:val="auto"/>
          <w:szCs w:val="21"/>
          <w:highlight w:val="none"/>
          <w:u w:val="none"/>
          <w:lang w:eastAsia="zh-CN"/>
        </w:rPr>
      </w:pPr>
      <w:r>
        <w:rPr>
          <w:rFonts w:hint="eastAsia" w:ascii="宋体" w:hAnsi="宋体"/>
          <w:bCs/>
          <w:color w:val="auto"/>
          <w:szCs w:val="21"/>
          <w:highlight w:val="none"/>
          <w:u w:val="none"/>
        </w:rPr>
        <w:t>截止时间：</w:t>
      </w:r>
      <w:r>
        <w:rPr>
          <w:rFonts w:hint="eastAsia" w:ascii="宋体" w:hAnsi="宋体" w:cs="宋体"/>
          <w:color w:val="auto"/>
          <w:szCs w:val="21"/>
          <w:highlight w:val="none"/>
          <w:u w:val="single"/>
          <w:lang w:val="en-US" w:eastAsia="zh-CN"/>
        </w:rPr>
        <w:t>2026年06</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rPr>
        <w:t>日</w:t>
      </w:r>
      <w:r>
        <w:rPr>
          <w:rFonts w:hint="eastAsia" w:ascii="宋体" w:hAnsi="宋体" w:cs="宋体"/>
          <w:color w:val="auto"/>
          <w:szCs w:val="21"/>
          <w:highlight w:val="none"/>
          <w:u w:val="single"/>
          <w:lang w:val="en-US" w:eastAsia="zh-CN"/>
        </w:rPr>
        <w:t xml:space="preserve">09 </w:t>
      </w:r>
      <w:r>
        <w:rPr>
          <w:rFonts w:hint="eastAsia" w:ascii="宋体" w:hAnsi="宋体" w:cs="宋体"/>
          <w:color w:val="auto"/>
          <w:szCs w:val="21"/>
          <w:highlight w:val="none"/>
          <w:u w:val="single"/>
        </w:rPr>
        <w:t>时</w:t>
      </w:r>
      <w:r>
        <w:rPr>
          <w:rFonts w:hint="eastAsia" w:ascii="宋体" w:hAnsi="宋体" w:cs="宋体"/>
          <w:color w:val="auto"/>
          <w:szCs w:val="21"/>
          <w:highlight w:val="none"/>
          <w:u w:val="single"/>
          <w:lang w:val="en-US" w:eastAsia="zh-CN"/>
        </w:rPr>
        <w:t xml:space="preserve">30 </w:t>
      </w:r>
      <w:r>
        <w:rPr>
          <w:rFonts w:hint="eastAsia" w:ascii="宋体" w:hAnsi="宋体" w:cs="宋体"/>
          <w:color w:val="auto"/>
          <w:szCs w:val="21"/>
          <w:highlight w:val="none"/>
          <w:u w:val="single"/>
        </w:rPr>
        <w:t>分</w:t>
      </w:r>
      <w:r>
        <w:rPr>
          <w:rFonts w:hint="eastAsia" w:ascii="宋体" w:hAnsi="宋体"/>
          <w:bCs/>
          <w:color w:val="auto"/>
          <w:szCs w:val="21"/>
          <w:highlight w:val="none"/>
          <w:u w:val="none"/>
        </w:rPr>
        <w:t>（北京时间）</w:t>
      </w:r>
    </w:p>
    <w:p w14:paraId="21B5B3ED">
      <w:pPr>
        <w:keepNext w:val="0"/>
        <w:keepLines w:val="0"/>
        <w:pageBreakBefore w:val="0"/>
        <w:widowControl w:val="0"/>
        <w:kinsoku/>
        <w:wordWrap/>
        <w:overflowPunct/>
        <w:topLinePunct w:val="0"/>
        <w:autoSpaceDE/>
        <w:autoSpaceDN/>
        <w:bidi w:val="0"/>
        <w:adjustRightInd/>
        <w:spacing w:line="420" w:lineRule="exact"/>
        <w:ind w:left="0" w:leftChars="0" w:firstLine="367" w:firstLineChars="175"/>
        <w:textAlignment w:val="auto"/>
        <w:rPr>
          <w:rFonts w:ascii="宋体" w:hAnsi="宋体" w:cs="宋体"/>
          <w:bCs/>
          <w:color w:val="auto"/>
          <w:szCs w:val="21"/>
          <w:highlight w:val="none"/>
          <w:u w:val="none"/>
        </w:rPr>
      </w:pPr>
      <w:r>
        <w:rPr>
          <w:rFonts w:hint="eastAsia" w:ascii="宋体" w:hAnsi="宋体"/>
          <w:color w:val="auto"/>
          <w:szCs w:val="21"/>
          <w:highlight w:val="none"/>
          <w:u w:val="none"/>
        </w:rPr>
        <w:t>地点（网址）：</w:t>
      </w:r>
      <w:r>
        <w:rPr>
          <w:rFonts w:hint="eastAsia" w:ascii="宋体" w:hAnsi="宋体" w:cs="宋体"/>
          <w:bCs/>
          <w:color w:val="auto"/>
          <w:szCs w:val="21"/>
          <w:highlight w:val="none"/>
        </w:rPr>
        <w:t>通过</w:t>
      </w:r>
      <w:r>
        <w:rPr>
          <w:rFonts w:hint="eastAsia" w:ascii="宋体" w:hAnsi="宋体" w:cs="宋体"/>
          <w:color w:val="auto"/>
          <w:highlight w:val="none"/>
          <w:lang w:eastAsia="zh-CN"/>
        </w:rPr>
        <w:t>广西政府采购云平台</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https://www.gcy.zfcg.gxzf.gov.cn</w:t>
      </w:r>
      <w:r>
        <w:rPr>
          <w:rFonts w:hint="eastAsia" w:ascii="宋体" w:hAnsi="宋体" w:cs="宋体"/>
          <w:bCs/>
          <w:color w:val="auto"/>
          <w:szCs w:val="21"/>
          <w:highlight w:val="none"/>
        </w:rPr>
        <w:t>/）</w:t>
      </w:r>
      <w:r>
        <w:rPr>
          <w:rFonts w:hint="eastAsia" w:ascii="宋体" w:hAnsi="宋体" w:cs="宋体"/>
          <w:color w:val="auto"/>
          <w:szCs w:val="21"/>
          <w:highlight w:val="none"/>
        </w:rPr>
        <w:t>上传响应文件，并在线竞标。</w:t>
      </w:r>
    </w:p>
    <w:p w14:paraId="34FE25A7">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u w:val="none"/>
        </w:rPr>
      </w:pPr>
      <w:bookmarkStart w:id="27" w:name="_Toc24973"/>
      <w:bookmarkStart w:id="28" w:name="_Toc35393633"/>
      <w:bookmarkStart w:id="29" w:name="_Toc3197"/>
      <w:bookmarkStart w:id="30" w:name="_Toc28359016"/>
      <w:bookmarkStart w:id="31" w:name="_Toc28359093"/>
      <w:bookmarkStart w:id="32" w:name="_Toc35393802"/>
      <w:r>
        <w:rPr>
          <w:rFonts w:hint="eastAsia" w:ascii="宋体" w:hAnsi="宋体" w:eastAsia="宋体" w:cs="宋体"/>
          <w:bCs w:val="0"/>
          <w:color w:val="auto"/>
          <w:sz w:val="21"/>
          <w:szCs w:val="21"/>
          <w:highlight w:val="none"/>
          <w:u w:val="none"/>
        </w:rPr>
        <w:t>五、响应文件开启</w:t>
      </w:r>
      <w:bookmarkEnd w:id="27"/>
      <w:bookmarkEnd w:id="28"/>
      <w:bookmarkEnd w:id="29"/>
      <w:bookmarkEnd w:id="30"/>
      <w:bookmarkEnd w:id="31"/>
      <w:bookmarkEnd w:id="32"/>
    </w:p>
    <w:p w14:paraId="16CAC265">
      <w:pPr>
        <w:keepNext w:val="0"/>
        <w:keepLines w:val="0"/>
        <w:pageBreakBefore w:val="0"/>
        <w:widowControl w:val="0"/>
        <w:kinsoku/>
        <w:wordWrap/>
        <w:overflowPunct/>
        <w:topLinePunct w:val="0"/>
        <w:autoSpaceDE/>
        <w:autoSpaceDN/>
        <w:bidi w:val="0"/>
        <w:adjustRightInd/>
        <w:spacing w:line="420" w:lineRule="exact"/>
        <w:ind w:left="0" w:leftChars="0" w:firstLine="367" w:firstLineChars="175"/>
        <w:textAlignment w:val="auto"/>
        <w:rPr>
          <w:rFonts w:hint="eastAsia" w:ascii="宋体" w:hAnsi="宋体" w:eastAsia="宋体"/>
          <w:bCs/>
          <w:color w:val="auto"/>
          <w:szCs w:val="21"/>
          <w:highlight w:val="none"/>
          <w:u w:val="none"/>
          <w:lang w:eastAsia="zh-CN"/>
        </w:rPr>
      </w:pPr>
      <w:r>
        <w:rPr>
          <w:rFonts w:hint="eastAsia" w:ascii="宋体" w:hAnsi="宋体"/>
          <w:bCs/>
          <w:color w:val="auto"/>
          <w:szCs w:val="21"/>
          <w:highlight w:val="none"/>
          <w:u w:val="none"/>
        </w:rPr>
        <w:t>开启时间：</w:t>
      </w:r>
      <w:r>
        <w:rPr>
          <w:rFonts w:hint="eastAsia" w:ascii="宋体" w:hAnsi="宋体" w:cs="宋体"/>
          <w:color w:val="auto"/>
          <w:szCs w:val="21"/>
          <w:highlight w:val="none"/>
          <w:u w:val="single"/>
          <w:lang w:val="en-US" w:eastAsia="zh-CN"/>
        </w:rPr>
        <w:t>2026年06</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rPr>
        <w:t>日</w:t>
      </w:r>
      <w:r>
        <w:rPr>
          <w:rFonts w:hint="eastAsia" w:ascii="宋体" w:hAnsi="宋体" w:cs="宋体"/>
          <w:color w:val="auto"/>
          <w:szCs w:val="21"/>
          <w:highlight w:val="none"/>
          <w:u w:val="single"/>
          <w:lang w:val="en-US" w:eastAsia="zh-CN"/>
        </w:rPr>
        <w:t xml:space="preserve">09 </w:t>
      </w:r>
      <w:r>
        <w:rPr>
          <w:rFonts w:hint="eastAsia" w:ascii="宋体" w:hAnsi="宋体" w:cs="宋体"/>
          <w:color w:val="auto"/>
          <w:szCs w:val="21"/>
          <w:highlight w:val="none"/>
          <w:u w:val="single"/>
        </w:rPr>
        <w:t>时</w:t>
      </w:r>
      <w:r>
        <w:rPr>
          <w:rFonts w:hint="eastAsia" w:ascii="宋体" w:hAnsi="宋体" w:cs="宋体"/>
          <w:color w:val="auto"/>
          <w:szCs w:val="21"/>
          <w:highlight w:val="none"/>
          <w:u w:val="single"/>
          <w:lang w:val="en-US" w:eastAsia="zh-CN"/>
        </w:rPr>
        <w:t xml:space="preserve">30 </w:t>
      </w:r>
      <w:r>
        <w:rPr>
          <w:rFonts w:hint="eastAsia" w:ascii="宋体" w:hAnsi="宋体" w:cs="宋体"/>
          <w:color w:val="auto"/>
          <w:szCs w:val="21"/>
          <w:highlight w:val="none"/>
          <w:u w:val="single"/>
        </w:rPr>
        <w:t>分</w:t>
      </w:r>
      <w:r>
        <w:rPr>
          <w:rFonts w:hint="eastAsia" w:ascii="宋体" w:hAnsi="宋体"/>
          <w:bCs/>
          <w:color w:val="auto"/>
          <w:szCs w:val="21"/>
          <w:highlight w:val="none"/>
          <w:u w:val="none"/>
        </w:rPr>
        <w:t>（北京时间）</w:t>
      </w:r>
    </w:p>
    <w:p w14:paraId="56D20EF7">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bCs/>
          <w:color w:val="auto"/>
          <w:szCs w:val="21"/>
          <w:highlight w:val="none"/>
          <w:u w:val="none"/>
          <w:lang w:eastAsia="zh-CN"/>
        </w:rPr>
      </w:pPr>
      <w:r>
        <w:rPr>
          <w:rFonts w:hint="eastAsia" w:ascii="宋体" w:hAnsi="宋体"/>
          <w:bCs/>
          <w:color w:val="auto"/>
          <w:szCs w:val="21"/>
          <w:highlight w:val="none"/>
          <w:u w:val="none"/>
        </w:rPr>
        <w:t>地点：“</w:t>
      </w:r>
      <w:r>
        <w:rPr>
          <w:rFonts w:hint="eastAsia" w:ascii="宋体" w:hAnsi="宋体" w:cs="宋体"/>
          <w:color w:val="auto"/>
          <w:highlight w:val="none"/>
          <w:lang w:eastAsia="zh-CN"/>
        </w:rPr>
        <w:t>广西政府采购云平台</w:t>
      </w:r>
      <w:r>
        <w:rPr>
          <w:rFonts w:hint="eastAsia" w:ascii="宋体" w:hAnsi="宋体"/>
          <w:bCs/>
          <w:color w:val="auto"/>
          <w:szCs w:val="21"/>
          <w:highlight w:val="none"/>
          <w:u w:val="none"/>
        </w:rPr>
        <w:t>”平台电子开标大厅在线解密开启</w:t>
      </w:r>
      <w:r>
        <w:rPr>
          <w:rFonts w:hint="eastAsia" w:ascii="宋体" w:hAnsi="宋体"/>
          <w:bCs/>
          <w:color w:val="auto"/>
          <w:szCs w:val="21"/>
          <w:highlight w:val="none"/>
          <w:u w:val="none"/>
          <w:lang w:eastAsia="zh-CN"/>
        </w:rPr>
        <w:t>。</w:t>
      </w:r>
      <w:r>
        <w:rPr>
          <w:rFonts w:hint="eastAsia" w:ascii="宋体" w:hAnsi="宋体" w:eastAsia="宋体" w:cs="宋体"/>
          <w:i w:val="0"/>
          <w:iCs w:val="0"/>
          <w:caps w:val="0"/>
          <w:color w:val="auto"/>
          <w:spacing w:val="0"/>
          <w:sz w:val="21"/>
          <w:szCs w:val="21"/>
        </w:rPr>
        <w:t>本项目采用远程异地评标，评标主场设在浦北县公共资源交易中心【浦北县西环路金浦新区越秀路133号(政务中心西向县总工会三楼)】，</w:t>
      </w:r>
      <w:r>
        <w:rPr>
          <w:rFonts w:hint="eastAsia" w:ascii="宋体" w:hAnsi="宋体" w:eastAsia="宋体" w:cs="宋体"/>
          <w:i w:val="0"/>
          <w:iCs w:val="0"/>
          <w:caps w:val="0"/>
          <w:color w:val="auto"/>
          <w:spacing w:val="0"/>
          <w:sz w:val="21"/>
          <w:szCs w:val="21"/>
          <w:lang w:val="en-US" w:eastAsia="zh-CN"/>
        </w:rPr>
        <w:t>副</w:t>
      </w:r>
      <w:r>
        <w:rPr>
          <w:rFonts w:hint="eastAsia" w:ascii="宋体" w:hAnsi="宋体" w:eastAsia="宋体" w:cs="宋体"/>
          <w:i w:val="0"/>
          <w:iCs w:val="0"/>
          <w:caps w:val="0"/>
          <w:color w:val="auto"/>
          <w:spacing w:val="0"/>
          <w:sz w:val="21"/>
          <w:szCs w:val="21"/>
        </w:rPr>
        <w:t>场设在</w:t>
      </w:r>
      <w:r>
        <w:rPr>
          <w:rFonts w:hint="eastAsia" w:ascii="宋体" w:hAnsi="宋体" w:eastAsia="宋体" w:cs="宋体"/>
          <w:i w:val="0"/>
          <w:iCs w:val="0"/>
          <w:caps w:val="0"/>
          <w:color w:val="auto"/>
          <w:spacing w:val="0"/>
          <w:sz w:val="21"/>
          <w:szCs w:val="21"/>
          <w:lang w:eastAsia="zh-CN"/>
        </w:rPr>
        <w:t>：</w:t>
      </w:r>
      <w:r>
        <w:rPr>
          <w:rFonts w:hint="eastAsia" w:ascii="宋体" w:hAnsi="宋体" w:eastAsia="宋体" w:cs="宋体"/>
          <w:color w:val="auto"/>
          <w:spacing w:val="1"/>
          <w:sz w:val="21"/>
          <w:szCs w:val="21"/>
          <w:lang w:val="en-US" w:eastAsia="zh-CN"/>
        </w:rPr>
        <w:t>玉林市</w:t>
      </w:r>
      <w:r>
        <w:rPr>
          <w:rFonts w:hint="eastAsia" w:ascii="宋体" w:hAnsi="宋体" w:eastAsia="宋体" w:cs="宋体"/>
          <w:color w:val="auto"/>
          <w:spacing w:val="1"/>
          <w:sz w:val="21"/>
          <w:szCs w:val="21"/>
        </w:rPr>
        <w:t>公共资源交易中心</w:t>
      </w:r>
      <w:r>
        <w:rPr>
          <w:rFonts w:hint="eastAsia" w:ascii="宋体" w:hAnsi="宋体" w:eastAsia="宋体" w:cs="宋体"/>
          <w:i w:val="0"/>
          <w:iCs w:val="0"/>
          <w:caps w:val="0"/>
          <w:color w:val="auto"/>
          <w:spacing w:val="0"/>
          <w:sz w:val="21"/>
          <w:szCs w:val="21"/>
        </w:rPr>
        <w:t> </w:t>
      </w:r>
      <w:r>
        <w:rPr>
          <w:rFonts w:hint="eastAsia" w:ascii="宋体" w:hAnsi="宋体"/>
          <w:bCs/>
          <w:color w:val="auto"/>
          <w:szCs w:val="21"/>
          <w:highlight w:val="none"/>
          <w:u w:val="none"/>
        </w:rPr>
        <w:t> </w:t>
      </w:r>
    </w:p>
    <w:p w14:paraId="368DAF64">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u w:val="none"/>
        </w:rPr>
      </w:pPr>
      <w:bookmarkStart w:id="33" w:name="_Toc17419"/>
      <w:bookmarkStart w:id="34" w:name="_Toc5452"/>
      <w:bookmarkStart w:id="35" w:name="_Toc28359017"/>
      <w:bookmarkStart w:id="36" w:name="_Toc35393634"/>
      <w:bookmarkStart w:id="37" w:name="_Toc28359094"/>
      <w:bookmarkStart w:id="38" w:name="_Toc35393803"/>
      <w:r>
        <w:rPr>
          <w:rFonts w:hint="eastAsia" w:ascii="宋体" w:hAnsi="宋体" w:eastAsia="宋体" w:cs="宋体"/>
          <w:bCs w:val="0"/>
          <w:color w:val="auto"/>
          <w:sz w:val="21"/>
          <w:szCs w:val="21"/>
          <w:highlight w:val="none"/>
          <w:u w:val="none"/>
        </w:rPr>
        <w:t>六、公告期限</w:t>
      </w:r>
      <w:bookmarkEnd w:id="33"/>
      <w:bookmarkEnd w:id="34"/>
      <w:bookmarkEnd w:id="35"/>
      <w:bookmarkEnd w:id="36"/>
      <w:bookmarkEnd w:id="37"/>
      <w:bookmarkEnd w:id="38"/>
    </w:p>
    <w:p w14:paraId="6AB0ECB3">
      <w:pPr>
        <w:pageBreakBefore w:val="0"/>
        <w:widowControl w:val="0"/>
        <w:kinsoku/>
        <w:wordWrap/>
        <w:overflowPunct/>
        <w:topLinePunct w:val="0"/>
        <w:bidi w:val="0"/>
        <w:adjustRightInd/>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自本公告发布之日起5个工作日。</w:t>
      </w:r>
    </w:p>
    <w:p w14:paraId="30A45A19">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rPr>
      </w:pPr>
      <w:bookmarkStart w:id="39" w:name="_Toc321"/>
      <w:bookmarkStart w:id="40" w:name="_Toc26297"/>
      <w:bookmarkStart w:id="41" w:name="_Toc35393635"/>
      <w:bookmarkStart w:id="42" w:name="_Toc35393804"/>
      <w:r>
        <w:rPr>
          <w:rFonts w:hint="eastAsia" w:ascii="宋体" w:hAnsi="宋体" w:eastAsia="宋体" w:cs="宋体"/>
          <w:bCs w:val="0"/>
          <w:color w:val="auto"/>
          <w:sz w:val="21"/>
          <w:szCs w:val="21"/>
          <w:highlight w:val="none"/>
        </w:rPr>
        <w:t>七、其他补充事宜</w:t>
      </w:r>
      <w:bookmarkEnd w:id="39"/>
      <w:bookmarkEnd w:id="40"/>
      <w:bookmarkEnd w:id="41"/>
      <w:bookmarkEnd w:id="42"/>
    </w:p>
    <w:p w14:paraId="7472EAFD">
      <w:pPr>
        <w:spacing w:line="288" w:lineRule="auto"/>
        <w:ind w:firstLine="420" w:firstLineChars="200"/>
        <w:rPr>
          <w:rFonts w:hint="eastAsia" w:ascii="宋体" w:hAnsi="宋体" w:cs="宋体"/>
          <w:color w:val="auto"/>
          <w:szCs w:val="21"/>
          <w:highlight w:val="none"/>
        </w:rPr>
      </w:pPr>
      <w:bookmarkStart w:id="43" w:name="_Toc35393636"/>
      <w:bookmarkStart w:id="44" w:name="_Toc28359018"/>
      <w:bookmarkStart w:id="45" w:name="_Toc28359095"/>
      <w:bookmarkStart w:id="46" w:name="_Toc35393805"/>
      <w:r>
        <w:rPr>
          <w:rFonts w:hint="eastAsia" w:ascii="宋体" w:hAnsi="宋体" w:cs="宋体"/>
          <w:color w:val="auto"/>
          <w:szCs w:val="21"/>
          <w:highlight w:val="none"/>
        </w:rPr>
        <w:t>1.本项目为全流程电子化政府采购项目，供应商应按照本项目采购文件和</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的要求编制、加密并提交电子响应文件。未完成</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供应商注册入驻并办理数字证书（CA认证）的供应商将无法参与本项目政府采购活动。供应商在使用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参与投标过程中遇到涉及平台使用的任何问题，</w:t>
      </w:r>
      <w:r>
        <w:rPr>
          <w:rFonts w:hint="eastAsia" w:ascii="宋体" w:hAnsi="宋体"/>
          <w:color w:val="auto"/>
          <w:szCs w:val="21"/>
          <w:highlight w:val="none"/>
        </w:rPr>
        <w:t>可致电</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技术支持热线咨询</w:t>
      </w:r>
      <w:r>
        <w:rPr>
          <w:rFonts w:hint="eastAsia" w:ascii="宋体" w:hAnsi="宋体" w:cs="宋体"/>
          <w:color w:val="auto"/>
          <w:szCs w:val="21"/>
          <w:highlight w:val="none"/>
        </w:rPr>
        <w:t>：</w:t>
      </w:r>
      <w:r>
        <w:rPr>
          <w:rFonts w:hint="eastAsia" w:ascii="宋体" w:hAnsi="宋体" w:cs="宋体"/>
          <w:color w:val="auto"/>
          <w:kern w:val="0"/>
          <w:szCs w:val="21"/>
          <w:highlight w:val="none"/>
        </w:rPr>
        <w:t>95763</w:t>
      </w:r>
      <w:r>
        <w:rPr>
          <w:rFonts w:hint="eastAsia" w:ascii="宋体"/>
          <w:color w:val="auto"/>
          <w:szCs w:val="21"/>
          <w:highlight w:val="none"/>
        </w:rPr>
        <w:t>。</w:t>
      </w:r>
    </w:p>
    <w:p w14:paraId="2E0400A5">
      <w:pPr>
        <w:spacing w:line="240" w:lineRule="auto"/>
        <w:ind w:firstLine="0" w:firstLineChars="0"/>
        <w:jc w:val="left"/>
        <w:rPr>
          <w:rFonts w:hint="eastAsia" w:ascii="宋体" w:hAnsi="宋体" w:cs="宋体"/>
          <w:color w:val="auto"/>
          <w:szCs w:val="21"/>
          <w:highlight w:val="none"/>
        </w:rPr>
      </w:pPr>
      <w:r>
        <w:rPr>
          <w:rFonts w:hint="eastAsia" w:ascii="宋体" w:hAnsi="宋体" w:cs="宋体"/>
          <w:color w:val="auto"/>
          <w:szCs w:val="21"/>
          <w:highlight w:val="none"/>
        </w:rPr>
        <w:t>（1）供应商应及时熟悉掌握电子标系统操作指南（见政采云电子卖场首页右上角—服务中心—帮助文档—项目采购）：https://service.zcygov.cn/#/knowledges/tree?tag=AG1DtGwBFdiHxlNdhY0r。</w:t>
      </w:r>
    </w:p>
    <w:p w14:paraId="1602CD77">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（2）供应商应及时完成</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供应商注册入驻和办理政采云CA证书申领和绑定（见广西壮族自治区政府采购网—办事服务—下载专区-政采云CA证书办理操作指南）。</w:t>
      </w:r>
    </w:p>
    <w:p w14:paraId="59B57E55">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须通过政采云供应商客户端软件制作电子响应文件，政采云供应商客户端软件请供应商自行前往下载并安装（见广西壮族自治区政府采购网—办事服务—下载专区-广西壮族自治区全流程电子招投标项目管理系统--供应商客户端）。</w:t>
      </w:r>
    </w:p>
    <w:p w14:paraId="7623B6C3">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2.本项目需要落实的政府采购政策</w:t>
      </w:r>
    </w:p>
    <w:p w14:paraId="6CDBD3A8">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（1）政府采购促进中小企业发展。</w:t>
      </w:r>
    </w:p>
    <w:p w14:paraId="4C2BD1D8">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（2）政府采购支持采用本国产品的政策。</w:t>
      </w:r>
    </w:p>
    <w:p w14:paraId="2945D799">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（3）强制采购节能产品；优先采购节能产品、环境标志产品。</w:t>
      </w:r>
    </w:p>
    <w:p w14:paraId="0BEECE55">
      <w:pPr>
        <w:spacing w:line="288"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（4）政府采购促</w:t>
      </w:r>
      <w:r>
        <w:rPr>
          <w:rFonts w:hint="eastAsia" w:ascii="宋体" w:hAnsi="宋体" w:eastAsia="宋体" w:cs="宋体"/>
          <w:color w:val="auto"/>
          <w:szCs w:val="21"/>
          <w:highlight w:val="none"/>
        </w:rPr>
        <w:t>进残疾人就业政策。</w:t>
      </w:r>
    </w:p>
    <w:p w14:paraId="52275792">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（5）政府采购支持监狱企业发展。</w:t>
      </w:r>
    </w:p>
    <w:p w14:paraId="1687CFEA">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3.网上查询地址</w:t>
      </w:r>
    </w:p>
    <w:p w14:paraId="60644B95">
      <w:pPr>
        <w:spacing w:line="288" w:lineRule="auto"/>
        <w:ind w:firstLine="630" w:firstLineChars="300"/>
        <w:rPr>
          <w:rFonts w:hint="eastAsia" w:ascii="宋体" w:hAnsi="宋体" w:eastAsia="宋体" w:cs="宋体"/>
          <w:color w:val="auto"/>
          <w:sz w:val="21"/>
          <w:szCs w:val="21"/>
          <w:highlight w:val="none"/>
          <w:lang w:eastAsia="zh-CN" w:bidi="ar"/>
        </w:rPr>
      </w:pPr>
      <w:r>
        <w:rPr>
          <w:rFonts w:hint="eastAsia" w:ascii="宋体" w:hAnsi="宋体" w:eastAsia="宋体" w:cs="宋体"/>
          <w:i w:val="0"/>
          <w:iCs w:val="0"/>
          <w:caps w:val="0"/>
          <w:color w:val="auto"/>
          <w:spacing w:val="0"/>
          <w:sz w:val="21"/>
          <w:szCs w:val="21"/>
        </w:rPr>
        <w:t>http://zfcg.gxzf.gov.cn/（广西政府采购网）、http://www.ccgp.gov.cn/（中国政府采购网）、http://ggzy.jgswj.gxzf.gov.cn/qzggzy/ [全国公共资源交易平台 （广西.钦州）]、http://ggzy.jgswj.gxzf.gov.cn/pbggzy/[全国公共资源交易平台（广西.浦北）]。</w:t>
      </w:r>
    </w:p>
    <w:p w14:paraId="17E35DFD">
      <w:pPr>
        <w:widowControl/>
        <w:numPr>
          <w:ilvl w:val="0"/>
          <w:numId w:val="0"/>
        </w:numPr>
        <w:spacing w:line="288" w:lineRule="auto"/>
        <w:ind w:firstLine="420" w:firstLineChars="200"/>
        <w:jc w:val="left"/>
        <w:rPr>
          <w:rFonts w:hint="eastAsia" w:ascii="宋体" w:hAnsi="宋体" w:cs="宋体"/>
          <w:color w:val="auto"/>
          <w:szCs w:val="21"/>
          <w:highlight w:val="none"/>
          <w:lang w:bidi="ar"/>
        </w:rPr>
      </w:pPr>
      <w:r>
        <w:rPr>
          <w:rFonts w:hint="eastAsia" w:ascii="宋体" w:hAnsi="宋体" w:cs="宋体"/>
          <w:color w:val="auto"/>
          <w:szCs w:val="21"/>
          <w:highlight w:val="none"/>
          <w:lang w:val="en-US" w:eastAsia="zh-CN" w:bidi="ar"/>
        </w:rPr>
        <w:t>4.</w:t>
      </w:r>
      <w:r>
        <w:rPr>
          <w:rFonts w:hint="eastAsia" w:ascii="宋体" w:hAnsi="宋体" w:cs="宋体"/>
          <w:color w:val="auto"/>
          <w:szCs w:val="21"/>
          <w:highlight w:val="none"/>
          <w:lang w:bidi="ar"/>
        </w:rPr>
        <w:t>监督部门：浦北县政府采购监督管理办公室   联系电话：0777-8314622</w:t>
      </w:r>
    </w:p>
    <w:p w14:paraId="31E5E445">
      <w:pPr>
        <w:pStyle w:val="3"/>
        <w:pageBreakBefore w:val="0"/>
        <w:widowControl w:val="0"/>
        <w:kinsoku/>
        <w:wordWrap/>
        <w:overflowPunct/>
        <w:topLinePunct w:val="0"/>
        <w:bidi w:val="0"/>
        <w:adjustRightInd/>
        <w:spacing w:line="360" w:lineRule="auto"/>
        <w:textAlignment w:val="auto"/>
        <w:outlineLvl w:val="0"/>
        <w:rPr>
          <w:rFonts w:hint="eastAsia" w:ascii="宋体" w:hAnsi="宋体" w:eastAsia="宋体" w:cs="宋体"/>
          <w:bCs w:val="0"/>
          <w:color w:val="auto"/>
          <w:sz w:val="21"/>
          <w:szCs w:val="21"/>
          <w:highlight w:val="none"/>
        </w:rPr>
      </w:pPr>
      <w:bookmarkStart w:id="47" w:name="_Toc23726"/>
      <w:bookmarkStart w:id="48" w:name="_Toc227"/>
      <w:r>
        <w:rPr>
          <w:rFonts w:hint="eastAsia" w:ascii="宋体" w:hAnsi="宋体" w:eastAsia="宋体" w:cs="宋体"/>
          <w:bCs w:val="0"/>
          <w:color w:val="auto"/>
          <w:sz w:val="21"/>
          <w:szCs w:val="21"/>
          <w:highlight w:val="none"/>
        </w:rPr>
        <w:t>八、凡对本次采购提出询问，请按以下方式联系</w:t>
      </w:r>
      <w:bookmarkEnd w:id="43"/>
      <w:bookmarkEnd w:id="44"/>
      <w:bookmarkEnd w:id="45"/>
      <w:bookmarkEnd w:id="46"/>
      <w:bookmarkEnd w:id="47"/>
      <w:bookmarkEnd w:id="48"/>
    </w:p>
    <w:p w14:paraId="1ECC3959">
      <w:pPr>
        <w:pStyle w:val="3"/>
        <w:pageBreakBefore w:val="0"/>
        <w:widowControl w:val="0"/>
        <w:kinsoku/>
        <w:wordWrap/>
        <w:overflowPunct/>
        <w:topLinePunct w:val="0"/>
        <w:bidi w:val="0"/>
        <w:adjustRightInd/>
        <w:spacing w:line="360" w:lineRule="auto"/>
        <w:ind w:firstLine="630" w:firstLineChars="300"/>
        <w:textAlignment w:val="auto"/>
        <w:rPr>
          <w:rFonts w:hint="eastAsia" w:ascii="宋体" w:hAnsi="宋体" w:eastAsia="宋体" w:cs="宋体"/>
          <w:b w:val="0"/>
          <w:bCs w:val="0"/>
          <w:color w:val="auto"/>
          <w:kern w:val="0"/>
          <w:sz w:val="21"/>
          <w:szCs w:val="21"/>
          <w:highlight w:val="none"/>
          <w:lang w:val="en-US" w:eastAsia="zh-CN" w:bidi="ar-SA"/>
        </w:rPr>
      </w:pPr>
      <w:bookmarkStart w:id="49" w:name="_Toc28359096"/>
      <w:bookmarkStart w:id="50" w:name="_Toc35393806"/>
      <w:bookmarkStart w:id="51" w:name="_Toc35393637"/>
      <w:bookmarkStart w:id="52" w:name="_Toc28359019"/>
      <w:r>
        <w:rPr>
          <w:rFonts w:hint="eastAsia" w:ascii="宋体" w:hAnsi="宋体" w:eastAsia="宋体" w:cs="宋体"/>
          <w:b w:val="0"/>
          <w:bCs w:val="0"/>
          <w:color w:val="auto"/>
          <w:kern w:val="0"/>
          <w:sz w:val="21"/>
          <w:szCs w:val="21"/>
          <w:highlight w:val="none"/>
          <w:lang w:val="en-US" w:eastAsia="zh-CN" w:bidi="ar-SA"/>
        </w:rPr>
        <w:t>1.采购人信息</w:t>
      </w:r>
      <w:bookmarkEnd w:id="49"/>
      <w:bookmarkEnd w:id="50"/>
      <w:bookmarkEnd w:id="51"/>
      <w:bookmarkEnd w:id="52"/>
    </w:p>
    <w:p w14:paraId="5E5281B4">
      <w:pPr>
        <w:pageBreakBefore w:val="0"/>
        <w:widowControl w:val="0"/>
        <w:kinsoku/>
        <w:wordWrap/>
        <w:overflowPunct/>
        <w:topLinePunct w:val="0"/>
        <w:bidi w:val="0"/>
        <w:adjustRightInd/>
        <w:spacing w:line="360" w:lineRule="auto"/>
        <w:ind w:left="1041" w:leftChars="371" w:hanging="262" w:hangingChars="125"/>
        <w:jc w:val="left"/>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名    称：</w:t>
      </w:r>
      <w:r>
        <w:rPr>
          <w:rFonts w:hint="eastAsia" w:ascii="宋体" w:hAnsi="宋体" w:eastAsia="宋体" w:cs="宋体"/>
          <w:b w:val="0"/>
          <w:bCs w:val="0"/>
          <w:color w:val="auto"/>
          <w:sz w:val="21"/>
          <w:szCs w:val="21"/>
          <w:u w:val="none"/>
          <w:lang w:val="en-US" w:eastAsia="zh-CN"/>
        </w:rPr>
        <w:t>浦北县第二中学</w:t>
      </w:r>
    </w:p>
    <w:p w14:paraId="72CD6286">
      <w:pPr>
        <w:pageBreakBefore w:val="0"/>
        <w:widowControl w:val="0"/>
        <w:kinsoku/>
        <w:wordWrap/>
        <w:overflowPunct/>
        <w:topLinePunct w:val="0"/>
        <w:bidi w:val="0"/>
        <w:adjustRightInd/>
        <w:spacing w:line="360" w:lineRule="auto"/>
        <w:ind w:left="1041" w:leftChars="371" w:hanging="262" w:hangingChars="125"/>
        <w:jc w:val="left"/>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地    址：浦北县小江镇文化路13号   </w:t>
      </w:r>
    </w:p>
    <w:p w14:paraId="49FAAE36">
      <w:pPr>
        <w:pageBreakBefore w:val="0"/>
        <w:widowControl w:val="0"/>
        <w:kinsoku/>
        <w:wordWrap/>
        <w:overflowPunct/>
        <w:topLinePunct w:val="0"/>
        <w:bidi w:val="0"/>
        <w:adjustRightInd/>
        <w:spacing w:line="360" w:lineRule="auto"/>
        <w:ind w:left="1041" w:leftChars="371" w:hanging="262" w:hangingChars="125"/>
        <w:jc w:val="left"/>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项目联系人：刘斌</w:t>
      </w:r>
    </w:p>
    <w:p w14:paraId="4FB92223">
      <w:pPr>
        <w:pageBreakBefore w:val="0"/>
        <w:widowControl w:val="0"/>
        <w:kinsoku/>
        <w:wordWrap/>
        <w:overflowPunct/>
        <w:topLinePunct w:val="0"/>
        <w:bidi w:val="0"/>
        <w:adjustRightInd/>
        <w:spacing w:line="360" w:lineRule="auto"/>
        <w:ind w:left="1041" w:leftChars="371" w:hanging="262" w:hangingChars="125"/>
        <w:jc w:val="left"/>
        <w:textAlignment w:val="auto"/>
        <w:rPr>
          <w:rFonts w:hint="default"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项目联系方式：18677748658</w:t>
      </w:r>
    </w:p>
    <w:p w14:paraId="13FC389B">
      <w:pPr>
        <w:pStyle w:val="3"/>
        <w:pageBreakBefore w:val="0"/>
        <w:widowControl w:val="0"/>
        <w:kinsoku/>
        <w:wordWrap/>
        <w:overflowPunct/>
        <w:topLinePunct w:val="0"/>
        <w:bidi w:val="0"/>
        <w:adjustRightInd/>
        <w:spacing w:line="360" w:lineRule="auto"/>
        <w:ind w:firstLine="630" w:firstLineChars="300"/>
        <w:textAlignment w:val="auto"/>
        <w:rPr>
          <w:rFonts w:hint="eastAsia" w:ascii="宋体" w:hAnsi="宋体" w:eastAsia="宋体" w:cs="宋体"/>
          <w:b w:val="0"/>
          <w:bCs w:val="0"/>
          <w:color w:val="auto"/>
          <w:kern w:val="0"/>
          <w:sz w:val="21"/>
          <w:szCs w:val="21"/>
          <w:highlight w:val="none"/>
          <w:lang w:val="en-US" w:eastAsia="zh-CN" w:bidi="ar-SA"/>
        </w:rPr>
      </w:pPr>
      <w:bookmarkStart w:id="53" w:name="_Toc35393638"/>
      <w:bookmarkStart w:id="54" w:name="_Toc35393807"/>
      <w:bookmarkStart w:id="55" w:name="_Toc28359097"/>
      <w:bookmarkStart w:id="56" w:name="_Toc28359020"/>
      <w:r>
        <w:rPr>
          <w:rFonts w:hint="eastAsia" w:ascii="宋体" w:hAnsi="宋体" w:eastAsia="宋体" w:cs="宋体"/>
          <w:b w:val="0"/>
          <w:bCs w:val="0"/>
          <w:color w:val="auto"/>
          <w:kern w:val="0"/>
          <w:sz w:val="21"/>
          <w:szCs w:val="21"/>
          <w:highlight w:val="none"/>
          <w:lang w:val="en-US" w:eastAsia="zh-CN" w:bidi="ar-SA"/>
        </w:rPr>
        <w:t>2.采购代理机构信息</w:t>
      </w:r>
      <w:bookmarkEnd w:id="53"/>
      <w:bookmarkEnd w:id="54"/>
      <w:bookmarkEnd w:id="55"/>
      <w:bookmarkEnd w:id="56"/>
    </w:p>
    <w:p w14:paraId="38CC8CD5">
      <w:pPr>
        <w:pageBreakBefore w:val="0"/>
        <w:widowControl w:val="0"/>
        <w:kinsoku/>
        <w:wordWrap/>
        <w:overflowPunct/>
        <w:topLinePunct w:val="0"/>
        <w:bidi w:val="0"/>
        <w:adjustRightInd/>
        <w:spacing w:line="360" w:lineRule="auto"/>
        <w:ind w:firstLine="630" w:firstLineChars="300"/>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名称：广西合士嘉项目咨询有限公司　</w:t>
      </w:r>
    </w:p>
    <w:p w14:paraId="0BFD07B1">
      <w:pPr>
        <w:pageBreakBefore w:val="0"/>
        <w:widowControl w:val="0"/>
        <w:kinsoku/>
        <w:wordWrap/>
        <w:overflowPunct/>
        <w:topLinePunct w:val="0"/>
        <w:bidi w:val="0"/>
        <w:adjustRightInd/>
        <w:spacing w:line="360" w:lineRule="auto"/>
        <w:ind w:firstLine="630" w:firstLineChars="300"/>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地址：</w:t>
      </w:r>
      <w:bookmarkStart w:id="57" w:name="_Toc35393808"/>
      <w:bookmarkStart w:id="58" w:name="_Toc28359098"/>
      <w:bookmarkStart w:id="59" w:name="_Toc28359021"/>
      <w:bookmarkStart w:id="60" w:name="_Toc35393639"/>
      <w:r>
        <w:rPr>
          <w:rFonts w:hint="eastAsia" w:ascii="宋体" w:hAnsi="宋体" w:eastAsia="宋体" w:cs="宋体"/>
          <w:b w:val="0"/>
          <w:bCs w:val="0"/>
          <w:color w:val="auto"/>
          <w:kern w:val="0"/>
          <w:sz w:val="21"/>
          <w:szCs w:val="21"/>
          <w:highlight w:val="none"/>
          <w:lang w:val="en-US" w:eastAsia="zh-CN" w:bidi="ar-SA"/>
        </w:rPr>
        <w:t>钦州市浦北县小江镇牡丹路22号(浦东新城)17幢111铺       </w:t>
      </w:r>
    </w:p>
    <w:p w14:paraId="219C82EE">
      <w:pPr>
        <w:pStyle w:val="3"/>
        <w:pageBreakBefore w:val="0"/>
        <w:widowControl w:val="0"/>
        <w:kinsoku/>
        <w:wordWrap/>
        <w:overflowPunct/>
        <w:topLinePunct w:val="0"/>
        <w:bidi w:val="0"/>
        <w:adjustRightInd/>
        <w:spacing w:line="360" w:lineRule="auto"/>
        <w:ind w:firstLine="630" w:firstLineChars="300"/>
        <w:textAlignment w:val="auto"/>
        <w:rPr>
          <w:rFonts w:hint="default"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项目联系人：谢明莉</w:t>
      </w:r>
      <w:r>
        <w:rPr>
          <w:rFonts w:hint="eastAsia" w:ascii="宋体" w:hAnsi="宋体" w:eastAsia="宋体" w:cs="宋体"/>
          <w:b w:val="0"/>
          <w:bCs w:val="0"/>
          <w:color w:val="auto"/>
          <w:kern w:val="0"/>
          <w:sz w:val="21"/>
          <w:szCs w:val="21"/>
          <w:highlight w:val="none"/>
          <w:lang w:val="en-US" w:eastAsia="zh-CN" w:bidi="ar-SA"/>
        </w:rPr>
        <w:tab/>
      </w:r>
    </w:p>
    <w:p w14:paraId="468176D7">
      <w:pPr>
        <w:pStyle w:val="3"/>
        <w:pageBreakBefore w:val="0"/>
        <w:widowControl w:val="0"/>
        <w:kinsoku/>
        <w:wordWrap/>
        <w:overflowPunct/>
        <w:topLinePunct w:val="0"/>
        <w:bidi w:val="0"/>
        <w:adjustRightInd/>
        <w:spacing w:line="360" w:lineRule="auto"/>
        <w:ind w:firstLine="630" w:firstLineChars="300"/>
        <w:textAlignment w:val="auto"/>
        <w:rPr>
          <w:rFonts w:hint="default"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项目联系方式：</w:t>
      </w:r>
      <w:bookmarkEnd w:id="57"/>
      <w:bookmarkEnd w:id="58"/>
      <w:bookmarkEnd w:id="59"/>
      <w:bookmarkEnd w:id="60"/>
      <w:r>
        <w:rPr>
          <w:rFonts w:hint="eastAsia" w:ascii="宋体" w:hAnsi="宋体" w:eastAsia="宋体" w:cs="宋体"/>
          <w:b w:val="0"/>
          <w:bCs w:val="0"/>
          <w:color w:val="auto"/>
          <w:kern w:val="0"/>
          <w:sz w:val="21"/>
          <w:szCs w:val="21"/>
          <w:highlight w:val="none"/>
          <w:lang w:val="en-US" w:eastAsia="zh-CN" w:bidi="ar-SA"/>
        </w:rPr>
        <w:t xml:space="preserve">0777-8318828                       </w:t>
      </w:r>
    </w:p>
    <w:p w14:paraId="67A4B298">
      <w:pPr>
        <w:pStyle w:val="49"/>
        <w:numPr>
          <w:ilvl w:val="0"/>
          <w:numId w:val="0"/>
        </w:numPr>
        <w:rPr>
          <w:rFonts w:hint="eastAsia"/>
          <w:color w:val="auto"/>
          <w:highlight w:val="none"/>
          <w:lang w:val="en-US" w:eastAsia="zh-CN"/>
        </w:rPr>
      </w:pPr>
      <w:r>
        <w:rPr>
          <w:rFonts w:hint="eastAsia"/>
          <w:color w:val="auto"/>
          <w:highlight w:val="none"/>
          <w:lang w:val="en-US" w:eastAsia="zh-CN"/>
        </w:rPr>
        <w:t xml:space="preserve"> </w:t>
      </w:r>
    </w:p>
    <w:p w14:paraId="171E7A06">
      <w:pPr>
        <w:pStyle w:val="49"/>
        <w:numPr>
          <w:ilvl w:val="0"/>
          <w:numId w:val="0"/>
        </w:numPr>
        <w:rPr>
          <w:rFonts w:hint="eastAsia"/>
          <w:color w:val="auto"/>
          <w:highlight w:val="none"/>
          <w:lang w:val="en-US" w:eastAsia="zh-CN"/>
        </w:rPr>
      </w:pPr>
    </w:p>
    <w:p w14:paraId="3BE00FC0">
      <w:pPr>
        <w:pStyle w:val="49"/>
        <w:numPr>
          <w:ilvl w:val="0"/>
          <w:numId w:val="0"/>
        </w:numPr>
        <w:rPr>
          <w:rFonts w:hint="default"/>
          <w:color w:val="auto"/>
          <w:highlight w:val="none"/>
          <w:lang w:val="en-US" w:eastAsia="zh-CN"/>
        </w:rPr>
      </w:pPr>
    </w:p>
    <w:p w14:paraId="027DCDC6">
      <w:pPr>
        <w:rPr>
          <w:rFonts w:hint="eastAsia" w:asciiTheme="minorEastAsia" w:hAnsiTheme="minorEastAsia" w:eastAsiaTheme="minorEastAsia" w:cstheme="minorEastAsia"/>
          <w:b w:val="0"/>
          <w:bCs w:val="0"/>
          <w:color w:val="auto"/>
          <w:kern w:val="0"/>
          <w:sz w:val="21"/>
          <w:szCs w:val="21"/>
          <w:highlight w:val="none"/>
          <w:lang w:val="en-US" w:eastAsia="zh-CN" w:bidi="ar-SA"/>
        </w:rPr>
      </w:pPr>
    </w:p>
    <w:p w14:paraId="31CB79C6">
      <w:pPr>
        <w:pStyle w:val="49"/>
        <w:rPr>
          <w:rFonts w:hint="eastAsia" w:ascii="宋体" w:hAnsi="宋体"/>
          <w:color w:val="auto"/>
          <w:szCs w:val="21"/>
          <w:highlight w:val="none"/>
        </w:rPr>
      </w:pPr>
      <w:r>
        <w:rPr>
          <w:rFonts w:hint="eastAsia" w:ascii="宋体" w:hAnsi="宋体" w:cs="宋体"/>
          <w:color w:val="auto"/>
          <w:highlight w:val="none"/>
        </w:rPr>
        <w:t xml:space="preserve">                                                   </w:t>
      </w:r>
    </w:p>
    <w:p w14:paraId="6879E2E4">
      <w:pPr>
        <w:rPr>
          <w:rFonts w:hint="eastAsia" w:ascii="宋体" w:hAnsi="宋体"/>
          <w:color w:val="auto"/>
          <w:szCs w:val="21"/>
          <w:highlight w:val="none"/>
        </w:rPr>
      </w:pPr>
      <w:r>
        <w:rPr>
          <w:rFonts w:hint="eastAsia" w:ascii="宋体" w:hAnsi="宋体"/>
          <w:color w:val="auto"/>
          <w:szCs w:val="21"/>
          <w:highlight w:val="none"/>
        </w:rPr>
        <w:br w:type="page"/>
      </w:r>
    </w:p>
    <w:p w14:paraId="16A07B6E">
      <w:pPr>
        <w:numPr>
          <w:ilvl w:val="0"/>
          <w:numId w:val="1"/>
        </w:numPr>
        <w:jc w:val="center"/>
        <w:outlineLvl w:val="0"/>
        <w:rPr>
          <w:rFonts w:ascii="宋体" w:hAnsi="宋体" w:cs="宋体"/>
          <w:b/>
          <w:bCs/>
          <w:color w:val="auto"/>
          <w:spacing w:val="-14"/>
          <w:kern w:val="0"/>
          <w:position w:val="-6"/>
          <w:sz w:val="36"/>
          <w:szCs w:val="36"/>
          <w:highlight w:val="none"/>
        </w:rPr>
      </w:pPr>
      <w:bookmarkStart w:id="61" w:name="_Toc5416"/>
      <w:r>
        <w:rPr>
          <w:rFonts w:hint="eastAsia" w:ascii="宋体" w:hAnsi="宋体" w:cs="宋体"/>
          <w:b/>
          <w:bCs/>
          <w:color w:val="auto"/>
          <w:spacing w:val="-14"/>
          <w:kern w:val="0"/>
          <w:position w:val="-6"/>
          <w:sz w:val="36"/>
          <w:szCs w:val="36"/>
          <w:highlight w:val="none"/>
          <w:lang w:eastAsia="zh-CN"/>
        </w:rPr>
        <w:t>供应商</w:t>
      </w:r>
      <w:r>
        <w:rPr>
          <w:rFonts w:hint="eastAsia" w:ascii="宋体" w:hAnsi="宋体" w:cs="宋体"/>
          <w:b/>
          <w:bCs/>
          <w:color w:val="auto"/>
          <w:spacing w:val="-14"/>
          <w:kern w:val="0"/>
          <w:position w:val="-6"/>
          <w:sz w:val="36"/>
          <w:szCs w:val="36"/>
          <w:highlight w:val="none"/>
        </w:rPr>
        <w:t>须知前附表</w:t>
      </w:r>
      <w:bookmarkEnd w:id="61"/>
    </w:p>
    <w:bookmarkEnd w:id="2"/>
    <w:tbl>
      <w:tblPr>
        <w:tblStyle w:val="30"/>
        <w:tblpPr w:leftFromText="180" w:rightFromText="180" w:vertAnchor="text" w:horzAnchor="page" w:tblpX="1215" w:tblpY="304"/>
        <w:tblOverlap w:val="never"/>
        <w:tblW w:w="98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103"/>
        <w:gridCol w:w="7053"/>
      </w:tblGrid>
      <w:tr w14:paraId="6131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48" w:type="dxa"/>
            <w:tcBorders>
              <w:top w:val="single" w:color="auto" w:sz="4" w:space="0"/>
              <w:left w:val="single" w:color="auto" w:sz="4" w:space="0"/>
              <w:bottom w:val="single" w:color="auto" w:sz="4" w:space="0"/>
              <w:right w:val="single" w:color="auto" w:sz="4" w:space="0"/>
            </w:tcBorders>
            <w:vAlign w:val="center"/>
          </w:tcPr>
          <w:p w14:paraId="4C83D334">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2103" w:type="dxa"/>
            <w:tcBorders>
              <w:top w:val="single" w:color="auto" w:sz="4" w:space="0"/>
              <w:left w:val="single" w:color="auto" w:sz="4" w:space="0"/>
              <w:bottom w:val="single" w:color="auto" w:sz="4" w:space="0"/>
              <w:right w:val="single" w:color="auto" w:sz="4" w:space="0"/>
            </w:tcBorders>
            <w:vAlign w:val="center"/>
          </w:tcPr>
          <w:p w14:paraId="19E36440">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条款名称</w:t>
            </w:r>
          </w:p>
        </w:tc>
        <w:tc>
          <w:tcPr>
            <w:tcW w:w="7053" w:type="dxa"/>
            <w:tcBorders>
              <w:top w:val="single" w:color="auto" w:sz="4" w:space="0"/>
              <w:left w:val="single" w:color="auto" w:sz="4" w:space="0"/>
              <w:bottom w:val="single" w:color="auto" w:sz="4" w:space="0"/>
              <w:right w:val="single" w:color="auto" w:sz="4" w:space="0"/>
            </w:tcBorders>
            <w:vAlign w:val="center"/>
          </w:tcPr>
          <w:p w14:paraId="55B37039">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内容</w:t>
            </w:r>
          </w:p>
        </w:tc>
      </w:tr>
      <w:tr w14:paraId="5E88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8" w:type="dxa"/>
            <w:tcBorders>
              <w:top w:val="single" w:color="auto" w:sz="4" w:space="0"/>
              <w:left w:val="single" w:color="auto" w:sz="4" w:space="0"/>
              <w:bottom w:val="single" w:color="auto" w:sz="4" w:space="0"/>
              <w:right w:val="single" w:color="auto" w:sz="4" w:space="0"/>
            </w:tcBorders>
            <w:vAlign w:val="center"/>
          </w:tcPr>
          <w:p w14:paraId="0CDED586">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1</w:t>
            </w:r>
          </w:p>
        </w:tc>
        <w:tc>
          <w:tcPr>
            <w:tcW w:w="2103" w:type="dxa"/>
            <w:tcBorders>
              <w:top w:val="single" w:color="auto" w:sz="4" w:space="0"/>
              <w:left w:val="single" w:color="auto" w:sz="4" w:space="0"/>
              <w:bottom w:val="single" w:color="auto" w:sz="4" w:space="0"/>
              <w:right w:val="single" w:color="auto" w:sz="4" w:space="0"/>
            </w:tcBorders>
            <w:vAlign w:val="center"/>
          </w:tcPr>
          <w:p w14:paraId="5CABFD6C">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项目名称和编号</w:t>
            </w:r>
          </w:p>
        </w:tc>
        <w:tc>
          <w:tcPr>
            <w:tcW w:w="7053" w:type="dxa"/>
            <w:tcBorders>
              <w:top w:val="single" w:color="auto" w:sz="4" w:space="0"/>
              <w:left w:val="single" w:color="auto" w:sz="4" w:space="0"/>
              <w:bottom w:val="single" w:color="auto" w:sz="4" w:space="0"/>
              <w:right w:val="single" w:color="auto" w:sz="4" w:space="0"/>
            </w:tcBorders>
            <w:vAlign w:val="center"/>
          </w:tcPr>
          <w:p w14:paraId="6AB6D04D">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cs="宋体"/>
                <w:color w:val="auto"/>
                <w:szCs w:val="21"/>
                <w:highlight w:val="none"/>
                <w:u w:val="none"/>
                <w:lang w:eastAsia="zh-CN"/>
              </w:rPr>
            </w:pPr>
            <w:r>
              <w:rPr>
                <w:rFonts w:hint="eastAsia" w:ascii="宋体" w:hAnsi="宋体" w:cs="宋体"/>
                <w:color w:val="auto"/>
                <w:szCs w:val="21"/>
                <w:highlight w:val="none"/>
              </w:rPr>
              <w:t>项目名称：</w:t>
            </w:r>
            <w:r>
              <w:rPr>
                <w:rFonts w:hint="eastAsia" w:ascii="宋体" w:hAnsi="宋体" w:eastAsia="宋体" w:cs="宋体"/>
                <w:b w:val="0"/>
                <w:bCs w:val="0"/>
                <w:sz w:val="21"/>
                <w:szCs w:val="21"/>
                <w:u w:val="none"/>
                <w:lang w:val="en-US" w:eastAsia="zh-CN"/>
              </w:rPr>
              <w:t>浦北县第二中学运动场维修项目</w:t>
            </w:r>
          </w:p>
          <w:p w14:paraId="7AC15B85">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lang w:val="en-US" w:eastAsia="zh-CN"/>
              </w:rPr>
              <w:t>项目</w:t>
            </w:r>
            <w:r>
              <w:rPr>
                <w:rFonts w:hint="eastAsia" w:ascii="宋体" w:hAnsi="宋体" w:cs="宋体"/>
                <w:color w:val="auto"/>
                <w:szCs w:val="21"/>
                <w:highlight w:val="none"/>
              </w:rPr>
              <w:t>编号：</w:t>
            </w:r>
            <w:r>
              <w:rPr>
                <w:rFonts w:hint="eastAsia" w:ascii="宋体" w:hAnsi="宋体" w:eastAsia="宋体" w:cs="宋体"/>
                <w:b w:val="0"/>
                <w:bCs w:val="0"/>
                <w:i w:val="0"/>
                <w:iCs w:val="0"/>
                <w:caps w:val="0"/>
                <w:color w:val="auto"/>
                <w:spacing w:val="0"/>
                <w:sz w:val="21"/>
                <w:szCs w:val="21"/>
                <w:highlight w:val="none"/>
                <w:shd w:val="clear" w:color="auto" w:fill="auto"/>
              </w:rPr>
              <w:t>QZZC2026-C2-220047-GXHS</w:t>
            </w:r>
          </w:p>
        </w:tc>
      </w:tr>
      <w:tr w14:paraId="69C9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48" w:type="dxa"/>
            <w:tcBorders>
              <w:top w:val="single" w:color="auto" w:sz="4" w:space="0"/>
              <w:left w:val="single" w:color="auto" w:sz="4" w:space="0"/>
              <w:bottom w:val="single" w:color="auto" w:sz="4" w:space="0"/>
              <w:right w:val="single" w:color="auto" w:sz="4" w:space="0"/>
            </w:tcBorders>
            <w:vAlign w:val="center"/>
          </w:tcPr>
          <w:p w14:paraId="5BD7E8BF">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2</w:t>
            </w:r>
          </w:p>
        </w:tc>
        <w:tc>
          <w:tcPr>
            <w:tcW w:w="2103" w:type="dxa"/>
            <w:tcBorders>
              <w:top w:val="single" w:color="auto" w:sz="4" w:space="0"/>
              <w:left w:val="single" w:color="auto" w:sz="4" w:space="0"/>
              <w:bottom w:val="single" w:color="auto" w:sz="4" w:space="0"/>
              <w:right w:val="single" w:color="auto" w:sz="4" w:space="0"/>
            </w:tcBorders>
            <w:vAlign w:val="center"/>
          </w:tcPr>
          <w:p w14:paraId="0D26F21F">
            <w:pPr>
              <w:pStyle w:val="13"/>
              <w:keepNext w:val="0"/>
              <w:keepLines w:val="0"/>
              <w:pageBreakBefore w:val="0"/>
              <w:widowControl w:val="0"/>
              <w:kinsoku/>
              <w:wordWrap/>
              <w:overflowPunct/>
              <w:topLinePunct w:val="0"/>
              <w:autoSpaceDE/>
              <w:autoSpaceDN/>
              <w:bidi w:val="0"/>
              <w:adjustRightInd/>
              <w:spacing w:line="400" w:lineRule="exact"/>
              <w:jc w:val="center"/>
              <w:textAlignment w:val="auto"/>
              <w:rPr>
                <w:rFonts w:hAnsi="宋体" w:cs="宋体"/>
                <w:color w:val="auto"/>
                <w:highlight w:val="none"/>
              </w:rPr>
            </w:pPr>
            <w:r>
              <w:rPr>
                <w:rFonts w:hint="eastAsia"/>
                <w:color w:val="auto"/>
                <w:highlight w:val="none"/>
                <w:lang w:eastAsia="zh-CN"/>
              </w:rPr>
              <w:t>供应商</w:t>
            </w:r>
            <w:r>
              <w:rPr>
                <w:rFonts w:hint="eastAsia"/>
                <w:color w:val="auto"/>
                <w:highlight w:val="none"/>
              </w:rPr>
              <w:t>资格</w:t>
            </w:r>
          </w:p>
        </w:tc>
        <w:tc>
          <w:tcPr>
            <w:tcW w:w="7053" w:type="dxa"/>
            <w:tcBorders>
              <w:top w:val="single" w:color="auto" w:sz="4" w:space="0"/>
              <w:left w:val="single" w:color="auto" w:sz="4" w:space="0"/>
              <w:bottom w:val="single" w:color="auto" w:sz="4" w:space="0"/>
              <w:right w:val="single" w:color="auto" w:sz="4" w:space="0"/>
            </w:tcBorders>
            <w:vAlign w:val="center"/>
          </w:tcPr>
          <w:p w14:paraId="70FECDB2">
            <w:pPr>
              <w:keepNext w:val="0"/>
              <w:keepLines w:val="0"/>
              <w:pageBreakBefore w:val="0"/>
              <w:widowControl w:val="0"/>
              <w:kinsoku/>
              <w:wordWrap/>
              <w:overflowPunct/>
              <w:topLinePunct w:val="0"/>
              <w:autoSpaceDE/>
              <w:autoSpaceDN/>
              <w:bidi w:val="0"/>
              <w:adjustRightInd/>
              <w:spacing w:line="400" w:lineRule="exact"/>
              <w:jc w:val="left"/>
              <w:textAlignment w:val="auto"/>
              <w:rPr>
                <w:color w:val="auto"/>
                <w:highlight w:val="none"/>
              </w:rPr>
            </w:pPr>
            <w:bookmarkStart w:id="62" w:name="OLE_LINK8"/>
            <w:r>
              <w:rPr>
                <w:rFonts w:hint="eastAsia"/>
                <w:color w:val="auto"/>
                <w:highlight w:val="none"/>
                <w:lang w:eastAsia="zh-CN"/>
              </w:rPr>
              <w:t>供应商</w:t>
            </w:r>
            <w:r>
              <w:rPr>
                <w:rFonts w:hint="eastAsia"/>
                <w:color w:val="auto"/>
                <w:highlight w:val="none"/>
              </w:rPr>
              <w:t>资格</w:t>
            </w:r>
            <w:r>
              <w:rPr>
                <w:rFonts w:hint="eastAsia"/>
                <w:color w:val="auto"/>
                <w:highlight w:val="none"/>
                <w:lang w:eastAsia="zh-CN"/>
              </w:rPr>
              <w:t>要求</w:t>
            </w:r>
            <w:r>
              <w:rPr>
                <w:rFonts w:hint="eastAsia"/>
                <w:color w:val="auto"/>
                <w:highlight w:val="none"/>
              </w:rPr>
              <w:t>：</w:t>
            </w:r>
          </w:p>
          <w:bookmarkEnd w:id="62"/>
          <w:p w14:paraId="1CCD932A">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 xml:space="preserve">1.符合《中华人民共和国政府采购法》第二十二条规定。 </w:t>
            </w:r>
          </w:p>
          <w:p w14:paraId="59E2B8B1">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2.落实政府采购政策需满足的资格要求：</w:t>
            </w:r>
            <w:r>
              <w:rPr>
                <w:rFonts w:hint="eastAsia" w:ascii="宋体" w:hAnsi="宋体" w:cs="宋体"/>
                <w:color w:val="auto"/>
                <w:szCs w:val="21"/>
                <w:highlight w:val="none"/>
                <w:lang w:eastAsia="zh-CN"/>
              </w:rPr>
              <w:t>本项目为专门面向中小企业采购的项目。</w:t>
            </w:r>
          </w:p>
          <w:p w14:paraId="25D3E2C7">
            <w:pPr>
              <w:pStyle w:val="10"/>
              <w:keepNext w:val="0"/>
              <w:keepLines w:val="0"/>
              <w:pageBreakBefore w:val="0"/>
              <w:widowControl w:val="0"/>
              <w:kinsoku/>
              <w:wordWrap/>
              <w:overflowPunct/>
              <w:topLinePunct w:val="0"/>
              <w:autoSpaceDE/>
              <w:autoSpaceDN/>
              <w:bidi w:val="0"/>
              <w:adjustRightInd/>
              <w:snapToGrid/>
              <w:spacing w:after="0" w:line="420" w:lineRule="exact"/>
              <w:ind w:firstLine="420" w:firstLineChars="200"/>
              <w:textAlignment w:val="auto"/>
              <w:rPr>
                <w:rFonts w:hint="default" w:hAnsi="宋体" w:eastAsia="宋体" w:cs="宋体"/>
                <w:color w:val="auto"/>
                <w:sz w:val="21"/>
                <w:szCs w:val="21"/>
                <w:highlight w:val="none"/>
                <w:lang w:val="en-US" w:eastAsia="zh-CN"/>
              </w:rPr>
            </w:pPr>
            <w:r>
              <w:rPr>
                <w:rFonts w:hint="eastAsia" w:hAnsi="宋体" w:cs="宋体"/>
                <w:color w:val="auto"/>
                <w:sz w:val="21"/>
                <w:szCs w:val="21"/>
                <w:highlight w:val="none"/>
              </w:rPr>
              <w:t>3.本项目的特定资格要求：</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1</w:t>
            </w:r>
            <w:r>
              <w:rPr>
                <w:rFonts w:hint="eastAsia" w:hAnsi="宋体" w:cs="宋体"/>
                <w:color w:val="auto"/>
                <w:sz w:val="21"/>
                <w:szCs w:val="21"/>
                <w:highlight w:val="none"/>
                <w:lang w:eastAsia="zh-CN"/>
              </w:rPr>
              <w:t>）竞标人须具备市政公用工程施工总承包三级（含三级）以上资质以及有效的安全生产许可证，在人员、设备、资金等方面具备相应的施工能力</w:t>
            </w:r>
            <w:r>
              <w:rPr>
                <w:rFonts w:hint="eastAsia" w:hAnsi="宋体" w:cs="宋体"/>
                <w:color w:val="auto"/>
                <w:sz w:val="21"/>
                <w:szCs w:val="21"/>
                <w:highlight w:val="none"/>
                <w:lang w:val="en-US" w:eastAsia="zh-CN"/>
              </w:rPr>
              <w:t>。</w:t>
            </w:r>
            <w:r>
              <w:rPr>
                <w:rFonts w:hint="eastAsia" w:hAnsi="宋体" w:cs="宋体"/>
                <w:color w:val="auto"/>
                <w:kern w:val="0"/>
                <w:sz w:val="21"/>
                <w:szCs w:val="21"/>
                <w:highlight w:val="none"/>
                <w:lang w:val="en-US" w:eastAsia="zh-CN" w:bidi="ar-SA"/>
              </w:rPr>
              <w:t>（2）</w:t>
            </w:r>
            <w:r>
              <w:rPr>
                <w:rFonts w:hint="eastAsia" w:ascii="宋体" w:hAnsi="宋体" w:eastAsia="宋体" w:cs="宋体"/>
                <w:color w:val="auto"/>
                <w:sz w:val="21"/>
                <w:szCs w:val="21"/>
                <w:highlight w:val="none"/>
                <w:lang w:val="en-US" w:eastAsia="zh-CN"/>
              </w:rPr>
              <w:t>拟投入本工程的项目经理必须</w:t>
            </w:r>
            <w:r>
              <w:rPr>
                <w:rFonts w:hint="eastAsia" w:asciiTheme="minorEastAsia" w:hAnsiTheme="minorEastAsia" w:eastAsiaTheme="minorEastAsia" w:cstheme="minorEastAsia"/>
                <w:color w:val="auto"/>
                <w:sz w:val="21"/>
                <w:szCs w:val="21"/>
                <w:highlight w:val="none"/>
                <w:lang w:eastAsia="zh-CN"/>
              </w:rPr>
              <w:t>具备市政公用工程专业二级（含二级）以上注册建造师执业资格，且具备有效的安全生产考核合格证书（B类）</w:t>
            </w:r>
            <w:r>
              <w:rPr>
                <w:rFonts w:hint="eastAsia" w:hAnsi="宋体" w:cs="宋体"/>
                <w:color w:val="auto"/>
                <w:sz w:val="21"/>
                <w:szCs w:val="21"/>
                <w:highlight w:val="none"/>
              </w:rPr>
              <w:t>。</w:t>
            </w:r>
          </w:p>
          <w:p w14:paraId="4F424172">
            <w:pPr>
              <w:spacing w:line="360" w:lineRule="auto"/>
              <w:rPr>
                <w:rFonts w:ascii="宋体" w:hAnsi="宋体" w:cs="宋体"/>
                <w:color w:val="auto"/>
                <w:szCs w:val="21"/>
                <w:highlight w:val="none"/>
              </w:rPr>
            </w:pPr>
            <w:r>
              <w:rPr>
                <w:rFonts w:hint="eastAsia" w:ascii="宋体" w:hAnsi="宋体" w:cs="宋体"/>
                <w:bCs/>
                <w:color w:val="auto"/>
                <w:szCs w:val="21"/>
                <w:highlight w:val="none"/>
              </w:rPr>
              <w:t>供应商</w:t>
            </w:r>
            <w:r>
              <w:rPr>
                <w:rFonts w:hint="eastAsia" w:ascii="宋体" w:hAnsi="宋体" w:cs="宋体"/>
                <w:color w:val="auto"/>
                <w:szCs w:val="21"/>
                <w:highlight w:val="none"/>
              </w:rPr>
              <w:t>出现下列情形之一的，不得参加政府采购活动：</w:t>
            </w:r>
          </w:p>
          <w:p w14:paraId="15A8087C">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单位负责人为同</w:t>
            </w:r>
            <w:r>
              <w:rPr>
                <w:rFonts w:hint="eastAsia" w:ascii="宋体" w:hAnsi="宋体" w:eastAsia="宋体" w:cs="宋体"/>
                <w:color w:val="auto"/>
                <w:szCs w:val="21"/>
                <w:highlight w:val="none"/>
              </w:rPr>
              <w:t>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8D3D240">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1342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5" w:hRule="atLeast"/>
        </w:trPr>
        <w:tc>
          <w:tcPr>
            <w:tcW w:w="648" w:type="dxa"/>
            <w:tcBorders>
              <w:top w:val="single" w:color="auto" w:sz="4" w:space="0"/>
              <w:left w:val="single" w:color="auto" w:sz="4" w:space="0"/>
              <w:bottom w:val="single" w:color="auto" w:sz="4" w:space="0"/>
              <w:right w:val="single" w:color="auto" w:sz="4" w:space="0"/>
            </w:tcBorders>
            <w:vAlign w:val="center"/>
          </w:tcPr>
          <w:p w14:paraId="42544944">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3</w:t>
            </w:r>
          </w:p>
        </w:tc>
        <w:tc>
          <w:tcPr>
            <w:tcW w:w="2103" w:type="dxa"/>
            <w:tcBorders>
              <w:top w:val="single" w:color="auto" w:sz="4" w:space="0"/>
              <w:left w:val="single" w:color="auto" w:sz="4" w:space="0"/>
              <w:bottom w:val="single" w:color="auto" w:sz="4" w:space="0"/>
              <w:right w:val="single" w:color="auto" w:sz="4" w:space="0"/>
            </w:tcBorders>
            <w:vAlign w:val="center"/>
          </w:tcPr>
          <w:p w14:paraId="4F0F644D">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lang w:eastAsia="zh-CN"/>
              </w:rPr>
              <w:t>竞标</w:t>
            </w:r>
            <w:r>
              <w:rPr>
                <w:rFonts w:hint="eastAsia" w:ascii="宋体" w:hAnsi="宋体" w:cs="宋体"/>
                <w:color w:val="auto"/>
                <w:szCs w:val="21"/>
                <w:highlight w:val="none"/>
              </w:rPr>
              <w:t>报价</w:t>
            </w:r>
          </w:p>
        </w:tc>
        <w:tc>
          <w:tcPr>
            <w:tcW w:w="7053" w:type="dxa"/>
            <w:tcBorders>
              <w:top w:val="single" w:color="auto" w:sz="4" w:space="0"/>
              <w:left w:val="single" w:color="auto" w:sz="4" w:space="0"/>
              <w:bottom w:val="single" w:color="auto" w:sz="4" w:space="0"/>
              <w:right w:val="single" w:color="auto" w:sz="4" w:space="0"/>
            </w:tcBorders>
            <w:vAlign w:val="center"/>
          </w:tcPr>
          <w:p w14:paraId="35EF1798">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cs="宋体"/>
                <w:color w:val="auto"/>
                <w:highlight w:val="none"/>
                <w:lang w:eastAsia="zh-CN"/>
              </w:rPr>
            </w:pPr>
            <w:r>
              <w:rPr>
                <w:rFonts w:hint="eastAsia" w:ascii="宋体" w:hAnsi="宋体" w:cs="宋体"/>
                <w:color w:val="auto"/>
                <w:highlight w:val="none"/>
                <w:lang w:val="en-US" w:eastAsia="zh-CN"/>
              </w:rPr>
              <w:t>竞标</w:t>
            </w:r>
            <w:r>
              <w:rPr>
                <w:rFonts w:hint="eastAsia" w:ascii="宋体" w:hAnsi="宋体" w:cs="宋体"/>
                <w:color w:val="auto"/>
                <w:highlight w:val="none"/>
                <w:lang w:eastAsia="zh-CN"/>
              </w:rPr>
              <w:t>报价：</w:t>
            </w:r>
          </w:p>
          <w:p w14:paraId="0C8138AC">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cs="宋体"/>
                <w:color w:val="auto"/>
                <w:highlight w:val="none"/>
                <w:lang w:eastAsia="zh-CN"/>
              </w:rPr>
            </w:pPr>
            <w:r>
              <w:rPr>
                <w:rFonts w:hint="eastAsia" w:ascii="宋体" w:hAnsi="宋体" w:cs="宋体"/>
                <w:color w:val="auto"/>
                <w:highlight w:val="none"/>
                <w:lang w:eastAsia="zh-CN"/>
              </w:rPr>
              <w:t>1.供应商必须就所投项目的全部内容作完整唯一报价，漏项报价的或有选择的或有条件的报价，其磋商将视为无效。</w:t>
            </w:r>
          </w:p>
          <w:p w14:paraId="17C27B35">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cs="宋体"/>
                <w:color w:val="auto"/>
                <w:highlight w:val="none"/>
                <w:lang w:eastAsia="zh-CN"/>
              </w:rPr>
            </w:pPr>
            <w:r>
              <w:rPr>
                <w:rFonts w:hint="eastAsia" w:ascii="宋体" w:hAnsi="宋体" w:cs="宋体"/>
                <w:color w:val="auto"/>
                <w:highlight w:val="none"/>
                <w:lang w:eastAsia="zh-CN"/>
              </w:rPr>
              <w:t xml:space="preserve">磋商报价为二次报价，第二次报价为最后报价。                            </w:t>
            </w:r>
          </w:p>
          <w:p w14:paraId="29D1773A">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highlight w:val="none"/>
                <w:lang w:eastAsia="zh-CN"/>
              </w:rPr>
              <w:t>2.本项目报价采用综合单价的方式，合同价在合同实施期间因市场价格波动可调整合同价格，合同价含服务资料、人员成本、服务费、管理、材料、利润、税金、政策性文件规定及合同包含的应有风险、责任等各项应有费用。</w:t>
            </w:r>
          </w:p>
        </w:tc>
      </w:tr>
      <w:tr w14:paraId="0D0A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648" w:type="dxa"/>
            <w:tcBorders>
              <w:top w:val="single" w:color="auto" w:sz="4" w:space="0"/>
              <w:left w:val="single" w:color="auto" w:sz="4" w:space="0"/>
              <w:bottom w:val="single" w:color="auto" w:sz="4" w:space="0"/>
              <w:right w:val="single" w:color="auto" w:sz="4" w:space="0"/>
            </w:tcBorders>
            <w:vAlign w:val="center"/>
          </w:tcPr>
          <w:p w14:paraId="1C22F0B2">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4</w:t>
            </w:r>
          </w:p>
        </w:tc>
        <w:tc>
          <w:tcPr>
            <w:tcW w:w="2103" w:type="dxa"/>
            <w:tcBorders>
              <w:top w:val="single" w:color="auto" w:sz="4" w:space="0"/>
              <w:left w:val="single" w:color="auto" w:sz="4" w:space="0"/>
              <w:bottom w:val="single" w:color="auto" w:sz="4" w:space="0"/>
              <w:right w:val="single" w:color="auto" w:sz="4" w:space="0"/>
            </w:tcBorders>
            <w:vAlign w:val="center"/>
          </w:tcPr>
          <w:p w14:paraId="7D9F722C">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响应文件电子版</w:t>
            </w:r>
            <w:r>
              <w:rPr>
                <w:rFonts w:hint="eastAsia" w:ascii="宋体" w:hAnsi="宋体" w:cs="宋体"/>
                <w:color w:val="auto"/>
                <w:szCs w:val="21"/>
                <w:highlight w:val="none"/>
                <w:lang w:val="en-US" w:eastAsia="zh-CN"/>
              </w:rPr>
              <w:t>要</w:t>
            </w:r>
            <w:r>
              <w:rPr>
                <w:rFonts w:hint="eastAsia" w:ascii="宋体" w:hAnsi="宋体" w:cs="宋体"/>
                <w:color w:val="auto"/>
                <w:szCs w:val="21"/>
                <w:highlight w:val="none"/>
              </w:rPr>
              <w:t>求</w:t>
            </w:r>
          </w:p>
        </w:tc>
        <w:tc>
          <w:tcPr>
            <w:tcW w:w="7053" w:type="dxa"/>
            <w:tcBorders>
              <w:top w:val="single" w:color="auto" w:sz="4" w:space="0"/>
              <w:left w:val="single" w:color="auto" w:sz="4" w:space="0"/>
              <w:bottom w:val="single" w:color="auto" w:sz="4" w:space="0"/>
              <w:right w:val="single" w:color="auto" w:sz="4" w:space="0"/>
            </w:tcBorders>
            <w:vAlign w:val="center"/>
          </w:tcPr>
          <w:p w14:paraId="005B1117">
            <w:pPr>
              <w:keepNext w:val="0"/>
              <w:keepLines w:val="0"/>
              <w:pageBreakBefore w:val="0"/>
              <w:widowControl w:val="0"/>
              <w:kinsoku/>
              <w:wordWrap/>
              <w:overflowPunct/>
              <w:topLinePunct w:val="0"/>
              <w:autoSpaceDE/>
              <w:autoSpaceDN/>
              <w:bidi w:val="0"/>
              <w:adjustRightInd/>
              <w:snapToGrid w:val="0"/>
              <w:spacing w:line="400" w:lineRule="exact"/>
              <w:ind w:left="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3735E4EA">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.响应文件电子版密封方式：电子响应文件通过平台有效CA加密后在“政采云”平台</w:t>
            </w:r>
            <w:r>
              <w:rPr>
                <w:rFonts w:hint="eastAsia" w:ascii="宋体" w:hAnsi="宋体" w:cs="Courier New"/>
                <w:color w:val="auto"/>
                <w:szCs w:val="21"/>
                <w:highlight w:val="none"/>
                <w:lang w:eastAsia="zh-CN"/>
              </w:rPr>
              <w:t>递交</w:t>
            </w:r>
            <w:r>
              <w:rPr>
                <w:rFonts w:hint="eastAsia" w:ascii="宋体" w:hAnsi="宋体" w:cs="Courier New"/>
                <w:color w:val="auto"/>
                <w:szCs w:val="21"/>
                <w:highlight w:val="none"/>
              </w:rPr>
              <w:t>。</w:t>
            </w:r>
          </w:p>
        </w:tc>
      </w:tr>
      <w:tr w14:paraId="1DC1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48" w:type="dxa"/>
            <w:tcBorders>
              <w:top w:val="single" w:color="auto" w:sz="4" w:space="0"/>
              <w:left w:val="single" w:color="auto" w:sz="4" w:space="0"/>
              <w:bottom w:val="single" w:color="auto" w:sz="4" w:space="0"/>
              <w:right w:val="single" w:color="auto" w:sz="4" w:space="0"/>
            </w:tcBorders>
            <w:vAlign w:val="center"/>
          </w:tcPr>
          <w:p w14:paraId="11CFF769">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2103" w:type="dxa"/>
            <w:tcBorders>
              <w:top w:val="single" w:color="auto" w:sz="4" w:space="0"/>
              <w:left w:val="single" w:color="auto" w:sz="4" w:space="0"/>
              <w:bottom w:val="single" w:color="auto" w:sz="4" w:space="0"/>
              <w:right w:val="single" w:color="auto" w:sz="4" w:space="0"/>
            </w:tcBorders>
            <w:vAlign w:val="center"/>
          </w:tcPr>
          <w:p w14:paraId="3274F6FA">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7053" w:type="dxa"/>
            <w:tcBorders>
              <w:top w:val="single" w:color="auto" w:sz="4" w:space="0"/>
              <w:left w:val="single" w:color="auto" w:sz="4" w:space="0"/>
              <w:bottom w:val="single" w:color="auto" w:sz="4" w:space="0"/>
              <w:right w:val="single" w:color="auto" w:sz="4" w:space="0"/>
            </w:tcBorders>
            <w:vAlign w:val="center"/>
          </w:tcPr>
          <w:p w14:paraId="057E9B66">
            <w:pPr>
              <w:pStyle w:val="9"/>
              <w:keepNext w:val="0"/>
              <w:keepLines w:val="0"/>
              <w:pageBreakBefore w:val="0"/>
              <w:widowControl w:val="0"/>
              <w:kinsoku/>
              <w:wordWrap/>
              <w:overflowPunct/>
              <w:topLinePunct w:val="0"/>
              <w:autoSpaceDE/>
              <w:autoSpaceDN/>
              <w:bidi w:val="0"/>
              <w:adjustRightInd/>
              <w:spacing w:line="400" w:lineRule="exact"/>
              <w:ind w:left="0"/>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w:t>
            </w:r>
            <w:r>
              <w:rPr>
                <w:rFonts w:hint="eastAsia" w:ascii="宋体" w:hAnsi="宋体"/>
                <w:color w:val="auto"/>
                <w:szCs w:val="21"/>
                <w:highlight w:val="none"/>
              </w:rPr>
              <w:t>本项目不接受</w:t>
            </w:r>
            <w:r>
              <w:rPr>
                <w:color w:val="auto"/>
                <w:spacing w:val="-3"/>
                <w:sz w:val="21"/>
                <w:highlight w:val="none"/>
              </w:rPr>
              <w:t>电子备份响应文件</w:t>
            </w:r>
            <w:r>
              <w:rPr>
                <w:rFonts w:hint="eastAsia"/>
                <w:color w:val="auto"/>
                <w:spacing w:val="-3"/>
                <w:sz w:val="21"/>
                <w:highlight w:val="none"/>
                <w:lang w:eastAsia="zh-CN"/>
              </w:rPr>
              <w:t>。</w:t>
            </w:r>
          </w:p>
          <w:p w14:paraId="2E07A5A4">
            <w:pPr>
              <w:pStyle w:val="9"/>
              <w:keepNext w:val="0"/>
              <w:keepLines w:val="0"/>
              <w:pageBreakBefore w:val="0"/>
              <w:widowControl w:val="0"/>
              <w:kinsoku/>
              <w:wordWrap/>
              <w:overflowPunct/>
              <w:topLinePunct w:val="0"/>
              <w:autoSpaceDE/>
              <w:autoSpaceDN/>
              <w:bidi w:val="0"/>
              <w:adjustRightInd/>
              <w:spacing w:line="400" w:lineRule="exact"/>
              <w:ind w:left="0"/>
              <w:textAlignment w:val="auto"/>
              <w:rPr>
                <w:rFonts w:hint="eastAsia" w:ascii="宋体" w:hAnsi="宋体"/>
                <w:color w:val="auto"/>
                <w:szCs w:val="21"/>
                <w:highlight w:val="none"/>
                <w:lang w:eastAsia="zh-CN"/>
              </w:rPr>
            </w:pPr>
            <w:r>
              <w:rPr>
                <w:rFonts w:hint="eastAsia" w:ascii="宋体" w:hAnsi="宋体"/>
                <w:color w:val="auto"/>
                <w:szCs w:val="21"/>
                <w:highlight w:val="none"/>
                <w:lang w:val="en-US" w:eastAsia="zh-CN"/>
              </w:rPr>
              <w:t>☑</w:t>
            </w:r>
            <w:r>
              <w:rPr>
                <w:rFonts w:hint="eastAsia" w:ascii="宋体" w:hAnsi="宋体"/>
                <w:color w:val="auto"/>
                <w:szCs w:val="21"/>
                <w:highlight w:val="none"/>
              </w:rPr>
              <w:t>本项目接受</w:t>
            </w:r>
            <w:r>
              <w:rPr>
                <w:color w:val="auto"/>
                <w:spacing w:val="-3"/>
                <w:sz w:val="21"/>
                <w:highlight w:val="none"/>
              </w:rPr>
              <w:t>电子备份响应文件</w:t>
            </w:r>
            <w:r>
              <w:rPr>
                <w:rFonts w:hint="eastAsia" w:ascii="宋体" w:hAnsi="宋体"/>
                <w:color w:val="auto"/>
                <w:szCs w:val="21"/>
                <w:highlight w:val="none"/>
                <w:lang w:eastAsia="zh-CN"/>
              </w:rPr>
              <w:t>。</w:t>
            </w:r>
          </w:p>
          <w:p w14:paraId="273CB294">
            <w:pPr>
              <w:pStyle w:val="9"/>
              <w:keepNext w:val="0"/>
              <w:keepLines w:val="0"/>
              <w:pageBreakBefore w:val="0"/>
              <w:widowControl w:val="0"/>
              <w:kinsoku/>
              <w:wordWrap/>
              <w:overflowPunct/>
              <w:topLinePunct w:val="0"/>
              <w:autoSpaceDE/>
              <w:autoSpaceDN/>
              <w:bidi w:val="0"/>
              <w:adjustRightInd/>
              <w:spacing w:line="400" w:lineRule="exact"/>
              <w:ind w:left="0"/>
              <w:textAlignment w:val="auto"/>
              <w:rPr>
                <w:color w:val="auto"/>
                <w:spacing w:val="-3"/>
                <w:sz w:val="21"/>
                <w:highlight w:val="none"/>
              </w:rPr>
            </w:pPr>
            <w:r>
              <w:rPr>
                <w:color w:val="auto"/>
                <w:spacing w:val="-3"/>
                <w:sz w:val="21"/>
                <w:highlight w:val="none"/>
              </w:rPr>
              <w:t>供应商</w:t>
            </w:r>
            <w:r>
              <w:rPr>
                <w:rFonts w:hint="eastAsia"/>
                <w:color w:val="auto"/>
                <w:spacing w:val="-3"/>
                <w:sz w:val="21"/>
                <w:highlight w:val="none"/>
                <w:lang w:eastAsia="zh-CN"/>
              </w:rPr>
              <w:t>可根据自身情况自行准备</w:t>
            </w:r>
            <w:r>
              <w:rPr>
                <w:color w:val="auto"/>
                <w:spacing w:val="-3"/>
                <w:sz w:val="21"/>
                <w:highlight w:val="none"/>
              </w:rPr>
              <w:t xml:space="preserve">电子备份响应文件： </w:t>
            </w:r>
          </w:p>
          <w:p w14:paraId="2DB40E14">
            <w:pPr>
              <w:pStyle w:val="9"/>
              <w:keepNext w:val="0"/>
              <w:keepLines w:val="0"/>
              <w:pageBreakBefore w:val="0"/>
              <w:widowControl w:val="0"/>
              <w:numPr>
                <w:ilvl w:val="0"/>
                <w:numId w:val="2"/>
              </w:numPr>
              <w:kinsoku/>
              <w:wordWrap/>
              <w:overflowPunct/>
              <w:topLinePunct w:val="0"/>
              <w:autoSpaceDE/>
              <w:autoSpaceDN/>
              <w:bidi w:val="0"/>
              <w:adjustRightInd/>
              <w:spacing w:line="400" w:lineRule="exact"/>
              <w:ind w:left="0"/>
              <w:textAlignment w:val="auto"/>
              <w:rPr>
                <w:rFonts w:ascii="Times New Roman" w:hAnsi="Times New Roman" w:eastAsia="宋体" w:cs="Times New Roman"/>
                <w:color w:val="auto"/>
                <w:spacing w:val="-3"/>
                <w:sz w:val="21"/>
                <w:highlight w:val="none"/>
              </w:rPr>
            </w:pPr>
            <w:r>
              <w:rPr>
                <w:color w:val="auto"/>
                <w:spacing w:val="-3"/>
                <w:sz w:val="21"/>
                <w:highlight w:val="none"/>
              </w:rPr>
              <w:t>电子备份响应文件</w:t>
            </w:r>
            <w:r>
              <w:rPr>
                <w:color w:val="auto"/>
                <w:spacing w:val="-7"/>
                <w:sz w:val="21"/>
                <w:highlight w:val="none"/>
              </w:rPr>
              <w:t>以</w:t>
            </w:r>
            <w:r>
              <w:rPr>
                <w:rFonts w:hint="eastAsia"/>
                <w:color w:val="auto"/>
                <w:spacing w:val="-7"/>
                <w:sz w:val="21"/>
                <w:highlight w:val="none"/>
                <w:lang w:eastAsia="zh-CN"/>
              </w:rPr>
              <w:t>邮件</w:t>
            </w:r>
            <w:r>
              <w:rPr>
                <w:color w:val="auto"/>
                <w:spacing w:val="-10"/>
                <w:sz w:val="21"/>
                <w:highlight w:val="none"/>
              </w:rPr>
              <w:t>形式提供。数量</w:t>
            </w:r>
            <w:r>
              <w:rPr>
                <w:rFonts w:ascii="Times New Roman" w:hAnsi="Times New Roman" w:eastAsia="宋体" w:cs="Times New Roman"/>
                <w:color w:val="auto"/>
                <w:spacing w:val="-3"/>
                <w:sz w:val="21"/>
                <w:highlight w:val="none"/>
              </w:rPr>
              <w:t>为1份。</w:t>
            </w:r>
          </w:p>
          <w:p w14:paraId="257E66E3">
            <w:pPr>
              <w:pStyle w:val="9"/>
              <w:keepNext w:val="0"/>
              <w:keepLines w:val="0"/>
              <w:pageBreakBefore w:val="0"/>
              <w:widowControl w:val="0"/>
              <w:numPr>
                <w:ilvl w:val="0"/>
                <w:numId w:val="2"/>
              </w:numPr>
              <w:kinsoku/>
              <w:wordWrap/>
              <w:overflowPunct/>
              <w:topLinePunct w:val="0"/>
              <w:autoSpaceDE/>
              <w:autoSpaceDN/>
              <w:bidi w:val="0"/>
              <w:adjustRightInd/>
              <w:spacing w:line="400" w:lineRule="exact"/>
              <w:ind w:left="0"/>
              <w:textAlignment w:val="auto"/>
              <w:rPr>
                <w:rFonts w:hint="eastAsia" w:cs="Times New Roman"/>
                <w:color w:val="auto"/>
                <w:spacing w:val="-3"/>
                <w:sz w:val="21"/>
                <w:highlight w:val="none"/>
                <w:lang w:eastAsia="zh-CN"/>
              </w:rPr>
            </w:pPr>
            <w:r>
              <w:rPr>
                <w:rFonts w:hint="eastAsia" w:cs="Times New Roman"/>
                <w:color w:val="auto"/>
                <w:spacing w:val="-3"/>
                <w:sz w:val="21"/>
                <w:highlight w:val="none"/>
                <w:lang w:eastAsia="zh-CN"/>
              </w:rPr>
              <w:t>电子备份响应文件接收邮箱：</w:t>
            </w:r>
            <w:r>
              <w:rPr>
                <w:rFonts w:hint="eastAsia" w:cs="Times New Roman"/>
                <w:color w:val="auto"/>
                <w:spacing w:val="-3"/>
                <w:sz w:val="21"/>
                <w:highlight w:val="none"/>
                <w:lang w:val="en-US" w:eastAsia="zh-CN"/>
              </w:rPr>
              <w:t>303419912@qq.com</w:t>
            </w:r>
            <w:r>
              <w:rPr>
                <w:rFonts w:hint="eastAsia" w:cs="Times New Roman"/>
                <w:color w:val="auto"/>
                <w:spacing w:val="-3"/>
                <w:sz w:val="21"/>
                <w:highlight w:val="none"/>
                <w:lang w:eastAsia="zh-CN"/>
              </w:rPr>
              <w:t>。</w:t>
            </w:r>
          </w:p>
          <w:p w14:paraId="73A1B369">
            <w:pPr>
              <w:pStyle w:val="9"/>
              <w:keepNext w:val="0"/>
              <w:keepLines w:val="0"/>
              <w:pageBreakBefore w:val="0"/>
              <w:widowControl w:val="0"/>
              <w:kinsoku/>
              <w:wordWrap/>
              <w:overflowPunct/>
              <w:topLinePunct w:val="0"/>
              <w:autoSpaceDE/>
              <w:autoSpaceDN/>
              <w:bidi w:val="0"/>
              <w:adjustRightInd/>
              <w:spacing w:line="400" w:lineRule="exact"/>
              <w:ind w:left="0"/>
              <w:textAlignment w:val="auto"/>
              <w:rPr>
                <w:rFonts w:hint="eastAsia" w:ascii="Times New Roman" w:hAnsi="Times New Roman" w:eastAsia="宋体" w:cs="Times New Roman"/>
                <w:b w:val="0"/>
                <w:bCs w:val="0"/>
                <w:color w:val="auto"/>
                <w:spacing w:val="-3"/>
                <w:sz w:val="21"/>
                <w:highlight w:val="none"/>
                <w:lang w:eastAsia="zh-CN"/>
              </w:rPr>
            </w:pPr>
            <w:r>
              <w:rPr>
                <w:rFonts w:hint="eastAsia" w:ascii="Times New Roman" w:hAnsi="Times New Roman" w:eastAsia="宋体" w:cs="Times New Roman"/>
                <w:b w:val="0"/>
                <w:bCs w:val="0"/>
                <w:color w:val="auto"/>
                <w:spacing w:val="-3"/>
                <w:sz w:val="21"/>
                <w:highlight w:val="none"/>
                <w:lang w:eastAsia="zh-CN"/>
              </w:rPr>
              <w:t>（</w:t>
            </w:r>
            <w:r>
              <w:rPr>
                <w:rFonts w:hint="eastAsia" w:cs="Times New Roman"/>
                <w:b w:val="0"/>
                <w:bCs w:val="0"/>
                <w:color w:val="auto"/>
                <w:spacing w:val="-3"/>
                <w:sz w:val="21"/>
                <w:highlight w:val="none"/>
                <w:lang w:val="en-US" w:eastAsia="zh-CN"/>
              </w:rPr>
              <w:t>3</w:t>
            </w:r>
            <w:r>
              <w:rPr>
                <w:rFonts w:hint="eastAsia" w:ascii="Times New Roman" w:hAnsi="Times New Roman" w:eastAsia="宋体" w:cs="Times New Roman"/>
                <w:b w:val="0"/>
                <w:bCs w:val="0"/>
                <w:color w:val="auto"/>
                <w:spacing w:val="-3"/>
                <w:sz w:val="21"/>
                <w:highlight w:val="none"/>
                <w:lang w:eastAsia="zh-CN"/>
              </w:rPr>
              <w:t>）</w:t>
            </w:r>
            <w:r>
              <w:rPr>
                <w:rFonts w:hint="eastAsia" w:cs="Times New Roman"/>
                <w:color w:val="auto"/>
                <w:spacing w:val="-3"/>
                <w:sz w:val="21"/>
                <w:highlight w:val="none"/>
                <w:lang w:eastAsia="zh-CN"/>
              </w:rPr>
              <w:t>电子备份响应文件</w:t>
            </w:r>
            <w:r>
              <w:rPr>
                <w:rFonts w:hint="eastAsia" w:cs="Times New Roman"/>
                <w:b w:val="0"/>
                <w:bCs w:val="0"/>
                <w:color w:val="auto"/>
                <w:spacing w:val="-3"/>
                <w:sz w:val="21"/>
                <w:highlight w:val="none"/>
                <w:lang w:eastAsia="zh-CN"/>
              </w:rPr>
              <w:t>提交截止</w:t>
            </w:r>
            <w:r>
              <w:rPr>
                <w:rFonts w:hint="eastAsia" w:ascii="Times New Roman" w:hAnsi="Times New Roman" w:eastAsia="宋体" w:cs="Times New Roman"/>
                <w:b w:val="0"/>
                <w:bCs w:val="0"/>
                <w:color w:val="auto"/>
                <w:spacing w:val="-3"/>
                <w:sz w:val="21"/>
                <w:highlight w:val="none"/>
                <w:lang w:eastAsia="zh-CN"/>
              </w:rPr>
              <w:t>时间：</w:t>
            </w:r>
            <w:r>
              <w:rPr>
                <w:rFonts w:hint="eastAsia" w:cs="Times New Roman"/>
                <w:b w:val="0"/>
                <w:bCs w:val="0"/>
                <w:color w:val="auto"/>
                <w:spacing w:val="-3"/>
                <w:sz w:val="21"/>
                <w:highlight w:val="none"/>
                <w:lang w:eastAsia="zh-CN"/>
              </w:rPr>
              <w:t>与</w:t>
            </w:r>
            <w:r>
              <w:rPr>
                <w:rFonts w:hint="eastAsia" w:ascii="宋体" w:hAnsi="宋体" w:eastAsia="宋体" w:cs="宋体"/>
                <w:bCs w:val="0"/>
                <w:color w:val="auto"/>
                <w:sz w:val="21"/>
                <w:szCs w:val="21"/>
                <w:highlight w:val="none"/>
              </w:rPr>
              <w:t>响应文件提交</w:t>
            </w:r>
            <w:r>
              <w:rPr>
                <w:rFonts w:hint="eastAsia" w:ascii="宋体" w:hAnsi="宋体" w:eastAsia="宋体" w:cs="宋体"/>
                <w:bCs w:val="0"/>
                <w:color w:val="auto"/>
                <w:sz w:val="21"/>
                <w:szCs w:val="21"/>
                <w:highlight w:val="none"/>
                <w:lang w:eastAsia="zh-CN"/>
              </w:rPr>
              <w:t>截止时间一致，逾期提交的不予受理。</w:t>
            </w:r>
          </w:p>
          <w:p w14:paraId="29C4EC11">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Times New Roman"/>
                <w:b w:val="0"/>
                <w:bCs w:val="0"/>
                <w:color w:val="auto"/>
                <w:szCs w:val="21"/>
                <w:highlight w:val="none"/>
                <w:lang w:eastAsia="zh-CN"/>
              </w:rPr>
            </w:pPr>
            <w:r>
              <w:rPr>
                <w:rFonts w:hint="eastAsia" w:ascii="宋体" w:hAnsi="宋体" w:eastAsia="宋体" w:cs="Times New Roman"/>
                <w:b w:val="0"/>
                <w:bCs w:val="0"/>
                <w:color w:val="auto"/>
                <w:szCs w:val="21"/>
                <w:highlight w:val="none"/>
                <w:lang w:eastAsia="zh-CN"/>
              </w:rPr>
              <w:t>（</w:t>
            </w:r>
            <w:r>
              <w:rPr>
                <w:rFonts w:hint="eastAsia" w:ascii="宋体" w:hAnsi="宋体" w:cs="Times New Roman"/>
                <w:b w:val="0"/>
                <w:bCs w:val="0"/>
                <w:color w:val="auto"/>
                <w:szCs w:val="21"/>
                <w:highlight w:val="none"/>
                <w:lang w:val="en-US" w:eastAsia="zh-CN"/>
              </w:rPr>
              <w:t>4</w:t>
            </w:r>
            <w:r>
              <w:rPr>
                <w:rFonts w:hint="eastAsia" w:ascii="宋体" w:hAnsi="宋体" w:eastAsia="宋体" w:cs="Times New Roman"/>
                <w:b w:val="0"/>
                <w:bCs w:val="0"/>
                <w:color w:val="auto"/>
                <w:szCs w:val="21"/>
                <w:highlight w:val="none"/>
                <w:lang w:eastAsia="zh-CN"/>
              </w:rPr>
              <w:t>）供应商邮件发送的内容如下：</w:t>
            </w:r>
          </w:p>
          <w:p w14:paraId="7B159435">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pacing w:val="0"/>
                <w:sz w:val="21"/>
                <w:szCs w:val="21"/>
                <w:highlight w:val="none"/>
                <w:u w:val="single"/>
                <w:lang w:val="en-US" w:eastAsia="zh-CN"/>
              </w:rPr>
            </w:pPr>
            <w:r>
              <w:rPr>
                <w:rFonts w:hint="eastAsia" w:ascii="宋体" w:hAnsi="宋体" w:eastAsia="宋体" w:cs="宋体"/>
                <w:b w:val="0"/>
                <w:bCs w:val="0"/>
                <w:color w:val="auto"/>
                <w:spacing w:val="0"/>
                <w:sz w:val="21"/>
                <w:szCs w:val="21"/>
                <w:highlight w:val="none"/>
                <w:u w:val="none"/>
                <w:lang w:eastAsia="zh-CN"/>
              </w:rPr>
              <w:t>项目名称：</w:t>
            </w:r>
            <w:r>
              <w:rPr>
                <w:rFonts w:hint="eastAsia" w:ascii="宋体" w:hAnsi="宋体" w:eastAsia="宋体" w:cs="宋体"/>
                <w:b w:val="0"/>
                <w:bCs w:val="0"/>
                <w:color w:val="auto"/>
                <w:spacing w:val="0"/>
                <w:sz w:val="21"/>
                <w:szCs w:val="21"/>
                <w:highlight w:val="none"/>
                <w:u w:val="single"/>
                <w:lang w:val="en-US" w:eastAsia="zh-CN"/>
              </w:rPr>
              <w:t xml:space="preserve">                 </w:t>
            </w:r>
          </w:p>
          <w:p w14:paraId="6E3FAA7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pacing w:val="0"/>
                <w:sz w:val="21"/>
                <w:szCs w:val="21"/>
                <w:highlight w:val="none"/>
                <w:u w:val="single"/>
                <w:lang w:eastAsia="zh-CN"/>
              </w:rPr>
            </w:pPr>
            <w:r>
              <w:rPr>
                <w:rFonts w:hint="eastAsia" w:ascii="宋体" w:hAnsi="宋体" w:eastAsia="宋体" w:cs="宋体"/>
                <w:b w:val="0"/>
                <w:bCs w:val="0"/>
                <w:color w:val="auto"/>
                <w:spacing w:val="0"/>
                <w:sz w:val="21"/>
                <w:szCs w:val="21"/>
                <w:highlight w:val="none"/>
                <w:u w:val="none"/>
                <w:lang w:eastAsia="zh-CN"/>
              </w:rPr>
              <w:t>项目编号</w:t>
            </w:r>
            <w:r>
              <w:rPr>
                <w:rFonts w:hint="eastAsia" w:ascii="宋体" w:hAnsi="宋体" w:eastAsia="宋体" w:cs="宋体"/>
                <w:b w:val="0"/>
                <w:bCs w:val="0"/>
                <w:color w:val="auto"/>
                <w:spacing w:val="0"/>
                <w:sz w:val="21"/>
                <w:szCs w:val="21"/>
                <w:highlight w:val="none"/>
                <w:u w:val="single"/>
                <w:lang w:eastAsia="zh-CN"/>
              </w:rPr>
              <w:t>：</w:t>
            </w:r>
            <w:r>
              <w:rPr>
                <w:rFonts w:hint="eastAsia" w:ascii="宋体" w:hAnsi="宋体" w:eastAsia="宋体" w:cs="宋体"/>
                <w:b w:val="0"/>
                <w:bCs w:val="0"/>
                <w:color w:val="auto"/>
                <w:spacing w:val="0"/>
                <w:sz w:val="21"/>
                <w:szCs w:val="21"/>
                <w:highlight w:val="none"/>
                <w:u w:val="single"/>
                <w:lang w:val="en-US" w:eastAsia="zh-CN"/>
              </w:rPr>
              <w:t xml:space="preserve">                 </w:t>
            </w:r>
          </w:p>
          <w:p w14:paraId="3838716B">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pacing w:val="0"/>
                <w:sz w:val="21"/>
                <w:szCs w:val="21"/>
                <w:highlight w:val="none"/>
                <w:u w:val="single"/>
                <w:lang w:eastAsia="zh-CN"/>
              </w:rPr>
            </w:pPr>
            <w:r>
              <w:rPr>
                <w:rFonts w:hint="eastAsia" w:ascii="宋体" w:hAnsi="宋体" w:cs="宋体"/>
                <w:b w:val="0"/>
                <w:bCs w:val="0"/>
                <w:color w:val="auto"/>
                <w:spacing w:val="0"/>
                <w:sz w:val="21"/>
                <w:szCs w:val="21"/>
                <w:highlight w:val="none"/>
                <w:u w:val="none"/>
                <w:lang w:eastAsia="zh-CN"/>
              </w:rPr>
              <w:t>分标号</w:t>
            </w:r>
            <w:r>
              <w:rPr>
                <w:rFonts w:hint="eastAsia" w:ascii="宋体" w:hAnsi="宋体" w:eastAsia="宋体" w:cs="宋体"/>
                <w:b w:val="0"/>
                <w:bCs w:val="0"/>
                <w:color w:val="auto"/>
                <w:spacing w:val="0"/>
                <w:sz w:val="21"/>
                <w:szCs w:val="21"/>
                <w:highlight w:val="none"/>
                <w:u w:val="none"/>
                <w:lang w:eastAsia="zh-CN"/>
              </w:rPr>
              <w:t>（如有）：</w:t>
            </w:r>
            <w:r>
              <w:rPr>
                <w:rFonts w:hint="eastAsia" w:ascii="宋体" w:hAnsi="宋体" w:eastAsia="宋体" w:cs="宋体"/>
                <w:b w:val="0"/>
                <w:bCs w:val="0"/>
                <w:color w:val="auto"/>
                <w:spacing w:val="0"/>
                <w:sz w:val="21"/>
                <w:szCs w:val="21"/>
                <w:highlight w:val="none"/>
                <w:u w:val="single"/>
                <w:lang w:val="en-US" w:eastAsia="zh-CN"/>
              </w:rPr>
              <w:t xml:space="preserve">                 </w:t>
            </w:r>
          </w:p>
          <w:p w14:paraId="6C4884E6">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pacing w:val="0"/>
                <w:sz w:val="21"/>
                <w:szCs w:val="21"/>
                <w:highlight w:val="none"/>
                <w:u w:val="single"/>
                <w:lang w:val="en-US" w:eastAsia="zh-CN"/>
              </w:rPr>
            </w:pPr>
            <w:r>
              <w:rPr>
                <w:rFonts w:hint="eastAsia" w:ascii="宋体" w:hAnsi="宋体" w:eastAsia="宋体" w:cs="宋体"/>
                <w:b w:val="0"/>
                <w:bCs w:val="0"/>
                <w:color w:val="auto"/>
                <w:spacing w:val="0"/>
                <w:sz w:val="21"/>
                <w:szCs w:val="21"/>
                <w:highlight w:val="none"/>
                <w:u w:val="none"/>
                <w:lang w:eastAsia="zh-CN"/>
              </w:rPr>
              <w:t>供应商名称：</w:t>
            </w:r>
            <w:r>
              <w:rPr>
                <w:rFonts w:hint="eastAsia" w:ascii="宋体" w:hAnsi="宋体" w:eastAsia="宋体" w:cs="宋体"/>
                <w:b w:val="0"/>
                <w:bCs w:val="0"/>
                <w:color w:val="auto"/>
                <w:spacing w:val="0"/>
                <w:sz w:val="21"/>
                <w:szCs w:val="21"/>
                <w:highlight w:val="none"/>
                <w:u w:val="single"/>
                <w:lang w:val="en-US" w:eastAsia="zh-CN"/>
              </w:rPr>
              <w:t xml:space="preserve">                 </w:t>
            </w:r>
          </w:p>
          <w:p w14:paraId="16043C46">
            <w:pPr>
              <w:keepNext w:val="0"/>
              <w:keepLines w:val="0"/>
              <w:pageBreakBefore w:val="0"/>
              <w:widowControl w:val="0"/>
              <w:kinsoku/>
              <w:wordWrap/>
              <w:overflowPunct/>
              <w:topLinePunct w:val="0"/>
              <w:autoSpaceDE/>
              <w:autoSpaceDN/>
              <w:bidi w:val="0"/>
              <w:adjustRightInd/>
              <w:snapToGrid w:val="0"/>
              <w:spacing w:line="400" w:lineRule="exact"/>
              <w:ind w:left="0"/>
              <w:jc w:val="left"/>
              <w:textAlignment w:val="auto"/>
              <w:rPr>
                <w:rFonts w:hint="eastAsia" w:ascii="宋体" w:hAnsi="宋体" w:eastAsia="宋体" w:cs="宋体"/>
                <w:b w:val="0"/>
                <w:bCs w:val="0"/>
                <w:color w:val="auto"/>
                <w:spacing w:val="0"/>
                <w:sz w:val="21"/>
                <w:szCs w:val="21"/>
                <w:highlight w:val="none"/>
                <w:u w:val="single"/>
                <w:lang w:val="en-US" w:eastAsia="zh-CN"/>
              </w:rPr>
            </w:pPr>
            <w:r>
              <w:rPr>
                <w:rFonts w:hint="eastAsia" w:ascii="宋体" w:hAnsi="宋体" w:eastAsia="宋体" w:cs="宋体"/>
                <w:b w:val="0"/>
                <w:bCs w:val="0"/>
                <w:color w:val="auto"/>
                <w:spacing w:val="0"/>
                <w:sz w:val="21"/>
                <w:szCs w:val="21"/>
                <w:highlight w:val="none"/>
                <w:u w:val="none"/>
                <w:lang w:val="en-US" w:eastAsia="zh-CN"/>
              </w:rPr>
              <w:t>法定代表人或其委托代理人姓名：</w:t>
            </w:r>
            <w:r>
              <w:rPr>
                <w:rFonts w:hint="eastAsia" w:ascii="宋体" w:hAnsi="宋体" w:eastAsia="宋体" w:cs="宋体"/>
                <w:b w:val="0"/>
                <w:bCs w:val="0"/>
                <w:color w:val="auto"/>
                <w:spacing w:val="0"/>
                <w:sz w:val="21"/>
                <w:szCs w:val="21"/>
                <w:highlight w:val="none"/>
                <w:u w:val="single"/>
                <w:lang w:val="en-US" w:eastAsia="zh-CN"/>
              </w:rPr>
              <w:t xml:space="preserve">                  </w:t>
            </w:r>
          </w:p>
          <w:p w14:paraId="497BB4CA">
            <w:pPr>
              <w:keepNext w:val="0"/>
              <w:keepLines w:val="0"/>
              <w:pageBreakBefore w:val="0"/>
              <w:widowControl w:val="0"/>
              <w:kinsoku/>
              <w:wordWrap/>
              <w:overflowPunct/>
              <w:topLinePunct w:val="0"/>
              <w:autoSpaceDE/>
              <w:autoSpaceDN/>
              <w:bidi w:val="0"/>
              <w:adjustRightInd/>
              <w:snapToGrid w:val="0"/>
              <w:spacing w:line="400" w:lineRule="exact"/>
              <w:ind w:left="0"/>
              <w:jc w:val="left"/>
              <w:textAlignment w:val="auto"/>
              <w:rPr>
                <w:rFonts w:hint="eastAsia" w:ascii="宋体" w:hAnsi="宋体" w:eastAsia="宋体" w:cs="Times New Roman"/>
                <w:b w:val="0"/>
                <w:bCs w:val="0"/>
                <w:color w:val="auto"/>
                <w:szCs w:val="21"/>
                <w:highlight w:val="none"/>
                <w:u w:val="single"/>
                <w:lang w:eastAsia="zh-CN"/>
              </w:rPr>
            </w:pPr>
            <w:r>
              <w:rPr>
                <w:rFonts w:hint="eastAsia" w:ascii="宋体" w:hAnsi="宋体" w:eastAsia="宋体" w:cs="宋体"/>
                <w:b w:val="0"/>
                <w:bCs w:val="0"/>
                <w:color w:val="auto"/>
                <w:spacing w:val="0"/>
                <w:sz w:val="21"/>
                <w:szCs w:val="21"/>
                <w:highlight w:val="none"/>
                <w:u w:val="none"/>
                <w:lang w:val="en-US" w:eastAsia="zh-CN"/>
              </w:rPr>
              <w:t>法定代表人或其委托代理人手机号码：</w:t>
            </w:r>
            <w:r>
              <w:rPr>
                <w:rFonts w:hint="eastAsia" w:ascii="宋体" w:hAnsi="宋体" w:eastAsia="宋体" w:cs="宋体"/>
                <w:b w:val="0"/>
                <w:bCs w:val="0"/>
                <w:color w:val="auto"/>
                <w:spacing w:val="0"/>
                <w:sz w:val="21"/>
                <w:szCs w:val="21"/>
                <w:highlight w:val="none"/>
                <w:u w:val="single"/>
                <w:lang w:val="en-US" w:eastAsia="zh-CN"/>
              </w:rPr>
              <w:t xml:space="preserve">                  </w:t>
            </w:r>
          </w:p>
          <w:p w14:paraId="0CC0C34E">
            <w:pPr>
              <w:pStyle w:val="9"/>
              <w:keepNext w:val="0"/>
              <w:keepLines w:val="0"/>
              <w:pageBreakBefore w:val="0"/>
              <w:widowControl w:val="0"/>
              <w:kinsoku/>
              <w:wordWrap/>
              <w:overflowPunct/>
              <w:topLinePunct w:val="0"/>
              <w:autoSpaceDE/>
              <w:autoSpaceDN/>
              <w:bidi w:val="0"/>
              <w:adjustRightInd/>
              <w:spacing w:line="400" w:lineRule="exact"/>
              <w:ind w:left="0" w:leftChars="0"/>
              <w:textAlignment w:val="auto"/>
              <w:rPr>
                <w:rFonts w:hint="eastAsia" w:ascii="宋体" w:hAnsi="宋体" w:cs="宋体"/>
                <w:color w:val="auto"/>
                <w:szCs w:val="21"/>
                <w:highlight w:val="none"/>
              </w:rPr>
            </w:pPr>
            <w:r>
              <w:rPr>
                <w:rFonts w:hint="eastAsia" w:ascii="Times New Roman" w:hAnsi="Times New Roman" w:eastAsia="宋体" w:cs="Times New Roman"/>
                <w:b w:val="0"/>
                <w:bCs w:val="0"/>
                <w:color w:val="auto"/>
                <w:spacing w:val="-3"/>
                <w:sz w:val="21"/>
                <w:highlight w:val="none"/>
                <w:lang w:eastAsia="zh-CN"/>
              </w:rPr>
              <w:t>（</w:t>
            </w:r>
            <w:r>
              <w:rPr>
                <w:rFonts w:hint="eastAsia" w:cs="Times New Roman"/>
                <w:b w:val="0"/>
                <w:bCs w:val="0"/>
                <w:color w:val="auto"/>
                <w:spacing w:val="-3"/>
                <w:sz w:val="21"/>
                <w:highlight w:val="none"/>
                <w:lang w:val="en-US" w:eastAsia="zh-CN"/>
              </w:rPr>
              <w:t>5</w:t>
            </w:r>
            <w:r>
              <w:rPr>
                <w:rFonts w:hint="eastAsia" w:ascii="Times New Roman" w:hAnsi="Times New Roman" w:eastAsia="宋体" w:cs="Times New Roman"/>
                <w:b w:val="0"/>
                <w:bCs w:val="0"/>
                <w:color w:val="auto"/>
                <w:spacing w:val="-3"/>
                <w:sz w:val="21"/>
                <w:highlight w:val="none"/>
                <w:lang w:eastAsia="zh-CN"/>
              </w:rPr>
              <w:t>）</w:t>
            </w:r>
            <w:r>
              <w:rPr>
                <w:rFonts w:ascii="Times New Roman" w:hAnsi="Times New Roman" w:eastAsia="宋体" w:cs="Times New Roman"/>
                <w:b w:val="0"/>
                <w:bCs w:val="0"/>
                <w:color w:val="auto"/>
                <w:spacing w:val="-3"/>
                <w:sz w:val="21"/>
                <w:highlight w:val="none"/>
              </w:rPr>
              <w:t>响应文件启用顺序和效力：响应文件的启用，按先后顺位</w:t>
            </w:r>
            <w:r>
              <w:rPr>
                <w:rFonts w:ascii="Times New Roman" w:hAnsi="Times New Roman" w:eastAsia="宋体" w:cs="Times New Roman"/>
                <w:color w:val="auto"/>
                <w:spacing w:val="-3"/>
                <w:sz w:val="21"/>
                <w:highlight w:val="none"/>
              </w:rPr>
              <w:t>分别为</w:t>
            </w:r>
            <w:r>
              <w:rPr>
                <w:rFonts w:hint="eastAsia" w:cs="Times New Roman"/>
                <w:color w:val="auto"/>
                <w:spacing w:val="-3"/>
                <w:sz w:val="21"/>
                <w:highlight w:val="none"/>
                <w:lang w:eastAsia="zh-CN"/>
              </w:rPr>
              <w:t>广西政府采购云平台上传的加密</w:t>
            </w:r>
            <w:r>
              <w:rPr>
                <w:rFonts w:ascii="Times New Roman" w:hAnsi="Times New Roman" w:eastAsia="宋体" w:cs="Times New Roman"/>
                <w:color w:val="auto"/>
                <w:spacing w:val="-3"/>
                <w:sz w:val="21"/>
                <w:highlight w:val="none"/>
              </w:rPr>
              <w:t>电子响应文件、以</w:t>
            </w:r>
            <w:r>
              <w:rPr>
                <w:rFonts w:hint="eastAsia" w:cs="Times New Roman"/>
                <w:color w:val="auto"/>
                <w:spacing w:val="-3"/>
                <w:sz w:val="21"/>
                <w:highlight w:val="none"/>
                <w:lang w:eastAsia="zh-CN"/>
              </w:rPr>
              <w:t>邮件</w:t>
            </w:r>
            <w:r>
              <w:rPr>
                <w:rFonts w:ascii="Times New Roman" w:hAnsi="Times New Roman" w:eastAsia="宋体" w:cs="Times New Roman"/>
                <w:color w:val="auto"/>
                <w:spacing w:val="-3"/>
                <w:sz w:val="21"/>
                <w:highlight w:val="none"/>
              </w:rPr>
              <w:t>形式</w:t>
            </w:r>
            <w:r>
              <w:rPr>
                <w:rFonts w:hint="eastAsia" w:cs="Times New Roman"/>
                <w:color w:val="auto"/>
                <w:spacing w:val="-3"/>
                <w:sz w:val="21"/>
                <w:highlight w:val="none"/>
                <w:lang w:eastAsia="zh-CN"/>
              </w:rPr>
              <w:t>提交</w:t>
            </w:r>
            <w:r>
              <w:rPr>
                <w:rFonts w:ascii="Times New Roman" w:hAnsi="Times New Roman" w:eastAsia="宋体" w:cs="Times New Roman"/>
                <w:color w:val="auto"/>
                <w:spacing w:val="-3"/>
                <w:sz w:val="21"/>
                <w:highlight w:val="none"/>
              </w:rPr>
              <w:t>的电子备份响应文件。顺位在先的响应文件已按时解密的</w:t>
            </w:r>
            <w:r>
              <w:rPr>
                <w:rFonts w:hint="eastAsia" w:ascii="Times New Roman" w:hAnsi="Times New Roman" w:eastAsia="宋体" w:cs="Times New Roman"/>
                <w:color w:val="auto"/>
                <w:spacing w:val="-3"/>
                <w:sz w:val="21"/>
                <w:highlight w:val="none"/>
                <w:lang w:eastAsia="zh-CN"/>
              </w:rPr>
              <w:t>，</w:t>
            </w:r>
            <w:r>
              <w:rPr>
                <w:rFonts w:ascii="Times New Roman" w:hAnsi="Times New Roman" w:eastAsia="宋体" w:cs="Times New Roman"/>
                <w:color w:val="auto"/>
                <w:spacing w:val="-3"/>
                <w:sz w:val="21"/>
                <w:highlight w:val="none"/>
              </w:rPr>
              <w:t>下一顺位响应文件自动失效。在下一顺位的响应文件启用时，前一顺位的响应文件自动失效。</w:t>
            </w:r>
          </w:p>
        </w:tc>
      </w:tr>
      <w:tr w14:paraId="224E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48" w:type="dxa"/>
            <w:tcBorders>
              <w:top w:val="single" w:color="auto" w:sz="4" w:space="0"/>
              <w:left w:val="single" w:color="auto" w:sz="4" w:space="0"/>
              <w:bottom w:val="single" w:color="auto" w:sz="4" w:space="0"/>
              <w:right w:val="single" w:color="auto" w:sz="4" w:space="0"/>
            </w:tcBorders>
            <w:vAlign w:val="center"/>
          </w:tcPr>
          <w:p w14:paraId="288D604F">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2103" w:type="dxa"/>
            <w:tcBorders>
              <w:top w:val="single" w:color="auto" w:sz="4" w:space="0"/>
              <w:left w:val="single" w:color="auto" w:sz="4" w:space="0"/>
              <w:bottom w:val="single" w:color="auto" w:sz="4" w:space="0"/>
              <w:right w:val="single" w:color="auto" w:sz="4" w:space="0"/>
            </w:tcBorders>
            <w:vAlign w:val="center"/>
          </w:tcPr>
          <w:p w14:paraId="0E345F55">
            <w:pPr>
              <w:keepNext w:val="0"/>
              <w:keepLines w:val="0"/>
              <w:pageBreakBefore w:val="0"/>
              <w:widowControl w:val="0"/>
              <w:kinsoku/>
              <w:wordWrap/>
              <w:overflowPunct/>
              <w:topLinePunct w:val="0"/>
              <w:autoSpaceDE/>
              <w:autoSpaceDN/>
              <w:bidi w:val="0"/>
              <w:adjustRightInd/>
              <w:spacing w:line="400" w:lineRule="exact"/>
              <w:jc w:val="center"/>
              <w:textAlignment w:val="auto"/>
              <w:rPr>
                <w:color w:val="auto"/>
                <w:highlight w:val="none"/>
              </w:rPr>
            </w:pPr>
            <w:r>
              <w:rPr>
                <w:rFonts w:hint="eastAsia"/>
                <w:color w:val="auto"/>
                <w:highlight w:val="none"/>
                <w:lang w:eastAsia="zh-CN"/>
              </w:rPr>
              <w:t>竞标</w:t>
            </w:r>
            <w:r>
              <w:rPr>
                <w:rFonts w:hint="eastAsia"/>
                <w:color w:val="auto"/>
                <w:highlight w:val="none"/>
              </w:rPr>
              <w:t>有效期</w:t>
            </w:r>
          </w:p>
        </w:tc>
        <w:tc>
          <w:tcPr>
            <w:tcW w:w="7053" w:type="dxa"/>
            <w:tcBorders>
              <w:top w:val="single" w:color="auto" w:sz="4" w:space="0"/>
              <w:left w:val="single" w:color="auto" w:sz="4" w:space="0"/>
              <w:bottom w:val="single" w:color="auto" w:sz="4" w:space="0"/>
              <w:right w:val="single" w:color="auto" w:sz="4" w:space="0"/>
            </w:tcBorders>
            <w:vAlign w:val="center"/>
          </w:tcPr>
          <w:p w14:paraId="31342416">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color w:val="auto"/>
                <w:highlight w:val="none"/>
                <w:lang w:eastAsia="zh-CN"/>
              </w:rPr>
              <w:t>竞</w:t>
            </w:r>
            <w:r>
              <w:rPr>
                <w:rFonts w:hint="eastAsia" w:ascii="宋体" w:hAnsi="宋体" w:cs="宋体"/>
                <w:color w:val="auto"/>
                <w:szCs w:val="21"/>
                <w:highlight w:val="none"/>
                <w:lang w:eastAsia="zh-CN"/>
              </w:rPr>
              <w:t>标</w:t>
            </w:r>
            <w:r>
              <w:rPr>
                <w:rFonts w:hint="eastAsia" w:ascii="宋体" w:hAnsi="宋体" w:cs="宋体"/>
                <w:color w:val="auto"/>
                <w:szCs w:val="21"/>
                <w:highlight w:val="none"/>
              </w:rPr>
              <w:t>有效期：</w:t>
            </w:r>
            <w:r>
              <w:rPr>
                <w:rFonts w:hint="eastAsia"/>
                <w:color w:val="auto"/>
                <w:highlight w:val="none"/>
                <w:lang w:eastAsia="zh-CN"/>
              </w:rPr>
              <w:t>竞</w:t>
            </w:r>
            <w:r>
              <w:rPr>
                <w:rFonts w:hint="eastAsia" w:ascii="宋体" w:hAnsi="宋体" w:cs="宋体"/>
                <w:color w:val="auto"/>
                <w:szCs w:val="21"/>
                <w:highlight w:val="none"/>
                <w:lang w:eastAsia="zh-CN"/>
              </w:rPr>
              <w:t>标</w:t>
            </w:r>
            <w:r>
              <w:rPr>
                <w:rFonts w:hint="eastAsia" w:ascii="宋体" w:hAnsi="宋体" w:cs="宋体"/>
                <w:color w:val="auto"/>
                <w:szCs w:val="21"/>
                <w:highlight w:val="none"/>
              </w:rPr>
              <w:t>截止日期后60天</w:t>
            </w:r>
          </w:p>
        </w:tc>
      </w:tr>
      <w:tr w14:paraId="4421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48" w:type="dxa"/>
            <w:tcBorders>
              <w:top w:val="single" w:color="auto" w:sz="4" w:space="0"/>
              <w:left w:val="single" w:color="auto" w:sz="4" w:space="0"/>
              <w:bottom w:val="single" w:color="auto" w:sz="4" w:space="0"/>
              <w:right w:val="single" w:color="auto" w:sz="4" w:space="0"/>
            </w:tcBorders>
            <w:vAlign w:val="center"/>
          </w:tcPr>
          <w:p w14:paraId="400506A9">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2103" w:type="dxa"/>
            <w:tcBorders>
              <w:top w:val="single" w:color="auto" w:sz="4" w:space="0"/>
              <w:left w:val="single" w:color="auto" w:sz="4" w:space="0"/>
              <w:bottom w:val="single" w:color="auto" w:sz="4" w:space="0"/>
              <w:right w:val="single" w:color="auto" w:sz="4" w:space="0"/>
            </w:tcBorders>
            <w:vAlign w:val="center"/>
          </w:tcPr>
          <w:p w14:paraId="4B60DA88">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磋商保证金</w:t>
            </w:r>
          </w:p>
        </w:tc>
        <w:tc>
          <w:tcPr>
            <w:tcW w:w="7053" w:type="dxa"/>
            <w:tcBorders>
              <w:top w:val="single" w:color="auto" w:sz="4" w:space="0"/>
              <w:left w:val="single" w:color="auto" w:sz="4" w:space="0"/>
              <w:bottom w:val="single" w:color="auto" w:sz="4" w:space="0"/>
              <w:right w:val="single" w:color="auto" w:sz="4" w:space="0"/>
            </w:tcBorders>
            <w:vAlign w:val="center"/>
          </w:tcPr>
          <w:p w14:paraId="0E589B79">
            <w:pPr>
              <w:pStyle w:val="13"/>
              <w:spacing w:line="288" w:lineRule="auto"/>
              <w:rPr>
                <w:rFonts w:hint="default" w:hAnsi="宋体" w:cs="宋体"/>
                <w:color w:val="auto"/>
                <w:kern w:val="0"/>
                <w:szCs w:val="21"/>
                <w:highlight w:val="none"/>
                <w:lang w:val="en-US" w:eastAsia="zh-CN"/>
              </w:rPr>
            </w:pPr>
            <w:r>
              <w:rPr>
                <w:rFonts w:hint="eastAsia" w:hAnsi="宋体" w:cs="宋体"/>
                <w:color w:val="auto"/>
                <w:kern w:val="0"/>
                <w:szCs w:val="21"/>
                <w:highlight w:val="none"/>
                <w:lang w:eastAsia="zh-CN"/>
              </w:rPr>
              <w:t>本项目是否要求收取磋商保证金：</w:t>
            </w:r>
            <w:r>
              <w:rPr>
                <w:rFonts w:hint="eastAsia" w:hAnsi="宋体" w:cs="宋体"/>
                <w:color w:val="auto"/>
                <w:kern w:val="0"/>
                <w:szCs w:val="21"/>
                <w:highlight w:val="none"/>
                <w:lang w:val="en-US" w:eastAsia="zh-CN"/>
              </w:rPr>
              <w:sym w:font="Wingdings" w:char="00A8"/>
            </w:r>
            <w:r>
              <w:rPr>
                <w:rFonts w:hint="eastAsia" w:hAnsi="宋体" w:cs="宋体"/>
                <w:color w:val="auto"/>
                <w:kern w:val="0"/>
                <w:szCs w:val="21"/>
                <w:highlight w:val="none"/>
                <w:lang w:val="en-US" w:eastAsia="zh-CN"/>
              </w:rPr>
              <w:t xml:space="preserve">要求   </w:t>
            </w:r>
            <w:r>
              <w:rPr>
                <w:rFonts w:hint="eastAsia" w:hAnsi="宋体" w:cs="宋体"/>
                <w:color w:val="auto"/>
                <w:kern w:val="0"/>
                <w:szCs w:val="21"/>
                <w:highlight w:val="none"/>
                <w:lang w:val="en-US" w:eastAsia="zh-CN"/>
              </w:rPr>
              <w:sym w:font="Wingdings" w:char="00FE"/>
            </w:r>
            <w:r>
              <w:rPr>
                <w:rFonts w:hint="eastAsia" w:hAnsi="宋体" w:cs="宋体"/>
                <w:color w:val="auto"/>
                <w:kern w:val="0"/>
                <w:szCs w:val="21"/>
                <w:highlight w:val="none"/>
                <w:lang w:val="en-US" w:eastAsia="zh-CN"/>
              </w:rPr>
              <w:t>不要求</w:t>
            </w:r>
          </w:p>
          <w:p w14:paraId="204187CB">
            <w:pPr>
              <w:pStyle w:val="13"/>
              <w:spacing w:line="288" w:lineRule="auto"/>
              <w:rPr>
                <w:rFonts w:hAnsi="宋体" w:cs="宋体"/>
                <w:color w:val="auto"/>
                <w:kern w:val="0"/>
                <w:szCs w:val="21"/>
                <w:highlight w:val="none"/>
              </w:rPr>
            </w:pPr>
            <w:r>
              <w:rPr>
                <w:rFonts w:hint="eastAsia" w:hAnsi="宋体" w:cs="宋体"/>
                <w:color w:val="auto"/>
                <w:kern w:val="0"/>
                <w:szCs w:val="21"/>
                <w:highlight w:val="none"/>
                <w:lang w:eastAsia="zh-CN"/>
              </w:rPr>
              <w:t>磋商</w:t>
            </w:r>
            <w:r>
              <w:rPr>
                <w:rFonts w:hint="eastAsia" w:hAnsi="宋体" w:cs="宋体"/>
                <w:color w:val="auto"/>
                <w:kern w:val="0"/>
                <w:szCs w:val="21"/>
                <w:highlight w:val="none"/>
              </w:rPr>
              <w:t>保证金</w:t>
            </w:r>
            <w:bookmarkStart w:id="63" w:name="OLE_LINK18"/>
            <w:r>
              <w:rPr>
                <w:rFonts w:hint="eastAsia" w:hAnsi="宋体" w:cs="宋体"/>
                <w:color w:val="auto"/>
                <w:kern w:val="0"/>
                <w:szCs w:val="21"/>
                <w:highlight w:val="none"/>
              </w:rPr>
              <w:t>:</w:t>
            </w:r>
            <w:bookmarkEnd w:id="63"/>
            <w:r>
              <w:rPr>
                <w:rFonts w:hint="eastAsia" w:hAnsi="宋体"/>
                <w:color w:val="auto"/>
                <w:szCs w:val="21"/>
                <w:highlight w:val="none"/>
                <w:lang w:val="en-US" w:eastAsia="zh-CN"/>
              </w:rPr>
              <w:t>0元</w:t>
            </w:r>
            <w:r>
              <w:rPr>
                <w:rFonts w:hint="eastAsia" w:hAnsi="宋体" w:cs="宋体"/>
                <w:color w:val="auto"/>
                <w:kern w:val="0"/>
                <w:szCs w:val="21"/>
                <w:highlight w:val="none"/>
              </w:rPr>
              <w:t>。</w:t>
            </w:r>
          </w:p>
          <w:p w14:paraId="14707384">
            <w:pPr>
              <w:pStyle w:val="13"/>
              <w:spacing w:line="288" w:lineRule="auto"/>
              <w:rPr>
                <w:rFonts w:hAnsi="宋体" w:cs="宋体"/>
                <w:color w:val="auto"/>
                <w:kern w:val="0"/>
                <w:szCs w:val="21"/>
                <w:highlight w:val="none"/>
              </w:rPr>
            </w:pPr>
            <w:r>
              <w:rPr>
                <w:rFonts w:hint="eastAsia" w:hAnsi="宋体"/>
                <w:color w:val="auto"/>
                <w:szCs w:val="21"/>
                <w:highlight w:val="none"/>
                <w:lang w:eastAsia="zh-CN"/>
              </w:rPr>
              <w:t>磋商</w:t>
            </w:r>
            <w:r>
              <w:rPr>
                <w:rFonts w:hint="eastAsia" w:hAnsi="宋体"/>
                <w:color w:val="auto"/>
                <w:szCs w:val="21"/>
                <w:highlight w:val="none"/>
              </w:rPr>
              <w:t>保证金缴纳形式：银行转账、支票、汇票、本票或者银行、保险机构出具的保函，禁止采用现钞方式。</w:t>
            </w:r>
          </w:p>
          <w:p w14:paraId="4ACB0CF6">
            <w:pPr>
              <w:pStyle w:val="13"/>
              <w:spacing w:line="288" w:lineRule="auto"/>
              <w:rPr>
                <w:rFonts w:hint="eastAsia" w:hAnsi="宋体" w:cs="宋体"/>
                <w:color w:val="auto"/>
                <w:kern w:val="0"/>
                <w:szCs w:val="21"/>
                <w:highlight w:val="none"/>
              </w:rPr>
            </w:pPr>
            <w:r>
              <w:rPr>
                <w:rFonts w:hint="eastAsia" w:hAnsi="宋体" w:cs="宋体"/>
                <w:color w:val="auto"/>
                <w:kern w:val="0"/>
                <w:szCs w:val="21"/>
                <w:highlight w:val="none"/>
              </w:rPr>
              <w:t>采用银行转账方式的，</w:t>
            </w:r>
            <w:r>
              <w:rPr>
                <w:rFonts w:hint="eastAsia" w:hAnsi="宋体" w:cs="宋体"/>
                <w:color w:val="auto"/>
                <w:kern w:val="0"/>
                <w:szCs w:val="21"/>
                <w:highlight w:val="none"/>
                <w:lang w:eastAsia="zh-CN"/>
              </w:rPr>
              <w:t>竞</w:t>
            </w:r>
            <w:r>
              <w:rPr>
                <w:rFonts w:hint="eastAsia" w:hAnsi="宋体" w:cs="宋体"/>
                <w:color w:val="auto"/>
                <w:kern w:val="0"/>
                <w:szCs w:val="21"/>
                <w:highlight w:val="none"/>
              </w:rPr>
              <w:t>标人将</w:t>
            </w:r>
            <w:r>
              <w:rPr>
                <w:rFonts w:hint="eastAsia" w:hAnsi="宋体" w:cs="宋体"/>
                <w:color w:val="auto"/>
                <w:kern w:val="0"/>
                <w:szCs w:val="21"/>
                <w:highlight w:val="none"/>
                <w:lang w:eastAsia="zh-CN"/>
              </w:rPr>
              <w:t>磋商</w:t>
            </w:r>
            <w:r>
              <w:rPr>
                <w:rFonts w:hint="eastAsia" w:hAnsi="宋体" w:cs="宋体"/>
                <w:color w:val="auto"/>
                <w:kern w:val="0"/>
                <w:szCs w:val="21"/>
                <w:highlight w:val="none"/>
              </w:rPr>
              <w:t>保证金从</w:t>
            </w:r>
            <w:r>
              <w:rPr>
                <w:rFonts w:hint="eastAsia" w:hAnsi="宋体" w:cs="宋体"/>
                <w:color w:val="auto"/>
                <w:kern w:val="0"/>
                <w:szCs w:val="21"/>
                <w:highlight w:val="none"/>
                <w:lang w:eastAsia="zh-CN"/>
              </w:rPr>
              <w:t>竞</w:t>
            </w:r>
            <w:r>
              <w:rPr>
                <w:rFonts w:hint="eastAsia" w:hAnsi="宋体" w:cs="宋体"/>
                <w:color w:val="auto"/>
                <w:kern w:val="0"/>
                <w:szCs w:val="21"/>
                <w:highlight w:val="none"/>
              </w:rPr>
              <w:t>标人基本账户转出交至以下指定的</w:t>
            </w:r>
            <w:r>
              <w:rPr>
                <w:rFonts w:hint="eastAsia" w:hAnsi="宋体" w:cs="宋体"/>
                <w:color w:val="auto"/>
                <w:kern w:val="0"/>
                <w:szCs w:val="21"/>
                <w:highlight w:val="none"/>
                <w:lang w:eastAsia="zh-CN"/>
              </w:rPr>
              <w:t>磋商</w:t>
            </w:r>
            <w:r>
              <w:rPr>
                <w:rFonts w:hint="eastAsia" w:hAnsi="宋体" w:cs="宋体"/>
                <w:color w:val="auto"/>
                <w:kern w:val="0"/>
                <w:szCs w:val="21"/>
                <w:highlight w:val="none"/>
              </w:rPr>
              <w:t>保证金专用账户，且提交到指定账户时间不得迟于</w:t>
            </w:r>
            <w:r>
              <w:rPr>
                <w:rFonts w:hint="eastAsia" w:hAnsi="宋体" w:cs="宋体"/>
                <w:color w:val="auto"/>
                <w:kern w:val="0"/>
                <w:szCs w:val="21"/>
                <w:highlight w:val="none"/>
                <w:lang w:eastAsia="zh-CN"/>
              </w:rPr>
              <w:t>响应文件提交</w:t>
            </w:r>
            <w:r>
              <w:rPr>
                <w:rFonts w:hint="eastAsia" w:hAnsi="宋体" w:cs="宋体"/>
                <w:color w:val="auto"/>
                <w:kern w:val="0"/>
                <w:szCs w:val="21"/>
                <w:highlight w:val="none"/>
              </w:rPr>
              <w:t>截止时间（以到账为准）:</w:t>
            </w:r>
          </w:p>
          <w:p w14:paraId="208699D8">
            <w:pPr>
              <w:pStyle w:val="13"/>
              <w:spacing w:line="288" w:lineRule="auto"/>
              <w:rPr>
                <w:rFonts w:hint="eastAsia" w:hAnsi="宋体" w:cs="宋体"/>
                <w:color w:val="auto"/>
                <w:kern w:val="0"/>
                <w:szCs w:val="21"/>
                <w:highlight w:val="none"/>
              </w:rPr>
            </w:pPr>
            <w:r>
              <w:rPr>
                <w:rFonts w:hint="eastAsia" w:hAnsi="宋体" w:cs="宋体"/>
                <w:color w:val="auto"/>
                <w:kern w:val="0"/>
                <w:szCs w:val="21"/>
                <w:highlight w:val="none"/>
              </w:rPr>
              <w:t>开户行：</w:t>
            </w:r>
          </w:p>
          <w:p w14:paraId="0E463C5B">
            <w:pPr>
              <w:pStyle w:val="13"/>
              <w:spacing w:line="288" w:lineRule="auto"/>
              <w:rPr>
                <w:rFonts w:hint="eastAsia" w:hAnsi="宋体" w:cs="宋体"/>
                <w:color w:val="auto"/>
                <w:kern w:val="0"/>
                <w:szCs w:val="21"/>
                <w:highlight w:val="none"/>
              </w:rPr>
            </w:pPr>
            <w:r>
              <w:rPr>
                <w:rFonts w:hint="eastAsia" w:hAnsi="宋体" w:cs="宋体"/>
                <w:color w:val="auto"/>
                <w:kern w:val="0"/>
                <w:szCs w:val="21"/>
                <w:highlight w:val="none"/>
              </w:rPr>
              <w:t>户名：</w:t>
            </w:r>
          </w:p>
          <w:p w14:paraId="3967C5E8">
            <w:pPr>
              <w:pStyle w:val="13"/>
              <w:spacing w:line="288" w:lineRule="auto"/>
              <w:rPr>
                <w:rFonts w:hint="eastAsia" w:eastAsia="宋体"/>
                <w:color w:val="auto"/>
                <w:highlight w:val="none"/>
                <w:lang w:eastAsia="zh-CN"/>
              </w:rPr>
            </w:pPr>
            <w:r>
              <w:rPr>
                <w:rFonts w:hint="eastAsia" w:hAnsi="宋体" w:cs="宋体"/>
                <w:color w:val="auto"/>
                <w:kern w:val="0"/>
                <w:szCs w:val="21"/>
                <w:highlight w:val="none"/>
              </w:rPr>
              <w:t xml:space="preserve">账号： </w:t>
            </w:r>
          </w:p>
        </w:tc>
      </w:tr>
      <w:tr w14:paraId="73BC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48" w:type="dxa"/>
            <w:tcBorders>
              <w:top w:val="single" w:color="auto" w:sz="4" w:space="0"/>
              <w:left w:val="single" w:color="auto" w:sz="4" w:space="0"/>
              <w:bottom w:val="single" w:color="auto" w:sz="4" w:space="0"/>
              <w:right w:val="single" w:color="auto" w:sz="4" w:space="0"/>
            </w:tcBorders>
            <w:vAlign w:val="center"/>
          </w:tcPr>
          <w:p w14:paraId="0681B2C3">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2103" w:type="dxa"/>
            <w:tcBorders>
              <w:top w:val="single" w:color="auto" w:sz="4" w:space="0"/>
              <w:left w:val="single" w:color="auto" w:sz="4" w:space="0"/>
              <w:bottom w:val="single" w:color="auto" w:sz="4" w:space="0"/>
              <w:right w:val="single" w:color="auto" w:sz="4" w:space="0"/>
            </w:tcBorders>
            <w:vAlign w:val="center"/>
          </w:tcPr>
          <w:p w14:paraId="0DF3CEA8">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hAnsi="宋体" w:cs="宋体"/>
                <w:color w:val="auto"/>
                <w:highlight w:val="none"/>
                <w:lang w:eastAsia="zh-CN"/>
              </w:rPr>
              <w:t>响应</w:t>
            </w:r>
            <w:r>
              <w:rPr>
                <w:rFonts w:hint="eastAsia" w:hAnsi="宋体" w:cs="宋体"/>
                <w:color w:val="auto"/>
                <w:highlight w:val="none"/>
              </w:rPr>
              <w:t>文件递交截止时间和地点</w:t>
            </w:r>
          </w:p>
        </w:tc>
        <w:tc>
          <w:tcPr>
            <w:tcW w:w="7053" w:type="dxa"/>
            <w:tcBorders>
              <w:top w:val="single" w:color="auto" w:sz="4" w:space="0"/>
              <w:left w:val="single" w:color="auto" w:sz="4" w:space="0"/>
              <w:bottom w:val="single" w:color="auto" w:sz="4" w:space="0"/>
              <w:right w:val="single" w:color="auto" w:sz="4" w:space="0"/>
            </w:tcBorders>
            <w:vAlign w:val="center"/>
          </w:tcPr>
          <w:p w14:paraId="782DA1E5">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详见竞争性磋商公告</w:t>
            </w:r>
          </w:p>
        </w:tc>
      </w:tr>
      <w:tr w14:paraId="17F3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48" w:type="dxa"/>
            <w:tcBorders>
              <w:top w:val="single" w:color="auto" w:sz="4" w:space="0"/>
              <w:left w:val="single" w:color="auto" w:sz="4" w:space="0"/>
              <w:bottom w:val="single" w:color="auto" w:sz="4" w:space="0"/>
              <w:right w:val="single" w:color="auto" w:sz="4" w:space="0"/>
            </w:tcBorders>
            <w:vAlign w:val="center"/>
          </w:tcPr>
          <w:p w14:paraId="6A697569">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9</w:t>
            </w:r>
          </w:p>
        </w:tc>
        <w:tc>
          <w:tcPr>
            <w:tcW w:w="2103" w:type="dxa"/>
            <w:tcBorders>
              <w:top w:val="single" w:color="auto" w:sz="4" w:space="0"/>
              <w:left w:val="single" w:color="auto" w:sz="4" w:space="0"/>
              <w:bottom w:val="single" w:color="auto" w:sz="4" w:space="0"/>
              <w:right w:val="single" w:color="auto" w:sz="4" w:space="0"/>
            </w:tcBorders>
            <w:vAlign w:val="center"/>
          </w:tcPr>
          <w:p w14:paraId="79FFC9D5">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highlight w:val="none"/>
              </w:rPr>
              <w:t>评标委员会的组建</w:t>
            </w:r>
          </w:p>
        </w:tc>
        <w:tc>
          <w:tcPr>
            <w:tcW w:w="7053" w:type="dxa"/>
            <w:tcBorders>
              <w:top w:val="single" w:color="auto" w:sz="4" w:space="0"/>
              <w:left w:val="single" w:color="auto" w:sz="4" w:space="0"/>
              <w:bottom w:val="single" w:color="auto" w:sz="4" w:space="0"/>
              <w:right w:val="single" w:color="auto" w:sz="4" w:space="0"/>
            </w:tcBorders>
            <w:vAlign w:val="center"/>
          </w:tcPr>
          <w:p w14:paraId="56F81525">
            <w:pPr>
              <w:pStyle w:val="13"/>
              <w:keepNext w:val="0"/>
              <w:keepLines w:val="0"/>
              <w:pageBreakBefore w:val="0"/>
              <w:widowControl w:val="0"/>
              <w:kinsoku/>
              <w:wordWrap/>
              <w:overflowPunct/>
              <w:topLinePunct w:val="0"/>
              <w:autoSpaceDE/>
              <w:autoSpaceDN/>
              <w:bidi w:val="0"/>
              <w:adjustRightInd/>
              <w:spacing w:line="400" w:lineRule="exact"/>
              <w:jc w:val="left"/>
              <w:textAlignment w:val="auto"/>
              <w:rPr>
                <w:rFonts w:hAnsi="宋体" w:cs="宋体"/>
                <w:color w:val="auto"/>
                <w:highlight w:val="none"/>
              </w:rPr>
            </w:pPr>
            <w:r>
              <w:rPr>
                <w:rFonts w:hint="eastAsia" w:hAnsi="宋体" w:cs="宋体"/>
                <w:color w:val="auto"/>
                <w:highlight w:val="none"/>
              </w:rPr>
              <w:t>评标委员会构成：</w:t>
            </w:r>
            <w:r>
              <w:rPr>
                <w:rFonts w:hint="eastAsia" w:hAnsi="宋体" w:cs="宋体"/>
                <w:color w:val="auto"/>
                <w:highlight w:val="none"/>
                <w:lang w:val="en-US" w:eastAsia="zh-CN"/>
              </w:rPr>
              <w:t>3</w:t>
            </w:r>
            <w:r>
              <w:rPr>
                <w:rFonts w:hint="eastAsia" w:hAnsi="宋体" w:cs="宋体"/>
                <w:color w:val="auto"/>
                <w:highlight w:val="none"/>
              </w:rPr>
              <w:t>人，其中采购单位代表</w:t>
            </w:r>
            <w:r>
              <w:rPr>
                <w:rFonts w:hint="eastAsia" w:hAnsi="宋体" w:cs="宋体"/>
                <w:color w:val="auto"/>
                <w:highlight w:val="none"/>
                <w:lang w:val="en-US" w:eastAsia="zh-CN"/>
              </w:rPr>
              <w:t>1</w:t>
            </w:r>
            <w:r>
              <w:rPr>
                <w:rFonts w:hint="eastAsia" w:hAnsi="宋体" w:cs="宋体"/>
                <w:color w:val="auto"/>
                <w:highlight w:val="none"/>
              </w:rPr>
              <w:t>人，专家</w:t>
            </w:r>
            <w:r>
              <w:rPr>
                <w:rFonts w:hint="eastAsia" w:hAnsi="宋体" w:cs="宋体"/>
                <w:color w:val="auto"/>
                <w:highlight w:val="none"/>
                <w:lang w:val="en-US" w:eastAsia="zh-CN"/>
              </w:rPr>
              <w:t>2</w:t>
            </w:r>
            <w:r>
              <w:rPr>
                <w:rFonts w:hint="eastAsia" w:hAnsi="宋体" w:cs="宋体"/>
                <w:color w:val="auto"/>
                <w:highlight w:val="none"/>
              </w:rPr>
              <w:t>人；</w:t>
            </w:r>
          </w:p>
          <w:p w14:paraId="3F766FB7">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评标专家确定方式：随机抽取。</w:t>
            </w:r>
          </w:p>
        </w:tc>
      </w:tr>
      <w:tr w14:paraId="5F90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48" w:type="dxa"/>
            <w:tcBorders>
              <w:top w:val="single" w:color="auto" w:sz="4" w:space="0"/>
              <w:left w:val="single" w:color="auto" w:sz="4" w:space="0"/>
              <w:bottom w:val="single" w:color="auto" w:sz="4" w:space="0"/>
              <w:right w:val="single" w:color="auto" w:sz="4" w:space="0"/>
            </w:tcBorders>
            <w:vAlign w:val="center"/>
          </w:tcPr>
          <w:p w14:paraId="02C434CB">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2103" w:type="dxa"/>
            <w:tcBorders>
              <w:top w:val="single" w:color="auto" w:sz="4" w:space="0"/>
              <w:left w:val="single" w:color="auto" w:sz="4" w:space="0"/>
              <w:bottom w:val="single" w:color="auto" w:sz="4" w:space="0"/>
              <w:right w:val="single" w:color="auto" w:sz="4" w:space="0"/>
            </w:tcBorders>
            <w:vAlign w:val="center"/>
          </w:tcPr>
          <w:p w14:paraId="710176F6">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磋商时间和地点</w:t>
            </w:r>
          </w:p>
        </w:tc>
        <w:tc>
          <w:tcPr>
            <w:tcW w:w="7053" w:type="dxa"/>
            <w:tcBorders>
              <w:top w:val="single" w:color="auto" w:sz="4" w:space="0"/>
              <w:left w:val="single" w:color="auto" w:sz="4" w:space="0"/>
              <w:bottom w:val="single" w:color="auto" w:sz="4" w:space="0"/>
              <w:right w:val="single" w:color="auto" w:sz="4" w:space="0"/>
            </w:tcBorders>
            <w:vAlign w:val="center"/>
          </w:tcPr>
          <w:p w14:paraId="0B7561CC">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详见竞争性磋商公告</w:t>
            </w:r>
          </w:p>
        </w:tc>
      </w:tr>
      <w:tr w14:paraId="3542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48" w:type="dxa"/>
            <w:tcBorders>
              <w:top w:val="single" w:color="auto" w:sz="4" w:space="0"/>
              <w:left w:val="single" w:color="auto" w:sz="4" w:space="0"/>
              <w:bottom w:val="single" w:color="auto" w:sz="4" w:space="0"/>
              <w:right w:val="single" w:color="auto" w:sz="4" w:space="0"/>
            </w:tcBorders>
            <w:vAlign w:val="center"/>
          </w:tcPr>
          <w:p w14:paraId="025FC1C8">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p>
        </w:tc>
        <w:tc>
          <w:tcPr>
            <w:tcW w:w="2103" w:type="dxa"/>
            <w:tcBorders>
              <w:top w:val="single" w:color="auto" w:sz="4" w:space="0"/>
              <w:left w:val="single" w:color="auto" w:sz="4" w:space="0"/>
              <w:bottom w:val="single" w:color="auto" w:sz="4" w:space="0"/>
              <w:right w:val="single" w:color="auto" w:sz="4" w:space="0"/>
            </w:tcBorders>
            <w:vAlign w:val="center"/>
          </w:tcPr>
          <w:p w14:paraId="431A8F60">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评标方法</w:t>
            </w:r>
          </w:p>
        </w:tc>
        <w:tc>
          <w:tcPr>
            <w:tcW w:w="7053" w:type="dxa"/>
            <w:tcBorders>
              <w:top w:val="single" w:color="auto" w:sz="4" w:space="0"/>
              <w:left w:val="single" w:color="auto" w:sz="4" w:space="0"/>
              <w:bottom w:val="single" w:color="auto" w:sz="4" w:space="0"/>
              <w:right w:val="single" w:color="auto" w:sz="4" w:space="0"/>
            </w:tcBorders>
            <w:vAlign w:val="center"/>
          </w:tcPr>
          <w:p w14:paraId="5A19D22F">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olor w:val="auto"/>
                <w:szCs w:val="21"/>
                <w:highlight w:val="none"/>
              </w:rPr>
              <w:t>评标方法：</w:t>
            </w:r>
            <w:r>
              <w:rPr>
                <w:rFonts w:hint="eastAsia"/>
                <w:color w:val="auto"/>
                <w:highlight w:val="none"/>
              </w:rPr>
              <w:t>综合评分法</w:t>
            </w:r>
          </w:p>
        </w:tc>
      </w:tr>
      <w:tr w14:paraId="67AD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48" w:type="dxa"/>
            <w:tcBorders>
              <w:top w:val="single" w:color="auto" w:sz="4" w:space="0"/>
              <w:left w:val="single" w:color="auto" w:sz="4" w:space="0"/>
              <w:bottom w:val="single" w:color="auto" w:sz="4" w:space="0"/>
              <w:right w:val="single" w:color="auto" w:sz="4" w:space="0"/>
            </w:tcBorders>
            <w:vAlign w:val="center"/>
          </w:tcPr>
          <w:p w14:paraId="35C6C43B">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12</w:t>
            </w:r>
          </w:p>
        </w:tc>
        <w:tc>
          <w:tcPr>
            <w:tcW w:w="2103" w:type="dxa"/>
            <w:tcBorders>
              <w:top w:val="single" w:color="auto" w:sz="4" w:space="0"/>
              <w:left w:val="single" w:color="auto" w:sz="4" w:space="0"/>
              <w:bottom w:val="single" w:color="auto" w:sz="4" w:space="0"/>
              <w:right w:val="single" w:color="auto" w:sz="4" w:space="0"/>
            </w:tcBorders>
            <w:vAlign w:val="center"/>
          </w:tcPr>
          <w:p w14:paraId="32ADB941">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7053" w:type="dxa"/>
            <w:tcBorders>
              <w:top w:val="single" w:color="auto" w:sz="4" w:space="0"/>
              <w:left w:val="single" w:color="auto" w:sz="4" w:space="0"/>
              <w:bottom w:val="single" w:color="auto" w:sz="4" w:space="0"/>
              <w:right w:val="single" w:color="auto" w:sz="4" w:space="0"/>
            </w:tcBorders>
            <w:vAlign w:val="center"/>
          </w:tcPr>
          <w:p w14:paraId="58AFE3BA">
            <w:pPr>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商务条款评审中允许负偏离的非实质性条款数为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7A91EA24">
            <w:pPr>
              <w:keepNext w:val="0"/>
              <w:keepLines w:val="0"/>
              <w:pageBreakBefore w:val="0"/>
              <w:widowControl w:val="0"/>
              <w:kinsoku/>
              <w:wordWrap/>
              <w:overflowPunct/>
              <w:topLinePunct w:val="0"/>
              <w:autoSpaceDE/>
              <w:autoSpaceDN/>
              <w:bidi w:val="0"/>
              <w:adjustRightInd/>
              <w:snapToGrid w:val="0"/>
              <w:spacing w:line="400" w:lineRule="exact"/>
              <w:ind w:left="0" w:leftChars="0"/>
              <w:textAlignment w:val="auto"/>
              <w:rPr>
                <w:rFonts w:hint="eastAsia" w:ascii="宋体" w:hAnsi="宋体"/>
                <w:color w:val="auto"/>
                <w:szCs w:val="21"/>
                <w:highlight w:val="none"/>
              </w:rPr>
            </w:pPr>
            <w:r>
              <w:rPr>
                <w:rFonts w:hint="eastAsia" w:ascii="宋体" w:hAnsi="宋体" w:cs="宋体"/>
                <w:color w:val="auto"/>
                <w:szCs w:val="21"/>
                <w:highlight w:val="none"/>
              </w:rPr>
              <w:t>服务需求评审中允许负偏离的非实质性条款数为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4E09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2" w:hRule="atLeast"/>
        </w:trPr>
        <w:tc>
          <w:tcPr>
            <w:tcW w:w="648" w:type="dxa"/>
            <w:tcBorders>
              <w:top w:val="single" w:color="auto" w:sz="4" w:space="0"/>
              <w:left w:val="single" w:color="auto" w:sz="4" w:space="0"/>
              <w:bottom w:val="single" w:color="auto" w:sz="4" w:space="0"/>
              <w:right w:val="single" w:color="auto" w:sz="4" w:space="0"/>
            </w:tcBorders>
            <w:vAlign w:val="center"/>
          </w:tcPr>
          <w:p w14:paraId="0C1EBF37">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3</w:t>
            </w:r>
          </w:p>
        </w:tc>
        <w:tc>
          <w:tcPr>
            <w:tcW w:w="2103" w:type="dxa"/>
            <w:tcBorders>
              <w:top w:val="single" w:color="auto" w:sz="4" w:space="0"/>
              <w:left w:val="single" w:color="auto" w:sz="4" w:space="0"/>
              <w:bottom w:val="single" w:color="auto" w:sz="4" w:space="0"/>
              <w:right w:val="single" w:color="auto" w:sz="4" w:space="0"/>
            </w:tcBorders>
            <w:vAlign w:val="center"/>
          </w:tcPr>
          <w:p w14:paraId="3B37A428">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履约保证金</w:t>
            </w:r>
          </w:p>
        </w:tc>
        <w:tc>
          <w:tcPr>
            <w:tcW w:w="7053" w:type="dxa"/>
            <w:tcBorders>
              <w:top w:val="single" w:color="auto" w:sz="4" w:space="0"/>
              <w:left w:val="single" w:color="auto" w:sz="4" w:space="0"/>
              <w:bottom w:val="single" w:color="auto" w:sz="4" w:space="0"/>
              <w:right w:val="single" w:color="auto" w:sz="4" w:space="0"/>
            </w:tcBorders>
            <w:vAlign w:val="center"/>
          </w:tcPr>
          <w:p w14:paraId="71773BFD">
            <w:pPr>
              <w:keepNext w:val="0"/>
              <w:keepLines w:val="0"/>
              <w:pageBreakBefore w:val="0"/>
              <w:widowControl w:val="0"/>
              <w:kinsoku/>
              <w:wordWrap/>
              <w:overflowPunct/>
              <w:topLinePunct w:val="0"/>
              <w:autoSpaceDE w:val="0"/>
              <w:autoSpaceDN w:val="0"/>
              <w:bidi w:val="0"/>
              <w:adjustRightInd/>
              <w:snapToGrid w:val="0"/>
              <w:spacing w:line="336" w:lineRule="auto"/>
              <w:textAlignment w:val="bottom"/>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本项目不收取履约保证金。</w:t>
            </w:r>
          </w:p>
          <w:p w14:paraId="7220552C">
            <w:pPr>
              <w:keepNext w:val="0"/>
              <w:keepLines w:val="0"/>
              <w:pageBreakBefore w:val="0"/>
              <w:widowControl w:val="0"/>
              <w:kinsoku/>
              <w:wordWrap/>
              <w:overflowPunct/>
              <w:topLinePunct w:val="0"/>
              <w:autoSpaceDE w:val="0"/>
              <w:autoSpaceDN w:val="0"/>
              <w:bidi w:val="0"/>
              <w:adjustRightInd/>
              <w:snapToGrid w:val="0"/>
              <w:spacing w:line="336" w:lineRule="auto"/>
              <w:textAlignment w:val="bottom"/>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本项目收取履约保证金，具体规定如下：</w:t>
            </w:r>
          </w:p>
          <w:p w14:paraId="1EEDF657">
            <w:pPr>
              <w:keepNext w:val="0"/>
              <w:keepLines w:val="0"/>
              <w:pageBreakBefore w:val="0"/>
              <w:widowControl w:val="0"/>
              <w:kinsoku/>
              <w:wordWrap/>
              <w:overflowPunct/>
              <w:topLinePunct w:val="0"/>
              <w:bidi w:val="0"/>
              <w:adjustRightInd/>
              <w:spacing w:line="336"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履约保证金金额：按成交金额的</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b/>
                <w:color w:val="auto"/>
                <w:szCs w:val="21"/>
                <w:highlight w:val="none"/>
              </w:rPr>
              <w:t>（注：履约保证金不超过</w:t>
            </w:r>
            <w:r>
              <w:rPr>
                <w:rFonts w:hint="eastAsia"/>
                <w:b/>
                <w:color w:val="auto"/>
                <w:highlight w:val="none"/>
              </w:rPr>
              <w:t>政府采购合同金额的</w:t>
            </w:r>
            <w:r>
              <w:rPr>
                <w:rFonts w:ascii="宋体" w:hAnsi="宋体" w:cs="宋体"/>
                <w:b/>
                <w:color w:val="auto"/>
                <w:szCs w:val="21"/>
                <w:highlight w:val="none"/>
              </w:rPr>
              <w:t>5</w:t>
            </w:r>
            <w:r>
              <w:rPr>
                <w:rFonts w:hint="eastAsia" w:ascii="宋体" w:hAnsi="宋体" w:cs="宋体"/>
                <w:b/>
                <w:color w:val="auto"/>
                <w:szCs w:val="21"/>
                <w:highlight w:val="none"/>
              </w:rPr>
              <w:t>%，对中小企业收取的履约保证金数额不得超过政府采购合同金额的2%。采购人可根据供应商的资信等情况减免履约保证金。）</w:t>
            </w:r>
          </w:p>
          <w:p w14:paraId="08F7789C">
            <w:pPr>
              <w:keepNext w:val="0"/>
              <w:keepLines w:val="0"/>
              <w:pageBreakBefore w:val="0"/>
              <w:widowControl w:val="0"/>
              <w:kinsoku/>
              <w:wordWrap/>
              <w:overflowPunct/>
              <w:topLinePunct w:val="0"/>
              <w:bidi w:val="0"/>
              <w:adjustRightInd/>
              <w:spacing w:line="336" w:lineRule="auto"/>
              <w:contextualSpacing/>
              <w:rPr>
                <w:rFonts w:ascii="宋体" w:hAnsi="宋体" w:cs="宋体"/>
                <w:color w:val="auto"/>
                <w:szCs w:val="21"/>
                <w:highlight w:val="none"/>
              </w:rPr>
            </w:pPr>
            <w:r>
              <w:rPr>
                <w:rFonts w:hint="eastAsia" w:ascii="宋体" w:hAnsi="宋体" w:cs="宋体"/>
                <w:color w:val="auto"/>
                <w:szCs w:val="21"/>
                <w:highlight w:val="none"/>
              </w:rPr>
              <w:t>履约保证金提交方式：银行转账、支票、汇票、本票或者银行、保险机构出具的保函等非现金方式。</w:t>
            </w:r>
          </w:p>
        </w:tc>
      </w:tr>
      <w:tr w14:paraId="100A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48" w:type="dxa"/>
            <w:tcBorders>
              <w:top w:val="single" w:color="auto" w:sz="4" w:space="0"/>
              <w:left w:val="single" w:color="auto" w:sz="4" w:space="0"/>
              <w:bottom w:val="single" w:color="auto" w:sz="4" w:space="0"/>
              <w:right w:val="single" w:color="auto" w:sz="4" w:space="0"/>
            </w:tcBorders>
            <w:vAlign w:val="center"/>
          </w:tcPr>
          <w:p w14:paraId="41D91B86">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4</w:t>
            </w:r>
          </w:p>
        </w:tc>
        <w:tc>
          <w:tcPr>
            <w:tcW w:w="2103" w:type="dxa"/>
            <w:tcBorders>
              <w:top w:val="single" w:color="auto" w:sz="4" w:space="0"/>
              <w:left w:val="single" w:color="auto" w:sz="4" w:space="0"/>
              <w:bottom w:val="single" w:color="auto" w:sz="4" w:space="0"/>
              <w:right w:val="single" w:color="auto" w:sz="4" w:space="0"/>
            </w:tcBorders>
            <w:vAlign w:val="center"/>
          </w:tcPr>
          <w:p w14:paraId="11388E3C">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采购预算价</w:t>
            </w:r>
          </w:p>
        </w:tc>
        <w:tc>
          <w:tcPr>
            <w:tcW w:w="7053" w:type="dxa"/>
            <w:tcBorders>
              <w:top w:val="single" w:color="auto" w:sz="4" w:space="0"/>
              <w:left w:val="single" w:color="auto" w:sz="4" w:space="0"/>
              <w:bottom w:val="single" w:color="auto" w:sz="4" w:space="0"/>
              <w:right w:val="single" w:color="auto" w:sz="4" w:space="0"/>
            </w:tcBorders>
            <w:vAlign w:val="center"/>
          </w:tcPr>
          <w:p w14:paraId="78C2D845">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本项目采购预算价：</w:t>
            </w:r>
            <w:r>
              <w:rPr>
                <w:rFonts w:hint="eastAsia" w:ascii="宋体" w:hAnsi="宋体" w:eastAsia="宋体" w:cs="宋体"/>
                <w:b w:val="0"/>
                <w:bCs w:val="0"/>
                <w:kern w:val="10"/>
                <w:sz w:val="21"/>
                <w:szCs w:val="21"/>
                <w:u w:val="none"/>
                <w:lang w:val="en-US" w:eastAsia="zh-CN"/>
              </w:rPr>
              <w:t>688648.65</w:t>
            </w:r>
            <w:r>
              <w:rPr>
                <w:rFonts w:hint="eastAsia" w:asciiTheme="minorEastAsia" w:hAnsiTheme="minorEastAsia" w:eastAsiaTheme="minorEastAsia" w:cstheme="minorEastAsia"/>
                <w:b w:val="0"/>
                <w:bCs w:val="0"/>
                <w:color w:val="auto"/>
                <w:spacing w:val="-3"/>
                <w:kern w:val="2"/>
                <w:sz w:val="21"/>
                <w:szCs w:val="21"/>
                <w:highlight w:val="none"/>
                <w:lang w:val="en-US" w:eastAsia="zh-CN"/>
              </w:rPr>
              <w:t>元</w:t>
            </w:r>
          </w:p>
        </w:tc>
      </w:tr>
      <w:tr w14:paraId="5ED8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48" w:type="dxa"/>
            <w:tcBorders>
              <w:top w:val="single" w:color="auto" w:sz="4" w:space="0"/>
              <w:left w:val="single" w:color="auto" w:sz="4" w:space="0"/>
              <w:bottom w:val="single" w:color="auto" w:sz="4" w:space="0"/>
              <w:right w:val="single" w:color="auto" w:sz="4" w:space="0"/>
            </w:tcBorders>
            <w:vAlign w:val="center"/>
          </w:tcPr>
          <w:p w14:paraId="5D734028">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p>
        </w:tc>
        <w:tc>
          <w:tcPr>
            <w:tcW w:w="2103" w:type="dxa"/>
            <w:tcBorders>
              <w:top w:val="single" w:color="auto" w:sz="4" w:space="0"/>
              <w:left w:val="single" w:color="auto" w:sz="4" w:space="0"/>
              <w:bottom w:val="single" w:color="auto" w:sz="4" w:space="0"/>
              <w:right w:val="single" w:color="auto" w:sz="4" w:space="0"/>
            </w:tcBorders>
            <w:vAlign w:val="center"/>
          </w:tcPr>
          <w:p w14:paraId="2A9C3C08">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ascii="宋体" w:hAnsi="宋体" w:cs="宋体"/>
                <w:color w:val="auto"/>
                <w:szCs w:val="21"/>
                <w:highlight w:val="none"/>
              </w:rPr>
            </w:pPr>
            <w:r>
              <w:rPr>
                <w:rFonts w:hint="eastAsia" w:ascii="宋体" w:hAnsi="宋体"/>
                <w:color w:val="auto"/>
                <w:szCs w:val="21"/>
                <w:highlight w:val="none"/>
              </w:rPr>
              <w:t>接收质疑函方式</w:t>
            </w:r>
          </w:p>
        </w:tc>
        <w:tc>
          <w:tcPr>
            <w:tcW w:w="7053" w:type="dxa"/>
            <w:tcBorders>
              <w:top w:val="single" w:color="auto" w:sz="4" w:space="0"/>
              <w:left w:val="single" w:color="auto" w:sz="4" w:space="0"/>
              <w:bottom w:val="single" w:color="auto" w:sz="4" w:space="0"/>
              <w:right w:val="single" w:color="auto" w:sz="4" w:space="0"/>
            </w:tcBorders>
            <w:vAlign w:val="center"/>
          </w:tcPr>
          <w:p w14:paraId="2FBCFAA8">
            <w:pPr>
              <w:keepNext w:val="0"/>
              <w:keepLines w:val="0"/>
              <w:pageBreakBefore w:val="0"/>
              <w:widowControl w:val="0"/>
              <w:kinsoku/>
              <w:wordWrap/>
              <w:overflowPunct/>
              <w:topLinePunct w:val="0"/>
              <w:autoSpaceDE/>
              <w:autoSpaceDN/>
              <w:bidi w:val="0"/>
              <w:adjustRightInd/>
              <w:snapToGrid w:val="0"/>
              <w:spacing w:line="400" w:lineRule="exact"/>
              <w:ind w:left="0" w:leftChars="0"/>
              <w:textAlignment w:val="auto"/>
              <w:rPr>
                <w:rFonts w:ascii="宋体" w:hAnsi="宋体" w:cs="宋体"/>
                <w:color w:val="auto"/>
                <w:szCs w:val="21"/>
                <w:highlight w:val="none"/>
              </w:rPr>
            </w:pPr>
            <w:r>
              <w:rPr>
                <w:rFonts w:hint="eastAsia" w:ascii="宋体" w:hAnsi="宋体"/>
                <w:color w:val="auto"/>
                <w:szCs w:val="21"/>
                <w:highlight w:val="none"/>
              </w:rPr>
              <w:t>以书面形式</w:t>
            </w:r>
          </w:p>
        </w:tc>
      </w:tr>
      <w:tr w14:paraId="2FC8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648" w:type="dxa"/>
            <w:tcBorders>
              <w:top w:val="single" w:color="auto" w:sz="4" w:space="0"/>
              <w:left w:val="single" w:color="auto" w:sz="4" w:space="0"/>
              <w:bottom w:val="single" w:color="auto" w:sz="4" w:space="0"/>
              <w:right w:val="single" w:color="auto" w:sz="4" w:space="0"/>
            </w:tcBorders>
            <w:vAlign w:val="center"/>
          </w:tcPr>
          <w:p w14:paraId="53040803">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6</w:t>
            </w:r>
          </w:p>
        </w:tc>
        <w:tc>
          <w:tcPr>
            <w:tcW w:w="2103" w:type="dxa"/>
            <w:tcBorders>
              <w:top w:val="single" w:color="auto" w:sz="4" w:space="0"/>
              <w:left w:val="single" w:color="auto" w:sz="4" w:space="0"/>
              <w:bottom w:val="single" w:color="auto" w:sz="4" w:space="0"/>
              <w:right w:val="single" w:color="auto" w:sz="4" w:space="0"/>
            </w:tcBorders>
            <w:vAlign w:val="center"/>
          </w:tcPr>
          <w:p w14:paraId="00BF83C6">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ascii="宋体" w:hAnsi="宋体" w:cs="宋体"/>
                <w:color w:val="auto"/>
                <w:szCs w:val="21"/>
                <w:highlight w:val="none"/>
              </w:rPr>
            </w:pPr>
            <w:r>
              <w:rPr>
                <w:rFonts w:hint="eastAsia" w:ascii="宋体" w:hAnsi="宋体"/>
                <w:color w:val="auto"/>
                <w:szCs w:val="21"/>
                <w:highlight w:val="none"/>
              </w:rPr>
              <w:t>质疑联系部门及联系方式</w:t>
            </w:r>
          </w:p>
        </w:tc>
        <w:tc>
          <w:tcPr>
            <w:tcW w:w="7053" w:type="dxa"/>
            <w:tcBorders>
              <w:top w:val="single" w:color="auto" w:sz="4" w:space="0"/>
              <w:left w:val="single" w:color="auto" w:sz="4" w:space="0"/>
              <w:bottom w:val="single" w:color="auto" w:sz="4" w:space="0"/>
              <w:right w:val="single" w:color="auto" w:sz="4" w:space="0"/>
            </w:tcBorders>
            <w:vAlign w:val="center"/>
          </w:tcPr>
          <w:p w14:paraId="58959E24">
            <w:pPr>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default" w:ascii="宋体" w:hAnsi="宋体"/>
                <w:color w:val="auto"/>
                <w:szCs w:val="21"/>
                <w:highlight w:val="none"/>
                <w:u w:val="none"/>
                <w:lang w:val="en-US"/>
              </w:rPr>
            </w:pPr>
            <w:r>
              <w:rPr>
                <w:rFonts w:hint="eastAsia" w:ascii="宋体" w:hAnsi="宋体"/>
                <w:color w:val="auto"/>
                <w:szCs w:val="21"/>
                <w:highlight w:val="none"/>
                <w:u w:val="none"/>
                <w:lang w:eastAsia="zh-CN"/>
              </w:rPr>
              <w:t>广西合士嘉项目咨询有限公司</w:t>
            </w:r>
          </w:p>
          <w:p w14:paraId="4F00B3CE">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宋体" w:hAnsi="宋体" w:eastAsia="宋体"/>
                <w:color w:val="auto"/>
                <w:szCs w:val="21"/>
                <w:highlight w:val="none"/>
                <w:u w:val="none"/>
                <w:lang w:val="en-US" w:eastAsia="zh-CN"/>
              </w:rPr>
            </w:pPr>
            <w:r>
              <w:rPr>
                <w:rFonts w:ascii="宋体" w:hAnsi="宋体"/>
                <w:color w:val="auto"/>
                <w:szCs w:val="21"/>
                <w:highlight w:val="none"/>
                <w:u w:val="none"/>
              </w:rPr>
              <w:t>联系电话</w:t>
            </w:r>
            <w:r>
              <w:rPr>
                <w:rFonts w:hint="eastAsia" w:ascii="宋体" w:hAnsi="宋体"/>
                <w:color w:val="auto"/>
                <w:szCs w:val="21"/>
                <w:highlight w:val="none"/>
                <w:u w:val="none"/>
              </w:rPr>
              <w:t>：</w:t>
            </w:r>
            <w:r>
              <w:rPr>
                <w:rFonts w:hint="eastAsia" w:ascii="宋体" w:hAnsi="宋体"/>
                <w:color w:val="auto"/>
                <w:szCs w:val="21"/>
                <w:highlight w:val="none"/>
                <w:u w:val="none"/>
                <w:lang w:val="en-US" w:eastAsia="zh-CN"/>
              </w:rPr>
              <w:t>0777-8318828</w:t>
            </w:r>
          </w:p>
          <w:p w14:paraId="7C5570ED">
            <w:pPr>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Ansi="宋体"/>
                <w:b/>
                <w:color w:val="auto"/>
                <w:highlight w:val="none"/>
              </w:rPr>
            </w:pPr>
            <w:r>
              <w:rPr>
                <w:rFonts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Theme="minorEastAsia" w:hAnsiTheme="minorEastAsia" w:eastAsiaTheme="minorEastAsia" w:cstheme="minorEastAsia"/>
                <w:b w:val="0"/>
                <w:bCs w:val="0"/>
                <w:color w:val="auto"/>
                <w:kern w:val="0"/>
                <w:sz w:val="21"/>
                <w:szCs w:val="21"/>
                <w:highlight w:val="none"/>
                <w:lang w:val="en-US" w:eastAsia="zh-CN" w:bidi="ar-SA"/>
              </w:rPr>
              <w:t>钦州市浦北县小江镇牡丹路22号(浦东新城)17幢111铺</w:t>
            </w:r>
          </w:p>
        </w:tc>
      </w:tr>
      <w:tr w14:paraId="1524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48" w:type="dxa"/>
            <w:tcBorders>
              <w:top w:val="single" w:color="auto" w:sz="4" w:space="0"/>
              <w:left w:val="single" w:color="auto" w:sz="4" w:space="0"/>
              <w:bottom w:val="single" w:color="auto" w:sz="4" w:space="0"/>
              <w:right w:val="single" w:color="auto" w:sz="4" w:space="0"/>
            </w:tcBorders>
            <w:vAlign w:val="center"/>
          </w:tcPr>
          <w:p w14:paraId="31B024D3">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17</w:t>
            </w:r>
          </w:p>
        </w:tc>
        <w:tc>
          <w:tcPr>
            <w:tcW w:w="2103" w:type="dxa"/>
            <w:tcBorders>
              <w:top w:val="single" w:color="auto" w:sz="4" w:space="0"/>
              <w:left w:val="single" w:color="auto" w:sz="4" w:space="0"/>
              <w:bottom w:val="single" w:color="auto" w:sz="4" w:space="0"/>
              <w:right w:val="single" w:color="auto" w:sz="4" w:space="0"/>
            </w:tcBorders>
            <w:vAlign w:val="center"/>
          </w:tcPr>
          <w:p w14:paraId="48F185CD">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ascii="宋体" w:hAnsi="宋体" w:cs="宋体"/>
                <w:color w:val="auto"/>
                <w:szCs w:val="21"/>
                <w:highlight w:val="none"/>
              </w:rPr>
            </w:pPr>
            <w:r>
              <w:rPr>
                <w:rFonts w:hint="eastAsia" w:hAnsi="宋体"/>
                <w:color w:val="auto"/>
                <w:highlight w:val="none"/>
              </w:rPr>
              <w:t>现场提交质疑办理业务时间</w:t>
            </w:r>
          </w:p>
        </w:tc>
        <w:tc>
          <w:tcPr>
            <w:tcW w:w="7053" w:type="dxa"/>
            <w:tcBorders>
              <w:top w:val="single" w:color="auto" w:sz="4" w:space="0"/>
              <w:left w:val="single" w:color="auto" w:sz="4" w:space="0"/>
              <w:bottom w:val="single" w:color="auto" w:sz="4" w:space="0"/>
              <w:right w:val="single" w:color="auto" w:sz="4" w:space="0"/>
            </w:tcBorders>
            <w:vAlign w:val="center"/>
          </w:tcPr>
          <w:p w14:paraId="64722494">
            <w:pPr>
              <w:keepNext w:val="0"/>
              <w:keepLines w:val="0"/>
              <w:pageBreakBefore w:val="0"/>
              <w:widowControl w:val="0"/>
              <w:kinsoku/>
              <w:wordWrap/>
              <w:overflowPunct/>
              <w:topLinePunct w:val="0"/>
              <w:autoSpaceDE/>
              <w:autoSpaceDN/>
              <w:bidi w:val="0"/>
              <w:adjustRightInd/>
              <w:snapToGrid w:val="0"/>
              <w:spacing w:line="400" w:lineRule="exact"/>
              <w:ind w:left="0" w:leftChars="0"/>
              <w:textAlignment w:val="auto"/>
              <w:rPr>
                <w:rFonts w:hAnsi="宋体"/>
                <w:b/>
                <w:color w:val="auto"/>
                <w:highlight w:val="none"/>
              </w:rPr>
            </w:pPr>
            <w:r>
              <w:rPr>
                <w:rFonts w:hint="eastAsia" w:hAnsi="宋体"/>
                <w:color w:val="auto"/>
                <w:highlight w:val="none"/>
              </w:rPr>
              <w:t>质疑期内每个工作日</w:t>
            </w:r>
            <w:r>
              <w:rPr>
                <w:rFonts w:hint="eastAsia" w:hAnsi="宋体"/>
                <w:color w:val="auto"/>
                <w:highlight w:val="none"/>
                <w:u w:val="single"/>
              </w:rPr>
              <w:t>08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分到</w:t>
            </w:r>
            <w:r>
              <w:rPr>
                <w:rFonts w:hint="eastAsia" w:hAnsi="宋体"/>
                <w:color w:val="auto"/>
                <w:highlight w:val="none"/>
                <w:u w:val="single"/>
              </w:rPr>
              <w:t>12</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u w:val="single"/>
              </w:rPr>
              <w:t>15</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分到</w:t>
            </w:r>
            <w:r>
              <w:rPr>
                <w:rFonts w:hint="eastAsia" w:hAnsi="宋体"/>
                <w:color w:val="auto"/>
                <w:highlight w:val="none"/>
                <w:u w:val="single"/>
              </w:rPr>
              <w:t>18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p>
        </w:tc>
      </w:tr>
      <w:tr w14:paraId="581F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648" w:type="dxa"/>
            <w:tcBorders>
              <w:top w:val="single" w:color="auto" w:sz="4" w:space="0"/>
              <w:left w:val="single" w:color="auto" w:sz="4" w:space="0"/>
              <w:bottom w:val="single" w:color="auto" w:sz="4" w:space="0"/>
              <w:right w:val="single" w:color="auto" w:sz="4" w:space="0"/>
            </w:tcBorders>
            <w:vAlign w:val="center"/>
          </w:tcPr>
          <w:p w14:paraId="43BA813E">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w:t>
            </w:r>
          </w:p>
        </w:tc>
        <w:tc>
          <w:tcPr>
            <w:tcW w:w="2103" w:type="dxa"/>
            <w:tcBorders>
              <w:top w:val="single" w:color="auto" w:sz="4" w:space="0"/>
              <w:left w:val="single" w:color="auto" w:sz="4" w:space="0"/>
              <w:bottom w:val="single" w:color="auto" w:sz="4" w:space="0"/>
              <w:right w:val="single" w:color="auto" w:sz="4" w:space="0"/>
            </w:tcBorders>
            <w:vAlign w:val="center"/>
          </w:tcPr>
          <w:p w14:paraId="1DF3AD8A">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hint="eastAsia" w:hAnsi="宋体"/>
                <w:color w:val="auto"/>
                <w:highlight w:val="none"/>
              </w:rPr>
            </w:pPr>
            <w:r>
              <w:rPr>
                <w:rFonts w:hint="eastAsia" w:ascii="宋体" w:hAnsi="宋体" w:cs="宋体"/>
                <w:color w:val="auto"/>
                <w:szCs w:val="21"/>
                <w:highlight w:val="none"/>
              </w:rPr>
              <w:t>采购代理费</w:t>
            </w:r>
          </w:p>
        </w:tc>
        <w:tc>
          <w:tcPr>
            <w:tcW w:w="7053" w:type="dxa"/>
            <w:tcBorders>
              <w:top w:val="single" w:color="auto" w:sz="4" w:space="0"/>
              <w:left w:val="single" w:color="auto" w:sz="4" w:space="0"/>
              <w:bottom w:val="single" w:color="auto" w:sz="4" w:space="0"/>
              <w:right w:val="single" w:color="auto" w:sz="4" w:space="0"/>
            </w:tcBorders>
            <w:vAlign w:val="center"/>
          </w:tcPr>
          <w:p w14:paraId="484C9176">
            <w:pPr>
              <w:pStyle w:val="13"/>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hAnsi="宋体" w:cs="宋体"/>
                <w:color w:val="auto"/>
                <w:sz w:val="21"/>
                <w:highlight w:val="none"/>
                <w:lang w:val="en-US" w:eastAsia="zh-CN"/>
              </w:rPr>
            </w:pPr>
            <w:r>
              <w:rPr>
                <w:rFonts w:hint="eastAsia" w:hAnsi="宋体" w:cs="宋体"/>
                <w:color w:val="auto"/>
                <w:sz w:val="21"/>
                <w:highlight w:val="none"/>
                <w:lang w:val="en-US" w:eastAsia="zh-CN"/>
              </w:rPr>
              <w:t>1.代理服务费：按国家计委计价格[2002]1980号和发改办[2003]857号文规</w:t>
            </w:r>
            <w:r>
              <w:rPr>
                <w:rFonts w:hint="eastAsia" w:hAnsi="宋体" w:cs="宋体"/>
                <w:color w:val="auto"/>
                <w:sz w:val="21"/>
                <w:szCs w:val="21"/>
                <w:highlight w:val="none"/>
                <w:lang w:val="en-US" w:eastAsia="zh-CN"/>
              </w:rPr>
              <w:t>定标准</w:t>
            </w:r>
            <w:r>
              <w:rPr>
                <w:rFonts w:hint="eastAsia" w:hAnsi="宋体" w:cs="宋体"/>
                <w:color w:val="auto"/>
                <w:sz w:val="21"/>
                <w:highlight w:val="none"/>
                <w:lang w:val="en-US" w:eastAsia="zh-CN"/>
              </w:rPr>
              <w:t>收取后</w:t>
            </w:r>
            <w:r>
              <w:rPr>
                <w:rFonts w:hint="eastAsia" w:ascii="宋体" w:hAnsi="宋体" w:eastAsia="宋体" w:cs="宋体"/>
                <w:color w:val="auto"/>
                <w:sz w:val="21"/>
                <w:szCs w:val="21"/>
                <w:u w:val="none"/>
              </w:rPr>
              <w:t>再下浮</w:t>
            </w:r>
            <w:r>
              <w:rPr>
                <w:rFonts w:hint="eastAsia" w:hAnsi="宋体" w:cs="宋体"/>
                <w:color w:val="auto"/>
                <w:sz w:val="21"/>
                <w:szCs w:val="21"/>
                <w:u w:val="none"/>
                <w:lang w:val="en-US" w:eastAsia="zh-CN"/>
              </w:rPr>
              <w:t>1</w:t>
            </w:r>
            <w:r>
              <w:rPr>
                <w:rFonts w:hint="eastAsia" w:ascii="宋体" w:hAnsi="宋体" w:eastAsia="宋体" w:cs="宋体"/>
                <w:color w:val="auto"/>
                <w:sz w:val="21"/>
                <w:szCs w:val="21"/>
                <w:u w:val="none"/>
              </w:rPr>
              <w:t>0%</w:t>
            </w:r>
            <w:r>
              <w:rPr>
                <w:rFonts w:hint="eastAsia" w:ascii="仿宋" w:hAnsi="仿宋" w:eastAsia="仿宋"/>
                <w:color w:val="auto"/>
                <w:sz w:val="21"/>
                <w:szCs w:val="21"/>
              </w:rPr>
              <w:t>，</w:t>
            </w:r>
            <w:r>
              <w:rPr>
                <w:rFonts w:hint="eastAsia" w:hAnsi="宋体" w:cs="宋体"/>
                <w:color w:val="auto"/>
                <w:sz w:val="21"/>
                <w:highlight w:val="none"/>
                <w:lang w:val="en-US" w:eastAsia="zh-CN"/>
              </w:rPr>
              <w:t>由招标代理机构向</w:t>
            </w:r>
            <w:r>
              <w:rPr>
                <w:rFonts w:hint="eastAsia" w:hAnsi="宋体" w:cs="宋体"/>
                <w:b/>
                <w:bCs/>
                <w:color w:val="auto"/>
                <w:sz w:val="21"/>
                <w:highlight w:val="none"/>
                <w:lang w:val="en-US" w:eastAsia="zh-CN"/>
              </w:rPr>
              <w:t>成交供应商</w:t>
            </w:r>
            <w:r>
              <w:rPr>
                <w:rFonts w:hint="eastAsia" w:hAnsi="宋体" w:cs="宋体"/>
                <w:color w:val="auto"/>
                <w:sz w:val="21"/>
                <w:highlight w:val="none"/>
                <w:lang w:val="en-US" w:eastAsia="zh-CN"/>
              </w:rPr>
              <w:t>收取。即按成交金额100万元以下为1.0%，100-500万元为0.7%，并且按差额定率累进法计算。</w:t>
            </w:r>
          </w:p>
          <w:p w14:paraId="32093FA1">
            <w:pPr>
              <w:pStyle w:val="13"/>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hAnsi="宋体" w:cs="宋体"/>
                <w:color w:val="auto"/>
                <w:sz w:val="21"/>
                <w:highlight w:val="none"/>
                <w:lang w:val="en-US" w:eastAsia="zh-CN"/>
              </w:rPr>
            </w:pPr>
            <w:r>
              <w:rPr>
                <w:rFonts w:hint="eastAsia" w:hAnsi="宋体" w:cs="宋体"/>
                <w:color w:val="auto"/>
                <w:sz w:val="21"/>
                <w:highlight w:val="none"/>
                <w:lang w:val="en-US" w:eastAsia="zh-CN"/>
              </w:rPr>
              <w:t>2. 代理服务费收取银行账户：</w:t>
            </w:r>
          </w:p>
          <w:p w14:paraId="76DF6CA4">
            <w:pPr>
              <w:pStyle w:val="13"/>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hAnsi="宋体"/>
                <w:color w:val="auto"/>
                <w:highlight w:val="none"/>
                <w:lang w:eastAsia="zh-CN"/>
              </w:rPr>
            </w:pPr>
            <w:r>
              <w:rPr>
                <w:rFonts w:hint="eastAsia" w:hAnsi="宋体"/>
                <w:color w:val="auto"/>
                <w:highlight w:val="none"/>
              </w:rPr>
              <w:t>账户名称：</w:t>
            </w:r>
            <w:r>
              <w:rPr>
                <w:rFonts w:hint="eastAsia" w:hAnsi="宋体"/>
                <w:color w:val="auto"/>
                <w:highlight w:val="none"/>
                <w:lang w:val="en-US" w:eastAsia="zh-CN"/>
              </w:rPr>
              <w:t>广西合士嘉项目咨询有限公司浦北分公司</w:t>
            </w:r>
            <w:r>
              <w:rPr>
                <w:rFonts w:hint="eastAsia" w:hAnsi="宋体"/>
                <w:color w:val="auto"/>
                <w:highlight w:val="none"/>
                <w:lang w:eastAsia="zh-CN"/>
              </w:rPr>
              <w:t xml:space="preserve"> </w:t>
            </w:r>
          </w:p>
          <w:p w14:paraId="7ACF92CF">
            <w:pPr>
              <w:pStyle w:val="13"/>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hAnsi="宋体"/>
                <w:color w:val="auto"/>
                <w:highlight w:val="none"/>
                <w:lang w:eastAsia="zh-CN"/>
              </w:rPr>
            </w:pPr>
            <w:r>
              <w:rPr>
                <w:rFonts w:hint="eastAsia" w:hAnsi="宋体"/>
                <w:color w:val="auto"/>
                <w:highlight w:val="none"/>
              </w:rPr>
              <w:t>开户银行：</w:t>
            </w:r>
            <w:r>
              <w:rPr>
                <w:rFonts w:hint="eastAsia" w:hAnsi="宋体"/>
                <w:color w:val="auto"/>
                <w:highlight w:val="none"/>
                <w:lang w:val="en-US" w:eastAsia="zh-CN"/>
              </w:rPr>
              <w:t>中国建设银行股份有限公司浦北支行</w:t>
            </w:r>
          </w:p>
          <w:p w14:paraId="08EC60CE">
            <w:pPr>
              <w:pStyle w:val="13"/>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hAnsi="宋体"/>
                <w:color w:val="auto"/>
                <w:highlight w:val="none"/>
              </w:rPr>
            </w:pPr>
            <w:r>
              <w:rPr>
                <w:rFonts w:hint="eastAsia" w:hAnsi="宋体"/>
                <w:color w:val="auto"/>
                <w:highlight w:val="none"/>
              </w:rPr>
              <w:t>银行账号：</w:t>
            </w:r>
            <w:r>
              <w:rPr>
                <w:rFonts w:hint="eastAsia" w:hAnsi="宋体"/>
                <w:color w:val="auto"/>
                <w:highlight w:val="none"/>
                <w:lang w:val="en-US" w:eastAsia="zh-CN"/>
              </w:rPr>
              <w:t>45050110120500000903</w:t>
            </w:r>
          </w:p>
        </w:tc>
      </w:tr>
      <w:tr w14:paraId="200F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648" w:type="dxa"/>
            <w:tcBorders>
              <w:top w:val="single" w:color="auto" w:sz="4" w:space="0"/>
              <w:left w:val="single" w:color="auto" w:sz="4" w:space="0"/>
              <w:bottom w:val="single" w:color="auto" w:sz="4" w:space="0"/>
              <w:right w:val="single" w:color="auto" w:sz="4" w:space="0"/>
            </w:tcBorders>
            <w:vAlign w:val="center"/>
          </w:tcPr>
          <w:p w14:paraId="084A7693">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19</w:t>
            </w:r>
          </w:p>
        </w:tc>
        <w:tc>
          <w:tcPr>
            <w:tcW w:w="2103" w:type="dxa"/>
            <w:tcBorders>
              <w:top w:val="single" w:color="auto" w:sz="4" w:space="0"/>
              <w:left w:val="single" w:color="auto" w:sz="4" w:space="0"/>
              <w:bottom w:val="single" w:color="auto" w:sz="4" w:space="0"/>
              <w:right w:val="single" w:color="auto" w:sz="4" w:space="0"/>
            </w:tcBorders>
            <w:vAlign w:val="center"/>
          </w:tcPr>
          <w:p w14:paraId="24AD8C30">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hint="eastAsia" w:ascii="宋体" w:hAnsi="宋体" w:cs="宋体"/>
                <w:color w:val="auto"/>
                <w:szCs w:val="21"/>
                <w:highlight w:val="none"/>
              </w:rPr>
            </w:pPr>
            <w:r>
              <w:rPr>
                <w:rFonts w:hint="eastAsia" w:hAnsi="宋体"/>
                <w:color w:val="auto"/>
                <w:highlight w:val="none"/>
              </w:rPr>
              <w:t>解释</w:t>
            </w:r>
          </w:p>
        </w:tc>
        <w:tc>
          <w:tcPr>
            <w:tcW w:w="7053" w:type="dxa"/>
            <w:tcBorders>
              <w:top w:val="single" w:color="auto" w:sz="4" w:space="0"/>
              <w:left w:val="single" w:color="auto" w:sz="4" w:space="0"/>
              <w:bottom w:val="single" w:color="auto" w:sz="4" w:space="0"/>
              <w:right w:val="single" w:color="auto" w:sz="4" w:space="0"/>
            </w:tcBorders>
            <w:vAlign w:val="center"/>
          </w:tcPr>
          <w:p w14:paraId="4579AAAE">
            <w:pPr>
              <w:pStyle w:val="13"/>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hAnsi="宋体" w:cs="宋体"/>
                <w:b/>
                <w:color w:val="auto"/>
                <w:sz w:val="21"/>
                <w:highlight w:val="none"/>
                <w:lang w:val="en-US" w:eastAsia="zh-CN"/>
              </w:rPr>
            </w:pPr>
            <w:r>
              <w:rPr>
                <w:rFonts w:hint="eastAsia" w:hAnsi="宋体" w:cs="宋体"/>
                <w:b/>
                <w:color w:val="auto"/>
                <w:sz w:val="21"/>
                <w:highlight w:val="none"/>
                <w:lang w:val="en-US" w:eastAsia="zh-CN"/>
              </w:rPr>
              <w:t>解释权：</w:t>
            </w:r>
            <w:r>
              <w:rPr>
                <w:rFonts w:hAnsi="宋体" w:cs="宋体"/>
                <w:color w:val="auto"/>
                <w:sz w:val="21"/>
                <w:highlight w:val="none"/>
                <w:lang w:val="en-US" w:eastAsia="zh-CN"/>
              </w:rPr>
              <w:t>构成本</w:t>
            </w:r>
            <w:r>
              <w:rPr>
                <w:rFonts w:hint="eastAsia" w:hAnsi="宋体" w:cs="宋体"/>
                <w:color w:val="auto"/>
                <w:sz w:val="21"/>
                <w:highlight w:val="none"/>
                <w:lang w:val="en-US" w:eastAsia="zh-CN"/>
              </w:rPr>
              <w:t>磋商文件</w:t>
            </w:r>
            <w:r>
              <w:rPr>
                <w:rFonts w:hAnsi="宋体" w:cs="宋体"/>
                <w:color w:val="auto"/>
                <w:sz w:val="21"/>
                <w:highlight w:val="none"/>
                <w:lang w:val="en-US" w:eastAsia="zh-CN"/>
              </w:rPr>
              <w:t>的各个组成文件应互为解释，互为说明；除</w:t>
            </w:r>
            <w:r>
              <w:rPr>
                <w:rFonts w:hint="eastAsia" w:hAnsi="宋体" w:cs="宋体"/>
                <w:color w:val="auto"/>
                <w:sz w:val="21"/>
                <w:highlight w:val="none"/>
                <w:lang w:val="en-US" w:eastAsia="zh-CN"/>
              </w:rPr>
              <w:t>磋商文件</w:t>
            </w:r>
            <w:r>
              <w:rPr>
                <w:rFonts w:hAnsi="宋体" w:cs="宋体"/>
                <w:color w:val="auto"/>
                <w:sz w:val="21"/>
                <w:highlight w:val="none"/>
                <w:lang w:val="en-US" w:eastAsia="zh-CN"/>
              </w:rPr>
              <w:t>中有特别规定外，仅适用于</w:t>
            </w:r>
            <w:r>
              <w:rPr>
                <w:rFonts w:hint="eastAsia" w:hAnsi="宋体" w:cs="宋体"/>
                <w:color w:val="auto"/>
                <w:sz w:val="21"/>
                <w:highlight w:val="none"/>
                <w:lang w:val="en-US" w:eastAsia="zh-CN"/>
              </w:rPr>
              <w:t>竞标</w:t>
            </w:r>
            <w:r>
              <w:rPr>
                <w:rFonts w:hAnsi="宋体" w:cs="宋体"/>
                <w:color w:val="auto"/>
                <w:sz w:val="21"/>
                <w:highlight w:val="none"/>
                <w:lang w:val="en-US" w:eastAsia="zh-CN"/>
              </w:rPr>
              <w:t>阶段的规定，按</w:t>
            </w:r>
            <w:r>
              <w:rPr>
                <w:rFonts w:hint="eastAsia" w:hAnsi="宋体" w:cs="宋体"/>
                <w:color w:val="auto"/>
                <w:sz w:val="21"/>
                <w:highlight w:val="none"/>
                <w:lang w:val="en-US" w:eastAsia="zh-CN"/>
              </w:rPr>
              <w:t>更正公告（澄清公告）</w:t>
            </w:r>
            <w:r>
              <w:rPr>
                <w:rFonts w:hAnsi="宋体" w:cs="宋体"/>
                <w:color w:val="auto"/>
                <w:sz w:val="21"/>
                <w:highlight w:val="none"/>
                <w:lang w:val="en-US" w:eastAsia="zh-CN"/>
              </w:rPr>
              <w:t>、</w:t>
            </w:r>
            <w:r>
              <w:rPr>
                <w:rFonts w:hint="eastAsia" w:hAnsi="宋体" w:cs="宋体"/>
                <w:color w:val="auto"/>
                <w:sz w:val="21"/>
                <w:highlight w:val="none"/>
                <w:lang w:val="en-US" w:eastAsia="zh-CN"/>
              </w:rPr>
              <w:t>竞争性磋商</w:t>
            </w:r>
            <w:r>
              <w:rPr>
                <w:rFonts w:hAnsi="宋体" w:cs="宋体"/>
                <w:color w:val="auto"/>
                <w:sz w:val="21"/>
                <w:highlight w:val="none"/>
                <w:lang w:val="en-US" w:eastAsia="zh-CN"/>
              </w:rPr>
              <w:t>公告、</w:t>
            </w:r>
            <w:r>
              <w:rPr>
                <w:rFonts w:hint="eastAsia" w:hAnsi="宋体" w:cs="宋体"/>
                <w:color w:val="auto"/>
                <w:sz w:val="21"/>
                <w:highlight w:val="none"/>
                <w:lang w:val="en-US" w:eastAsia="zh-CN"/>
              </w:rPr>
              <w:t>供应商</w:t>
            </w:r>
            <w:r>
              <w:rPr>
                <w:rFonts w:hAnsi="宋体" w:cs="宋体"/>
                <w:color w:val="auto"/>
                <w:sz w:val="21"/>
                <w:highlight w:val="none"/>
                <w:lang w:val="en-US" w:eastAsia="zh-CN"/>
              </w:rPr>
              <w:t>须知</w:t>
            </w:r>
            <w:r>
              <w:rPr>
                <w:rFonts w:hint="eastAsia" w:hAnsi="宋体" w:cs="宋体"/>
                <w:color w:val="auto"/>
                <w:sz w:val="21"/>
                <w:highlight w:val="none"/>
                <w:lang w:val="en-US" w:eastAsia="zh-CN"/>
              </w:rPr>
              <w:t>、采购需求</w:t>
            </w:r>
            <w:r>
              <w:rPr>
                <w:rFonts w:hAnsi="宋体" w:cs="宋体"/>
                <w:color w:val="auto"/>
                <w:sz w:val="21"/>
                <w:highlight w:val="none"/>
                <w:lang w:val="en-US" w:eastAsia="zh-CN"/>
              </w:rPr>
              <w:t>、</w:t>
            </w:r>
            <w:r>
              <w:rPr>
                <w:rFonts w:hint="eastAsia" w:hAnsi="宋体" w:cs="宋体"/>
                <w:color w:val="auto"/>
                <w:sz w:val="21"/>
                <w:highlight w:val="none"/>
                <w:lang w:val="en-US" w:eastAsia="zh-CN"/>
              </w:rPr>
              <w:t>评审程序、评审方法和评审标准</w:t>
            </w:r>
            <w:r>
              <w:rPr>
                <w:rFonts w:hAnsi="宋体" w:cs="宋体"/>
                <w:color w:val="auto"/>
                <w:sz w:val="21"/>
                <w:highlight w:val="none"/>
                <w:lang w:val="en-US" w:eastAsia="zh-CN"/>
              </w:rPr>
              <w:t>、</w:t>
            </w:r>
            <w:r>
              <w:rPr>
                <w:rFonts w:hint="eastAsia" w:hAnsi="宋体" w:cs="宋体"/>
                <w:color w:val="auto"/>
                <w:sz w:val="21"/>
                <w:highlight w:val="none"/>
                <w:lang w:val="en-US" w:eastAsia="zh-CN"/>
              </w:rPr>
              <w:t>响应</w:t>
            </w:r>
            <w:r>
              <w:rPr>
                <w:rFonts w:hAnsi="宋体" w:cs="宋体"/>
                <w:color w:val="auto"/>
                <w:sz w:val="21"/>
                <w:highlight w:val="none"/>
                <w:lang w:val="en-US" w:eastAsia="zh-CN"/>
              </w:rPr>
              <w:t>文件格式</w:t>
            </w:r>
            <w:r>
              <w:rPr>
                <w:rFonts w:hint="eastAsia" w:hAnsi="宋体" w:cs="宋体"/>
                <w:color w:val="auto"/>
                <w:sz w:val="21"/>
                <w:highlight w:val="none"/>
                <w:lang w:val="en-US" w:eastAsia="zh-CN"/>
              </w:rPr>
              <w:t>、合同文本</w:t>
            </w:r>
            <w:r>
              <w:rPr>
                <w:rFonts w:hAnsi="宋体" w:cs="宋体"/>
                <w:color w:val="auto"/>
                <w:sz w:val="21"/>
                <w:highlight w:val="none"/>
                <w:lang w:val="en-US" w:eastAsia="zh-CN"/>
              </w:rPr>
              <w:t>的先后顺序解释；同一组成文件中就同一事项的规定或者约定不一致的，以编排顺序在后者为准；同一组成文件不同版本之间有不一致的，以形成时间在后者为准；</w:t>
            </w:r>
            <w:r>
              <w:rPr>
                <w:rFonts w:hint="eastAsia" w:hAnsi="宋体" w:cs="宋体"/>
                <w:color w:val="auto"/>
                <w:sz w:val="21"/>
                <w:highlight w:val="none"/>
                <w:lang w:val="en-US" w:eastAsia="zh-CN"/>
              </w:rPr>
              <w:t>更正公告（澄清公告）</w:t>
            </w:r>
            <w:r>
              <w:rPr>
                <w:rFonts w:hAnsi="宋体" w:cs="宋体"/>
                <w:color w:val="auto"/>
                <w:sz w:val="21"/>
                <w:highlight w:val="none"/>
                <w:lang w:val="en-US" w:eastAsia="zh-CN"/>
              </w:rPr>
              <w:t>与同步更新的</w:t>
            </w:r>
            <w:r>
              <w:rPr>
                <w:rFonts w:hint="eastAsia" w:hAnsi="宋体" w:cs="宋体"/>
                <w:color w:val="auto"/>
                <w:sz w:val="21"/>
                <w:highlight w:val="none"/>
                <w:lang w:val="en-US" w:eastAsia="zh-CN"/>
              </w:rPr>
              <w:t>磋商文件</w:t>
            </w:r>
            <w:r>
              <w:rPr>
                <w:rFonts w:hAnsi="宋体" w:cs="宋体"/>
                <w:color w:val="auto"/>
                <w:sz w:val="21"/>
                <w:highlight w:val="none"/>
                <w:lang w:val="en-US" w:eastAsia="zh-CN"/>
              </w:rPr>
              <w:t>不一致时以</w:t>
            </w:r>
            <w:r>
              <w:rPr>
                <w:rFonts w:hint="eastAsia" w:hAnsi="宋体" w:cs="宋体"/>
                <w:color w:val="auto"/>
                <w:sz w:val="21"/>
                <w:highlight w:val="none"/>
                <w:lang w:val="en-US" w:eastAsia="zh-CN"/>
              </w:rPr>
              <w:t>更正公告（澄清公告）</w:t>
            </w:r>
            <w:r>
              <w:rPr>
                <w:rFonts w:hAnsi="宋体" w:cs="宋体"/>
                <w:color w:val="auto"/>
                <w:sz w:val="21"/>
                <w:highlight w:val="none"/>
                <w:lang w:val="en-US" w:eastAsia="zh-CN"/>
              </w:rPr>
              <w:t>为准。按本款前述规定仍不能形成结论的，</w:t>
            </w:r>
            <w:r>
              <w:rPr>
                <w:rFonts w:hAnsi="宋体" w:cs="宋体"/>
                <w:b/>
                <w:color w:val="auto"/>
                <w:sz w:val="21"/>
                <w:highlight w:val="none"/>
                <w:lang w:val="en-US" w:eastAsia="zh-CN"/>
              </w:rPr>
              <w:t>由</w:t>
            </w:r>
            <w:r>
              <w:rPr>
                <w:rFonts w:hint="eastAsia" w:hAnsi="宋体" w:cs="宋体"/>
                <w:b/>
                <w:color w:val="auto"/>
                <w:sz w:val="21"/>
                <w:highlight w:val="none"/>
                <w:lang w:val="en-US" w:eastAsia="zh-CN"/>
              </w:rPr>
              <w:t>采购</w:t>
            </w:r>
            <w:r>
              <w:rPr>
                <w:rFonts w:hAnsi="宋体" w:cs="宋体"/>
                <w:b/>
                <w:color w:val="auto"/>
                <w:sz w:val="21"/>
                <w:highlight w:val="none"/>
                <w:lang w:val="en-US" w:eastAsia="zh-CN"/>
              </w:rPr>
              <w:t>人</w:t>
            </w:r>
            <w:r>
              <w:rPr>
                <w:rFonts w:hint="eastAsia" w:hAnsi="宋体" w:cs="宋体"/>
                <w:b/>
                <w:color w:val="auto"/>
                <w:sz w:val="21"/>
                <w:highlight w:val="none"/>
                <w:lang w:val="en-US" w:eastAsia="zh-CN"/>
              </w:rPr>
              <w:t>或者采购代理机构</w:t>
            </w:r>
            <w:r>
              <w:rPr>
                <w:rFonts w:hAnsi="宋体" w:cs="宋体"/>
                <w:b/>
                <w:color w:val="auto"/>
                <w:sz w:val="21"/>
                <w:highlight w:val="none"/>
                <w:lang w:val="en-US" w:eastAsia="zh-CN"/>
              </w:rPr>
              <w:t>负责解释。</w:t>
            </w:r>
          </w:p>
          <w:p w14:paraId="4853A467">
            <w:pPr>
              <w:pStyle w:val="13"/>
              <w:keepNext w:val="0"/>
              <w:keepLines w:val="0"/>
              <w:pageBreakBefore w:val="0"/>
              <w:widowControl w:val="0"/>
              <w:kinsoku/>
              <w:wordWrap/>
              <w:overflowPunct/>
              <w:topLinePunct w:val="0"/>
              <w:autoSpaceDE/>
              <w:autoSpaceDN/>
              <w:bidi w:val="0"/>
              <w:adjustRightInd/>
              <w:snapToGrid w:val="0"/>
              <w:spacing w:line="400" w:lineRule="exact"/>
              <w:ind w:left="0" w:leftChars="0"/>
              <w:textAlignment w:val="auto"/>
              <w:rPr>
                <w:rFonts w:hint="eastAsia" w:ascii="宋体" w:hAnsi="宋体" w:eastAsia="宋体" w:cs="宋体"/>
                <w:color w:val="auto"/>
                <w:sz w:val="21"/>
                <w:highlight w:val="none"/>
                <w:lang w:val="en-US" w:eastAsia="zh-CN"/>
              </w:rPr>
            </w:pPr>
            <w:r>
              <w:rPr>
                <w:rFonts w:hint="eastAsia" w:hAnsi="宋体" w:cs="宋体"/>
                <w:b/>
                <w:color w:val="auto"/>
                <w:sz w:val="21"/>
                <w:highlight w:val="none"/>
                <w:lang w:val="en-US" w:eastAsia="zh-CN"/>
              </w:rPr>
              <w:t>法律责任：</w:t>
            </w:r>
            <w:r>
              <w:rPr>
                <w:rFonts w:hint="eastAsia" w:hAnsi="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2511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648" w:type="dxa"/>
            <w:tcBorders>
              <w:top w:val="single" w:color="auto" w:sz="4" w:space="0"/>
              <w:left w:val="single" w:color="auto" w:sz="4" w:space="0"/>
              <w:bottom w:val="single" w:color="auto" w:sz="4" w:space="0"/>
              <w:right w:val="single" w:color="auto" w:sz="4" w:space="0"/>
            </w:tcBorders>
            <w:vAlign w:val="center"/>
          </w:tcPr>
          <w:p w14:paraId="185DAED5">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20</w:t>
            </w:r>
          </w:p>
        </w:tc>
        <w:tc>
          <w:tcPr>
            <w:tcW w:w="2103" w:type="dxa"/>
            <w:tcBorders>
              <w:top w:val="single" w:color="auto" w:sz="4" w:space="0"/>
              <w:left w:val="single" w:color="auto" w:sz="4" w:space="0"/>
              <w:bottom w:val="single" w:color="auto" w:sz="4" w:space="0"/>
              <w:right w:val="single" w:color="auto" w:sz="4" w:space="0"/>
            </w:tcBorders>
            <w:vAlign w:val="center"/>
          </w:tcPr>
          <w:p w14:paraId="764B3D0F">
            <w:pPr>
              <w:keepNext w:val="0"/>
              <w:keepLines w:val="0"/>
              <w:pageBreakBefore w:val="0"/>
              <w:widowControl w:val="0"/>
              <w:kinsoku/>
              <w:wordWrap/>
              <w:overflowPunct/>
              <w:topLinePunct w:val="0"/>
              <w:autoSpaceDE/>
              <w:autoSpaceDN/>
              <w:bidi w:val="0"/>
              <w:adjustRightInd/>
              <w:snapToGrid/>
              <w:spacing w:line="380" w:lineRule="exact"/>
              <w:ind w:left="0" w:leftChars="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053" w:type="dxa"/>
            <w:tcBorders>
              <w:top w:val="single" w:color="auto" w:sz="4" w:space="0"/>
              <w:left w:val="single" w:color="auto" w:sz="4" w:space="0"/>
              <w:bottom w:val="single" w:color="auto" w:sz="4" w:space="0"/>
              <w:right w:val="single" w:color="auto" w:sz="4" w:space="0"/>
            </w:tcBorders>
            <w:vAlign w:val="center"/>
          </w:tcPr>
          <w:p w14:paraId="352F5D53">
            <w:pPr>
              <w:pStyle w:val="13"/>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hAnsi="宋体" w:cs="宋体"/>
                <w:color w:val="auto"/>
                <w:sz w:val="21"/>
                <w:highlight w:val="none"/>
                <w:lang w:val="en-US" w:eastAsia="zh-CN"/>
              </w:rPr>
            </w:pPr>
            <w:r>
              <w:rPr>
                <w:rFonts w:hint="eastAsia" w:hAnsi="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7A0C6AA8">
            <w:pPr>
              <w:pStyle w:val="13"/>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hAnsi="宋体" w:cs="宋体"/>
                <w:color w:val="auto"/>
                <w:sz w:val="21"/>
                <w:highlight w:val="none"/>
                <w:lang w:val="en-US" w:eastAsia="zh-CN"/>
              </w:rPr>
            </w:pPr>
            <w:r>
              <w:rPr>
                <w:rFonts w:hint="eastAsia" w:hAnsi="宋体" w:cs="宋体"/>
                <w:color w:val="auto"/>
                <w:sz w:val="21"/>
                <w:highlight w:val="none"/>
                <w:lang w:val="en-US" w:eastAsia="zh-CN"/>
              </w:rPr>
              <w:t>2.本磋商文件所称的“电子签章”、“电子签名”，是指经“政采云”平台认可的CA认证的电子签名数据为表现形式的印章，可用于签署电子响应文件，电子印章与实物印章具有同等法律效力，不因其采用电子化表现形式而否定其法律效力。</w:t>
            </w:r>
          </w:p>
          <w:p w14:paraId="5E90F315">
            <w:pPr>
              <w:pStyle w:val="13"/>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Ansi="宋体" w:cs="宋体"/>
                <w:color w:val="auto"/>
                <w:sz w:val="21"/>
                <w:highlight w:val="none"/>
                <w:lang w:val="en-US" w:eastAsia="zh-CN"/>
              </w:rPr>
            </w:pPr>
            <w:r>
              <w:rPr>
                <w:rFonts w:hint="eastAsia" w:hAnsi="宋体" w:cs="宋体"/>
                <w:color w:val="auto"/>
                <w:sz w:val="21"/>
                <w:highlight w:val="none"/>
                <w:lang w:val="en-US" w:eastAsia="zh-CN"/>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1912673">
            <w:pPr>
              <w:pStyle w:val="13"/>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Ansi="宋体" w:cs="宋体"/>
                <w:color w:val="auto"/>
                <w:sz w:val="21"/>
                <w:highlight w:val="none"/>
                <w:lang w:val="en-US" w:eastAsia="zh-CN"/>
              </w:rPr>
            </w:pPr>
            <w:r>
              <w:rPr>
                <w:rFonts w:hint="eastAsia" w:hAnsi="宋体" w:cs="宋体"/>
                <w:color w:val="auto"/>
                <w:sz w:val="21"/>
                <w:highlight w:val="none"/>
                <w:lang w:val="en-US" w:eastAsia="zh-CN"/>
              </w:rPr>
              <w:t>4</w:t>
            </w:r>
            <w:r>
              <w:rPr>
                <w:rFonts w:hAnsi="宋体" w:cs="宋体"/>
                <w:color w:val="auto"/>
                <w:sz w:val="21"/>
                <w:highlight w:val="none"/>
                <w:lang w:val="en-US" w:eastAsia="zh-CN"/>
              </w:rPr>
              <w:t>.</w:t>
            </w:r>
            <w:r>
              <w:rPr>
                <w:rFonts w:hint="eastAsia" w:hAnsi="宋体" w:cs="宋体"/>
                <w:color w:val="auto"/>
                <w:sz w:val="21"/>
                <w:highlight w:val="none"/>
                <w:lang w:val="en-US" w:eastAsia="zh-CN"/>
              </w:rPr>
              <w:t>自然人竞标的，磋商文件规定盖公章处由自然人摁手指指印。</w:t>
            </w:r>
          </w:p>
          <w:p w14:paraId="3C5941CF">
            <w:pPr>
              <w:pStyle w:val="13"/>
              <w:keepNext w:val="0"/>
              <w:keepLines w:val="0"/>
              <w:pageBreakBefore w:val="0"/>
              <w:widowControl w:val="0"/>
              <w:kinsoku/>
              <w:wordWrap/>
              <w:overflowPunct/>
              <w:topLinePunct w:val="0"/>
              <w:autoSpaceDE/>
              <w:autoSpaceDN/>
              <w:bidi w:val="0"/>
              <w:adjustRightInd/>
              <w:snapToGrid/>
              <w:spacing w:line="380" w:lineRule="exact"/>
              <w:ind w:left="0" w:leftChars="0"/>
              <w:textAlignment w:val="auto"/>
              <w:rPr>
                <w:rFonts w:hint="eastAsia" w:ascii="宋体" w:hAnsi="宋体" w:eastAsia="宋体" w:cs="宋体"/>
                <w:color w:val="auto"/>
                <w:sz w:val="21"/>
                <w:highlight w:val="none"/>
                <w:lang w:val="en-US" w:eastAsia="zh-CN"/>
              </w:rPr>
            </w:pPr>
            <w:r>
              <w:rPr>
                <w:rFonts w:hint="eastAsia" w:hAnsi="宋体" w:cs="宋体"/>
                <w:color w:val="auto"/>
                <w:sz w:val="21"/>
                <w:highlight w:val="none"/>
                <w:lang w:val="en-US" w:eastAsia="zh-CN"/>
              </w:rPr>
              <w:t>5</w:t>
            </w:r>
            <w:r>
              <w:rPr>
                <w:rFonts w:hAnsi="宋体" w:cs="宋体"/>
                <w:color w:val="auto"/>
                <w:sz w:val="21"/>
                <w:highlight w:val="none"/>
                <w:lang w:val="en-US" w:eastAsia="zh-CN"/>
              </w:rPr>
              <w:t>.</w:t>
            </w:r>
            <w:r>
              <w:rPr>
                <w:rFonts w:hint="eastAsia" w:hAnsi="宋体" w:cs="宋体"/>
                <w:color w:val="auto"/>
                <w:sz w:val="21"/>
                <w:highlight w:val="none"/>
                <w:lang w:val="en-US" w:eastAsia="zh-CN"/>
              </w:rPr>
              <w:t>本磋商文件所称的“以上”“以下”“以内”“届满”，包括本数；所称的“不满”“超过”“以外”，不包括本数。</w:t>
            </w:r>
          </w:p>
        </w:tc>
      </w:tr>
      <w:tr w14:paraId="00BF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48" w:type="dxa"/>
            <w:tcBorders>
              <w:top w:val="single" w:color="auto" w:sz="4" w:space="0"/>
              <w:left w:val="single" w:color="auto" w:sz="4" w:space="0"/>
              <w:bottom w:val="single" w:color="auto" w:sz="4" w:space="0"/>
              <w:right w:val="single" w:color="auto" w:sz="4" w:space="0"/>
            </w:tcBorders>
            <w:vAlign w:val="center"/>
          </w:tcPr>
          <w:p w14:paraId="4B7C0D04">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21</w:t>
            </w:r>
          </w:p>
        </w:tc>
        <w:tc>
          <w:tcPr>
            <w:tcW w:w="2103" w:type="dxa"/>
            <w:tcBorders>
              <w:top w:val="single" w:color="auto" w:sz="4" w:space="0"/>
              <w:left w:val="single" w:color="auto" w:sz="4" w:space="0"/>
              <w:bottom w:val="single" w:color="auto" w:sz="4" w:space="0"/>
              <w:right w:val="single" w:color="auto" w:sz="4" w:space="0"/>
            </w:tcBorders>
            <w:vAlign w:val="center"/>
          </w:tcPr>
          <w:p w14:paraId="24B88041">
            <w:pPr>
              <w:keepNext w:val="0"/>
              <w:keepLines w:val="0"/>
              <w:pageBreakBefore w:val="0"/>
              <w:widowControl w:val="0"/>
              <w:kinsoku/>
              <w:wordWrap/>
              <w:overflowPunct/>
              <w:topLinePunct w:val="0"/>
              <w:autoSpaceDE/>
              <w:autoSpaceDN/>
              <w:bidi w:val="0"/>
              <w:adjustRightInd/>
              <w:snapToGrid/>
              <w:spacing w:line="380" w:lineRule="exact"/>
              <w:ind w:left="0" w:leftChars="0"/>
              <w:jc w:val="center"/>
              <w:textAlignment w:val="auto"/>
              <w:rPr>
                <w:rFonts w:hint="eastAsia" w:ascii="宋体" w:hAnsi="宋体" w:cs="宋体"/>
                <w:color w:val="auto"/>
                <w:szCs w:val="21"/>
                <w:highlight w:val="none"/>
              </w:rPr>
            </w:pPr>
            <w:r>
              <w:rPr>
                <w:rFonts w:hint="eastAsia" w:ascii="宋体" w:hAnsi="宋体" w:eastAsia="宋体" w:cs="宋体"/>
                <w:b/>
                <w:color w:val="auto"/>
                <w:spacing w:val="0"/>
                <w:szCs w:val="21"/>
                <w:highlight w:val="none"/>
              </w:rPr>
              <w:t>特别说明</w:t>
            </w:r>
          </w:p>
        </w:tc>
        <w:tc>
          <w:tcPr>
            <w:tcW w:w="7053" w:type="dxa"/>
            <w:tcBorders>
              <w:top w:val="single" w:color="auto" w:sz="4" w:space="0"/>
              <w:left w:val="single" w:color="auto" w:sz="4" w:space="0"/>
              <w:bottom w:val="single" w:color="auto" w:sz="4" w:space="0"/>
              <w:right w:val="single" w:color="auto" w:sz="4" w:space="0"/>
            </w:tcBorders>
            <w:vAlign w:val="center"/>
          </w:tcPr>
          <w:p w14:paraId="0C852962">
            <w:pPr>
              <w:pStyle w:val="13"/>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color w:val="auto"/>
                <w:highlight w:val="none"/>
                <w:lang w:eastAsia="zh-CN"/>
              </w:rPr>
            </w:pPr>
            <w:r>
              <w:rPr>
                <w:rFonts w:hint="eastAsia"/>
                <w:color w:val="auto"/>
                <w:highlight w:val="none"/>
              </w:rPr>
              <w:t>（1）</w:t>
            </w:r>
            <w:r>
              <w:rPr>
                <w:rFonts w:hint="eastAsia"/>
                <w:color w:val="auto"/>
                <w:highlight w:val="none"/>
                <w:lang w:eastAsia="zh-CN"/>
              </w:rPr>
              <w:t>响应文件</w:t>
            </w:r>
            <w:r>
              <w:rPr>
                <w:rFonts w:hint="eastAsia"/>
                <w:color w:val="auto"/>
                <w:highlight w:val="none"/>
              </w:rPr>
              <w:t>中须加盖供应商公章位置均采用CA签章，并根据“政府采购项目电子交易管理操作指南-供应商”及本</w:t>
            </w:r>
            <w:r>
              <w:rPr>
                <w:rFonts w:hint="eastAsia"/>
                <w:color w:val="auto"/>
                <w:highlight w:val="none"/>
                <w:lang w:eastAsia="zh-CN"/>
              </w:rPr>
              <w:t>竞争性磋商文件</w:t>
            </w:r>
            <w:r>
              <w:rPr>
                <w:rFonts w:hint="eastAsia"/>
                <w:color w:val="auto"/>
                <w:highlight w:val="none"/>
              </w:rPr>
              <w:t>规定的</w:t>
            </w:r>
            <w:r>
              <w:rPr>
                <w:rFonts w:hint="eastAsia"/>
                <w:color w:val="auto"/>
                <w:highlight w:val="none"/>
                <w:lang w:eastAsia="zh-CN"/>
              </w:rPr>
              <w:t>要求</w:t>
            </w:r>
            <w:r>
              <w:rPr>
                <w:rFonts w:hint="eastAsia"/>
                <w:color w:val="auto"/>
                <w:highlight w:val="none"/>
              </w:rPr>
              <w:t>编制</w:t>
            </w:r>
            <w:r>
              <w:rPr>
                <w:rFonts w:hint="eastAsia"/>
                <w:color w:val="auto"/>
                <w:highlight w:val="none"/>
                <w:lang w:eastAsia="zh-CN"/>
              </w:rPr>
              <w:t>响应文件</w:t>
            </w:r>
            <w:r>
              <w:rPr>
                <w:rFonts w:hint="eastAsia"/>
                <w:color w:val="auto"/>
                <w:highlight w:val="none"/>
              </w:rPr>
              <w:t>并进行关联定位，以便</w:t>
            </w:r>
            <w:r>
              <w:rPr>
                <w:rFonts w:hint="eastAsia"/>
                <w:color w:val="auto"/>
                <w:highlight w:val="none"/>
                <w:lang w:eastAsia="zh-CN"/>
              </w:rPr>
              <w:t>磋商小组</w:t>
            </w:r>
            <w:r>
              <w:rPr>
                <w:rFonts w:hint="eastAsia"/>
                <w:color w:val="auto"/>
                <w:highlight w:val="none"/>
              </w:rPr>
              <w:t>在评审时，点击评分项可直接定位到该评分项内容。如对</w:t>
            </w:r>
            <w:r>
              <w:rPr>
                <w:rFonts w:hint="eastAsia"/>
                <w:color w:val="auto"/>
                <w:highlight w:val="none"/>
                <w:lang w:eastAsia="zh-CN"/>
              </w:rPr>
              <w:t>竞争性磋商文件</w:t>
            </w:r>
            <w:r>
              <w:rPr>
                <w:rFonts w:hint="eastAsia"/>
                <w:color w:val="auto"/>
                <w:highlight w:val="none"/>
              </w:rPr>
              <w:t>的某项要求，供应商的</w:t>
            </w:r>
            <w:r>
              <w:rPr>
                <w:rFonts w:hint="eastAsia"/>
                <w:color w:val="auto"/>
                <w:highlight w:val="none"/>
                <w:lang w:eastAsia="zh-CN"/>
              </w:rPr>
              <w:t>响应文件</w:t>
            </w:r>
            <w:r>
              <w:rPr>
                <w:rFonts w:hint="eastAsia"/>
                <w:color w:val="auto"/>
                <w:highlight w:val="none"/>
              </w:rPr>
              <w:t>未能关联定位提供相应的内容与其对应，</w:t>
            </w:r>
            <w:r>
              <w:rPr>
                <w:rFonts w:hint="eastAsia"/>
                <w:color w:val="auto"/>
                <w:highlight w:val="none"/>
                <w:lang w:eastAsia="zh-CN"/>
              </w:rPr>
              <w:t>则磋商小组在评审时如做出对供应商不利的评审由供应商自行承担。响应文件如内容不完整、编排混乱导致响应文件被误读、 漏读，或者在按磋商文件规定的部位查找不到相关内容的，由供应商自行承担。</w:t>
            </w:r>
          </w:p>
          <w:p w14:paraId="6EADC5C6">
            <w:pPr>
              <w:pStyle w:val="13"/>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color w:val="auto"/>
                <w:highlight w:val="none"/>
              </w:rPr>
            </w:pPr>
            <w:r>
              <w:rPr>
                <w:rFonts w:hint="eastAsia"/>
                <w:color w:val="auto"/>
                <w:highlight w:val="none"/>
                <w:lang w:eastAsia="zh-CN"/>
              </w:rPr>
              <w:t>（2）采购文件要求法定代表人（负责人）或委托代理人签字的部分必须打印签字后扫描或拍照做成PDF格式上传，如供应商有广西政府采购云平台法定代表人私章CA证书或个人签名CA证书的也可直接使用，否则视为竞标无效</w:t>
            </w:r>
            <w:r>
              <w:rPr>
                <w:rFonts w:hint="eastAsia"/>
                <w:color w:val="auto"/>
                <w:highlight w:val="none"/>
              </w:rPr>
              <w:t>。</w:t>
            </w:r>
          </w:p>
          <w:p w14:paraId="427BD920">
            <w:pPr>
              <w:pStyle w:val="47"/>
              <w:keepNext w:val="0"/>
              <w:keepLines w:val="0"/>
              <w:pageBreakBefore w:val="0"/>
              <w:widowControl w:val="0"/>
              <w:kinsoku/>
              <w:wordWrap/>
              <w:overflowPunct/>
              <w:topLinePunct w:val="0"/>
              <w:autoSpaceDE/>
              <w:autoSpaceDN/>
              <w:bidi w:val="0"/>
              <w:adjustRightInd/>
              <w:snapToGrid/>
              <w:spacing w:before="0" w:after="0" w:line="380" w:lineRule="exact"/>
              <w:ind w:left="0" w:leftChars="0" w:firstLine="0" w:firstLineChars="0"/>
              <w:textAlignment w:val="auto"/>
              <w:rPr>
                <w:rFonts w:hint="eastAsia"/>
                <w:color w:val="auto"/>
                <w:highlight w:val="none"/>
                <w:lang w:val="en-US" w:eastAsia="zh-CN"/>
              </w:rPr>
            </w:pPr>
            <w:r>
              <w:rPr>
                <w:rFonts w:hint="eastAsia" w:ascii="Times New Roman" w:eastAsia="宋体" w:cs="Times New Roman"/>
                <w:bCs w:val="0"/>
                <w:color w:val="auto"/>
                <w:spacing w:val="0"/>
                <w:kern w:val="2"/>
                <w:sz w:val="21"/>
                <w:szCs w:val="24"/>
                <w:highlight w:val="none"/>
                <w:lang w:val="en-US" w:eastAsia="zh-CN" w:bidi="ar-SA"/>
              </w:rPr>
              <w:t>（3）补充事项：</w:t>
            </w:r>
            <w:r>
              <w:rPr>
                <w:rFonts w:hint="eastAsia" w:ascii="Times New Roman" w:hAnsi="Times New Roman" w:eastAsia="宋体" w:cs="Times New Roman"/>
                <w:bCs w:val="0"/>
                <w:color w:val="auto"/>
                <w:spacing w:val="0"/>
                <w:kern w:val="2"/>
                <w:sz w:val="21"/>
                <w:szCs w:val="24"/>
                <w:highlight w:val="none"/>
                <w:lang w:val="en-US" w:eastAsia="zh-CN" w:bidi="ar-SA"/>
              </w:rPr>
              <w:t>成交</w:t>
            </w:r>
            <w:r>
              <w:rPr>
                <w:rFonts w:hint="eastAsia" w:ascii="Times New Roman" w:eastAsia="宋体" w:cs="Times New Roman"/>
                <w:bCs w:val="0"/>
                <w:color w:val="auto"/>
                <w:spacing w:val="0"/>
                <w:kern w:val="2"/>
                <w:sz w:val="21"/>
                <w:szCs w:val="24"/>
                <w:highlight w:val="none"/>
                <w:lang w:val="en-US" w:eastAsia="zh-CN" w:bidi="ar-SA"/>
              </w:rPr>
              <w:t>供应商</w:t>
            </w:r>
            <w:r>
              <w:rPr>
                <w:rFonts w:hint="eastAsia" w:ascii="Times New Roman" w:hAnsi="Times New Roman" w:eastAsia="宋体" w:cs="Times New Roman"/>
                <w:bCs w:val="0"/>
                <w:color w:val="auto"/>
                <w:spacing w:val="0"/>
                <w:kern w:val="2"/>
                <w:sz w:val="21"/>
                <w:szCs w:val="24"/>
                <w:highlight w:val="none"/>
                <w:lang w:val="en-US" w:eastAsia="zh-CN" w:bidi="ar-SA"/>
              </w:rPr>
              <w:t>需在确定成交3日内打印盖章响应文件</w:t>
            </w:r>
            <w:r>
              <w:rPr>
                <w:rFonts w:hint="eastAsia" w:ascii="Times New Roman" w:eastAsia="宋体" w:cs="Times New Roman"/>
                <w:bCs w:val="0"/>
                <w:color w:val="auto"/>
                <w:spacing w:val="0"/>
                <w:kern w:val="2"/>
                <w:sz w:val="21"/>
                <w:szCs w:val="24"/>
                <w:highlight w:val="none"/>
                <w:lang w:val="en-US" w:eastAsia="zh-CN" w:bidi="ar-SA"/>
              </w:rPr>
              <w:t>（一式</w:t>
            </w:r>
            <w:r>
              <w:rPr>
                <w:rFonts w:hint="eastAsia" w:ascii="Times New Roman" w:cs="Times New Roman"/>
                <w:bCs w:val="0"/>
                <w:color w:val="auto"/>
                <w:spacing w:val="0"/>
                <w:kern w:val="2"/>
                <w:sz w:val="21"/>
                <w:szCs w:val="24"/>
                <w:highlight w:val="none"/>
                <w:lang w:val="en-US" w:eastAsia="zh-CN" w:bidi="ar-SA"/>
              </w:rPr>
              <w:t>四</w:t>
            </w:r>
            <w:r>
              <w:rPr>
                <w:rFonts w:hint="eastAsia" w:ascii="Times New Roman" w:eastAsia="宋体" w:cs="Times New Roman"/>
                <w:bCs w:val="0"/>
                <w:color w:val="auto"/>
                <w:spacing w:val="0"/>
                <w:kern w:val="2"/>
                <w:sz w:val="21"/>
                <w:szCs w:val="24"/>
                <w:highlight w:val="none"/>
                <w:lang w:val="en-US" w:eastAsia="zh-CN" w:bidi="ar-SA"/>
              </w:rPr>
              <w:t>份）</w:t>
            </w:r>
            <w:r>
              <w:rPr>
                <w:rFonts w:hint="eastAsia" w:ascii="Times New Roman" w:hAnsi="Times New Roman" w:eastAsia="宋体" w:cs="Times New Roman"/>
                <w:bCs w:val="0"/>
                <w:color w:val="auto"/>
                <w:spacing w:val="0"/>
                <w:kern w:val="2"/>
                <w:sz w:val="21"/>
                <w:szCs w:val="24"/>
                <w:highlight w:val="none"/>
                <w:lang w:val="en-US" w:eastAsia="zh-CN" w:bidi="ar-SA"/>
              </w:rPr>
              <w:t>提供给代理机构，作为成果文件装订使用。</w:t>
            </w:r>
          </w:p>
        </w:tc>
      </w:tr>
    </w:tbl>
    <w:p w14:paraId="1B3EDFE3">
      <w:pPr>
        <w:pStyle w:val="15"/>
        <w:ind w:left="0" w:leftChars="0" w:firstLine="0" w:firstLineChars="0"/>
        <w:rPr>
          <w:rFonts w:hint="eastAsia"/>
          <w:color w:val="auto"/>
          <w:highlight w:val="none"/>
          <w:lang w:val="en-US" w:eastAsia="zh-CN"/>
        </w:rPr>
      </w:pPr>
      <w:bookmarkStart w:id="64" w:name="_Toc16298"/>
      <w:bookmarkStart w:id="65" w:name="_Toc8441"/>
    </w:p>
    <w:p w14:paraId="504BB4EA">
      <w:pPr>
        <w:pStyle w:val="2"/>
        <w:keepNext/>
        <w:keepLines/>
        <w:pageBreakBefore w:val="0"/>
        <w:widowControl w:val="0"/>
        <w:kinsoku/>
        <w:wordWrap/>
        <w:overflowPunct/>
        <w:topLinePunct w:val="0"/>
        <w:autoSpaceDE/>
        <w:autoSpaceDN/>
        <w:bidi w:val="0"/>
        <w:adjustRightInd/>
        <w:snapToGrid/>
        <w:spacing w:before="0" w:beforeLines="50" w:after="0" w:line="600" w:lineRule="exact"/>
        <w:jc w:val="center"/>
        <w:textAlignment w:val="auto"/>
        <w:rPr>
          <w:rFonts w:ascii="宋体" w:hAnsi="宋体" w:cs="宋体"/>
          <w:b/>
          <w:bCs w:val="0"/>
          <w:color w:val="auto"/>
          <w:szCs w:val="21"/>
          <w:highlight w:val="none"/>
        </w:rPr>
      </w:pPr>
      <w:r>
        <w:rPr>
          <w:rFonts w:hint="eastAsia" w:ascii="宋体" w:hAnsi="宋体" w:cs="宋体"/>
          <w:b/>
          <w:bCs w:val="0"/>
          <w:color w:val="auto"/>
          <w:sz w:val="32"/>
          <w:szCs w:val="32"/>
          <w:highlight w:val="none"/>
          <w:lang w:val="en-US" w:eastAsia="zh-CN"/>
        </w:rPr>
        <w:t>供应商</w:t>
      </w:r>
      <w:r>
        <w:rPr>
          <w:rFonts w:hint="eastAsia" w:ascii="宋体" w:hAnsi="宋体" w:cs="宋体"/>
          <w:b/>
          <w:bCs w:val="0"/>
          <w:color w:val="auto"/>
          <w:sz w:val="32"/>
          <w:szCs w:val="32"/>
          <w:highlight w:val="none"/>
        </w:rPr>
        <w:t>须知</w:t>
      </w:r>
      <w:bookmarkEnd w:id="64"/>
      <w:bookmarkEnd w:id="65"/>
    </w:p>
    <w:p w14:paraId="6EB3A529">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b/>
          <w:color w:val="auto"/>
          <w:szCs w:val="21"/>
          <w:highlight w:val="none"/>
        </w:rPr>
      </w:pPr>
      <w:r>
        <w:rPr>
          <w:rFonts w:hint="eastAsia" w:ascii="宋体" w:hAnsi="宋体" w:cs="宋体"/>
          <w:b/>
          <w:color w:val="auto"/>
          <w:szCs w:val="21"/>
          <w:highlight w:val="none"/>
        </w:rPr>
        <w:t>一、总则</w:t>
      </w:r>
    </w:p>
    <w:p w14:paraId="5CFFBC88">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1.适用范围</w:t>
      </w:r>
    </w:p>
    <w:p w14:paraId="69779A9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1.1 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622A67F0">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1.2 本竞争性磋商文件适用于本项目的所有采购程序和环节 (法律、法规另有规定的，从其规定) 。</w:t>
      </w:r>
    </w:p>
    <w:p w14:paraId="695E7B22">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2.定义</w:t>
      </w:r>
    </w:p>
    <w:p w14:paraId="3ED2C6E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2.1“采购人”是指依法进行采购的国家机关、事业单位、团体组织。</w:t>
      </w:r>
    </w:p>
    <w:p w14:paraId="693526FC">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2.2“采购代理机构”是指政府采购代理机构 (以下简称采购代理机构) 是指集中采购机构以外、受采购人委托从事政府采购代理业务的社会中介机构。</w:t>
      </w:r>
    </w:p>
    <w:p w14:paraId="7A6731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275E91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2.4“工程”是指建设工程，包括建筑物和构筑物的新建、改建、扩建、装修、拆除、修缮等。</w:t>
      </w:r>
    </w:p>
    <w:p w14:paraId="509658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2.5“竞标”是指供应商按照本项目竞争性磋商公告规定的方式获取竞争性磋商文件、提交响应文件并希望获得标的的行为。</w:t>
      </w:r>
    </w:p>
    <w:p w14:paraId="2FE510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2.6“响应文件”是指：供应商根据本竞争性磋商文件要求，编制包含资格证明、报价商务技术等所有内容的文件。</w:t>
      </w:r>
    </w:p>
    <w:p w14:paraId="47316F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2.7“实质性要求”是指竞争性磋商文件中已经指明不满足则响应文件按无效响应处理的条款，或不能负偏离的条款，或采购需求中带“▲”的条款。</w:t>
      </w:r>
    </w:p>
    <w:p w14:paraId="3ADCDC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2.8“正偏离”，是指响应文件对竞争性磋商文件“采购需求”中有关条款作出的响应优于条款要求并有利于采购人的情形。</w:t>
      </w:r>
    </w:p>
    <w:p w14:paraId="0E3132E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2.9“负偏离”，是指响应文件对竞争性磋商文件“采购需求”中有关条款作出的响应不满足条款要求导致采购人要求不能得到满足的情形。</w:t>
      </w:r>
    </w:p>
    <w:p w14:paraId="59B38E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29DB43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 (包括电报、电传、传真、电子数据交换和电子邮件) 等可以有形地表现所载内容的形式。</w:t>
      </w:r>
    </w:p>
    <w:p w14:paraId="3E5CEA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2.12“首次报价”是指供应商提交的首次响应文件中的报价。                     </w:t>
      </w:r>
    </w:p>
    <w:p w14:paraId="009ECA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2.13“评审价”是指供应商提交的最后报价并经修正和政策功能价格扣除后的价格。</w:t>
      </w:r>
    </w:p>
    <w:p w14:paraId="4FAA1DA5">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3.供应商的资格条件</w:t>
      </w:r>
    </w:p>
    <w:p w14:paraId="5857201E">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51A1C75F">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4.竞标费用</w:t>
      </w:r>
    </w:p>
    <w:p w14:paraId="171E18B7">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供应商应承担参与本次采购活动有关的所有费用，包括但不限于获取磋商文件、勘查现场、编制和提交响应文件、参加磋商与应答、签订合同等，不论磋商结果如何，均应自行承担。  </w:t>
      </w:r>
    </w:p>
    <w:p w14:paraId="46E04B1E">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5.联合体竞标</w:t>
      </w:r>
    </w:p>
    <w:p w14:paraId="6FEBCBF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5.1 本项目不接受联合体竞标。</w:t>
      </w:r>
    </w:p>
    <w:p w14:paraId="1A854E3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6.转包与分包</w:t>
      </w:r>
    </w:p>
    <w:p w14:paraId="45133F76">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6.1 本项目不允许转包。</w:t>
      </w:r>
    </w:p>
    <w:p w14:paraId="4B5EF2AD">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7.特别说明</w:t>
      </w:r>
    </w:p>
    <w:p w14:paraId="12CB06D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7.1 如果本磋商文件要求供应商提供资格、信誉、荣誉、业绩与企业认证等材料的，则供应商所提供的以上材料必须为供应商所拥有。</w:t>
      </w:r>
    </w:p>
    <w:p w14:paraId="53EDEECC">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7.2 供应商应仔细阅读竞争性磋商文件的所有内容，按照竞争性磋商文件的要求提交响应文件，并对所提供的全部资料的真实性承担法律责任。</w:t>
      </w:r>
    </w:p>
    <w:p w14:paraId="071B4563">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7.3 供应商在磋商活动中提供任何疑似虚假材料，将报监管部门查处；签订合同后发现的， 成交供应商须依照《中华人民共和国消费者权益保护法》规定赔偿采购人，且民事赔偿并不免除违法供应商的行政与刑事责任。</w:t>
      </w:r>
    </w:p>
    <w:p w14:paraId="2331C3C2">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7.4 在政府采购活动中，采购人员及相关人员与供应商有下列利害关系之一的，应当回避：</w:t>
      </w:r>
    </w:p>
    <w:p w14:paraId="1F76E4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 参加采购活动前 3 年内与供应商存在劳动关系；</w:t>
      </w:r>
    </w:p>
    <w:p w14:paraId="63AFC39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 参加采购活动前 3 年内担任供应商的董事、监事；</w:t>
      </w:r>
    </w:p>
    <w:p w14:paraId="37CA34A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 参加采购活动前 3 年内是供应商的控股股东或者实际控制人；</w:t>
      </w:r>
    </w:p>
    <w:p w14:paraId="2DF2132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 与供应商的法定代表人或负责人有夫妻、直系血亲、三代以内旁系血亲或者近姻亲关系；</w:t>
      </w:r>
    </w:p>
    <w:p w14:paraId="139BFAB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 与供应商有其他可能影响政府采购活动公平、公正进行的关系。</w:t>
      </w:r>
    </w:p>
    <w:p w14:paraId="2717482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 机构书面提出回避申请，并说明理由。采购人或者采购代理机构应当及时询问被申请回避人员，有利害关系的被申请回避人员应当回避。</w:t>
      </w:r>
    </w:p>
    <w:p w14:paraId="697E1295">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7.5 有下列情形之一的视为供应商相互串通竞标，响应文件将被视为无效：</w:t>
      </w:r>
    </w:p>
    <w:p w14:paraId="60F43F7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 不同供应商的响应文件由同一单位或者个人编制；或者不同供应商报名的 IP地址一致的；</w:t>
      </w:r>
    </w:p>
    <w:p w14:paraId="556F666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 不同供应商委托同一单位或者个人办理磋商事宜；</w:t>
      </w:r>
    </w:p>
    <w:p w14:paraId="7EE766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 不同的供应商的响应文件载明的项目管理员为同一个人；</w:t>
      </w:r>
    </w:p>
    <w:p w14:paraId="091C2F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 不同供应商的响应文件异常一致或者报价呈规律性差异；</w:t>
      </w:r>
    </w:p>
    <w:p w14:paraId="649C06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 不同供应商的响应文件相互混装；</w:t>
      </w:r>
    </w:p>
    <w:p w14:paraId="0AFC5D6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 不同供应商的磋商保证金从同一单位或者个人账户转出。</w:t>
      </w:r>
    </w:p>
    <w:p w14:paraId="4B7B52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7.6 供应商有下列情形之一的，属于恶意串通行为：</w:t>
      </w:r>
    </w:p>
    <w:p w14:paraId="6698F7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 供应商直接或者间接从采购人或者采购代理机构处获得其他供应商的相关信息并修改其响应文件；</w:t>
      </w:r>
    </w:p>
    <w:p w14:paraId="780CF41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 供应商按照采购人或者采购代理机构的授意撤换、修改响应文件；</w:t>
      </w:r>
    </w:p>
    <w:p w14:paraId="3B8C85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 供应商之间协商报价、技术方案等响应文件或者响应文件的实质性内容；</w:t>
      </w:r>
    </w:p>
    <w:p w14:paraId="7EAD7A7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 属于同一集团、协会、商会等组织成员的供应商按照该组织要求协同参加政府采购活动；</w:t>
      </w:r>
    </w:p>
    <w:p w14:paraId="25407B7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 供应商之间事先约定一致抬高或者压低报价，或者在政府采购活动中事先约定轮流以高价位或者低价位成交，或者事先约定由某一特定供应商成交，然后再参加竞标；</w:t>
      </w:r>
    </w:p>
    <w:p w14:paraId="731E5A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 供应商之间商定部分供应商放弃参加政府采购活动或者放弃成交；</w:t>
      </w:r>
    </w:p>
    <w:p w14:paraId="2B1C7C4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 供应商与采购人或者采购代理机构之间、供应商相互之间，为谋求特定供应商成交或者排斥其他供应商的其他串通行为。</w:t>
      </w:r>
    </w:p>
    <w:p w14:paraId="6CC1B03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7.7 关联供应商不得参加同一合同项下政府采购活动，否则响应文件将被视为无效：</w:t>
      </w:r>
    </w:p>
    <w:p w14:paraId="6D79BC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 单位负责人为同一人或者存在直接控股、管理关系的不同的供应商，不得参加同一合同项下的政府采购活动。</w:t>
      </w:r>
    </w:p>
    <w:p w14:paraId="1F5FEB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二、响应文件的编制</w:t>
      </w:r>
    </w:p>
    <w:p w14:paraId="21E9B6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8.响应文件的编制原则</w:t>
      </w:r>
    </w:p>
    <w:p w14:paraId="4FD55A7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供应商应当按照竞争性磋商文件的要求编制响应文件，并对其提交的响应文件的真实性、合法性承担法律责任。响应文件应当对竞争性磋商文件作出实质性响应。</w:t>
      </w:r>
    </w:p>
    <w:p w14:paraId="65FBEA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 响应文件编制基本要求</w:t>
      </w:r>
    </w:p>
    <w:p w14:paraId="3E73505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distribute"/>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9.1 本项目实行电子开评标，供应商应准备电子磋商响应文件。供应商应仔细阅读竞争性磋商采购文件，在充分了解采购的内容、服务要求和商务条款以及实质性要求和条件后，编写响应文件。电子响应文件按</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要求及本竞争性磋商采购文件要求制作、加密并递交。具体操作流程可参考《</w:t>
      </w:r>
      <w:r>
        <w:rPr>
          <w:rFonts w:hint="eastAsia" w:ascii="宋体" w:hAnsi="宋体" w:cs="宋体"/>
          <w:b w:val="0"/>
          <w:bCs/>
          <w:color w:val="auto"/>
          <w:szCs w:val="21"/>
          <w:highlight w:val="none"/>
          <w:lang w:val="en-US" w:eastAsia="zh-CN"/>
        </w:rPr>
        <w:t>政府采购项目电子交易管理操作指南-供应商</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lang w:val="en-US" w:eastAsia="zh-CN"/>
        </w:rPr>
        <w:t>指南可</w:t>
      </w:r>
      <w:r>
        <w:rPr>
          <w:rFonts w:hint="eastAsia" w:ascii="宋体" w:hAnsi="宋体" w:cs="宋体"/>
          <w:b w:val="0"/>
          <w:bCs/>
          <w:color w:val="auto"/>
          <w:szCs w:val="21"/>
          <w:highlight w:val="none"/>
        </w:rPr>
        <w:t>在“http://zfcg.gxzf.gov.cn/PurchaseAdvisory/ImportantNotice/2866753.html”下载。</w:t>
      </w:r>
    </w:p>
    <w:p w14:paraId="718AB6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9.2 供应商提交的竞争性磋商响应文件以及供应商与</w:t>
      </w:r>
      <w:r>
        <w:rPr>
          <w:rFonts w:hint="eastAsia" w:ascii="宋体" w:hAnsi="宋体" w:cs="宋体"/>
          <w:b w:val="0"/>
          <w:bCs/>
          <w:color w:val="auto"/>
          <w:szCs w:val="21"/>
          <w:highlight w:val="none"/>
          <w:lang w:eastAsia="zh-CN"/>
        </w:rPr>
        <w:t>广西合士嘉项目咨询有限公司</w:t>
      </w:r>
      <w:r>
        <w:rPr>
          <w:rFonts w:hint="eastAsia" w:ascii="宋体" w:hAnsi="宋体" w:cs="宋体"/>
          <w:b w:val="0"/>
          <w:bCs/>
          <w:color w:val="auto"/>
          <w:szCs w:val="21"/>
          <w:highlight w:val="none"/>
        </w:rPr>
        <w:t>和采购人就有关磋商的所有来往函电均应使用中文。供应商提交的支持文件和印刷的文献可以使用别的语言，但其相应内容必须附有中文翻译文本，在解释竞争性磋商响应文件时以翻译文本为准。</w:t>
      </w:r>
    </w:p>
    <w:p w14:paraId="3718740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9.3 供应商应认真阅读、并充分理解本文件的全部内容 (包括所有的补充、修改内容)，承诺并履行本文件中各项条款规定及要求。</w:t>
      </w:r>
    </w:p>
    <w:p w14:paraId="022BE4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9.4 竞争性磋商响应文件必须按本文件的全部内容，包括所有的补充通知及附件进行编制。</w:t>
      </w:r>
    </w:p>
    <w:p w14:paraId="61EE4A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9.5 如因供应商只填写和提供了本文件要求的部分内容和附件，而给评审造成困难，其可能导致的结果和责任由供应商自行承担。</w:t>
      </w:r>
    </w:p>
    <w:p w14:paraId="750969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val="0"/>
          <w:color w:val="auto"/>
          <w:szCs w:val="21"/>
          <w:highlight w:val="none"/>
          <w:lang w:eastAsia="zh-CN"/>
        </w:rPr>
      </w:pPr>
      <w:r>
        <w:rPr>
          <w:rFonts w:hint="eastAsia" w:ascii="宋体" w:hAnsi="宋体" w:cs="宋体"/>
          <w:b w:val="0"/>
          <w:bCs/>
          <w:color w:val="auto"/>
          <w:szCs w:val="21"/>
          <w:highlight w:val="none"/>
        </w:rPr>
        <w:t>9.6 响应文件的组成：响应文件应分为资格证明文件、报价文件、商务技术文件三个部分组成。</w:t>
      </w:r>
      <w:r>
        <w:rPr>
          <w:rFonts w:hint="eastAsia" w:ascii="宋体" w:hAnsi="宋体" w:cs="宋体"/>
          <w:b/>
          <w:bCs w:val="0"/>
          <w:color w:val="auto"/>
          <w:szCs w:val="21"/>
          <w:highlight w:val="none"/>
          <w:lang w:eastAsia="zh-CN"/>
        </w:rPr>
        <w:t>以下注明“</w:t>
      </w:r>
      <w:r>
        <w:rPr>
          <w:rFonts w:hint="eastAsia" w:ascii="宋体" w:hAnsi="宋体" w:cs="宋体"/>
          <w:color w:val="auto"/>
          <w:szCs w:val="21"/>
          <w:highlight w:val="none"/>
        </w:rPr>
        <w:t>▲</w:t>
      </w:r>
      <w:r>
        <w:rPr>
          <w:rFonts w:hint="eastAsia" w:ascii="宋体" w:hAnsi="宋体" w:cs="宋体"/>
          <w:b/>
          <w:bCs w:val="0"/>
          <w:color w:val="auto"/>
          <w:szCs w:val="21"/>
          <w:highlight w:val="none"/>
          <w:lang w:eastAsia="zh-CN"/>
        </w:rPr>
        <w:t>”的必须提供，否则竞标无效。</w:t>
      </w:r>
    </w:p>
    <w:p w14:paraId="3C75FD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1.资格证明文件</w:t>
      </w:r>
    </w:p>
    <w:p w14:paraId="61FB2CBD">
      <w:pPr>
        <w:pStyle w:val="9"/>
        <w:spacing w:line="360" w:lineRule="auto"/>
        <w:ind w:firstLine="420" w:firstLineChars="200"/>
        <w:rPr>
          <w:rFonts w:hint="eastAsia" w:ascii="宋体" w:hAnsi="宋体"/>
          <w:color w:val="auto"/>
          <w:szCs w:val="21"/>
          <w:highlight w:val="none"/>
          <w:lang w:val="en-US" w:eastAsia="zh-CN"/>
        </w:rPr>
      </w:pPr>
      <w:r>
        <w:rPr>
          <w:rFonts w:hint="eastAsia" w:ascii="宋体" w:hAnsi="宋体" w:cs="宋体"/>
          <w:color w:val="auto"/>
          <w:szCs w:val="21"/>
          <w:highlight w:val="none"/>
        </w:rPr>
        <w:t>▲</w:t>
      </w:r>
      <w:r>
        <w:rPr>
          <w:rFonts w:hint="eastAsia" w:ascii="宋体" w:hAnsi="宋体" w:cs="宋体"/>
          <w:b w:val="0"/>
          <w:bCs/>
          <w:color w:val="auto"/>
          <w:szCs w:val="21"/>
          <w:highlight w:val="none"/>
        </w:rPr>
        <w:t>(1)</w:t>
      </w:r>
      <w:r>
        <w:rPr>
          <w:rFonts w:hint="eastAsia" w:ascii="宋体" w:hAnsi="宋体" w:cs="宋体"/>
          <w:color w:val="auto"/>
          <w:szCs w:val="21"/>
          <w:highlight w:val="none"/>
          <w:lang w:val="en-US" w:eastAsia="zh-CN"/>
        </w:rPr>
        <w:t>供应商为法人或者其他组织的提供其营业执照等证明文件复印件（如营业执照或者事业单位法人证书或者执业许可证或者登记证书等）；</w:t>
      </w:r>
    </w:p>
    <w:p w14:paraId="6CC5258F">
      <w:pPr>
        <w:spacing w:line="360" w:lineRule="auto"/>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2</w:t>
      </w:r>
      <w:r>
        <w:rPr>
          <w:rFonts w:hint="eastAsia" w:ascii="宋体" w:hAnsi="宋体" w:cs="宋体"/>
          <w:b w:val="0"/>
          <w:bCs/>
          <w:color w:val="auto"/>
          <w:szCs w:val="21"/>
          <w:highlight w:val="none"/>
        </w:rPr>
        <w:t>)</w:t>
      </w:r>
      <w:r>
        <w:rPr>
          <w:rFonts w:hint="eastAsia" w:ascii="宋体" w:hAnsi="宋体" w:cs="宋体"/>
          <w:color w:val="auto"/>
          <w:szCs w:val="21"/>
          <w:highlight w:val="none"/>
        </w:rPr>
        <w:t>供应商依法缴纳税收的相关材料（</w:t>
      </w:r>
      <w:r>
        <w:rPr>
          <w:rFonts w:hint="eastAsia" w:ascii="宋体" w:hAnsi="宋体" w:cs="宋体"/>
          <w:color w:val="auto"/>
          <w:szCs w:val="21"/>
          <w:highlight w:val="none"/>
          <w:u w:val="single"/>
        </w:rPr>
        <w:t xml:space="preserve"> 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01</w:t>
      </w:r>
      <w:r>
        <w:rPr>
          <w:rFonts w:hint="eastAsia" w:ascii="宋体" w:hAnsi="宋体" w:cs="宋体"/>
          <w:color w:val="auto"/>
          <w:szCs w:val="21"/>
          <w:highlight w:val="none"/>
        </w:rPr>
        <w:t>月</w:t>
      </w:r>
      <w:r>
        <w:rPr>
          <w:rFonts w:hint="eastAsia" w:ascii="宋体" w:hAnsi="宋体" w:cs="宋体"/>
          <w:color w:val="auto"/>
          <w:szCs w:val="21"/>
          <w:highlight w:val="none"/>
          <w:lang w:eastAsia="zh-CN"/>
        </w:rPr>
        <w:t>以来</w:t>
      </w:r>
      <w:r>
        <w:rPr>
          <w:rFonts w:hint="eastAsia" w:ascii="宋体" w:hAnsi="宋体" w:cs="宋体"/>
          <w:color w:val="auto"/>
          <w:szCs w:val="21"/>
          <w:highlight w:val="none"/>
        </w:rPr>
        <w:t>任意</w:t>
      </w:r>
      <w:r>
        <w:rPr>
          <w:rFonts w:hint="eastAsia" w:ascii="宋体" w:hAnsi="宋体" w:cs="宋体"/>
          <w:color w:val="auto"/>
          <w:szCs w:val="21"/>
          <w:highlight w:val="none"/>
          <w:u w:val="single"/>
        </w:rPr>
        <w:t xml:space="preserve"> 1</w:t>
      </w:r>
      <w:r>
        <w:rPr>
          <w:rFonts w:hint="eastAsia" w:ascii="宋体" w:hAnsi="宋体" w:cs="宋体"/>
          <w:color w:val="auto"/>
          <w:szCs w:val="21"/>
          <w:highlight w:val="none"/>
        </w:rPr>
        <w:t>个月的依法缴纳税收的凭据复印件；</w:t>
      </w:r>
      <w:r>
        <w:rPr>
          <w:rFonts w:hint="eastAsia"/>
          <w:color w:val="auto"/>
          <w:highlight w:val="none"/>
        </w:rPr>
        <w:t>依法免税的，必须提供相应文件证明其依法免税。</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的依法缴纳税收</w:t>
      </w:r>
      <w:r>
        <w:rPr>
          <w:rFonts w:hint="eastAsia"/>
          <w:color w:val="auto"/>
          <w:highlight w:val="none"/>
        </w:rPr>
        <w:t>相应证明文件</w:t>
      </w:r>
      <w:r>
        <w:rPr>
          <w:rFonts w:hint="eastAsia" w:ascii="宋体" w:hAnsi="宋体" w:cs="宋体"/>
          <w:color w:val="auto"/>
          <w:szCs w:val="21"/>
          <w:highlight w:val="none"/>
        </w:rPr>
        <w:t>）；</w:t>
      </w:r>
    </w:p>
    <w:p w14:paraId="0C3ED04B">
      <w:pPr>
        <w:spacing w:line="360" w:lineRule="auto"/>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3</w:t>
      </w:r>
      <w:r>
        <w:rPr>
          <w:rFonts w:hint="eastAsia" w:ascii="宋体" w:hAnsi="宋体" w:cs="宋体"/>
          <w:b w:val="0"/>
          <w:bCs/>
          <w:color w:val="auto"/>
          <w:szCs w:val="21"/>
          <w:highlight w:val="none"/>
        </w:rPr>
        <w:t>)</w:t>
      </w:r>
      <w:r>
        <w:rPr>
          <w:rFonts w:hint="eastAsia" w:ascii="宋体" w:hAnsi="宋体" w:cs="宋体"/>
          <w:color w:val="auto"/>
          <w:szCs w:val="21"/>
          <w:highlight w:val="none"/>
        </w:rPr>
        <w:t>供应商依法缴纳社会保障资金的相关材料</w:t>
      </w:r>
      <w:r>
        <w:rPr>
          <w:rFonts w:hint="eastAsia" w:ascii="宋体" w:hAnsi="宋体" w:cs="宋体"/>
          <w:color w:val="auto"/>
          <w:szCs w:val="21"/>
          <w:highlight w:val="none"/>
          <w:lang w:val="en-US" w:eastAsia="zh-CN"/>
        </w:rPr>
        <w:t>[</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01</w:t>
      </w:r>
      <w:r>
        <w:rPr>
          <w:rFonts w:hint="eastAsia" w:ascii="宋体" w:hAnsi="宋体" w:cs="宋体"/>
          <w:color w:val="auto"/>
          <w:szCs w:val="21"/>
          <w:highlight w:val="none"/>
        </w:rPr>
        <w:t>月</w:t>
      </w:r>
      <w:r>
        <w:rPr>
          <w:rFonts w:hint="eastAsia" w:ascii="宋体" w:hAnsi="宋体" w:cs="宋体"/>
          <w:color w:val="auto"/>
          <w:szCs w:val="21"/>
          <w:highlight w:val="none"/>
          <w:lang w:eastAsia="zh-CN"/>
        </w:rPr>
        <w:t>以来</w:t>
      </w:r>
      <w:r>
        <w:rPr>
          <w:rFonts w:hint="eastAsia" w:ascii="宋体" w:hAnsi="宋体" w:cs="宋体"/>
          <w:color w:val="auto"/>
          <w:szCs w:val="21"/>
          <w:highlight w:val="none"/>
        </w:rPr>
        <w:t>任意</w:t>
      </w:r>
      <w:r>
        <w:rPr>
          <w:rFonts w:hint="eastAsia" w:ascii="宋体" w:hAnsi="宋体" w:cs="宋体"/>
          <w:color w:val="auto"/>
          <w:szCs w:val="21"/>
          <w:highlight w:val="none"/>
          <w:u w:val="single"/>
        </w:rPr>
        <w:t xml:space="preserve"> 1</w:t>
      </w:r>
      <w:r>
        <w:rPr>
          <w:rFonts w:hint="eastAsia" w:ascii="宋体" w:hAnsi="宋体" w:cs="宋体"/>
          <w:color w:val="auto"/>
          <w:szCs w:val="21"/>
          <w:highlight w:val="none"/>
        </w:rPr>
        <w:t>个月的依法缴纳社会保障资金的缴费凭证（专用收据或者社会保险缴纳清单）复印件；</w:t>
      </w:r>
      <w:r>
        <w:rPr>
          <w:rFonts w:hint="eastAsia"/>
          <w:color w:val="auto"/>
          <w:highlight w:val="none"/>
        </w:rPr>
        <w:t>依法不需要缴纳社会保障资金的，必须提供相应文件证明不需要缴纳社会保障资金。</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的依法缴纳社会保障资金的</w:t>
      </w:r>
      <w:r>
        <w:rPr>
          <w:rFonts w:hint="eastAsia"/>
          <w:color w:val="auto"/>
          <w:highlight w:val="none"/>
        </w:rPr>
        <w:t>相应证明文件</w:t>
      </w:r>
      <w:r>
        <w:rPr>
          <w:rFonts w:hint="eastAsia" w:ascii="宋体" w:hAnsi="宋体" w:cs="宋体"/>
          <w:color w:val="auto"/>
          <w:szCs w:val="21"/>
          <w:highlight w:val="none"/>
        </w:rPr>
        <w:t>]；</w:t>
      </w:r>
    </w:p>
    <w:p w14:paraId="46A3D03B">
      <w:pPr>
        <w:spacing w:line="360" w:lineRule="auto"/>
        <w:ind w:firstLine="420" w:firstLineChars="200"/>
        <w:contextualSpacing/>
        <w:jc w:val="left"/>
        <w:rPr>
          <w:rFonts w:hint="eastAsia" w:ascii="宋体" w:hAnsi="宋体" w:cs="宋体"/>
          <w:b/>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4</w:t>
      </w:r>
      <w:r>
        <w:rPr>
          <w:rFonts w:hint="eastAsia" w:ascii="宋体" w:hAnsi="宋体" w:cs="宋体"/>
          <w:b w:val="0"/>
          <w:bCs/>
          <w:color w:val="auto"/>
          <w:szCs w:val="21"/>
          <w:highlight w:val="none"/>
        </w:rPr>
        <w:t>)</w:t>
      </w:r>
      <w:r>
        <w:rPr>
          <w:rFonts w:hint="eastAsia" w:ascii="宋体" w:hAnsi="宋体" w:cs="宋体"/>
          <w:color w:val="auto"/>
          <w:szCs w:val="21"/>
          <w:highlight w:val="none"/>
        </w:rPr>
        <w:t>供应商</w:t>
      </w:r>
      <w:r>
        <w:rPr>
          <w:rFonts w:hint="eastAsia"/>
          <w:color w:val="auto"/>
          <w:szCs w:val="21"/>
          <w:highlight w:val="none"/>
        </w:rPr>
        <w:t>财务状况报告（</w:t>
      </w:r>
      <w:r>
        <w:rPr>
          <w:rFonts w:hint="eastAsia"/>
          <w:color w:val="auto"/>
          <w:szCs w:val="21"/>
          <w:highlight w:val="none"/>
          <w:u w:val="single"/>
          <w:lang w:val="en-US" w:eastAsia="zh-CN"/>
        </w:rPr>
        <w:t>2024年或</w:t>
      </w:r>
      <w:r>
        <w:rPr>
          <w:rFonts w:hint="eastAsia"/>
          <w:color w:val="auto"/>
          <w:szCs w:val="21"/>
          <w:highlight w:val="none"/>
          <w:u w:val="single"/>
        </w:rPr>
        <w:t>202</w:t>
      </w:r>
      <w:r>
        <w:rPr>
          <w:rFonts w:hint="eastAsia"/>
          <w:color w:val="auto"/>
          <w:szCs w:val="21"/>
          <w:highlight w:val="none"/>
          <w:u w:val="single"/>
          <w:lang w:val="en-US" w:eastAsia="zh-CN"/>
        </w:rPr>
        <w:t>5</w:t>
      </w:r>
      <w:r>
        <w:rPr>
          <w:rFonts w:hint="eastAsia"/>
          <w:color w:val="auto"/>
          <w:szCs w:val="21"/>
          <w:highlight w:val="none"/>
        </w:rPr>
        <w:t>年度财务报表复印件，或者银行出具的资信证明，或者中国人民银行征信中心出具的信用报告；供应商属于</w:t>
      </w:r>
      <w:r>
        <w:rPr>
          <w:rFonts w:hint="eastAsia"/>
          <w:color w:val="auto"/>
          <w:highlight w:val="none"/>
        </w:rPr>
        <w:t>成立时间</w:t>
      </w:r>
      <w:r>
        <w:rPr>
          <w:rFonts w:hint="eastAsia"/>
          <w:color w:val="auto"/>
          <w:kern w:val="0"/>
          <w:highlight w:val="none"/>
        </w:rPr>
        <w:t>在规定年度之后</w:t>
      </w:r>
      <w:r>
        <w:rPr>
          <w:rFonts w:hint="eastAsia"/>
          <w:color w:val="auto"/>
          <w:highlight w:val="none"/>
        </w:rPr>
        <w:t>的</w:t>
      </w:r>
      <w:r>
        <w:rPr>
          <w:rFonts w:hint="eastAsia"/>
          <w:color w:val="auto"/>
          <w:szCs w:val="21"/>
          <w:highlight w:val="none"/>
        </w:rPr>
        <w:t>法人或其他组织</w:t>
      </w:r>
      <w:r>
        <w:rPr>
          <w:rFonts w:hint="eastAsia"/>
          <w:color w:val="auto"/>
          <w:highlight w:val="none"/>
        </w:rPr>
        <w:t>，需提供成立之日起至响应文件提交截止时间前的月报表</w:t>
      </w:r>
      <w:r>
        <w:rPr>
          <w:rFonts w:hint="eastAsia"/>
          <w:color w:val="auto"/>
          <w:szCs w:val="21"/>
          <w:highlight w:val="none"/>
        </w:rPr>
        <w:t>或银行出具的资信证明或者中国人民银行征信中心出具的企业信用报告；资信证明应在有效期内，未注明有效期的，银行出具时间至响应文件提交截止时间不得超过一年）</w:t>
      </w:r>
      <w:r>
        <w:rPr>
          <w:rFonts w:hint="eastAsia" w:ascii="宋体" w:hAnsi="宋体" w:cs="宋体"/>
          <w:color w:val="auto"/>
          <w:szCs w:val="21"/>
          <w:highlight w:val="none"/>
        </w:rPr>
        <w:t>；</w:t>
      </w:r>
      <w:bookmarkStart w:id="563" w:name="_GoBack"/>
      <w:bookmarkEnd w:id="563"/>
    </w:p>
    <w:p w14:paraId="162487A1">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5</w:t>
      </w:r>
      <w:r>
        <w:rPr>
          <w:rFonts w:hint="eastAsia" w:ascii="宋体" w:hAnsi="宋体" w:cs="宋体"/>
          <w:b w:val="0"/>
          <w:bCs/>
          <w:color w:val="auto"/>
          <w:szCs w:val="21"/>
          <w:highlight w:val="none"/>
        </w:rPr>
        <w:t>)</w:t>
      </w:r>
      <w:r>
        <w:rPr>
          <w:rFonts w:hint="eastAsia" w:ascii="宋体" w:hAnsi="宋体" w:cs="宋体"/>
          <w:color w:val="auto"/>
          <w:szCs w:val="21"/>
          <w:highlight w:val="none"/>
        </w:rPr>
        <w:t>竞标声明（格式后附）；</w:t>
      </w:r>
    </w:p>
    <w:p w14:paraId="32D16DFB">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6</w:t>
      </w:r>
      <w:r>
        <w:rPr>
          <w:rFonts w:hint="eastAsia" w:ascii="宋体" w:hAnsi="宋体" w:cs="宋体"/>
          <w:b w:val="0"/>
          <w:bCs/>
          <w:color w:val="auto"/>
          <w:szCs w:val="21"/>
          <w:highlight w:val="none"/>
        </w:rPr>
        <w:t>)</w:t>
      </w:r>
      <w:r>
        <w:rPr>
          <w:rFonts w:hint="eastAsia" w:ascii="宋体" w:hAnsi="宋体" w:cs="宋体"/>
          <w:color w:val="auto"/>
          <w:szCs w:val="21"/>
          <w:highlight w:val="none"/>
        </w:rPr>
        <w:t>供应商直接控股、管理关系信息表（格式后附）；</w:t>
      </w:r>
    </w:p>
    <w:p w14:paraId="4C01E7DA">
      <w:pPr>
        <w:snapToGrid w:val="0"/>
        <w:spacing w:line="360" w:lineRule="auto"/>
        <w:ind w:firstLine="420" w:firstLineChars="200"/>
        <w:jc w:val="left"/>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7</w:t>
      </w:r>
      <w:r>
        <w:rPr>
          <w:rFonts w:hint="eastAsia" w:ascii="宋体" w:hAnsi="宋体" w:cs="宋体"/>
          <w:b w:val="0"/>
          <w:bCs/>
          <w:color w:val="auto"/>
          <w:szCs w:val="21"/>
          <w:highlight w:val="none"/>
        </w:rPr>
        <w:t>)</w:t>
      </w:r>
      <w:r>
        <w:rPr>
          <w:rFonts w:hint="eastAsia" w:ascii="宋体" w:hAnsi="宋体" w:cs="宋体"/>
          <w:color w:val="auto"/>
          <w:szCs w:val="21"/>
          <w:highlight w:val="none"/>
          <w:lang w:eastAsia="zh-CN"/>
        </w:rPr>
        <w:t>本项目属于专门面向</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lang w:eastAsia="zh-CN"/>
        </w:rPr>
        <w:t>小企业采购的项目。</w:t>
      </w:r>
      <w:r>
        <w:rPr>
          <w:rFonts w:hint="eastAsia" w:ascii="宋体" w:hAnsi="宋体"/>
          <w:color w:val="auto"/>
          <w:szCs w:val="21"/>
          <w:highlight w:val="none"/>
          <w:lang w:val="en-US" w:eastAsia="zh-CN"/>
        </w:rPr>
        <w:t>[</w:t>
      </w:r>
      <w:r>
        <w:rPr>
          <w:rFonts w:hint="eastAsia" w:ascii="宋体" w:hAnsi="宋体"/>
          <w:color w:val="auto"/>
          <w:szCs w:val="21"/>
          <w:highlight w:val="none"/>
        </w:rPr>
        <w:t>供应商必须在响应文件中提供《</w:t>
      </w:r>
      <w:r>
        <w:rPr>
          <w:rFonts w:hint="eastAsia" w:ascii="宋体" w:hAnsi="宋体"/>
          <w:bCs/>
          <w:color w:val="auto"/>
          <w:szCs w:val="21"/>
          <w:highlight w:val="none"/>
        </w:rPr>
        <w:t>中小企业声明函（工程）</w:t>
      </w:r>
      <w:r>
        <w:rPr>
          <w:rFonts w:hint="eastAsia"/>
          <w:color w:val="auto"/>
          <w:szCs w:val="22"/>
          <w:highlight w:val="none"/>
        </w:rPr>
        <w:t>证明材料</w:t>
      </w:r>
      <w:r>
        <w:rPr>
          <w:rFonts w:hint="eastAsia"/>
          <w:color w:val="auto"/>
          <w:szCs w:val="22"/>
          <w:highlight w:val="none"/>
          <w:lang w:val="en-US" w:eastAsia="zh-CN"/>
        </w:rPr>
        <w:t>]；</w:t>
      </w:r>
    </w:p>
    <w:p w14:paraId="32CFC7AF">
      <w:pPr>
        <w:pStyle w:val="10"/>
        <w:keepNext w:val="0"/>
        <w:keepLines w:val="0"/>
        <w:pageBreakBefore w:val="0"/>
        <w:widowControl w:val="0"/>
        <w:kinsoku/>
        <w:wordWrap/>
        <w:overflowPunct/>
        <w:topLinePunct w:val="0"/>
        <w:autoSpaceDE/>
        <w:autoSpaceDN/>
        <w:bidi w:val="0"/>
        <w:adjustRightInd/>
        <w:snapToGrid/>
        <w:spacing w:after="0" w:line="420" w:lineRule="exact"/>
        <w:ind w:firstLine="420" w:firstLineChars="200"/>
        <w:textAlignment w:val="auto"/>
        <w:rPr>
          <w:rFonts w:hint="eastAsia" w:hAnsi="宋体" w:eastAsia="宋体" w:cs="宋体"/>
          <w:color w:val="auto"/>
          <w:sz w:val="21"/>
          <w:szCs w:val="21"/>
          <w:highlight w:val="none"/>
          <w:lang w:eastAsia="zh-CN"/>
        </w:rPr>
      </w:pPr>
      <w:r>
        <w:rPr>
          <w:rFonts w:hint="eastAsia" w:ascii="宋体" w:hAnsi="宋体" w:cs="宋体"/>
          <w:color w:val="auto"/>
          <w:sz w:val="21"/>
          <w:szCs w:val="21"/>
          <w:highlight w:val="none"/>
        </w:rPr>
        <w:t>▲</w:t>
      </w:r>
      <w:r>
        <w:rPr>
          <w:rFonts w:hint="eastAsia" w:ascii="宋体" w:hAnsi="宋体" w:cs="宋体"/>
          <w:b w:val="0"/>
          <w:bCs/>
          <w:color w:val="auto"/>
          <w:sz w:val="21"/>
          <w:szCs w:val="21"/>
          <w:highlight w:val="none"/>
        </w:rPr>
        <w:t>(</w:t>
      </w:r>
      <w:r>
        <w:rPr>
          <w:rFonts w:hint="eastAsia" w:ascii="宋体" w:hAnsi="宋体" w:cs="宋体"/>
          <w:b w:val="0"/>
          <w:bCs/>
          <w:color w:val="auto"/>
          <w:sz w:val="21"/>
          <w:szCs w:val="21"/>
          <w:highlight w:val="none"/>
          <w:lang w:val="en-US" w:eastAsia="zh-CN"/>
        </w:rPr>
        <w:t>8</w:t>
      </w:r>
      <w:r>
        <w:rPr>
          <w:rFonts w:hint="eastAsia" w:ascii="宋体" w:hAnsi="宋体" w:cs="宋体"/>
          <w:b w:val="0"/>
          <w:bCs/>
          <w:color w:val="auto"/>
          <w:sz w:val="21"/>
          <w:szCs w:val="21"/>
          <w:highlight w:val="none"/>
        </w:rPr>
        <w:t>)</w:t>
      </w:r>
      <w:r>
        <w:rPr>
          <w:rFonts w:hint="eastAsia" w:ascii="宋体" w:hAnsi="宋体" w:cs="宋体"/>
          <w:b w:val="0"/>
          <w:bCs/>
          <w:color w:val="auto"/>
          <w:sz w:val="21"/>
          <w:szCs w:val="21"/>
          <w:highlight w:val="none"/>
          <w:lang w:eastAsia="zh-CN"/>
        </w:rPr>
        <w:t>特定资格证明材料</w:t>
      </w:r>
      <w:r>
        <w:rPr>
          <w:rFonts w:hint="eastAsia" w:hAnsi="宋体" w:cs="宋体"/>
          <w:b w:val="0"/>
          <w:bCs/>
          <w:color w:val="auto"/>
          <w:sz w:val="21"/>
          <w:szCs w:val="21"/>
          <w:highlight w:val="none"/>
          <w:lang w:eastAsia="zh-CN"/>
        </w:rPr>
        <w:t>：</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1</w:t>
      </w:r>
      <w:r>
        <w:rPr>
          <w:rFonts w:hint="eastAsia" w:hAnsi="宋体" w:cs="宋体"/>
          <w:color w:val="auto"/>
          <w:sz w:val="21"/>
          <w:szCs w:val="21"/>
          <w:highlight w:val="none"/>
          <w:lang w:eastAsia="zh-CN"/>
        </w:rPr>
        <w:t>）竞标人须具备市政公用工程施工总承包三级（含三级）以上资质以及有效的安全生产许可证，在人员、设备、资金等方面具备相应的施工能力</w:t>
      </w:r>
      <w:r>
        <w:rPr>
          <w:rFonts w:hint="eastAsia" w:hAnsi="宋体" w:cs="宋体"/>
          <w:color w:val="auto"/>
          <w:sz w:val="21"/>
          <w:szCs w:val="21"/>
          <w:highlight w:val="none"/>
          <w:lang w:val="en-US" w:eastAsia="zh-CN"/>
        </w:rPr>
        <w:t>。</w:t>
      </w:r>
      <w:r>
        <w:rPr>
          <w:rFonts w:hint="eastAsia" w:hAnsi="宋体" w:cs="宋体"/>
          <w:color w:val="auto"/>
          <w:kern w:val="0"/>
          <w:sz w:val="21"/>
          <w:szCs w:val="21"/>
          <w:highlight w:val="none"/>
          <w:lang w:val="en-US" w:eastAsia="zh-CN" w:bidi="ar-SA"/>
        </w:rPr>
        <w:t>（2）</w:t>
      </w:r>
      <w:r>
        <w:rPr>
          <w:rFonts w:hint="eastAsia" w:ascii="宋体" w:hAnsi="宋体" w:eastAsia="宋体" w:cs="宋体"/>
          <w:color w:val="auto"/>
          <w:sz w:val="21"/>
          <w:szCs w:val="21"/>
          <w:highlight w:val="none"/>
          <w:lang w:val="en-US" w:eastAsia="zh-CN"/>
        </w:rPr>
        <w:t>拟投入本工程的项目经理必须</w:t>
      </w:r>
      <w:r>
        <w:rPr>
          <w:rFonts w:hint="eastAsia" w:asciiTheme="minorEastAsia" w:hAnsiTheme="minorEastAsia" w:eastAsiaTheme="minorEastAsia" w:cstheme="minorEastAsia"/>
          <w:color w:val="auto"/>
          <w:sz w:val="21"/>
          <w:szCs w:val="21"/>
          <w:highlight w:val="none"/>
          <w:lang w:eastAsia="zh-CN"/>
        </w:rPr>
        <w:t>具备市政公用工程专业二级（含二级）以上注册建造师执业资格，且具备有效的安全生产考核合格证书（B类）</w:t>
      </w:r>
      <w:r>
        <w:rPr>
          <w:rFonts w:hint="eastAsia" w:hAnsi="宋体" w:cs="宋体"/>
          <w:color w:val="auto"/>
          <w:sz w:val="21"/>
          <w:szCs w:val="21"/>
          <w:highlight w:val="none"/>
        </w:rPr>
        <w:t>。</w:t>
      </w:r>
    </w:p>
    <w:p w14:paraId="21D7FD5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9</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供应商</w:t>
      </w:r>
      <w:r>
        <w:rPr>
          <w:rFonts w:hint="eastAsia" w:ascii="宋体" w:hAnsi="宋体" w:cs="宋体"/>
          <w:b w:val="0"/>
          <w:bCs/>
          <w:color w:val="auto"/>
          <w:szCs w:val="21"/>
          <w:highlight w:val="none"/>
        </w:rPr>
        <w:t>针对资格证明需要说明的其他证明文件和说明。(格式自拟)</w:t>
      </w:r>
    </w:p>
    <w:p w14:paraId="59060A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lang w:val="en-US" w:eastAsia="zh-CN"/>
        </w:rPr>
        <w:t>2</w:t>
      </w:r>
      <w:r>
        <w:rPr>
          <w:rFonts w:hint="eastAsia" w:ascii="宋体" w:hAnsi="宋体" w:cs="宋体"/>
          <w:b/>
          <w:bCs w:val="0"/>
          <w:color w:val="auto"/>
          <w:szCs w:val="21"/>
          <w:highlight w:val="none"/>
        </w:rPr>
        <w:t>.报价文件</w:t>
      </w:r>
    </w:p>
    <w:p w14:paraId="5863F8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(1)磋商函；</w:t>
      </w:r>
    </w:p>
    <w:p w14:paraId="691080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bCs w:val="0"/>
          <w:color w:val="auto"/>
          <w:szCs w:val="21"/>
          <w:highlight w:val="none"/>
          <w:lang w:eastAsia="zh-CN"/>
        </w:rPr>
      </w:pPr>
      <w:r>
        <w:rPr>
          <w:rFonts w:hint="eastAsia" w:ascii="宋体" w:hAnsi="宋体" w:cs="宋体"/>
          <w:color w:val="auto"/>
          <w:szCs w:val="21"/>
          <w:highlight w:val="none"/>
        </w:rPr>
        <w:t>▲</w:t>
      </w:r>
      <w:r>
        <w:rPr>
          <w:rFonts w:hint="eastAsia" w:ascii="宋体" w:hAnsi="宋体" w:cs="宋体"/>
          <w:b w:val="0"/>
          <w:bCs/>
          <w:color w:val="auto"/>
          <w:szCs w:val="21"/>
          <w:highlight w:val="none"/>
        </w:rPr>
        <w:t>(2)磋商函附录</w:t>
      </w:r>
      <w:r>
        <w:rPr>
          <w:rFonts w:hint="eastAsia" w:ascii="宋体" w:hAnsi="宋体" w:cs="宋体"/>
          <w:b/>
          <w:bCs w:val="0"/>
          <w:color w:val="auto"/>
          <w:szCs w:val="21"/>
          <w:highlight w:val="none"/>
          <w:lang w:eastAsia="zh-CN"/>
        </w:rPr>
        <w:t>；</w:t>
      </w:r>
    </w:p>
    <w:p w14:paraId="05BB57B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color w:val="auto"/>
          <w:szCs w:val="21"/>
          <w:highlight w:val="none"/>
          <w:lang w:eastAsia="zh-CN"/>
        </w:rPr>
      </w:pPr>
      <w:r>
        <w:rPr>
          <w:rFonts w:hint="eastAsia" w:ascii="宋体" w:hAnsi="宋体" w:cs="宋体"/>
          <w:color w:val="auto"/>
          <w:szCs w:val="21"/>
          <w:highlight w:val="none"/>
        </w:rPr>
        <w:t>▲</w:t>
      </w:r>
      <w:r>
        <w:rPr>
          <w:rFonts w:hint="eastAsia" w:ascii="宋体" w:hAnsi="宋体" w:cs="宋体"/>
          <w:b w:val="0"/>
          <w:bCs/>
          <w:color w:val="auto"/>
          <w:szCs w:val="21"/>
          <w:highlight w:val="none"/>
        </w:rPr>
        <w:t>(3)竞标报价表</w:t>
      </w:r>
      <w:r>
        <w:rPr>
          <w:rFonts w:hint="eastAsia" w:ascii="宋体" w:hAnsi="宋体" w:cs="宋体"/>
          <w:b w:val="0"/>
          <w:bCs/>
          <w:color w:val="auto"/>
          <w:szCs w:val="21"/>
          <w:highlight w:val="none"/>
          <w:lang w:eastAsia="zh-CN"/>
        </w:rPr>
        <w:t>；</w:t>
      </w:r>
    </w:p>
    <w:p w14:paraId="748CED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4</w:t>
      </w:r>
      <w:r>
        <w:rPr>
          <w:rFonts w:hint="eastAsia" w:ascii="宋体" w:hAnsi="宋体" w:cs="宋体"/>
          <w:b w:val="0"/>
          <w:bCs/>
          <w:color w:val="auto"/>
          <w:szCs w:val="21"/>
          <w:highlight w:val="none"/>
        </w:rPr>
        <w:t>)已标价工程量清单；</w:t>
      </w:r>
    </w:p>
    <w:p w14:paraId="4728A8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bCs w:val="0"/>
          <w:color w:val="auto"/>
          <w:szCs w:val="21"/>
          <w:highlight w:val="none"/>
        </w:rPr>
      </w:pP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5</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供应商</w:t>
      </w:r>
      <w:r>
        <w:rPr>
          <w:rFonts w:hint="eastAsia" w:ascii="宋体" w:hAnsi="宋体" w:cs="宋体"/>
          <w:b w:val="0"/>
          <w:bCs/>
          <w:color w:val="auto"/>
          <w:szCs w:val="21"/>
          <w:highlight w:val="none"/>
        </w:rPr>
        <w:t>针对报价需要说明的其他文件和说明(格式自拟)</w:t>
      </w:r>
      <w:r>
        <w:rPr>
          <w:rFonts w:hint="eastAsia" w:ascii="宋体" w:hAnsi="宋体" w:cs="宋体"/>
          <w:b w:val="0"/>
          <w:bCs/>
          <w:color w:val="auto"/>
          <w:szCs w:val="21"/>
          <w:highlight w:val="none"/>
          <w:lang w:eastAsia="zh-CN"/>
        </w:rPr>
        <w:t>。</w:t>
      </w:r>
    </w:p>
    <w:p w14:paraId="24652F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lang w:val="en-US" w:eastAsia="zh-CN"/>
        </w:rPr>
        <w:t>3</w:t>
      </w:r>
      <w:r>
        <w:rPr>
          <w:rFonts w:hint="eastAsia" w:ascii="宋体" w:hAnsi="宋体" w:cs="宋体"/>
          <w:b/>
          <w:bCs w:val="0"/>
          <w:color w:val="auto"/>
          <w:szCs w:val="21"/>
          <w:highlight w:val="none"/>
        </w:rPr>
        <w:t>.商务技术文件</w:t>
      </w:r>
    </w:p>
    <w:p w14:paraId="0A9555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(1)无串通竞标行为的承诺函（格式后附）；</w:t>
      </w:r>
    </w:p>
    <w:p w14:paraId="4F64FC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(2)法定代表人身份证明书及法定代表人有效身份证正反面复印件（格式后附）；</w:t>
      </w:r>
    </w:p>
    <w:p w14:paraId="3B213B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(3)授权委托书及委托代理人有效身份证正反面复印件（格式后附）；</w:t>
      </w:r>
      <w:r>
        <w:rPr>
          <w:rFonts w:hint="eastAsia" w:ascii="宋体" w:hAnsi="宋体" w:cs="宋体"/>
          <w:b/>
          <w:bCs w:val="0"/>
          <w:color w:val="auto"/>
          <w:szCs w:val="21"/>
          <w:highlight w:val="none"/>
        </w:rPr>
        <w:t>（委托时必须提供）</w:t>
      </w:r>
    </w:p>
    <w:p w14:paraId="3EE8249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bCs w:val="0"/>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4</w:t>
      </w:r>
      <w:r>
        <w:rPr>
          <w:rFonts w:hint="eastAsia" w:ascii="宋体" w:hAnsi="宋体" w:cs="宋体"/>
          <w:b w:val="0"/>
          <w:bCs/>
          <w:color w:val="auto"/>
          <w:szCs w:val="21"/>
          <w:highlight w:val="none"/>
        </w:rPr>
        <w:t>)施工组织设计；</w:t>
      </w:r>
    </w:p>
    <w:p w14:paraId="6E0970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5</w:t>
      </w:r>
      <w:r>
        <w:rPr>
          <w:rFonts w:hint="eastAsia" w:ascii="宋体" w:hAnsi="宋体" w:cs="宋体"/>
          <w:b w:val="0"/>
          <w:bCs/>
          <w:color w:val="auto"/>
          <w:szCs w:val="21"/>
          <w:highlight w:val="none"/>
        </w:rPr>
        <w:t>)项目管理机构配备情况表；</w:t>
      </w:r>
    </w:p>
    <w:p w14:paraId="41CFA3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6</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供应商</w:t>
      </w:r>
      <w:r>
        <w:rPr>
          <w:rFonts w:hint="eastAsia" w:ascii="宋体" w:hAnsi="宋体" w:cs="宋体"/>
          <w:b w:val="0"/>
          <w:bCs/>
          <w:color w:val="auto"/>
          <w:szCs w:val="21"/>
          <w:highlight w:val="none"/>
        </w:rPr>
        <w:t>针对商务技术需要说明的其他文件和说明(格式自拟) ；</w:t>
      </w:r>
    </w:p>
    <w:p w14:paraId="5666CDE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特别说明：</w:t>
      </w:r>
      <w:r>
        <w:rPr>
          <w:rFonts w:hint="eastAsia" w:ascii="宋体" w:hAnsi="宋体" w:cs="宋体"/>
          <w:b/>
          <w:bCs w:val="0"/>
          <w:color w:val="auto"/>
          <w:szCs w:val="21"/>
          <w:highlight w:val="none"/>
          <w:lang w:eastAsia="zh-CN"/>
        </w:rPr>
        <w:t>①</w:t>
      </w:r>
      <w:r>
        <w:rPr>
          <w:rFonts w:hint="eastAsia" w:ascii="宋体" w:hAnsi="宋体" w:cs="宋体"/>
          <w:b/>
          <w:bCs w:val="0"/>
          <w:color w:val="auto"/>
          <w:szCs w:val="21"/>
          <w:highlight w:val="none"/>
        </w:rPr>
        <w:t>电子磋商响应文件中所</w:t>
      </w:r>
      <w:r>
        <w:rPr>
          <w:rFonts w:hint="eastAsia" w:ascii="宋体" w:hAnsi="宋体" w:cs="宋体"/>
          <w:b/>
          <w:bCs w:val="0"/>
          <w:i w:val="0"/>
          <w:iCs w:val="0"/>
          <w:color w:val="auto"/>
          <w:szCs w:val="21"/>
          <w:highlight w:val="none"/>
        </w:rPr>
        <w:t>须加盖公章部分均采用CA签章</w:t>
      </w:r>
      <w:r>
        <w:rPr>
          <w:rFonts w:hint="eastAsia" w:ascii="宋体" w:hAnsi="宋体" w:cs="宋体"/>
          <w:b/>
          <w:bCs w:val="0"/>
          <w:color w:val="auto"/>
          <w:szCs w:val="21"/>
          <w:highlight w:val="none"/>
        </w:rPr>
        <w:t>。若竞争性磋商响应文件中有专门标注的某关联点，并要求供应商在电子投标系统中作出磋商响应的，如供应商未对关联点进行响应或者在响应文件其它内容进行描述，造成电子评审不能查询的责任由供应商自行承担。</w:t>
      </w:r>
    </w:p>
    <w:p w14:paraId="2FD0453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lang w:eastAsia="zh-CN"/>
        </w:rPr>
        <w:t>②采购文件要求法定代表人（负责人）或委托代理人签字的部分必须打印签字后扫描或拍照做成PDF格式上传，如供应商有广西政府采购云平台法定代表人私章CA证书或个人签名CA证书的也可直接使用，否则视为竞标无效</w:t>
      </w:r>
      <w:r>
        <w:rPr>
          <w:rFonts w:hint="eastAsia" w:ascii="宋体" w:hAnsi="宋体" w:cs="宋体"/>
          <w:b/>
          <w:bCs w:val="0"/>
          <w:color w:val="auto"/>
          <w:szCs w:val="21"/>
          <w:highlight w:val="none"/>
        </w:rPr>
        <w:t>。</w:t>
      </w:r>
    </w:p>
    <w:p w14:paraId="07580FF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lang w:eastAsia="zh-CN"/>
        </w:rPr>
        <w:t>③</w:t>
      </w:r>
      <w:r>
        <w:rPr>
          <w:rFonts w:hint="eastAsia" w:ascii="宋体" w:hAnsi="宋体" w:cs="宋体"/>
          <w:b/>
          <w:bCs w:val="0"/>
          <w:color w:val="auto"/>
          <w:szCs w:val="21"/>
          <w:highlight w:val="none"/>
        </w:rPr>
        <w:t>竞争性磋商采购文件要求提供的各种复印件，须加盖供应商CA签章，否则其磋商无效。</w:t>
      </w:r>
    </w:p>
    <w:p w14:paraId="2C8888F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9.7 响应文件有效期：见</w:t>
      </w:r>
      <w:r>
        <w:rPr>
          <w:rFonts w:hint="eastAsia" w:ascii="宋体" w:hAnsi="宋体" w:cs="宋体"/>
          <w:b w:val="0"/>
          <w:bCs/>
          <w:color w:val="auto"/>
          <w:szCs w:val="21"/>
          <w:highlight w:val="none"/>
          <w:lang w:eastAsia="zh-CN"/>
        </w:rPr>
        <w:t>供应商</w:t>
      </w:r>
      <w:r>
        <w:rPr>
          <w:rFonts w:hint="eastAsia" w:ascii="宋体" w:hAnsi="宋体" w:cs="宋体"/>
          <w:b w:val="0"/>
          <w:bCs/>
          <w:color w:val="auto"/>
          <w:szCs w:val="21"/>
          <w:highlight w:val="none"/>
        </w:rPr>
        <w:t>须知前附表。</w:t>
      </w:r>
    </w:p>
    <w:p w14:paraId="72E081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9.8 磋商保证金：见</w:t>
      </w:r>
      <w:r>
        <w:rPr>
          <w:rFonts w:hint="eastAsia" w:ascii="宋体" w:hAnsi="宋体" w:cs="宋体"/>
          <w:b w:val="0"/>
          <w:bCs/>
          <w:color w:val="auto"/>
          <w:szCs w:val="21"/>
          <w:highlight w:val="none"/>
          <w:lang w:eastAsia="zh-CN"/>
        </w:rPr>
        <w:t>供应商</w:t>
      </w:r>
      <w:r>
        <w:rPr>
          <w:rFonts w:hint="eastAsia" w:ascii="宋体" w:hAnsi="宋体" w:cs="宋体"/>
          <w:b w:val="0"/>
          <w:bCs/>
          <w:color w:val="auto"/>
          <w:szCs w:val="21"/>
          <w:highlight w:val="none"/>
        </w:rPr>
        <w:t>须知前附表。</w:t>
      </w:r>
    </w:p>
    <w:p w14:paraId="2988ADE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10. 计量单位</w:t>
      </w:r>
    </w:p>
    <w:p w14:paraId="2AAC5F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10.1 磋商文件已有明确规定的，使用磋商文件规定的计量单位；磋商文件没有规定的，应采用</w:t>
      </w:r>
      <w:r>
        <w:rPr>
          <w:rFonts w:hint="eastAsia" w:ascii="宋体" w:hAnsi="宋体" w:cs="宋体"/>
          <w:b w:val="0"/>
          <w:bCs/>
          <w:color w:val="auto"/>
          <w:szCs w:val="21"/>
          <w:highlight w:val="none"/>
          <w:lang w:eastAsia="zh-CN"/>
        </w:rPr>
        <w:t>国家</w:t>
      </w:r>
      <w:r>
        <w:rPr>
          <w:rFonts w:hint="eastAsia" w:ascii="宋体" w:hAnsi="宋体" w:cs="宋体"/>
          <w:b w:val="0"/>
          <w:bCs/>
          <w:color w:val="auto"/>
          <w:szCs w:val="21"/>
          <w:highlight w:val="none"/>
        </w:rPr>
        <w:t>法定计量单位，货币种类为人民币，否则视同未响应。</w:t>
      </w:r>
    </w:p>
    <w:p w14:paraId="6D8761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三、磋商报价及采购预算</w:t>
      </w:r>
    </w:p>
    <w:p w14:paraId="1C59DE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11.1对于本文件中未列明，而供应商认为必需的费用也需列入总报价。在合同实施时，采购人将不予支付成交供应商没有列入的项目费用，并认为此项目的费用已包括在总报价中。</w:t>
      </w:r>
    </w:p>
    <w:p w14:paraId="66BF26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11.2供应商必须就所磋商的采购项目的全部内容作完整唯一报价，漏项报价的或有选择的或有条件的报价，其竞标将视为无效。</w:t>
      </w:r>
    </w:p>
    <w:p w14:paraId="05597F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11.3本项目磋商报价费用指按照采购需求完成该项目的所有服务工作的费用总和。</w:t>
      </w:r>
    </w:p>
    <w:p w14:paraId="344B0A4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11.4供应商应在磋商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除上述原因以外，如果因供应商原因引起的报价失误，并在磋商时被接受，其后果由供应商自负。</w:t>
      </w:r>
    </w:p>
    <w:p w14:paraId="76A541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四、响应文件的份数、封装和递交</w:t>
      </w:r>
    </w:p>
    <w:p w14:paraId="73C5C5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12. 竞争性磋商响应文件的份数：电子</w:t>
      </w:r>
      <w:r>
        <w:rPr>
          <w:rFonts w:hint="eastAsia" w:ascii="宋体" w:hAnsi="宋体" w:cs="宋体"/>
          <w:b w:val="0"/>
          <w:bCs/>
          <w:color w:val="auto"/>
          <w:szCs w:val="21"/>
          <w:highlight w:val="none"/>
          <w:lang w:eastAsia="zh-CN"/>
        </w:rPr>
        <w:t>加密</w:t>
      </w:r>
      <w:r>
        <w:rPr>
          <w:rFonts w:hint="eastAsia" w:ascii="宋体" w:hAnsi="宋体" w:cs="宋体"/>
          <w:b w:val="0"/>
          <w:bCs/>
          <w:color w:val="auto"/>
          <w:szCs w:val="21"/>
          <w:highlight w:val="none"/>
        </w:rPr>
        <w:t>响应文件一份</w:t>
      </w:r>
      <w:r>
        <w:rPr>
          <w:rFonts w:hint="eastAsia" w:ascii="宋体" w:hAnsi="宋体" w:cs="宋体"/>
          <w:b w:val="0"/>
          <w:bCs/>
          <w:color w:val="auto"/>
          <w:szCs w:val="21"/>
          <w:highlight w:val="none"/>
          <w:lang w:eastAsia="zh-CN"/>
        </w:rPr>
        <w:t>；</w:t>
      </w:r>
      <w:r>
        <w:rPr>
          <w:color w:val="auto"/>
          <w:spacing w:val="-3"/>
          <w:sz w:val="21"/>
          <w:highlight w:val="none"/>
        </w:rPr>
        <w:t>电子备份响应文件</w:t>
      </w:r>
      <w:r>
        <w:rPr>
          <w:rFonts w:hint="eastAsia"/>
          <w:color w:val="auto"/>
          <w:spacing w:val="-3"/>
          <w:sz w:val="21"/>
          <w:highlight w:val="none"/>
          <w:lang w:eastAsia="zh-CN"/>
        </w:rPr>
        <w:t>一份</w:t>
      </w:r>
      <w:r>
        <w:rPr>
          <w:rFonts w:hint="eastAsia" w:ascii="宋体" w:hAnsi="宋体" w:cs="宋体"/>
          <w:b w:val="0"/>
          <w:bCs/>
          <w:color w:val="auto"/>
          <w:szCs w:val="21"/>
          <w:highlight w:val="none"/>
        </w:rPr>
        <w:t>。</w:t>
      </w:r>
    </w:p>
    <w:p w14:paraId="28510AA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12.1 电子磋商响应文件中须加盖供应商公章位置均采用CA签章，并根据“政府采购项目电子交易管理操作指南-供应商”及本竞争性磋商采购文件规定的格式和顺序编制电子磋商响 应文件并进行关联定位，以便磋商小组在评审时，点击评分项可直接定位到该评分项内容。如对竞争性磋商采购文件的某项要求，供应商的电子磋商响应文件未能关联定位提供相应的内容与其对应，则磋商小组在评审时如做出对供应商不利的评审由供应商自行承担。电子磋商响应文件如内容不完整、编排混乱导致磋商响应文件被误读、漏读，或者在按采购文件规定的部 位查找不到相关内容的，由供应商自行承担。</w:t>
      </w:r>
    </w:p>
    <w:p w14:paraId="628F6E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13. 响应文件的递交</w:t>
      </w:r>
    </w:p>
    <w:p w14:paraId="1E653A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13.1 所有竞争性响应文件应于“第二章 磋商须知及前附表”中规定的截止时间前递交到规定地点。</w:t>
      </w:r>
    </w:p>
    <w:p w14:paraId="4D877D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供应商进行电子投标应安装客户端软件，并按照采购文件和电子交易平台的要求编制并加密响应文件。供应商未按规定加密的磋商响应文件，电子交易平台将拒收。供应商应当在递交截止时间前完成磋商响应文件的传输递交，并可以补充、修改或者撤回磋商响应文件。补充或 者修改磋商响应文件的，应当先行撤回原文件，补充、修改后重新传输递交。递交截止时间前未完成传输的，视为撤回磋商响应文件。递交截止时间后递交的磋商响应文件，电子交易平台将拒收。</w:t>
      </w:r>
    </w:p>
    <w:p w14:paraId="590BE9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13.2 迟交的响应文件</w:t>
      </w:r>
    </w:p>
    <w:p w14:paraId="2E842C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采购人或采购代理人按照规定有权拒绝或原封退回在其规定的递交响应文件截止时间之后收到的任何响应文件。</w:t>
      </w:r>
    </w:p>
    <w:p w14:paraId="428497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五、竞争性磋商 (简称磋商) 与评审</w:t>
      </w:r>
    </w:p>
    <w:p w14:paraId="7B1E13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14.磋商小组成立及响应文件的开启</w:t>
      </w:r>
    </w:p>
    <w:p w14:paraId="58815C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14.1 磋商小组由采购人代表和评审专家共 3 人以上单数组成，具体人数见“供应商须知前附表”，其中评审专家人数不得少于磋商小组成员总数的 2/3。采购人代表不得以评审专家身份参加本部门或本单位采购项目的评审。采购代理机构人员不得参加本机构代理的采购项目的评审。达到公开招标数额标准的货物或者服务采购项目，或者达到公开招标规模标准的政府 采购工程，经批准采用竞争性磋商方式采购的，磋商小组由 5 人以上单数组成。</w:t>
      </w:r>
    </w:p>
    <w:p w14:paraId="08DAD6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14.2 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 强的采购项目，评审专家中应当包含 1 名法律专家。</w:t>
      </w:r>
    </w:p>
    <w:p w14:paraId="1504B58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14.3 响应文件的开启：具体详见“供应商须知前附表”。</w:t>
      </w:r>
    </w:p>
    <w:p w14:paraId="448C8B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15.响应文件评审程序</w:t>
      </w:r>
    </w:p>
    <w:p w14:paraId="472F0C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15.1 资格审查</w:t>
      </w:r>
    </w:p>
    <w:p w14:paraId="06B028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15.1.1 响应文件开启后， 由磋商小组依法对供应商的资格证明文件进行审查。</w:t>
      </w:r>
    </w:p>
    <w:p w14:paraId="680688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15.1.2 通过资格审查的合格供应商不足3 家的，不得进入符合性审查环节，采购人或采购代理机构应当重新开展采购活动。</w:t>
      </w:r>
    </w:p>
    <w:p w14:paraId="5C9414E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 符合性审查</w:t>
      </w:r>
    </w:p>
    <w:p w14:paraId="39A75A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15.2.1 由磋商小组通过资格审查的合格供应商的响应文件的竞标报价、商务、技术等实质性要求进行符合性审查，以确定其是否满足竞争性磋商文件的实质性要求。</w:t>
      </w:r>
    </w:p>
    <w:p w14:paraId="78FF6F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15.2.2 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47D03F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15.2.3 磋商小组要求供应商澄清、说明或者更正响应文件应当要求供应商在合理时间内通过</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 xml:space="preserve"> (</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的方式形式作出。供应商的澄清、说明或者更正 必须通过</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以书面形式按照磋商小组的要求作出明确的澄清、说明或者更正，未按磋 商小组的要求作出明确澄清、说明或者更正的供应商的响应文件将按照有利于采购人的原则由 磋商小组进行判定。供应商的澄清、说明或者更正必须由法定代表人或者其委托代理人签字或者加盖 CA 签章。 由委托代理人签字的，若委托代理人不是响应文件中授权的委托代理人时， 必须同时出示有效的法定代表人授权委托书原件。供应商为自然人的，必须由本人签字并附身份证明。</w:t>
      </w:r>
    </w:p>
    <w:p w14:paraId="3C1674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15.2.4 首次响应文件中报价出现前后不一致的，按照下列规定修正：</w:t>
      </w:r>
    </w:p>
    <w:p w14:paraId="5CFB69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响应文件中报价表内容与响应文件中相应内容不一致的，以报价表为准；</w:t>
      </w:r>
    </w:p>
    <w:p w14:paraId="5F5158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大写金额和小写金额不一致的，以大写金额为准；</w:t>
      </w:r>
    </w:p>
    <w:p w14:paraId="36408C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(3) 单价金额小数点或者百分比有明显错位的，以报价表的总价为准，并修改单价；</w:t>
      </w:r>
    </w:p>
    <w:p w14:paraId="00E324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(4) 总价金额与按单价汇总金额不一致的，以单价金额计算结果为准。</w:t>
      </w:r>
    </w:p>
    <w:p w14:paraId="080895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同时出现两种以上不一致的，按照以上(1)- (4) 规定的顺序逐条进行修正。修正后的报价经供应商确认后产生约束力，供应商不确认的，其响应文件按无效响应处理。</w:t>
      </w:r>
    </w:p>
    <w:p w14:paraId="71E6C0C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15.2.5 磋商小组成员应当按照客观、公正、审慎的原则，根据第四章“评审程序、评审方法和评审标准”进行独立评审。磋商小组对响应文件进行评审，未实质性响应竞争性磋商文 件的响应文件按无效响应处理， 由磋商小组告知提交响应文件的供应商。</w:t>
      </w:r>
    </w:p>
    <w:p w14:paraId="768978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15.2.6 通过符合性审查的合格供应商不足3家的，不得进入磋商环节，采购人或采购代理机构应当重新开展采购活动。</w:t>
      </w:r>
    </w:p>
    <w:p w14:paraId="4243982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16.磋商</w:t>
      </w:r>
    </w:p>
    <w:p w14:paraId="195598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16.1 磋商小组按照“供应商须知前附表”确定的顺序，集中与单一供应商分别进行磋商，并予所有参加磋商的供应商平等的磋商机会。符合磋商资格的供应商必须实时关注</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 xml:space="preserve"> </w:t>
      </w:r>
      <w:r>
        <w:rPr>
          <w:rFonts w:hint="eastAsia" w:ascii="宋体" w:hAnsi="宋体" w:cs="宋体"/>
          <w:b w:val="0"/>
          <w:bCs/>
          <w:color w:val="auto"/>
          <w:szCs w:val="21"/>
          <w:highlight w:val="none"/>
        </w:rPr>
        <w:tab/>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开标信息，在接到磋商通知后规定时间内参加磋商，未在规定时间内参加磋商的视同放弃参加磋商权利，其响应文件按无效响应处理。</w:t>
      </w:r>
    </w:p>
    <w:p w14:paraId="13B96B9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16.2 在磋商过程中，磋商小组可以根据磋商文件和磋商情况实质性变动采购需求中的技术、服务要求以及合同草案条款，但不得变动磋商文件中的其他内容。实质性变动的内容，须经采购人代表确认。可能实质性变动的内容详见“供应商须知前附表”。</w:t>
      </w:r>
    </w:p>
    <w:p w14:paraId="2F0515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16.3 对竞争性磋商文件作出的实质性变动是竞争性磋商文件的有效组成部分， 由磋商小组及时以书面形式同时通知所有参加磋商的供应商。</w:t>
      </w:r>
    </w:p>
    <w:p w14:paraId="7AD9B1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16.4 供应商必须按照磋商文件的变动情况和磋商小组的要求重新提交响应文件，并由其法定代表人或者授权代表签字或者加盖 CA 签章在</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 xml:space="preserve"> (</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提交。由委托代理人签字的，若委托代理人不是响应文件中授权的委托代理人时，必须同时出示有效的法定代表人授权委托书原件。供应商为自然人的，必须由本人签字并附身份证明。参加磋商的供应商未在规定时间内重新提交响应文件的，视同退出磋商。</w:t>
      </w:r>
    </w:p>
    <w:p w14:paraId="08E16F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16.5 磋商中，磋商的任何一方不得透露与磋商有关的其他供应商的技术资料、价格和其他信息。</w:t>
      </w:r>
    </w:p>
    <w:p w14:paraId="234444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16.6 采购代理机构对磋商过程和重要磋商内容进行记录，磋商双方应在记录上签字确认。</w:t>
      </w:r>
    </w:p>
    <w:p w14:paraId="2A74E0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16.7 磋商过程中重新提交的响应文件，供应商可以在开启前补充、修改。</w:t>
      </w:r>
    </w:p>
    <w:p w14:paraId="3DE5A6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16.8 根据《财政部关于政府采购竞争性磋商采购方式管理暂行办法有关问题的补充通知》 (财库〔2015〕124 号) 的规定，采用竞争性磋商采购方式采购的政府购买服务项目(含政府和社会资本合作项目) ，在采购过程中符合要求的供应商 (社会资本)只有 2 家的，竞争性磋商采购活动可以继续进行。采购过程中符合要求的供应商(社会资本)只有 1 家的，采购人(项目实施机构)或者采购代理机构应当终止竞争性磋商采购活动，发布项目终止公告并说明原因，重新开展采购活动。</w:t>
      </w:r>
    </w:p>
    <w:p w14:paraId="385BEE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16.9 对磋商过程提交的响应文件进行有效性、完整性和响应程度审查，通过审查的合格供应商不足 3 家的，除本须知正文第 16.8 条的情形外，采购人或采购代理机构应当重新开展采购活动。</w:t>
      </w:r>
    </w:p>
    <w:p w14:paraId="0968EE2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16.10 本项目所有响应文件的首次报价及所有磋商报价均不公布。最后磋商结束后，磋商小组不得再与供应商进行任何形式的商谈。</w:t>
      </w:r>
    </w:p>
    <w:p w14:paraId="6D6D60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17.最后报价</w:t>
      </w:r>
    </w:p>
    <w:p w14:paraId="17EB22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17.1 磋商文件能够详细列明采购标的的技术、服务要求的，磋商结束后，由磋商小组要求所有继续参加磋商的供应商在规定时间内在</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 xml:space="preserve"> (</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提交最后报价，提交最后报价的供应商不得少于 3 家，除本章第 4.3 条外，否则必须重新采购。</w:t>
      </w:r>
    </w:p>
    <w:p w14:paraId="7B1A23A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17.2 磋商文件不能详细列明采购标的的技术、服务要求，需经磋商由供应商提供最后设计方案或者解决方案的，磋商结束后， 由磋商小组按照少数服从多数的原则投票推荐 3 家以上供应商的设计方案或者解决方案，并要求其在规定时间内在</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提交最后报价。</w:t>
      </w:r>
    </w:p>
    <w:p w14:paraId="5AAD5DF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①最后报价与首次报价相比无调整的：供应商提交的最后报价只须注明与首次报价相同。</w:t>
      </w:r>
    </w:p>
    <w:p w14:paraId="7E2E02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②最后报价与首次报价相比有调整的：供应商提交的最后报价必须包含已标价的工程量清单，即最后报价是工程量清单全部工作内容的价格体现，具体包括供应商部分 (分部分项工程量清单费用、措施项目清单费用、规费、税金、其它项目) 和采购人部分 (暂列金、材料购置费) (如有) 等完成本工程并经验收合格至达到质量保修期限所需的费用、合理利润及风险。如磋商文件或磋商程中明确供应商应提供技术服务及其它服务的 (如检测费、验收发生的费 用)，相应费用也应包括在最后报价中。最后报价不允许采用汇总后优惠、打折的形式，否则 其报价无效并作无效响应处理。供应商在报价时可只报总价，但必须将包含已标价工程量清单 的最后报价在规定时间内在</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 xml:space="preserve"> (</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提交，逾期则最后报价无效，以首次报价为准。</w:t>
      </w:r>
    </w:p>
    <w:p w14:paraId="1E1A64A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17.3 最后报价是供应商响应文件的有效组成部分。符合《政府采购竞争性磋商采购方式管理暂行办法》 (财库〔2014〕214 号) 第三条第四项“市场竞争不充分的科研项目，以及需要扶持的科技成果转化项目”的，提交最后报价的供应商可以为 2 家。</w:t>
      </w:r>
    </w:p>
    <w:p w14:paraId="335F4BF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17.4 已经提交响应文件的供应商，在提交最后报价之前，可以根据磋商情况退出磋商，退出磋商的供应商的响应文件按无效响应处理。采购人、采购代理机构将退还退出磋商的供应商的保证金。</w:t>
      </w:r>
    </w:p>
    <w:p w14:paraId="494483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17.5 供应商未在规定时间内提交最后报价的，视同退出磋商。</w:t>
      </w:r>
    </w:p>
    <w:p w14:paraId="0411B9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17.6 磋商小组收齐某一分标最后报价后统一开启，磋商小组对最后报价进行有效性、完整性和响应程度的审查。</w:t>
      </w:r>
    </w:p>
    <w:p w14:paraId="5F1958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17.7 响应文件最后报价出现前后不一致的，按照本正文第 25.2.4 条的规定修正。</w:t>
      </w:r>
    </w:p>
    <w:p w14:paraId="085085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17.8 修正后的报价出现下列情形的，按无效响应处理：</w:t>
      </w:r>
    </w:p>
    <w:p w14:paraId="79BDC9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供应商不确认的；</w:t>
      </w:r>
    </w:p>
    <w:p w14:paraId="45AD78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经供应商确认修正后的竞标报价 (包含首次报价、最后报价) 超过所竞标规定的采购预算金额或者最高限价的 (如本项目公布了最高限价) ；</w:t>
      </w:r>
    </w:p>
    <w:p w14:paraId="6217AD4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(3) 经供应商确认修正后的竞标报价 (包含首次报价、最后报价) 超过分项采购预算金额或者最高限价的 (如本项目公布了最高限价) 。</w:t>
      </w:r>
    </w:p>
    <w:p w14:paraId="3E9823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17.9 经供应商确认修正后的最后报价作为评审及签订合同的依据。</w:t>
      </w:r>
    </w:p>
    <w:p w14:paraId="17860F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 xml:space="preserve">17.10 最后报价结束后，磋商小组不得再与供应商进行任何形式的商谈。 </w:t>
      </w:r>
    </w:p>
    <w:p w14:paraId="6B684D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18.比较与评价</w:t>
      </w:r>
    </w:p>
    <w:p w14:paraId="226B97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18.1 评审方法：综合评分法。</w:t>
      </w:r>
    </w:p>
    <w:p w14:paraId="473E69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18.2 经磋商确定最终采购需求和提交最后报价的供应商后， 由磋商小组采用综合评分法对提交最后报价的供应商的响应文件和最后报价进行综合评分。详见第四章“评审程序、评审方法和评审标准”。</w:t>
      </w:r>
    </w:p>
    <w:p w14:paraId="1EE957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18.3 评审时，磋商小组各成员应当独立对每个有效的响应文件进行评价、打分，然后汇总每个供应商每项评分因素的得分。</w:t>
      </w:r>
    </w:p>
    <w:p w14:paraId="7077AD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磋商小组按照竞争性磋商文件中规定的评审标准计算各供应商的报价得分。项目评审过程中，不得去掉最后报价中的最高报价和最低报价。</w:t>
      </w:r>
    </w:p>
    <w:p w14:paraId="43096D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各供应商的得分为磋商小组所有成员的有效评分的算术平均数。</w:t>
      </w:r>
    </w:p>
    <w:p w14:paraId="5480F6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18.4 评审价为供应商的最后报价进行政策性扣除后的价格，评审价只是作为评审时使用。最终成交供应商的成交金额等于最后报价 (如有修正，以确认修正后的最后报价为准) 。</w:t>
      </w:r>
    </w:p>
    <w:p w14:paraId="665C15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18.5 由磋商小组根据综合评分情况，按照评审得分由高到低顺序推荐 3 名以上成交候选供应商，并编写评审报告。符合本须知正文第 17.3 条情形的，可以推荐 2 家成交候选供应商。评审得分相同的，按照最后报价由低到高的顺序推荐。评审得分且最后报价相同的，按照技术 指标优劣顺序推荐。</w:t>
      </w:r>
    </w:p>
    <w:p w14:paraId="6748E54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 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88981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特别说明：政采云公司如对电子化磋商及评审程序有调整的，按调整后的程序操作。</w:t>
      </w:r>
    </w:p>
    <w:p w14:paraId="2A61E5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 采购过程中出现以下情形，导致电子交易平台无法正常运行，或者无法保证电子交 易的公平、公正和安全时，采购组织机构可中止电子交易活动：</w:t>
      </w:r>
    </w:p>
    <w:p w14:paraId="057232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18.6.1 电子交易平台发生故障而无法登录访问的；</w:t>
      </w:r>
    </w:p>
    <w:p w14:paraId="3FBF28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18.6.2 电子交易平台应用或数据库出现错误，不能进行正常操作的；</w:t>
      </w:r>
    </w:p>
    <w:p w14:paraId="29B273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18.6.3 电子交易平台发现严重安全漏洞，有潜在泄密危险的；</w:t>
      </w:r>
    </w:p>
    <w:p w14:paraId="723596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18.6.4 病毒发作导致不能进行正常操作的；</w:t>
      </w:r>
    </w:p>
    <w:p w14:paraId="5CE4EB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18.6.5 其他无法保证电子交易的公平、公正和安全的情况。</w:t>
      </w:r>
    </w:p>
    <w:p w14:paraId="67B74B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18.6.6 出现前款规定情形，不影响采购公平、公正性的，采购组织机构可以待上述情形消除后继续组织电子交易活动，也可以决定某些环节以纸质形式进行；影响或可能影响采购公平、公正性的，应当重新采购。</w:t>
      </w:r>
    </w:p>
    <w:p w14:paraId="41C9E2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六、确定成交供应商办法及结果公告</w:t>
      </w:r>
    </w:p>
    <w:p w14:paraId="4C50FCB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19.1 采购代理机构应当在评审结束后 2 个工作日内将评审报告送采购人确认。采购人应当在收到评审报告后 2 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2E5A444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19.2 采购代理机构应当在成交供应商确定后 2 个工作日内，在省级以上财政部门指定的媒体上公告成交结果，同时向成交供应商发出成交通知书。采购人或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争性磋商文件一并保存。</w:t>
      </w:r>
    </w:p>
    <w:p w14:paraId="155B1F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19.3 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3B27A22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19.4 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05D3D2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七、履约保证金</w:t>
      </w:r>
    </w:p>
    <w:p w14:paraId="069055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20.履约保证金：</w:t>
      </w:r>
      <w:r>
        <w:rPr>
          <w:rFonts w:hint="eastAsia" w:ascii="宋体" w:hAnsi="宋体" w:cs="宋体"/>
          <w:b w:val="0"/>
          <w:bCs/>
          <w:color w:val="auto"/>
          <w:szCs w:val="21"/>
          <w:highlight w:val="none"/>
          <w:lang w:val="en-US" w:eastAsia="zh-CN"/>
        </w:rPr>
        <w:t>详见须知前附表</w:t>
      </w:r>
      <w:r>
        <w:rPr>
          <w:rFonts w:hint="eastAsia" w:ascii="宋体" w:hAnsi="宋体" w:cs="宋体"/>
          <w:b w:val="0"/>
          <w:bCs/>
          <w:color w:val="auto"/>
          <w:szCs w:val="21"/>
          <w:highlight w:val="none"/>
        </w:rPr>
        <w:t>。</w:t>
      </w:r>
    </w:p>
    <w:p w14:paraId="6D21D8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八、签订合同</w:t>
      </w:r>
    </w:p>
    <w:p w14:paraId="50FA529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ascii="宋体" w:hAnsi="宋体" w:cs="宋体"/>
          <w:b w:val="0"/>
          <w:bCs/>
          <w:color w:val="auto"/>
          <w:szCs w:val="21"/>
          <w:highlight w:val="none"/>
        </w:rPr>
        <w:t>21.1 成交供应商在收到成交通知书后，按规定与采购人签订采购合同。采购代理机构将在评标结束 2个工作日内将评标结果送采购人，采购人在2个工作日内按照采购结果报告中推荐的排名第一的成交候选供应商为成交人。对中标、成交结果公告无异议的项目在中标、成交通知书发出之日起25日内和中标、成交供应商签订政府采购合同，倡导各采购人尽量压缩合同签订时间。</w:t>
      </w:r>
    </w:p>
    <w:p w14:paraId="440BB4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21.2 成交供应商拒绝签订采购合同的，采购人可以按本项目确定成交供应商办法确定其他供应商作为成交供应商并签订采购合同，也可以重新开展采购活动。拒绝签订采购合同的成交供应商不得参加对该项目重新开展的采购活动。</w:t>
      </w:r>
    </w:p>
    <w:p w14:paraId="2197EB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九、政府采购合同公告</w:t>
      </w:r>
    </w:p>
    <w:p w14:paraId="4772A9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22.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6AFE27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十、适用法律</w:t>
      </w:r>
    </w:p>
    <w:p w14:paraId="49D88DB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distribute"/>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23.本项目适用于《中华人民共和国政府采购法》《中华人民共和国政府采购法实施条例》</w:t>
      </w:r>
    </w:p>
    <w:p w14:paraId="64BFFD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《政府采购竞争性磋商采购方式管理暂行办法》《财政部关于政府采购竞争性磋商采购方式管理暂行办法有关问题的补充通知》及本项目本级和上级财政部门政府采购有关规定。</w:t>
      </w:r>
    </w:p>
    <w:p w14:paraId="732EB7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十一、其他事项</w:t>
      </w:r>
    </w:p>
    <w:p w14:paraId="6AADDE3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24.1 招标代理服务费</w:t>
      </w:r>
    </w:p>
    <w:p w14:paraId="3742D9E5">
      <w:pPr>
        <w:pStyle w:val="13"/>
        <w:keepNext w:val="0"/>
        <w:keepLines w:val="0"/>
        <w:pageBreakBefore w:val="0"/>
        <w:widowControl w:val="0"/>
        <w:kinsoku/>
        <w:wordWrap/>
        <w:overflowPunct/>
        <w:topLinePunct w:val="0"/>
        <w:autoSpaceDE/>
        <w:autoSpaceDN/>
        <w:bidi w:val="0"/>
        <w:adjustRightInd/>
        <w:snapToGrid w:val="0"/>
        <w:spacing w:line="400" w:lineRule="exact"/>
        <w:ind w:left="0"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本项目的招标代理服务费</w:t>
      </w:r>
      <w:r>
        <w:rPr>
          <w:rFonts w:hint="eastAsia" w:ascii="宋体" w:hAnsi="宋体" w:cs="宋体"/>
          <w:b w:val="0"/>
          <w:bCs/>
          <w:color w:val="auto"/>
          <w:szCs w:val="21"/>
          <w:highlight w:val="none"/>
          <w:lang w:val="en-US" w:eastAsia="zh-CN"/>
        </w:rPr>
        <w:t>按国家计委计价格[2002]1980号和发改办[2003]857号文规定</w:t>
      </w:r>
      <w:r>
        <w:rPr>
          <w:rFonts w:hint="eastAsia" w:hAnsi="宋体" w:cs="宋体"/>
          <w:b w:val="0"/>
          <w:bCs/>
          <w:color w:val="auto"/>
          <w:szCs w:val="21"/>
          <w:highlight w:val="none"/>
          <w:lang w:val="en-US" w:eastAsia="zh-CN"/>
        </w:rPr>
        <w:t>标准</w:t>
      </w:r>
      <w:r>
        <w:rPr>
          <w:rFonts w:hint="eastAsia" w:ascii="宋体" w:hAnsi="宋体" w:cs="宋体"/>
          <w:b w:val="0"/>
          <w:bCs/>
          <w:color w:val="auto"/>
          <w:szCs w:val="21"/>
          <w:highlight w:val="none"/>
          <w:lang w:val="en-US" w:eastAsia="zh-CN"/>
        </w:rPr>
        <w:t>收</w:t>
      </w:r>
      <w:r>
        <w:rPr>
          <w:rFonts w:hint="eastAsia" w:ascii="宋体" w:hAnsi="宋体" w:cs="宋体"/>
          <w:b w:val="0"/>
          <w:bCs/>
          <w:color w:val="auto"/>
          <w:szCs w:val="21"/>
          <w:highlight w:val="none"/>
          <w:u w:val="none"/>
          <w:lang w:val="en-US" w:eastAsia="zh-CN"/>
        </w:rPr>
        <w:t>取</w:t>
      </w:r>
      <w:r>
        <w:rPr>
          <w:rFonts w:hint="eastAsia" w:hAnsi="宋体" w:cs="宋体"/>
          <w:b w:val="0"/>
          <w:bCs/>
          <w:color w:val="auto"/>
          <w:szCs w:val="21"/>
          <w:highlight w:val="none"/>
          <w:u w:val="none"/>
          <w:lang w:val="en-US" w:eastAsia="zh-CN"/>
        </w:rPr>
        <w:t>后</w:t>
      </w:r>
      <w:r>
        <w:rPr>
          <w:rFonts w:hint="eastAsia" w:ascii="宋体" w:hAnsi="宋体" w:eastAsia="宋体" w:cs="宋体"/>
          <w:color w:val="auto"/>
          <w:sz w:val="21"/>
          <w:szCs w:val="21"/>
          <w:u w:val="none"/>
        </w:rPr>
        <w:t>再下浮</w:t>
      </w:r>
      <w:r>
        <w:rPr>
          <w:rFonts w:hint="eastAsia" w:hAnsi="宋体" w:cs="宋体"/>
          <w:color w:val="auto"/>
          <w:sz w:val="21"/>
          <w:szCs w:val="21"/>
          <w:u w:val="none"/>
          <w:lang w:val="en-US" w:eastAsia="zh-CN"/>
        </w:rPr>
        <w:t>1</w:t>
      </w:r>
      <w:r>
        <w:rPr>
          <w:rFonts w:hint="eastAsia" w:ascii="宋体" w:hAnsi="宋体" w:eastAsia="宋体" w:cs="宋体"/>
          <w:color w:val="auto"/>
          <w:sz w:val="21"/>
          <w:szCs w:val="21"/>
          <w:u w:val="none"/>
        </w:rPr>
        <w:t>0%</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由招标代理机构向成交供应商收取。即按成交金额100万元以下为1.0%，100-500万元为0.7%，并且按差额定率累进法计算。</w:t>
      </w:r>
      <w:r>
        <w:rPr>
          <w:rFonts w:hint="eastAsia" w:ascii="宋体" w:hAnsi="宋体" w:cs="宋体"/>
          <w:b w:val="0"/>
          <w:bCs/>
          <w:color w:val="auto"/>
          <w:szCs w:val="21"/>
          <w:highlight w:val="none"/>
        </w:rPr>
        <w:t>由成交人领取成交通知书前，向代理机构一次性付清。</w:t>
      </w:r>
    </w:p>
    <w:p w14:paraId="36A4C37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代理服务费专用</w:t>
      </w:r>
      <w:r>
        <w:rPr>
          <w:rFonts w:hint="eastAsia" w:ascii="宋体" w:hAnsi="宋体" w:cs="宋体"/>
          <w:b w:val="0"/>
          <w:bCs/>
          <w:color w:val="auto"/>
          <w:szCs w:val="21"/>
          <w:highlight w:val="none"/>
          <w:lang w:eastAsia="zh-CN"/>
        </w:rPr>
        <w:t>账</w:t>
      </w:r>
      <w:r>
        <w:rPr>
          <w:rFonts w:hint="eastAsia" w:ascii="宋体" w:hAnsi="宋体" w:cs="宋体"/>
          <w:b w:val="0"/>
          <w:bCs/>
          <w:color w:val="auto"/>
          <w:szCs w:val="21"/>
          <w:highlight w:val="none"/>
        </w:rPr>
        <w:t>户：</w:t>
      </w:r>
    </w:p>
    <w:p w14:paraId="67965377">
      <w:pPr>
        <w:pStyle w:val="13"/>
        <w:keepNext w:val="0"/>
        <w:keepLines w:val="0"/>
        <w:pageBreakBefore w:val="0"/>
        <w:widowControl w:val="0"/>
        <w:kinsoku/>
        <w:wordWrap/>
        <w:overflowPunct/>
        <w:topLinePunct w:val="0"/>
        <w:autoSpaceDE/>
        <w:autoSpaceDN/>
        <w:bidi w:val="0"/>
        <w:adjustRightInd/>
        <w:snapToGrid w:val="0"/>
        <w:spacing w:line="400" w:lineRule="exact"/>
        <w:ind w:left="0" w:firstLine="420" w:firstLineChars="200"/>
        <w:textAlignment w:val="auto"/>
        <w:rPr>
          <w:rFonts w:hint="eastAsia" w:hAnsi="宋体"/>
          <w:color w:val="auto"/>
          <w:highlight w:val="none"/>
          <w:lang w:eastAsia="zh-CN"/>
        </w:rPr>
      </w:pPr>
      <w:r>
        <w:rPr>
          <w:rFonts w:hint="eastAsia" w:hAnsi="宋体"/>
          <w:color w:val="auto"/>
          <w:highlight w:val="none"/>
        </w:rPr>
        <w:t>账户名称：</w:t>
      </w:r>
      <w:r>
        <w:rPr>
          <w:rFonts w:hint="eastAsia" w:hAnsi="宋体"/>
          <w:color w:val="auto"/>
          <w:highlight w:val="none"/>
          <w:lang w:val="en-US" w:eastAsia="zh-CN"/>
        </w:rPr>
        <w:t>广西合士嘉项目咨询有限公司浦北分公司</w:t>
      </w:r>
      <w:r>
        <w:rPr>
          <w:rFonts w:hint="eastAsia" w:hAnsi="宋体"/>
          <w:color w:val="auto"/>
          <w:highlight w:val="none"/>
          <w:lang w:eastAsia="zh-CN"/>
        </w:rPr>
        <w:t xml:space="preserve"> </w:t>
      </w:r>
    </w:p>
    <w:p w14:paraId="61C38933">
      <w:pPr>
        <w:pStyle w:val="13"/>
        <w:keepNext w:val="0"/>
        <w:keepLines w:val="0"/>
        <w:pageBreakBefore w:val="0"/>
        <w:widowControl w:val="0"/>
        <w:kinsoku/>
        <w:wordWrap/>
        <w:overflowPunct/>
        <w:topLinePunct w:val="0"/>
        <w:autoSpaceDE/>
        <w:autoSpaceDN/>
        <w:bidi w:val="0"/>
        <w:adjustRightInd/>
        <w:snapToGrid w:val="0"/>
        <w:spacing w:line="400" w:lineRule="exact"/>
        <w:ind w:left="0" w:firstLine="420" w:firstLineChars="200"/>
        <w:textAlignment w:val="auto"/>
        <w:rPr>
          <w:rFonts w:hint="eastAsia" w:hAnsi="宋体"/>
          <w:color w:val="auto"/>
          <w:highlight w:val="none"/>
          <w:lang w:eastAsia="zh-CN"/>
        </w:rPr>
      </w:pPr>
      <w:r>
        <w:rPr>
          <w:rFonts w:hint="eastAsia" w:hAnsi="宋体"/>
          <w:color w:val="auto"/>
          <w:highlight w:val="none"/>
        </w:rPr>
        <w:t>开户银行：</w:t>
      </w:r>
      <w:r>
        <w:rPr>
          <w:rFonts w:hint="eastAsia" w:hAnsi="宋体"/>
          <w:color w:val="auto"/>
          <w:highlight w:val="none"/>
          <w:lang w:val="en-US" w:eastAsia="zh-CN"/>
        </w:rPr>
        <w:t>中国建设银行股份有限公司浦北支行</w:t>
      </w:r>
    </w:p>
    <w:p w14:paraId="124B205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color w:val="auto"/>
          <w:highlight w:val="none"/>
          <w:lang w:val="en-US" w:eastAsia="zh-CN"/>
        </w:rPr>
      </w:pPr>
      <w:r>
        <w:rPr>
          <w:rFonts w:hint="eastAsia" w:hAnsi="宋体"/>
          <w:color w:val="auto"/>
          <w:highlight w:val="none"/>
        </w:rPr>
        <w:t>银行账号：</w:t>
      </w:r>
      <w:r>
        <w:rPr>
          <w:rFonts w:hint="eastAsia" w:hAnsi="宋体"/>
          <w:color w:val="auto"/>
          <w:highlight w:val="none"/>
          <w:lang w:val="en-US" w:eastAsia="zh-CN"/>
        </w:rPr>
        <w:t>45050110120500000903</w:t>
      </w:r>
    </w:p>
    <w:p w14:paraId="1DFC884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代理服务费收费计算标准：</w:t>
      </w:r>
    </w:p>
    <w:tbl>
      <w:tblPr>
        <w:tblStyle w:val="61"/>
        <w:tblW w:w="82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74"/>
        <w:gridCol w:w="1579"/>
        <w:gridCol w:w="1579"/>
        <w:gridCol w:w="1581"/>
      </w:tblGrid>
      <w:tr w14:paraId="5177F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jc w:val="center"/>
        </w:trPr>
        <w:tc>
          <w:tcPr>
            <w:tcW w:w="3474" w:type="dxa"/>
            <w:tcBorders>
              <w:tl2br w:val="single" w:color="000000" w:sz="4" w:space="0"/>
            </w:tcBorders>
            <w:vAlign w:val="center"/>
          </w:tcPr>
          <w:p w14:paraId="50B2BA22">
            <w:pPr>
              <w:keepNext w:val="0"/>
              <w:keepLines w:val="0"/>
              <w:pageBreakBefore w:val="0"/>
              <w:widowControl w:val="0"/>
              <w:kinsoku/>
              <w:wordWrap/>
              <w:overflowPunct/>
              <w:topLinePunct w:val="0"/>
              <w:autoSpaceDE/>
              <w:autoSpaceDN/>
              <w:bidi w:val="0"/>
              <w:adjustRightInd/>
              <w:snapToGrid/>
              <w:spacing w:line="400" w:lineRule="exact"/>
              <w:ind w:left="1702" w:firstLine="1040" w:firstLineChars="500"/>
              <w:jc w:val="left"/>
              <w:textAlignment w:val="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费率</w:t>
            </w:r>
          </w:p>
          <w:p w14:paraId="792CB833">
            <w:pPr>
              <w:keepNext w:val="0"/>
              <w:keepLines w:val="0"/>
              <w:pageBreakBefore w:val="0"/>
              <w:widowControl w:val="0"/>
              <w:kinsoku/>
              <w:wordWrap/>
              <w:overflowPunct/>
              <w:topLinePunct w:val="0"/>
              <w:autoSpaceDE/>
              <w:autoSpaceDN/>
              <w:bidi w:val="0"/>
              <w:adjustRightInd/>
              <w:snapToGrid/>
              <w:spacing w:line="400" w:lineRule="exact"/>
              <w:ind w:left="118"/>
              <w:jc w:val="left"/>
              <w:textAlignment w:val="auto"/>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金</w:t>
            </w:r>
            <w:r>
              <w:rPr>
                <w:rFonts w:ascii="宋体" w:hAnsi="宋体" w:eastAsia="宋体" w:cs="宋体"/>
                <w:color w:val="auto"/>
                <w:spacing w:val="3"/>
                <w:sz w:val="21"/>
                <w:szCs w:val="21"/>
                <w:highlight w:val="none"/>
              </w:rPr>
              <w:t>额</w:t>
            </w:r>
          </w:p>
        </w:tc>
        <w:tc>
          <w:tcPr>
            <w:tcW w:w="1579" w:type="dxa"/>
            <w:vAlign w:val="center"/>
          </w:tcPr>
          <w:p w14:paraId="4F0E72E4">
            <w:pPr>
              <w:keepNext w:val="0"/>
              <w:keepLines w:val="0"/>
              <w:pageBreakBefore w:val="0"/>
              <w:widowControl w:val="0"/>
              <w:kinsoku/>
              <w:wordWrap/>
              <w:overflowPunct/>
              <w:topLinePunct w:val="0"/>
              <w:autoSpaceDE/>
              <w:autoSpaceDN/>
              <w:bidi w:val="0"/>
              <w:adjustRightInd/>
              <w:snapToGrid/>
              <w:spacing w:line="400" w:lineRule="exact"/>
              <w:ind w:left="578"/>
              <w:jc w:val="center"/>
              <w:textAlignment w:val="auto"/>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货物类</w:t>
            </w:r>
          </w:p>
        </w:tc>
        <w:tc>
          <w:tcPr>
            <w:tcW w:w="1579" w:type="dxa"/>
            <w:vAlign w:val="center"/>
          </w:tcPr>
          <w:p w14:paraId="33AEBF72">
            <w:pPr>
              <w:keepNext w:val="0"/>
              <w:keepLines w:val="0"/>
              <w:pageBreakBefore w:val="0"/>
              <w:widowControl w:val="0"/>
              <w:kinsoku/>
              <w:wordWrap/>
              <w:overflowPunct/>
              <w:topLinePunct w:val="0"/>
              <w:autoSpaceDE/>
              <w:autoSpaceDN/>
              <w:bidi w:val="0"/>
              <w:adjustRightInd/>
              <w:snapToGrid/>
              <w:spacing w:line="400" w:lineRule="exact"/>
              <w:ind w:left="458"/>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服务</w:t>
            </w:r>
            <w:r>
              <w:rPr>
                <w:rFonts w:ascii="宋体" w:hAnsi="宋体" w:eastAsia="宋体" w:cs="宋体"/>
                <w:color w:val="auto"/>
                <w:spacing w:val="6"/>
                <w:sz w:val="21"/>
                <w:szCs w:val="21"/>
                <w:highlight w:val="none"/>
              </w:rPr>
              <w:t>类</w:t>
            </w:r>
          </w:p>
        </w:tc>
        <w:tc>
          <w:tcPr>
            <w:tcW w:w="1581" w:type="dxa"/>
            <w:vAlign w:val="center"/>
          </w:tcPr>
          <w:p w14:paraId="1F1D95CD">
            <w:pPr>
              <w:keepNext w:val="0"/>
              <w:keepLines w:val="0"/>
              <w:pageBreakBefore w:val="0"/>
              <w:widowControl w:val="0"/>
              <w:kinsoku/>
              <w:wordWrap/>
              <w:overflowPunct/>
              <w:topLinePunct w:val="0"/>
              <w:autoSpaceDE/>
              <w:autoSpaceDN/>
              <w:bidi w:val="0"/>
              <w:adjustRightInd/>
              <w:snapToGrid/>
              <w:spacing w:line="400" w:lineRule="exact"/>
              <w:ind w:left="468"/>
              <w:jc w:val="center"/>
              <w:textAlignment w:val="auto"/>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工程类</w:t>
            </w:r>
          </w:p>
        </w:tc>
      </w:tr>
      <w:tr w14:paraId="2CC27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474" w:type="dxa"/>
            <w:vAlign w:val="center"/>
          </w:tcPr>
          <w:p w14:paraId="056170ED">
            <w:pPr>
              <w:spacing w:before="33" w:line="229" w:lineRule="auto"/>
              <w:ind w:left="131"/>
              <w:jc w:val="lef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w:t>
            </w:r>
            <w:r>
              <w:rPr>
                <w:rFonts w:ascii="宋体" w:hAnsi="宋体" w:eastAsia="宋体" w:cs="宋体"/>
                <w:color w:val="auto"/>
                <w:spacing w:val="-3"/>
                <w:sz w:val="21"/>
                <w:szCs w:val="21"/>
                <w:highlight w:val="none"/>
              </w:rPr>
              <w:t>0</w:t>
            </w:r>
            <w:r>
              <w:rPr>
                <w:rFonts w:ascii="宋体" w:hAnsi="宋体" w:eastAsia="宋体" w:cs="宋体"/>
                <w:color w:val="auto"/>
                <w:spacing w:val="-2"/>
                <w:sz w:val="21"/>
                <w:szCs w:val="21"/>
                <w:highlight w:val="none"/>
              </w:rPr>
              <w:t>0 万元以下</w:t>
            </w:r>
          </w:p>
        </w:tc>
        <w:tc>
          <w:tcPr>
            <w:tcW w:w="1579" w:type="dxa"/>
            <w:vAlign w:val="center"/>
          </w:tcPr>
          <w:p w14:paraId="6FA7EFCB">
            <w:pPr>
              <w:spacing w:before="33" w:line="271" w:lineRule="exact"/>
              <w:ind w:left="339"/>
              <w:jc w:val="center"/>
              <w:rPr>
                <w:rFonts w:ascii="宋体" w:hAnsi="宋体" w:eastAsia="宋体" w:cs="宋体"/>
                <w:color w:val="auto"/>
                <w:sz w:val="21"/>
                <w:szCs w:val="21"/>
                <w:highlight w:val="none"/>
              </w:rPr>
            </w:pPr>
            <w:r>
              <w:rPr>
                <w:rFonts w:ascii="宋体" w:hAnsi="宋体" w:eastAsia="宋体" w:cs="宋体"/>
                <w:color w:val="auto"/>
                <w:spacing w:val="-1"/>
                <w:position w:val="1"/>
                <w:sz w:val="21"/>
                <w:szCs w:val="21"/>
                <w:highlight w:val="none"/>
              </w:rPr>
              <w:t>1.5</w:t>
            </w:r>
            <w:r>
              <w:rPr>
                <w:rFonts w:ascii="宋体" w:hAnsi="宋体" w:eastAsia="宋体" w:cs="宋体"/>
                <w:color w:val="auto"/>
                <w:position w:val="1"/>
                <w:sz w:val="21"/>
                <w:szCs w:val="21"/>
                <w:highlight w:val="none"/>
              </w:rPr>
              <w:t>%</w:t>
            </w:r>
          </w:p>
        </w:tc>
        <w:tc>
          <w:tcPr>
            <w:tcW w:w="1579" w:type="dxa"/>
            <w:vAlign w:val="center"/>
          </w:tcPr>
          <w:p w14:paraId="31EE3482">
            <w:pPr>
              <w:spacing w:before="33" w:line="271" w:lineRule="exact"/>
              <w:ind w:left="339"/>
              <w:jc w:val="center"/>
              <w:rPr>
                <w:rFonts w:ascii="宋体" w:hAnsi="宋体" w:eastAsia="宋体" w:cs="宋体"/>
                <w:color w:val="auto"/>
                <w:sz w:val="21"/>
                <w:szCs w:val="21"/>
                <w:highlight w:val="none"/>
              </w:rPr>
            </w:pPr>
            <w:r>
              <w:rPr>
                <w:rFonts w:ascii="宋体" w:hAnsi="宋体" w:eastAsia="宋体" w:cs="宋体"/>
                <w:color w:val="auto"/>
                <w:spacing w:val="-1"/>
                <w:position w:val="1"/>
                <w:sz w:val="21"/>
                <w:szCs w:val="21"/>
                <w:highlight w:val="none"/>
              </w:rPr>
              <w:t>1.5</w:t>
            </w:r>
            <w:r>
              <w:rPr>
                <w:rFonts w:ascii="宋体" w:hAnsi="宋体" w:eastAsia="宋体" w:cs="宋体"/>
                <w:color w:val="auto"/>
                <w:position w:val="1"/>
                <w:sz w:val="21"/>
                <w:szCs w:val="21"/>
                <w:highlight w:val="none"/>
              </w:rPr>
              <w:t>%</w:t>
            </w:r>
          </w:p>
        </w:tc>
        <w:tc>
          <w:tcPr>
            <w:tcW w:w="1581" w:type="dxa"/>
            <w:vAlign w:val="center"/>
          </w:tcPr>
          <w:p w14:paraId="3DA2FF3C">
            <w:pPr>
              <w:spacing w:before="33" w:line="271" w:lineRule="exact"/>
              <w:ind w:left="342"/>
              <w:jc w:val="center"/>
              <w:rPr>
                <w:rFonts w:ascii="宋体" w:hAnsi="宋体" w:eastAsia="宋体" w:cs="宋体"/>
                <w:color w:val="auto"/>
                <w:sz w:val="21"/>
                <w:szCs w:val="21"/>
                <w:highlight w:val="none"/>
              </w:rPr>
            </w:pPr>
            <w:r>
              <w:rPr>
                <w:rFonts w:ascii="宋体" w:hAnsi="宋体" w:eastAsia="宋体" w:cs="宋体"/>
                <w:color w:val="auto"/>
                <w:spacing w:val="-2"/>
                <w:position w:val="1"/>
                <w:sz w:val="21"/>
                <w:szCs w:val="21"/>
                <w:highlight w:val="none"/>
              </w:rPr>
              <w:t>1</w:t>
            </w:r>
            <w:r>
              <w:rPr>
                <w:rFonts w:ascii="宋体" w:hAnsi="宋体" w:eastAsia="宋体" w:cs="宋体"/>
                <w:color w:val="auto"/>
                <w:spacing w:val="-1"/>
                <w:position w:val="1"/>
                <w:sz w:val="21"/>
                <w:szCs w:val="21"/>
                <w:highlight w:val="none"/>
              </w:rPr>
              <w:t>.0%</w:t>
            </w:r>
          </w:p>
        </w:tc>
      </w:tr>
      <w:tr w14:paraId="6FE19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474" w:type="dxa"/>
            <w:vAlign w:val="center"/>
          </w:tcPr>
          <w:p w14:paraId="5A6C87AE">
            <w:pPr>
              <w:spacing w:before="33" w:line="229" w:lineRule="auto"/>
              <w:ind w:left="131"/>
              <w:jc w:val="left"/>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1</w:t>
            </w:r>
            <w:r>
              <w:rPr>
                <w:rFonts w:ascii="宋体" w:hAnsi="宋体" w:eastAsia="宋体" w:cs="宋体"/>
                <w:color w:val="auto"/>
                <w:spacing w:val="8"/>
                <w:sz w:val="21"/>
                <w:szCs w:val="21"/>
                <w:highlight w:val="none"/>
              </w:rPr>
              <w:t>00</w:t>
            </w:r>
            <w:r>
              <w:rPr>
                <w:rFonts w:hint="eastAsia" w:ascii="宋体" w:hAnsi="宋体" w:cs="宋体"/>
                <w:color w:val="auto"/>
                <w:spacing w:val="8"/>
                <w:sz w:val="21"/>
                <w:szCs w:val="21"/>
                <w:highlight w:val="none"/>
                <w:lang w:eastAsia="zh-CN"/>
              </w:rPr>
              <w:t>～</w:t>
            </w:r>
            <w:r>
              <w:rPr>
                <w:rFonts w:ascii="宋体" w:hAnsi="宋体" w:eastAsia="宋体" w:cs="宋体"/>
                <w:color w:val="auto"/>
                <w:spacing w:val="8"/>
                <w:sz w:val="21"/>
                <w:szCs w:val="21"/>
                <w:highlight w:val="none"/>
              </w:rPr>
              <w:t>500 万元</w:t>
            </w:r>
          </w:p>
        </w:tc>
        <w:tc>
          <w:tcPr>
            <w:tcW w:w="1579" w:type="dxa"/>
            <w:vAlign w:val="center"/>
          </w:tcPr>
          <w:p w14:paraId="3CC1554A">
            <w:pPr>
              <w:spacing w:before="33" w:line="270" w:lineRule="exact"/>
              <w:ind w:left="339"/>
              <w:jc w:val="center"/>
              <w:rPr>
                <w:rFonts w:ascii="宋体" w:hAnsi="宋体" w:eastAsia="宋体" w:cs="宋体"/>
                <w:color w:val="auto"/>
                <w:sz w:val="21"/>
                <w:szCs w:val="21"/>
                <w:highlight w:val="none"/>
              </w:rPr>
            </w:pPr>
            <w:r>
              <w:rPr>
                <w:rFonts w:ascii="宋体" w:hAnsi="宋体" w:eastAsia="宋体" w:cs="宋体"/>
                <w:color w:val="auto"/>
                <w:spacing w:val="-1"/>
                <w:position w:val="1"/>
                <w:sz w:val="21"/>
                <w:szCs w:val="21"/>
                <w:highlight w:val="none"/>
              </w:rPr>
              <w:t>1.1</w:t>
            </w:r>
            <w:r>
              <w:rPr>
                <w:rFonts w:ascii="宋体" w:hAnsi="宋体" w:eastAsia="宋体" w:cs="宋体"/>
                <w:color w:val="auto"/>
                <w:position w:val="1"/>
                <w:sz w:val="21"/>
                <w:szCs w:val="21"/>
                <w:highlight w:val="none"/>
              </w:rPr>
              <w:t>%</w:t>
            </w:r>
          </w:p>
        </w:tc>
        <w:tc>
          <w:tcPr>
            <w:tcW w:w="1579" w:type="dxa"/>
            <w:vAlign w:val="center"/>
          </w:tcPr>
          <w:p w14:paraId="1A8000E2">
            <w:pPr>
              <w:spacing w:before="33" w:line="269" w:lineRule="exact"/>
              <w:ind w:left="326"/>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0.8</w:t>
            </w:r>
            <w:r>
              <w:rPr>
                <w:rFonts w:ascii="宋体" w:hAnsi="宋体" w:eastAsia="宋体" w:cs="宋体"/>
                <w:color w:val="auto"/>
                <w:spacing w:val="2"/>
                <w:position w:val="1"/>
                <w:sz w:val="21"/>
                <w:szCs w:val="21"/>
                <w:highlight w:val="none"/>
              </w:rPr>
              <w:t>%</w:t>
            </w:r>
          </w:p>
        </w:tc>
        <w:tc>
          <w:tcPr>
            <w:tcW w:w="1581" w:type="dxa"/>
            <w:vAlign w:val="center"/>
          </w:tcPr>
          <w:p w14:paraId="3AA245AE">
            <w:pPr>
              <w:spacing w:before="33" w:line="269" w:lineRule="exact"/>
              <w:ind w:left="328"/>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w:t>
            </w:r>
            <w:r>
              <w:rPr>
                <w:rFonts w:ascii="宋体" w:hAnsi="宋体" w:eastAsia="宋体" w:cs="宋体"/>
                <w:color w:val="auto"/>
                <w:spacing w:val="2"/>
                <w:position w:val="1"/>
                <w:sz w:val="21"/>
                <w:szCs w:val="21"/>
                <w:highlight w:val="none"/>
              </w:rPr>
              <w:t>.7%</w:t>
            </w:r>
          </w:p>
        </w:tc>
      </w:tr>
      <w:tr w14:paraId="5C7E1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474" w:type="dxa"/>
            <w:vAlign w:val="center"/>
          </w:tcPr>
          <w:p w14:paraId="1DF97852">
            <w:pPr>
              <w:spacing w:before="32" w:line="229" w:lineRule="auto"/>
              <w:ind w:left="120"/>
              <w:jc w:val="left"/>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5</w:t>
            </w:r>
            <w:r>
              <w:rPr>
                <w:rFonts w:ascii="宋体" w:hAnsi="宋体" w:eastAsia="宋体" w:cs="宋体"/>
                <w:color w:val="auto"/>
                <w:spacing w:val="9"/>
                <w:sz w:val="21"/>
                <w:szCs w:val="21"/>
                <w:highlight w:val="none"/>
              </w:rPr>
              <w:t>00</w:t>
            </w:r>
            <w:r>
              <w:rPr>
                <w:rFonts w:hint="eastAsia" w:ascii="宋体" w:hAnsi="宋体" w:cs="宋体"/>
                <w:color w:val="auto"/>
                <w:spacing w:val="8"/>
                <w:sz w:val="21"/>
                <w:szCs w:val="21"/>
                <w:highlight w:val="none"/>
                <w:lang w:eastAsia="zh-CN"/>
              </w:rPr>
              <w:t>～</w:t>
            </w:r>
            <w:r>
              <w:rPr>
                <w:rFonts w:ascii="宋体" w:hAnsi="宋体" w:eastAsia="宋体" w:cs="宋体"/>
                <w:color w:val="auto"/>
                <w:spacing w:val="9"/>
                <w:sz w:val="21"/>
                <w:szCs w:val="21"/>
                <w:highlight w:val="none"/>
              </w:rPr>
              <w:t>1000 万元</w:t>
            </w:r>
          </w:p>
        </w:tc>
        <w:tc>
          <w:tcPr>
            <w:tcW w:w="1579" w:type="dxa"/>
            <w:vAlign w:val="center"/>
          </w:tcPr>
          <w:p w14:paraId="68F7183E">
            <w:pPr>
              <w:spacing w:before="32" w:line="269" w:lineRule="exact"/>
              <w:ind w:left="325"/>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0.8</w:t>
            </w:r>
            <w:r>
              <w:rPr>
                <w:rFonts w:ascii="宋体" w:hAnsi="宋体" w:eastAsia="宋体" w:cs="宋体"/>
                <w:color w:val="auto"/>
                <w:spacing w:val="2"/>
                <w:position w:val="1"/>
                <w:sz w:val="21"/>
                <w:szCs w:val="21"/>
                <w:highlight w:val="none"/>
              </w:rPr>
              <w:t>%</w:t>
            </w:r>
          </w:p>
        </w:tc>
        <w:tc>
          <w:tcPr>
            <w:tcW w:w="1579" w:type="dxa"/>
            <w:vAlign w:val="center"/>
          </w:tcPr>
          <w:p w14:paraId="305B90D4">
            <w:pPr>
              <w:spacing w:before="32" w:line="269" w:lineRule="exact"/>
              <w:ind w:left="326"/>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0.45</w:t>
            </w:r>
            <w:r>
              <w:rPr>
                <w:rFonts w:ascii="宋体" w:hAnsi="宋体" w:eastAsia="宋体" w:cs="宋体"/>
                <w:color w:val="auto"/>
                <w:spacing w:val="2"/>
                <w:position w:val="1"/>
                <w:sz w:val="21"/>
                <w:szCs w:val="21"/>
                <w:highlight w:val="none"/>
              </w:rPr>
              <w:t>%</w:t>
            </w:r>
          </w:p>
        </w:tc>
        <w:tc>
          <w:tcPr>
            <w:tcW w:w="1581" w:type="dxa"/>
            <w:vAlign w:val="center"/>
          </w:tcPr>
          <w:p w14:paraId="5B2E1B83">
            <w:pPr>
              <w:spacing w:before="32" w:line="269" w:lineRule="exact"/>
              <w:ind w:left="328"/>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0.55</w:t>
            </w:r>
            <w:r>
              <w:rPr>
                <w:rFonts w:ascii="宋体" w:hAnsi="宋体" w:eastAsia="宋体" w:cs="宋体"/>
                <w:color w:val="auto"/>
                <w:spacing w:val="2"/>
                <w:position w:val="1"/>
                <w:sz w:val="21"/>
                <w:szCs w:val="21"/>
                <w:highlight w:val="none"/>
              </w:rPr>
              <w:t>%</w:t>
            </w:r>
          </w:p>
        </w:tc>
      </w:tr>
      <w:tr w14:paraId="448F1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474" w:type="dxa"/>
            <w:vAlign w:val="center"/>
          </w:tcPr>
          <w:p w14:paraId="7EC05D43">
            <w:pPr>
              <w:spacing w:before="32" w:line="229" w:lineRule="auto"/>
              <w:ind w:left="131"/>
              <w:jc w:val="left"/>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1000</w:t>
            </w:r>
            <w:r>
              <w:rPr>
                <w:rFonts w:hint="eastAsia" w:ascii="宋体" w:hAnsi="宋体" w:cs="宋体"/>
                <w:color w:val="auto"/>
                <w:spacing w:val="8"/>
                <w:sz w:val="21"/>
                <w:szCs w:val="21"/>
                <w:highlight w:val="none"/>
                <w:lang w:eastAsia="zh-CN"/>
              </w:rPr>
              <w:t>～</w:t>
            </w:r>
            <w:r>
              <w:rPr>
                <w:rFonts w:ascii="宋体" w:hAnsi="宋体" w:eastAsia="宋体" w:cs="宋体"/>
                <w:color w:val="auto"/>
                <w:spacing w:val="8"/>
                <w:sz w:val="21"/>
                <w:szCs w:val="21"/>
                <w:highlight w:val="none"/>
              </w:rPr>
              <w:t>5000万</w:t>
            </w:r>
            <w:r>
              <w:rPr>
                <w:rFonts w:ascii="宋体" w:hAnsi="宋体" w:eastAsia="宋体" w:cs="宋体"/>
                <w:color w:val="auto"/>
                <w:spacing w:val="7"/>
                <w:sz w:val="21"/>
                <w:szCs w:val="21"/>
                <w:highlight w:val="none"/>
              </w:rPr>
              <w:t>元</w:t>
            </w:r>
          </w:p>
        </w:tc>
        <w:tc>
          <w:tcPr>
            <w:tcW w:w="1579" w:type="dxa"/>
            <w:vAlign w:val="center"/>
          </w:tcPr>
          <w:p w14:paraId="012EF291">
            <w:pPr>
              <w:spacing w:before="32" w:line="269" w:lineRule="exact"/>
              <w:ind w:left="325"/>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0.5</w:t>
            </w:r>
            <w:r>
              <w:rPr>
                <w:rFonts w:ascii="宋体" w:hAnsi="宋体" w:eastAsia="宋体" w:cs="宋体"/>
                <w:color w:val="auto"/>
                <w:spacing w:val="2"/>
                <w:position w:val="1"/>
                <w:sz w:val="21"/>
                <w:szCs w:val="21"/>
                <w:highlight w:val="none"/>
              </w:rPr>
              <w:t>%</w:t>
            </w:r>
          </w:p>
        </w:tc>
        <w:tc>
          <w:tcPr>
            <w:tcW w:w="1579" w:type="dxa"/>
            <w:vAlign w:val="center"/>
          </w:tcPr>
          <w:p w14:paraId="14F69EB9">
            <w:pPr>
              <w:spacing w:before="32" w:line="269" w:lineRule="exact"/>
              <w:ind w:left="326"/>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0.25</w:t>
            </w:r>
            <w:r>
              <w:rPr>
                <w:rFonts w:ascii="宋体" w:hAnsi="宋体" w:eastAsia="宋体" w:cs="宋体"/>
                <w:color w:val="auto"/>
                <w:spacing w:val="2"/>
                <w:position w:val="1"/>
                <w:sz w:val="21"/>
                <w:szCs w:val="21"/>
                <w:highlight w:val="none"/>
              </w:rPr>
              <w:t>%</w:t>
            </w:r>
          </w:p>
        </w:tc>
        <w:tc>
          <w:tcPr>
            <w:tcW w:w="1581" w:type="dxa"/>
            <w:vAlign w:val="center"/>
          </w:tcPr>
          <w:p w14:paraId="5CD051BB">
            <w:pPr>
              <w:spacing w:before="32" w:line="269" w:lineRule="exact"/>
              <w:ind w:left="328"/>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0.35</w:t>
            </w:r>
            <w:r>
              <w:rPr>
                <w:rFonts w:ascii="宋体" w:hAnsi="宋体" w:eastAsia="宋体" w:cs="宋体"/>
                <w:color w:val="auto"/>
                <w:spacing w:val="2"/>
                <w:position w:val="1"/>
                <w:sz w:val="21"/>
                <w:szCs w:val="21"/>
                <w:highlight w:val="none"/>
              </w:rPr>
              <w:t>%</w:t>
            </w:r>
          </w:p>
        </w:tc>
      </w:tr>
      <w:tr w14:paraId="16412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474" w:type="dxa"/>
            <w:vAlign w:val="center"/>
          </w:tcPr>
          <w:p w14:paraId="3B872B18">
            <w:pPr>
              <w:spacing w:before="34" w:line="229" w:lineRule="auto"/>
              <w:ind w:left="120"/>
              <w:jc w:val="left"/>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5</w:t>
            </w:r>
            <w:r>
              <w:rPr>
                <w:rFonts w:ascii="宋体" w:hAnsi="宋体" w:eastAsia="宋体" w:cs="宋体"/>
                <w:color w:val="auto"/>
                <w:spacing w:val="5"/>
                <w:sz w:val="21"/>
                <w:szCs w:val="21"/>
                <w:highlight w:val="none"/>
              </w:rPr>
              <w:t>000万元</w:t>
            </w:r>
            <w:r>
              <w:rPr>
                <w:rFonts w:hint="eastAsia" w:ascii="宋体" w:hAnsi="宋体" w:cs="宋体"/>
                <w:color w:val="auto"/>
                <w:spacing w:val="8"/>
                <w:sz w:val="21"/>
                <w:szCs w:val="21"/>
                <w:highlight w:val="none"/>
                <w:lang w:eastAsia="zh-CN"/>
              </w:rPr>
              <w:t>～</w:t>
            </w:r>
            <w:r>
              <w:rPr>
                <w:rFonts w:ascii="宋体" w:hAnsi="宋体" w:eastAsia="宋体" w:cs="宋体"/>
                <w:color w:val="auto"/>
                <w:spacing w:val="5"/>
                <w:sz w:val="21"/>
                <w:szCs w:val="21"/>
                <w:highlight w:val="none"/>
              </w:rPr>
              <w:t>1亿元</w:t>
            </w:r>
          </w:p>
        </w:tc>
        <w:tc>
          <w:tcPr>
            <w:tcW w:w="1579" w:type="dxa"/>
            <w:vAlign w:val="center"/>
          </w:tcPr>
          <w:p w14:paraId="71A2F206">
            <w:pPr>
              <w:spacing w:before="34" w:line="269" w:lineRule="exact"/>
              <w:ind w:left="325"/>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0.25</w:t>
            </w:r>
            <w:r>
              <w:rPr>
                <w:rFonts w:ascii="宋体" w:hAnsi="宋体" w:eastAsia="宋体" w:cs="宋体"/>
                <w:color w:val="auto"/>
                <w:spacing w:val="2"/>
                <w:position w:val="1"/>
                <w:sz w:val="21"/>
                <w:szCs w:val="21"/>
                <w:highlight w:val="none"/>
              </w:rPr>
              <w:t>%</w:t>
            </w:r>
          </w:p>
        </w:tc>
        <w:tc>
          <w:tcPr>
            <w:tcW w:w="1579" w:type="dxa"/>
            <w:vAlign w:val="center"/>
          </w:tcPr>
          <w:p w14:paraId="5BBD9DC9">
            <w:pPr>
              <w:spacing w:before="34" w:line="269" w:lineRule="exact"/>
              <w:ind w:left="326"/>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0.1</w:t>
            </w:r>
            <w:r>
              <w:rPr>
                <w:rFonts w:ascii="宋体" w:hAnsi="宋体" w:eastAsia="宋体" w:cs="宋体"/>
                <w:color w:val="auto"/>
                <w:spacing w:val="2"/>
                <w:position w:val="1"/>
                <w:sz w:val="21"/>
                <w:szCs w:val="21"/>
                <w:highlight w:val="none"/>
              </w:rPr>
              <w:t>%</w:t>
            </w:r>
          </w:p>
        </w:tc>
        <w:tc>
          <w:tcPr>
            <w:tcW w:w="1581" w:type="dxa"/>
            <w:vAlign w:val="center"/>
          </w:tcPr>
          <w:p w14:paraId="790E6724">
            <w:pPr>
              <w:spacing w:before="34" w:line="269" w:lineRule="exact"/>
              <w:ind w:left="328"/>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w:t>
            </w:r>
            <w:r>
              <w:rPr>
                <w:rFonts w:ascii="宋体" w:hAnsi="宋体" w:eastAsia="宋体" w:cs="宋体"/>
                <w:color w:val="auto"/>
                <w:spacing w:val="2"/>
                <w:position w:val="1"/>
                <w:sz w:val="21"/>
                <w:szCs w:val="21"/>
                <w:highlight w:val="none"/>
              </w:rPr>
              <w:t>.2%</w:t>
            </w:r>
          </w:p>
        </w:tc>
      </w:tr>
      <w:tr w14:paraId="52E42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3474" w:type="dxa"/>
            <w:vAlign w:val="center"/>
          </w:tcPr>
          <w:p w14:paraId="63E8A3D8">
            <w:pPr>
              <w:spacing w:before="33" w:line="229" w:lineRule="auto"/>
              <w:ind w:left="131"/>
              <w:jc w:val="left"/>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1</w:t>
            </w:r>
            <w:r>
              <w:rPr>
                <w:rFonts w:hint="eastAsia" w:ascii="宋体" w:hAnsi="宋体" w:cs="宋体"/>
                <w:color w:val="auto"/>
                <w:spacing w:val="8"/>
                <w:sz w:val="21"/>
                <w:szCs w:val="21"/>
                <w:highlight w:val="none"/>
                <w:lang w:eastAsia="zh-CN"/>
              </w:rPr>
              <w:t>～</w:t>
            </w:r>
            <w:r>
              <w:rPr>
                <w:rFonts w:ascii="宋体" w:hAnsi="宋体" w:eastAsia="宋体" w:cs="宋体"/>
                <w:color w:val="auto"/>
                <w:spacing w:val="10"/>
                <w:sz w:val="21"/>
                <w:szCs w:val="21"/>
                <w:highlight w:val="none"/>
              </w:rPr>
              <w:t>5亿元</w:t>
            </w:r>
          </w:p>
        </w:tc>
        <w:tc>
          <w:tcPr>
            <w:tcW w:w="1579" w:type="dxa"/>
            <w:vAlign w:val="center"/>
          </w:tcPr>
          <w:p w14:paraId="67673F94">
            <w:pPr>
              <w:spacing w:before="33" w:line="270" w:lineRule="exact"/>
              <w:ind w:left="325"/>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0.05</w:t>
            </w:r>
            <w:r>
              <w:rPr>
                <w:rFonts w:ascii="宋体" w:hAnsi="宋体" w:eastAsia="宋体" w:cs="宋体"/>
                <w:color w:val="auto"/>
                <w:spacing w:val="2"/>
                <w:position w:val="1"/>
                <w:sz w:val="21"/>
                <w:szCs w:val="21"/>
                <w:highlight w:val="none"/>
              </w:rPr>
              <w:t>%</w:t>
            </w:r>
          </w:p>
        </w:tc>
        <w:tc>
          <w:tcPr>
            <w:tcW w:w="1579" w:type="dxa"/>
            <w:vAlign w:val="center"/>
          </w:tcPr>
          <w:p w14:paraId="5EFC7FA1">
            <w:pPr>
              <w:spacing w:before="33" w:line="270" w:lineRule="exact"/>
              <w:ind w:left="326"/>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0.05</w:t>
            </w:r>
            <w:r>
              <w:rPr>
                <w:rFonts w:ascii="宋体" w:hAnsi="宋体" w:eastAsia="宋体" w:cs="宋体"/>
                <w:color w:val="auto"/>
                <w:spacing w:val="2"/>
                <w:position w:val="1"/>
                <w:sz w:val="21"/>
                <w:szCs w:val="21"/>
                <w:highlight w:val="none"/>
              </w:rPr>
              <w:t>%</w:t>
            </w:r>
          </w:p>
        </w:tc>
        <w:tc>
          <w:tcPr>
            <w:tcW w:w="1581" w:type="dxa"/>
            <w:vAlign w:val="center"/>
          </w:tcPr>
          <w:p w14:paraId="5AD3AD23">
            <w:pPr>
              <w:spacing w:before="33" w:line="270" w:lineRule="exact"/>
              <w:ind w:left="328"/>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0.05</w:t>
            </w:r>
            <w:r>
              <w:rPr>
                <w:rFonts w:ascii="宋体" w:hAnsi="宋体" w:eastAsia="宋体" w:cs="宋体"/>
                <w:color w:val="auto"/>
                <w:spacing w:val="2"/>
                <w:position w:val="1"/>
                <w:sz w:val="21"/>
                <w:szCs w:val="21"/>
                <w:highlight w:val="none"/>
              </w:rPr>
              <w:t>%</w:t>
            </w:r>
          </w:p>
        </w:tc>
      </w:tr>
      <w:tr w14:paraId="4DE9E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3474" w:type="dxa"/>
            <w:vAlign w:val="center"/>
          </w:tcPr>
          <w:p w14:paraId="66FF08B4">
            <w:pPr>
              <w:spacing w:before="36" w:line="229" w:lineRule="auto"/>
              <w:ind w:left="120"/>
              <w:jc w:val="left"/>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5</w:t>
            </w:r>
            <w:r>
              <w:rPr>
                <w:rFonts w:hint="eastAsia" w:ascii="宋体" w:hAnsi="宋体" w:cs="宋体"/>
                <w:color w:val="auto"/>
                <w:spacing w:val="8"/>
                <w:sz w:val="21"/>
                <w:szCs w:val="21"/>
                <w:highlight w:val="none"/>
                <w:lang w:eastAsia="zh-CN"/>
              </w:rPr>
              <w:t>～</w:t>
            </w:r>
            <w:r>
              <w:rPr>
                <w:rFonts w:ascii="宋体" w:hAnsi="宋体" w:eastAsia="宋体" w:cs="宋体"/>
                <w:color w:val="auto"/>
                <w:spacing w:val="11"/>
                <w:sz w:val="21"/>
                <w:szCs w:val="21"/>
                <w:highlight w:val="none"/>
              </w:rPr>
              <w:t>10亿元</w:t>
            </w:r>
          </w:p>
        </w:tc>
        <w:tc>
          <w:tcPr>
            <w:tcW w:w="1579" w:type="dxa"/>
            <w:vAlign w:val="center"/>
          </w:tcPr>
          <w:p w14:paraId="7148B3EE">
            <w:pPr>
              <w:spacing w:before="36" w:line="270" w:lineRule="exact"/>
              <w:ind w:left="220"/>
              <w:jc w:val="center"/>
              <w:rPr>
                <w:rFonts w:ascii="宋体" w:hAnsi="宋体" w:eastAsia="宋体" w:cs="宋体"/>
                <w:color w:val="auto"/>
                <w:sz w:val="21"/>
                <w:szCs w:val="21"/>
                <w:highlight w:val="none"/>
              </w:rPr>
            </w:pPr>
            <w:r>
              <w:rPr>
                <w:rFonts w:ascii="宋体" w:hAnsi="宋体" w:eastAsia="宋体" w:cs="宋体"/>
                <w:color w:val="auto"/>
                <w:spacing w:val="5"/>
                <w:position w:val="1"/>
                <w:sz w:val="21"/>
                <w:szCs w:val="21"/>
                <w:highlight w:val="none"/>
              </w:rPr>
              <w:t>0</w:t>
            </w:r>
            <w:r>
              <w:rPr>
                <w:rFonts w:ascii="宋体" w:hAnsi="宋体" w:eastAsia="宋体" w:cs="宋体"/>
                <w:color w:val="auto"/>
                <w:spacing w:val="3"/>
                <w:position w:val="1"/>
                <w:sz w:val="21"/>
                <w:szCs w:val="21"/>
                <w:highlight w:val="none"/>
              </w:rPr>
              <w:t>.035%</w:t>
            </w:r>
          </w:p>
        </w:tc>
        <w:tc>
          <w:tcPr>
            <w:tcW w:w="1579" w:type="dxa"/>
            <w:vAlign w:val="center"/>
          </w:tcPr>
          <w:p w14:paraId="7D307C0B">
            <w:pPr>
              <w:spacing w:before="36" w:line="270" w:lineRule="exact"/>
              <w:ind w:left="326"/>
              <w:jc w:val="center"/>
              <w:rPr>
                <w:rFonts w:ascii="宋体" w:hAnsi="宋体" w:eastAsia="宋体" w:cs="宋体"/>
                <w:color w:val="auto"/>
                <w:sz w:val="21"/>
                <w:szCs w:val="21"/>
                <w:highlight w:val="none"/>
              </w:rPr>
            </w:pPr>
            <w:r>
              <w:rPr>
                <w:rFonts w:ascii="宋体" w:hAnsi="宋体" w:eastAsia="宋体" w:cs="宋体"/>
                <w:color w:val="auto"/>
                <w:spacing w:val="5"/>
                <w:position w:val="1"/>
                <w:sz w:val="21"/>
                <w:szCs w:val="21"/>
                <w:highlight w:val="none"/>
              </w:rPr>
              <w:t>0</w:t>
            </w:r>
            <w:r>
              <w:rPr>
                <w:rFonts w:ascii="宋体" w:hAnsi="宋体" w:eastAsia="宋体" w:cs="宋体"/>
                <w:color w:val="auto"/>
                <w:spacing w:val="3"/>
                <w:position w:val="1"/>
                <w:sz w:val="21"/>
                <w:szCs w:val="21"/>
                <w:highlight w:val="none"/>
              </w:rPr>
              <w:t>.035%</w:t>
            </w:r>
          </w:p>
        </w:tc>
        <w:tc>
          <w:tcPr>
            <w:tcW w:w="1581" w:type="dxa"/>
            <w:vAlign w:val="center"/>
          </w:tcPr>
          <w:p w14:paraId="27966A38">
            <w:pPr>
              <w:spacing w:before="36" w:line="270" w:lineRule="exact"/>
              <w:ind w:left="223"/>
              <w:jc w:val="center"/>
              <w:rPr>
                <w:rFonts w:ascii="宋体" w:hAnsi="宋体" w:eastAsia="宋体" w:cs="宋体"/>
                <w:color w:val="auto"/>
                <w:sz w:val="21"/>
                <w:szCs w:val="21"/>
                <w:highlight w:val="none"/>
              </w:rPr>
            </w:pPr>
            <w:r>
              <w:rPr>
                <w:rFonts w:ascii="宋体" w:hAnsi="宋体" w:eastAsia="宋体" w:cs="宋体"/>
                <w:color w:val="auto"/>
                <w:spacing w:val="5"/>
                <w:position w:val="1"/>
                <w:sz w:val="21"/>
                <w:szCs w:val="21"/>
                <w:highlight w:val="none"/>
              </w:rPr>
              <w:t>0</w:t>
            </w:r>
            <w:r>
              <w:rPr>
                <w:rFonts w:ascii="宋体" w:hAnsi="宋体" w:eastAsia="宋体" w:cs="宋体"/>
                <w:color w:val="auto"/>
                <w:spacing w:val="3"/>
                <w:position w:val="1"/>
                <w:sz w:val="21"/>
                <w:szCs w:val="21"/>
                <w:highlight w:val="none"/>
              </w:rPr>
              <w:t>.035%</w:t>
            </w:r>
          </w:p>
        </w:tc>
      </w:tr>
    </w:tbl>
    <w:p w14:paraId="2870F2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注：招标代理服务收费按差额定率累进法计算。</w:t>
      </w:r>
    </w:p>
    <w:p w14:paraId="3C6DA6D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24.2.解释权</w:t>
      </w:r>
    </w:p>
    <w:p w14:paraId="10D14C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解释权属本采购代理机构。</w:t>
      </w:r>
    </w:p>
    <w:p w14:paraId="7753F61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 询问、质疑和投诉</w:t>
      </w:r>
    </w:p>
    <w:p w14:paraId="32927E1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24.3.1 供应商对政府采购活动事项有疑问的，可以向采购人、采购代理机构提出询问，采购人或者采购代理机构应当在 3个工作日内对供应商依法提出的询问作出答复。</w:t>
      </w:r>
    </w:p>
    <w:p w14:paraId="759EE7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24.3.2 供应商认为竞争性磋商文件、采购过程或成交结果使自己的合法权益受到损害的，应当在知道或者应知其权益受到损害之日起七个工作日内，以书面形式向采购人、采购代理机构提出质疑，接收质疑函的方式、联系部门、联系电话和通讯地址等信息详见“供应商须知前 附表”。具体质疑起算时间如下：</w:t>
      </w:r>
    </w:p>
    <w:p w14:paraId="005BF2F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对可以质疑的竞争性磋商文件提出质疑的，为收到竞争性磋商文件之日或竞争性磋商公告期限届满之日；</w:t>
      </w:r>
    </w:p>
    <w:p w14:paraId="29F9D61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对采购过程提出质疑的，为各采购程序环节结束之日；</w:t>
      </w:r>
    </w:p>
    <w:p w14:paraId="336C05B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(3) 对成交结果提出质疑的，为成交结果公告期限届满之日。</w:t>
      </w:r>
    </w:p>
    <w:p w14:paraId="3D496E2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供应商对采购人或采购代理机构的质疑答复不满意或者采购人或采购代理机构未在规定时间内作出答复的，可以在答复期满后十五个工作日内向同级采购监管部门投诉。</w:t>
      </w:r>
    </w:p>
    <w:p w14:paraId="7B488D1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24.3.3 供应商提出的询问或者质疑超出采购人对采购代理机构委托授权范围的，采购代理机构应当告知供应商向采购人提出。政府采购评审专家应当配合采购人或者采购代理机构答复供应商的询问和质疑。</w:t>
      </w:r>
    </w:p>
    <w:p w14:paraId="08BE020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24.3.4 质疑、投诉应当采用书面形式，质疑函、投诉书均应明确阐述竞争性磋商文件、采购过程或成交结果中使自己合法权益受到损害的实质性内容，提供相关事实、法律依据和证据及其来源或线索，便于有关单位调查、答复和处理。</w:t>
      </w:r>
    </w:p>
    <w:p w14:paraId="1598CA9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供应商提出质疑应当提交质疑函和必要的证明材料，针对同一采购程序环节的质疑必须在法定质疑期内一次性提出。质疑函应当包括下列内容：</w:t>
      </w:r>
    </w:p>
    <w:p w14:paraId="00EAD714">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供应商的姓名或者名称、地址、邮编、联系人及联系电话；</w:t>
      </w:r>
    </w:p>
    <w:p w14:paraId="1AB2469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质疑项目的名称、编号；</w:t>
      </w:r>
    </w:p>
    <w:p w14:paraId="0170D72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(3) 具体、明确的质疑事项和与质疑事项相关的请求；</w:t>
      </w:r>
    </w:p>
    <w:p w14:paraId="58B8C87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(4) 事实依据；</w:t>
      </w:r>
    </w:p>
    <w:p w14:paraId="13DB56F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(5) 必要的法律依据；</w:t>
      </w:r>
    </w:p>
    <w:p w14:paraId="66808084">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(6) 提出质疑的日期。</w:t>
      </w:r>
    </w:p>
    <w:p w14:paraId="2C10DA5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供应商为自然人的，应当由本人签字；供应商为法人或者其他组织的，应当由法定代表人、主要负责人，或者其委托代理人签字或者盖章，并加盖公章。</w:t>
      </w:r>
    </w:p>
    <w:p w14:paraId="331A63AD">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24.3.5 采购人、采购代理机构认为供应商质疑不成立，或者成立但未对成交结果构成影响的，继续开展采购活动；认为供应商质疑成立且影响或者可能影响成交结果的，按照下列情况处理：</w:t>
      </w:r>
    </w:p>
    <w:p w14:paraId="394D9EA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对竞争性磋商文件提出的质疑，依法通过澄清或者修改可以继续开展采购活动的，澄清或者修改竞争性磋商文件后继续开展采购活动；否则应当在修改竞争性磋商文件后重新开展采购活动。</w:t>
      </w:r>
    </w:p>
    <w:p w14:paraId="14C62C1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对采购过程、成交结果提出的质疑，合格供应商符合法定数量时，可以从合格的成交候选人中另行确定成交供应商的，应当依法另行确定成交供应商；否则应当重新开展采购活动。</w:t>
      </w:r>
    </w:p>
    <w:p w14:paraId="5AF48AF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质疑答复导致成交结果改变的，采购人或者采购代理机构应当将有关情况书面报告本级财政部门。</w:t>
      </w:r>
    </w:p>
    <w:p w14:paraId="3C8D5932">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24.3.6 投诉的权利。质疑供应商对采购人、采购代理机构的答复不满意，或者采购人、采购代理机构未在规定时间内作出答复的，可以在答复期满后15个工作日内向《政府采购质疑和投诉办法》(财政部令第94号) 第六条规定的财政部门提起投诉。</w:t>
      </w:r>
    </w:p>
    <w:p w14:paraId="50D7A782">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所有与本磋商文件有关的函件请按下列通讯地址联系：</w:t>
      </w:r>
    </w:p>
    <w:p w14:paraId="0CCAEEC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r>
        <w:rPr>
          <w:rFonts w:hint="eastAsia" w:ascii="宋体" w:hAnsi="宋体" w:cs="宋体"/>
          <w:b w:val="0"/>
          <w:bCs/>
          <w:color w:val="auto"/>
          <w:szCs w:val="21"/>
          <w:highlight w:val="none"/>
        </w:rPr>
        <w:t>通讯地址：</w:t>
      </w:r>
      <w:r>
        <w:rPr>
          <w:rFonts w:hint="eastAsia" w:asciiTheme="minorEastAsia" w:hAnsiTheme="minorEastAsia" w:eastAsiaTheme="minorEastAsia" w:cstheme="minorEastAsia"/>
          <w:b w:val="0"/>
          <w:bCs w:val="0"/>
          <w:color w:val="auto"/>
          <w:kern w:val="0"/>
          <w:sz w:val="21"/>
          <w:szCs w:val="21"/>
          <w:highlight w:val="none"/>
          <w:lang w:val="en-US" w:eastAsia="zh-CN" w:bidi="ar-SA"/>
        </w:rPr>
        <w:t>钦州市浦北县小江镇牡丹路22号(浦东新城)17幢111铺</w:t>
      </w:r>
    </w:p>
    <w:p w14:paraId="5F4E1BB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rPr>
        <w:t xml:space="preserve">电话： </w:t>
      </w:r>
      <w:r>
        <w:rPr>
          <w:rFonts w:hint="eastAsia" w:ascii="宋体" w:hAnsi="宋体" w:cs="宋体"/>
          <w:b w:val="0"/>
          <w:bCs/>
          <w:color w:val="auto"/>
          <w:szCs w:val="21"/>
          <w:highlight w:val="none"/>
          <w:lang w:eastAsia="zh-CN"/>
        </w:rPr>
        <w:t>0777-8318828</w:t>
      </w:r>
    </w:p>
    <w:p w14:paraId="2724EE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 w:val="0"/>
          <w:bCs/>
          <w:color w:val="auto"/>
          <w:szCs w:val="21"/>
          <w:highlight w:val="none"/>
        </w:rPr>
      </w:pPr>
    </w:p>
    <w:p w14:paraId="3E5245B9">
      <w:pPr>
        <w:pStyle w:val="15"/>
        <w:rPr>
          <w:rFonts w:ascii="宋体" w:hAnsi="宋体" w:cs="宋体"/>
          <w:b w:val="0"/>
          <w:bCs/>
          <w:color w:val="auto"/>
          <w:szCs w:val="21"/>
          <w:highlight w:val="none"/>
        </w:rPr>
      </w:pPr>
    </w:p>
    <w:p w14:paraId="07186405">
      <w:pPr>
        <w:pStyle w:val="15"/>
        <w:rPr>
          <w:rFonts w:ascii="宋体" w:hAnsi="宋体" w:cs="宋体"/>
          <w:b w:val="0"/>
          <w:bCs/>
          <w:color w:val="auto"/>
          <w:szCs w:val="21"/>
          <w:highlight w:val="none"/>
        </w:rPr>
      </w:pPr>
    </w:p>
    <w:p w14:paraId="3C04ACD2">
      <w:pPr>
        <w:pStyle w:val="15"/>
        <w:rPr>
          <w:rFonts w:ascii="宋体" w:hAnsi="宋体" w:cs="宋体"/>
          <w:b w:val="0"/>
          <w:bCs/>
          <w:color w:val="auto"/>
          <w:szCs w:val="21"/>
          <w:highlight w:val="none"/>
        </w:rPr>
      </w:pPr>
    </w:p>
    <w:p w14:paraId="2E59EF2A">
      <w:pPr>
        <w:pStyle w:val="15"/>
        <w:rPr>
          <w:rFonts w:ascii="宋体" w:hAnsi="宋体" w:cs="宋体"/>
          <w:b w:val="0"/>
          <w:bCs/>
          <w:color w:val="auto"/>
          <w:szCs w:val="21"/>
          <w:highlight w:val="none"/>
        </w:rPr>
      </w:pPr>
    </w:p>
    <w:p w14:paraId="12DD1D63">
      <w:pPr>
        <w:pStyle w:val="15"/>
        <w:rPr>
          <w:rFonts w:ascii="宋体" w:hAnsi="宋体" w:cs="宋体"/>
          <w:b w:val="0"/>
          <w:bCs/>
          <w:color w:val="auto"/>
          <w:szCs w:val="21"/>
          <w:highlight w:val="none"/>
        </w:rPr>
      </w:pPr>
    </w:p>
    <w:p w14:paraId="5736B50C">
      <w:pPr>
        <w:pStyle w:val="15"/>
        <w:rPr>
          <w:rFonts w:ascii="宋体" w:hAnsi="宋体" w:cs="宋体"/>
          <w:b w:val="0"/>
          <w:bCs/>
          <w:color w:val="auto"/>
          <w:szCs w:val="21"/>
          <w:highlight w:val="none"/>
        </w:rPr>
      </w:pPr>
    </w:p>
    <w:p w14:paraId="2818574C">
      <w:pPr>
        <w:pStyle w:val="15"/>
        <w:rPr>
          <w:rFonts w:ascii="宋体" w:hAnsi="宋体" w:cs="宋体"/>
          <w:b w:val="0"/>
          <w:bCs/>
          <w:color w:val="auto"/>
          <w:szCs w:val="21"/>
          <w:highlight w:val="none"/>
        </w:rPr>
      </w:pPr>
    </w:p>
    <w:p w14:paraId="59614304">
      <w:pPr>
        <w:pStyle w:val="15"/>
        <w:rPr>
          <w:rFonts w:ascii="宋体" w:hAnsi="宋体" w:cs="宋体"/>
          <w:b w:val="0"/>
          <w:bCs/>
          <w:color w:val="auto"/>
          <w:szCs w:val="21"/>
          <w:highlight w:val="none"/>
        </w:rPr>
      </w:pPr>
    </w:p>
    <w:p w14:paraId="1D83B409">
      <w:pPr>
        <w:pStyle w:val="15"/>
        <w:ind w:left="0" w:leftChars="0" w:firstLine="0" w:firstLineChars="0"/>
        <w:rPr>
          <w:rFonts w:ascii="宋体" w:hAnsi="宋体" w:cs="宋体"/>
          <w:b w:val="0"/>
          <w:bCs/>
          <w:color w:val="auto"/>
          <w:szCs w:val="21"/>
          <w:highlight w:val="none"/>
        </w:rPr>
      </w:pPr>
    </w:p>
    <w:p w14:paraId="69A8C732">
      <w:pPr>
        <w:jc w:val="center"/>
        <w:outlineLvl w:val="0"/>
        <w:rPr>
          <w:rFonts w:hint="eastAsia" w:ascii="宋体" w:hAnsi="宋体" w:cs="宋体"/>
          <w:b/>
          <w:bCs/>
          <w:color w:val="auto"/>
          <w:spacing w:val="-14"/>
          <w:kern w:val="0"/>
          <w:position w:val="-6"/>
          <w:sz w:val="36"/>
          <w:szCs w:val="36"/>
          <w:highlight w:val="none"/>
        </w:rPr>
      </w:pPr>
      <w:bookmarkStart w:id="66" w:name="_Toc26558"/>
    </w:p>
    <w:p w14:paraId="37FBB12C">
      <w:pPr>
        <w:jc w:val="both"/>
        <w:outlineLvl w:val="0"/>
        <w:rPr>
          <w:rFonts w:hint="eastAsia" w:ascii="宋体" w:hAnsi="宋体" w:cs="宋体"/>
          <w:b/>
          <w:bCs/>
          <w:color w:val="auto"/>
          <w:spacing w:val="-14"/>
          <w:kern w:val="0"/>
          <w:position w:val="-6"/>
          <w:sz w:val="36"/>
          <w:szCs w:val="36"/>
          <w:highlight w:val="none"/>
        </w:rPr>
      </w:pPr>
    </w:p>
    <w:p w14:paraId="2E5C68F9">
      <w:pPr>
        <w:jc w:val="center"/>
        <w:outlineLvl w:val="0"/>
        <w:rPr>
          <w:rFonts w:hint="eastAsia" w:ascii="宋体" w:hAnsi="宋体" w:cs="宋体"/>
          <w:b/>
          <w:bCs/>
          <w:color w:val="auto"/>
          <w:spacing w:val="-14"/>
          <w:kern w:val="0"/>
          <w:position w:val="-6"/>
          <w:sz w:val="36"/>
          <w:szCs w:val="36"/>
          <w:highlight w:val="none"/>
        </w:rPr>
      </w:pPr>
      <w:r>
        <w:rPr>
          <w:rFonts w:hint="eastAsia" w:ascii="宋体" w:hAnsi="宋体" w:cs="宋体"/>
          <w:b/>
          <w:bCs/>
          <w:color w:val="auto"/>
          <w:spacing w:val="-14"/>
          <w:kern w:val="0"/>
          <w:position w:val="-6"/>
          <w:sz w:val="36"/>
          <w:szCs w:val="36"/>
          <w:highlight w:val="none"/>
        </w:rPr>
        <w:t>第三章  项目基本情况及要求</w:t>
      </w:r>
      <w:bookmarkEnd w:id="66"/>
    </w:p>
    <w:p w14:paraId="1474B845">
      <w:pPr>
        <w:pStyle w:val="47"/>
        <w:ind w:firstLine="915"/>
        <w:rPr>
          <w:color w:val="auto"/>
          <w:highlight w:val="none"/>
        </w:rPr>
      </w:pPr>
    </w:p>
    <w:p w14:paraId="43807E3E">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说明：</w:t>
      </w:r>
    </w:p>
    <w:p w14:paraId="2D9A0EB5">
      <w:pPr>
        <w:spacing w:line="360" w:lineRule="auto"/>
        <w:ind w:firstLine="424" w:firstLineChars="202"/>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 xml:space="preserve">.商务条款评审中允许负偏离的非实质性条款数为 </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lang w:eastAsia="zh-CN"/>
        </w:rPr>
        <w:t xml:space="preserve"> 项。</w:t>
      </w:r>
    </w:p>
    <w:p w14:paraId="58714A70">
      <w:pPr>
        <w:spacing w:line="360" w:lineRule="auto"/>
        <w:ind w:firstLine="424" w:firstLineChars="202"/>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 xml:space="preserve">服务需求评审中允许负偏离的非实质性条款数为 </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lang w:eastAsia="zh-CN"/>
        </w:rPr>
        <w:t xml:space="preserve"> 项。</w:t>
      </w:r>
    </w:p>
    <w:p w14:paraId="53396659">
      <w:pPr>
        <w:spacing w:line="360" w:lineRule="auto"/>
        <w:ind w:firstLine="424" w:firstLineChars="202"/>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供应商必须自行为其竞标产品侵犯他人的知识产权或者专利成果的行为承担相应法律责任。</w:t>
      </w:r>
    </w:p>
    <w:p w14:paraId="2556A135">
      <w:pPr>
        <w:spacing w:line="360" w:lineRule="auto"/>
        <w:ind w:firstLine="424" w:firstLineChars="202"/>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本项目所属行业：建筑业</w:t>
      </w:r>
    </w:p>
    <w:tbl>
      <w:tblPr>
        <w:tblStyle w:val="30"/>
        <w:tblW w:w="88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9"/>
        <w:gridCol w:w="1399"/>
        <w:gridCol w:w="585"/>
        <w:gridCol w:w="851"/>
        <w:gridCol w:w="4194"/>
        <w:gridCol w:w="1387"/>
      </w:tblGrid>
      <w:tr w14:paraId="07810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389" w:type="dxa"/>
            <w:noWrap w:val="0"/>
            <w:vAlign w:val="center"/>
          </w:tcPr>
          <w:p w14:paraId="6B0F3544">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984" w:type="dxa"/>
            <w:gridSpan w:val="2"/>
            <w:noWrap w:val="0"/>
            <w:vAlign w:val="center"/>
          </w:tcPr>
          <w:p w14:paraId="36D7F20B">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851" w:type="dxa"/>
            <w:noWrap w:val="0"/>
            <w:vAlign w:val="center"/>
          </w:tcPr>
          <w:p w14:paraId="44F98147">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数量及单位</w:t>
            </w:r>
          </w:p>
        </w:tc>
        <w:tc>
          <w:tcPr>
            <w:tcW w:w="4194" w:type="dxa"/>
            <w:noWrap w:val="0"/>
            <w:vAlign w:val="center"/>
          </w:tcPr>
          <w:p w14:paraId="78EABDDB">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lang w:eastAsia="zh-CN"/>
              </w:rPr>
              <w:t>具体</w:t>
            </w:r>
            <w:r>
              <w:rPr>
                <w:rFonts w:hint="eastAsia" w:ascii="宋体" w:hAnsi="宋体" w:cs="宋体"/>
                <w:color w:val="auto"/>
                <w:szCs w:val="21"/>
                <w:highlight w:val="none"/>
              </w:rPr>
              <w:t>要求</w:t>
            </w:r>
          </w:p>
        </w:tc>
        <w:tc>
          <w:tcPr>
            <w:tcW w:w="1387" w:type="dxa"/>
            <w:noWrap w:val="0"/>
            <w:vAlign w:val="center"/>
          </w:tcPr>
          <w:p w14:paraId="737FD601">
            <w:pPr>
              <w:tabs>
                <w:tab w:val="left" w:pos="180"/>
                <w:tab w:val="left" w:pos="1620"/>
              </w:tabs>
              <w:spacing w:line="360" w:lineRule="auto"/>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最高限价（元）</w:t>
            </w:r>
          </w:p>
        </w:tc>
      </w:tr>
      <w:tr w14:paraId="03F27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389" w:type="dxa"/>
            <w:noWrap w:val="0"/>
            <w:vAlign w:val="center"/>
          </w:tcPr>
          <w:p w14:paraId="543035F0">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984" w:type="dxa"/>
            <w:gridSpan w:val="2"/>
            <w:noWrap w:val="0"/>
            <w:vAlign w:val="center"/>
          </w:tcPr>
          <w:p w14:paraId="43010E36">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eastAsia="宋体" w:cs="宋体"/>
                <w:sz w:val="21"/>
                <w:szCs w:val="21"/>
                <w:u w:val="none"/>
                <w:lang w:val="en-US" w:eastAsia="zh-CN"/>
              </w:rPr>
              <w:t>浦北县第二中学运动场维修项目</w:t>
            </w:r>
            <w:r>
              <w:rPr>
                <w:rFonts w:hint="eastAsia" w:ascii="宋体" w:hAnsi="宋体" w:cs="宋体"/>
                <w:color w:val="auto"/>
                <w:sz w:val="21"/>
                <w:szCs w:val="21"/>
                <w:highlight w:val="none"/>
                <w:u w:val="none"/>
              </w:rPr>
              <w:t xml:space="preserve"> </w:t>
            </w:r>
            <w:r>
              <w:rPr>
                <w:rFonts w:hint="eastAsia" w:ascii="宋体" w:hAnsi="宋体" w:cs="宋体"/>
                <w:color w:val="auto"/>
                <w:szCs w:val="21"/>
                <w:highlight w:val="none"/>
              </w:rPr>
              <w:t xml:space="preserve">            </w:t>
            </w:r>
          </w:p>
        </w:tc>
        <w:tc>
          <w:tcPr>
            <w:tcW w:w="851" w:type="dxa"/>
            <w:noWrap w:val="0"/>
            <w:vAlign w:val="center"/>
          </w:tcPr>
          <w:p w14:paraId="3667892A">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1项</w:t>
            </w:r>
          </w:p>
        </w:tc>
        <w:tc>
          <w:tcPr>
            <w:tcW w:w="4194" w:type="dxa"/>
            <w:noWrap w:val="0"/>
            <w:vAlign w:val="center"/>
          </w:tcPr>
          <w:p w14:paraId="2EB52D8F">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、工程概况：</w:t>
            </w:r>
            <w:r>
              <w:rPr>
                <w:rFonts w:hint="eastAsia" w:ascii="宋体" w:hAnsi="宋体" w:eastAsia="宋体" w:cs="宋体"/>
                <w:sz w:val="21"/>
                <w:szCs w:val="21"/>
                <w:u w:val="none"/>
                <w:lang w:val="en-US" w:eastAsia="zh-CN"/>
              </w:rPr>
              <w:t>浦北县第二中学运动场维修项目</w:t>
            </w:r>
            <w:r>
              <w:rPr>
                <w:rFonts w:hint="eastAsia" w:ascii="宋体" w:hAnsi="宋体" w:cs="宋体"/>
                <w:color w:val="auto"/>
                <w:sz w:val="21"/>
                <w:szCs w:val="21"/>
                <w:highlight w:val="none"/>
                <w:u w:val="none"/>
              </w:rPr>
              <w:t xml:space="preserve"> </w:t>
            </w:r>
            <w:r>
              <w:rPr>
                <w:rFonts w:hint="eastAsia" w:ascii="宋体" w:hAnsi="宋体" w:eastAsia="宋体" w:cs="宋体"/>
                <w:color w:val="auto"/>
                <w:szCs w:val="21"/>
                <w:highlight w:val="none"/>
                <w:lang w:eastAsia="zh-CN"/>
              </w:rPr>
              <w:t>，包含施工图纸范围内的工程，</w:t>
            </w:r>
            <w:r>
              <w:rPr>
                <w:rFonts w:hint="eastAsia" w:ascii="宋体" w:hAnsi="宋体" w:eastAsia="宋体" w:cs="宋体"/>
                <w:color w:val="auto"/>
                <w:szCs w:val="21"/>
                <w:highlight w:val="none"/>
              </w:rPr>
              <w:t>具体详见工程量清单及</w:t>
            </w:r>
            <w:r>
              <w:rPr>
                <w:rFonts w:hint="eastAsia" w:ascii="宋体" w:hAnsi="宋体" w:cs="宋体"/>
                <w:color w:val="auto"/>
                <w:szCs w:val="21"/>
                <w:highlight w:val="none"/>
                <w:lang w:eastAsia="zh-CN"/>
              </w:rPr>
              <w:t>施工</w:t>
            </w:r>
            <w:r>
              <w:rPr>
                <w:rFonts w:hint="eastAsia" w:ascii="宋体" w:hAnsi="宋体" w:eastAsia="宋体" w:cs="宋体"/>
                <w:color w:val="auto"/>
                <w:szCs w:val="21"/>
                <w:highlight w:val="none"/>
              </w:rPr>
              <w:t>图纸。</w:t>
            </w:r>
          </w:p>
          <w:p w14:paraId="2B66A56F">
            <w:pPr>
              <w:pStyle w:val="50"/>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、工程质量要求：达到国家施工验收规范合格标准要求。</w:t>
            </w:r>
          </w:p>
          <w:p w14:paraId="0A91FAA4">
            <w:pPr>
              <w:pStyle w:val="50"/>
              <w:spacing w:line="360" w:lineRule="auto"/>
              <w:ind w:firstLine="0" w:firstLineChars="0"/>
              <w:rPr>
                <w:rFonts w:hint="eastAsia"/>
                <w:color w:val="auto"/>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、具体需求</w:t>
            </w:r>
            <w:r>
              <w:rPr>
                <w:rFonts w:hint="eastAsia" w:ascii="宋体" w:hAnsi="宋体" w:cs="宋体"/>
                <w:color w:val="auto"/>
                <w:szCs w:val="21"/>
                <w:highlight w:val="none"/>
              </w:rPr>
              <w:t>内容</w:t>
            </w:r>
            <w:r>
              <w:rPr>
                <w:rFonts w:hint="eastAsia" w:ascii="宋体" w:hAnsi="宋体" w:cs="宋体"/>
                <w:color w:val="auto"/>
                <w:szCs w:val="21"/>
                <w:highlight w:val="none"/>
                <w:lang w:eastAsia="zh-CN"/>
              </w:rPr>
              <w:t>及</w:t>
            </w:r>
            <w:r>
              <w:rPr>
                <w:rFonts w:hint="eastAsia" w:ascii="宋体" w:hAnsi="宋体" w:cs="宋体"/>
                <w:color w:val="auto"/>
                <w:szCs w:val="21"/>
                <w:highlight w:val="none"/>
              </w:rPr>
              <w:t>编制说明详见工程量清单（另册发放）</w:t>
            </w:r>
          </w:p>
        </w:tc>
        <w:tc>
          <w:tcPr>
            <w:tcW w:w="1387" w:type="dxa"/>
            <w:noWrap w:val="0"/>
            <w:vAlign w:val="center"/>
          </w:tcPr>
          <w:p w14:paraId="72B582DF">
            <w:pPr>
              <w:pStyle w:val="50"/>
              <w:spacing w:line="360" w:lineRule="auto"/>
              <w:ind w:firstLine="0" w:firstLineChars="0"/>
              <w:jc w:val="center"/>
              <w:rPr>
                <w:rFonts w:hint="default" w:ascii="宋体" w:hAnsi="宋体" w:eastAsia="宋体" w:cs="宋体"/>
                <w:color w:val="auto"/>
                <w:szCs w:val="21"/>
                <w:highlight w:val="none"/>
                <w:lang w:val="en-US" w:eastAsia="zh-CN"/>
              </w:rPr>
            </w:pPr>
            <w:r>
              <w:rPr>
                <w:rFonts w:hint="eastAsia" w:ascii="宋体" w:hAnsi="宋体" w:eastAsia="宋体" w:cs="宋体"/>
                <w:b w:val="0"/>
                <w:kern w:val="10"/>
                <w:sz w:val="21"/>
                <w:szCs w:val="21"/>
                <w:u w:val="none"/>
                <w:lang w:val="en-US" w:eastAsia="zh-CN"/>
              </w:rPr>
              <w:t>688648.65</w:t>
            </w:r>
          </w:p>
        </w:tc>
      </w:tr>
      <w:tr w14:paraId="2BB2DE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6"/>
            <w:tcBorders>
              <w:top w:val="single" w:color="auto" w:sz="4" w:space="0"/>
              <w:left w:val="single" w:color="auto" w:sz="4" w:space="0"/>
              <w:bottom w:val="single" w:color="auto" w:sz="4" w:space="0"/>
              <w:right w:val="single" w:color="auto" w:sz="4" w:space="0"/>
            </w:tcBorders>
            <w:noWrap w:val="0"/>
            <w:vAlign w:val="top"/>
          </w:tcPr>
          <w:p w14:paraId="748DA74F">
            <w:pPr>
              <w:spacing w:line="360" w:lineRule="auto"/>
              <w:rPr>
                <w:rFonts w:ascii="宋体" w:hAnsi="宋体"/>
                <w:color w:val="auto"/>
                <w:szCs w:val="21"/>
                <w:highlight w:val="none"/>
              </w:rPr>
            </w:pPr>
            <w:r>
              <w:rPr>
                <w:rFonts w:hint="eastAsia" w:ascii="宋体" w:hAnsi="宋体"/>
                <w:b/>
                <w:color w:val="auto"/>
                <w:szCs w:val="21"/>
                <w:highlight w:val="none"/>
              </w:rPr>
              <w:t>商务要求</w:t>
            </w:r>
          </w:p>
        </w:tc>
      </w:tr>
      <w:tr w14:paraId="5569C6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5968DA0F">
            <w:pPr>
              <w:spacing w:line="360" w:lineRule="auto"/>
              <w:jc w:val="center"/>
              <w:rPr>
                <w:rFonts w:ascii="宋体" w:hAnsi="宋体"/>
                <w:b/>
                <w:color w:val="auto"/>
                <w:szCs w:val="21"/>
                <w:highlight w:val="none"/>
              </w:rPr>
            </w:pPr>
            <w:r>
              <w:rPr>
                <w:rFonts w:hint="eastAsia" w:ascii="宋体" w:hAnsi="宋体"/>
                <w:b/>
                <w:color w:val="auto"/>
                <w:szCs w:val="21"/>
                <w:highlight w:val="none"/>
                <w:lang w:val="en-US" w:eastAsia="zh-CN"/>
              </w:rPr>
              <w:t>合同履约期限</w:t>
            </w:r>
          </w:p>
        </w:tc>
        <w:tc>
          <w:tcPr>
            <w:tcW w:w="7017" w:type="dxa"/>
            <w:gridSpan w:val="4"/>
            <w:tcBorders>
              <w:top w:val="single" w:color="auto" w:sz="4" w:space="0"/>
              <w:left w:val="single" w:color="auto" w:sz="4" w:space="0"/>
              <w:bottom w:val="single" w:color="auto" w:sz="4" w:space="0"/>
              <w:right w:val="single" w:color="auto" w:sz="4" w:space="0"/>
            </w:tcBorders>
            <w:noWrap w:val="0"/>
            <w:vAlign w:val="center"/>
          </w:tcPr>
          <w:p w14:paraId="647D01D4">
            <w:pPr>
              <w:jc w:val="both"/>
              <w:rPr>
                <w:rFonts w:ascii="宋体" w:hAnsi="宋体"/>
                <w:b/>
                <w:color w:val="auto"/>
                <w:szCs w:val="21"/>
                <w:highlight w:val="none"/>
              </w:rPr>
            </w:pPr>
            <w:r>
              <w:rPr>
                <w:rFonts w:hint="eastAsia" w:ascii="宋体" w:hAnsi="宋体" w:eastAsia="宋体" w:cs="宋体"/>
                <w:b w:val="0"/>
                <w:bCs w:val="0"/>
                <w:color w:val="auto"/>
                <w:kern w:val="0"/>
                <w:sz w:val="21"/>
                <w:szCs w:val="21"/>
                <w:highlight w:val="none"/>
                <w:lang w:val="en-US" w:eastAsia="zh-CN"/>
              </w:rPr>
              <w:t>施工工期</w:t>
            </w:r>
            <w:r>
              <w:rPr>
                <w:rFonts w:hint="eastAsia" w:ascii="宋体" w:hAnsi="宋体" w:cs="宋体"/>
                <w:b w:val="0"/>
                <w:bCs w:val="0"/>
                <w:color w:val="auto"/>
                <w:kern w:val="0"/>
                <w:sz w:val="21"/>
                <w:szCs w:val="21"/>
                <w:highlight w:val="none"/>
                <w:lang w:val="en-US" w:eastAsia="zh-CN"/>
              </w:rPr>
              <w:t>20</w:t>
            </w:r>
            <w:r>
              <w:rPr>
                <w:rFonts w:hint="eastAsia" w:ascii="宋体" w:hAnsi="宋体" w:eastAsia="宋体" w:cs="宋体"/>
                <w:b w:val="0"/>
                <w:bCs w:val="0"/>
                <w:color w:val="auto"/>
                <w:kern w:val="0"/>
                <w:sz w:val="21"/>
                <w:szCs w:val="21"/>
                <w:highlight w:val="none"/>
                <w:lang w:val="en-US" w:eastAsia="zh-CN"/>
              </w:rPr>
              <w:t>日历天</w:t>
            </w:r>
          </w:p>
        </w:tc>
      </w:tr>
      <w:tr w14:paraId="0FC799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0DA07B5F">
            <w:pPr>
              <w:spacing w:line="360" w:lineRule="auto"/>
              <w:jc w:val="center"/>
              <w:rPr>
                <w:rFonts w:hint="eastAsia" w:ascii="宋体" w:hAnsi="宋体"/>
                <w:color w:val="auto"/>
                <w:szCs w:val="21"/>
                <w:highlight w:val="none"/>
              </w:rPr>
            </w:pPr>
            <w:r>
              <w:rPr>
                <w:rFonts w:hint="eastAsia" w:ascii="宋体" w:hAnsi="宋体"/>
                <w:color w:val="auto"/>
                <w:szCs w:val="21"/>
                <w:highlight w:val="none"/>
              </w:rPr>
              <w:t>建设地点</w:t>
            </w:r>
          </w:p>
        </w:tc>
        <w:tc>
          <w:tcPr>
            <w:tcW w:w="7017" w:type="dxa"/>
            <w:gridSpan w:val="4"/>
            <w:tcBorders>
              <w:top w:val="single" w:color="auto" w:sz="4" w:space="0"/>
              <w:left w:val="single" w:color="auto" w:sz="4" w:space="0"/>
              <w:bottom w:val="single" w:color="auto" w:sz="4" w:space="0"/>
              <w:right w:val="single" w:color="auto" w:sz="4" w:space="0"/>
            </w:tcBorders>
            <w:noWrap w:val="0"/>
            <w:vAlign w:val="center"/>
          </w:tcPr>
          <w:p w14:paraId="39C944F2">
            <w:pPr>
              <w:spacing w:line="360" w:lineRule="auto"/>
              <w:jc w:val="both"/>
              <w:rPr>
                <w:rFonts w:hint="eastAsia" w:ascii="宋体" w:hAnsi="宋体"/>
                <w:color w:val="auto"/>
                <w:szCs w:val="21"/>
                <w:highlight w:val="none"/>
              </w:rPr>
            </w:pPr>
            <w:r>
              <w:rPr>
                <w:rFonts w:hint="eastAsia" w:ascii="宋体" w:hAnsi="宋体" w:cs="宋体"/>
                <w:b w:val="0"/>
                <w:bCs w:val="0"/>
                <w:color w:val="auto"/>
                <w:kern w:val="0"/>
                <w:sz w:val="21"/>
                <w:szCs w:val="21"/>
                <w:highlight w:val="none"/>
                <w:lang w:eastAsia="zh-CN"/>
              </w:rPr>
              <w:t>浦北县</w:t>
            </w:r>
            <w:r>
              <w:rPr>
                <w:rFonts w:hint="eastAsia" w:ascii="宋体" w:hAnsi="宋体" w:cs="宋体"/>
                <w:b w:val="0"/>
                <w:bCs w:val="0"/>
                <w:color w:val="auto"/>
                <w:kern w:val="0"/>
                <w:sz w:val="21"/>
                <w:szCs w:val="21"/>
                <w:highlight w:val="none"/>
                <w:lang w:val="en-US" w:eastAsia="zh-CN"/>
              </w:rPr>
              <w:t>内</w:t>
            </w:r>
          </w:p>
        </w:tc>
      </w:tr>
      <w:tr w14:paraId="4E365E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5DB4A1A1">
            <w:pPr>
              <w:spacing w:line="360" w:lineRule="auto"/>
              <w:jc w:val="center"/>
              <w:rPr>
                <w:rFonts w:ascii="宋体" w:hAnsi="宋体"/>
                <w:b/>
                <w:color w:val="auto"/>
                <w:szCs w:val="21"/>
                <w:highlight w:val="none"/>
              </w:rPr>
            </w:pPr>
            <w:r>
              <w:rPr>
                <w:rFonts w:hint="eastAsia" w:ascii="宋体" w:hAnsi="宋体"/>
                <w:color w:val="auto"/>
                <w:szCs w:val="21"/>
                <w:highlight w:val="none"/>
              </w:rPr>
              <w:t>合同签订时间</w:t>
            </w:r>
          </w:p>
        </w:tc>
        <w:tc>
          <w:tcPr>
            <w:tcW w:w="7017" w:type="dxa"/>
            <w:gridSpan w:val="4"/>
            <w:tcBorders>
              <w:top w:val="single" w:color="auto" w:sz="4" w:space="0"/>
              <w:left w:val="single" w:color="auto" w:sz="4" w:space="0"/>
              <w:bottom w:val="single" w:color="auto" w:sz="4" w:space="0"/>
              <w:right w:val="single" w:color="auto" w:sz="4" w:space="0"/>
            </w:tcBorders>
            <w:noWrap w:val="0"/>
            <w:vAlign w:val="center"/>
          </w:tcPr>
          <w:p w14:paraId="68F33CA2">
            <w:pPr>
              <w:spacing w:line="360" w:lineRule="auto"/>
              <w:jc w:val="both"/>
              <w:rPr>
                <w:rFonts w:ascii="宋体" w:hAnsi="宋体"/>
                <w:b/>
                <w:color w:val="auto"/>
                <w:szCs w:val="21"/>
                <w:highlight w:val="none"/>
              </w:rPr>
            </w:pPr>
            <w:r>
              <w:rPr>
                <w:rFonts w:hint="eastAsia" w:ascii="宋体" w:hAnsi="宋体"/>
                <w:color w:val="auto"/>
                <w:szCs w:val="21"/>
                <w:highlight w:val="none"/>
              </w:rPr>
              <w:t xml:space="preserve">自成交通知书发出之日起 </w:t>
            </w:r>
            <w:r>
              <w:rPr>
                <w:rFonts w:hint="eastAsia" w:ascii="宋体" w:hAnsi="宋体"/>
                <w:color w:val="auto"/>
                <w:szCs w:val="21"/>
                <w:highlight w:val="none"/>
                <w:u w:val="single"/>
              </w:rPr>
              <w:t xml:space="preserve">  25  </w:t>
            </w:r>
            <w:r>
              <w:rPr>
                <w:rFonts w:hint="eastAsia" w:ascii="宋体" w:hAnsi="宋体"/>
                <w:color w:val="auto"/>
                <w:szCs w:val="21"/>
                <w:highlight w:val="none"/>
              </w:rPr>
              <w:t>日内。（最迟不能超过25日）</w:t>
            </w:r>
          </w:p>
        </w:tc>
      </w:tr>
      <w:tr w14:paraId="40F7BB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1" w:hRule="atLeast"/>
          <w:jc w:val="center"/>
        </w:trPr>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5C5EFC80">
            <w:pPr>
              <w:spacing w:line="360" w:lineRule="auto"/>
              <w:jc w:val="center"/>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付款条件（进度和方式）</w:t>
            </w:r>
          </w:p>
        </w:tc>
        <w:tc>
          <w:tcPr>
            <w:tcW w:w="7017" w:type="dxa"/>
            <w:gridSpan w:val="4"/>
            <w:tcBorders>
              <w:top w:val="single" w:color="auto" w:sz="4" w:space="0"/>
              <w:left w:val="single" w:color="auto" w:sz="4" w:space="0"/>
              <w:bottom w:val="single" w:color="auto" w:sz="4" w:space="0"/>
              <w:right w:val="single" w:color="auto" w:sz="4" w:space="0"/>
            </w:tcBorders>
            <w:noWrap w:val="0"/>
            <w:vAlign w:val="center"/>
          </w:tcPr>
          <w:p w14:paraId="16E5B451">
            <w:pPr>
              <w:keepNext w:val="0"/>
              <w:keepLines w:val="0"/>
              <w:pageBreakBefore w:val="0"/>
              <w:widowControl w:val="0"/>
              <w:shd w:val="clear" w:color="auto" w:fill="auto"/>
              <w:kinsoku/>
              <w:wordWrap/>
              <w:overflowPunct/>
              <w:topLinePunct w:val="0"/>
              <w:autoSpaceDE/>
              <w:autoSpaceDN/>
              <w:bidi w:val="0"/>
              <w:adjustRightInd/>
              <w:snapToGrid/>
              <w:spacing w:line="336" w:lineRule="auto"/>
              <w:ind w:firstLine="420" w:firstLineChars="200"/>
              <w:jc w:val="both"/>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①项目实质性开工</w:t>
            </w:r>
            <w:r>
              <w:rPr>
                <w:rFonts w:hint="eastAsia" w:ascii="宋体" w:hAnsi="宋体" w:eastAsia="宋体" w:cs="宋体"/>
                <w:b w:val="0"/>
                <w:bCs w:val="0"/>
                <w:color w:val="auto"/>
                <w:sz w:val="21"/>
                <w:szCs w:val="21"/>
                <w:highlight w:val="none"/>
                <w:lang w:val="en-US" w:eastAsia="zh-CN"/>
              </w:rPr>
              <w:t>7天</w:t>
            </w:r>
            <w:r>
              <w:rPr>
                <w:rFonts w:hint="eastAsia" w:ascii="宋体" w:hAnsi="宋体" w:eastAsia="宋体" w:cs="宋体"/>
                <w:b w:val="0"/>
                <w:bCs w:val="0"/>
                <w:color w:val="auto"/>
                <w:sz w:val="21"/>
                <w:szCs w:val="21"/>
                <w:highlight w:val="none"/>
                <w:lang w:eastAsia="zh-CN"/>
              </w:rPr>
              <w:t>后，可以向财政</w:t>
            </w:r>
            <w:r>
              <w:rPr>
                <w:rFonts w:hint="eastAsia" w:ascii="宋体" w:hAnsi="宋体" w:eastAsia="宋体" w:cs="宋体"/>
                <w:b w:val="0"/>
                <w:bCs w:val="0"/>
                <w:color w:val="auto"/>
                <w:sz w:val="21"/>
                <w:szCs w:val="21"/>
                <w:highlight w:val="none"/>
                <w:lang w:val="en-US" w:eastAsia="zh-CN"/>
              </w:rPr>
              <w:t>部门</w:t>
            </w:r>
            <w:r>
              <w:rPr>
                <w:rFonts w:hint="eastAsia" w:ascii="宋体" w:hAnsi="宋体" w:eastAsia="宋体" w:cs="宋体"/>
                <w:b w:val="0"/>
                <w:bCs w:val="0"/>
                <w:color w:val="auto"/>
                <w:sz w:val="21"/>
                <w:szCs w:val="21"/>
                <w:highlight w:val="none"/>
                <w:lang w:eastAsia="zh-CN"/>
              </w:rPr>
              <w:t>申请不高于合同价</w:t>
            </w:r>
            <w:r>
              <w:rPr>
                <w:rFonts w:hint="eastAsia" w:ascii="宋体" w:hAnsi="宋体" w:eastAsia="宋体" w:cs="宋体"/>
                <w:b w:val="0"/>
                <w:bCs w:val="0"/>
                <w:color w:val="auto"/>
                <w:sz w:val="21"/>
                <w:szCs w:val="21"/>
                <w:highlight w:val="none"/>
                <w:lang w:val="en-US" w:eastAsia="zh-CN"/>
              </w:rPr>
              <w:t>30%项目</w:t>
            </w:r>
            <w:r>
              <w:rPr>
                <w:rFonts w:hint="eastAsia" w:ascii="宋体" w:hAnsi="宋体" w:eastAsia="宋体" w:cs="宋体"/>
                <w:b w:val="0"/>
                <w:bCs w:val="0"/>
                <w:color w:val="auto"/>
                <w:sz w:val="21"/>
                <w:szCs w:val="21"/>
                <w:highlight w:val="none"/>
                <w:lang w:eastAsia="zh-CN"/>
              </w:rPr>
              <w:t>预付款，预付款应当用于材料、工程设备、施工设备的采购及修建临时工程、组织施工队伍进场等。预付款在第一次进度付款中扣回。</w:t>
            </w:r>
          </w:p>
          <w:p w14:paraId="103310A8">
            <w:pPr>
              <w:pStyle w:val="3"/>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②</w:t>
            </w:r>
            <w:r>
              <w:rPr>
                <w:rFonts w:hint="eastAsia" w:ascii="宋体" w:hAnsi="宋体" w:eastAsia="宋体" w:cs="宋体"/>
                <w:b w:val="0"/>
                <w:bCs w:val="0"/>
                <w:color w:val="auto"/>
                <w:sz w:val="21"/>
                <w:szCs w:val="21"/>
                <w:highlight w:val="none"/>
                <w:lang w:val="en-US" w:eastAsia="zh-CN"/>
              </w:rPr>
              <w:t>按实际完成合同价内包含的工程量的90%支付工程进度款(因设计变更和工程签证增加的工程量按实际增加工程量计算)，在竣工验收结算审计前，支付工程款总额不得超过合同金额的90%，待工程审计结束后支付至审计结算金额100%。</w:t>
            </w:r>
          </w:p>
          <w:p w14:paraId="34EC1065">
            <w:pPr>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③</w:t>
            </w:r>
            <w:r>
              <w:rPr>
                <w:rFonts w:hint="eastAsia" w:ascii="宋体" w:hAnsi="宋体" w:eastAsia="宋体" w:cs="宋体"/>
                <w:b w:val="0"/>
                <w:bCs w:val="0"/>
                <w:color w:val="auto"/>
                <w:sz w:val="21"/>
                <w:szCs w:val="21"/>
                <w:highlight w:val="none"/>
              </w:rPr>
              <w:t>双方约定该项目工人工资占工程款的比例是</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0%。</w:t>
            </w:r>
          </w:p>
          <w:p w14:paraId="0B58DCDB">
            <w:pPr>
              <w:spacing w:line="360" w:lineRule="auto"/>
              <w:jc w:val="both"/>
              <w:rPr>
                <w:rFonts w:hint="eastAsia" w:ascii="宋体" w:hAnsi="宋体" w:eastAsia="宋体" w:cs="宋体"/>
                <w:b/>
                <w:color w:val="auto"/>
                <w:szCs w:val="21"/>
                <w:highlight w:val="none"/>
                <w:lang w:val="en-US"/>
              </w:rPr>
            </w:pPr>
          </w:p>
        </w:tc>
      </w:tr>
      <w:tr w14:paraId="11F600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14031B28">
            <w:pPr>
              <w:spacing w:line="360" w:lineRule="auto"/>
              <w:jc w:val="center"/>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验收标准</w:t>
            </w:r>
          </w:p>
        </w:tc>
        <w:tc>
          <w:tcPr>
            <w:tcW w:w="7017" w:type="dxa"/>
            <w:gridSpan w:val="4"/>
            <w:tcBorders>
              <w:top w:val="single" w:color="auto" w:sz="4" w:space="0"/>
              <w:left w:val="single" w:color="auto" w:sz="4" w:space="0"/>
              <w:bottom w:val="single" w:color="auto" w:sz="4" w:space="0"/>
              <w:right w:val="single" w:color="auto" w:sz="4" w:space="0"/>
            </w:tcBorders>
            <w:noWrap w:val="0"/>
            <w:vAlign w:val="center"/>
          </w:tcPr>
          <w:p w14:paraId="2D6220B1">
            <w:pPr>
              <w:spacing w:line="360" w:lineRule="auto"/>
              <w:jc w:val="both"/>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kern w:val="0"/>
                <w:sz w:val="21"/>
                <w:szCs w:val="21"/>
                <w:highlight w:val="none"/>
              </w:rPr>
              <w:t>达到国家施工验收规范合格标准</w:t>
            </w:r>
            <w:r>
              <w:rPr>
                <w:rFonts w:hint="eastAsia" w:ascii="宋体" w:hAnsi="宋体" w:eastAsia="宋体" w:cs="宋体"/>
                <w:b w:val="0"/>
                <w:bCs w:val="0"/>
                <w:color w:val="auto"/>
                <w:kern w:val="0"/>
                <w:sz w:val="21"/>
                <w:szCs w:val="21"/>
                <w:highlight w:val="none"/>
                <w:lang w:val="en-US" w:eastAsia="zh-CN"/>
              </w:rPr>
              <w:t>。</w:t>
            </w:r>
          </w:p>
        </w:tc>
      </w:tr>
    </w:tbl>
    <w:p w14:paraId="3F1C6CDE">
      <w:pPr>
        <w:jc w:val="center"/>
        <w:outlineLvl w:val="9"/>
        <w:rPr>
          <w:rFonts w:hint="eastAsia" w:ascii="宋体" w:hAnsi="宋体" w:eastAsia="宋体" w:cs="宋体"/>
          <w:b/>
          <w:bCs/>
          <w:color w:val="auto"/>
          <w:kern w:val="0"/>
          <w:sz w:val="36"/>
          <w:szCs w:val="36"/>
          <w:highlight w:val="none"/>
        </w:rPr>
      </w:pPr>
      <w:bookmarkStart w:id="67" w:name="_Toc20069"/>
      <w:r>
        <w:rPr>
          <w:rFonts w:hint="eastAsia" w:ascii="宋体" w:hAnsi="宋体" w:eastAsia="宋体" w:cs="宋体"/>
          <w:b/>
          <w:bCs/>
          <w:color w:val="auto"/>
          <w:kern w:val="0"/>
          <w:sz w:val="36"/>
          <w:szCs w:val="36"/>
          <w:highlight w:val="none"/>
          <w:lang w:val="en-US" w:eastAsia="zh-CN"/>
        </w:rPr>
        <w:t>第四章</w:t>
      </w:r>
      <w:r>
        <w:rPr>
          <w:rFonts w:hint="eastAsia" w:ascii="宋体" w:hAnsi="宋体" w:eastAsia="宋体" w:cs="宋体"/>
          <w:b/>
          <w:bCs/>
          <w:color w:val="auto"/>
          <w:kern w:val="0"/>
          <w:sz w:val="36"/>
          <w:szCs w:val="36"/>
          <w:highlight w:val="none"/>
        </w:rPr>
        <w:t xml:space="preserve"> 评审标准</w:t>
      </w:r>
      <w:bookmarkEnd w:id="67"/>
    </w:p>
    <w:p w14:paraId="3CE64135">
      <w:pPr>
        <w:pStyle w:val="5"/>
        <w:numPr>
          <w:ilvl w:val="0"/>
          <w:numId w:val="0"/>
        </w:numPr>
        <w:spacing w:line="360" w:lineRule="auto"/>
        <w:ind w:left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一、评审程序和评审方法</w:t>
      </w:r>
    </w:p>
    <w:p w14:paraId="1BDBBCC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1.资格审查</w:t>
      </w:r>
    </w:p>
    <w:p w14:paraId="735ACD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1.1 响应文件开启后，磋商小组依法对供应商的资格证明文件进行审查。</w:t>
      </w:r>
    </w:p>
    <w:p w14:paraId="77A15C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注：采购人或者采购代理机构在资格审查结束前，对供应商进行信用查询。</w:t>
      </w:r>
    </w:p>
    <w:p w14:paraId="721F112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( 1 ) 查询渠道：“信用中国 ” 网站 (www.creditchina.gov.cn) 、 中国政府采购网 (www.ccgp.gov.cn)。</w:t>
      </w:r>
    </w:p>
    <w:p w14:paraId="53881C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 信用查询截止时点：资格审查结束前。</w:t>
      </w:r>
    </w:p>
    <w:p w14:paraId="414473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查询记录和证据留存方式：在查询网站中直接打印查询记录，打印材料作为评审资料保存。</w:t>
      </w:r>
    </w:p>
    <w:p w14:paraId="53AD0FC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信用信息使用规则：对在“信用中国”网站(www.creditchina.gov.cn) 、中国府采购网(www.ccgp.gov.cn)被列入失信被执行人、重大税收违法案件当事人名单、政府采购严重违 法失信行为记录名单及其他不符合《中华人民共和国政府采购法》第二十二条规定条件的供应商，资格审查不通过，不得参与政府采购活动。</w:t>
      </w:r>
    </w:p>
    <w:p w14:paraId="16F97AC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1.2 资格审查标准为本磋商文件中载明对供应商资格要求的条件。资格审查采用合格制，凡符合磋商文件规定的供应商资格要求的响应文件均通过资格审查。</w:t>
      </w:r>
    </w:p>
    <w:p w14:paraId="7DE5B65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1.3 供应商有下列情形之一的，资格审查不通过，其响应文件按无效响应处理：</w:t>
      </w:r>
    </w:p>
    <w:p w14:paraId="581F3C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 不具备磋商文件中规定的资格要求的；</w:t>
      </w:r>
    </w:p>
    <w:p w14:paraId="6319C0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 响应文件未提供任一项“供应商须知前附表”资格证明文件规定的“必须提供”的文件资料的；</w:t>
      </w:r>
    </w:p>
    <w:p w14:paraId="61E7CE4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 响应文件提供的资格证明文件出现任一项不符合“供应商须知前附表”资格证明文件规定的“必须提供”的文件资料要求或者无效的。</w:t>
      </w:r>
    </w:p>
    <w:p w14:paraId="29E080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1.4 通过资格审查的合格供应商不足 3 家的，不得进入符合性审查环节，采购人或者采购代理机构应当重新开展采购活动。</w:t>
      </w:r>
    </w:p>
    <w:p w14:paraId="39CF52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ascii="宋体" w:hAnsi="宋体" w:eastAsia="宋体" w:cs="宋体"/>
          <w:color w:val="auto"/>
          <w:highlight w:val="none"/>
        </w:rPr>
        <w:t>2.符合性审查</w:t>
      </w:r>
    </w:p>
    <w:p w14:paraId="36B616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2.1 由磋商小组对通过资格审查的合格供应商的响应文件的竞标报价、商务、技术等实质性要求进行符合性审查，以确定其是否满足磋商文件的实质性要求。</w:t>
      </w:r>
    </w:p>
    <w:p w14:paraId="369D35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2.2 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9AA2E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2.3 磋商小组要求供应商澄清、说明或者更正响应文件应当要求供应商在合理时间内通过</w:t>
      </w:r>
      <w:r>
        <w:rPr>
          <w:rFonts w:hint="eastAsia"/>
          <w:color w:val="auto"/>
          <w:highlight w:val="none"/>
          <w:lang w:eastAsia="zh-CN"/>
        </w:rPr>
        <w:t>广西政府采购云平台</w:t>
      </w:r>
      <w:r>
        <w:rPr>
          <w:rFonts w:hint="eastAsia"/>
          <w:color w:val="auto"/>
          <w:highlight w:val="none"/>
        </w:rPr>
        <w:t xml:space="preserve"> (</w:t>
      </w:r>
      <w:r>
        <w:rPr>
          <w:rFonts w:hint="eastAsia"/>
          <w:color w:val="auto"/>
          <w:highlight w:val="none"/>
          <w:lang w:eastAsia="zh-CN"/>
        </w:rPr>
        <w:t>https://www.gcy.zfcg.gxzf.gov.cn</w:t>
      </w:r>
      <w:r>
        <w:rPr>
          <w:rFonts w:hint="eastAsia"/>
          <w:color w:val="auto"/>
          <w:highlight w:val="none"/>
        </w:rPr>
        <w:t>/) 的方式形式作出。供应商的澄清、说明或者更正必须 通过</w:t>
      </w:r>
      <w:r>
        <w:rPr>
          <w:rFonts w:hint="eastAsia"/>
          <w:color w:val="auto"/>
          <w:highlight w:val="none"/>
          <w:lang w:eastAsia="zh-CN"/>
        </w:rPr>
        <w:t>广西政府采购云平台</w:t>
      </w:r>
      <w:r>
        <w:rPr>
          <w:rFonts w:hint="eastAsia"/>
          <w:color w:val="auto"/>
          <w:highlight w:val="none"/>
        </w:rPr>
        <w:t>以书面形式按照磋商小组的要求作出明确的澄清、说明或者更正，未按磋商小 组的要求作出明确澄清、说明或者更正的供应商的响应文件将按照有利于采购人的原则由磋商 小组进行判定。供应商的澄清、说明或者更正必须由法定代表人或者其委托代理人签字或者加 盖 CA 签章。 由委托代理人签字的，若委托代理人不是响应文件中授权的委托代理人时，必须同时出示有效的法定代表人授权委托书原件。供应商为自然人的，必须由本人签字并附身份证明。</w:t>
      </w:r>
    </w:p>
    <w:p w14:paraId="05B293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2.4 首次响应文件报价出现前后不一致的，按照下列规定修正：</w:t>
      </w:r>
    </w:p>
    <w:p w14:paraId="51CFB4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响应文件中报价表内容与响应文件中相应内容不一致的，以报价表为准；</w:t>
      </w:r>
    </w:p>
    <w:p w14:paraId="54211C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大写金额和小写金额不一致的，以大写金额为准；</w:t>
      </w:r>
    </w:p>
    <w:p w14:paraId="2E1F18D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 单价金额小数点或者百分比有明显错位的，以报价表的总价为准，并修改单价；</w:t>
      </w:r>
    </w:p>
    <w:p w14:paraId="751A5B7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 总价金额与按单价汇总金额不一致的，以单价金额计算结果为准。</w:t>
      </w:r>
    </w:p>
    <w:p w14:paraId="1774E6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同时出现两种以上不一致的，按照以上 (1) - (4) 规定的顺序逐条进行修正。修正后的报价经供应商确认后产生约束力，供应商不确认的，其响应文件按无效响应处理。</w:t>
      </w:r>
    </w:p>
    <w:p w14:paraId="3B5A2A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2.5 商务技术报价评审</w:t>
      </w:r>
    </w:p>
    <w:p w14:paraId="6B45ED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在评审时，如发现下列情形之一的，将被视为响应文件无效处理：</w:t>
      </w:r>
    </w:p>
    <w:p w14:paraId="421719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商务技术评审</w:t>
      </w:r>
    </w:p>
    <w:p w14:paraId="5648518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响应文件未按磋商文件要求签署、盖章；</w:t>
      </w:r>
    </w:p>
    <w:p w14:paraId="6BB73C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委托代理人未能出具有效身份证明或者出具的身份证明与授权委托书中的信息不符；</w:t>
      </w:r>
    </w:p>
    <w:p w14:paraId="554AC7A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 响应文件未提供任一项“供应商须知前附表” 报价商务技术文件中“必须提供”或者“委托时必须提供”的文件资料；响应文件提供的报价商务技术文件出现任一项不符合“供应商须知前附表”报价商务技术文件中 “必须提供”或者“委托时必须提供”文件资料要求 的规定或者提供的报价商务技术文件无效。</w:t>
      </w:r>
    </w:p>
    <w:p w14:paraId="1E22BC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 商务条款中标“▲”的条款发生负偏离的或者允许负偏离的条款数超过“供应商须知前附表”规定项数的或者标明实质性的要求发生负偏离；</w:t>
      </w:r>
    </w:p>
    <w:p w14:paraId="613C91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 未对竞标有效期作出响应或者响应文件承诺的竞标有效期不满足磋商文件要求；</w:t>
      </w:r>
    </w:p>
    <w:p w14:paraId="011CC6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6) 响应文件的实质性内容未使用中文表述、使用计量单位不符合磋商文件要求；</w:t>
      </w:r>
    </w:p>
    <w:p w14:paraId="4BF808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7) 响应文件中的文件资料因填写不齐全或者内容虚假或者出现其他情形而导致被磋商小组认定无效；</w:t>
      </w:r>
    </w:p>
    <w:p w14:paraId="052C971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8) 响应文件含有采购人不能接受的附加条件；</w:t>
      </w:r>
    </w:p>
    <w:p w14:paraId="1E7206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9) 属于“供应商须知正文”第 7.7 条情形；</w:t>
      </w:r>
    </w:p>
    <w:p w14:paraId="12E693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10) 技术需求允许负偏离的条款数超过“供应商须知前附表”规定项数；</w:t>
      </w:r>
    </w:p>
    <w:p w14:paraId="3C9670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11) 虚假竞标，或者出现其他情形而导致被磋商小组认定无效；</w:t>
      </w:r>
    </w:p>
    <w:p w14:paraId="07E02C2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12) 竞标技术方案不明确，磋商文件未允许但响应文件中存在一个或者一个以上备选 (替代) 竞标方案；</w:t>
      </w:r>
    </w:p>
    <w:p w14:paraId="338FCB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13)响应文件标注的项目名称或者项目编号与竞争性磋商文件标注的项目名称或者项目编号不一致的；</w:t>
      </w:r>
    </w:p>
    <w:p w14:paraId="762359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14) 未响应磋商文件实质性要求；</w:t>
      </w:r>
    </w:p>
    <w:p w14:paraId="7502560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15) 法律、法规和磋商文件规定的其他无效情形。</w:t>
      </w:r>
    </w:p>
    <w:p w14:paraId="087111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报价评审</w:t>
      </w:r>
    </w:p>
    <w:p w14:paraId="70F0DE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响应文件未提供“供应商须知前附表” 报价商务技术文件中规定的；</w:t>
      </w:r>
    </w:p>
    <w:p w14:paraId="6383C1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未采用人民币报价或者未按照磋商文件标明的币种报价；</w:t>
      </w:r>
    </w:p>
    <w:p w14:paraId="06A3A5F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 供应商未就所磋商分标进行报价或者存在漏项报价；供应商未就所磋商分标的单项内容作唯一报价；供应商未就所磋商分标的全部内容作唯一总价报价；供应商响应文件中存在有选择、有条件报价的 (磋商文件允许有备选方案或者其他约定的除外) ；</w:t>
      </w:r>
    </w:p>
    <w:p w14:paraId="79EE0A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 磋商报价 (包含首次报价、最后报价) 超过的采购预算金额或者最高限价的 (如本项目公布了最高限价) ；磋商报价 (包含首次报价、最后报价) 超过磋商文件分项采购预算金额或者最高限价的 (如本项目公布了最高限价) ；</w:t>
      </w:r>
    </w:p>
    <w:p w14:paraId="16D26E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 修正后的报价，供应商不确认的；或者经供应商确认修正后的磋商报价(包含首次报价、最后报价)超过所磋商分标规定的采购预算金额或者最高限价(如本项目公布了最高限价)；或者经供应商确认修正后磋商报价 (包含首次报价、最后报价) 超过磋商文件分项采购预算金额或者最高限价的 (如本项目公布了最高限价) 。</w:t>
      </w:r>
    </w:p>
    <w:p w14:paraId="6C9B80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6) 响应文件响应的标的数量及单位与竞争性磋商采购文件要求实质性不一致的。</w:t>
      </w:r>
    </w:p>
    <w:p w14:paraId="0D7C30A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2.6 磋商小组对响应文件进行评审，未实质性响应磋商文件的响应文件按无效处理，磋商小组应当将资格和符合性不通过的情况告知有关供应商。磋商小组从符合磋商文件规定的相应资格条件的供应商名单中确定不少于 3 家的供应商参加磋商。</w:t>
      </w:r>
    </w:p>
    <w:p w14:paraId="6821A0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2.7 通过符合性审查的合格供应商不足3家的，不得进入磋商环节，采购人或者采购代理机构应当重新开展采购活动。</w:t>
      </w:r>
    </w:p>
    <w:p w14:paraId="22A1C9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3.磋商程序</w:t>
      </w:r>
    </w:p>
    <w:p w14:paraId="34B31B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3.1 磋商小组按照“供应商须知前附表”确定的顺序，集中与单一供应商分别进行磋商，并给予所有参加磋商的供应商平等的磋商机会。符合磋商资格的供应商必须实时关注</w:t>
      </w:r>
      <w:r>
        <w:rPr>
          <w:rFonts w:hint="eastAsia"/>
          <w:color w:val="auto"/>
          <w:highlight w:val="none"/>
          <w:lang w:eastAsia="zh-CN"/>
        </w:rPr>
        <w:t>广西政府采购云平台</w:t>
      </w:r>
      <w:r>
        <w:rPr>
          <w:rFonts w:hint="eastAsia"/>
          <w:color w:val="auto"/>
          <w:highlight w:val="none"/>
        </w:rPr>
        <w:t xml:space="preserve"> (</w:t>
      </w:r>
      <w:r>
        <w:rPr>
          <w:rFonts w:hint="eastAsia"/>
          <w:color w:val="auto"/>
          <w:highlight w:val="none"/>
          <w:lang w:eastAsia="zh-CN"/>
        </w:rPr>
        <w:t>https://www.gcy.zfcg.gxzf.gov.cn</w:t>
      </w:r>
      <w:r>
        <w:rPr>
          <w:rFonts w:hint="eastAsia"/>
          <w:color w:val="auto"/>
          <w:highlight w:val="none"/>
        </w:rPr>
        <w:t>/) 开标信息，在接到磋商通知后规定时间内参加磋商，未在规定时间内参加磋商的视同放弃参加磋商权利，其响应文件按无效响应处理。</w:t>
      </w:r>
    </w:p>
    <w:p w14:paraId="281D35D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3.2 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42F5009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3.3 对磋商文件作出的实质性变动是磋商文件的有效组成部分，由磋商小组及时以书面形式同时通知所有参加磋商的供应商。</w:t>
      </w:r>
    </w:p>
    <w:p w14:paraId="5D921B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3.4 供应商必须按照磋商文件的变动情况和磋商小组的要求重新提交响应文件，并由其法定代表人或者授权代表签字或者加盖 CA 签章在</w:t>
      </w:r>
      <w:r>
        <w:rPr>
          <w:rFonts w:hint="eastAsia"/>
          <w:color w:val="auto"/>
          <w:highlight w:val="none"/>
          <w:lang w:eastAsia="zh-CN"/>
        </w:rPr>
        <w:t>广西政府采购云平台</w:t>
      </w:r>
      <w:r>
        <w:rPr>
          <w:rFonts w:hint="eastAsia"/>
          <w:color w:val="auto"/>
          <w:highlight w:val="none"/>
        </w:rPr>
        <w:t>(</w:t>
      </w:r>
      <w:r>
        <w:rPr>
          <w:rFonts w:hint="eastAsia"/>
          <w:color w:val="auto"/>
          <w:highlight w:val="none"/>
          <w:lang w:eastAsia="zh-CN"/>
        </w:rPr>
        <w:t>https://www.gcy.zfcg.gxzf.gov.cn</w:t>
      </w:r>
      <w:r>
        <w:rPr>
          <w:rFonts w:hint="eastAsia"/>
          <w:color w:val="auto"/>
          <w:highlight w:val="none"/>
        </w:rPr>
        <w:t>/)提交。由委托代理人签字的，若委托代理人不是响应文件中授权的委托代理人时，必须同时出示有效 的法定代表人授权委托书原件。供应商为自然人的，必须由本人签字并附身份证明。参加磋商 的供应商未在规定时间内重新提交响应文件的，视同退出磋商。</w:t>
      </w:r>
    </w:p>
    <w:p w14:paraId="718EA0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3.5 磋商中，磋商的任何一方不得透露与磋商有关的其他供应商的技术资料、价格和其他信息。</w:t>
      </w:r>
    </w:p>
    <w:p w14:paraId="0549D5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3.6 采购代理机构对磋商过程和重要磋商内容进行记录，磋商双方在记录上签字确认。</w:t>
      </w:r>
    </w:p>
    <w:p w14:paraId="12357A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3.7 磋商过程中重新提交的响应文件，供应商可以在开启前补充、修改。</w:t>
      </w:r>
    </w:p>
    <w:p w14:paraId="4F9F0B4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3.8 对磋商过程提交的响应文件进行有效性、完整性和响应程度审查，通过审查的合格供应商不足 3 家的，采购人或者采购代理机构应当重新开展采购活动。</w:t>
      </w:r>
    </w:p>
    <w:p w14:paraId="42143D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3.9 本项目所有响应文件的首次报价及所有磋商报价均不公布。最后磋商结束后，磋商小组不得再与供应商进行任何形式的商谈。</w:t>
      </w:r>
    </w:p>
    <w:p w14:paraId="220AFD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 最后报价</w:t>
      </w:r>
    </w:p>
    <w:p w14:paraId="5A718E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4.1 磋商文件能够详细列明采购标的的技术、服务要求的，磋商结束后，由磋商小组要求所有继续参加磋商的供应商在规定时间内在</w:t>
      </w:r>
      <w:r>
        <w:rPr>
          <w:rFonts w:hint="eastAsia"/>
          <w:color w:val="auto"/>
          <w:highlight w:val="none"/>
          <w:lang w:eastAsia="zh-CN"/>
        </w:rPr>
        <w:t>广西政府采购云平台</w:t>
      </w:r>
      <w:r>
        <w:rPr>
          <w:rFonts w:hint="eastAsia"/>
          <w:color w:val="auto"/>
          <w:highlight w:val="none"/>
        </w:rPr>
        <w:t xml:space="preserve"> (</w:t>
      </w:r>
      <w:r>
        <w:rPr>
          <w:rFonts w:hint="eastAsia"/>
          <w:color w:val="auto"/>
          <w:highlight w:val="none"/>
          <w:lang w:eastAsia="zh-CN"/>
        </w:rPr>
        <w:t>https://www.gcy.zfcg.gxzf.gov.cn</w:t>
      </w:r>
      <w:r>
        <w:rPr>
          <w:rFonts w:hint="eastAsia"/>
          <w:color w:val="auto"/>
          <w:highlight w:val="none"/>
        </w:rPr>
        <w:t>/) 提交最后报价，提交最后报价的供应商不得少于 3 家，除本章第 4.3 条外，否则必须重新采购。</w:t>
      </w:r>
    </w:p>
    <w:p w14:paraId="615406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4.2 磋商文件不能详细列明采购标的的技术、服务要求，需经磋商由供应商提供最后设计方案或者解决方案的，磋商结束后，由磋商小组按照少数服从多数的原则投票推荐 3 家以上供应商的设计方案或者解决方案，并要求其在规定时间内在</w:t>
      </w:r>
      <w:r>
        <w:rPr>
          <w:rFonts w:hint="eastAsia"/>
          <w:color w:val="auto"/>
          <w:highlight w:val="none"/>
          <w:lang w:eastAsia="zh-CN"/>
        </w:rPr>
        <w:t>广西政府采购云平台</w:t>
      </w:r>
      <w:r>
        <w:rPr>
          <w:rFonts w:hint="eastAsia"/>
          <w:color w:val="auto"/>
          <w:highlight w:val="none"/>
        </w:rPr>
        <w:t xml:space="preserve"> (</w:t>
      </w:r>
      <w:r>
        <w:rPr>
          <w:rFonts w:hint="eastAsia"/>
          <w:color w:val="auto"/>
          <w:highlight w:val="none"/>
          <w:lang w:eastAsia="zh-CN"/>
        </w:rPr>
        <w:t>https://www.gcy.zfcg.gxzf.gov.cn</w:t>
      </w:r>
      <w:r>
        <w:rPr>
          <w:rFonts w:hint="eastAsia"/>
          <w:color w:val="auto"/>
          <w:highlight w:val="none"/>
        </w:rPr>
        <w:t>/) 提交最后报价。</w:t>
      </w:r>
    </w:p>
    <w:p w14:paraId="440D17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①最后报价与首次报价相比无调整的：供应商提交的最后报价只须注明与首次报价相同。</w:t>
      </w:r>
    </w:p>
    <w:p w14:paraId="205B72B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②最后报价与首次报价相比有调整的：供应商提交的最后报价必须包含已标价的工程量清单，即最后报价是工程量清单全部工作内容的价格体现，具体包括供应商部分 (分部分项工程量清单费用、措施项目清单费用、规费、税金、其它项目) 和采购人部分 (暂列金、材料购置费)  (如有) 等完成本工程并经验收合格至达到质量保修期限所需的费用、合理利润及风险。 如磋商文件或磋商程中明确供应商应提供技术服务及其它服务的 (如检测费、验收发生的费 用) ，相应费用也应包括在最后报价中。最后报价不允许采用汇总后优惠、打折的形式，否则其报价无效并作无效响应处理。供应商在报价时可只报总价，但必须将包含已标价工程量清单的最后报价在规定时间内在</w:t>
      </w:r>
      <w:r>
        <w:rPr>
          <w:rFonts w:hint="eastAsia"/>
          <w:color w:val="auto"/>
          <w:highlight w:val="none"/>
          <w:lang w:eastAsia="zh-CN"/>
        </w:rPr>
        <w:t>广西政府采购云平台</w:t>
      </w:r>
      <w:r>
        <w:rPr>
          <w:rFonts w:hint="eastAsia"/>
          <w:color w:val="auto"/>
          <w:highlight w:val="none"/>
        </w:rPr>
        <w:t xml:space="preserve"> (</w:t>
      </w:r>
      <w:r>
        <w:rPr>
          <w:rFonts w:hint="eastAsia"/>
          <w:color w:val="auto"/>
          <w:highlight w:val="none"/>
          <w:lang w:eastAsia="zh-CN"/>
        </w:rPr>
        <w:t>https://www.gcy.zfcg.gxzf.gov.cn</w:t>
      </w:r>
      <w:r>
        <w:rPr>
          <w:rFonts w:hint="eastAsia"/>
          <w:color w:val="auto"/>
          <w:highlight w:val="none"/>
        </w:rPr>
        <w:t>/) 提交，逾期则最后报价无效，以首次报价为准。</w:t>
      </w:r>
    </w:p>
    <w:p w14:paraId="4C829C1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4.3 最后报价是供应商响应文件的有效组成部分。符合《政府采购竞争性磋商采购方式管理暂行办法》  (财库〔2014〕214 号) 第三条第四项“市场竞争不充分的科研项目，以及需要扶持的科技成果转化项目”的，提交最后报价的供应商可以为2 家。</w:t>
      </w:r>
    </w:p>
    <w:p w14:paraId="2A955C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4.4 已经提交响应文件的供应商，在提交最后报价之前，可以根据磋商情况退出磋商，退出磋商的供应商的响应文件按无效响应处理。采购人、采购代理机构将退还退出磋商的供应商的保证金。</w:t>
      </w:r>
    </w:p>
    <w:p w14:paraId="7C3B64F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4.5 供应商未在规定时间内提交最后报价的，视同退出磋商。</w:t>
      </w:r>
    </w:p>
    <w:p w14:paraId="01CDB6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4.6 磋商小组收齐某一分标最后报价后统一开启，磋商小组对最后报价进行有效性、完整性和响应程度的审查。</w:t>
      </w:r>
    </w:p>
    <w:p w14:paraId="3E379B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4.7 响应文件最后报价出现前后不一致的，按照本正文第 25.2.4 条的规定修正。</w:t>
      </w:r>
    </w:p>
    <w:p w14:paraId="1A64D2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4.8 修正后的报价出现下列情形的，按无效响应处理：</w:t>
      </w:r>
    </w:p>
    <w:p w14:paraId="0BD8A77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供应商不确认的；</w:t>
      </w:r>
    </w:p>
    <w:p w14:paraId="3F2BED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经供应商确认修正后的竞标报价 (包含首次报价、最后报价) 超过所竞标规定的采购预算金额或者最高限价的 (如本项目公布了最高限价) ；</w:t>
      </w:r>
    </w:p>
    <w:p w14:paraId="1ED72AC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 经供应商确认修正后的竞标报价 (包含首次报价、最后报价) 超过分项采购预算金额或者最高限价的 (如本项目公布了最高限价) 。</w:t>
      </w:r>
    </w:p>
    <w:p w14:paraId="57160B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4.9 经供应商确认修正后的最后报价作为评审及签订合同的依据。</w:t>
      </w:r>
    </w:p>
    <w:p w14:paraId="7AF704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4.10 最后报价结束后，磋商小组不得再与供应商进行任何形式的商谈。</w:t>
      </w:r>
    </w:p>
    <w:p w14:paraId="5A8C7D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5.比较与评价</w:t>
      </w:r>
    </w:p>
    <w:p w14:paraId="1FE864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5.1 评审方法：综合评分法。</w:t>
      </w:r>
    </w:p>
    <w:p w14:paraId="7477B8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5.2 经磋商确定最终采购需求和提交最后报价的供应商后，由磋商小组采用综合评分法对提交最后报价的供应商的响应文件和最后报价进行综合评分。</w:t>
      </w:r>
    </w:p>
    <w:p w14:paraId="5C048E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5.3 评审时，磋商小组各成员应当独立对每个有效响应的文件进行评价、打分，然后汇总每个供应商每项评分因素的得分。</w:t>
      </w:r>
    </w:p>
    <w:p w14:paraId="367F2EA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磋商小组按照磋商文件中规定的评审标准计算各供应商的报价得分。项目评审过程中，不得去掉最后报价中的最高报价和最低报价。</w:t>
      </w:r>
    </w:p>
    <w:p w14:paraId="31790A8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各供应商的得分为磋商小组所有成员的有效评分的算术平均数。</w:t>
      </w:r>
    </w:p>
    <w:p w14:paraId="0E5B7D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5.4 评审价为供应商的最后报价进行政策性扣除后的价格，评审价只是作为评审时使用。最终成交供应商的成交金额等于最后报价 (如有修正，以确认修正后的最后报价为准) 。</w:t>
      </w:r>
    </w:p>
    <w:p w14:paraId="3B1D8F2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5.5 由磋商小组根据综合评分情况，按照评审得分由高到低顺序推荐3名以上成交候选供应商，并编写评审报告。符合本章第 4.3 条情形的，可以推荐2家成交候选供应商。评审得分相同的，按照最后报价由低到高的顺序推荐。评审得分且最后报价相同的，按照技术指标优劣顺序推荐。</w:t>
      </w:r>
    </w:p>
    <w:p w14:paraId="151EF5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5.6 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44F03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highlight w:val="none"/>
          <w:lang w:eastAsia="zh-CN"/>
        </w:rPr>
      </w:pPr>
      <w:r>
        <w:rPr>
          <w:rFonts w:hint="eastAsia"/>
          <w:b/>
          <w:bCs/>
          <w:color w:val="auto"/>
          <w:highlight w:val="none"/>
        </w:rPr>
        <w:t>二、评定标准</w:t>
      </w:r>
      <w:r>
        <w:rPr>
          <w:rFonts w:hint="eastAsia"/>
          <w:b/>
          <w:bCs/>
          <w:color w:val="auto"/>
          <w:highlight w:val="none"/>
          <w:lang w:eastAsia="zh-CN"/>
        </w:rPr>
        <w:t>（</w:t>
      </w:r>
      <w:r>
        <w:rPr>
          <w:rFonts w:hint="eastAsia"/>
          <w:b/>
          <w:bCs/>
          <w:color w:val="auto"/>
          <w:highlight w:val="none"/>
        </w:rPr>
        <w:t>综合评分法</w:t>
      </w:r>
      <w:r>
        <w:rPr>
          <w:rFonts w:hint="eastAsia"/>
          <w:b/>
          <w:bCs/>
          <w:color w:val="auto"/>
          <w:highlight w:val="none"/>
          <w:lang w:eastAsia="zh-CN"/>
        </w:rPr>
        <w:t>）</w:t>
      </w:r>
    </w:p>
    <w:p w14:paraId="7859B0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对进入详评的，磋商小组将以竞争性磋商文件 、响应文件为评定依据，采用百分制综合评分法；计分办法</w:t>
      </w:r>
      <w:r>
        <w:rPr>
          <w:rFonts w:hint="eastAsia"/>
          <w:color w:val="auto"/>
          <w:highlight w:val="none"/>
          <w:lang w:eastAsia="zh-CN"/>
        </w:rPr>
        <w:t>（按四舍五入取至百分位）</w:t>
      </w:r>
      <w:r>
        <w:rPr>
          <w:rFonts w:hint="eastAsia"/>
          <w:color w:val="auto"/>
          <w:highlight w:val="none"/>
        </w:rPr>
        <w:t>。</w:t>
      </w:r>
    </w:p>
    <w:tbl>
      <w:tblPr>
        <w:tblStyle w:val="30"/>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247"/>
        <w:gridCol w:w="6459"/>
        <w:gridCol w:w="851"/>
      </w:tblGrid>
      <w:tr w14:paraId="3E16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5335B004">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247" w:type="dxa"/>
            <w:tcBorders>
              <w:top w:val="single" w:color="auto" w:sz="4" w:space="0"/>
              <w:left w:val="single" w:color="auto" w:sz="4" w:space="0"/>
              <w:bottom w:val="single" w:color="auto" w:sz="4" w:space="0"/>
              <w:right w:val="single" w:color="auto" w:sz="4" w:space="0"/>
            </w:tcBorders>
            <w:noWrap w:val="0"/>
            <w:vAlign w:val="center"/>
          </w:tcPr>
          <w:p w14:paraId="3683292E">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459" w:type="dxa"/>
            <w:tcBorders>
              <w:top w:val="single" w:color="auto" w:sz="4" w:space="0"/>
              <w:left w:val="single" w:color="auto" w:sz="4" w:space="0"/>
              <w:bottom w:val="single" w:color="auto" w:sz="4" w:space="0"/>
              <w:right w:val="single" w:color="auto" w:sz="4" w:space="0"/>
            </w:tcBorders>
            <w:noWrap w:val="0"/>
            <w:vAlign w:val="center"/>
          </w:tcPr>
          <w:p w14:paraId="4D42C60A">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评审因素具体内容</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E915F76">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分值</w:t>
            </w:r>
          </w:p>
        </w:tc>
      </w:tr>
      <w:tr w14:paraId="4333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3C6A0628">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1</w:t>
            </w:r>
          </w:p>
        </w:tc>
        <w:tc>
          <w:tcPr>
            <w:tcW w:w="1247" w:type="dxa"/>
            <w:tcBorders>
              <w:top w:val="single" w:color="auto" w:sz="4" w:space="0"/>
              <w:left w:val="single" w:color="auto" w:sz="4" w:space="0"/>
              <w:bottom w:val="single" w:color="auto" w:sz="4" w:space="0"/>
              <w:right w:val="single" w:color="auto" w:sz="4" w:space="0"/>
            </w:tcBorders>
            <w:noWrap w:val="0"/>
            <w:vAlign w:val="center"/>
          </w:tcPr>
          <w:p w14:paraId="1968FD75">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价格分</w:t>
            </w:r>
          </w:p>
        </w:tc>
        <w:tc>
          <w:tcPr>
            <w:tcW w:w="6459" w:type="dxa"/>
            <w:tcBorders>
              <w:top w:val="single" w:color="auto" w:sz="4" w:space="0"/>
              <w:left w:val="single" w:color="auto" w:sz="4" w:space="0"/>
              <w:bottom w:val="single" w:color="auto" w:sz="4" w:space="0"/>
              <w:right w:val="single" w:color="auto" w:sz="4" w:space="0"/>
            </w:tcBorders>
            <w:noWrap w:val="0"/>
            <w:vAlign w:val="center"/>
          </w:tcPr>
          <w:p w14:paraId="4F6DE7B9">
            <w:pPr>
              <w:widowControl/>
              <w:spacing w:line="360" w:lineRule="auto"/>
              <w:jc w:val="center"/>
              <w:rPr>
                <w:rFonts w:hint="eastAsia" w:ascii="宋体" w:hAnsi="宋体" w:cs="Tahoma"/>
                <w:b/>
                <w:bCs/>
                <w:color w:val="auto"/>
                <w:kern w:val="0"/>
                <w:szCs w:val="21"/>
                <w:highlight w:val="none"/>
              </w:rPr>
            </w:pPr>
            <w:r>
              <w:rPr>
                <w:rFonts w:hint="eastAsia" w:ascii="宋体" w:hAnsi="宋体" w:cs="Tahoma"/>
                <w:b/>
                <w:bCs/>
                <w:color w:val="auto"/>
                <w:kern w:val="0"/>
                <w:szCs w:val="21"/>
                <w:highlight w:val="none"/>
              </w:rPr>
              <w:t>（1）本项目执行专门面向中小企业政策，不再执行价格扣除政策。</w:t>
            </w:r>
          </w:p>
          <w:p w14:paraId="4C2ED697">
            <w:pPr>
              <w:widowControl/>
              <w:spacing w:line="360" w:lineRule="auto"/>
              <w:jc w:val="both"/>
              <w:rPr>
                <w:rFonts w:ascii="宋体" w:hAnsi="宋体" w:cs="Tahoma"/>
                <w:b/>
                <w:bCs/>
                <w:color w:val="auto"/>
                <w:kern w:val="0"/>
                <w:szCs w:val="21"/>
                <w:highlight w:val="none"/>
              </w:rPr>
            </w:pPr>
            <w:r>
              <w:rPr>
                <w:rFonts w:hint="eastAsia" w:ascii="宋体" w:hAnsi="宋体" w:cs="Tahoma"/>
                <w:b/>
                <w:bCs/>
                <w:color w:val="auto"/>
                <w:kern w:val="0"/>
                <w:szCs w:val="21"/>
                <w:highlight w:val="none"/>
              </w:rPr>
              <w:t>（2）以进入比较与评价环节的最低的评审价为基准价，基准价得分为</w:t>
            </w:r>
            <w:r>
              <w:rPr>
                <w:rFonts w:ascii="宋体" w:hAnsi="宋体" w:cs="Tahoma"/>
                <w:b/>
                <w:bCs/>
                <w:color w:val="auto"/>
                <w:kern w:val="0"/>
                <w:szCs w:val="21"/>
                <w:highlight w:val="none"/>
              </w:rPr>
              <w:t xml:space="preserve"> </w:t>
            </w:r>
            <w:r>
              <w:rPr>
                <w:rFonts w:hint="eastAsia" w:ascii="宋体" w:hAnsi="宋体" w:cs="Tahoma"/>
                <w:b/>
                <w:bCs/>
                <w:color w:val="auto"/>
                <w:kern w:val="0"/>
                <w:szCs w:val="21"/>
                <w:highlight w:val="none"/>
              </w:rPr>
              <w:t>30分 。</w:t>
            </w:r>
          </w:p>
          <w:p w14:paraId="789D5A7A">
            <w:pPr>
              <w:widowControl/>
              <w:spacing w:line="360" w:lineRule="auto"/>
              <w:jc w:val="both"/>
              <w:rPr>
                <w:rFonts w:ascii="宋体" w:hAnsi="宋体" w:cs="Tahoma"/>
                <w:b/>
                <w:bCs/>
                <w:color w:val="auto"/>
                <w:kern w:val="0"/>
                <w:szCs w:val="21"/>
                <w:highlight w:val="none"/>
              </w:rPr>
            </w:pPr>
            <w:r>
              <w:rPr>
                <w:rFonts w:hint="eastAsia" w:ascii="宋体" w:hAnsi="宋体" w:cs="Tahoma"/>
                <w:b/>
                <w:bCs/>
                <w:color w:val="auto"/>
                <w:kern w:val="0"/>
                <w:szCs w:val="21"/>
                <w:highlight w:val="none"/>
              </w:rPr>
              <w:t>（3）价格分计算公式：</w:t>
            </w:r>
          </w:p>
          <w:p w14:paraId="6DD8DF46">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报价得分=（基准价/最后报价）×</w:t>
            </w:r>
            <w:r>
              <w:rPr>
                <w:rFonts w:ascii="宋体" w:hAnsi="宋体" w:cs="Tahoma"/>
                <w:b/>
                <w:bCs/>
                <w:color w:val="auto"/>
                <w:kern w:val="0"/>
                <w:szCs w:val="21"/>
                <w:highlight w:val="none"/>
              </w:rPr>
              <w:t xml:space="preserve"> </w:t>
            </w:r>
            <w:r>
              <w:rPr>
                <w:rFonts w:hint="eastAsia" w:ascii="宋体" w:hAnsi="宋体" w:cs="Tahoma"/>
                <w:b/>
                <w:bCs/>
                <w:color w:val="auto"/>
                <w:kern w:val="0"/>
                <w:szCs w:val="21"/>
                <w:highlight w:val="none"/>
              </w:rPr>
              <w:t xml:space="preserve">30分 </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0DC9EF9">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 xml:space="preserve"> 30分</w:t>
            </w:r>
          </w:p>
        </w:tc>
      </w:tr>
      <w:tr w14:paraId="4C70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35A770BD">
            <w:pPr>
              <w:widowControl/>
              <w:spacing w:line="360" w:lineRule="auto"/>
              <w:jc w:val="center"/>
              <w:rPr>
                <w:rFonts w:hint="eastAsia" w:ascii="宋体" w:hAnsi="宋体" w:cs="Tahoma"/>
                <w:color w:val="auto"/>
                <w:kern w:val="0"/>
                <w:szCs w:val="21"/>
                <w:highlight w:val="none"/>
              </w:rPr>
            </w:pPr>
            <w:r>
              <w:rPr>
                <w:rFonts w:hint="eastAsia" w:ascii="宋体" w:hAnsi="宋体"/>
                <w:bCs/>
                <w:color w:val="auto"/>
                <w:kern w:val="0"/>
                <w:szCs w:val="21"/>
                <w:highlight w:val="none"/>
              </w:rPr>
              <w:t>2</w:t>
            </w:r>
          </w:p>
        </w:tc>
        <w:tc>
          <w:tcPr>
            <w:tcW w:w="1247" w:type="dxa"/>
            <w:noWrap w:val="0"/>
            <w:vAlign w:val="center"/>
          </w:tcPr>
          <w:p w14:paraId="587B5FD1">
            <w:pPr>
              <w:widowControl/>
              <w:spacing w:line="480" w:lineRule="exact"/>
              <w:jc w:val="center"/>
              <w:rPr>
                <w:rFonts w:hint="eastAsia" w:ascii="宋体" w:hAnsi="宋体" w:cs="Tahoma"/>
                <w:color w:val="auto"/>
                <w:kern w:val="0"/>
                <w:szCs w:val="21"/>
                <w:highlight w:val="none"/>
              </w:rPr>
            </w:pPr>
            <w:r>
              <w:rPr>
                <w:rFonts w:hint="eastAsia" w:ascii="宋体" w:hAnsi="宋体"/>
                <w:bCs/>
                <w:color w:val="auto"/>
                <w:kern w:val="0"/>
                <w:szCs w:val="21"/>
                <w:highlight w:val="none"/>
              </w:rPr>
              <w:t>技术分</w:t>
            </w:r>
          </w:p>
        </w:tc>
        <w:tc>
          <w:tcPr>
            <w:tcW w:w="7310" w:type="dxa"/>
            <w:gridSpan w:val="2"/>
            <w:noWrap w:val="0"/>
            <w:vAlign w:val="top"/>
          </w:tcPr>
          <w:p w14:paraId="5504871E">
            <w:pPr>
              <w:widowControl/>
              <w:spacing w:line="480" w:lineRule="exact"/>
              <w:jc w:val="center"/>
              <w:rPr>
                <w:rFonts w:hint="eastAsia" w:ascii="宋体" w:hAnsi="宋体"/>
                <w:bCs/>
                <w:color w:val="auto"/>
                <w:szCs w:val="21"/>
                <w:highlight w:val="none"/>
              </w:rPr>
            </w:pPr>
            <w:r>
              <w:rPr>
                <w:rFonts w:hint="eastAsia" w:ascii="宋体" w:hAnsi="宋体"/>
                <w:bCs/>
                <w:color w:val="auto"/>
                <w:szCs w:val="21"/>
                <w:highlight w:val="none"/>
              </w:rPr>
              <w:t>评审因素</w:t>
            </w:r>
          </w:p>
        </w:tc>
      </w:tr>
      <w:tr w14:paraId="20F7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noWrap w:val="0"/>
            <w:vAlign w:val="center"/>
          </w:tcPr>
          <w:p w14:paraId="79D7D9AA">
            <w:pPr>
              <w:adjustRightInd w:val="0"/>
              <w:spacing w:line="360" w:lineRule="auto"/>
              <w:ind w:left="-105" w:leftChars="-50"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w:t>
            </w:r>
            <w:r>
              <w:rPr>
                <w:rFonts w:ascii="宋体" w:hAnsi="宋体"/>
                <w:bCs/>
                <w:color w:val="auto"/>
                <w:kern w:val="0"/>
                <w:szCs w:val="21"/>
                <w:highlight w:val="none"/>
              </w:rPr>
              <w:t>.1</w:t>
            </w:r>
          </w:p>
        </w:tc>
        <w:tc>
          <w:tcPr>
            <w:tcW w:w="1247" w:type="dxa"/>
            <w:noWrap w:val="0"/>
            <w:vAlign w:val="center"/>
          </w:tcPr>
          <w:p w14:paraId="6C29B225">
            <w:pPr>
              <w:adjustRightInd w:val="0"/>
              <w:spacing w:line="480" w:lineRule="exact"/>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技术分</w:t>
            </w:r>
          </w:p>
        </w:tc>
        <w:tc>
          <w:tcPr>
            <w:tcW w:w="6459" w:type="dxa"/>
            <w:noWrap w:val="0"/>
            <w:vAlign w:val="center"/>
          </w:tcPr>
          <w:p w14:paraId="59D8D1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1</w:t>
            </w:r>
            <w:r>
              <w:rPr>
                <w:rFonts w:hint="eastAsia" w:ascii="宋体" w:hAnsi="宋体" w:cs="宋体"/>
                <w:b/>
                <w:color w:val="auto"/>
                <w:szCs w:val="21"/>
                <w:highlight w:val="none"/>
              </w:rPr>
              <w:t>）</w:t>
            </w:r>
            <w:r>
              <w:rPr>
                <w:rFonts w:hint="eastAsia"/>
                <w:b/>
                <w:bCs/>
                <w:color w:val="auto"/>
                <w:highlight w:val="none"/>
              </w:rPr>
              <w:t>拟投入人员配备情况 (满分3分)</w:t>
            </w:r>
          </w:p>
          <w:p w14:paraId="45A83375">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基本人员要求：拟派驻本项目的技术负责人应具有工程类中级及以上职称</w:t>
            </w:r>
            <w:r>
              <w:rPr>
                <w:rFonts w:hint="eastAsia" w:ascii="宋体" w:hAnsi="宋体" w:eastAsia="宋体" w:cs="宋体"/>
                <w:color w:val="auto"/>
                <w:szCs w:val="21"/>
                <w:highlight w:val="none"/>
                <w:lang w:eastAsia="zh-CN"/>
              </w:rPr>
              <w:t>证书</w:t>
            </w:r>
            <w:r>
              <w:rPr>
                <w:rFonts w:hint="eastAsia" w:ascii="宋体" w:hAnsi="宋体" w:eastAsia="宋体" w:cs="宋体"/>
                <w:color w:val="auto"/>
                <w:szCs w:val="21"/>
                <w:highlight w:val="none"/>
              </w:rPr>
              <w:t>，安全员、施工员、质检员、材料员应具有相应岗位资格证书，且拟投入的项目管理人员符合国家及广西壮族自治区的规定，否则不得分。</w:t>
            </w:r>
          </w:p>
          <w:p w14:paraId="0914609C">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优(</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分)：投入人员齐备、搭配合理科学，完全满足施工需要。</w:t>
            </w:r>
          </w:p>
          <w:p w14:paraId="5CE8E8E3">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良(</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分)：投入人员基本齐备、搭配合理，满足施工需要。</w:t>
            </w:r>
          </w:p>
          <w:p w14:paraId="5B9045E3">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中(1分)：投入人员基本齐备、搭配一般，基本满足施工需要。</w:t>
            </w:r>
          </w:p>
          <w:p w14:paraId="0258909E">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差(</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分)：投入人员不齐备、不能满足施工需要。</w:t>
            </w:r>
          </w:p>
          <w:p w14:paraId="27197E3B">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2</w:t>
            </w:r>
            <w:r>
              <w:rPr>
                <w:rFonts w:hint="eastAsia" w:ascii="宋体" w:hAnsi="宋体" w:cs="宋体"/>
                <w:b/>
                <w:color w:val="auto"/>
                <w:szCs w:val="21"/>
                <w:highlight w:val="none"/>
              </w:rPr>
              <w:t>）总体概述（满分</w:t>
            </w:r>
            <w:r>
              <w:rPr>
                <w:rFonts w:hint="eastAsia" w:ascii="宋体" w:hAnsi="宋体" w:cs="宋体"/>
                <w:b/>
                <w:color w:val="auto"/>
                <w:szCs w:val="21"/>
                <w:highlight w:val="none"/>
                <w:lang w:val="en-US" w:eastAsia="zh-CN"/>
              </w:rPr>
              <w:t>8</w:t>
            </w:r>
            <w:r>
              <w:rPr>
                <w:rFonts w:hint="eastAsia" w:ascii="宋体" w:hAnsi="宋体" w:cs="宋体"/>
                <w:b/>
                <w:color w:val="auto"/>
                <w:szCs w:val="21"/>
                <w:highlight w:val="none"/>
              </w:rPr>
              <w:t>分）</w:t>
            </w:r>
          </w:p>
          <w:p w14:paraId="765D1EE4">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分）：对项目总体有深刻认识，表述清晰、完整、严谨、合理，措施先进、具体、有效、成熟，采用了己论证的新技术、新工艺、新材料、新设备；施工段划分呼应总体表述，划分清晰、合理，符合规范要求。</w:t>
            </w:r>
          </w:p>
          <w:p w14:paraId="72AAAE64">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分）：对项目总体有一定认识，表述清晰、完整，措施具体有效；施工段划分呼应总体表述，划分清晰，符合规范要求。</w:t>
            </w:r>
          </w:p>
          <w:p w14:paraId="0BDDEF0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分）：对项目总体有认识，有一定的措施但部分不具体；施工段划分较合理，符合规范要求。</w:t>
            </w:r>
          </w:p>
          <w:p w14:paraId="087B7346">
            <w:pPr>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差(</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分)：对项目认识不足，表述不清晰，措施不具体；施工段划分不合理</w:t>
            </w:r>
            <w:r>
              <w:rPr>
                <w:rFonts w:hint="eastAsia" w:ascii="宋体" w:hAnsi="宋体" w:cs="宋体"/>
                <w:color w:val="auto"/>
                <w:szCs w:val="21"/>
                <w:highlight w:val="none"/>
                <w:lang w:val="en-US" w:eastAsia="zh-CN"/>
              </w:rPr>
              <w:t>。</w:t>
            </w:r>
          </w:p>
          <w:p w14:paraId="7009ABD0">
            <w:pPr>
              <w:numPr>
                <w:ilvl w:val="0"/>
                <w:numId w:val="2"/>
              </w:numPr>
              <w:spacing w:line="400" w:lineRule="exact"/>
              <w:ind w:left="0" w:leftChars="0" w:firstLine="0" w:firstLineChars="0"/>
              <w:rPr>
                <w:rFonts w:hint="eastAsia" w:ascii="宋体" w:hAnsi="宋体" w:cs="宋体"/>
                <w:b/>
                <w:color w:val="auto"/>
                <w:szCs w:val="21"/>
                <w:highlight w:val="none"/>
              </w:rPr>
            </w:pPr>
            <w:r>
              <w:rPr>
                <w:rFonts w:hint="eastAsia"/>
                <w:b/>
                <w:bCs/>
                <w:color w:val="auto"/>
                <w:highlight w:val="none"/>
              </w:rPr>
              <w:t>主要施工方法</w:t>
            </w:r>
            <w:r>
              <w:rPr>
                <w:rFonts w:hint="eastAsia" w:ascii="宋体" w:hAnsi="宋体" w:cs="宋体"/>
                <w:b/>
                <w:color w:val="auto"/>
                <w:szCs w:val="21"/>
                <w:highlight w:val="none"/>
              </w:rPr>
              <w:t>（满分8分）</w:t>
            </w:r>
          </w:p>
          <w:p w14:paraId="585E6515">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优(</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分) ：各主要分部施工方法针对性强，施工技术方案详尽周密，工艺先进、方法科学、可行，能很好的指导具体施工并确保安全。</w:t>
            </w:r>
          </w:p>
          <w:p w14:paraId="520DDD04">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良(</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eastAsia="zh-CN"/>
              </w:rPr>
              <w:t>分</w:t>
            </w:r>
            <w:r>
              <w:rPr>
                <w:rFonts w:hint="eastAsia" w:ascii="宋体" w:hAnsi="宋体" w:eastAsia="宋体" w:cs="宋体"/>
                <w:color w:val="auto"/>
                <w:szCs w:val="21"/>
                <w:highlight w:val="none"/>
              </w:rPr>
              <w:t>) ：各主要分部施工方法符合项目实际，施工技术方案齐全，工艺成熟、方法合理、可行，能指导具体施工并确保安全。</w:t>
            </w:r>
          </w:p>
          <w:p w14:paraId="42C632C8">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 ：各主要分部施工方法基本符合项目实际，施工技术方案基本齐全，方法基本合理、基本可行，基本能指导具体施工并确保安全。</w:t>
            </w:r>
          </w:p>
          <w:p w14:paraId="636070FE">
            <w:pPr>
              <w:spacing w:line="400" w:lineRule="exact"/>
              <w:ind w:firstLine="420" w:firstLineChars="200"/>
              <w:rPr>
                <w:rFonts w:hint="eastAsia" w:ascii="宋体" w:hAnsi="宋体" w:cs="宋体"/>
                <w:b/>
                <w:color w:val="auto"/>
                <w:szCs w:val="21"/>
                <w:highlight w:val="none"/>
              </w:rPr>
            </w:pPr>
            <w:r>
              <w:rPr>
                <w:rFonts w:hint="eastAsia" w:ascii="宋体" w:hAnsi="宋体" w:eastAsia="宋体" w:cs="宋体"/>
                <w:color w:val="auto"/>
                <w:szCs w:val="21"/>
                <w:highlight w:val="none"/>
              </w:rPr>
              <w:t>差(</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 ：各主要分部施工方法针</w:t>
            </w:r>
            <w:r>
              <w:rPr>
                <w:rFonts w:hint="eastAsia"/>
                <w:color w:val="auto"/>
                <w:highlight w:val="none"/>
              </w:rPr>
              <w:t>对性差，施工技术方案差，工艺落后、方法不合理，不能指导具体施工和确保安全。</w:t>
            </w:r>
          </w:p>
          <w:p w14:paraId="603F19A7">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）劳动力和材料投入计划及其保证措施（满分7分）</w:t>
            </w:r>
          </w:p>
          <w:p w14:paraId="20C83A6B">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优(7分)：投入计划与进度计划呼应，较好满足施工需要，调配投入计划合理、准确。</w:t>
            </w:r>
          </w:p>
          <w:p w14:paraId="5907D1F9">
            <w:pPr>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良(5分)：投入计划与进度计划呼应，基本满足施工需要，调配投入计划基本合理、准确</w:t>
            </w:r>
            <w:r>
              <w:rPr>
                <w:rFonts w:hint="eastAsia" w:ascii="宋体" w:hAnsi="宋体" w:cs="宋体"/>
                <w:color w:val="auto"/>
                <w:szCs w:val="21"/>
                <w:highlight w:val="none"/>
                <w:lang w:val="en-US" w:eastAsia="zh-CN"/>
              </w:rPr>
              <w:t>。</w:t>
            </w:r>
          </w:p>
          <w:p w14:paraId="76F4EEB5">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中(3分)：投入计划与进度计划呼应，基本满足施工需要，调配投入计划基本合理。</w:t>
            </w:r>
          </w:p>
          <w:p w14:paraId="37EF2ADD">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差(1分)：投入计划与进度计划不呼应，调配投入计划不合理，不能满足施工需要。</w:t>
            </w:r>
          </w:p>
          <w:p w14:paraId="02A2EB2E">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）机械设备投入计划（满分</w:t>
            </w: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分）</w:t>
            </w:r>
          </w:p>
          <w:p w14:paraId="218E1A99">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分)：投入计划与进度计划呼应，较好满足施工需要，采用先进机械设备。</w:t>
            </w:r>
          </w:p>
          <w:p w14:paraId="36BA65F3">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分)：投入计划与进度计划呼应，满足施工需要。</w:t>
            </w:r>
          </w:p>
          <w:p w14:paraId="58FA92AD">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中(3分)：投入计划与进度计划呼应，基本满足施工需要。</w:t>
            </w:r>
          </w:p>
          <w:p w14:paraId="2E806D2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差(1分)：投入计划与进度计划不呼应，不能满足施工需要。</w:t>
            </w:r>
          </w:p>
          <w:p w14:paraId="5D4FB19F">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）施工平面布置和临时设施布置（满分8分）</w:t>
            </w:r>
          </w:p>
          <w:p w14:paraId="74C8378B">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优(8分)：总体布置有针对性、合理，较好满足施工需要，符合安全、文明生产要求。</w:t>
            </w:r>
          </w:p>
          <w:p w14:paraId="65C5BEFF">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良(6分)：总体布置合理，能满足施工需要，基本符合安全、文明生产要求。</w:t>
            </w:r>
          </w:p>
          <w:p w14:paraId="66EA9C5B">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中(4分)：总体布置基本合理，基本满足施工需要。</w:t>
            </w:r>
          </w:p>
          <w:p w14:paraId="6667B75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差(2分)：总体布置不合理，不符合安全、文明生产要求。</w:t>
            </w:r>
          </w:p>
          <w:p w14:paraId="406896D2">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）关键施工技术、工艺及工程项目实施的重点、难点分析和解决方案（满分8分）</w:t>
            </w:r>
          </w:p>
          <w:p w14:paraId="319CEF9C">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优(8分)：对项目关键技术、工艺有深入的表述，对重点、难点有先进合理的施工措施并有可行的安全措施，解决方案完整、经济、安全、切实可行，措施得力。</w:t>
            </w:r>
          </w:p>
          <w:p w14:paraId="4BE30B59">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良(6分)：对项目关键技术、工艺有深入的表述，对重点、难点有合理的建议，解决方案经济、安全、基本可行。</w:t>
            </w:r>
          </w:p>
          <w:p w14:paraId="58DA6F02">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中(4分)：对项目关键技术有一定了解，对重点、难点有建议，解决方案基本可行。</w:t>
            </w:r>
          </w:p>
          <w:p w14:paraId="67D6D4A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差(2分)：对项目关键技术有表述，对重点、难点有建议，解诀方案不可行。</w:t>
            </w:r>
          </w:p>
          <w:p w14:paraId="3A3AD5B9">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8</w:t>
            </w:r>
            <w:r>
              <w:rPr>
                <w:rFonts w:hint="eastAsia" w:ascii="宋体" w:hAnsi="宋体" w:cs="宋体"/>
                <w:b/>
                <w:color w:val="auto"/>
                <w:szCs w:val="21"/>
                <w:highlight w:val="none"/>
              </w:rPr>
              <w:t>）安全文明施工措施（满分8分）</w:t>
            </w:r>
          </w:p>
          <w:p w14:paraId="2035D891">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优(8分)：针对项目实际情况，有先进、具体、完整、可行的实施措施，采用规范正确、清晰。</w:t>
            </w:r>
          </w:p>
          <w:p w14:paraId="44A8B6A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良(5分)：针对项目实际情况，有合理的措施且具体、完整，采用规范正确。</w:t>
            </w:r>
          </w:p>
          <w:p w14:paraId="0DB05D8E">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中(3分)：有基本合理的措施，采用规范正确。</w:t>
            </w:r>
          </w:p>
          <w:p w14:paraId="1A9F9671">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差(1分)：安全文明措施不得力，采用规范不正确。</w:t>
            </w:r>
          </w:p>
          <w:p w14:paraId="7258DA36">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9</w:t>
            </w:r>
            <w:r>
              <w:rPr>
                <w:rFonts w:hint="eastAsia" w:ascii="宋体" w:hAnsi="宋体" w:cs="宋体"/>
                <w:b/>
                <w:color w:val="auto"/>
                <w:szCs w:val="21"/>
                <w:highlight w:val="none"/>
              </w:rPr>
              <w:t>）质量保证（满分8分）</w:t>
            </w:r>
          </w:p>
          <w:p w14:paraId="000907DB">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优(8分)：应用新技术、新工艺、新材料、新设备，针对项目实际提出先进、可行、具体的保证措施，超过招标文件的质量要求及施工验收规范要求。</w:t>
            </w:r>
          </w:p>
          <w:p w14:paraId="19D88687">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良(5分)：针对项目实际提出先进、可行、具体的保证措施，满足招标文件的质量要求。</w:t>
            </w:r>
          </w:p>
          <w:p w14:paraId="3C1531F0">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中(3分)：具体措施可行，满足招标文件的质量要求。</w:t>
            </w:r>
          </w:p>
          <w:p w14:paraId="0A174452">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差(1分)：措施不可行，不能满足文件中质量要求。</w:t>
            </w:r>
          </w:p>
          <w:p w14:paraId="2B59C9F4">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10</w:t>
            </w:r>
            <w:r>
              <w:rPr>
                <w:rFonts w:hint="eastAsia" w:ascii="宋体" w:hAnsi="宋体" w:cs="宋体"/>
                <w:b/>
                <w:color w:val="auto"/>
                <w:szCs w:val="21"/>
                <w:highlight w:val="none"/>
              </w:rPr>
              <w:t>）违约责任承诺（满分</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分）</w:t>
            </w:r>
          </w:p>
          <w:p w14:paraId="3660B971">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分)：违约责任承诺</w:t>
            </w:r>
            <w:r>
              <w:rPr>
                <w:rFonts w:hint="eastAsia" w:ascii="宋体" w:hAnsi="宋体" w:cs="宋体"/>
                <w:color w:val="auto"/>
                <w:szCs w:val="21"/>
                <w:highlight w:val="none"/>
                <w:lang w:eastAsia="zh-CN"/>
              </w:rPr>
              <w:t>详细、完善</w:t>
            </w:r>
            <w:r>
              <w:rPr>
                <w:rFonts w:hint="eastAsia" w:ascii="宋体" w:hAnsi="宋体" w:cs="宋体"/>
                <w:color w:val="auto"/>
                <w:szCs w:val="21"/>
                <w:highlight w:val="none"/>
              </w:rPr>
              <w:t>。</w:t>
            </w:r>
          </w:p>
          <w:p w14:paraId="7F9CECF0">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分)：违约责任承诺</w:t>
            </w:r>
            <w:r>
              <w:rPr>
                <w:rFonts w:hint="eastAsia" w:ascii="宋体" w:hAnsi="宋体" w:cs="宋体"/>
                <w:color w:val="auto"/>
                <w:szCs w:val="21"/>
                <w:highlight w:val="none"/>
                <w:lang w:eastAsia="zh-CN"/>
              </w:rPr>
              <w:t>基本完整</w:t>
            </w:r>
            <w:r>
              <w:rPr>
                <w:rFonts w:hint="eastAsia" w:ascii="宋体" w:hAnsi="宋体" w:cs="宋体"/>
                <w:color w:val="auto"/>
                <w:szCs w:val="21"/>
                <w:highlight w:val="none"/>
              </w:rPr>
              <w:t xml:space="preserve">。 </w:t>
            </w:r>
          </w:p>
          <w:p w14:paraId="2225E4E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分)：有违约责任承诺</w:t>
            </w:r>
            <w:r>
              <w:rPr>
                <w:rFonts w:hint="eastAsia" w:ascii="宋体" w:hAnsi="宋体" w:cs="宋体"/>
                <w:color w:val="auto"/>
                <w:szCs w:val="21"/>
                <w:highlight w:val="none"/>
                <w:lang w:eastAsia="zh-CN"/>
              </w:rPr>
              <w:t>，内容简单、不全面</w:t>
            </w:r>
            <w:r>
              <w:rPr>
                <w:rFonts w:hint="eastAsia" w:ascii="宋体" w:hAnsi="宋体" w:cs="宋体"/>
                <w:color w:val="auto"/>
                <w:szCs w:val="21"/>
                <w:highlight w:val="none"/>
              </w:rPr>
              <w:t>。</w:t>
            </w:r>
          </w:p>
          <w:p w14:paraId="28EF9C7E">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分)：无违约责任承诺。</w:t>
            </w:r>
          </w:p>
        </w:tc>
        <w:tc>
          <w:tcPr>
            <w:tcW w:w="851" w:type="dxa"/>
            <w:noWrap w:val="0"/>
            <w:vAlign w:val="center"/>
          </w:tcPr>
          <w:p w14:paraId="56CD8B82">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70分</w:t>
            </w:r>
          </w:p>
        </w:tc>
      </w:tr>
      <w:tr w14:paraId="7256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239" w:type="dxa"/>
            <w:gridSpan w:val="3"/>
            <w:noWrap w:val="0"/>
            <w:vAlign w:val="top"/>
          </w:tcPr>
          <w:p w14:paraId="09A419D4">
            <w:pPr>
              <w:pStyle w:val="13"/>
              <w:spacing w:line="360" w:lineRule="auto"/>
              <w:ind w:firstLine="420" w:firstLineChars="200"/>
              <w:rPr>
                <w:rFonts w:hAnsi="宋体" w:cs="Courier New"/>
                <w:bCs/>
                <w:color w:val="auto"/>
                <w:kern w:val="2"/>
                <w:sz w:val="21"/>
                <w:highlight w:val="none"/>
                <w:lang w:val="en-US" w:eastAsia="zh-CN"/>
              </w:rPr>
            </w:pPr>
            <w:r>
              <w:rPr>
                <w:rFonts w:hint="eastAsia" w:hAnsi="宋体" w:cs="Courier New"/>
                <w:bCs/>
                <w:color w:val="auto"/>
                <w:kern w:val="2"/>
                <w:sz w:val="21"/>
                <w:highlight w:val="none"/>
                <w:lang w:val="en-US" w:eastAsia="zh-CN"/>
              </w:rPr>
              <w:t>总得分＝1＋2</w:t>
            </w:r>
          </w:p>
        </w:tc>
        <w:tc>
          <w:tcPr>
            <w:tcW w:w="851" w:type="dxa"/>
            <w:noWrap w:val="0"/>
            <w:vAlign w:val="center"/>
          </w:tcPr>
          <w:p w14:paraId="26530229">
            <w:pPr>
              <w:widowControl/>
              <w:spacing w:line="360" w:lineRule="auto"/>
              <w:jc w:val="center"/>
              <w:rPr>
                <w:rFonts w:ascii="宋体" w:hAnsi="宋体" w:cs="Tahoma"/>
                <w:color w:val="auto"/>
                <w:kern w:val="0"/>
                <w:szCs w:val="21"/>
                <w:highlight w:val="none"/>
              </w:rPr>
            </w:pPr>
          </w:p>
        </w:tc>
      </w:tr>
    </w:tbl>
    <w:p w14:paraId="73493D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rPr>
      </w:pPr>
    </w:p>
    <w:p w14:paraId="635E9B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eastAsia="zh-CN"/>
        </w:rPr>
        <w:t>三、成交候选供应商推荐原则</w:t>
      </w:r>
    </w:p>
    <w:p w14:paraId="5171CA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(一) 磋商小组将根据总得分由高到低对供应商排列次序 (得分相同时，以最终报价由低到高顺序排列；得分相同且最终报价相同的，按技术指标优劣顺序排列) ，并推荐前三名为成交候选人。采购人应当确定磋商小组推荐排名第一的成交候选人为成交供应商。</w:t>
      </w:r>
    </w:p>
    <w:p w14:paraId="4864E3B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(二) 成交供应商放弃成交、因不可抗力提出不能履行合同，或者采购文件规定应当提交履约保证金而在规定的期限内未能提交的，采购人可以确定排名第二的成交候选人为成交供应商，也可以重新开展采购活动，以此类推。拒绝签订政府采购合同的成交供应商不得参加对该项目重新开展的采购活动。</w:t>
      </w:r>
    </w:p>
    <w:p w14:paraId="254D75BF">
      <w:pPr>
        <w:pStyle w:val="49"/>
        <w:rPr>
          <w:rFonts w:hint="eastAsia" w:ascii="黑体" w:hAnsi="宋体" w:eastAsia="黑体" w:cs="Times New Roman"/>
          <w:b/>
          <w:bCs/>
          <w:color w:val="auto"/>
          <w:kern w:val="0"/>
          <w:sz w:val="36"/>
          <w:szCs w:val="36"/>
          <w:highlight w:val="none"/>
        </w:rPr>
      </w:pPr>
    </w:p>
    <w:p w14:paraId="2E1603C0">
      <w:pPr>
        <w:pStyle w:val="49"/>
        <w:rPr>
          <w:rFonts w:hint="eastAsia" w:ascii="黑体" w:hAnsi="宋体" w:eastAsia="黑体" w:cs="Times New Roman"/>
          <w:b/>
          <w:bCs/>
          <w:color w:val="auto"/>
          <w:kern w:val="0"/>
          <w:sz w:val="36"/>
          <w:szCs w:val="36"/>
          <w:highlight w:val="none"/>
        </w:rPr>
      </w:pPr>
    </w:p>
    <w:p w14:paraId="4AA7B390">
      <w:pPr>
        <w:pStyle w:val="49"/>
        <w:rPr>
          <w:rFonts w:hint="eastAsia" w:ascii="黑体" w:hAnsi="宋体" w:eastAsia="黑体" w:cs="Times New Roman"/>
          <w:b/>
          <w:bCs/>
          <w:color w:val="auto"/>
          <w:kern w:val="0"/>
          <w:sz w:val="36"/>
          <w:szCs w:val="36"/>
          <w:highlight w:val="none"/>
        </w:rPr>
      </w:pPr>
    </w:p>
    <w:p w14:paraId="2CB86984">
      <w:pPr>
        <w:pStyle w:val="49"/>
        <w:rPr>
          <w:rFonts w:hint="eastAsia" w:ascii="黑体" w:hAnsi="宋体" w:eastAsia="黑体" w:cs="Times New Roman"/>
          <w:b/>
          <w:bCs/>
          <w:color w:val="auto"/>
          <w:kern w:val="0"/>
          <w:sz w:val="36"/>
          <w:szCs w:val="36"/>
          <w:highlight w:val="none"/>
        </w:rPr>
      </w:pPr>
    </w:p>
    <w:p w14:paraId="2B71DB3C">
      <w:pPr>
        <w:pStyle w:val="49"/>
        <w:rPr>
          <w:rFonts w:hint="eastAsia" w:ascii="黑体" w:hAnsi="宋体" w:eastAsia="黑体" w:cs="Times New Roman"/>
          <w:b/>
          <w:bCs/>
          <w:color w:val="auto"/>
          <w:kern w:val="0"/>
          <w:sz w:val="36"/>
          <w:szCs w:val="36"/>
          <w:highlight w:val="none"/>
        </w:rPr>
      </w:pPr>
    </w:p>
    <w:p w14:paraId="1515771F">
      <w:pPr>
        <w:pStyle w:val="13"/>
        <w:spacing w:line="400" w:lineRule="exact"/>
        <w:jc w:val="center"/>
        <w:outlineLvl w:val="9"/>
        <w:rPr>
          <w:rFonts w:hint="eastAsia" w:ascii="黑体" w:hAnsi="宋体" w:eastAsia="黑体" w:cs="Times New Roman"/>
          <w:b/>
          <w:bCs/>
          <w:color w:val="auto"/>
          <w:kern w:val="0"/>
          <w:sz w:val="36"/>
          <w:szCs w:val="36"/>
          <w:highlight w:val="none"/>
        </w:rPr>
      </w:pPr>
    </w:p>
    <w:p w14:paraId="1088C73C">
      <w:pPr>
        <w:rPr>
          <w:rFonts w:hint="eastAsia" w:ascii="黑体" w:hAnsi="宋体" w:eastAsia="黑体" w:cs="Times New Roman"/>
          <w:b/>
          <w:bCs/>
          <w:color w:val="auto"/>
          <w:kern w:val="0"/>
          <w:sz w:val="36"/>
          <w:szCs w:val="36"/>
          <w:highlight w:val="none"/>
        </w:rPr>
      </w:pPr>
      <w:bookmarkStart w:id="68" w:name="_Toc15543"/>
      <w:r>
        <w:rPr>
          <w:rFonts w:hint="eastAsia" w:ascii="黑体" w:hAnsi="宋体" w:eastAsia="黑体" w:cs="Times New Roman"/>
          <w:b/>
          <w:bCs/>
          <w:color w:val="auto"/>
          <w:kern w:val="0"/>
          <w:sz w:val="36"/>
          <w:szCs w:val="36"/>
          <w:highlight w:val="none"/>
        </w:rPr>
        <w:br w:type="page"/>
      </w:r>
    </w:p>
    <w:p w14:paraId="6D66A23D">
      <w:pPr>
        <w:pStyle w:val="13"/>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黑体" w:hAnsi="宋体" w:eastAsia="黑体" w:cs="Times New Roman"/>
          <w:b/>
          <w:bCs/>
          <w:color w:val="auto"/>
          <w:kern w:val="0"/>
          <w:sz w:val="36"/>
          <w:szCs w:val="36"/>
          <w:highlight w:val="none"/>
        </w:rPr>
      </w:pPr>
      <w:r>
        <w:rPr>
          <w:rFonts w:hint="eastAsia" w:ascii="黑体" w:hAnsi="宋体" w:eastAsia="黑体" w:cs="Times New Roman"/>
          <w:b/>
          <w:bCs/>
          <w:color w:val="auto"/>
          <w:kern w:val="0"/>
          <w:sz w:val="36"/>
          <w:szCs w:val="36"/>
          <w:highlight w:val="none"/>
        </w:rPr>
        <w:t>第</w:t>
      </w:r>
      <w:r>
        <w:rPr>
          <w:rFonts w:hint="eastAsia" w:ascii="黑体" w:hAnsi="宋体" w:eastAsia="黑体" w:cs="Times New Roman"/>
          <w:b/>
          <w:bCs/>
          <w:color w:val="auto"/>
          <w:kern w:val="0"/>
          <w:sz w:val="36"/>
          <w:szCs w:val="36"/>
          <w:highlight w:val="none"/>
          <w:lang w:val="en-US" w:eastAsia="zh-CN"/>
        </w:rPr>
        <w:t>五</w:t>
      </w:r>
      <w:r>
        <w:rPr>
          <w:rFonts w:hint="eastAsia" w:ascii="黑体" w:hAnsi="宋体" w:eastAsia="黑体" w:cs="Times New Roman"/>
          <w:b/>
          <w:bCs/>
          <w:color w:val="auto"/>
          <w:kern w:val="0"/>
          <w:sz w:val="36"/>
          <w:szCs w:val="36"/>
          <w:highlight w:val="none"/>
        </w:rPr>
        <w:t>章  响应文件（格式）</w:t>
      </w:r>
      <w:bookmarkEnd w:id="68"/>
    </w:p>
    <w:p w14:paraId="38467F13">
      <w:pPr>
        <w:autoSpaceDE w:val="0"/>
        <w:autoSpaceDN w:val="0"/>
        <w:adjustRightInd w:val="0"/>
        <w:spacing w:line="360" w:lineRule="auto"/>
        <w:rPr>
          <w:rFonts w:ascii="宋体" w:cs="宋体"/>
          <w:color w:val="auto"/>
          <w:szCs w:val="21"/>
          <w:highlight w:val="none"/>
          <w:lang w:val="zh-CN"/>
        </w:rPr>
      </w:pPr>
    </w:p>
    <w:p w14:paraId="25E2C035">
      <w:pPr>
        <w:rPr>
          <w:rFonts w:hint="eastAsia"/>
          <w:b/>
          <w:color w:val="auto"/>
          <w:sz w:val="32"/>
          <w:szCs w:val="32"/>
          <w:highlight w:val="none"/>
        </w:rPr>
      </w:pPr>
      <w:bookmarkStart w:id="69" w:name="_Toc44229899"/>
      <w:bookmarkStart w:id="70" w:name="_Toc71366186"/>
      <w:bookmarkStart w:id="71" w:name="_Toc31723070"/>
      <w:bookmarkStart w:id="72" w:name="_Toc35611516"/>
      <w:bookmarkStart w:id="73" w:name="_Toc35611438"/>
      <w:bookmarkStart w:id="74" w:name="_Toc31728084"/>
      <w:r>
        <w:rPr>
          <w:rFonts w:hint="eastAsia"/>
          <w:b/>
          <w:color w:val="auto"/>
          <w:sz w:val="32"/>
          <w:szCs w:val="32"/>
          <w:highlight w:val="none"/>
        </w:rPr>
        <w:t>一、资格证明文件格式</w:t>
      </w:r>
      <w:bookmarkEnd w:id="69"/>
      <w:bookmarkEnd w:id="70"/>
      <w:bookmarkEnd w:id="71"/>
      <w:bookmarkEnd w:id="72"/>
      <w:bookmarkEnd w:id="73"/>
      <w:bookmarkEnd w:id="74"/>
    </w:p>
    <w:p w14:paraId="336F37BB">
      <w:pPr>
        <w:snapToGrid w:val="0"/>
        <w:spacing w:before="156" w:beforeLines="50" w:after="50" w:line="360" w:lineRule="auto"/>
        <w:jc w:val="left"/>
        <w:rPr>
          <w:rFonts w:hint="eastAsia" w:ascii="宋体" w:hAnsi="宋体"/>
          <w:b/>
          <w:color w:val="auto"/>
          <w:sz w:val="24"/>
          <w:highlight w:val="none"/>
        </w:rPr>
      </w:pPr>
      <w:r>
        <w:rPr>
          <w:rFonts w:hint="eastAsia" w:ascii="宋体" w:hAnsi="宋体"/>
          <w:b/>
          <w:color w:val="auto"/>
          <w:sz w:val="32"/>
          <w:szCs w:val="32"/>
          <w:highlight w:val="none"/>
        </w:rPr>
        <w:t>1.资格证明文件封面格式：</w:t>
      </w:r>
      <w:r>
        <w:rPr>
          <w:rFonts w:hint="eastAsia" w:ascii="宋体" w:hAnsi="宋体"/>
          <w:b/>
          <w:color w:val="auto"/>
          <w:sz w:val="24"/>
          <w:highlight w:val="none"/>
        </w:rPr>
        <w:t xml:space="preserve"> </w:t>
      </w:r>
    </w:p>
    <w:p w14:paraId="1B194CA9">
      <w:pPr>
        <w:snapToGrid w:val="0"/>
        <w:spacing w:before="156" w:beforeLines="50" w:after="50"/>
        <w:jc w:val="center"/>
        <w:rPr>
          <w:rFonts w:ascii="宋体" w:hAnsi="宋体"/>
          <w:color w:val="auto"/>
          <w:sz w:val="44"/>
          <w:szCs w:val="44"/>
          <w:highlight w:val="none"/>
        </w:rPr>
      </w:pPr>
    </w:p>
    <w:p w14:paraId="289A40DF">
      <w:pPr>
        <w:snapToGrid w:val="0"/>
        <w:spacing w:before="156"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29C49C48">
      <w:pPr>
        <w:snapToGrid w:val="0"/>
        <w:spacing w:before="156" w:beforeLines="50" w:after="50"/>
        <w:rPr>
          <w:rFonts w:hint="eastAsia" w:ascii="宋体" w:hAnsi="宋体"/>
          <w:color w:val="auto"/>
          <w:sz w:val="24"/>
          <w:szCs w:val="20"/>
          <w:highlight w:val="none"/>
        </w:rPr>
      </w:pPr>
    </w:p>
    <w:p w14:paraId="61EE87C6">
      <w:pPr>
        <w:snapToGrid w:val="0"/>
        <w:spacing w:before="156"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7C0BCE9C">
      <w:pPr>
        <w:snapToGrid w:val="0"/>
        <w:spacing w:before="156" w:beforeLines="50" w:after="50"/>
        <w:rPr>
          <w:rFonts w:hint="eastAsia" w:ascii="宋体" w:hAnsi="宋体"/>
          <w:bCs/>
          <w:color w:val="auto"/>
          <w:sz w:val="24"/>
          <w:szCs w:val="20"/>
          <w:highlight w:val="none"/>
        </w:rPr>
      </w:pPr>
    </w:p>
    <w:p w14:paraId="2C946104">
      <w:pPr>
        <w:snapToGrid w:val="0"/>
        <w:spacing w:before="156" w:beforeLines="50" w:after="50"/>
        <w:rPr>
          <w:rFonts w:hint="eastAsia" w:ascii="宋体" w:hAnsi="宋体"/>
          <w:bCs/>
          <w:color w:val="auto"/>
          <w:sz w:val="24"/>
          <w:szCs w:val="20"/>
          <w:highlight w:val="none"/>
        </w:rPr>
      </w:pPr>
    </w:p>
    <w:p w14:paraId="214D6B89">
      <w:pPr>
        <w:snapToGrid w:val="0"/>
        <w:spacing w:before="156" w:beforeLines="50" w:after="50"/>
        <w:rPr>
          <w:rFonts w:hint="eastAsia" w:ascii="宋体" w:hAnsi="宋体"/>
          <w:bCs/>
          <w:color w:val="auto"/>
          <w:sz w:val="24"/>
          <w:szCs w:val="20"/>
          <w:highlight w:val="none"/>
        </w:rPr>
      </w:pPr>
    </w:p>
    <w:p w14:paraId="13B4D47F">
      <w:pPr>
        <w:snapToGrid w:val="0"/>
        <w:spacing w:before="156" w:beforeLines="50" w:after="50"/>
        <w:rPr>
          <w:rFonts w:hint="eastAsia" w:ascii="宋体" w:hAnsi="宋体"/>
          <w:bCs/>
          <w:color w:val="auto"/>
          <w:sz w:val="24"/>
          <w:szCs w:val="20"/>
          <w:highlight w:val="none"/>
        </w:rPr>
      </w:pPr>
    </w:p>
    <w:p w14:paraId="5DC6FF0E">
      <w:pPr>
        <w:snapToGrid w:val="0"/>
        <w:spacing w:before="156" w:beforeLines="50" w:after="50"/>
        <w:rPr>
          <w:rFonts w:hint="eastAsia" w:ascii="宋体" w:hAnsi="宋体"/>
          <w:bCs/>
          <w:color w:val="auto"/>
          <w:sz w:val="24"/>
          <w:szCs w:val="20"/>
          <w:highlight w:val="none"/>
        </w:rPr>
      </w:pPr>
    </w:p>
    <w:p w14:paraId="1A61DFBC">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37973365">
      <w:pPr>
        <w:snapToGrid w:val="0"/>
        <w:spacing w:before="156" w:beforeLines="50" w:after="50"/>
        <w:ind w:firstLine="720" w:firstLineChars="225"/>
        <w:rPr>
          <w:rFonts w:hint="eastAsia" w:ascii="宋体" w:hAnsi="宋体" w:cs="仿宋_GB2312"/>
          <w:bCs/>
          <w:color w:val="auto"/>
          <w:sz w:val="32"/>
          <w:szCs w:val="32"/>
          <w:highlight w:val="none"/>
        </w:rPr>
      </w:pPr>
    </w:p>
    <w:p w14:paraId="5302C0E8">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554D9E1">
      <w:pPr>
        <w:snapToGrid w:val="0"/>
        <w:spacing w:before="156" w:beforeLines="50" w:after="50"/>
        <w:ind w:firstLine="720" w:firstLineChars="225"/>
        <w:rPr>
          <w:rFonts w:hint="eastAsia" w:ascii="宋体" w:hAnsi="宋体" w:cs="仿宋_GB2312"/>
          <w:bCs/>
          <w:color w:val="auto"/>
          <w:sz w:val="32"/>
          <w:szCs w:val="32"/>
          <w:highlight w:val="none"/>
        </w:rPr>
      </w:pPr>
    </w:p>
    <w:p w14:paraId="646F6430">
      <w:pPr>
        <w:pStyle w:val="8"/>
        <w:snapToGrid w:val="0"/>
        <w:spacing w:before="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820519C">
      <w:pPr>
        <w:pStyle w:val="8"/>
        <w:snapToGrid w:val="0"/>
        <w:spacing w:before="50" w:after="50"/>
        <w:rPr>
          <w:rFonts w:hint="eastAsia" w:ascii="宋体" w:hAnsi="宋体" w:cs="仿宋_GB2312"/>
          <w:bCs/>
          <w:color w:val="auto"/>
          <w:sz w:val="32"/>
          <w:szCs w:val="32"/>
          <w:highlight w:val="none"/>
        </w:rPr>
      </w:pPr>
    </w:p>
    <w:p w14:paraId="67995E09">
      <w:pPr>
        <w:pStyle w:val="8"/>
        <w:snapToGrid w:val="0"/>
        <w:spacing w:before="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lang w:eastAsia="zh-CN"/>
        </w:rPr>
        <w:t>供应商地址：</w:t>
      </w:r>
    </w:p>
    <w:p w14:paraId="32A30D3E">
      <w:pPr>
        <w:snapToGrid w:val="0"/>
        <w:spacing w:before="156" w:beforeLines="50" w:after="50"/>
        <w:ind w:firstLine="640" w:firstLineChars="200"/>
        <w:rPr>
          <w:rFonts w:hint="eastAsia" w:ascii="宋体" w:hAnsi="宋体" w:cs="仿宋_GB2312"/>
          <w:bCs/>
          <w:color w:val="auto"/>
          <w:sz w:val="32"/>
          <w:szCs w:val="32"/>
          <w:highlight w:val="none"/>
        </w:rPr>
      </w:pPr>
    </w:p>
    <w:p w14:paraId="436F6E7E">
      <w:pPr>
        <w:pStyle w:val="8"/>
        <w:snapToGrid w:val="0"/>
        <w:spacing w:before="50" w:after="50"/>
        <w:ind w:firstLine="720" w:firstLineChars="225"/>
        <w:rPr>
          <w:rFonts w:hint="eastAsia" w:ascii="宋体" w:hAnsi="宋体" w:cs="仿宋_GB2312"/>
          <w:bCs/>
          <w:color w:val="auto"/>
          <w:sz w:val="32"/>
          <w:szCs w:val="32"/>
          <w:highlight w:val="none"/>
        </w:rPr>
      </w:pPr>
    </w:p>
    <w:p w14:paraId="4C4F85BC">
      <w:pPr>
        <w:pStyle w:val="8"/>
        <w:snapToGrid w:val="0"/>
        <w:spacing w:before="50" w:after="50"/>
        <w:ind w:firstLine="1280" w:firstLineChars="400"/>
        <w:rPr>
          <w:rFonts w:hint="eastAsia" w:ascii="宋体" w:hAnsi="宋体" w:cs="仿宋_GB2312"/>
          <w:bCs/>
          <w:color w:val="auto"/>
          <w:sz w:val="32"/>
          <w:szCs w:val="32"/>
          <w:highlight w:val="none"/>
        </w:rPr>
      </w:pPr>
    </w:p>
    <w:p w14:paraId="3360E55B">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4D85CDAC">
      <w:pPr>
        <w:snapToGrid w:val="0"/>
        <w:spacing w:before="156" w:beforeLines="50" w:after="50" w:line="360" w:lineRule="auto"/>
        <w:ind w:left="142"/>
        <w:jc w:val="left"/>
        <w:rPr>
          <w:rFonts w:hint="eastAsia"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6DB1A41C">
      <w:pPr>
        <w:snapToGrid w:val="0"/>
        <w:spacing w:before="156"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0C9771CC">
      <w:pPr>
        <w:snapToGrid w:val="0"/>
        <w:spacing w:before="156"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058F62CC">
      <w:pPr>
        <w:spacing w:line="300" w:lineRule="auto"/>
        <w:rPr>
          <w:rFonts w:hint="eastAsia" w:ascii="宋体" w:hAnsi="宋体"/>
          <w:color w:val="auto"/>
          <w:szCs w:val="21"/>
          <w:highlight w:val="none"/>
        </w:rPr>
      </w:pPr>
    </w:p>
    <w:p w14:paraId="266306C8">
      <w:pPr>
        <w:spacing w:line="300" w:lineRule="auto"/>
        <w:rPr>
          <w:rFonts w:hint="eastAsia" w:ascii="宋体" w:hAnsi="宋体"/>
          <w:color w:val="auto"/>
          <w:szCs w:val="21"/>
          <w:highlight w:val="none"/>
        </w:rPr>
      </w:pPr>
    </w:p>
    <w:p w14:paraId="51B4178F">
      <w:pPr>
        <w:spacing w:line="300" w:lineRule="auto"/>
        <w:rPr>
          <w:rFonts w:hint="eastAsia" w:ascii="宋体" w:hAnsi="宋体"/>
          <w:color w:val="auto"/>
          <w:szCs w:val="21"/>
          <w:highlight w:val="none"/>
        </w:rPr>
      </w:pPr>
    </w:p>
    <w:p w14:paraId="6566B894">
      <w:pPr>
        <w:spacing w:line="300" w:lineRule="auto"/>
        <w:rPr>
          <w:rFonts w:hint="eastAsia" w:ascii="宋体" w:hAnsi="宋体"/>
          <w:color w:val="auto"/>
          <w:szCs w:val="21"/>
          <w:highlight w:val="none"/>
        </w:rPr>
      </w:pPr>
    </w:p>
    <w:p w14:paraId="543BF478">
      <w:pPr>
        <w:spacing w:line="300" w:lineRule="auto"/>
        <w:rPr>
          <w:rFonts w:hint="eastAsia" w:ascii="宋体" w:hAnsi="宋体"/>
          <w:color w:val="auto"/>
          <w:szCs w:val="21"/>
          <w:highlight w:val="none"/>
        </w:rPr>
      </w:pPr>
    </w:p>
    <w:p w14:paraId="442B53F4">
      <w:pPr>
        <w:spacing w:line="300" w:lineRule="auto"/>
        <w:rPr>
          <w:rFonts w:hint="eastAsia" w:ascii="宋体" w:hAnsi="宋体"/>
          <w:color w:val="auto"/>
          <w:szCs w:val="21"/>
          <w:highlight w:val="none"/>
        </w:rPr>
      </w:pPr>
    </w:p>
    <w:p w14:paraId="7DF7C3CC">
      <w:pPr>
        <w:spacing w:line="300" w:lineRule="auto"/>
        <w:rPr>
          <w:rFonts w:hint="eastAsia" w:ascii="宋体" w:hAnsi="宋体"/>
          <w:color w:val="auto"/>
          <w:szCs w:val="21"/>
          <w:highlight w:val="none"/>
        </w:rPr>
      </w:pPr>
    </w:p>
    <w:p w14:paraId="648A0167">
      <w:pPr>
        <w:spacing w:line="300" w:lineRule="auto"/>
        <w:rPr>
          <w:rFonts w:hint="eastAsia" w:ascii="宋体" w:hAnsi="宋体"/>
          <w:color w:val="auto"/>
          <w:szCs w:val="21"/>
          <w:highlight w:val="none"/>
        </w:rPr>
      </w:pPr>
    </w:p>
    <w:p w14:paraId="4B93804F">
      <w:pPr>
        <w:spacing w:line="300" w:lineRule="auto"/>
        <w:rPr>
          <w:rFonts w:hint="eastAsia" w:ascii="宋体" w:hAnsi="宋体"/>
          <w:color w:val="auto"/>
          <w:szCs w:val="21"/>
          <w:highlight w:val="none"/>
        </w:rPr>
      </w:pPr>
    </w:p>
    <w:p w14:paraId="721120A7">
      <w:pPr>
        <w:spacing w:line="300" w:lineRule="auto"/>
        <w:rPr>
          <w:rFonts w:hint="eastAsia" w:ascii="宋体" w:hAnsi="宋体"/>
          <w:color w:val="auto"/>
          <w:szCs w:val="21"/>
          <w:highlight w:val="none"/>
        </w:rPr>
      </w:pPr>
    </w:p>
    <w:p w14:paraId="62932D9D">
      <w:pPr>
        <w:spacing w:line="300" w:lineRule="auto"/>
        <w:rPr>
          <w:rFonts w:hint="eastAsia" w:ascii="宋体" w:hAnsi="宋体"/>
          <w:color w:val="auto"/>
          <w:szCs w:val="21"/>
          <w:highlight w:val="none"/>
        </w:rPr>
      </w:pPr>
    </w:p>
    <w:p w14:paraId="7E1AEAE8">
      <w:pPr>
        <w:spacing w:line="300" w:lineRule="auto"/>
        <w:rPr>
          <w:rFonts w:hint="eastAsia" w:ascii="宋体" w:hAnsi="宋体"/>
          <w:color w:val="auto"/>
          <w:szCs w:val="21"/>
          <w:highlight w:val="none"/>
        </w:rPr>
      </w:pPr>
    </w:p>
    <w:p w14:paraId="2FC3A428">
      <w:pPr>
        <w:spacing w:line="300" w:lineRule="auto"/>
        <w:rPr>
          <w:rFonts w:hint="eastAsia" w:ascii="宋体" w:hAnsi="宋体"/>
          <w:color w:val="auto"/>
          <w:szCs w:val="21"/>
          <w:highlight w:val="none"/>
        </w:rPr>
      </w:pPr>
    </w:p>
    <w:p w14:paraId="3EA255BA">
      <w:pPr>
        <w:spacing w:line="300" w:lineRule="auto"/>
        <w:rPr>
          <w:rFonts w:hint="eastAsia" w:ascii="宋体" w:hAnsi="宋体"/>
          <w:color w:val="auto"/>
          <w:szCs w:val="21"/>
          <w:highlight w:val="none"/>
        </w:rPr>
      </w:pPr>
    </w:p>
    <w:p w14:paraId="1D02BDEC">
      <w:pPr>
        <w:spacing w:line="300" w:lineRule="auto"/>
        <w:rPr>
          <w:rFonts w:hint="eastAsia" w:ascii="宋体" w:hAnsi="宋体"/>
          <w:color w:val="auto"/>
          <w:szCs w:val="21"/>
          <w:highlight w:val="none"/>
        </w:rPr>
      </w:pPr>
    </w:p>
    <w:p w14:paraId="380A6599">
      <w:pPr>
        <w:spacing w:line="360" w:lineRule="auto"/>
        <w:jc w:val="center"/>
        <w:rPr>
          <w:rFonts w:hint="eastAsia" w:ascii="宋体" w:hAnsi="宋体"/>
          <w:b/>
          <w:color w:val="auto"/>
          <w:sz w:val="32"/>
          <w:szCs w:val="32"/>
          <w:highlight w:val="none"/>
        </w:rPr>
      </w:pPr>
      <w:r>
        <w:rPr>
          <w:rFonts w:ascii="宋体" w:hAnsi="宋体"/>
          <w:color w:val="auto"/>
          <w:szCs w:val="21"/>
          <w:highlight w:val="none"/>
        </w:rPr>
        <w:br w:type="page"/>
      </w:r>
      <w:r>
        <w:rPr>
          <w:rFonts w:hint="eastAsia" w:ascii="宋体" w:hAnsi="宋体"/>
          <w:b/>
          <w:color w:val="auto"/>
          <w:sz w:val="32"/>
          <w:szCs w:val="32"/>
          <w:highlight w:val="none"/>
        </w:rPr>
        <w:t>竞标声明</w:t>
      </w:r>
      <w:r>
        <w:rPr>
          <w:rFonts w:hint="eastAsia" w:ascii="宋体" w:hAnsi="宋体"/>
          <w:b/>
          <w:color w:val="auto"/>
          <w:sz w:val="32"/>
          <w:szCs w:val="32"/>
          <w:highlight w:val="none"/>
          <w:lang w:eastAsia="zh-CN"/>
        </w:rPr>
        <w:t>（格式）</w:t>
      </w:r>
    </w:p>
    <w:p w14:paraId="6541CE55">
      <w:pPr>
        <w:spacing w:line="320" w:lineRule="exact"/>
        <w:jc w:val="center"/>
        <w:rPr>
          <w:rFonts w:hint="eastAsia" w:ascii="宋体" w:hAnsi="宋体"/>
          <w:color w:val="auto"/>
          <w:sz w:val="24"/>
          <w:szCs w:val="20"/>
          <w:highlight w:val="none"/>
        </w:rPr>
      </w:pPr>
    </w:p>
    <w:p w14:paraId="4C298C02">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031841EC">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31060DA">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rPr>
        <w:t>项目的竞标，为便于贵方公正、择优地确定成交供应商及其服务，我方就本次竞标有关事项郑重声明如下：</w:t>
      </w:r>
    </w:p>
    <w:p w14:paraId="5AF4179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0CF72E35">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4F47F3A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3.在此，我方宣布同意如下：</w:t>
      </w:r>
    </w:p>
    <w:p w14:paraId="253A3BA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7721CF2E">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7EC07EF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2036044D">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（4）响应磋商文件规定的竞标有效期。</w:t>
      </w:r>
    </w:p>
    <w:p w14:paraId="622D72F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06F0651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119B214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1408117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46A25A8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151FE283">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2E5276A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14:paraId="7DE5EE6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412CFC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226B11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7B976E8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40E32431">
      <w:pPr>
        <w:pStyle w:val="13"/>
        <w:spacing w:line="360" w:lineRule="auto"/>
        <w:ind w:firstLine="480" w:firstLineChars="200"/>
        <w:contextualSpacing/>
        <w:rPr>
          <w:rFonts w:hint="eastAsia"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5947D694">
      <w:pPr>
        <w:pStyle w:val="13"/>
        <w:spacing w:line="360" w:lineRule="auto"/>
        <w:ind w:firstLine="480" w:firstLineChars="200"/>
        <w:contextualSpacing/>
        <w:rPr>
          <w:rFonts w:hint="eastAsia"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64AE8B7D">
      <w:pPr>
        <w:pStyle w:val="12"/>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帐号：</w:t>
      </w:r>
      <w:r>
        <w:rPr>
          <w:rFonts w:hint="eastAsia" w:ascii="宋体" w:hAnsi="宋体" w:cs="宋体"/>
          <w:color w:val="auto"/>
          <w:sz w:val="24"/>
          <w:highlight w:val="none"/>
          <w:u w:val="single"/>
        </w:rPr>
        <w:t xml:space="preserve">                               </w:t>
      </w:r>
    </w:p>
    <w:p w14:paraId="58C50A54">
      <w:pPr>
        <w:pStyle w:val="12"/>
        <w:tabs>
          <w:tab w:val="left" w:pos="939"/>
        </w:tabs>
        <w:spacing w:line="360" w:lineRule="auto"/>
        <w:ind w:left="0" w:leftChars="0" w:firstLine="480" w:firstLineChars="200"/>
        <w:rPr>
          <w:rFonts w:hint="eastAsia"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39105D3E">
      <w:pPr>
        <w:pStyle w:val="12"/>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特此承诺。</w:t>
      </w:r>
    </w:p>
    <w:p w14:paraId="682ECAF0">
      <w:pPr>
        <w:spacing w:line="360" w:lineRule="auto"/>
        <w:ind w:firstLine="482" w:firstLineChars="200"/>
        <w:contextualSpacing/>
        <w:jc w:val="left"/>
        <w:rPr>
          <w:rFonts w:hint="eastAsia" w:ascii="宋体" w:hAnsi="宋体"/>
          <w:b/>
          <w:color w:val="auto"/>
          <w:sz w:val="24"/>
          <w:highlight w:val="none"/>
        </w:rPr>
      </w:pPr>
      <w:r>
        <w:rPr>
          <w:rFonts w:hint="eastAsia" w:ascii="宋体" w:hAnsi="宋体" w:cs="宋体"/>
          <w:b/>
          <w:color w:val="auto"/>
          <w:sz w:val="24"/>
          <w:highlight w:val="none"/>
        </w:rPr>
        <w:t>注：</w:t>
      </w:r>
      <w:r>
        <w:rPr>
          <w:rFonts w:hint="eastAsia" w:ascii="宋体" w:hAnsi="宋体"/>
          <w:b/>
          <w:color w:val="auto"/>
          <w:sz w:val="24"/>
          <w:highlight w:val="none"/>
        </w:rPr>
        <w:t>如为联合体竞标，盖章处须加盖联合体牵头人电子签章并由联合体牵头人法定代表人分别签字或者盖章或者电子签名，否则响应文件按无效处理。</w:t>
      </w:r>
    </w:p>
    <w:p w14:paraId="55BE8AE3">
      <w:pPr>
        <w:spacing w:line="360" w:lineRule="auto"/>
        <w:contextualSpacing/>
        <w:jc w:val="left"/>
        <w:rPr>
          <w:rFonts w:hint="eastAsia" w:ascii="宋体" w:hAnsi="宋体" w:cs="宋体"/>
          <w:color w:val="auto"/>
          <w:szCs w:val="21"/>
          <w:highlight w:val="none"/>
        </w:rPr>
      </w:pPr>
    </w:p>
    <w:p w14:paraId="5067BCBB">
      <w:pPr>
        <w:spacing w:line="360" w:lineRule="auto"/>
        <w:ind w:firstLine="1800" w:firstLineChars="750"/>
        <w:contextualSpacing/>
        <w:rPr>
          <w:rFonts w:hint="eastAsia"/>
          <w:color w:val="auto"/>
          <w:sz w:val="24"/>
          <w:szCs w:val="24"/>
          <w:highlight w:val="none"/>
        </w:rPr>
      </w:pPr>
      <w:r>
        <w:rPr>
          <w:rFonts w:hint="eastAsia" w:ascii="宋体" w:hAnsi="宋体" w:eastAsia="宋体" w:cs="Times New Roman"/>
          <w:color w:val="auto"/>
          <w:sz w:val="24"/>
          <w:szCs w:val="24"/>
          <w:highlight w:val="none"/>
        </w:rPr>
        <w:t>法定代表人（签字或者盖章</w:t>
      </w:r>
      <w:r>
        <w:rPr>
          <w:rFonts w:hint="eastAsia" w:ascii="宋体" w:hAnsi="宋体"/>
          <w:color w:val="auto"/>
          <w:sz w:val="24"/>
          <w:szCs w:val="24"/>
          <w:highlight w:val="none"/>
        </w:rPr>
        <w:t>或者电子签名</w:t>
      </w:r>
      <w:r>
        <w:rPr>
          <w:rFonts w:hint="eastAsia"/>
          <w:color w:val="auto"/>
          <w:sz w:val="24"/>
          <w:szCs w:val="24"/>
          <w:highlight w:val="none"/>
        </w:rPr>
        <w:t>）：</w:t>
      </w:r>
      <w:r>
        <w:rPr>
          <w:rFonts w:hint="eastAsia"/>
          <w:color w:val="auto"/>
          <w:sz w:val="24"/>
          <w:szCs w:val="24"/>
          <w:highlight w:val="none"/>
          <w:u w:val="single"/>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single"/>
        </w:rPr>
        <w:t xml:space="preserve">        </w:t>
      </w:r>
      <w:r>
        <w:rPr>
          <w:rFonts w:hint="eastAsia"/>
          <w:color w:val="auto"/>
          <w:sz w:val="24"/>
          <w:szCs w:val="24"/>
          <w:highlight w:val="none"/>
        </w:rPr>
        <w:t xml:space="preserve">                                     </w:t>
      </w:r>
    </w:p>
    <w:p w14:paraId="56535888">
      <w:pPr>
        <w:spacing w:line="360" w:lineRule="auto"/>
        <w:ind w:firstLine="4320" w:firstLineChars="1800"/>
        <w:contextualSpacing/>
        <w:rPr>
          <w:rFonts w:hint="eastAsia" w:ascii="宋体" w:hAnsi="宋体" w:cs="宋体"/>
          <w:color w:val="auto"/>
          <w:sz w:val="24"/>
          <w:szCs w:val="24"/>
          <w:highlight w:val="none"/>
          <w:u w:val="single"/>
        </w:rPr>
      </w:pPr>
      <w:r>
        <w:rPr>
          <w:rFonts w:hint="eastAsia" w:ascii="宋体" w:hAnsi="宋体" w:eastAsia="宋体" w:cs="Times New Roman"/>
          <w:color w:val="auto"/>
          <w:sz w:val="24"/>
          <w:szCs w:val="24"/>
          <w:highlight w:val="none"/>
        </w:rPr>
        <w:t>供应商（电子签章）</w:t>
      </w:r>
      <w:r>
        <w:rPr>
          <w:rFonts w:hint="eastAsia"/>
          <w:color w:val="auto"/>
          <w:sz w:val="24"/>
          <w:szCs w:val="24"/>
          <w:highlight w:val="none"/>
        </w:rPr>
        <w:t>：</w:t>
      </w:r>
      <w:r>
        <w:rPr>
          <w:rFonts w:hint="eastAsia"/>
          <w:color w:val="auto"/>
          <w:sz w:val="24"/>
          <w:szCs w:val="24"/>
          <w:highlight w:val="none"/>
          <w:u w:val="single"/>
        </w:rPr>
        <w:t xml:space="preserve">                    </w:t>
      </w:r>
      <w:r>
        <w:rPr>
          <w:rFonts w:hint="eastAsia"/>
          <w:color w:val="auto"/>
          <w:sz w:val="24"/>
          <w:szCs w:val="24"/>
          <w:highlight w:val="none"/>
        </w:rPr>
        <w:t xml:space="preserve">       </w:t>
      </w:r>
      <w:r>
        <w:rPr>
          <w:rFonts w:hint="eastAsia" w:ascii="宋体" w:hAnsi="宋体" w:cs="宋体"/>
          <w:color w:val="auto"/>
          <w:sz w:val="24"/>
          <w:szCs w:val="24"/>
          <w:highlight w:val="none"/>
        </w:rPr>
        <w:t xml:space="preserve">    </w:t>
      </w:r>
    </w:p>
    <w:p w14:paraId="3517C71D">
      <w:pPr>
        <w:pStyle w:val="12"/>
        <w:tabs>
          <w:tab w:val="left" w:pos="939"/>
        </w:tabs>
        <w:spacing w:line="360" w:lineRule="auto"/>
        <w:ind w:left="0" w:leftChars="0" w:firstLine="480" w:firstLineChars="200"/>
        <w:rPr>
          <w:rFonts w:hint="eastAsia"/>
          <w:color w:val="auto"/>
          <w:sz w:val="24"/>
          <w:szCs w:val="24"/>
          <w:highlight w:val="none"/>
        </w:rPr>
      </w:pPr>
      <w:r>
        <w:rPr>
          <w:rFonts w:hint="eastAsia" w:ascii="宋体" w:hAnsi="宋体" w:cs="宋体"/>
          <w:color w:val="auto"/>
          <w:sz w:val="24"/>
          <w:szCs w:val="24"/>
          <w:highlight w:val="none"/>
        </w:rPr>
        <w:t xml:space="preserve">                                                        </w:t>
      </w:r>
      <w:r>
        <w:rPr>
          <w:rFonts w:hint="eastAsia"/>
          <w:color w:val="auto"/>
          <w:sz w:val="24"/>
          <w:szCs w:val="24"/>
          <w:highlight w:val="none"/>
        </w:rPr>
        <w:t xml:space="preserve"> 年    月    日</w:t>
      </w:r>
    </w:p>
    <w:p w14:paraId="2C6B06D4">
      <w:pPr>
        <w:spacing w:line="320" w:lineRule="exact"/>
        <w:jc w:val="left"/>
        <w:rPr>
          <w:rFonts w:hint="eastAsia" w:ascii="宋体" w:hAnsi="宋体"/>
          <w:color w:val="auto"/>
          <w:szCs w:val="21"/>
          <w:highlight w:val="none"/>
        </w:rPr>
      </w:pPr>
    </w:p>
    <w:p w14:paraId="20DBD6D1">
      <w:pPr>
        <w:spacing w:line="320" w:lineRule="exact"/>
        <w:jc w:val="center"/>
        <w:rPr>
          <w:rFonts w:hint="eastAsia" w:ascii="宋体" w:hAnsi="宋体"/>
          <w:b/>
          <w:color w:val="auto"/>
          <w:sz w:val="32"/>
          <w:szCs w:val="32"/>
          <w:highlight w:val="none"/>
        </w:rPr>
      </w:pPr>
    </w:p>
    <w:p w14:paraId="5AD2FC65">
      <w:pPr>
        <w:spacing w:line="320" w:lineRule="exact"/>
        <w:jc w:val="center"/>
        <w:rPr>
          <w:rFonts w:hint="eastAsia" w:ascii="宋体" w:hAnsi="宋体"/>
          <w:b/>
          <w:color w:val="auto"/>
          <w:sz w:val="32"/>
          <w:szCs w:val="32"/>
          <w:highlight w:val="none"/>
        </w:rPr>
      </w:pPr>
    </w:p>
    <w:p w14:paraId="508B6A50">
      <w:pPr>
        <w:spacing w:line="320" w:lineRule="exact"/>
        <w:jc w:val="center"/>
        <w:rPr>
          <w:rFonts w:hint="eastAsia" w:ascii="宋体" w:hAnsi="宋体"/>
          <w:b/>
          <w:color w:val="auto"/>
          <w:sz w:val="32"/>
          <w:szCs w:val="32"/>
          <w:highlight w:val="none"/>
        </w:rPr>
      </w:pPr>
    </w:p>
    <w:p w14:paraId="551D167A">
      <w:pPr>
        <w:spacing w:line="320" w:lineRule="exact"/>
        <w:jc w:val="center"/>
        <w:rPr>
          <w:rFonts w:hint="eastAsia" w:ascii="宋体" w:hAnsi="宋体"/>
          <w:b/>
          <w:color w:val="auto"/>
          <w:sz w:val="32"/>
          <w:szCs w:val="32"/>
          <w:highlight w:val="none"/>
        </w:rPr>
      </w:pPr>
    </w:p>
    <w:p w14:paraId="5F01839C">
      <w:pPr>
        <w:spacing w:line="320" w:lineRule="exact"/>
        <w:jc w:val="center"/>
        <w:rPr>
          <w:rFonts w:hint="eastAsia" w:ascii="宋体" w:hAnsi="宋体"/>
          <w:b/>
          <w:color w:val="auto"/>
          <w:sz w:val="32"/>
          <w:szCs w:val="32"/>
          <w:highlight w:val="none"/>
        </w:rPr>
      </w:pPr>
    </w:p>
    <w:p w14:paraId="79551BE0">
      <w:pPr>
        <w:spacing w:line="320" w:lineRule="exact"/>
        <w:jc w:val="center"/>
        <w:rPr>
          <w:rFonts w:hint="eastAsia" w:ascii="宋体" w:hAnsi="宋体"/>
          <w:b/>
          <w:color w:val="auto"/>
          <w:sz w:val="32"/>
          <w:szCs w:val="32"/>
          <w:highlight w:val="none"/>
        </w:rPr>
      </w:pPr>
    </w:p>
    <w:p w14:paraId="6804311B">
      <w:pPr>
        <w:spacing w:line="320" w:lineRule="exact"/>
        <w:jc w:val="center"/>
        <w:rPr>
          <w:rFonts w:hint="eastAsia" w:ascii="宋体" w:hAnsi="宋体"/>
          <w:b/>
          <w:color w:val="auto"/>
          <w:sz w:val="32"/>
          <w:szCs w:val="32"/>
          <w:highlight w:val="none"/>
        </w:rPr>
      </w:pPr>
    </w:p>
    <w:p w14:paraId="64B9226F">
      <w:pPr>
        <w:spacing w:line="320" w:lineRule="exact"/>
        <w:jc w:val="center"/>
        <w:rPr>
          <w:rFonts w:hint="eastAsia" w:ascii="宋体" w:hAnsi="宋体"/>
          <w:b/>
          <w:color w:val="auto"/>
          <w:sz w:val="32"/>
          <w:szCs w:val="32"/>
          <w:highlight w:val="none"/>
        </w:rPr>
      </w:pPr>
    </w:p>
    <w:p w14:paraId="1B0D2C32">
      <w:pPr>
        <w:spacing w:line="320" w:lineRule="exact"/>
        <w:jc w:val="center"/>
        <w:rPr>
          <w:rFonts w:hint="eastAsia" w:ascii="宋体" w:hAnsi="宋体"/>
          <w:b/>
          <w:color w:val="auto"/>
          <w:sz w:val="32"/>
          <w:szCs w:val="32"/>
          <w:highlight w:val="none"/>
        </w:rPr>
      </w:pPr>
    </w:p>
    <w:p w14:paraId="4F2D2A0A">
      <w:pPr>
        <w:spacing w:line="320" w:lineRule="exact"/>
        <w:jc w:val="center"/>
        <w:rPr>
          <w:rFonts w:hint="eastAsia" w:ascii="宋体" w:hAnsi="宋体"/>
          <w:b/>
          <w:color w:val="auto"/>
          <w:sz w:val="32"/>
          <w:szCs w:val="32"/>
          <w:highlight w:val="none"/>
        </w:rPr>
      </w:pPr>
    </w:p>
    <w:p w14:paraId="3B854333">
      <w:pPr>
        <w:spacing w:line="320" w:lineRule="exact"/>
        <w:jc w:val="center"/>
        <w:rPr>
          <w:rFonts w:hint="eastAsia" w:ascii="宋体" w:hAnsi="宋体"/>
          <w:b/>
          <w:color w:val="auto"/>
          <w:sz w:val="32"/>
          <w:szCs w:val="32"/>
          <w:highlight w:val="none"/>
        </w:rPr>
      </w:pPr>
    </w:p>
    <w:p w14:paraId="4BC6A9F7">
      <w:pPr>
        <w:spacing w:line="320" w:lineRule="exact"/>
        <w:jc w:val="center"/>
        <w:rPr>
          <w:rFonts w:hint="eastAsia" w:ascii="宋体" w:hAnsi="宋体"/>
          <w:b/>
          <w:color w:val="auto"/>
          <w:sz w:val="32"/>
          <w:szCs w:val="32"/>
          <w:highlight w:val="none"/>
        </w:rPr>
      </w:pPr>
    </w:p>
    <w:p w14:paraId="3974E744">
      <w:pPr>
        <w:spacing w:line="320" w:lineRule="exact"/>
        <w:jc w:val="center"/>
        <w:rPr>
          <w:rFonts w:hint="eastAsia" w:ascii="宋体" w:hAnsi="宋体"/>
          <w:b/>
          <w:color w:val="auto"/>
          <w:sz w:val="32"/>
          <w:szCs w:val="32"/>
          <w:highlight w:val="none"/>
        </w:rPr>
      </w:pPr>
    </w:p>
    <w:p w14:paraId="4391EB6F">
      <w:pPr>
        <w:spacing w:line="320" w:lineRule="exact"/>
        <w:jc w:val="center"/>
        <w:rPr>
          <w:rFonts w:hint="eastAsia" w:ascii="宋体" w:hAnsi="宋体"/>
          <w:b/>
          <w:color w:val="auto"/>
          <w:sz w:val="32"/>
          <w:szCs w:val="32"/>
          <w:highlight w:val="none"/>
        </w:rPr>
      </w:pPr>
    </w:p>
    <w:p w14:paraId="6A6BB8A6">
      <w:pPr>
        <w:spacing w:line="320" w:lineRule="exact"/>
        <w:jc w:val="center"/>
        <w:rPr>
          <w:rFonts w:hint="eastAsia" w:ascii="宋体" w:hAnsi="宋体"/>
          <w:b/>
          <w:color w:val="auto"/>
          <w:sz w:val="32"/>
          <w:szCs w:val="32"/>
          <w:highlight w:val="none"/>
        </w:rPr>
      </w:pPr>
    </w:p>
    <w:p w14:paraId="0DB71451">
      <w:pPr>
        <w:spacing w:line="320" w:lineRule="exact"/>
        <w:jc w:val="center"/>
        <w:rPr>
          <w:rFonts w:hint="eastAsia" w:ascii="宋体" w:hAnsi="宋体"/>
          <w:b/>
          <w:color w:val="auto"/>
          <w:sz w:val="32"/>
          <w:szCs w:val="32"/>
          <w:highlight w:val="none"/>
        </w:rPr>
      </w:pPr>
    </w:p>
    <w:p w14:paraId="7FDEBBAE">
      <w:pPr>
        <w:spacing w:line="320" w:lineRule="exact"/>
        <w:jc w:val="center"/>
        <w:rPr>
          <w:rFonts w:hint="eastAsia" w:ascii="宋体" w:hAnsi="宋体"/>
          <w:b/>
          <w:color w:val="auto"/>
          <w:sz w:val="32"/>
          <w:szCs w:val="32"/>
          <w:highlight w:val="none"/>
        </w:rPr>
      </w:pPr>
    </w:p>
    <w:p w14:paraId="23DB4F32">
      <w:pPr>
        <w:spacing w:line="320" w:lineRule="exact"/>
        <w:jc w:val="center"/>
        <w:rPr>
          <w:rFonts w:hint="eastAsia" w:ascii="宋体" w:hAnsi="宋体"/>
          <w:b/>
          <w:color w:val="auto"/>
          <w:sz w:val="32"/>
          <w:szCs w:val="32"/>
          <w:highlight w:val="none"/>
        </w:rPr>
      </w:pPr>
    </w:p>
    <w:p w14:paraId="769D2844">
      <w:pPr>
        <w:spacing w:line="320" w:lineRule="exact"/>
        <w:jc w:val="center"/>
        <w:rPr>
          <w:rFonts w:hint="eastAsia" w:ascii="宋体" w:hAnsi="宋体"/>
          <w:b/>
          <w:color w:val="auto"/>
          <w:sz w:val="32"/>
          <w:szCs w:val="32"/>
          <w:highlight w:val="none"/>
        </w:rPr>
      </w:pPr>
    </w:p>
    <w:p w14:paraId="18235DD2">
      <w:pPr>
        <w:spacing w:line="320" w:lineRule="exact"/>
        <w:jc w:val="center"/>
        <w:rPr>
          <w:rFonts w:hint="eastAsia" w:ascii="宋体" w:hAnsi="宋体"/>
          <w:b/>
          <w:color w:val="auto"/>
          <w:sz w:val="32"/>
          <w:szCs w:val="32"/>
          <w:highlight w:val="none"/>
        </w:rPr>
      </w:pPr>
    </w:p>
    <w:p w14:paraId="399BFE39">
      <w:pPr>
        <w:spacing w:line="320" w:lineRule="exact"/>
        <w:jc w:val="center"/>
        <w:rPr>
          <w:rFonts w:hint="eastAsia" w:ascii="宋体" w:hAnsi="宋体"/>
          <w:b/>
          <w:color w:val="auto"/>
          <w:sz w:val="32"/>
          <w:szCs w:val="32"/>
          <w:highlight w:val="none"/>
        </w:rPr>
      </w:pPr>
    </w:p>
    <w:p w14:paraId="1F35B4A7">
      <w:pPr>
        <w:spacing w:line="320" w:lineRule="exact"/>
        <w:jc w:val="center"/>
        <w:rPr>
          <w:rFonts w:hint="eastAsia" w:ascii="宋体" w:hAnsi="宋体"/>
          <w:b/>
          <w:color w:val="auto"/>
          <w:sz w:val="32"/>
          <w:szCs w:val="32"/>
          <w:highlight w:val="none"/>
        </w:rPr>
      </w:pPr>
    </w:p>
    <w:p w14:paraId="04EB00BE">
      <w:pPr>
        <w:spacing w:line="320" w:lineRule="exact"/>
        <w:jc w:val="both"/>
        <w:rPr>
          <w:rFonts w:hint="eastAsia" w:ascii="宋体" w:hAnsi="宋体"/>
          <w:b/>
          <w:color w:val="auto"/>
          <w:sz w:val="32"/>
          <w:szCs w:val="32"/>
          <w:highlight w:val="none"/>
        </w:rPr>
      </w:pPr>
    </w:p>
    <w:p w14:paraId="67833BA9">
      <w:pPr>
        <w:spacing w:line="320" w:lineRule="exact"/>
        <w:jc w:val="center"/>
        <w:rPr>
          <w:rFonts w:hint="eastAsia" w:ascii="宋体" w:hAnsi="宋体"/>
          <w:b/>
          <w:color w:val="auto"/>
          <w:sz w:val="32"/>
          <w:szCs w:val="32"/>
          <w:highlight w:val="none"/>
        </w:rPr>
      </w:pPr>
    </w:p>
    <w:p w14:paraId="0A00F529">
      <w:pPr>
        <w:spacing w:line="320" w:lineRule="exact"/>
        <w:jc w:val="center"/>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供应商直接控股、管理关系信息表</w:t>
      </w:r>
      <w:r>
        <w:rPr>
          <w:rFonts w:hint="eastAsia" w:ascii="宋体" w:hAnsi="宋体"/>
          <w:b/>
          <w:color w:val="auto"/>
          <w:sz w:val="32"/>
          <w:szCs w:val="32"/>
          <w:highlight w:val="none"/>
          <w:lang w:eastAsia="zh-CN"/>
        </w:rPr>
        <w:t>（格式）</w:t>
      </w:r>
    </w:p>
    <w:p w14:paraId="20237677">
      <w:pPr>
        <w:spacing w:line="360" w:lineRule="auto"/>
        <w:contextualSpacing/>
        <w:jc w:val="center"/>
        <w:rPr>
          <w:rFonts w:hint="eastAsia" w:ascii="宋体" w:hAnsi="宋体"/>
          <w:b/>
          <w:color w:val="auto"/>
          <w:sz w:val="32"/>
          <w:szCs w:val="32"/>
          <w:highlight w:val="none"/>
        </w:rPr>
      </w:pPr>
    </w:p>
    <w:p w14:paraId="4943686A">
      <w:pPr>
        <w:spacing w:line="360" w:lineRule="auto"/>
        <w:contextualSpacing/>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供应商直接控股股东信息表</w:t>
      </w:r>
      <w:r>
        <w:rPr>
          <w:rFonts w:hint="eastAsia" w:ascii="宋体" w:hAnsi="宋体"/>
          <w:b/>
          <w:color w:val="auto"/>
          <w:sz w:val="32"/>
          <w:szCs w:val="32"/>
          <w:highlight w:val="none"/>
          <w:lang w:eastAsia="zh-CN"/>
        </w:rPr>
        <w:t>（格式）</w:t>
      </w:r>
    </w:p>
    <w:p w14:paraId="46240DEE">
      <w:pPr>
        <w:spacing w:line="360" w:lineRule="auto"/>
        <w:contextualSpacing/>
        <w:jc w:val="center"/>
        <w:rPr>
          <w:rFonts w:hint="eastAsia" w:ascii="宋体" w:hAnsi="宋体"/>
          <w:b/>
          <w:color w:val="auto"/>
          <w:sz w:val="24"/>
          <w:highlight w:val="none"/>
        </w:rPr>
      </w:pPr>
    </w:p>
    <w:tbl>
      <w:tblPr>
        <w:tblStyle w:val="30"/>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426AC308">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52C847">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F81D958">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DF3663">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5D17E6">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CF4BF1">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24BCCBDA">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6924C80">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5F7DE6">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6F900E">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2ABF49A">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AB3DFB">
            <w:pPr>
              <w:widowControl/>
              <w:spacing w:line="360" w:lineRule="auto"/>
              <w:contextualSpacing/>
              <w:jc w:val="center"/>
              <w:rPr>
                <w:rFonts w:hint="eastAsia" w:ascii="宋体" w:hAnsi="宋体" w:cs="宋体"/>
                <w:color w:val="auto"/>
                <w:kern w:val="0"/>
                <w:sz w:val="24"/>
                <w:highlight w:val="none"/>
              </w:rPr>
            </w:pPr>
          </w:p>
        </w:tc>
      </w:tr>
      <w:tr w14:paraId="71389C06">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E28C63">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1EDC068">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C55F15">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337776E">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D76B59">
            <w:pPr>
              <w:widowControl/>
              <w:spacing w:line="360" w:lineRule="auto"/>
              <w:contextualSpacing/>
              <w:jc w:val="center"/>
              <w:rPr>
                <w:rFonts w:hint="eastAsia" w:ascii="宋体" w:hAnsi="宋体" w:cs="宋体"/>
                <w:color w:val="auto"/>
                <w:kern w:val="0"/>
                <w:sz w:val="24"/>
                <w:highlight w:val="none"/>
              </w:rPr>
            </w:pPr>
          </w:p>
        </w:tc>
      </w:tr>
      <w:tr w14:paraId="67DC25F5">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BB3C51">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E98F47">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4B46737">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23F8A0B">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454F2B">
            <w:pPr>
              <w:widowControl/>
              <w:spacing w:line="360" w:lineRule="auto"/>
              <w:contextualSpacing/>
              <w:jc w:val="center"/>
              <w:rPr>
                <w:rFonts w:hint="eastAsia" w:ascii="宋体" w:hAnsi="宋体" w:cs="宋体"/>
                <w:color w:val="auto"/>
                <w:kern w:val="0"/>
                <w:sz w:val="24"/>
                <w:highlight w:val="none"/>
              </w:rPr>
            </w:pPr>
          </w:p>
        </w:tc>
      </w:tr>
      <w:tr w14:paraId="6A79F94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0DD448F">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712D00">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3B250B">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BE884F">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70CD3C">
            <w:pPr>
              <w:widowControl/>
              <w:spacing w:line="360" w:lineRule="auto"/>
              <w:contextualSpacing/>
              <w:jc w:val="center"/>
              <w:rPr>
                <w:rFonts w:hint="eastAsia" w:ascii="宋体" w:hAnsi="宋体" w:cs="宋体"/>
                <w:color w:val="auto"/>
                <w:kern w:val="0"/>
                <w:sz w:val="24"/>
                <w:highlight w:val="none"/>
              </w:rPr>
            </w:pPr>
          </w:p>
        </w:tc>
      </w:tr>
    </w:tbl>
    <w:p w14:paraId="5EBD092C">
      <w:pPr>
        <w:spacing w:line="360" w:lineRule="auto"/>
        <w:contextualSpacing/>
        <w:jc w:val="left"/>
        <w:rPr>
          <w:rFonts w:hint="eastAsia" w:ascii="宋体" w:hAnsi="宋体" w:cs="宋体"/>
          <w:color w:val="auto"/>
          <w:sz w:val="24"/>
          <w:highlight w:val="none"/>
        </w:rPr>
      </w:pPr>
      <w:r>
        <w:rPr>
          <w:rFonts w:hint="eastAsia" w:ascii="宋体" w:hAnsi="宋体" w:cs="宋体"/>
          <w:color w:val="auto"/>
          <w:sz w:val="24"/>
          <w:highlight w:val="none"/>
        </w:rPr>
        <w:t>注：</w:t>
      </w:r>
    </w:p>
    <w:p w14:paraId="0B0F2A45">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2467D1E">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50D21F86">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5A9E27B4">
      <w:pPr>
        <w:spacing w:line="360" w:lineRule="auto"/>
        <w:ind w:firstLine="420" w:firstLineChars="200"/>
        <w:contextualSpacing/>
        <w:jc w:val="left"/>
        <w:rPr>
          <w:rFonts w:ascii="宋体" w:hAnsi="宋体" w:cs="宋体"/>
          <w:color w:val="auto"/>
          <w:szCs w:val="21"/>
          <w:highlight w:val="none"/>
        </w:rPr>
      </w:pPr>
    </w:p>
    <w:p w14:paraId="542AD9DC">
      <w:pPr>
        <w:spacing w:line="360" w:lineRule="auto"/>
        <w:ind w:firstLine="560" w:firstLineChars="200"/>
        <w:contextualSpacing/>
        <w:jc w:val="left"/>
        <w:rPr>
          <w:rFonts w:hint="eastAsia" w:ascii="宋体" w:hAnsi="宋体" w:cs="宋体"/>
          <w:color w:val="auto"/>
          <w:sz w:val="28"/>
          <w:szCs w:val="28"/>
          <w:highlight w:val="none"/>
        </w:rPr>
      </w:pPr>
    </w:p>
    <w:p w14:paraId="2CCFA867">
      <w:pPr>
        <w:spacing w:line="360" w:lineRule="auto"/>
        <w:ind w:right="480"/>
        <w:contextualSpacing/>
        <w:jc w:val="center"/>
        <w:rPr>
          <w:rFonts w:hint="eastAsia" w:ascii="宋体" w:hAnsi="宋体" w:cs="宋体"/>
          <w:color w:val="auto"/>
          <w:sz w:val="24"/>
          <w:szCs w:val="24"/>
          <w:highlight w:val="none"/>
          <w:u w:val="single"/>
        </w:rPr>
      </w:pP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法定代表人或者委托代理人</w:t>
      </w:r>
      <w:r>
        <w:rPr>
          <w:rFonts w:hint="eastAsia" w:ascii="宋体" w:hAnsi="宋体"/>
          <w:color w:val="auto"/>
          <w:sz w:val="24"/>
          <w:szCs w:val="24"/>
          <w:highlight w:val="none"/>
        </w:rPr>
        <w:t>（签字或者电子签名）</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 xml:space="preserve">                   </w:t>
      </w:r>
    </w:p>
    <w:p w14:paraId="6B3E6682">
      <w:pPr>
        <w:spacing w:line="360" w:lineRule="auto"/>
        <w:ind w:right="480" w:firstLine="3000" w:firstLineChars="1250"/>
        <w:contextualSpacing/>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供应商</w:t>
      </w:r>
      <w:r>
        <w:rPr>
          <w:rFonts w:hint="eastAsia" w:ascii="宋体" w:hAnsi="宋体"/>
          <w:color w:val="auto"/>
          <w:sz w:val="24"/>
          <w:szCs w:val="24"/>
          <w:highlight w:val="none"/>
        </w:rPr>
        <w:t>（电子签章）</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rPr>
        <w:t xml:space="preserve">                              </w:t>
      </w:r>
    </w:p>
    <w:p w14:paraId="3A856EFC">
      <w:pPr>
        <w:spacing w:line="360" w:lineRule="auto"/>
        <w:ind w:firstLine="480" w:firstLineChars="200"/>
        <w:contextualSpacing/>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年    月    日</w:t>
      </w:r>
    </w:p>
    <w:p w14:paraId="3CD1DE68">
      <w:pPr>
        <w:snapToGrid w:val="0"/>
        <w:jc w:val="center"/>
        <w:rPr>
          <w:rFonts w:hint="eastAsia" w:ascii="宋体" w:hAnsi="宋体"/>
          <w:b/>
          <w:color w:val="auto"/>
          <w:sz w:val="28"/>
          <w:szCs w:val="28"/>
          <w:highlight w:val="none"/>
        </w:rPr>
      </w:pPr>
      <w:r>
        <w:rPr>
          <w:rFonts w:ascii="宋体" w:hAnsi="宋体"/>
          <w:b/>
          <w:color w:val="auto"/>
          <w:sz w:val="28"/>
          <w:szCs w:val="28"/>
          <w:highlight w:val="none"/>
        </w:rPr>
        <w:br w:type="page"/>
      </w:r>
    </w:p>
    <w:p w14:paraId="13312A92">
      <w:pPr>
        <w:spacing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供应商直接管理关系信息表</w:t>
      </w:r>
      <w:r>
        <w:rPr>
          <w:rFonts w:hint="eastAsia" w:ascii="宋体" w:hAnsi="宋体"/>
          <w:b/>
          <w:color w:val="auto"/>
          <w:sz w:val="32"/>
          <w:szCs w:val="32"/>
          <w:highlight w:val="none"/>
          <w:lang w:eastAsia="zh-CN"/>
        </w:rPr>
        <w:t>（格式）</w:t>
      </w:r>
    </w:p>
    <w:p w14:paraId="0EE7FB50">
      <w:pPr>
        <w:snapToGrid w:val="0"/>
        <w:spacing w:line="360" w:lineRule="auto"/>
        <w:jc w:val="center"/>
        <w:rPr>
          <w:rFonts w:hint="eastAsia" w:ascii="宋体" w:hAnsi="宋体"/>
          <w:b/>
          <w:color w:val="auto"/>
          <w:sz w:val="24"/>
          <w:highlight w:val="none"/>
        </w:rPr>
      </w:pPr>
    </w:p>
    <w:tbl>
      <w:tblPr>
        <w:tblStyle w:val="30"/>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E978C70">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8842260">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4C617C">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7F37EF">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F8E798">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相互关系</w:t>
            </w:r>
          </w:p>
        </w:tc>
      </w:tr>
      <w:tr w14:paraId="29B80423">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D257A97">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3C3F955">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5E32B0">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07B43D3">
            <w:pPr>
              <w:widowControl/>
              <w:spacing w:line="360" w:lineRule="auto"/>
              <w:contextualSpacing/>
              <w:jc w:val="center"/>
              <w:rPr>
                <w:rFonts w:ascii="宋体" w:hAnsi="宋体" w:cs="宋体"/>
                <w:color w:val="auto"/>
                <w:kern w:val="0"/>
                <w:sz w:val="24"/>
                <w:highlight w:val="none"/>
              </w:rPr>
            </w:pPr>
          </w:p>
        </w:tc>
      </w:tr>
      <w:tr w14:paraId="1964262D">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67D9F4">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F57529">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42B1E9">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3BA430">
            <w:pPr>
              <w:widowControl/>
              <w:spacing w:line="360" w:lineRule="auto"/>
              <w:contextualSpacing/>
              <w:jc w:val="center"/>
              <w:rPr>
                <w:rFonts w:ascii="宋体" w:hAnsi="宋体" w:cs="宋体"/>
                <w:color w:val="auto"/>
                <w:kern w:val="0"/>
                <w:sz w:val="24"/>
                <w:highlight w:val="none"/>
              </w:rPr>
            </w:pPr>
          </w:p>
        </w:tc>
      </w:tr>
      <w:tr w14:paraId="2E14813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15E169">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886A81">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39523D">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69F4D8">
            <w:pPr>
              <w:widowControl/>
              <w:spacing w:line="360" w:lineRule="auto"/>
              <w:contextualSpacing/>
              <w:jc w:val="center"/>
              <w:rPr>
                <w:rFonts w:ascii="宋体" w:hAnsi="宋体" w:cs="宋体"/>
                <w:color w:val="auto"/>
                <w:kern w:val="0"/>
                <w:sz w:val="24"/>
                <w:highlight w:val="none"/>
              </w:rPr>
            </w:pPr>
          </w:p>
        </w:tc>
      </w:tr>
      <w:tr w14:paraId="4C18435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F193C1">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AA7757">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2F06C02">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F4AC39B">
            <w:pPr>
              <w:widowControl/>
              <w:spacing w:line="360" w:lineRule="auto"/>
              <w:contextualSpacing/>
              <w:jc w:val="center"/>
              <w:rPr>
                <w:rFonts w:ascii="宋体" w:hAnsi="宋体" w:cs="宋体"/>
                <w:color w:val="auto"/>
                <w:kern w:val="0"/>
                <w:sz w:val="24"/>
                <w:highlight w:val="none"/>
              </w:rPr>
            </w:pPr>
          </w:p>
        </w:tc>
      </w:tr>
    </w:tbl>
    <w:p w14:paraId="39C112DB">
      <w:pPr>
        <w:spacing w:line="360" w:lineRule="auto"/>
        <w:contextualSpacing/>
        <w:jc w:val="left"/>
        <w:rPr>
          <w:rFonts w:hint="eastAsia" w:ascii="宋体" w:hAnsi="宋体"/>
          <w:color w:val="auto"/>
          <w:sz w:val="24"/>
          <w:highlight w:val="none"/>
        </w:rPr>
      </w:pPr>
      <w:r>
        <w:rPr>
          <w:rFonts w:hint="eastAsia" w:ascii="宋体" w:hAnsi="宋体"/>
          <w:color w:val="auto"/>
          <w:sz w:val="24"/>
          <w:highlight w:val="none"/>
        </w:rPr>
        <w:t>注：</w:t>
      </w:r>
    </w:p>
    <w:p w14:paraId="40028320">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0D674E01">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1F42B7FA">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5616CEF4">
      <w:pPr>
        <w:spacing w:line="360" w:lineRule="auto"/>
        <w:contextualSpacing/>
        <w:jc w:val="left"/>
        <w:rPr>
          <w:rFonts w:hint="eastAsia" w:ascii="宋体" w:hAnsi="宋体"/>
          <w:color w:val="auto"/>
          <w:sz w:val="28"/>
          <w:szCs w:val="28"/>
          <w:highlight w:val="none"/>
        </w:rPr>
      </w:pPr>
    </w:p>
    <w:p w14:paraId="0100E825">
      <w:pPr>
        <w:spacing w:line="360" w:lineRule="auto"/>
        <w:contextualSpacing/>
        <w:jc w:val="left"/>
        <w:rPr>
          <w:rFonts w:hint="eastAsia" w:ascii="宋体" w:hAnsi="宋体"/>
          <w:color w:val="auto"/>
          <w:sz w:val="28"/>
          <w:szCs w:val="28"/>
          <w:highlight w:val="none"/>
        </w:rPr>
      </w:pPr>
    </w:p>
    <w:p w14:paraId="6C975D9A">
      <w:pPr>
        <w:spacing w:line="360" w:lineRule="auto"/>
        <w:contextualSpacing/>
        <w:jc w:val="left"/>
        <w:rPr>
          <w:rFonts w:hint="eastAsia"/>
          <w:color w:val="auto"/>
          <w:sz w:val="28"/>
          <w:szCs w:val="28"/>
          <w:highlight w:val="none"/>
        </w:rPr>
      </w:pPr>
    </w:p>
    <w:p w14:paraId="246E46DA">
      <w:pPr>
        <w:spacing w:line="360" w:lineRule="auto"/>
        <w:contextualSpacing/>
        <w:jc w:val="left"/>
        <w:rPr>
          <w:rFonts w:hint="eastAsia" w:ascii="宋体" w:hAnsi="宋体"/>
          <w:color w:val="auto"/>
          <w:sz w:val="28"/>
          <w:szCs w:val="28"/>
          <w:highlight w:val="none"/>
        </w:rPr>
      </w:pPr>
    </w:p>
    <w:p w14:paraId="147AE345">
      <w:pPr>
        <w:spacing w:line="360" w:lineRule="auto"/>
        <w:ind w:right="480"/>
        <w:contextualSpacing/>
        <w:jc w:val="center"/>
        <w:rPr>
          <w:rFonts w:hint="eastAsia" w:ascii="宋体" w:hAnsi="宋体"/>
          <w:color w:val="auto"/>
          <w:sz w:val="24"/>
          <w:szCs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法定代表人或者委托代理人（签字或者电子签名）：</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16F37940">
      <w:pPr>
        <w:spacing w:line="360" w:lineRule="auto"/>
        <w:ind w:right="480" w:firstLine="3360" w:firstLineChars="1400"/>
        <w:contextualSpacing/>
        <w:rPr>
          <w:rFonts w:hint="eastAsia" w:ascii="宋体" w:hAnsi="宋体"/>
          <w:color w:val="auto"/>
          <w:sz w:val="24"/>
          <w:szCs w:val="24"/>
          <w:highlight w:val="none"/>
        </w:rPr>
      </w:pPr>
      <w:r>
        <w:rPr>
          <w:rFonts w:hint="eastAsia" w:ascii="宋体" w:hAnsi="宋体"/>
          <w:color w:val="auto"/>
          <w:sz w:val="24"/>
          <w:szCs w:val="24"/>
          <w:highlight w:val="none"/>
        </w:rPr>
        <w:t>供应商（电子签章）：</w:t>
      </w:r>
      <w:r>
        <w:rPr>
          <w:rFonts w:hint="eastAsia" w:ascii="宋体" w:hAnsi="宋体"/>
          <w:color w:val="auto"/>
          <w:sz w:val="24"/>
          <w:szCs w:val="24"/>
          <w:highlight w:val="none"/>
          <w:u w:val="single"/>
        </w:rPr>
        <w:t xml:space="preserve">                </w:t>
      </w:r>
    </w:p>
    <w:p w14:paraId="7E859707">
      <w:pPr>
        <w:spacing w:line="360" w:lineRule="auto"/>
        <w:ind w:firstLine="480" w:firstLineChars="200"/>
        <w:contextualSpacing/>
        <w:jc w:val="left"/>
        <w:rPr>
          <w:rFonts w:ascii="宋体" w:hAnsi="宋体"/>
          <w:color w:val="auto"/>
          <w:sz w:val="24"/>
          <w:szCs w:val="24"/>
          <w:highlight w:val="none"/>
        </w:rPr>
      </w:pPr>
      <w:r>
        <w:rPr>
          <w:rFonts w:hint="eastAsia" w:ascii="宋体" w:hAnsi="宋体"/>
          <w:color w:val="auto"/>
          <w:sz w:val="24"/>
          <w:szCs w:val="24"/>
          <w:highlight w:val="none"/>
        </w:rPr>
        <w:t xml:space="preserve">                                        年    月    日</w:t>
      </w:r>
    </w:p>
    <w:p w14:paraId="1E816D5A">
      <w:pPr>
        <w:pStyle w:val="12"/>
        <w:tabs>
          <w:tab w:val="left" w:pos="939"/>
        </w:tabs>
        <w:spacing w:line="360" w:lineRule="auto"/>
        <w:ind w:left="0" w:leftChars="0" w:firstLine="560" w:firstLineChars="200"/>
        <w:rPr>
          <w:rFonts w:ascii="宋体" w:hAnsi="宋体"/>
          <w:color w:val="auto"/>
          <w:sz w:val="28"/>
          <w:szCs w:val="28"/>
          <w:highlight w:val="none"/>
        </w:rPr>
      </w:pPr>
    </w:p>
    <w:p w14:paraId="08E22BA1">
      <w:pPr>
        <w:pStyle w:val="12"/>
        <w:tabs>
          <w:tab w:val="left" w:pos="939"/>
        </w:tabs>
        <w:spacing w:line="360" w:lineRule="auto"/>
        <w:rPr>
          <w:rFonts w:ascii="宋体" w:hAnsi="宋体"/>
          <w:color w:val="auto"/>
          <w:sz w:val="28"/>
          <w:szCs w:val="28"/>
          <w:highlight w:val="none"/>
        </w:rPr>
      </w:pPr>
    </w:p>
    <w:p w14:paraId="5448EBAB">
      <w:pPr>
        <w:pStyle w:val="12"/>
        <w:tabs>
          <w:tab w:val="left" w:pos="939"/>
        </w:tabs>
        <w:spacing w:line="360" w:lineRule="auto"/>
        <w:rPr>
          <w:rFonts w:ascii="宋体" w:hAnsi="宋体"/>
          <w:color w:val="auto"/>
          <w:sz w:val="28"/>
          <w:szCs w:val="28"/>
          <w:highlight w:val="none"/>
        </w:rPr>
      </w:pPr>
    </w:p>
    <w:p w14:paraId="707DAB15">
      <w:pPr>
        <w:pStyle w:val="12"/>
        <w:tabs>
          <w:tab w:val="left" w:pos="939"/>
        </w:tabs>
        <w:spacing w:line="360" w:lineRule="auto"/>
        <w:rPr>
          <w:rFonts w:ascii="宋体" w:hAnsi="宋体"/>
          <w:color w:val="auto"/>
          <w:sz w:val="28"/>
          <w:szCs w:val="28"/>
          <w:highlight w:val="none"/>
        </w:rPr>
      </w:pPr>
    </w:p>
    <w:p w14:paraId="7533F871">
      <w:pPr>
        <w:pStyle w:val="12"/>
        <w:tabs>
          <w:tab w:val="left" w:pos="939"/>
        </w:tabs>
        <w:spacing w:line="360" w:lineRule="auto"/>
        <w:rPr>
          <w:rFonts w:ascii="宋体" w:hAnsi="宋体"/>
          <w:color w:val="auto"/>
          <w:sz w:val="28"/>
          <w:szCs w:val="28"/>
          <w:highlight w:val="none"/>
        </w:rPr>
      </w:pPr>
    </w:p>
    <w:p w14:paraId="5E3E511D">
      <w:pPr>
        <w:pStyle w:val="12"/>
        <w:tabs>
          <w:tab w:val="left" w:pos="939"/>
        </w:tabs>
        <w:spacing w:line="360" w:lineRule="auto"/>
        <w:rPr>
          <w:rFonts w:ascii="宋体" w:hAnsi="宋体"/>
          <w:color w:val="auto"/>
          <w:sz w:val="28"/>
          <w:szCs w:val="28"/>
          <w:highlight w:val="none"/>
        </w:rPr>
      </w:pPr>
    </w:p>
    <w:p w14:paraId="728E99B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Times New Roman"/>
          <w:b/>
          <w:color w:val="auto"/>
          <w:sz w:val="32"/>
          <w:szCs w:val="32"/>
          <w:highlight w:val="none"/>
        </w:rPr>
      </w:pPr>
      <w:bookmarkStart w:id="75" w:name="_Toc71365926"/>
      <w:r>
        <w:rPr>
          <w:rFonts w:hint="eastAsia" w:ascii="宋体" w:hAnsi="宋体" w:eastAsia="宋体" w:cs="Times New Roman"/>
          <w:b/>
          <w:color w:val="auto"/>
          <w:sz w:val="32"/>
          <w:szCs w:val="32"/>
          <w:highlight w:val="none"/>
        </w:rPr>
        <w:t>中小企业声明函（工程）</w:t>
      </w:r>
      <w:bookmarkEnd w:id="75"/>
    </w:p>
    <w:p w14:paraId="5AE7ED56">
      <w:pPr>
        <w:pStyle w:val="10"/>
        <w:spacing w:line="500" w:lineRule="exact"/>
        <w:ind w:right="142" w:firstLine="705" w:firstLineChars="294"/>
        <w:rPr>
          <w:rFonts w:ascii="宋体" w:hAnsi="宋体"/>
          <w:color w:val="auto"/>
          <w:sz w:val="24"/>
          <w:highlight w:val="none"/>
        </w:rPr>
      </w:pPr>
    </w:p>
    <w:p w14:paraId="4EEFB0A4">
      <w:pPr>
        <w:pStyle w:val="10"/>
        <w:spacing w:line="500" w:lineRule="exact"/>
        <w:ind w:right="142" w:firstLine="705" w:firstLineChars="294"/>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工程的施工单位全部为符合政策要求的中小企业。相关企业（含联合体中的中小企业、签订分包意向协议的中小企业）的具体情况如下：</w:t>
      </w:r>
    </w:p>
    <w:p w14:paraId="41C72785">
      <w:pPr>
        <w:tabs>
          <w:tab w:val="left" w:pos="1384"/>
          <w:tab w:val="left" w:pos="4562"/>
          <w:tab w:val="left" w:pos="6803"/>
        </w:tabs>
        <w:spacing w:before="13" w:line="500" w:lineRule="exact"/>
        <w:ind w:right="142" w:firstLine="480" w:firstLineChars="200"/>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38F7419B">
      <w:pPr>
        <w:tabs>
          <w:tab w:val="left" w:pos="1065"/>
          <w:tab w:val="left" w:pos="4262"/>
          <w:tab w:val="left" w:pos="6477"/>
        </w:tabs>
        <w:spacing w:before="20" w:line="500" w:lineRule="exact"/>
        <w:ind w:right="84" w:firstLine="480" w:firstLineChars="200"/>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4C47783C">
      <w:pPr>
        <w:pStyle w:val="10"/>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 xml:space="preserve">…… </w:t>
      </w:r>
    </w:p>
    <w:p w14:paraId="73E27CF5">
      <w:pPr>
        <w:pStyle w:val="10"/>
        <w:spacing w:before="34" w:line="500" w:lineRule="exact"/>
        <w:ind w:right="142" w:firstLine="480" w:firstLineChars="200"/>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7D3CBB7F">
      <w:pPr>
        <w:pStyle w:val="10"/>
        <w:spacing w:before="25" w:line="500" w:lineRule="exact"/>
        <w:ind w:right="142" w:firstLine="480" w:firstLineChars="200"/>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72A16C32">
      <w:pPr>
        <w:pStyle w:val="10"/>
        <w:spacing w:before="56" w:line="500" w:lineRule="exact"/>
        <w:ind w:right="1808" w:firstLine="705" w:firstLineChars="294"/>
        <w:rPr>
          <w:rFonts w:hint="eastAsia" w:ascii="宋体" w:hAnsi="宋体"/>
          <w:color w:val="auto"/>
          <w:sz w:val="24"/>
          <w:highlight w:val="none"/>
        </w:rPr>
      </w:pPr>
    </w:p>
    <w:p w14:paraId="62C63EA5">
      <w:pPr>
        <w:pStyle w:val="10"/>
        <w:spacing w:before="56" w:line="500" w:lineRule="exact"/>
        <w:ind w:right="650" w:firstLine="5625" w:firstLineChars="2344"/>
        <w:rPr>
          <w:rFonts w:ascii="宋体" w:hAnsi="宋体"/>
          <w:color w:val="auto"/>
          <w:sz w:val="24"/>
          <w:highlight w:val="none"/>
        </w:rPr>
      </w:pPr>
      <w:r>
        <w:rPr>
          <w:rFonts w:ascii="宋体" w:hAnsi="宋体"/>
          <w:color w:val="auto"/>
          <w:sz w:val="24"/>
          <w:highlight w:val="none"/>
        </w:rPr>
        <w:t xml:space="preserve">企业名称（章）： </w:t>
      </w:r>
    </w:p>
    <w:p w14:paraId="3B92CBD6">
      <w:pPr>
        <w:pStyle w:val="10"/>
        <w:spacing w:before="56" w:line="500" w:lineRule="exact"/>
        <w:ind w:right="1808" w:firstLine="5625" w:firstLineChars="2344"/>
        <w:rPr>
          <w:rFonts w:ascii="宋体" w:hAnsi="宋体"/>
          <w:color w:val="auto"/>
          <w:sz w:val="24"/>
          <w:highlight w:val="none"/>
        </w:rPr>
      </w:pPr>
      <w:r>
        <w:rPr>
          <w:rFonts w:ascii="宋体" w:hAnsi="宋体"/>
          <w:color w:val="auto"/>
          <w:sz w:val="24"/>
          <w:highlight w:val="none"/>
        </w:rPr>
        <w:t>日 期：</w:t>
      </w:r>
    </w:p>
    <w:p w14:paraId="30DB53E2">
      <w:pPr>
        <w:pStyle w:val="10"/>
        <w:spacing w:before="56" w:line="500" w:lineRule="exact"/>
        <w:ind w:right="1808" w:firstLine="5625" w:firstLineChars="2344"/>
        <w:rPr>
          <w:rFonts w:ascii="宋体" w:hAnsi="宋体"/>
          <w:color w:val="auto"/>
          <w:sz w:val="24"/>
          <w:highlight w:val="none"/>
        </w:rPr>
      </w:pPr>
    </w:p>
    <w:p w14:paraId="57261EAF">
      <w:pPr>
        <w:spacing w:line="520" w:lineRule="exact"/>
        <w:ind w:firstLine="480" w:firstLineChars="200"/>
        <w:jc w:val="left"/>
        <w:rPr>
          <w:rFonts w:hint="eastAsia"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0B669026">
      <w:pPr>
        <w:pStyle w:val="12"/>
        <w:tabs>
          <w:tab w:val="left" w:pos="939"/>
        </w:tabs>
        <w:spacing w:line="360" w:lineRule="auto"/>
        <w:ind w:left="0" w:leftChars="0" w:firstLine="720" w:firstLineChars="300"/>
        <w:rPr>
          <w:rFonts w:hint="eastAsia"/>
          <w:color w:val="auto"/>
          <w:sz w:val="24"/>
          <w:szCs w:val="24"/>
          <w:highlight w:val="none"/>
        </w:rPr>
      </w:pPr>
      <w:r>
        <w:rPr>
          <w:rFonts w:ascii="宋体" w:hAnsi="宋体"/>
          <w:color w:val="auto"/>
          <w:sz w:val="24"/>
          <w:highlight w:val="none"/>
        </w:rPr>
        <w:br w:type="page"/>
      </w:r>
    </w:p>
    <w:p w14:paraId="4ECA3552">
      <w:pPr>
        <w:spacing w:line="360" w:lineRule="auto"/>
        <w:ind w:right="420"/>
        <w:contextualSpacing/>
        <w:jc w:val="left"/>
        <w:rPr>
          <w:rFonts w:ascii="宋体" w:hAnsi="宋体"/>
          <w:b/>
          <w:color w:val="auto"/>
          <w:sz w:val="32"/>
          <w:szCs w:val="32"/>
          <w:highlight w:val="none"/>
        </w:rPr>
      </w:pP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5EFE14FE">
      <w:pPr>
        <w:snapToGrid w:val="0"/>
        <w:spacing w:before="156" w:beforeLines="50" w:after="50" w:line="360" w:lineRule="auto"/>
        <w:jc w:val="left"/>
        <w:rPr>
          <w:rFonts w:hint="eastAsia" w:ascii="宋体" w:hAnsi="宋体"/>
          <w:b/>
          <w:color w:val="auto"/>
          <w:sz w:val="32"/>
          <w:szCs w:val="32"/>
          <w:highlight w:val="none"/>
        </w:rPr>
      </w:pPr>
      <w:r>
        <w:rPr>
          <w:rFonts w:hint="eastAsia" w:ascii="宋体" w:hAnsi="宋体"/>
          <w:b/>
          <w:color w:val="auto"/>
          <w:sz w:val="32"/>
          <w:szCs w:val="32"/>
          <w:highlight w:val="none"/>
        </w:rPr>
        <w:t>1.报价文件封面格式</w:t>
      </w:r>
    </w:p>
    <w:p w14:paraId="1547423C">
      <w:pPr>
        <w:snapToGrid w:val="0"/>
        <w:spacing w:before="156"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4C12D31E">
      <w:pPr>
        <w:snapToGrid w:val="0"/>
        <w:spacing w:before="156"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3758C758">
      <w:pPr>
        <w:snapToGrid w:val="0"/>
        <w:spacing w:before="156" w:beforeLines="50" w:after="50"/>
        <w:rPr>
          <w:rFonts w:hint="eastAsia" w:ascii="宋体" w:hAnsi="宋体"/>
          <w:color w:val="auto"/>
          <w:sz w:val="24"/>
          <w:szCs w:val="20"/>
          <w:highlight w:val="none"/>
        </w:rPr>
      </w:pPr>
    </w:p>
    <w:p w14:paraId="6EDD96EF">
      <w:pPr>
        <w:snapToGrid w:val="0"/>
        <w:spacing w:before="156" w:beforeLines="50" w:after="50"/>
        <w:rPr>
          <w:rFonts w:hint="eastAsia" w:ascii="宋体" w:hAnsi="宋体"/>
          <w:color w:val="auto"/>
          <w:sz w:val="24"/>
          <w:szCs w:val="20"/>
          <w:highlight w:val="none"/>
        </w:rPr>
      </w:pPr>
    </w:p>
    <w:p w14:paraId="2E6A3206">
      <w:pPr>
        <w:snapToGrid w:val="0"/>
        <w:spacing w:before="156"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w:t>
      </w:r>
    </w:p>
    <w:p w14:paraId="6E0446BC">
      <w:pPr>
        <w:snapToGrid w:val="0"/>
        <w:spacing w:before="156" w:beforeLines="50" w:after="50"/>
        <w:rPr>
          <w:rFonts w:hint="eastAsia" w:ascii="宋体" w:hAnsi="宋体"/>
          <w:bCs/>
          <w:color w:val="auto"/>
          <w:sz w:val="24"/>
          <w:szCs w:val="20"/>
          <w:highlight w:val="none"/>
        </w:rPr>
      </w:pPr>
    </w:p>
    <w:p w14:paraId="535D5CAB">
      <w:pPr>
        <w:snapToGrid w:val="0"/>
        <w:spacing w:before="156" w:beforeLines="50" w:after="50"/>
        <w:rPr>
          <w:rFonts w:hint="eastAsia" w:ascii="宋体" w:hAnsi="宋体"/>
          <w:bCs/>
          <w:color w:val="auto"/>
          <w:sz w:val="24"/>
          <w:szCs w:val="20"/>
          <w:highlight w:val="none"/>
        </w:rPr>
      </w:pPr>
    </w:p>
    <w:p w14:paraId="0E1345DE">
      <w:pPr>
        <w:snapToGrid w:val="0"/>
        <w:spacing w:before="156" w:beforeLines="50" w:after="50"/>
        <w:rPr>
          <w:rFonts w:hint="eastAsia" w:ascii="宋体" w:hAnsi="宋体"/>
          <w:bCs/>
          <w:color w:val="auto"/>
          <w:sz w:val="24"/>
          <w:szCs w:val="20"/>
          <w:highlight w:val="none"/>
        </w:rPr>
      </w:pPr>
    </w:p>
    <w:p w14:paraId="2309A4FD">
      <w:pPr>
        <w:snapToGrid w:val="0"/>
        <w:spacing w:before="156" w:beforeLines="50" w:after="50"/>
        <w:rPr>
          <w:rFonts w:hint="eastAsia" w:ascii="宋体" w:hAnsi="宋体"/>
          <w:bCs/>
          <w:color w:val="auto"/>
          <w:sz w:val="24"/>
          <w:szCs w:val="20"/>
          <w:highlight w:val="none"/>
        </w:rPr>
      </w:pPr>
    </w:p>
    <w:p w14:paraId="5FA6BAB5">
      <w:pPr>
        <w:snapToGrid w:val="0"/>
        <w:spacing w:before="156" w:beforeLines="50" w:after="50"/>
        <w:rPr>
          <w:rFonts w:hint="eastAsia" w:ascii="宋体" w:hAnsi="宋体"/>
          <w:bCs/>
          <w:color w:val="auto"/>
          <w:sz w:val="24"/>
          <w:szCs w:val="20"/>
          <w:highlight w:val="none"/>
        </w:rPr>
      </w:pPr>
    </w:p>
    <w:p w14:paraId="023D9908">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6BE0643E">
      <w:pPr>
        <w:snapToGrid w:val="0"/>
        <w:spacing w:before="156" w:beforeLines="50" w:after="50"/>
        <w:ind w:firstLine="720" w:firstLineChars="225"/>
        <w:rPr>
          <w:rFonts w:hint="eastAsia" w:ascii="宋体" w:hAnsi="宋体" w:cs="仿宋_GB2312"/>
          <w:bCs/>
          <w:color w:val="auto"/>
          <w:sz w:val="32"/>
          <w:szCs w:val="32"/>
          <w:highlight w:val="none"/>
        </w:rPr>
      </w:pPr>
    </w:p>
    <w:p w14:paraId="66DCD30B">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7D054D7">
      <w:pPr>
        <w:snapToGrid w:val="0"/>
        <w:spacing w:before="156"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13CD6473">
      <w:pPr>
        <w:pStyle w:val="8"/>
        <w:snapToGrid w:val="0"/>
        <w:spacing w:before="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34281E0">
      <w:pPr>
        <w:pStyle w:val="8"/>
        <w:snapToGrid w:val="0"/>
        <w:spacing w:before="50" w:after="50"/>
        <w:rPr>
          <w:rFonts w:hint="eastAsia" w:ascii="宋体" w:hAnsi="宋体" w:cs="仿宋_GB2312"/>
          <w:bCs/>
          <w:color w:val="auto"/>
          <w:sz w:val="32"/>
          <w:szCs w:val="32"/>
          <w:highlight w:val="none"/>
        </w:rPr>
      </w:pPr>
    </w:p>
    <w:p w14:paraId="1C931513">
      <w:pPr>
        <w:pStyle w:val="8"/>
        <w:snapToGrid w:val="0"/>
        <w:spacing w:before="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lang w:eastAsia="zh-CN"/>
        </w:rPr>
        <w:t>供应商地址：</w:t>
      </w:r>
    </w:p>
    <w:p w14:paraId="33F7739D">
      <w:pPr>
        <w:pStyle w:val="8"/>
        <w:snapToGrid w:val="0"/>
        <w:spacing w:before="50" w:after="50"/>
        <w:ind w:firstLine="640" w:firstLineChars="200"/>
        <w:rPr>
          <w:rFonts w:hint="eastAsia" w:ascii="宋体" w:hAnsi="宋体" w:cs="仿宋_GB2312"/>
          <w:bCs/>
          <w:color w:val="auto"/>
          <w:sz w:val="32"/>
          <w:szCs w:val="32"/>
          <w:highlight w:val="none"/>
        </w:rPr>
      </w:pPr>
    </w:p>
    <w:p w14:paraId="62E6443B">
      <w:pPr>
        <w:pStyle w:val="8"/>
        <w:snapToGrid w:val="0"/>
        <w:spacing w:before="50" w:after="50"/>
        <w:ind w:firstLine="720" w:firstLineChars="225"/>
        <w:rPr>
          <w:rFonts w:hint="eastAsia" w:ascii="宋体" w:hAnsi="宋体" w:cs="仿宋_GB2312"/>
          <w:bCs/>
          <w:color w:val="auto"/>
          <w:sz w:val="32"/>
          <w:szCs w:val="32"/>
          <w:highlight w:val="none"/>
        </w:rPr>
      </w:pPr>
    </w:p>
    <w:p w14:paraId="416AA8C1">
      <w:pPr>
        <w:pStyle w:val="8"/>
        <w:snapToGrid w:val="0"/>
        <w:spacing w:before="50" w:after="50"/>
        <w:ind w:firstLine="0"/>
        <w:rPr>
          <w:rFonts w:hint="eastAsia" w:ascii="宋体" w:hAnsi="宋体" w:cs="仿宋_GB2312"/>
          <w:bCs/>
          <w:color w:val="auto"/>
          <w:sz w:val="32"/>
          <w:szCs w:val="32"/>
          <w:highlight w:val="none"/>
        </w:rPr>
      </w:pPr>
    </w:p>
    <w:p w14:paraId="009A5E54">
      <w:pPr>
        <w:pStyle w:val="8"/>
        <w:snapToGrid w:val="0"/>
        <w:spacing w:before="50" w:after="50"/>
        <w:ind w:firstLine="1280" w:firstLineChars="400"/>
        <w:rPr>
          <w:rFonts w:hint="eastAsia" w:ascii="宋体" w:hAnsi="宋体" w:cs="仿宋_GB2312"/>
          <w:bCs/>
          <w:color w:val="auto"/>
          <w:sz w:val="32"/>
          <w:szCs w:val="32"/>
          <w:highlight w:val="none"/>
        </w:rPr>
      </w:pPr>
    </w:p>
    <w:p w14:paraId="236AFBD5">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7E98E2DB">
      <w:pPr>
        <w:snapToGrid w:val="0"/>
        <w:spacing w:before="156" w:beforeLines="50" w:after="50" w:line="360" w:lineRule="auto"/>
        <w:ind w:left="142"/>
        <w:jc w:val="left"/>
        <w:rPr>
          <w:rFonts w:hint="eastAsia" w:ascii="宋体" w:hAnsi="宋体"/>
          <w:b/>
          <w:bCs/>
          <w:color w:val="auto"/>
          <w:sz w:val="24"/>
          <w:highlight w:val="none"/>
        </w:rPr>
      </w:pPr>
      <w:r>
        <w:rPr>
          <w:rFonts w:hint="eastAsia" w:ascii="宋体" w:hAnsi="宋体"/>
          <w:color w:val="auto"/>
          <w:szCs w:val="21"/>
          <w:highlight w:val="none"/>
        </w:rPr>
        <w:br w:type="page"/>
      </w:r>
      <w:r>
        <w:rPr>
          <w:rFonts w:hint="eastAsia" w:ascii="宋体" w:hAnsi="宋体"/>
          <w:b/>
          <w:bCs/>
          <w:color w:val="auto"/>
          <w:sz w:val="32"/>
          <w:szCs w:val="32"/>
          <w:highlight w:val="none"/>
        </w:rPr>
        <w:t>2.报价文件目录</w:t>
      </w:r>
    </w:p>
    <w:p w14:paraId="577DB68F">
      <w:pPr>
        <w:autoSpaceDE w:val="0"/>
        <w:autoSpaceDN w:val="0"/>
        <w:adjustRightInd w:val="0"/>
        <w:spacing w:line="360" w:lineRule="auto"/>
        <w:ind w:firstLine="640" w:firstLineChars="200"/>
        <w:rPr>
          <w:rFonts w:ascii="宋体" w:hAnsi="宋体"/>
          <w:b/>
          <w:bCs/>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r>
        <w:rPr>
          <w:rFonts w:ascii="宋体" w:hAnsi="宋体"/>
          <w:b/>
          <w:bCs/>
          <w:color w:val="auto"/>
          <w:sz w:val="32"/>
          <w:szCs w:val="32"/>
          <w:highlight w:val="none"/>
        </w:rPr>
        <w:br w:type="page"/>
      </w:r>
    </w:p>
    <w:p w14:paraId="7EF407A0">
      <w:pPr>
        <w:pStyle w:val="49"/>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heme="majorEastAsia" w:hAnsiTheme="majorEastAsia" w:eastAsiaTheme="majorEastAsia" w:cstheme="majorEastAsia"/>
          <w:b w:val="0"/>
          <w:bCs w:val="0"/>
          <w:color w:val="auto"/>
          <w:sz w:val="21"/>
          <w:szCs w:val="24"/>
          <w:highlight w:val="none"/>
        </w:rPr>
      </w:pPr>
      <w:r>
        <w:rPr>
          <w:rFonts w:hint="eastAsia" w:asciiTheme="majorEastAsia" w:hAnsiTheme="majorEastAsia" w:eastAsiaTheme="majorEastAsia" w:cstheme="majorEastAsia"/>
          <w:b/>
          <w:bCs/>
          <w:color w:val="auto"/>
          <w:sz w:val="32"/>
          <w:szCs w:val="32"/>
          <w:highlight w:val="none"/>
        </w:rPr>
        <w:t>磋商函</w:t>
      </w:r>
      <w:r>
        <w:rPr>
          <w:rFonts w:hint="eastAsia" w:asciiTheme="majorEastAsia" w:hAnsiTheme="majorEastAsia" w:eastAsiaTheme="majorEastAsia" w:cstheme="majorEastAsia"/>
          <w:b/>
          <w:bCs/>
          <w:color w:val="auto"/>
          <w:sz w:val="32"/>
          <w:szCs w:val="32"/>
          <w:highlight w:val="none"/>
          <w:lang w:eastAsia="zh-CN"/>
        </w:rPr>
        <w:t>（格式）</w:t>
      </w:r>
    </w:p>
    <w:p w14:paraId="6F814CEF">
      <w:pPr>
        <w:spacing w:line="360" w:lineRule="auto"/>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（采购人名称）</w:t>
      </w:r>
    </w:p>
    <w:p w14:paraId="37092B71">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1、根据你方项目编号为</w:t>
      </w:r>
      <w:r>
        <w:rPr>
          <w:rFonts w:hint="eastAsia" w:asciiTheme="majorEastAsia" w:hAnsiTheme="majorEastAsia" w:eastAsiaTheme="majorEastAsia" w:cstheme="majorEastAsia"/>
          <w:b w:val="0"/>
          <w:bCs w:val="0"/>
          <w:color w:val="auto"/>
          <w:sz w:val="24"/>
          <w:szCs w:val="24"/>
          <w:highlight w:val="none"/>
          <w:u w:val="single"/>
        </w:rPr>
        <w:t xml:space="preserve">     (项目编号)    </w:t>
      </w:r>
      <w:r>
        <w:rPr>
          <w:rFonts w:hint="eastAsia" w:asciiTheme="majorEastAsia" w:hAnsiTheme="majorEastAsia" w:eastAsiaTheme="majorEastAsia" w:cstheme="majorEastAsia"/>
          <w:b w:val="0"/>
          <w:bCs w:val="0"/>
          <w:color w:val="auto"/>
          <w:sz w:val="24"/>
          <w:szCs w:val="24"/>
          <w:highlight w:val="none"/>
        </w:rPr>
        <w:t>的</w:t>
      </w:r>
      <w:r>
        <w:rPr>
          <w:rFonts w:hint="eastAsia" w:asciiTheme="majorEastAsia" w:hAnsiTheme="majorEastAsia" w:eastAsiaTheme="majorEastAsia" w:cstheme="majorEastAsia"/>
          <w:b w:val="0"/>
          <w:bCs w:val="0"/>
          <w:color w:val="auto"/>
          <w:sz w:val="24"/>
          <w:szCs w:val="24"/>
          <w:highlight w:val="none"/>
          <w:u w:val="single"/>
        </w:rPr>
        <w:t xml:space="preserve">    (项目名称)    </w:t>
      </w:r>
      <w:r>
        <w:rPr>
          <w:rFonts w:hint="eastAsia" w:asciiTheme="majorEastAsia" w:hAnsiTheme="majorEastAsia" w:eastAsiaTheme="majorEastAsia" w:cstheme="majorEastAsia"/>
          <w:b w:val="0"/>
          <w:bCs w:val="0"/>
          <w:color w:val="auto"/>
          <w:sz w:val="24"/>
          <w:szCs w:val="24"/>
          <w:highlight w:val="none"/>
        </w:rPr>
        <w:t>工程竞争性磋商文件，遵照《中华人民共和国</w:t>
      </w:r>
      <w:r>
        <w:rPr>
          <w:rFonts w:hint="eastAsia" w:asciiTheme="majorEastAsia" w:hAnsiTheme="majorEastAsia" w:eastAsiaTheme="majorEastAsia" w:cstheme="majorEastAsia"/>
          <w:b w:val="0"/>
          <w:bCs w:val="0"/>
          <w:color w:val="auto"/>
          <w:sz w:val="24"/>
          <w:szCs w:val="24"/>
          <w:highlight w:val="none"/>
          <w:lang w:eastAsia="zh-CN"/>
        </w:rPr>
        <w:t>政府</w:t>
      </w:r>
      <w:r>
        <w:rPr>
          <w:rFonts w:hint="eastAsia" w:asciiTheme="majorEastAsia" w:hAnsiTheme="majorEastAsia" w:eastAsiaTheme="majorEastAsia" w:cstheme="majorEastAsia"/>
          <w:b w:val="0"/>
          <w:bCs w:val="0"/>
          <w:color w:val="auto"/>
          <w:sz w:val="24"/>
          <w:szCs w:val="24"/>
          <w:highlight w:val="none"/>
        </w:rPr>
        <w:t>采购法》、《中华人民共和国</w:t>
      </w:r>
      <w:r>
        <w:rPr>
          <w:rFonts w:hint="eastAsia" w:asciiTheme="majorEastAsia" w:hAnsiTheme="majorEastAsia" w:eastAsiaTheme="majorEastAsia" w:cstheme="majorEastAsia"/>
          <w:b w:val="0"/>
          <w:bCs w:val="0"/>
          <w:color w:val="auto"/>
          <w:sz w:val="24"/>
          <w:szCs w:val="24"/>
          <w:highlight w:val="none"/>
          <w:lang w:eastAsia="zh-CN"/>
        </w:rPr>
        <w:t>政府</w:t>
      </w:r>
      <w:r>
        <w:rPr>
          <w:rFonts w:hint="eastAsia" w:asciiTheme="majorEastAsia" w:hAnsiTheme="majorEastAsia" w:eastAsiaTheme="majorEastAsia" w:cstheme="majorEastAsia"/>
          <w:b w:val="0"/>
          <w:bCs w:val="0"/>
          <w:color w:val="auto"/>
          <w:sz w:val="24"/>
          <w:szCs w:val="24"/>
          <w:highlight w:val="none"/>
        </w:rPr>
        <w:t>采购法实施条例》、《</w:t>
      </w:r>
      <w:r>
        <w:rPr>
          <w:rFonts w:hint="eastAsia" w:asciiTheme="majorEastAsia" w:hAnsiTheme="majorEastAsia" w:eastAsiaTheme="majorEastAsia" w:cstheme="majorEastAsia"/>
          <w:b w:val="0"/>
          <w:bCs w:val="0"/>
          <w:color w:val="auto"/>
          <w:sz w:val="24"/>
          <w:szCs w:val="24"/>
          <w:highlight w:val="none"/>
          <w:lang w:eastAsia="zh-CN"/>
        </w:rPr>
        <w:t>政府</w:t>
      </w:r>
      <w:r>
        <w:rPr>
          <w:rFonts w:hint="eastAsia" w:asciiTheme="majorEastAsia" w:hAnsiTheme="majorEastAsia" w:eastAsiaTheme="majorEastAsia" w:cstheme="majorEastAsia"/>
          <w:b w:val="0"/>
          <w:bCs w:val="0"/>
          <w:color w:val="auto"/>
          <w:sz w:val="24"/>
          <w:szCs w:val="24"/>
          <w:highlight w:val="none"/>
        </w:rPr>
        <w:t>采购竞争性磋商采购方式管理暂行办法》等有关规定，经踏勘项目现场和研究上述竞争性磋商文件的磋商须知、合同 条款、图纸、工程建设标准和工程量清单及其他有关文件后，我方愿以人民币(大 写)</w:t>
      </w:r>
      <w:r>
        <w:rPr>
          <w:rFonts w:hint="eastAsia" w:asciiTheme="majorEastAsia" w:hAnsiTheme="majorEastAsia" w:eastAsiaTheme="majorEastAsia" w:cstheme="majorEastAsia"/>
          <w:b w:val="0"/>
          <w:bCs w:val="0"/>
          <w:color w:val="auto"/>
          <w:sz w:val="24"/>
          <w:szCs w:val="24"/>
          <w:highlight w:val="none"/>
          <w:u w:val="single"/>
        </w:rPr>
        <w:t xml:space="preserve">          (</w:t>
      </w:r>
      <w:r>
        <w:rPr>
          <w:rFonts w:hint="default" w:ascii="Arial" w:hAnsi="Arial" w:cs="Arial" w:eastAsiaTheme="majorEastAsia"/>
          <w:b w:val="0"/>
          <w:bCs w:val="0"/>
          <w:color w:val="auto"/>
          <w:sz w:val="24"/>
          <w:szCs w:val="24"/>
          <w:highlight w:val="none"/>
          <w:u w:val="single"/>
        </w:rPr>
        <w:t>¥</w:t>
      </w:r>
      <w:r>
        <w:rPr>
          <w:rFonts w:hint="eastAsia" w:asciiTheme="majorEastAsia" w:hAnsiTheme="majorEastAsia" w:eastAsiaTheme="majorEastAsia" w:cstheme="majorEastAsia"/>
          <w:b w:val="0"/>
          <w:bCs w:val="0"/>
          <w:color w:val="auto"/>
          <w:sz w:val="24"/>
          <w:szCs w:val="24"/>
          <w:highlight w:val="none"/>
          <w:u w:val="single"/>
        </w:rPr>
        <w:t xml:space="preserve">    元)</w:t>
      </w:r>
      <w:r>
        <w:rPr>
          <w:rFonts w:hint="eastAsia" w:asciiTheme="majorEastAsia" w:hAnsiTheme="majorEastAsia" w:eastAsiaTheme="majorEastAsia" w:cstheme="majorEastAsia"/>
          <w:b w:val="0"/>
          <w:bCs w:val="0"/>
          <w:color w:val="auto"/>
          <w:sz w:val="24"/>
          <w:szCs w:val="24"/>
          <w:highlight w:val="none"/>
        </w:rPr>
        <w:t>的磋商报价并按上述图纸、合同条款、工程建设标准和工程量清单 (如有时) 的条件要求承包上述工程的施工、竣工，并承担任何质量缺陷保修责任。我方保证工程质量达到</w:t>
      </w:r>
      <w:r>
        <w:rPr>
          <w:rFonts w:hint="eastAsia" w:asciiTheme="majorEastAsia" w:hAnsiTheme="majorEastAsia" w:eastAsiaTheme="majorEastAsia" w:cstheme="majorEastAsia"/>
          <w:b w:val="0"/>
          <w:bCs w:val="0"/>
          <w:color w:val="auto"/>
          <w:sz w:val="24"/>
          <w:szCs w:val="24"/>
          <w:highlight w:val="none"/>
          <w:u w:val="single"/>
        </w:rPr>
        <w:t xml:space="preserve">     </w:t>
      </w:r>
      <w:r>
        <w:rPr>
          <w:rFonts w:hint="eastAsia" w:asciiTheme="majorEastAsia" w:hAnsiTheme="majorEastAsia" w:eastAsiaTheme="majorEastAsia" w:cstheme="majorEastAsia"/>
          <w:b w:val="0"/>
          <w:bCs w:val="0"/>
          <w:color w:val="auto"/>
          <w:sz w:val="24"/>
          <w:szCs w:val="24"/>
          <w:highlight w:val="none"/>
        </w:rPr>
        <w:t>等级。</w:t>
      </w:r>
    </w:p>
    <w:p w14:paraId="1EC8B3B9">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2、我方已详细审核全部竞争性磋商文件，包括修改文件 (如有时) 及有关附件。</w:t>
      </w:r>
    </w:p>
    <w:p w14:paraId="3B14EEC4">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3、我方承认磋商函附录是我方磋商函的组成部分。</w:t>
      </w:r>
    </w:p>
    <w:p w14:paraId="735BAC44">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4、我方承诺已经具备《</w:t>
      </w:r>
      <w:r>
        <w:rPr>
          <w:rFonts w:hint="eastAsia" w:asciiTheme="majorEastAsia" w:hAnsiTheme="majorEastAsia" w:eastAsiaTheme="majorEastAsia" w:cstheme="majorEastAsia"/>
          <w:b w:val="0"/>
          <w:bCs w:val="0"/>
          <w:color w:val="auto"/>
          <w:sz w:val="24"/>
          <w:szCs w:val="24"/>
          <w:highlight w:val="none"/>
          <w:lang w:eastAsia="zh-CN"/>
        </w:rPr>
        <w:t>中华人民共和国政府采购法</w:t>
      </w:r>
      <w:r>
        <w:rPr>
          <w:rFonts w:hint="eastAsia" w:asciiTheme="majorEastAsia" w:hAnsiTheme="majorEastAsia" w:eastAsiaTheme="majorEastAsia" w:cstheme="majorEastAsia"/>
          <w:b w:val="0"/>
          <w:bCs w:val="0"/>
          <w:color w:val="auto"/>
          <w:sz w:val="24"/>
          <w:szCs w:val="24"/>
          <w:highlight w:val="none"/>
        </w:rPr>
        <w:t>》中规定的参加招标投标采购活动的供应商应当具备的条件：</w:t>
      </w:r>
    </w:p>
    <w:p w14:paraId="216EECC1">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(1) 具有独立承担民事责任的能力；</w:t>
      </w:r>
    </w:p>
    <w:p w14:paraId="16E389BB">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(2) 具有良好的商业信誉和健全的财务会计制度；</w:t>
      </w:r>
    </w:p>
    <w:p w14:paraId="0D517BD3">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(3) 具有履行合同所必需的设备和专业技术能力；</w:t>
      </w:r>
    </w:p>
    <w:p w14:paraId="774BF9FA">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(4) 有依法缴纳税收和社会保障资金的良好记录；</w:t>
      </w:r>
    </w:p>
    <w:p w14:paraId="1CF2E717">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(5) 参加招标投标采购活动前三年内，在经营活动中没有重大违法记录；</w:t>
      </w:r>
    </w:p>
    <w:p w14:paraId="05F93DC2">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(6) 法律、行政法规规定的其他条件。</w:t>
      </w:r>
    </w:p>
    <w:p w14:paraId="149D0EB7">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5、一旦我方成交，我方保证按合同书中规定的工期</w:t>
      </w:r>
      <w:r>
        <w:rPr>
          <w:rFonts w:hint="eastAsia" w:asciiTheme="majorEastAsia" w:hAnsiTheme="majorEastAsia" w:eastAsiaTheme="majorEastAsia" w:cstheme="majorEastAsia"/>
          <w:b w:val="0"/>
          <w:bCs w:val="0"/>
          <w:color w:val="auto"/>
          <w:sz w:val="24"/>
          <w:szCs w:val="24"/>
          <w:highlight w:val="none"/>
          <w:u w:val="single"/>
        </w:rPr>
        <w:t xml:space="preserve">    </w:t>
      </w:r>
      <w:r>
        <w:rPr>
          <w:rFonts w:hint="eastAsia" w:asciiTheme="majorEastAsia" w:hAnsiTheme="majorEastAsia" w:eastAsiaTheme="majorEastAsia" w:cstheme="majorEastAsia"/>
          <w:b w:val="0"/>
          <w:bCs w:val="0"/>
          <w:color w:val="auto"/>
          <w:sz w:val="24"/>
          <w:szCs w:val="24"/>
          <w:highlight w:val="none"/>
          <w:u w:val="none"/>
        </w:rPr>
        <w:t>日</w:t>
      </w:r>
      <w:r>
        <w:rPr>
          <w:rFonts w:hint="eastAsia" w:asciiTheme="majorEastAsia" w:hAnsiTheme="majorEastAsia" w:eastAsiaTheme="majorEastAsia" w:cstheme="majorEastAsia"/>
          <w:b w:val="0"/>
          <w:bCs w:val="0"/>
          <w:color w:val="auto"/>
          <w:sz w:val="24"/>
          <w:szCs w:val="24"/>
          <w:highlight w:val="none"/>
        </w:rPr>
        <w:t>历天内完成并移交全部工程。</w:t>
      </w:r>
    </w:p>
    <w:p w14:paraId="3CDD1E8D">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6、如果我方成交，我方将按照文件规定提交履约保证金作为履约担保。</w:t>
      </w:r>
    </w:p>
    <w:p w14:paraId="27884938">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7、我方同意所提交的响应文件在竞争性磋商文件的“磋商须知”中第 11 条规定的响应文件有效期内有效，在此期间内如果成交，我方将受此约束。</w:t>
      </w:r>
    </w:p>
    <w:p w14:paraId="2495307E">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8、除非另外达成协议并生效，你方的成交通知书和本响应文件将成为约束双方的合同文件的组成部分。</w:t>
      </w:r>
    </w:p>
    <w:p w14:paraId="675628F9">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p>
    <w:p w14:paraId="523087E0">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供 应 商（电子签章）：</w:t>
      </w:r>
      <w:r>
        <w:rPr>
          <w:rFonts w:hint="eastAsia" w:asciiTheme="majorEastAsia" w:hAnsiTheme="majorEastAsia" w:eastAsiaTheme="majorEastAsia" w:cstheme="majorEastAsia"/>
          <w:b w:val="0"/>
          <w:bCs w:val="0"/>
          <w:color w:val="auto"/>
          <w:sz w:val="24"/>
          <w:szCs w:val="24"/>
          <w:highlight w:val="none"/>
          <w:u w:val="single"/>
        </w:rPr>
        <w:t xml:space="preserve">      </w:t>
      </w:r>
      <w:r>
        <w:rPr>
          <w:rFonts w:hint="eastAsia" w:asciiTheme="majorEastAsia" w:hAnsiTheme="majorEastAsia" w:eastAsiaTheme="majorEastAsia" w:cstheme="majorEastAsia"/>
          <w:b w:val="0"/>
          <w:bCs w:val="0"/>
          <w:color w:val="auto"/>
          <w:sz w:val="24"/>
          <w:szCs w:val="24"/>
          <w:highlight w:val="none"/>
          <w:u w:val="single"/>
          <w:lang w:val="en-US" w:eastAsia="zh-CN"/>
        </w:rPr>
        <w:t xml:space="preserve">    </w:t>
      </w:r>
      <w:r>
        <w:rPr>
          <w:rFonts w:hint="eastAsia" w:asciiTheme="majorEastAsia" w:hAnsiTheme="majorEastAsia" w:eastAsiaTheme="majorEastAsia" w:cstheme="majorEastAsia"/>
          <w:b w:val="0"/>
          <w:bCs w:val="0"/>
          <w:color w:val="auto"/>
          <w:sz w:val="24"/>
          <w:szCs w:val="24"/>
          <w:highlight w:val="none"/>
          <w:u w:val="single"/>
        </w:rPr>
        <w:t xml:space="preserve">       </w:t>
      </w:r>
    </w:p>
    <w:p w14:paraId="747BD1E9">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法定代表人或其委托代理人</w:t>
      </w:r>
      <w:r>
        <w:rPr>
          <w:rFonts w:hint="eastAsia" w:ascii="宋体" w:hAnsi="宋体"/>
          <w:color w:val="auto"/>
          <w:sz w:val="24"/>
          <w:szCs w:val="24"/>
          <w:highlight w:val="none"/>
        </w:rPr>
        <w:t>（签字或者电子签名）</w:t>
      </w:r>
      <w:r>
        <w:rPr>
          <w:rFonts w:hint="eastAsia" w:asciiTheme="majorEastAsia" w:hAnsiTheme="majorEastAsia" w:eastAsiaTheme="majorEastAsia" w:cstheme="majorEastAsia"/>
          <w:b w:val="0"/>
          <w:bCs w:val="0"/>
          <w:color w:val="auto"/>
          <w:sz w:val="24"/>
          <w:szCs w:val="24"/>
          <w:highlight w:val="none"/>
        </w:rPr>
        <w:t xml:space="preserve">：    </w:t>
      </w:r>
    </w:p>
    <w:p w14:paraId="077A3DF3">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 xml:space="preserve">单位地址：     </w:t>
      </w:r>
    </w:p>
    <w:p w14:paraId="7CBE762E">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 xml:space="preserve">邮政编码：   </w:t>
      </w:r>
      <w:r>
        <w:rPr>
          <w:rFonts w:hint="eastAsia" w:asciiTheme="majorEastAsia" w:hAnsiTheme="majorEastAsia" w:eastAsiaTheme="majorEastAsia" w:cstheme="majorEastAsia"/>
          <w:b w:val="0"/>
          <w:bCs w:val="0"/>
          <w:color w:val="auto"/>
          <w:sz w:val="24"/>
          <w:szCs w:val="24"/>
          <w:highlight w:val="none"/>
          <w:lang w:val="en-US" w:eastAsia="zh-CN"/>
        </w:rPr>
        <w:t xml:space="preserve">      </w:t>
      </w:r>
      <w:r>
        <w:rPr>
          <w:rFonts w:hint="eastAsia" w:asciiTheme="majorEastAsia" w:hAnsiTheme="majorEastAsia" w:eastAsiaTheme="majorEastAsia" w:cstheme="majorEastAsia"/>
          <w:b w:val="0"/>
          <w:bCs w:val="0"/>
          <w:color w:val="auto"/>
          <w:sz w:val="24"/>
          <w:szCs w:val="24"/>
          <w:highlight w:val="none"/>
        </w:rPr>
        <w:t xml:space="preserve">  电话：   </w:t>
      </w:r>
      <w:r>
        <w:rPr>
          <w:rFonts w:hint="eastAsia" w:asciiTheme="majorEastAsia" w:hAnsiTheme="majorEastAsia" w:eastAsiaTheme="majorEastAsia" w:cstheme="majorEastAsia"/>
          <w:b w:val="0"/>
          <w:bCs w:val="0"/>
          <w:color w:val="auto"/>
          <w:sz w:val="24"/>
          <w:szCs w:val="24"/>
          <w:highlight w:val="none"/>
          <w:lang w:val="en-US" w:eastAsia="zh-CN"/>
        </w:rPr>
        <w:t xml:space="preserve">      </w:t>
      </w:r>
      <w:r>
        <w:rPr>
          <w:rFonts w:hint="eastAsia" w:asciiTheme="majorEastAsia" w:hAnsiTheme="majorEastAsia" w:eastAsiaTheme="majorEastAsia" w:cstheme="majorEastAsia"/>
          <w:b w:val="0"/>
          <w:bCs w:val="0"/>
          <w:color w:val="auto"/>
          <w:sz w:val="24"/>
          <w:szCs w:val="24"/>
          <w:highlight w:val="none"/>
        </w:rPr>
        <w:t xml:space="preserve">   传真：</w:t>
      </w:r>
    </w:p>
    <w:p w14:paraId="44C4337F">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开户银行名称：</w:t>
      </w:r>
    </w:p>
    <w:p w14:paraId="0F11C2E8">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开户银行账号：</w:t>
      </w:r>
    </w:p>
    <w:p w14:paraId="3756E1EC">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开户银行地址：</w:t>
      </w:r>
    </w:p>
    <w:p w14:paraId="09BF5666">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 xml:space="preserve">日期：   </w:t>
      </w:r>
      <w:r>
        <w:rPr>
          <w:rFonts w:hint="eastAsia" w:asciiTheme="majorEastAsia" w:hAnsiTheme="majorEastAsia" w:eastAsiaTheme="majorEastAsia" w:cstheme="majorEastAsia"/>
          <w:b w:val="0"/>
          <w:bCs w:val="0"/>
          <w:color w:val="auto"/>
          <w:sz w:val="24"/>
          <w:szCs w:val="24"/>
          <w:highlight w:val="none"/>
          <w:lang w:val="en-US" w:eastAsia="zh-CN"/>
        </w:rPr>
        <w:t xml:space="preserve"> </w:t>
      </w:r>
      <w:r>
        <w:rPr>
          <w:rFonts w:hint="eastAsia" w:asciiTheme="majorEastAsia" w:hAnsiTheme="majorEastAsia" w:eastAsiaTheme="majorEastAsia" w:cstheme="majorEastAsia"/>
          <w:b w:val="0"/>
          <w:bCs w:val="0"/>
          <w:color w:val="auto"/>
          <w:sz w:val="24"/>
          <w:szCs w:val="24"/>
          <w:highlight w:val="none"/>
        </w:rPr>
        <w:t xml:space="preserve">  年 </w:t>
      </w:r>
      <w:r>
        <w:rPr>
          <w:rFonts w:hint="eastAsia" w:asciiTheme="majorEastAsia" w:hAnsiTheme="majorEastAsia" w:eastAsiaTheme="majorEastAsia" w:cstheme="majorEastAsia"/>
          <w:b w:val="0"/>
          <w:bCs w:val="0"/>
          <w:color w:val="auto"/>
          <w:sz w:val="24"/>
          <w:szCs w:val="24"/>
          <w:highlight w:val="none"/>
          <w:lang w:val="en-US" w:eastAsia="zh-CN"/>
        </w:rPr>
        <w:t xml:space="preserve">   </w:t>
      </w:r>
      <w:r>
        <w:rPr>
          <w:rFonts w:hint="eastAsia" w:asciiTheme="majorEastAsia" w:hAnsiTheme="majorEastAsia" w:eastAsiaTheme="majorEastAsia" w:cstheme="majorEastAsia"/>
          <w:b w:val="0"/>
          <w:bCs w:val="0"/>
          <w:color w:val="auto"/>
          <w:sz w:val="24"/>
          <w:szCs w:val="24"/>
          <w:highlight w:val="none"/>
        </w:rPr>
        <w:t xml:space="preserve">月 </w:t>
      </w:r>
      <w:r>
        <w:rPr>
          <w:rFonts w:hint="eastAsia" w:asciiTheme="majorEastAsia" w:hAnsiTheme="majorEastAsia" w:eastAsiaTheme="majorEastAsia" w:cstheme="majorEastAsia"/>
          <w:b w:val="0"/>
          <w:bCs w:val="0"/>
          <w:color w:val="auto"/>
          <w:sz w:val="24"/>
          <w:szCs w:val="24"/>
          <w:highlight w:val="none"/>
          <w:lang w:val="en-US" w:eastAsia="zh-CN"/>
        </w:rPr>
        <w:t xml:space="preserve"> </w:t>
      </w:r>
      <w:r>
        <w:rPr>
          <w:rFonts w:hint="eastAsia" w:asciiTheme="majorEastAsia" w:hAnsiTheme="majorEastAsia" w:eastAsiaTheme="majorEastAsia" w:cstheme="majorEastAsia"/>
          <w:b w:val="0"/>
          <w:bCs w:val="0"/>
          <w:color w:val="auto"/>
          <w:sz w:val="24"/>
          <w:szCs w:val="24"/>
          <w:highlight w:val="none"/>
        </w:rPr>
        <w:t xml:space="preserve"> 日</w:t>
      </w:r>
    </w:p>
    <w:p w14:paraId="4A6BD3C5">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both"/>
        <w:textAlignment w:val="auto"/>
        <w:rPr>
          <w:rFonts w:hint="eastAsia" w:asciiTheme="majorEastAsia" w:hAnsiTheme="majorEastAsia" w:eastAsiaTheme="majorEastAsia" w:cstheme="majorEastAsia"/>
          <w:b w:val="0"/>
          <w:bCs w:val="0"/>
          <w:color w:val="auto"/>
          <w:sz w:val="21"/>
          <w:szCs w:val="24"/>
          <w:highlight w:val="none"/>
        </w:rPr>
      </w:pPr>
    </w:p>
    <w:p w14:paraId="66D8C64C">
      <w:pPr>
        <w:pStyle w:val="49"/>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rPr>
        <w:t>磋商函附录</w:t>
      </w:r>
      <w:r>
        <w:rPr>
          <w:rFonts w:hint="eastAsia" w:asciiTheme="majorEastAsia" w:hAnsiTheme="majorEastAsia" w:eastAsiaTheme="majorEastAsia" w:cstheme="majorEastAsia"/>
          <w:b/>
          <w:bCs/>
          <w:color w:val="auto"/>
          <w:sz w:val="28"/>
          <w:szCs w:val="28"/>
          <w:highlight w:val="none"/>
          <w:lang w:eastAsia="zh-CN"/>
        </w:rPr>
        <w:t>（格式）</w:t>
      </w:r>
    </w:p>
    <w:p w14:paraId="31CA80AE">
      <w:pPr>
        <w:pStyle w:val="49"/>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p>
    <w:tbl>
      <w:tblPr>
        <w:tblStyle w:val="61"/>
        <w:tblW w:w="89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3424"/>
        <w:gridCol w:w="2818"/>
        <w:gridCol w:w="1696"/>
      </w:tblGrid>
      <w:tr w14:paraId="52793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96" w:type="dxa"/>
            <w:vAlign w:val="top"/>
          </w:tcPr>
          <w:p w14:paraId="60BCCFE5">
            <w:pPr>
              <w:spacing w:before="181" w:line="230" w:lineRule="auto"/>
              <w:ind w:left="292"/>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序号</w:t>
            </w:r>
          </w:p>
        </w:tc>
        <w:tc>
          <w:tcPr>
            <w:tcW w:w="3424" w:type="dxa"/>
            <w:vAlign w:val="top"/>
          </w:tcPr>
          <w:p w14:paraId="0B62C712">
            <w:pPr>
              <w:spacing w:before="181" w:line="228" w:lineRule="auto"/>
              <w:ind w:left="1298"/>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条款内</w:t>
            </w:r>
            <w:r>
              <w:rPr>
                <w:rFonts w:hint="eastAsia" w:ascii="宋体" w:hAnsi="宋体" w:eastAsia="宋体" w:cs="宋体"/>
                <w:color w:val="auto"/>
                <w:spacing w:val="6"/>
                <w:sz w:val="21"/>
                <w:szCs w:val="21"/>
                <w:highlight w:val="none"/>
              </w:rPr>
              <w:t>容</w:t>
            </w:r>
          </w:p>
        </w:tc>
        <w:tc>
          <w:tcPr>
            <w:tcW w:w="2818" w:type="dxa"/>
            <w:vAlign w:val="top"/>
          </w:tcPr>
          <w:p w14:paraId="40723061">
            <w:pPr>
              <w:spacing w:before="181" w:line="228" w:lineRule="auto"/>
              <w:ind w:left="100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约定内容</w:t>
            </w:r>
          </w:p>
        </w:tc>
        <w:tc>
          <w:tcPr>
            <w:tcW w:w="1696" w:type="dxa"/>
            <w:vAlign w:val="top"/>
          </w:tcPr>
          <w:p w14:paraId="69126759">
            <w:pPr>
              <w:spacing w:before="181" w:line="230" w:lineRule="auto"/>
              <w:ind w:left="646"/>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备</w:t>
            </w:r>
            <w:r>
              <w:rPr>
                <w:rFonts w:hint="eastAsia" w:ascii="宋体" w:hAnsi="宋体" w:eastAsia="宋体" w:cs="宋体"/>
                <w:color w:val="auto"/>
                <w:spacing w:val="3"/>
                <w:sz w:val="21"/>
                <w:szCs w:val="21"/>
                <w:highlight w:val="none"/>
              </w:rPr>
              <w:t>注</w:t>
            </w:r>
          </w:p>
        </w:tc>
      </w:tr>
      <w:tr w14:paraId="705FD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6" w:type="dxa"/>
            <w:vAlign w:val="top"/>
          </w:tcPr>
          <w:p w14:paraId="48E14579">
            <w:pPr>
              <w:spacing w:before="211" w:line="193" w:lineRule="auto"/>
              <w:ind w:left="4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424" w:type="dxa"/>
            <w:vAlign w:val="top"/>
          </w:tcPr>
          <w:p w14:paraId="79ED9351">
            <w:pPr>
              <w:spacing w:before="180" w:line="229" w:lineRule="auto"/>
              <w:ind w:left="130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项</w:t>
            </w:r>
            <w:r>
              <w:rPr>
                <w:rFonts w:hint="eastAsia" w:ascii="宋体" w:hAnsi="宋体" w:eastAsia="宋体" w:cs="宋体"/>
                <w:color w:val="auto"/>
                <w:spacing w:val="6"/>
                <w:sz w:val="21"/>
                <w:szCs w:val="21"/>
                <w:highlight w:val="none"/>
              </w:rPr>
              <w:t>目经理</w:t>
            </w:r>
          </w:p>
        </w:tc>
        <w:tc>
          <w:tcPr>
            <w:tcW w:w="2818" w:type="dxa"/>
            <w:vAlign w:val="top"/>
          </w:tcPr>
          <w:p w14:paraId="46289BC2">
            <w:pPr>
              <w:spacing w:before="180" w:line="228"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姓名：</w:t>
            </w:r>
          </w:p>
        </w:tc>
        <w:tc>
          <w:tcPr>
            <w:tcW w:w="1696" w:type="dxa"/>
            <w:vAlign w:val="top"/>
          </w:tcPr>
          <w:p w14:paraId="188426AF">
            <w:pPr>
              <w:rPr>
                <w:rFonts w:hint="eastAsia" w:ascii="宋体" w:hAnsi="宋体" w:eastAsia="宋体" w:cs="宋体"/>
                <w:color w:val="auto"/>
                <w:sz w:val="21"/>
                <w:szCs w:val="21"/>
                <w:highlight w:val="none"/>
              </w:rPr>
            </w:pPr>
          </w:p>
        </w:tc>
      </w:tr>
      <w:tr w14:paraId="3D1AD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6" w:type="dxa"/>
            <w:vAlign w:val="top"/>
          </w:tcPr>
          <w:p w14:paraId="4CF6FF94">
            <w:pPr>
              <w:spacing w:before="211" w:line="192" w:lineRule="auto"/>
              <w:ind w:left="45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3424" w:type="dxa"/>
            <w:vAlign w:val="top"/>
          </w:tcPr>
          <w:p w14:paraId="09236388">
            <w:pPr>
              <w:spacing w:before="179" w:line="228" w:lineRule="auto"/>
              <w:ind w:left="993"/>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响</w:t>
            </w:r>
            <w:r>
              <w:rPr>
                <w:rFonts w:hint="eastAsia" w:ascii="宋体" w:hAnsi="宋体" w:eastAsia="宋体" w:cs="宋体"/>
                <w:color w:val="auto"/>
                <w:spacing w:val="7"/>
                <w:sz w:val="21"/>
                <w:szCs w:val="21"/>
                <w:highlight w:val="none"/>
              </w:rPr>
              <w:t>应文件有效期</w:t>
            </w:r>
          </w:p>
        </w:tc>
        <w:tc>
          <w:tcPr>
            <w:tcW w:w="2818" w:type="dxa"/>
            <w:vAlign w:val="top"/>
          </w:tcPr>
          <w:p w14:paraId="3FCB2339">
            <w:pPr>
              <w:rPr>
                <w:rFonts w:hint="eastAsia" w:ascii="宋体" w:hAnsi="宋体" w:eastAsia="宋体" w:cs="宋体"/>
                <w:color w:val="auto"/>
                <w:sz w:val="21"/>
                <w:szCs w:val="21"/>
                <w:highlight w:val="none"/>
              </w:rPr>
            </w:pPr>
          </w:p>
        </w:tc>
        <w:tc>
          <w:tcPr>
            <w:tcW w:w="1696" w:type="dxa"/>
            <w:vAlign w:val="top"/>
          </w:tcPr>
          <w:p w14:paraId="42B19CD6">
            <w:pPr>
              <w:rPr>
                <w:rFonts w:hint="eastAsia" w:ascii="宋体" w:hAnsi="宋体" w:eastAsia="宋体" w:cs="宋体"/>
                <w:color w:val="auto"/>
                <w:sz w:val="21"/>
                <w:szCs w:val="21"/>
                <w:highlight w:val="none"/>
              </w:rPr>
            </w:pPr>
          </w:p>
        </w:tc>
      </w:tr>
      <w:tr w14:paraId="588B0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96" w:type="dxa"/>
            <w:vAlign w:val="top"/>
          </w:tcPr>
          <w:p w14:paraId="2371AB0F">
            <w:pPr>
              <w:spacing w:before="212" w:line="190" w:lineRule="auto"/>
              <w:ind w:left="45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424" w:type="dxa"/>
            <w:vAlign w:val="top"/>
          </w:tcPr>
          <w:p w14:paraId="0A146CE7">
            <w:pPr>
              <w:spacing w:before="179" w:line="229" w:lineRule="auto"/>
              <w:ind w:left="1510"/>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工</w:t>
            </w:r>
            <w:r>
              <w:rPr>
                <w:rFonts w:hint="eastAsia" w:ascii="宋体" w:hAnsi="宋体" w:eastAsia="宋体" w:cs="宋体"/>
                <w:color w:val="auto"/>
                <w:spacing w:val="3"/>
                <w:sz w:val="21"/>
                <w:szCs w:val="21"/>
                <w:highlight w:val="none"/>
              </w:rPr>
              <w:t>期</w:t>
            </w:r>
          </w:p>
        </w:tc>
        <w:tc>
          <w:tcPr>
            <w:tcW w:w="2818" w:type="dxa"/>
            <w:vAlign w:val="top"/>
          </w:tcPr>
          <w:p w14:paraId="1BBA83E3">
            <w:pPr>
              <w:tabs>
                <w:tab w:val="left" w:pos="1506"/>
              </w:tabs>
              <w:spacing w:before="179" w:line="229" w:lineRule="auto"/>
              <w:ind w:left="83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rPr>
              <w:tab/>
            </w:r>
            <w:r>
              <w:rPr>
                <w:rFonts w:hint="eastAsia" w:ascii="宋体" w:hAnsi="宋体" w:eastAsia="宋体" w:cs="宋体"/>
                <w:color w:val="auto"/>
                <w:spacing w:val="-5"/>
                <w:sz w:val="21"/>
                <w:szCs w:val="21"/>
                <w:highlight w:val="none"/>
              </w:rPr>
              <w:t>日历天</w:t>
            </w:r>
          </w:p>
        </w:tc>
        <w:tc>
          <w:tcPr>
            <w:tcW w:w="1696" w:type="dxa"/>
            <w:vAlign w:val="top"/>
          </w:tcPr>
          <w:p w14:paraId="55B6D6BB">
            <w:pPr>
              <w:rPr>
                <w:rFonts w:hint="eastAsia" w:ascii="宋体" w:hAnsi="宋体" w:eastAsia="宋体" w:cs="宋体"/>
                <w:color w:val="auto"/>
                <w:sz w:val="21"/>
                <w:szCs w:val="21"/>
                <w:highlight w:val="none"/>
              </w:rPr>
            </w:pPr>
          </w:p>
        </w:tc>
      </w:tr>
      <w:tr w14:paraId="6BF54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6" w:type="dxa"/>
            <w:vAlign w:val="top"/>
          </w:tcPr>
          <w:p w14:paraId="055B9B00">
            <w:pPr>
              <w:spacing w:before="215" w:line="192" w:lineRule="auto"/>
              <w:ind w:left="45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424" w:type="dxa"/>
            <w:vAlign w:val="top"/>
          </w:tcPr>
          <w:p w14:paraId="239BB345">
            <w:pPr>
              <w:spacing w:before="182" w:line="229" w:lineRule="auto"/>
              <w:ind w:left="1191"/>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质量保证金</w:t>
            </w:r>
          </w:p>
        </w:tc>
        <w:tc>
          <w:tcPr>
            <w:tcW w:w="2818" w:type="dxa"/>
            <w:vAlign w:val="top"/>
          </w:tcPr>
          <w:p w14:paraId="25532308">
            <w:pPr>
              <w:spacing w:before="182" w:line="227" w:lineRule="auto"/>
              <w:ind w:left="69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结</w:t>
            </w:r>
            <w:r>
              <w:rPr>
                <w:rFonts w:hint="eastAsia" w:ascii="宋体" w:hAnsi="宋体" w:eastAsia="宋体" w:cs="宋体"/>
                <w:color w:val="auto"/>
                <w:spacing w:val="5"/>
                <w:sz w:val="21"/>
                <w:szCs w:val="21"/>
                <w:highlight w:val="none"/>
              </w:rPr>
              <w:t>算价的</w:t>
            </w:r>
            <w:r>
              <w:rPr>
                <w:rFonts w:hint="eastAsia" w:ascii="宋体" w:hAnsi="宋体" w:eastAsia="宋体" w:cs="宋体"/>
                <w:color w:val="auto"/>
                <w:spacing w:val="5"/>
                <w:sz w:val="21"/>
                <w:szCs w:val="21"/>
                <w:highlight w:val="none"/>
                <w:u w:val="single" w:color="auto"/>
              </w:rPr>
              <w:t xml:space="preserve">  </w:t>
            </w:r>
            <w:r>
              <w:rPr>
                <w:rFonts w:hint="eastAsia" w:ascii="宋体" w:hAnsi="宋体" w:cs="宋体"/>
                <w:color w:val="auto"/>
                <w:spacing w:val="5"/>
                <w:sz w:val="21"/>
                <w:szCs w:val="21"/>
                <w:highlight w:val="none"/>
                <w:u w:val="single" w:color="auto"/>
                <w:lang w:val="en-US" w:eastAsia="zh-CN"/>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5"/>
                <w:sz w:val="21"/>
                <w:szCs w:val="21"/>
                <w:highlight w:val="none"/>
              </w:rPr>
              <w:t>%</w:t>
            </w:r>
          </w:p>
        </w:tc>
        <w:tc>
          <w:tcPr>
            <w:tcW w:w="1696" w:type="dxa"/>
            <w:vAlign w:val="top"/>
          </w:tcPr>
          <w:p w14:paraId="1CEED63D">
            <w:pPr>
              <w:rPr>
                <w:rFonts w:hint="eastAsia" w:ascii="宋体" w:hAnsi="宋体" w:eastAsia="宋体" w:cs="宋体"/>
                <w:color w:val="auto"/>
                <w:sz w:val="21"/>
                <w:szCs w:val="21"/>
                <w:highlight w:val="none"/>
              </w:rPr>
            </w:pPr>
          </w:p>
        </w:tc>
      </w:tr>
      <w:tr w14:paraId="7A3BB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96" w:type="dxa"/>
            <w:vAlign w:val="top"/>
          </w:tcPr>
          <w:p w14:paraId="6CCCE75E">
            <w:pPr>
              <w:spacing w:before="215" w:line="189" w:lineRule="auto"/>
              <w:ind w:left="45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424" w:type="dxa"/>
            <w:vAlign w:val="top"/>
          </w:tcPr>
          <w:p w14:paraId="05BB475B">
            <w:pPr>
              <w:spacing w:before="181" w:line="229" w:lineRule="auto"/>
              <w:ind w:left="1297"/>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质量标准</w:t>
            </w:r>
          </w:p>
        </w:tc>
        <w:tc>
          <w:tcPr>
            <w:tcW w:w="2818" w:type="dxa"/>
            <w:vAlign w:val="top"/>
          </w:tcPr>
          <w:p w14:paraId="7471EF36">
            <w:pPr>
              <w:rPr>
                <w:rFonts w:hint="eastAsia" w:ascii="宋体" w:hAnsi="宋体" w:eastAsia="宋体" w:cs="宋体"/>
                <w:color w:val="auto"/>
                <w:sz w:val="21"/>
                <w:szCs w:val="21"/>
                <w:highlight w:val="none"/>
              </w:rPr>
            </w:pPr>
          </w:p>
        </w:tc>
        <w:tc>
          <w:tcPr>
            <w:tcW w:w="1696" w:type="dxa"/>
            <w:vAlign w:val="top"/>
          </w:tcPr>
          <w:p w14:paraId="59A9AC93">
            <w:pPr>
              <w:rPr>
                <w:rFonts w:hint="eastAsia" w:ascii="宋体" w:hAnsi="宋体" w:eastAsia="宋体" w:cs="宋体"/>
                <w:color w:val="auto"/>
                <w:sz w:val="21"/>
                <w:szCs w:val="21"/>
                <w:highlight w:val="none"/>
              </w:rPr>
            </w:pPr>
          </w:p>
        </w:tc>
      </w:tr>
      <w:tr w14:paraId="6AECD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96" w:type="dxa"/>
            <w:vAlign w:val="top"/>
          </w:tcPr>
          <w:p w14:paraId="3E112699">
            <w:pPr>
              <w:spacing w:before="215" w:line="189" w:lineRule="auto"/>
              <w:ind w:left="456"/>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3424" w:type="dxa"/>
            <w:vAlign w:val="top"/>
          </w:tcPr>
          <w:p w14:paraId="10BB8755">
            <w:pPr>
              <w:spacing w:before="181" w:line="229" w:lineRule="auto"/>
              <w:ind w:left="1297"/>
              <w:rPr>
                <w:rFonts w:hint="eastAsia" w:ascii="宋体" w:hAnsi="宋体" w:eastAsia="宋体" w:cs="宋体"/>
                <w:color w:val="auto"/>
                <w:spacing w:val="7"/>
                <w:sz w:val="21"/>
                <w:szCs w:val="21"/>
                <w:highlight w:val="none"/>
                <w:lang w:eastAsia="zh-CN"/>
              </w:rPr>
            </w:pPr>
            <w:r>
              <w:rPr>
                <w:rFonts w:hint="eastAsia" w:ascii="宋体" w:hAnsi="宋体" w:eastAsia="宋体" w:cs="宋体"/>
                <w:color w:val="auto"/>
                <w:spacing w:val="7"/>
                <w:sz w:val="21"/>
                <w:szCs w:val="21"/>
                <w:highlight w:val="none"/>
                <w:lang w:eastAsia="zh-CN"/>
              </w:rPr>
              <w:t>付款条件</w:t>
            </w:r>
          </w:p>
        </w:tc>
        <w:tc>
          <w:tcPr>
            <w:tcW w:w="2818" w:type="dxa"/>
            <w:vAlign w:val="top"/>
          </w:tcPr>
          <w:p w14:paraId="2F8F5914">
            <w:pPr>
              <w:rPr>
                <w:rFonts w:hint="eastAsia" w:ascii="宋体" w:hAnsi="宋体" w:eastAsia="宋体" w:cs="宋体"/>
                <w:color w:val="auto"/>
                <w:sz w:val="21"/>
                <w:szCs w:val="21"/>
                <w:highlight w:val="none"/>
              </w:rPr>
            </w:pPr>
          </w:p>
        </w:tc>
        <w:tc>
          <w:tcPr>
            <w:tcW w:w="1696" w:type="dxa"/>
            <w:vAlign w:val="top"/>
          </w:tcPr>
          <w:p w14:paraId="09EEFF89">
            <w:pPr>
              <w:rPr>
                <w:rFonts w:hint="eastAsia" w:ascii="宋体" w:hAnsi="宋体" w:eastAsia="宋体" w:cs="宋体"/>
                <w:color w:val="auto"/>
                <w:sz w:val="21"/>
                <w:szCs w:val="21"/>
                <w:highlight w:val="none"/>
              </w:rPr>
            </w:pPr>
          </w:p>
        </w:tc>
      </w:tr>
      <w:tr w14:paraId="6C4A6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96" w:type="dxa"/>
            <w:vAlign w:val="top"/>
          </w:tcPr>
          <w:p w14:paraId="40FC1DE5">
            <w:pPr>
              <w:spacing w:before="181" w:line="325" w:lineRule="exact"/>
              <w:ind w:left="306"/>
              <w:rPr>
                <w:rFonts w:hint="eastAsia" w:ascii="宋体" w:hAnsi="宋体" w:eastAsia="宋体" w:cs="宋体"/>
                <w:color w:val="auto"/>
                <w:sz w:val="21"/>
                <w:szCs w:val="21"/>
                <w:highlight w:val="none"/>
              </w:rPr>
            </w:pPr>
            <w:r>
              <w:rPr>
                <w:rFonts w:hint="eastAsia" w:ascii="宋体" w:hAnsi="宋体" w:eastAsia="宋体" w:cs="宋体"/>
                <w:color w:val="auto"/>
                <w:spacing w:val="4"/>
                <w:position w:val="3"/>
                <w:sz w:val="21"/>
                <w:szCs w:val="21"/>
                <w:highlight w:val="none"/>
              </w:rPr>
              <w:t>……</w:t>
            </w:r>
          </w:p>
        </w:tc>
        <w:tc>
          <w:tcPr>
            <w:tcW w:w="3424" w:type="dxa"/>
            <w:vAlign w:val="top"/>
          </w:tcPr>
          <w:p w14:paraId="161A8AE4">
            <w:pPr>
              <w:spacing w:before="181" w:line="325" w:lineRule="exact"/>
              <w:ind w:left="1521"/>
              <w:rPr>
                <w:rFonts w:hint="eastAsia" w:ascii="宋体" w:hAnsi="宋体" w:eastAsia="宋体" w:cs="宋体"/>
                <w:color w:val="auto"/>
                <w:sz w:val="21"/>
                <w:szCs w:val="21"/>
                <w:highlight w:val="none"/>
              </w:rPr>
            </w:pPr>
            <w:r>
              <w:rPr>
                <w:rFonts w:hint="eastAsia" w:ascii="宋体" w:hAnsi="宋体" w:eastAsia="宋体" w:cs="宋体"/>
                <w:color w:val="auto"/>
                <w:spacing w:val="4"/>
                <w:position w:val="3"/>
                <w:sz w:val="21"/>
                <w:szCs w:val="21"/>
                <w:highlight w:val="none"/>
              </w:rPr>
              <w:t>……</w:t>
            </w:r>
          </w:p>
        </w:tc>
        <w:tc>
          <w:tcPr>
            <w:tcW w:w="2818" w:type="dxa"/>
            <w:vAlign w:val="top"/>
          </w:tcPr>
          <w:p w14:paraId="6B199D5F">
            <w:pPr>
              <w:rPr>
                <w:rFonts w:hint="eastAsia" w:ascii="宋体" w:hAnsi="宋体" w:eastAsia="宋体" w:cs="宋体"/>
                <w:color w:val="auto"/>
                <w:sz w:val="21"/>
                <w:szCs w:val="21"/>
                <w:highlight w:val="none"/>
              </w:rPr>
            </w:pPr>
          </w:p>
        </w:tc>
        <w:tc>
          <w:tcPr>
            <w:tcW w:w="1696" w:type="dxa"/>
            <w:vAlign w:val="top"/>
          </w:tcPr>
          <w:p w14:paraId="3F68DCC5">
            <w:pPr>
              <w:rPr>
                <w:rFonts w:hint="eastAsia" w:ascii="宋体" w:hAnsi="宋体" w:eastAsia="宋体" w:cs="宋体"/>
                <w:color w:val="auto"/>
                <w:sz w:val="21"/>
                <w:szCs w:val="21"/>
                <w:highlight w:val="none"/>
              </w:rPr>
            </w:pPr>
          </w:p>
        </w:tc>
      </w:tr>
      <w:tr w14:paraId="15E16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8934" w:type="dxa"/>
            <w:gridSpan w:val="4"/>
            <w:vAlign w:val="top"/>
          </w:tcPr>
          <w:p w14:paraId="6218BEA7">
            <w:pPr>
              <w:keepNext w:val="0"/>
              <w:keepLines w:val="0"/>
              <w:pageBreakBefore w:val="0"/>
              <w:widowControl w:val="0"/>
              <w:kinsoku/>
              <w:wordWrap/>
              <w:overflowPunct/>
              <w:topLinePunct w:val="0"/>
              <w:autoSpaceDE/>
              <w:autoSpaceDN/>
              <w:bidi w:val="0"/>
              <w:adjustRightInd/>
              <w:snapToGrid/>
              <w:spacing w:line="400" w:lineRule="exact"/>
              <w:ind w:left="119" w:right="102" w:firstLine="6"/>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4"/>
                <w:sz w:val="21"/>
                <w:szCs w:val="21"/>
                <w:highlight w:val="none"/>
              </w:rPr>
              <w:t>备</w:t>
            </w:r>
            <w:r>
              <w:rPr>
                <w:rFonts w:hint="eastAsia" w:ascii="宋体" w:hAnsi="宋体" w:eastAsia="宋体" w:cs="宋体"/>
                <w:color w:val="auto"/>
                <w:spacing w:val="7"/>
                <w:sz w:val="21"/>
                <w:szCs w:val="21"/>
                <w:highlight w:val="none"/>
              </w:rPr>
              <w:t>注：供应商在响应竞争性磋商文件中规定的实质性要求和条件的基础上，可做出其他有利于采</w:t>
            </w:r>
            <w:r>
              <w:rPr>
                <w:rFonts w:hint="eastAsia" w:ascii="宋体" w:hAnsi="宋体" w:eastAsia="宋体" w:cs="宋体"/>
                <w:color w:val="auto"/>
                <w:spacing w:val="13"/>
                <w:sz w:val="21"/>
                <w:szCs w:val="21"/>
                <w:highlight w:val="none"/>
              </w:rPr>
              <w:t>购</w:t>
            </w:r>
            <w:r>
              <w:rPr>
                <w:rFonts w:hint="eastAsia" w:ascii="宋体" w:hAnsi="宋体" w:eastAsia="宋体" w:cs="宋体"/>
                <w:color w:val="auto"/>
                <w:spacing w:val="9"/>
                <w:sz w:val="21"/>
                <w:szCs w:val="21"/>
                <w:highlight w:val="none"/>
              </w:rPr>
              <w:t>单位的承诺。此类承诺可在本表中予以补充填写。</w:t>
            </w:r>
          </w:p>
        </w:tc>
      </w:tr>
    </w:tbl>
    <w:p w14:paraId="26545568">
      <w:pPr>
        <w:pStyle w:val="49"/>
        <w:keepNext w:val="0"/>
        <w:keepLines w:val="0"/>
        <w:pageBreakBefore w:val="0"/>
        <w:widowControl w:val="0"/>
        <w:kinsoku/>
        <w:wordWrap/>
        <w:overflowPunct/>
        <w:topLinePunct w:val="0"/>
        <w:autoSpaceDE w:val="0"/>
        <w:autoSpaceDN w:val="0"/>
        <w:bidi w:val="0"/>
        <w:adjustRightInd w:val="0"/>
        <w:snapToGrid/>
        <w:spacing w:line="360" w:lineRule="exact"/>
        <w:ind w:firstLine="482" w:firstLineChars="200"/>
        <w:jc w:val="both"/>
        <w:textAlignment w:val="auto"/>
        <w:rPr>
          <w:rFonts w:hint="eastAsia" w:asciiTheme="majorEastAsia" w:hAnsiTheme="majorEastAsia" w:eastAsiaTheme="majorEastAsia" w:cstheme="majorEastAsia"/>
          <w:b/>
          <w:bCs/>
          <w:color w:val="auto"/>
          <w:sz w:val="24"/>
          <w:szCs w:val="32"/>
          <w:highlight w:val="none"/>
        </w:rPr>
      </w:pPr>
    </w:p>
    <w:p w14:paraId="5CFF9BB5">
      <w:pPr>
        <w:spacing w:line="360" w:lineRule="auto"/>
        <w:ind w:right="480"/>
        <w:contextualSpacing/>
        <w:jc w:val="center"/>
        <w:rPr>
          <w:rFonts w:hint="eastAsia" w:ascii="宋体" w:hAnsi="宋体"/>
          <w:color w:val="auto"/>
          <w:sz w:val="24"/>
          <w:szCs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法定代表人或者委托代理人（签字或者电子签名）：</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48350403">
      <w:pPr>
        <w:spacing w:line="360" w:lineRule="auto"/>
        <w:ind w:right="480" w:firstLine="3360" w:firstLineChars="1400"/>
        <w:contextualSpacing/>
        <w:rPr>
          <w:rFonts w:hint="eastAsia" w:ascii="宋体" w:hAnsi="宋体"/>
          <w:color w:val="auto"/>
          <w:sz w:val="24"/>
          <w:szCs w:val="24"/>
          <w:highlight w:val="none"/>
        </w:rPr>
      </w:pPr>
      <w:r>
        <w:rPr>
          <w:rFonts w:hint="eastAsia" w:ascii="宋体" w:hAnsi="宋体"/>
          <w:color w:val="auto"/>
          <w:sz w:val="24"/>
          <w:szCs w:val="24"/>
          <w:highlight w:val="none"/>
        </w:rPr>
        <w:t>供应商（电子签章）：</w:t>
      </w:r>
      <w:r>
        <w:rPr>
          <w:rFonts w:hint="eastAsia" w:ascii="宋体" w:hAnsi="宋体"/>
          <w:color w:val="auto"/>
          <w:sz w:val="24"/>
          <w:szCs w:val="24"/>
          <w:highlight w:val="none"/>
          <w:u w:val="single"/>
        </w:rPr>
        <w:t xml:space="preserve">                </w:t>
      </w:r>
    </w:p>
    <w:p w14:paraId="6986668B">
      <w:pPr>
        <w:spacing w:line="360" w:lineRule="auto"/>
        <w:ind w:firstLine="480" w:firstLineChars="200"/>
        <w:contextualSpacing/>
        <w:jc w:val="left"/>
        <w:rPr>
          <w:rFonts w:ascii="宋体" w:hAnsi="宋体"/>
          <w:color w:val="auto"/>
          <w:sz w:val="24"/>
          <w:szCs w:val="24"/>
          <w:highlight w:val="none"/>
        </w:rPr>
      </w:pPr>
      <w:r>
        <w:rPr>
          <w:rFonts w:hint="eastAsia" w:ascii="宋体" w:hAnsi="宋体"/>
          <w:color w:val="auto"/>
          <w:sz w:val="24"/>
          <w:szCs w:val="24"/>
          <w:highlight w:val="none"/>
        </w:rPr>
        <w:t xml:space="preserve">                                        年    月    日</w:t>
      </w:r>
    </w:p>
    <w:p w14:paraId="6F3DF368">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7A633E94">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696AC9CA">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1F6F65F0">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51DE7314">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0F50A218">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06BD5BE4">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577A516E">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4DD7763D">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7F371B6B">
      <w:pPr>
        <w:spacing w:line="360" w:lineRule="auto"/>
        <w:jc w:val="center"/>
        <w:rPr>
          <w:rFonts w:hint="eastAsia" w:ascii="方正小标宋简体" w:hAnsi="方正小标宋简体" w:eastAsia="方正小标宋简体" w:cs="方正小标宋简体"/>
          <w:bCs/>
          <w:color w:val="auto"/>
          <w:sz w:val="32"/>
          <w:szCs w:val="32"/>
          <w:highlight w:val="none"/>
        </w:rPr>
      </w:pPr>
      <w:r>
        <w:rPr>
          <w:rFonts w:hint="eastAsia" w:ascii="宋体" w:hAnsi="宋体" w:cs="方正小标宋简体"/>
          <w:b/>
          <w:bCs/>
          <w:color w:val="auto"/>
          <w:sz w:val="32"/>
          <w:szCs w:val="32"/>
          <w:highlight w:val="none"/>
        </w:rPr>
        <w:t>竞标报价表</w:t>
      </w:r>
      <w:r>
        <w:rPr>
          <w:rFonts w:hint="eastAsia" w:asciiTheme="majorEastAsia" w:hAnsiTheme="majorEastAsia" w:eastAsiaTheme="majorEastAsia" w:cstheme="majorEastAsia"/>
          <w:b/>
          <w:bCs/>
          <w:color w:val="auto"/>
          <w:sz w:val="28"/>
          <w:szCs w:val="28"/>
          <w:highlight w:val="none"/>
          <w:lang w:eastAsia="zh-CN"/>
        </w:rPr>
        <w:t>（格式）</w:t>
      </w:r>
    </w:p>
    <w:p w14:paraId="23CC9939">
      <w:pPr>
        <w:spacing w:line="440" w:lineRule="exact"/>
        <w:jc w:val="center"/>
        <w:rPr>
          <w:rFonts w:hint="eastAsia" w:ascii="方正小标宋简体" w:hAnsi="方正小标宋简体" w:eastAsia="方正小标宋简体" w:cs="方正小标宋简体"/>
          <w:bCs/>
          <w:color w:val="auto"/>
          <w:sz w:val="32"/>
          <w:szCs w:val="32"/>
          <w:highlight w:val="none"/>
        </w:rPr>
      </w:pPr>
    </w:p>
    <w:p w14:paraId="58F73104">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r>
        <w:rPr>
          <w:rFonts w:hint="eastAsia" w:ascii="宋体" w:hAnsi="宋体" w:cs="仿宋_GB2312"/>
          <w:color w:val="auto"/>
          <w:sz w:val="24"/>
          <w:highlight w:val="none"/>
          <w:lang w:val="en-US" w:eastAsia="zh-CN"/>
        </w:rPr>
        <w:t xml:space="preserve">                </w:t>
      </w:r>
      <w:r>
        <w:rPr>
          <w:rFonts w:hint="eastAsia" w:ascii="宋体" w:hAnsi="宋体" w:cs="仿宋_GB2312"/>
          <w:color w:val="auto"/>
          <w:sz w:val="24"/>
          <w:highlight w:val="none"/>
        </w:rPr>
        <w:t>单位：元</w:t>
      </w:r>
    </w:p>
    <w:tbl>
      <w:tblPr>
        <w:tblStyle w:val="30"/>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712"/>
        <w:gridCol w:w="1505"/>
        <w:gridCol w:w="3107"/>
        <w:gridCol w:w="1184"/>
      </w:tblGrid>
      <w:tr w14:paraId="5366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noWrap w:val="0"/>
            <w:vAlign w:val="center"/>
          </w:tcPr>
          <w:p w14:paraId="11023BED">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序号</w:t>
            </w:r>
          </w:p>
        </w:tc>
        <w:tc>
          <w:tcPr>
            <w:tcW w:w="2712" w:type="dxa"/>
            <w:tcBorders>
              <w:top w:val="single" w:color="auto" w:sz="4" w:space="0"/>
              <w:left w:val="single" w:color="auto" w:sz="4" w:space="0"/>
              <w:bottom w:val="single" w:color="auto" w:sz="4" w:space="0"/>
              <w:right w:val="single" w:color="auto" w:sz="4" w:space="0"/>
            </w:tcBorders>
            <w:noWrap w:val="0"/>
            <w:vAlign w:val="center"/>
          </w:tcPr>
          <w:p w14:paraId="7BB8C0F2">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lang w:eastAsia="zh-CN"/>
              </w:rPr>
              <w:t>标的</w:t>
            </w:r>
            <w:r>
              <w:rPr>
                <w:rFonts w:ascii="宋体" w:hAnsi="宋体" w:cs="仿宋_GB2312"/>
                <w:color w:val="auto"/>
                <w:sz w:val="24"/>
                <w:highlight w:val="none"/>
              </w:rPr>
              <w:t>名称</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698EE186">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数量及单位</w:t>
            </w:r>
          </w:p>
        </w:tc>
        <w:tc>
          <w:tcPr>
            <w:tcW w:w="3107" w:type="dxa"/>
            <w:tcBorders>
              <w:top w:val="single" w:color="auto" w:sz="4" w:space="0"/>
              <w:left w:val="single" w:color="auto" w:sz="4" w:space="0"/>
              <w:bottom w:val="single" w:color="auto" w:sz="4" w:space="0"/>
              <w:right w:val="single" w:color="auto" w:sz="4" w:space="0"/>
            </w:tcBorders>
            <w:noWrap w:val="0"/>
            <w:vAlign w:val="center"/>
          </w:tcPr>
          <w:p w14:paraId="0FCCF1FA">
            <w:pPr>
              <w:spacing w:line="360" w:lineRule="auto"/>
              <w:contextualSpacing/>
              <w:jc w:val="center"/>
              <w:rPr>
                <w:rFonts w:hint="eastAsia" w:ascii="宋体" w:hAnsi="宋体" w:eastAsia="宋体" w:cs="仿宋_GB2312"/>
                <w:color w:val="auto"/>
                <w:sz w:val="24"/>
                <w:highlight w:val="none"/>
                <w:lang w:eastAsia="zh-CN"/>
              </w:rPr>
            </w:pPr>
            <w:r>
              <w:rPr>
                <w:rFonts w:hint="eastAsia" w:ascii="宋体" w:hAnsi="宋体" w:cs="仿宋_GB2312"/>
                <w:color w:val="auto"/>
                <w:sz w:val="24"/>
                <w:highlight w:val="none"/>
                <w:lang w:eastAsia="zh-CN"/>
              </w:rPr>
              <w:t>竞标报价（元）</w:t>
            </w:r>
          </w:p>
        </w:tc>
        <w:tc>
          <w:tcPr>
            <w:tcW w:w="1184" w:type="dxa"/>
            <w:tcBorders>
              <w:top w:val="single" w:color="auto" w:sz="4" w:space="0"/>
              <w:left w:val="single" w:color="auto" w:sz="4" w:space="0"/>
              <w:bottom w:val="single" w:color="auto" w:sz="4" w:space="0"/>
              <w:right w:val="single" w:color="auto" w:sz="4" w:space="0"/>
            </w:tcBorders>
            <w:noWrap w:val="0"/>
            <w:vAlign w:val="center"/>
          </w:tcPr>
          <w:p w14:paraId="14CC7BA2">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备注</w:t>
            </w:r>
          </w:p>
        </w:tc>
      </w:tr>
      <w:tr w14:paraId="0C62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noWrap w:val="0"/>
            <w:vAlign w:val="center"/>
          </w:tcPr>
          <w:p w14:paraId="409A049F">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1</w:t>
            </w:r>
          </w:p>
        </w:tc>
        <w:tc>
          <w:tcPr>
            <w:tcW w:w="2712" w:type="dxa"/>
            <w:tcBorders>
              <w:top w:val="single" w:color="auto" w:sz="4" w:space="0"/>
              <w:left w:val="single" w:color="auto" w:sz="4" w:space="0"/>
              <w:bottom w:val="single" w:color="auto" w:sz="4" w:space="0"/>
              <w:right w:val="single" w:color="auto" w:sz="4" w:space="0"/>
            </w:tcBorders>
            <w:noWrap w:val="0"/>
            <w:vAlign w:val="center"/>
          </w:tcPr>
          <w:p w14:paraId="41CCF834">
            <w:pPr>
              <w:spacing w:line="360" w:lineRule="auto"/>
              <w:contextualSpacing/>
              <w:jc w:val="center"/>
              <w:rPr>
                <w:rFonts w:ascii="宋体" w:hAnsi="宋体" w:cs="仿宋_GB2312"/>
                <w:color w:val="auto"/>
                <w:sz w:val="24"/>
                <w:highlight w:val="none"/>
              </w:rPr>
            </w:pPr>
          </w:p>
        </w:tc>
        <w:tc>
          <w:tcPr>
            <w:tcW w:w="1505" w:type="dxa"/>
            <w:tcBorders>
              <w:top w:val="single" w:color="auto" w:sz="4" w:space="0"/>
              <w:left w:val="single" w:color="auto" w:sz="4" w:space="0"/>
              <w:bottom w:val="single" w:color="auto" w:sz="4" w:space="0"/>
              <w:right w:val="single" w:color="auto" w:sz="4" w:space="0"/>
            </w:tcBorders>
            <w:noWrap w:val="0"/>
            <w:vAlign w:val="center"/>
          </w:tcPr>
          <w:p w14:paraId="4F7C4EF1">
            <w:pPr>
              <w:spacing w:line="360" w:lineRule="auto"/>
              <w:contextualSpacing/>
              <w:jc w:val="center"/>
              <w:rPr>
                <w:rFonts w:ascii="宋体" w:hAnsi="宋体" w:cs="仿宋_GB2312"/>
                <w:color w:val="auto"/>
                <w:sz w:val="24"/>
                <w:highlight w:val="none"/>
              </w:rPr>
            </w:pPr>
          </w:p>
        </w:tc>
        <w:tc>
          <w:tcPr>
            <w:tcW w:w="3107" w:type="dxa"/>
            <w:tcBorders>
              <w:top w:val="single" w:color="auto" w:sz="4" w:space="0"/>
              <w:left w:val="single" w:color="auto" w:sz="4" w:space="0"/>
              <w:bottom w:val="single" w:color="auto" w:sz="4" w:space="0"/>
              <w:right w:val="single" w:color="auto" w:sz="4" w:space="0"/>
            </w:tcBorders>
            <w:noWrap w:val="0"/>
            <w:vAlign w:val="top"/>
          </w:tcPr>
          <w:p w14:paraId="56EBDE89">
            <w:pPr>
              <w:spacing w:line="360" w:lineRule="auto"/>
              <w:contextualSpacing/>
              <w:rPr>
                <w:rFonts w:ascii="宋体" w:hAnsi="宋体" w:cs="仿宋_GB2312"/>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14:paraId="7A24DDA7">
            <w:pPr>
              <w:spacing w:line="360" w:lineRule="auto"/>
              <w:contextualSpacing/>
              <w:rPr>
                <w:rFonts w:ascii="宋体" w:hAnsi="宋体" w:cs="仿宋_GB2312"/>
                <w:color w:val="auto"/>
                <w:sz w:val="24"/>
                <w:highlight w:val="none"/>
              </w:rPr>
            </w:pPr>
          </w:p>
        </w:tc>
      </w:tr>
      <w:tr w14:paraId="064A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noWrap w:val="0"/>
            <w:vAlign w:val="center"/>
          </w:tcPr>
          <w:p w14:paraId="1813519D">
            <w:pPr>
              <w:spacing w:line="360" w:lineRule="auto"/>
              <w:contextualSpacing/>
              <w:jc w:val="center"/>
              <w:rPr>
                <w:rFonts w:hint="eastAsia" w:ascii="宋体" w:hAnsi="宋体" w:eastAsia="宋体" w:cs="仿宋_GB2312"/>
                <w:color w:val="auto"/>
                <w:sz w:val="24"/>
                <w:highlight w:val="none"/>
                <w:lang w:eastAsia="zh-CN"/>
              </w:rPr>
            </w:pPr>
            <w:r>
              <w:rPr>
                <w:rFonts w:hint="eastAsia" w:ascii="宋体" w:hAnsi="宋体" w:cs="仿宋_GB2312"/>
                <w:color w:val="auto"/>
                <w:sz w:val="24"/>
                <w:highlight w:val="none"/>
                <w:lang w:eastAsia="zh-CN"/>
              </w:rPr>
              <w:t>…</w:t>
            </w:r>
          </w:p>
        </w:tc>
        <w:tc>
          <w:tcPr>
            <w:tcW w:w="2712" w:type="dxa"/>
            <w:tcBorders>
              <w:top w:val="single" w:color="auto" w:sz="4" w:space="0"/>
              <w:left w:val="single" w:color="auto" w:sz="4" w:space="0"/>
              <w:bottom w:val="single" w:color="auto" w:sz="4" w:space="0"/>
              <w:right w:val="single" w:color="auto" w:sz="4" w:space="0"/>
            </w:tcBorders>
            <w:noWrap w:val="0"/>
            <w:vAlign w:val="center"/>
          </w:tcPr>
          <w:p w14:paraId="3A47A3CF">
            <w:pPr>
              <w:spacing w:line="360" w:lineRule="auto"/>
              <w:contextualSpacing/>
              <w:jc w:val="center"/>
              <w:rPr>
                <w:rFonts w:ascii="宋体" w:hAnsi="宋体" w:cs="仿宋_GB2312"/>
                <w:color w:val="auto"/>
                <w:sz w:val="24"/>
                <w:highlight w:val="none"/>
              </w:rPr>
            </w:pPr>
          </w:p>
        </w:tc>
        <w:tc>
          <w:tcPr>
            <w:tcW w:w="1505" w:type="dxa"/>
            <w:tcBorders>
              <w:top w:val="single" w:color="auto" w:sz="4" w:space="0"/>
              <w:left w:val="single" w:color="auto" w:sz="4" w:space="0"/>
              <w:bottom w:val="single" w:color="auto" w:sz="4" w:space="0"/>
              <w:right w:val="single" w:color="auto" w:sz="4" w:space="0"/>
            </w:tcBorders>
            <w:noWrap w:val="0"/>
            <w:vAlign w:val="center"/>
          </w:tcPr>
          <w:p w14:paraId="278B2746">
            <w:pPr>
              <w:spacing w:line="360" w:lineRule="auto"/>
              <w:contextualSpacing/>
              <w:jc w:val="center"/>
              <w:rPr>
                <w:rFonts w:hint="eastAsia" w:ascii="宋体" w:hAnsi="宋体" w:cs="仿宋_GB2312"/>
                <w:color w:val="auto"/>
                <w:sz w:val="24"/>
                <w:highlight w:val="none"/>
              </w:rPr>
            </w:pPr>
          </w:p>
        </w:tc>
        <w:tc>
          <w:tcPr>
            <w:tcW w:w="3107" w:type="dxa"/>
            <w:tcBorders>
              <w:top w:val="single" w:color="auto" w:sz="4" w:space="0"/>
              <w:left w:val="single" w:color="auto" w:sz="4" w:space="0"/>
              <w:bottom w:val="single" w:color="auto" w:sz="4" w:space="0"/>
              <w:right w:val="single" w:color="auto" w:sz="4" w:space="0"/>
            </w:tcBorders>
            <w:noWrap w:val="0"/>
            <w:vAlign w:val="top"/>
          </w:tcPr>
          <w:p w14:paraId="5BFEBCB9">
            <w:pPr>
              <w:spacing w:line="360" w:lineRule="auto"/>
              <w:contextualSpacing/>
              <w:rPr>
                <w:rFonts w:ascii="宋体" w:hAnsi="宋体" w:cs="仿宋_GB2312"/>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14:paraId="54B9BB38">
            <w:pPr>
              <w:spacing w:line="360" w:lineRule="auto"/>
              <w:contextualSpacing/>
              <w:rPr>
                <w:rFonts w:ascii="宋体" w:hAnsi="宋体" w:cs="仿宋_GB2312"/>
                <w:color w:val="auto"/>
                <w:sz w:val="24"/>
                <w:highlight w:val="none"/>
              </w:rPr>
            </w:pPr>
          </w:p>
        </w:tc>
      </w:tr>
      <w:tr w14:paraId="37C6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5"/>
            <w:tcBorders>
              <w:top w:val="single" w:color="auto" w:sz="4" w:space="0"/>
              <w:left w:val="single" w:color="auto" w:sz="4" w:space="0"/>
              <w:bottom w:val="single" w:color="auto" w:sz="4" w:space="0"/>
              <w:right w:val="single" w:color="auto" w:sz="4" w:space="0"/>
            </w:tcBorders>
            <w:noWrap w:val="0"/>
            <w:vAlign w:val="center"/>
          </w:tcPr>
          <w:p w14:paraId="3397D6DE">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合计金额（人民币）</w:t>
            </w:r>
            <w:r>
              <w:rPr>
                <w:rFonts w:hint="eastAsia" w:ascii="宋体" w:hAnsi="宋体" w:cs="仿宋_GB2312"/>
                <w:color w:val="auto"/>
                <w:sz w:val="24"/>
                <w:highlight w:val="none"/>
                <w:u w:val="single"/>
              </w:rPr>
              <w:t xml:space="preserve">大写：                      </w:t>
            </w:r>
            <w:r>
              <w:rPr>
                <w:rFonts w:hint="eastAsia" w:ascii="宋体" w:hAnsi="宋体" w:cs="仿宋_GB2312"/>
                <w:color w:val="auto"/>
                <w:sz w:val="24"/>
                <w:highlight w:val="none"/>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bl>
    <w:p w14:paraId="7BB180B9">
      <w:pPr>
        <w:spacing w:line="360" w:lineRule="auto"/>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 xml:space="preserve">注: </w:t>
      </w:r>
    </w:p>
    <w:p w14:paraId="2FA5081D">
      <w:pPr>
        <w:spacing w:line="360" w:lineRule="auto"/>
        <w:ind w:firstLine="480" w:firstLineChars="20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1. 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1C2CBF61">
      <w:pPr>
        <w:spacing w:line="360" w:lineRule="auto"/>
        <w:ind w:firstLine="480" w:firstLineChars="200"/>
        <w:contextualSpacing/>
        <w:jc w:val="left"/>
        <w:rPr>
          <w:rFonts w:hint="eastAsia" w:ascii="宋体" w:hAnsi="宋体" w:cs="仿宋_GB2312"/>
          <w:b/>
          <w:color w:val="auto"/>
          <w:sz w:val="24"/>
          <w:highlight w:val="none"/>
        </w:rPr>
      </w:pPr>
      <w:r>
        <w:rPr>
          <w:rFonts w:hint="eastAsia" w:ascii="宋体" w:hAnsi="宋体" w:cs="仿宋_GB2312"/>
          <w:bCs/>
          <w:color w:val="auto"/>
          <w:sz w:val="24"/>
          <w:highlight w:val="none"/>
        </w:rPr>
        <w:t>2.</w:t>
      </w:r>
      <w:r>
        <w:rPr>
          <w:rFonts w:hint="eastAsia" w:ascii="宋体" w:hAnsi="宋体" w:cs="仿宋_GB2312"/>
          <w:color w:val="auto"/>
          <w:sz w:val="24"/>
          <w:highlight w:val="none"/>
        </w:rPr>
        <w:t xml:space="preserve"> 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338F444A">
      <w:pPr>
        <w:spacing w:line="360" w:lineRule="auto"/>
        <w:ind w:firstLine="482" w:firstLineChars="200"/>
        <w:contextualSpacing/>
        <w:jc w:val="left"/>
        <w:rPr>
          <w:rFonts w:hint="default" w:ascii="宋体" w:hAnsi="宋体" w:cs="仿宋_GB2312"/>
          <w:b/>
          <w:bCs/>
          <w:color w:val="auto"/>
          <w:sz w:val="24"/>
          <w:highlight w:val="none"/>
          <w:lang w:val="en-US" w:eastAsia="zh-CN"/>
        </w:rPr>
      </w:pPr>
      <w:r>
        <w:rPr>
          <w:rFonts w:hint="eastAsia" w:ascii="宋体" w:hAnsi="宋体" w:cs="仿宋_GB2312"/>
          <w:b/>
          <w:bCs/>
          <w:color w:val="auto"/>
          <w:sz w:val="24"/>
          <w:highlight w:val="none"/>
          <w:lang w:val="en-US" w:eastAsia="zh-CN"/>
        </w:rPr>
        <w:t>3.</w:t>
      </w:r>
      <w:r>
        <w:rPr>
          <w:rFonts w:hint="eastAsia" w:ascii="宋体" w:hAnsi="宋体" w:eastAsia="宋体" w:cs="宋体"/>
          <w:b/>
          <w:bCs/>
          <w:color w:val="auto"/>
          <w:sz w:val="24"/>
          <w:szCs w:val="24"/>
          <w:highlight w:val="none"/>
          <w:lang w:val="en-US" w:eastAsia="zh-CN"/>
        </w:rPr>
        <w:t>在</w:t>
      </w:r>
      <w:r>
        <w:rPr>
          <w:rFonts w:hint="eastAsia" w:ascii="宋体" w:hAnsi="宋体" w:cs="宋体"/>
          <w:b/>
          <w:bCs/>
          <w:color w:val="auto"/>
          <w:sz w:val="24"/>
          <w:szCs w:val="24"/>
          <w:highlight w:val="none"/>
          <w:lang w:val="en-US" w:eastAsia="zh-CN"/>
        </w:rPr>
        <w:t>广西政府采购云平台</w:t>
      </w:r>
      <w:r>
        <w:rPr>
          <w:rFonts w:hint="eastAsia" w:ascii="宋体" w:hAnsi="宋体" w:eastAsia="宋体" w:cs="宋体"/>
          <w:b/>
          <w:bCs/>
          <w:color w:val="auto"/>
          <w:sz w:val="24"/>
          <w:szCs w:val="24"/>
          <w:highlight w:val="none"/>
          <w:lang w:val="en-US" w:eastAsia="zh-CN"/>
        </w:rPr>
        <w:t>评审过程中，</w:t>
      </w:r>
      <w:r>
        <w:rPr>
          <w:rFonts w:hint="eastAsia" w:ascii="宋体" w:hAnsi="宋体" w:cs="宋体"/>
          <w:b/>
          <w:bCs/>
          <w:color w:val="auto"/>
          <w:sz w:val="24"/>
          <w:szCs w:val="24"/>
          <w:highlight w:val="none"/>
          <w:lang w:val="en-US" w:eastAsia="zh-CN"/>
        </w:rPr>
        <w:t>供应商提交的</w:t>
      </w:r>
      <w:r>
        <w:rPr>
          <w:rFonts w:hint="eastAsia" w:ascii="宋体" w:hAnsi="宋体" w:cs="仿宋_GB2312"/>
          <w:b/>
          <w:bCs/>
          <w:color w:val="auto"/>
          <w:sz w:val="24"/>
          <w:highlight w:val="none"/>
        </w:rPr>
        <w:t>最后报价与首次报价相比有调整的</w:t>
      </w:r>
      <w:r>
        <w:rPr>
          <w:rFonts w:hint="eastAsia" w:ascii="宋体" w:hAnsi="宋体" w:cs="仿宋_GB2312"/>
          <w:b/>
          <w:bCs/>
          <w:color w:val="auto"/>
          <w:sz w:val="24"/>
          <w:highlight w:val="none"/>
          <w:lang w:eastAsia="zh-CN"/>
        </w:rPr>
        <w:t>，必须同时上传相对应的“已标价的工程量清单”作为附件，</w:t>
      </w:r>
      <w:r>
        <w:rPr>
          <w:rFonts w:hint="eastAsia" w:ascii="宋体" w:hAnsi="宋体" w:cs="仿宋_GB2312"/>
          <w:b/>
          <w:bCs/>
          <w:color w:val="auto"/>
          <w:sz w:val="24"/>
          <w:highlight w:val="none"/>
        </w:rPr>
        <w:t>否则其响应文件按无效处理。</w:t>
      </w:r>
    </w:p>
    <w:p w14:paraId="6E3B4EEE">
      <w:pPr>
        <w:spacing w:line="360" w:lineRule="auto"/>
        <w:ind w:right="-817" w:rightChars="-389"/>
        <w:contextualSpacing/>
        <w:rPr>
          <w:rFonts w:hint="eastAsia" w:ascii="宋体" w:hAnsi="宋体" w:cs="仿宋_GB2312"/>
          <w:color w:val="auto"/>
          <w:sz w:val="24"/>
          <w:highlight w:val="none"/>
        </w:rPr>
      </w:pPr>
    </w:p>
    <w:p w14:paraId="7D11366A">
      <w:pPr>
        <w:spacing w:line="360" w:lineRule="auto"/>
        <w:ind w:right="-817" w:rightChars="-389"/>
        <w:contextualSpacing/>
        <w:rPr>
          <w:rFonts w:hint="eastAsia" w:ascii="宋体" w:hAnsi="宋体" w:cs="仿宋_GB2312"/>
          <w:color w:val="auto"/>
          <w:sz w:val="24"/>
          <w:highlight w:val="none"/>
        </w:rPr>
      </w:pPr>
    </w:p>
    <w:p w14:paraId="6F0C3DD7">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7BA38AFA">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78D7A73B">
      <w:pPr>
        <w:spacing w:line="360" w:lineRule="auto"/>
        <w:ind w:right="-817" w:rightChars="-389" w:firstLine="4080" w:firstLineChars="1700"/>
        <w:contextualSpacing/>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6466BA20">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6D3EB9C7">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4C10A20C">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73CCE371">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6029D6BB">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23D44F33">
      <w:pPr>
        <w:pStyle w:val="49"/>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bCs/>
          <w:color w:val="auto"/>
          <w:sz w:val="32"/>
          <w:szCs w:val="40"/>
          <w:highlight w:val="none"/>
        </w:rPr>
      </w:pPr>
      <w:r>
        <w:rPr>
          <w:rFonts w:hint="eastAsia" w:ascii="宋体" w:hAnsi="宋体" w:eastAsia="宋体" w:cs="宋体"/>
          <w:b/>
          <w:bCs/>
          <w:color w:val="auto"/>
          <w:sz w:val="32"/>
          <w:szCs w:val="40"/>
          <w:highlight w:val="none"/>
        </w:rPr>
        <w:t>已标价工程量清单</w:t>
      </w:r>
    </w:p>
    <w:p w14:paraId="085517FF">
      <w:pPr>
        <w:pStyle w:val="49"/>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both"/>
        <w:textAlignment w:val="auto"/>
        <w:rPr>
          <w:rFonts w:hint="eastAsia" w:ascii="宋体" w:hAnsi="宋体" w:eastAsia="宋体" w:cs="宋体"/>
          <w:b w:val="0"/>
          <w:bCs w:val="0"/>
          <w:color w:val="auto"/>
          <w:sz w:val="21"/>
          <w:szCs w:val="24"/>
          <w:highlight w:val="none"/>
        </w:rPr>
      </w:pPr>
    </w:p>
    <w:p w14:paraId="68BC5B8F">
      <w:pPr>
        <w:pStyle w:val="49"/>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both"/>
        <w:textAlignment w:val="auto"/>
        <w:rPr>
          <w:rFonts w:hint="eastAsia" w:ascii="宋体" w:hAnsi="宋体" w:eastAsia="宋体" w:cs="宋体"/>
          <w:b w:val="0"/>
          <w:bCs w:val="0"/>
          <w:color w:val="auto"/>
          <w:sz w:val="21"/>
          <w:szCs w:val="24"/>
          <w:highlight w:val="none"/>
        </w:rPr>
      </w:pPr>
      <w:r>
        <w:rPr>
          <w:rFonts w:hint="eastAsia" w:ascii="宋体" w:hAnsi="宋体" w:eastAsia="宋体" w:cs="宋体"/>
          <w:b w:val="0"/>
          <w:bCs w:val="0"/>
          <w:color w:val="auto"/>
          <w:sz w:val="21"/>
          <w:szCs w:val="24"/>
          <w:highlight w:val="none"/>
        </w:rPr>
        <w:t>1、说明：已标价工程量清单按规范中的“工程量清单”中的相关清单表格式填写。构成合同文件的已标价工程量清单包括规范中的“工程量清单”有关工程量清单、磋商报价以及其他说明的内容。</w:t>
      </w:r>
    </w:p>
    <w:p w14:paraId="52E303E3">
      <w:pPr>
        <w:autoSpaceDE w:val="0"/>
        <w:autoSpaceDN w:val="0"/>
        <w:adjustRightInd w:val="0"/>
        <w:spacing w:line="360" w:lineRule="auto"/>
        <w:rPr>
          <w:rFonts w:ascii="宋体" w:hAnsi="宋体"/>
          <w:b/>
          <w:bCs/>
          <w:color w:val="auto"/>
          <w:sz w:val="32"/>
          <w:szCs w:val="32"/>
          <w:highlight w:val="none"/>
          <w:lang w:val="zh-CN"/>
        </w:rPr>
      </w:pPr>
    </w:p>
    <w:p w14:paraId="423A110C">
      <w:pPr>
        <w:autoSpaceDE w:val="0"/>
        <w:autoSpaceDN w:val="0"/>
        <w:adjustRightInd w:val="0"/>
        <w:spacing w:line="360" w:lineRule="auto"/>
        <w:rPr>
          <w:rFonts w:ascii="宋体" w:hAnsi="宋体"/>
          <w:b/>
          <w:bCs/>
          <w:color w:val="auto"/>
          <w:sz w:val="32"/>
          <w:szCs w:val="32"/>
          <w:highlight w:val="none"/>
          <w:lang w:val="zh-CN"/>
        </w:rPr>
      </w:pPr>
    </w:p>
    <w:p w14:paraId="24CBFCFB">
      <w:pPr>
        <w:autoSpaceDE w:val="0"/>
        <w:autoSpaceDN w:val="0"/>
        <w:adjustRightInd w:val="0"/>
        <w:spacing w:line="360" w:lineRule="auto"/>
        <w:rPr>
          <w:rFonts w:ascii="宋体" w:hAnsi="宋体"/>
          <w:b/>
          <w:bCs/>
          <w:color w:val="auto"/>
          <w:sz w:val="32"/>
          <w:szCs w:val="32"/>
          <w:highlight w:val="none"/>
          <w:lang w:val="zh-CN"/>
        </w:rPr>
      </w:pPr>
    </w:p>
    <w:p w14:paraId="12148EE7">
      <w:pPr>
        <w:autoSpaceDE w:val="0"/>
        <w:autoSpaceDN w:val="0"/>
        <w:adjustRightInd w:val="0"/>
        <w:spacing w:line="360" w:lineRule="auto"/>
        <w:rPr>
          <w:rFonts w:ascii="宋体" w:hAnsi="宋体"/>
          <w:b/>
          <w:bCs/>
          <w:color w:val="auto"/>
          <w:sz w:val="32"/>
          <w:szCs w:val="32"/>
          <w:highlight w:val="none"/>
          <w:lang w:val="zh-CN"/>
        </w:rPr>
      </w:pPr>
    </w:p>
    <w:p w14:paraId="2E1F6C39">
      <w:pPr>
        <w:autoSpaceDE w:val="0"/>
        <w:autoSpaceDN w:val="0"/>
        <w:adjustRightInd w:val="0"/>
        <w:spacing w:line="360" w:lineRule="auto"/>
        <w:rPr>
          <w:rFonts w:ascii="宋体" w:hAnsi="宋体"/>
          <w:b/>
          <w:bCs/>
          <w:color w:val="auto"/>
          <w:sz w:val="32"/>
          <w:szCs w:val="32"/>
          <w:highlight w:val="none"/>
          <w:lang w:val="zh-CN"/>
        </w:rPr>
      </w:pPr>
    </w:p>
    <w:p w14:paraId="7B0E2994">
      <w:pPr>
        <w:autoSpaceDE w:val="0"/>
        <w:autoSpaceDN w:val="0"/>
        <w:adjustRightInd w:val="0"/>
        <w:spacing w:line="360" w:lineRule="auto"/>
        <w:rPr>
          <w:rFonts w:ascii="宋体" w:hAnsi="宋体"/>
          <w:b/>
          <w:bCs/>
          <w:color w:val="auto"/>
          <w:sz w:val="32"/>
          <w:szCs w:val="32"/>
          <w:highlight w:val="none"/>
          <w:lang w:val="zh-CN"/>
        </w:rPr>
      </w:pPr>
    </w:p>
    <w:p w14:paraId="3FCA6BE7">
      <w:pPr>
        <w:autoSpaceDE w:val="0"/>
        <w:autoSpaceDN w:val="0"/>
        <w:adjustRightInd w:val="0"/>
        <w:spacing w:line="360" w:lineRule="auto"/>
        <w:rPr>
          <w:rFonts w:ascii="宋体" w:hAnsi="宋体"/>
          <w:b/>
          <w:bCs/>
          <w:color w:val="auto"/>
          <w:sz w:val="32"/>
          <w:szCs w:val="32"/>
          <w:highlight w:val="none"/>
          <w:lang w:val="zh-CN"/>
        </w:rPr>
      </w:pPr>
    </w:p>
    <w:p w14:paraId="7EDB48C4">
      <w:pPr>
        <w:autoSpaceDE w:val="0"/>
        <w:autoSpaceDN w:val="0"/>
        <w:adjustRightInd w:val="0"/>
        <w:spacing w:line="360" w:lineRule="auto"/>
        <w:rPr>
          <w:rFonts w:ascii="宋体" w:hAnsi="宋体"/>
          <w:b/>
          <w:bCs/>
          <w:color w:val="auto"/>
          <w:sz w:val="32"/>
          <w:szCs w:val="32"/>
          <w:highlight w:val="none"/>
          <w:lang w:val="zh-CN"/>
        </w:rPr>
      </w:pPr>
    </w:p>
    <w:p w14:paraId="441F10EC">
      <w:pPr>
        <w:autoSpaceDE w:val="0"/>
        <w:autoSpaceDN w:val="0"/>
        <w:adjustRightInd w:val="0"/>
        <w:spacing w:line="360" w:lineRule="auto"/>
        <w:rPr>
          <w:rFonts w:ascii="宋体" w:hAnsi="宋体"/>
          <w:b/>
          <w:bCs/>
          <w:color w:val="auto"/>
          <w:sz w:val="32"/>
          <w:szCs w:val="32"/>
          <w:highlight w:val="none"/>
          <w:lang w:val="zh-CN"/>
        </w:rPr>
      </w:pPr>
    </w:p>
    <w:p w14:paraId="48D6D716">
      <w:pPr>
        <w:autoSpaceDE w:val="0"/>
        <w:autoSpaceDN w:val="0"/>
        <w:adjustRightInd w:val="0"/>
        <w:spacing w:line="360" w:lineRule="auto"/>
        <w:rPr>
          <w:rFonts w:ascii="宋体" w:hAnsi="宋体"/>
          <w:b/>
          <w:bCs/>
          <w:color w:val="auto"/>
          <w:sz w:val="32"/>
          <w:szCs w:val="32"/>
          <w:highlight w:val="none"/>
          <w:lang w:val="zh-CN"/>
        </w:rPr>
      </w:pPr>
    </w:p>
    <w:p w14:paraId="549E176B">
      <w:pPr>
        <w:autoSpaceDE w:val="0"/>
        <w:autoSpaceDN w:val="0"/>
        <w:adjustRightInd w:val="0"/>
        <w:spacing w:line="360" w:lineRule="auto"/>
        <w:rPr>
          <w:rFonts w:ascii="宋体" w:hAnsi="宋体"/>
          <w:b/>
          <w:bCs/>
          <w:color w:val="auto"/>
          <w:sz w:val="32"/>
          <w:szCs w:val="32"/>
          <w:highlight w:val="none"/>
          <w:lang w:val="zh-CN"/>
        </w:rPr>
      </w:pPr>
    </w:p>
    <w:p w14:paraId="40753DC5">
      <w:pPr>
        <w:autoSpaceDE w:val="0"/>
        <w:autoSpaceDN w:val="0"/>
        <w:adjustRightInd w:val="0"/>
        <w:spacing w:line="360" w:lineRule="auto"/>
        <w:rPr>
          <w:rFonts w:ascii="宋体" w:hAnsi="宋体"/>
          <w:b/>
          <w:bCs/>
          <w:color w:val="auto"/>
          <w:sz w:val="32"/>
          <w:szCs w:val="32"/>
          <w:highlight w:val="none"/>
          <w:lang w:val="zh-CN"/>
        </w:rPr>
      </w:pPr>
    </w:p>
    <w:p w14:paraId="031102D5">
      <w:pPr>
        <w:autoSpaceDE w:val="0"/>
        <w:autoSpaceDN w:val="0"/>
        <w:adjustRightInd w:val="0"/>
        <w:spacing w:line="360" w:lineRule="auto"/>
        <w:rPr>
          <w:rFonts w:ascii="宋体" w:hAnsi="宋体"/>
          <w:b/>
          <w:bCs/>
          <w:color w:val="auto"/>
          <w:sz w:val="32"/>
          <w:szCs w:val="32"/>
          <w:highlight w:val="none"/>
          <w:lang w:val="zh-CN"/>
        </w:rPr>
      </w:pPr>
    </w:p>
    <w:p w14:paraId="1D0E72CF">
      <w:pPr>
        <w:autoSpaceDE w:val="0"/>
        <w:autoSpaceDN w:val="0"/>
        <w:adjustRightInd w:val="0"/>
        <w:spacing w:line="360" w:lineRule="auto"/>
        <w:rPr>
          <w:rFonts w:ascii="宋体" w:hAnsi="宋体"/>
          <w:b/>
          <w:bCs/>
          <w:color w:val="auto"/>
          <w:sz w:val="32"/>
          <w:szCs w:val="32"/>
          <w:highlight w:val="none"/>
          <w:lang w:val="zh-CN"/>
        </w:rPr>
      </w:pPr>
    </w:p>
    <w:p w14:paraId="41259A3B">
      <w:pPr>
        <w:autoSpaceDE w:val="0"/>
        <w:autoSpaceDN w:val="0"/>
        <w:adjustRightInd w:val="0"/>
        <w:spacing w:line="360" w:lineRule="auto"/>
        <w:rPr>
          <w:rFonts w:ascii="宋体" w:hAnsi="宋体"/>
          <w:b/>
          <w:bCs/>
          <w:color w:val="auto"/>
          <w:sz w:val="32"/>
          <w:szCs w:val="32"/>
          <w:highlight w:val="none"/>
          <w:lang w:val="zh-CN"/>
        </w:rPr>
      </w:pPr>
    </w:p>
    <w:p w14:paraId="37B78170">
      <w:pPr>
        <w:autoSpaceDE w:val="0"/>
        <w:autoSpaceDN w:val="0"/>
        <w:adjustRightInd w:val="0"/>
        <w:spacing w:line="360" w:lineRule="auto"/>
        <w:rPr>
          <w:rFonts w:ascii="宋体" w:hAnsi="宋体"/>
          <w:b/>
          <w:bCs/>
          <w:color w:val="auto"/>
          <w:sz w:val="32"/>
          <w:szCs w:val="32"/>
          <w:highlight w:val="none"/>
          <w:lang w:val="zh-CN"/>
        </w:rPr>
      </w:pPr>
    </w:p>
    <w:p w14:paraId="572A3419">
      <w:pPr>
        <w:autoSpaceDE w:val="0"/>
        <w:autoSpaceDN w:val="0"/>
        <w:adjustRightInd w:val="0"/>
        <w:spacing w:line="360" w:lineRule="auto"/>
        <w:rPr>
          <w:rFonts w:ascii="宋体" w:hAnsi="宋体"/>
          <w:b/>
          <w:bCs/>
          <w:color w:val="auto"/>
          <w:sz w:val="32"/>
          <w:szCs w:val="32"/>
          <w:highlight w:val="none"/>
          <w:lang w:val="zh-CN"/>
        </w:rPr>
      </w:pPr>
    </w:p>
    <w:p w14:paraId="3D3CE774">
      <w:pPr>
        <w:spacing w:line="360" w:lineRule="auto"/>
        <w:contextualSpacing/>
        <w:jc w:val="both"/>
        <w:rPr>
          <w:rFonts w:hint="eastAsia" w:ascii="宋体" w:hAnsi="宋体"/>
          <w:b/>
          <w:bCs/>
          <w:color w:val="auto"/>
          <w:sz w:val="32"/>
          <w:szCs w:val="32"/>
          <w:highlight w:val="none"/>
        </w:rPr>
      </w:pPr>
    </w:p>
    <w:p w14:paraId="2898D0AD">
      <w:pPr>
        <w:spacing w:line="360" w:lineRule="auto"/>
        <w:contextualSpacing/>
        <w:jc w:val="both"/>
        <w:rPr>
          <w:rFonts w:hint="eastAsia" w:ascii="宋体" w:hAnsi="宋体"/>
          <w:b/>
          <w:bCs/>
          <w:color w:val="auto"/>
          <w:sz w:val="32"/>
          <w:szCs w:val="32"/>
          <w:highlight w:val="none"/>
        </w:rPr>
      </w:pPr>
    </w:p>
    <w:p w14:paraId="4FEE6086">
      <w:pPr>
        <w:spacing w:line="360" w:lineRule="auto"/>
        <w:contextualSpacing/>
        <w:jc w:val="both"/>
        <w:rPr>
          <w:rFonts w:hint="eastAsia" w:ascii="宋体" w:hAnsi="宋体"/>
          <w:b/>
          <w:color w:val="auto"/>
          <w:sz w:val="32"/>
          <w:szCs w:val="32"/>
          <w:highlight w:val="none"/>
        </w:rPr>
      </w:pPr>
      <w:r>
        <w:rPr>
          <w:rFonts w:hint="eastAsia" w:ascii="宋体" w:hAnsi="宋体"/>
          <w:b/>
          <w:bCs/>
          <w:color w:val="auto"/>
          <w:sz w:val="32"/>
          <w:szCs w:val="32"/>
          <w:highlight w:val="none"/>
        </w:rPr>
        <w:t>三、</w:t>
      </w:r>
      <w:r>
        <w:rPr>
          <w:rFonts w:hint="eastAsia" w:ascii="宋体" w:hAnsi="宋体"/>
          <w:b/>
          <w:color w:val="auto"/>
          <w:sz w:val="32"/>
          <w:szCs w:val="32"/>
          <w:highlight w:val="none"/>
        </w:rPr>
        <w:t>商务技术文件格式</w:t>
      </w:r>
    </w:p>
    <w:p w14:paraId="2444178B">
      <w:pPr>
        <w:snapToGrid w:val="0"/>
        <w:spacing w:before="156"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75FAD473">
      <w:pPr>
        <w:snapToGrid w:val="0"/>
        <w:spacing w:before="156"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50B86914">
      <w:pPr>
        <w:snapToGrid w:val="0"/>
        <w:spacing w:before="156"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2DAB5BD5">
      <w:pPr>
        <w:snapToGrid w:val="0"/>
        <w:spacing w:before="156" w:beforeLines="50" w:after="50"/>
        <w:rPr>
          <w:rFonts w:hint="eastAsia" w:ascii="宋体" w:hAnsi="宋体"/>
          <w:color w:val="auto"/>
          <w:sz w:val="24"/>
          <w:szCs w:val="20"/>
          <w:highlight w:val="none"/>
        </w:rPr>
      </w:pPr>
    </w:p>
    <w:p w14:paraId="265CDF50">
      <w:pPr>
        <w:snapToGrid w:val="0"/>
        <w:spacing w:before="156" w:beforeLines="50" w:after="50"/>
        <w:rPr>
          <w:rFonts w:hint="eastAsia" w:ascii="宋体" w:hAnsi="宋体"/>
          <w:color w:val="auto"/>
          <w:sz w:val="24"/>
          <w:szCs w:val="20"/>
          <w:highlight w:val="none"/>
        </w:rPr>
      </w:pPr>
    </w:p>
    <w:p w14:paraId="20844B56">
      <w:pPr>
        <w:snapToGrid w:val="0"/>
        <w:spacing w:before="156"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29E72B55">
      <w:pPr>
        <w:snapToGrid w:val="0"/>
        <w:spacing w:before="156" w:beforeLines="50" w:after="50"/>
        <w:rPr>
          <w:rFonts w:hint="eastAsia" w:ascii="宋体" w:hAnsi="宋体"/>
          <w:bCs/>
          <w:color w:val="auto"/>
          <w:sz w:val="24"/>
          <w:szCs w:val="20"/>
          <w:highlight w:val="none"/>
        </w:rPr>
      </w:pPr>
    </w:p>
    <w:p w14:paraId="12723313">
      <w:pPr>
        <w:snapToGrid w:val="0"/>
        <w:spacing w:before="156" w:beforeLines="50" w:after="50"/>
        <w:rPr>
          <w:rFonts w:hint="eastAsia" w:ascii="宋体" w:hAnsi="宋体"/>
          <w:bCs/>
          <w:color w:val="auto"/>
          <w:sz w:val="24"/>
          <w:szCs w:val="20"/>
          <w:highlight w:val="none"/>
        </w:rPr>
      </w:pPr>
    </w:p>
    <w:p w14:paraId="13E30F5B">
      <w:pPr>
        <w:snapToGrid w:val="0"/>
        <w:spacing w:before="156" w:beforeLines="50" w:after="50"/>
        <w:rPr>
          <w:rFonts w:hint="eastAsia" w:ascii="宋体" w:hAnsi="宋体"/>
          <w:bCs/>
          <w:color w:val="auto"/>
          <w:sz w:val="24"/>
          <w:szCs w:val="20"/>
          <w:highlight w:val="none"/>
        </w:rPr>
      </w:pPr>
    </w:p>
    <w:p w14:paraId="1C59AC23">
      <w:pPr>
        <w:snapToGrid w:val="0"/>
        <w:spacing w:before="156" w:beforeLines="50" w:after="50"/>
        <w:rPr>
          <w:rFonts w:hint="eastAsia" w:ascii="宋体" w:hAnsi="宋体"/>
          <w:bCs/>
          <w:color w:val="auto"/>
          <w:sz w:val="24"/>
          <w:szCs w:val="20"/>
          <w:highlight w:val="none"/>
        </w:rPr>
      </w:pPr>
    </w:p>
    <w:p w14:paraId="2DB80ED6">
      <w:pPr>
        <w:snapToGrid w:val="0"/>
        <w:spacing w:before="156" w:beforeLines="50" w:after="50"/>
        <w:rPr>
          <w:rFonts w:hint="eastAsia" w:ascii="宋体" w:hAnsi="宋体"/>
          <w:bCs/>
          <w:color w:val="auto"/>
          <w:sz w:val="24"/>
          <w:szCs w:val="20"/>
          <w:highlight w:val="none"/>
        </w:rPr>
      </w:pPr>
    </w:p>
    <w:p w14:paraId="2117BFFC">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DE62AA1">
      <w:pPr>
        <w:snapToGrid w:val="0"/>
        <w:spacing w:before="156" w:beforeLines="50" w:after="50"/>
        <w:ind w:firstLine="720" w:firstLineChars="225"/>
        <w:rPr>
          <w:rFonts w:hint="eastAsia" w:ascii="宋体" w:hAnsi="宋体" w:cs="仿宋_GB2312"/>
          <w:bCs/>
          <w:color w:val="auto"/>
          <w:sz w:val="32"/>
          <w:szCs w:val="32"/>
          <w:highlight w:val="none"/>
        </w:rPr>
      </w:pPr>
    </w:p>
    <w:p w14:paraId="5B87FAAB">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2F36F488">
      <w:pPr>
        <w:snapToGrid w:val="0"/>
        <w:spacing w:before="156"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133B4895">
      <w:pPr>
        <w:pStyle w:val="8"/>
        <w:snapToGrid w:val="0"/>
        <w:spacing w:before="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DACDE0E">
      <w:pPr>
        <w:pStyle w:val="8"/>
        <w:snapToGrid w:val="0"/>
        <w:spacing w:before="50" w:after="50"/>
        <w:rPr>
          <w:rFonts w:hint="eastAsia" w:ascii="宋体" w:hAnsi="宋体" w:cs="仿宋_GB2312"/>
          <w:bCs/>
          <w:color w:val="auto"/>
          <w:sz w:val="32"/>
          <w:szCs w:val="32"/>
          <w:highlight w:val="none"/>
        </w:rPr>
      </w:pPr>
    </w:p>
    <w:p w14:paraId="3443F0CE">
      <w:pPr>
        <w:pStyle w:val="8"/>
        <w:snapToGrid w:val="0"/>
        <w:spacing w:before="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lang w:eastAsia="zh-CN"/>
        </w:rPr>
        <w:t>供应商地址：</w:t>
      </w:r>
    </w:p>
    <w:p w14:paraId="5A1A7288">
      <w:pPr>
        <w:pStyle w:val="8"/>
        <w:snapToGrid w:val="0"/>
        <w:spacing w:before="50" w:after="50"/>
        <w:ind w:firstLine="640" w:firstLineChars="200"/>
        <w:rPr>
          <w:rFonts w:hint="eastAsia" w:ascii="宋体" w:hAnsi="宋体" w:cs="仿宋_GB2312"/>
          <w:bCs/>
          <w:color w:val="auto"/>
          <w:sz w:val="32"/>
          <w:szCs w:val="32"/>
          <w:highlight w:val="none"/>
        </w:rPr>
      </w:pPr>
    </w:p>
    <w:p w14:paraId="580B0C7B">
      <w:pPr>
        <w:pStyle w:val="8"/>
        <w:snapToGrid w:val="0"/>
        <w:spacing w:before="50" w:after="50"/>
        <w:ind w:firstLine="720" w:firstLineChars="225"/>
        <w:rPr>
          <w:rFonts w:hint="eastAsia" w:ascii="宋体" w:hAnsi="宋体" w:cs="仿宋_GB2312"/>
          <w:bCs/>
          <w:color w:val="auto"/>
          <w:sz w:val="32"/>
          <w:szCs w:val="32"/>
          <w:highlight w:val="none"/>
        </w:rPr>
      </w:pPr>
    </w:p>
    <w:p w14:paraId="70CAB850">
      <w:pPr>
        <w:pStyle w:val="8"/>
        <w:snapToGrid w:val="0"/>
        <w:spacing w:before="50" w:after="50"/>
        <w:ind w:firstLine="0"/>
        <w:rPr>
          <w:rFonts w:hint="eastAsia" w:ascii="宋体" w:hAnsi="宋体" w:cs="仿宋_GB2312"/>
          <w:bCs/>
          <w:color w:val="auto"/>
          <w:sz w:val="32"/>
          <w:szCs w:val="32"/>
          <w:highlight w:val="none"/>
        </w:rPr>
      </w:pPr>
    </w:p>
    <w:p w14:paraId="5C4EDC88">
      <w:pPr>
        <w:pStyle w:val="8"/>
        <w:snapToGrid w:val="0"/>
        <w:spacing w:before="50" w:after="50"/>
        <w:ind w:firstLine="1280" w:firstLineChars="400"/>
        <w:rPr>
          <w:rFonts w:hint="eastAsia" w:ascii="宋体" w:hAnsi="宋体" w:cs="仿宋_GB2312"/>
          <w:bCs/>
          <w:color w:val="auto"/>
          <w:sz w:val="32"/>
          <w:szCs w:val="32"/>
          <w:highlight w:val="none"/>
        </w:rPr>
      </w:pPr>
    </w:p>
    <w:p w14:paraId="2A27D214">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5E202435">
      <w:pPr>
        <w:snapToGrid w:val="0"/>
        <w:spacing w:before="156" w:beforeLines="50" w:after="50" w:line="360" w:lineRule="auto"/>
        <w:ind w:right="480" w:firstLine="240" w:firstLineChars="100"/>
        <w:jc w:val="left"/>
        <w:rPr>
          <w:rFonts w:hint="eastAsia"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78119087">
      <w:pPr>
        <w:snapToGrid w:val="0"/>
        <w:spacing w:before="156"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307042E6">
      <w:pPr>
        <w:spacing w:line="400" w:lineRule="exact"/>
        <w:rPr>
          <w:rFonts w:hint="eastAsia" w:ascii="仿宋_GB2312" w:hAnsi="仿宋_GB2312" w:eastAsia="仿宋_GB2312" w:cs="仿宋_GB2312"/>
          <w:color w:val="auto"/>
          <w:sz w:val="32"/>
          <w:szCs w:val="32"/>
          <w:highlight w:val="none"/>
        </w:rPr>
      </w:pPr>
    </w:p>
    <w:p w14:paraId="7603801D">
      <w:pPr>
        <w:spacing w:line="520" w:lineRule="exact"/>
        <w:jc w:val="center"/>
        <w:rPr>
          <w:rFonts w:hint="eastAsia" w:ascii="仿宋_GB2312" w:hAnsi="仿宋_GB2312" w:eastAsia="方正小标宋简体" w:cs="仿宋_GB2312"/>
          <w:color w:val="auto"/>
          <w:sz w:val="24"/>
          <w:szCs w:val="24"/>
          <w:highlight w:val="none"/>
          <w:lang w:eastAsia="zh-CN"/>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36"/>
          <w:szCs w:val="36"/>
          <w:highlight w:val="none"/>
        </w:rPr>
        <w:t>无串通竞标行为的承诺函</w:t>
      </w:r>
      <w:r>
        <w:rPr>
          <w:rFonts w:hint="eastAsia" w:ascii="方正小标宋简体" w:hAnsi="方正小标宋简体" w:eastAsia="方正小标宋简体" w:cs="方正小标宋简体"/>
          <w:color w:val="auto"/>
          <w:sz w:val="36"/>
          <w:szCs w:val="36"/>
          <w:highlight w:val="none"/>
          <w:lang w:eastAsia="zh-CN"/>
        </w:rPr>
        <w:t>（格式）</w:t>
      </w:r>
    </w:p>
    <w:p w14:paraId="19077C86">
      <w:pPr>
        <w:spacing w:line="360" w:lineRule="auto"/>
        <w:ind w:firstLine="640" w:firstLineChars="200"/>
        <w:contextualSpacing/>
        <w:rPr>
          <w:rFonts w:hint="eastAsia" w:ascii="仿宋_GB2312" w:hAnsi="仿宋_GB2312" w:eastAsia="仿宋_GB2312" w:cs="仿宋_GB2312"/>
          <w:color w:val="auto"/>
          <w:sz w:val="32"/>
          <w:szCs w:val="32"/>
          <w:highlight w:val="none"/>
        </w:rPr>
      </w:pPr>
    </w:p>
    <w:p w14:paraId="68742652">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4902328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1.不同供应商的响应文件由同一单位或者个人编制； </w:t>
      </w:r>
    </w:p>
    <w:p w14:paraId="2C4B96FC">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04C57B13">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4EDAA2CB">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007FB19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1E031F57">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3E46BC08">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712E286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724C69E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6B3C9289">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579DC41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5F6373D4">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32A7041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773356FE">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0534B8CD">
      <w:pPr>
        <w:spacing w:line="360" w:lineRule="auto"/>
        <w:ind w:firstLine="480" w:firstLineChars="200"/>
        <w:contextualSpacing/>
        <w:rPr>
          <w:rFonts w:hint="eastAsia" w:ascii="宋体" w:hAnsi="宋体" w:cs="仿宋_GB2312"/>
          <w:color w:val="auto"/>
          <w:sz w:val="24"/>
          <w:highlight w:val="none"/>
        </w:rPr>
      </w:pPr>
    </w:p>
    <w:p w14:paraId="6F5B0CB0">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4449F783">
      <w:pPr>
        <w:spacing w:line="360" w:lineRule="auto"/>
        <w:contextualSpacing/>
        <w:rPr>
          <w:rFonts w:hint="eastAsia" w:ascii="宋体" w:hAnsi="宋体" w:cs="仿宋_GB2312"/>
          <w:color w:val="auto"/>
          <w:sz w:val="24"/>
          <w:highlight w:val="none"/>
        </w:rPr>
      </w:pPr>
    </w:p>
    <w:p w14:paraId="1C2FEB9B">
      <w:pPr>
        <w:spacing w:line="360" w:lineRule="auto"/>
        <w:contextualSpacing/>
        <w:rPr>
          <w:rFonts w:hint="eastAsia" w:ascii="宋体" w:hAnsi="宋体" w:cs="仿宋_GB2312"/>
          <w:color w:val="auto"/>
          <w:sz w:val="24"/>
          <w:highlight w:val="none"/>
        </w:rPr>
      </w:pPr>
    </w:p>
    <w:p w14:paraId="64BB47BA">
      <w:pPr>
        <w:spacing w:line="360" w:lineRule="auto"/>
        <w:ind w:firstLine="3600" w:firstLineChars="15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p>
    <w:p w14:paraId="70D4B293">
      <w:pPr>
        <w:spacing w:line="360" w:lineRule="auto"/>
        <w:ind w:firstLine="480" w:firstLineChars="200"/>
        <w:contextualSpacing/>
        <w:jc w:val="center"/>
        <w:rPr>
          <w:rFonts w:hint="eastAsia"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638EDD1D">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44"/>
          <w:szCs w:val="44"/>
          <w:highlight w:val="none"/>
        </w:rPr>
        <w:t>法定代表人证明书</w:t>
      </w:r>
    </w:p>
    <w:p w14:paraId="205DFA58">
      <w:pPr>
        <w:spacing w:line="360" w:lineRule="auto"/>
        <w:ind w:left="540"/>
        <w:contextualSpacing/>
        <w:rPr>
          <w:rFonts w:hint="eastAsia" w:ascii="仿宋_GB2312" w:hAnsi="仿宋_GB2312" w:eastAsia="仿宋_GB2312" w:cs="仿宋_GB2312"/>
          <w:color w:val="auto"/>
          <w:sz w:val="32"/>
          <w:szCs w:val="32"/>
          <w:highlight w:val="none"/>
        </w:rPr>
      </w:pPr>
    </w:p>
    <w:p w14:paraId="28DA906F">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63AF5F90">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4772C297">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787CC4A6">
      <w:pPr>
        <w:spacing w:line="360" w:lineRule="auto"/>
        <w:ind w:left="540"/>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3E7D7F83">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635C1F46">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658772CF">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特此证明。</w:t>
      </w:r>
    </w:p>
    <w:p w14:paraId="0A3C8221">
      <w:pPr>
        <w:spacing w:line="360" w:lineRule="auto"/>
        <w:ind w:left="540"/>
        <w:contextualSpacing/>
        <w:rPr>
          <w:rFonts w:hint="eastAsia" w:ascii="宋体" w:hAnsi="宋体" w:cs="仿宋_GB2312"/>
          <w:color w:val="auto"/>
          <w:sz w:val="24"/>
          <w:highlight w:val="none"/>
        </w:rPr>
      </w:pPr>
    </w:p>
    <w:p w14:paraId="0D740247">
      <w:pPr>
        <w:spacing w:line="360" w:lineRule="auto"/>
        <w:ind w:left="540"/>
        <w:contextualSpacing/>
        <w:rPr>
          <w:rFonts w:hint="eastAsia" w:ascii="宋体" w:hAnsi="宋体" w:cs="仿宋_GB2312"/>
          <w:color w:val="auto"/>
          <w:sz w:val="24"/>
          <w:highlight w:val="none"/>
        </w:rPr>
      </w:pPr>
    </w:p>
    <w:p w14:paraId="1B40C694">
      <w:pPr>
        <w:spacing w:line="360" w:lineRule="auto"/>
        <w:ind w:left="540"/>
        <w:contextualSpacing/>
        <w:rPr>
          <w:rFonts w:hint="eastAsia" w:ascii="宋体" w:hAnsi="宋体" w:cs="仿宋_GB2312"/>
          <w:color w:val="auto"/>
          <w:sz w:val="24"/>
          <w:highlight w:val="none"/>
        </w:rPr>
      </w:pPr>
    </w:p>
    <w:p w14:paraId="17DC9A28">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18FFF8BF">
      <w:pPr>
        <w:spacing w:line="360" w:lineRule="auto"/>
        <w:ind w:left="540"/>
        <w:contextualSpacing/>
        <w:rPr>
          <w:rFonts w:hint="eastAsia" w:ascii="宋体" w:hAnsi="宋体" w:cs="仿宋_GB2312"/>
          <w:color w:val="auto"/>
          <w:sz w:val="24"/>
          <w:highlight w:val="none"/>
        </w:rPr>
      </w:pPr>
    </w:p>
    <w:p w14:paraId="4C4394C5">
      <w:pPr>
        <w:spacing w:line="360" w:lineRule="auto"/>
        <w:ind w:left="540"/>
        <w:contextualSpacing/>
        <w:rPr>
          <w:rFonts w:hint="eastAsia" w:ascii="宋体" w:hAnsi="宋体" w:cs="仿宋_GB2312"/>
          <w:color w:val="auto"/>
          <w:sz w:val="24"/>
          <w:highlight w:val="none"/>
        </w:rPr>
      </w:pPr>
    </w:p>
    <w:p w14:paraId="3255B10E">
      <w:pPr>
        <w:spacing w:line="360" w:lineRule="auto"/>
        <w:ind w:left="540" w:firstLine="3000" w:firstLineChars="125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p>
    <w:p w14:paraId="08635F36">
      <w:pPr>
        <w:spacing w:line="360" w:lineRule="auto"/>
        <w:ind w:firstLine="4080" w:firstLineChars="1700"/>
        <w:contextualSpacing/>
        <w:rPr>
          <w:rFonts w:hint="eastAsia"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1C4C3450">
      <w:pPr>
        <w:spacing w:line="360" w:lineRule="auto"/>
        <w:contextualSpacing/>
        <w:jc w:val="center"/>
        <w:rPr>
          <w:rFonts w:hint="eastAsia" w:ascii="宋体" w:hAnsi="宋体" w:cs="仿宋_GB2312"/>
          <w:b/>
          <w:color w:val="auto"/>
          <w:sz w:val="24"/>
          <w:highlight w:val="none"/>
        </w:rPr>
      </w:pPr>
    </w:p>
    <w:p w14:paraId="3F1DFBF3">
      <w:pPr>
        <w:adjustRightInd w:val="0"/>
        <w:snapToGrid w:val="0"/>
        <w:spacing w:line="300" w:lineRule="auto"/>
        <w:jc w:val="left"/>
        <w:rPr>
          <w:rFonts w:hint="eastAsia" w:ascii="宋体" w:hAnsi="宋体"/>
          <w:b/>
          <w:color w:val="auto"/>
          <w:szCs w:val="21"/>
          <w:highlight w:val="none"/>
        </w:rPr>
      </w:pPr>
    </w:p>
    <w:p w14:paraId="7314256A">
      <w:pPr>
        <w:spacing w:line="50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bookmarkStart w:id="76" w:name="_Hlk65853643"/>
      <w:r>
        <w:rPr>
          <w:rFonts w:hint="eastAsia" w:ascii="方正小标宋简体" w:hAnsi="方正小标宋简体" w:eastAsia="方正小标宋简体" w:cs="方正小标宋简体"/>
          <w:color w:val="auto"/>
          <w:sz w:val="44"/>
          <w:szCs w:val="44"/>
          <w:highlight w:val="none"/>
        </w:rPr>
        <w:t>授权委托书</w:t>
      </w:r>
    </w:p>
    <w:p w14:paraId="03C0C0B8">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48634FDF">
      <w:pPr>
        <w:spacing w:line="520" w:lineRule="exact"/>
        <w:rPr>
          <w:rFonts w:hint="eastAsia" w:ascii="仿宋_GB2312" w:hAnsi="仿宋_GB2312" w:eastAsia="仿宋_GB2312" w:cs="仿宋_GB2312"/>
          <w:color w:val="auto"/>
          <w:sz w:val="32"/>
          <w:szCs w:val="32"/>
          <w:highlight w:val="none"/>
        </w:rPr>
      </w:pPr>
    </w:p>
    <w:p w14:paraId="553B5D36">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055C63C8">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098F4947">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45BEA841">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638DD3BC">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109F7396">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056A5993">
      <w:pPr>
        <w:spacing w:line="360" w:lineRule="auto"/>
        <w:rPr>
          <w:rFonts w:hint="eastAsia" w:ascii="宋体" w:hAnsi="宋体" w:cs="仿宋_GB2312"/>
          <w:color w:val="auto"/>
          <w:sz w:val="24"/>
          <w:highlight w:val="none"/>
        </w:rPr>
      </w:pPr>
    </w:p>
    <w:p w14:paraId="1B7E98A8">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法定代表人（签字或者盖章或者电子签名）：                    </w:t>
      </w:r>
    </w:p>
    <w:p w14:paraId="47D9C907">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557B3E2A">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5144CAEB">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341B8795">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年    月    日</w:t>
      </w:r>
    </w:p>
    <w:p w14:paraId="3A82BC1C">
      <w:pPr>
        <w:spacing w:line="360" w:lineRule="auto"/>
        <w:rPr>
          <w:rFonts w:hint="eastAsia" w:ascii="宋体" w:hAnsi="宋体" w:cs="仿宋_GB2312"/>
          <w:color w:val="auto"/>
          <w:sz w:val="24"/>
          <w:highlight w:val="none"/>
        </w:rPr>
      </w:pPr>
    </w:p>
    <w:p w14:paraId="6CFCF6D0">
      <w:pPr>
        <w:spacing w:line="360" w:lineRule="auto"/>
        <w:rPr>
          <w:rFonts w:hint="eastAsia" w:ascii="宋体" w:hAnsi="宋体" w:cs="仿宋_GB2312"/>
          <w:color w:val="auto"/>
          <w:sz w:val="24"/>
          <w:highlight w:val="none"/>
        </w:rPr>
      </w:pPr>
    </w:p>
    <w:p w14:paraId="241AB722">
      <w:pPr>
        <w:spacing w:line="360" w:lineRule="auto"/>
        <w:rPr>
          <w:rFonts w:hint="eastAsia" w:ascii="宋体" w:hAnsi="宋体" w:cs="仿宋_GB2312"/>
          <w:color w:val="auto"/>
          <w:sz w:val="24"/>
          <w:highlight w:val="none"/>
        </w:rPr>
      </w:pPr>
    </w:p>
    <w:p w14:paraId="725A3874">
      <w:pPr>
        <w:spacing w:line="360" w:lineRule="auto"/>
        <w:rPr>
          <w:rFonts w:hint="eastAsia" w:ascii="宋体" w:hAnsi="宋体" w:cs="仿宋_GB2312"/>
          <w:color w:val="auto"/>
          <w:sz w:val="24"/>
          <w:highlight w:val="none"/>
        </w:rPr>
      </w:pPr>
    </w:p>
    <w:p w14:paraId="63E2A927">
      <w:pPr>
        <w:spacing w:line="360" w:lineRule="auto"/>
        <w:rPr>
          <w:rFonts w:hint="eastAsia" w:ascii="宋体" w:hAnsi="宋体" w:cs="仿宋_GB2312"/>
          <w:color w:val="auto"/>
          <w:sz w:val="24"/>
          <w:highlight w:val="none"/>
        </w:rPr>
      </w:pPr>
    </w:p>
    <w:p w14:paraId="6F6ECC6D">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p w14:paraId="32CEE9AD">
      <w:pPr>
        <w:spacing w:line="360" w:lineRule="auto"/>
        <w:ind w:firstLine="420" w:firstLineChars="200"/>
        <w:jc w:val="left"/>
        <w:rPr>
          <w:rFonts w:hint="eastAsia" w:ascii="仿宋_GB2312" w:hAnsi="仿宋_GB2312" w:eastAsia="仿宋_GB2312" w:cs="仿宋_GB2312"/>
          <w:color w:val="auto"/>
          <w:szCs w:val="21"/>
          <w:highlight w:val="none"/>
        </w:rPr>
      </w:pPr>
    </w:p>
    <w:p w14:paraId="5F18B168">
      <w:pPr>
        <w:spacing w:line="500" w:lineRule="exact"/>
        <w:jc w:val="center"/>
        <w:rPr>
          <w:rFonts w:hint="eastAsia" w:ascii="方正小标宋简体" w:hAnsi="方正小标宋简体" w:eastAsia="方正小标宋简体" w:cs="方正小标宋简体"/>
          <w:bCs/>
          <w:color w:val="auto"/>
          <w:sz w:val="44"/>
          <w:szCs w:val="44"/>
          <w:highlight w:val="none"/>
        </w:rPr>
      </w:pPr>
      <w:r>
        <w:rPr>
          <w:rFonts w:ascii="仿宋_GB2312" w:hAnsi="仿宋_GB2312" w:eastAsia="仿宋_GB2312" w:cs="仿宋_GB2312"/>
          <w:color w:val="auto"/>
          <w:szCs w:val="21"/>
          <w:highlight w:val="none"/>
        </w:rPr>
        <w:br w:type="page"/>
      </w:r>
      <w:bookmarkEnd w:id="76"/>
      <w:r>
        <w:rPr>
          <w:rFonts w:hint="eastAsia" w:ascii="方正小标宋简体" w:hAnsi="方正小标宋简体" w:eastAsia="方正小标宋简体" w:cs="方正小标宋简体"/>
          <w:bCs/>
          <w:color w:val="auto"/>
          <w:sz w:val="44"/>
          <w:szCs w:val="44"/>
          <w:highlight w:val="none"/>
        </w:rPr>
        <w:t>施工组织设计</w:t>
      </w:r>
    </w:p>
    <w:p w14:paraId="0A324C87">
      <w:pPr>
        <w:spacing w:line="500" w:lineRule="exact"/>
        <w:jc w:val="center"/>
        <w:rPr>
          <w:rFonts w:hint="eastAsia" w:ascii="方正小标宋简体" w:hAnsi="方正小标宋简体" w:eastAsia="方正小标宋简体" w:cs="方正小标宋简体"/>
          <w:bCs/>
          <w:color w:val="auto"/>
          <w:sz w:val="28"/>
          <w:szCs w:val="28"/>
          <w:highlight w:val="none"/>
        </w:rPr>
      </w:pPr>
      <w:r>
        <w:rPr>
          <w:rFonts w:hint="eastAsia" w:ascii="方正小标宋简体" w:hAnsi="方正小标宋简体" w:eastAsia="方正小标宋简体" w:cs="方正小标宋简体"/>
          <w:bCs/>
          <w:color w:val="auto"/>
          <w:sz w:val="28"/>
          <w:szCs w:val="28"/>
          <w:highlight w:val="none"/>
        </w:rPr>
        <w:t>（格式自拟）</w:t>
      </w:r>
    </w:p>
    <w:p w14:paraId="73F26317">
      <w:pPr>
        <w:adjustRightInd w:val="0"/>
        <w:snapToGrid w:val="0"/>
        <w:spacing w:line="300" w:lineRule="auto"/>
        <w:jc w:val="center"/>
        <w:rPr>
          <w:rFonts w:hint="eastAsia" w:ascii="方正小标宋简体" w:hAnsi="方正小标宋简体" w:eastAsia="方正小标宋简体" w:cs="方正小标宋简体"/>
          <w:bCs/>
          <w:color w:val="auto"/>
          <w:sz w:val="36"/>
          <w:szCs w:val="36"/>
          <w:highlight w:val="none"/>
          <w:lang w:eastAsia="zh-CN"/>
        </w:rPr>
      </w:pPr>
      <w:r>
        <w:rPr>
          <w:rFonts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36"/>
          <w:szCs w:val="36"/>
          <w:highlight w:val="none"/>
        </w:rPr>
        <w:t>项目管理机构配备情况表</w:t>
      </w:r>
      <w:r>
        <w:rPr>
          <w:rFonts w:hint="eastAsia" w:ascii="方正小标宋简体" w:hAnsi="方正小标宋简体" w:eastAsia="方正小标宋简体" w:cs="方正小标宋简体"/>
          <w:bCs/>
          <w:color w:val="auto"/>
          <w:sz w:val="36"/>
          <w:szCs w:val="36"/>
          <w:highlight w:val="none"/>
          <w:lang w:eastAsia="zh-CN"/>
        </w:rPr>
        <w:t>（格式）</w:t>
      </w:r>
    </w:p>
    <w:p w14:paraId="4413748F">
      <w:pPr>
        <w:adjustRightInd w:val="0"/>
        <w:snapToGrid w:val="0"/>
        <w:spacing w:line="300" w:lineRule="auto"/>
        <w:jc w:val="center"/>
        <w:rPr>
          <w:rFonts w:hint="eastAsia" w:ascii="方正小标宋简体" w:hAnsi="方正小标宋简体" w:eastAsia="方正小标宋简体" w:cs="方正小标宋简体"/>
          <w:bCs/>
          <w:color w:val="auto"/>
          <w:sz w:val="36"/>
          <w:szCs w:val="36"/>
          <w:highlight w:val="none"/>
          <w:lang w:val="en-US" w:eastAsia="zh-CN"/>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670"/>
        <w:gridCol w:w="829"/>
        <w:gridCol w:w="816"/>
        <w:gridCol w:w="1148"/>
        <w:gridCol w:w="1148"/>
        <w:gridCol w:w="1148"/>
        <w:gridCol w:w="744"/>
        <w:gridCol w:w="1167"/>
        <w:gridCol w:w="1276"/>
      </w:tblGrid>
      <w:tr w14:paraId="7765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20" w:type="dxa"/>
            <w:vMerge w:val="restart"/>
            <w:noWrap w:val="0"/>
            <w:vAlign w:val="center"/>
          </w:tcPr>
          <w:p w14:paraId="70324E6B">
            <w:pPr>
              <w:ind w:left="223" w:hanging="222" w:hangingChars="106"/>
              <w:jc w:val="center"/>
              <w:rPr>
                <w:color w:val="auto"/>
                <w:highlight w:val="none"/>
              </w:rPr>
            </w:pPr>
            <w:r>
              <w:rPr>
                <w:color w:val="auto"/>
                <w:highlight w:val="none"/>
              </w:rPr>
              <w:t>岗位</w:t>
            </w:r>
          </w:p>
        </w:tc>
        <w:tc>
          <w:tcPr>
            <w:tcW w:w="670" w:type="dxa"/>
            <w:vMerge w:val="restart"/>
            <w:noWrap w:val="0"/>
            <w:vAlign w:val="center"/>
          </w:tcPr>
          <w:p w14:paraId="3C8915D3">
            <w:pPr>
              <w:ind w:left="223" w:hanging="222" w:hangingChars="106"/>
              <w:jc w:val="center"/>
              <w:rPr>
                <w:color w:val="auto"/>
                <w:highlight w:val="none"/>
              </w:rPr>
            </w:pPr>
            <w:r>
              <w:rPr>
                <w:color w:val="auto"/>
                <w:highlight w:val="none"/>
              </w:rPr>
              <w:t>姓名</w:t>
            </w:r>
          </w:p>
        </w:tc>
        <w:tc>
          <w:tcPr>
            <w:tcW w:w="829" w:type="dxa"/>
            <w:vMerge w:val="restart"/>
            <w:noWrap w:val="0"/>
            <w:vAlign w:val="center"/>
          </w:tcPr>
          <w:p w14:paraId="60483673">
            <w:pPr>
              <w:jc w:val="center"/>
              <w:rPr>
                <w:color w:val="auto"/>
                <w:highlight w:val="none"/>
              </w:rPr>
            </w:pPr>
            <w:r>
              <w:rPr>
                <w:color w:val="auto"/>
                <w:highlight w:val="none"/>
              </w:rPr>
              <w:t>身份证号</w:t>
            </w:r>
          </w:p>
        </w:tc>
        <w:tc>
          <w:tcPr>
            <w:tcW w:w="816" w:type="dxa"/>
            <w:vMerge w:val="restart"/>
            <w:noWrap w:val="0"/>
            <w:vAlign w:val="center"/>
          </w:tcPr>
          <w:p w14:paraId="3DA57041">
            <w:pPr>
              <w:ind w:left="223" w:hanging="222" w:hangingChars="106"/>
              <w:jc w:val="center"/>
              <w:rPr>
                <w:color w:val="auto"/>
                <w:highlight w:val="none"/>
              </w:rPr>
            </w:pPr>
            <w:r>
              <w:rPr>
                <w:color w:val="auto"/>
                <w:highlight w:val="none"/>
              </w:rPr>
              <w:t>职称</w:t>
            </w:r>
          </w:p>
        </w:tc>
        <w:tc>
          <w:tcPr>
            <w:tcW w:w="4188" w:type="dxa"/>
            <w:gridSpan w:val="4"/>
            <w:noWrap w:val="0"/>
            <w:vAlign w:val="center"/>
          </w:tcPr>
          <w:p w14:paraId="2F26136D">
            <w:pPr>
              <w:ind w:left="223" w:hanging="222" w:hangingChars="106"/>
              <w:jc w:val="center"/>
              <w:rPr>
                <w:color w:val="auto"/>
                <w:highlight w:val="none"/>
              </w:rPr>
            </w:pPr>
            <w:r>
              <w:rPr>
                <w:color w:val="auto"/>
                <w:highlight w:val="none"/>
              </w:rPr>
              <w:t>执业或职业资格</w:t>
            </w:r>
          </w:p>
        </w:tc>
        <w:tc>
          <w:tcPr>
            <w:tcW w:w="2443" w:type="dxa"/>
            <w:gridSpan w:val="2"/>
            <w:noWrap w:val="0"/>
            <w:vAlign w:val="center"/>
          </w:tcPr>
          <w:p w14:paraId="3CD3EEB5">
            <w:pPr>
              <w:jc w:val="left"/>
              <w:rPr>
                <w:color w:val="auto"/>
                <w:highlight w:val="none"/>
              </w:rPr>
            </w:pPr>
            <w:r>
              <w:rPr>
                <w:color w:val="auto"/>
                <w:highlight w:val="none"/>
              </w:rPr>
              <w:t>承担完工</w:t>
            </w:r>
            <w:r>
              <w:rPr>
                <w:rFonts w:hint="eastAsia"/>
                <w:color w:val="auto"/>
                <w:highlight w:val="none"/>
              </w:rPr>
              <w:t>、</w:t>
            </w:r>
            <w:r>
              <w:rPr>
                <w:color w:val="auto"/>
                <w:highlight w:val="none"/>
              </w:rPr>
              <w:t>在建工程情况</w:t>
            </w:r>
          </w:p>
        </w:tc>
      </w:tr>
      <w:tr w14:paraId="180A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20" w:type="dxa"/>
            <w:vMerge w:val="continue"/>
            <w:noWrap w:val="0"/>
            <w:vAlign w:val="center"/>
          </w:tcPr>
          <w:p w14:paraId="21DC7E95">
            <w:pPr>
              <w:ind w:left="223" w:hanging="222" w:hangingChars="106"/>
              <w:jc w:val="center"/>
              <w:rPr>
                <w:color w:val="auto"/>
                <w:highlight w:val="none"/>
              </w:rPr>
            </w:pPr>
          </w:p>
        </w:tc>
        <w:tc>
          <w:tcPr>
            <w:tcW w:w="670" w:type="dxa"/>
            <w:vMerge w:val="continue"/>
            <w:noWrap w:val="0"/>
            <w:vAlign w:val="center"/>
          </w:tcPr>
          <w:p w14:paraId="2A7810C9">
            <w:pPr>
              <w:ind w:left="223" w:hanging="222" w:hangingChars="106"/>
              <w:jc w:val="center"/>
              <w:rPr>
                <w:color w:val="auto"/>
                <w:highlight w:val="none"/>
              </w:rPr>
            </w:pPr>
          </w:p>
        </w:tc>
        <w:tc>
          <w:tcPr>
            <w:tcW w:w="829" w:type="dxa"/>
            <w:vMerge w:val="continue"/>
            <w:noWrap w:val="0"/>
            <w:vAlign w:val="center"/>
          </w:tcPr>
          <w:p w14:paraId="2941D2BE">
            <w:pPr>
              <w:ind w:left="223" w:hanging="222" w:hangingChars="106"/>
              <w:jc w:val="center"/>
              <w:rPr>
                <w:color w:val="auto"/>
                <w:highlight w:val="none"/>
              </w:rPr>
            </w:pPr>
          </w:p>
        </w:tc>
        <w:tc>
          <w:tcPr>
            <w:tcW w:w="816" w:type="dxa"/>
            <w:vMerge w:val="continue"/>
            <w:noWrap w:val="0"/>
            <w:vAlign w:val="center"/>
          </w:tcPr>
          <w:p w14:paraId="13F21535">
            <w:pPr>
              <w:ind w:left="223" w:hanging="222" w:hangingChars="106"/>
              <w:jc w:val="center"/>
              <w:rPr>
                <w:color w:val="auto"/>
                <w:highlight w:val="none"/>
              </w:rPr>
            </w:pPr>
          </w:p>
        </w:tc>
        <w:tc>
          <w:tcPr>
            <w:tcW w:w="1148" w:type="dxa"/>
            <w:noWrap w:val="0"/>
            <w:vAlign w:val="center"/>
          </w:tcPr>
          <w:p w14:paraId="48EE629C">
            <w:pPr>
              <w:ind w:left="223" w:hanging="222" w:hangingChars="106"/>
              <w:jc w:val="center"/>
              <w:rPr>
                <w:color w:val="auto"/>
                <w:highlight w:val="none"/>
              </w:rPr>
            </w:pPr>
            <w:r>
              <w:rPr>
                <w:color w:val="auto"/>
                <w:highlight w:val="none"/>
              </w:rPr>
              <w:t>证书名称</w:t>
            </w:r>
          </w:p>
        </w:tc>
        <w:tc>
          <w:tcPr>
            <w:tcW w:w="1148" w:type="dxa"/>
            <w:noWrap w:val="0"/>
            <w:vAlign w:val="center"/>
          </w:tcPr>
          <w:p w14:paraId="1D101348">
            <w:pPr>
              <w:ind w:left="223" w:hanging="222" w:hangingChars="106"/>
              <w:jc w:val="center"/>
              <w:rPr>
                <w:color w:val="auto"/>
                <w:highlight w:val="none"/>
              </w:rPr>
            </w:pPr>
            <w:r>
              <w:rPr>
                <w:color w:val="auto"/>
                <w:highlight w:val="none"/>
              </w:rPr>
              <w:t>级别</w:t>
            </w:r>
          </w:p>
        </w:tc>
        <w:tc>
          <w:tcPr>
            <w:tcW w:w="1148" w:type="dxa"/>
            <w:noWrap w:val="0"/>
            <w:vAlign w:val="center"/>
          </w:tcPr>
          <w:p w14:paraId="7C117A0D">
            <w:pPr>
              <w:ind w:left="223" w:hanging="222" w:hangingChars="106"/>
              <w:jc w:val="center"/>
              <w:rPr>
                <w:color w:val="auto"/>
                <w:highlight w:val="none"/>
              </w:rPr>
            </w:pPr>
            <w:r>
              <w:rPr>
                <w:color w:val="auto"/>
                <w:highlight w:val="none"/>
              </w:rPr>
              <w:t>证号</w:t>
            </w:r>
          </w:p>
        </w:tc>
        <w:tc>
          <w:tcPr>
            <w:tcW w:w="744" w:type="dxa"/>
            <w:noWrap w:val="0"/>
            <w:vAlign w:val="center"/>
          </w:tcPr>
          <w:p w14:paraId="00676FFE">
            <w:pPr>
              <w:ind w:left="223" w:hanging="222" w:hangingChars="106"/>
              <w:jc w:val="center"/>
              <w:rPr>
                <w:color w:val="auto"/>
                <w:highlight w:val="none"/>
              </w:rPr>
            </w:pPr>
            <w:r>
              <w:rPr>
                <w:color w:val="auto"/>
                <w:highlight w:val="none"/>
              </w:rPr>
              <w:t>专业</w:t>
            </w:r>
          </w:p>
        </w:tc>
        <w:tc>
          <w:tcPr>
            <w:tcW w:w="1167" w:type="dxa"/>
            <w:noWrap w:val="0"/>
            <w:vAlign w:val="center"/>
          </w:tcPr>
          <w:p w14:paraId="673B3A91">
            <w:pPr>
              <w:jc w:val="center"/>
              <w:rPr>
                <w:color w:val="auto"/>
                <w:highlight w:val="none"/>
              </w:rPr>
            </w:pPr>
            <w:r>
              <w:rPr>
                <w:rFonts w:hint="eastAsia"/>
                <w:color w:val="auto"/>
                <w:highlight w:val="none"/>
              </w:rPr>
              <w:t>完工/在建</w:t>
            </w:r>
          </w:p>
        </w:tc>
        <w:tc>
          <w:tcPr>
            <w:tcW w:w="1276" w:type="dxa"/>
            <w:noWrap w:val="0"/>
            <w:vAlign w:val="center"/>
          </w:tcPr>
          <w:p w14:paraId="5E1E2CAF">
            <w:pPr>
              <w:jc w:val="center"/>
              <w:rPr>
                <w:color w:val="auto"/>
                <w:highlight w:val="none"/>
              </w:rPr>
            </w:pPr>
            <w:r>
              <w:rPr>
                <w:color w:val="auto"/>
                <w:highlight w:val="none"/>
              </w:rPr>
              <w:t>主要项目</w:t>
            </w:r>
          </w:p>
          <w:p w14:paraId="3FA27097">
            <w:pPr>
              <w:jc w:val="center"/>
              <w:rPr>
                <w:color w:val="auto"/>
                <w:highlight w:val="none"/>
              </w:rPr>
            </w:pPr>
            <w:r>
              <w:rPr>
                <w:color w:val="auto"/>
                <w:highlight w:val="none"/>
              </w:rPr>
              <w:t>名称</w:t>
            </w:r>
          </w:p>
        </w:tc>
      </w:tr>
      <w:tr w14:paraId="08EA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689B4A55">
            <w:pPr>
              <w:pStyle w:val="81"/>
              <w:spacing w:line="240" w:lineRule="auto"/>
              <w:ind w:firstLine="0"/>
              <w:rPr>
                <w:color w:val="auto"/>
                <w:sz w:val="21"/>
                <w:szCs w:val="21"/>
                <w:highlight w:val="none"/>
                <w:lang w:eastAsia="zh-CN"/>
              </w:rPr>
            </w:pPr>
            <w:r>
              <w:rPr>
                <w:rFonts w:ascii="Times New Roman" w:hAnsi="Times New Roman" w:eastAsia="Times New Roman" w:cs="Times New Roman"/>
                <w:color w:val="auto"/>
                <w:sz w:val="21"/>
                <w:szCs w:val="21"/>
                <w:highlight w:val="none"/>
                <w:lang w:val="en-US" w:eastAsia="en-US" w:bidi="en-US"/>
              </w:rPr>
              <w:t>1.</w:t>
            </w:r>
            <w:r>
              <w:rPr>
                <w:color w:val="auto"/>
                <w:sz w:val="21"/>
                <w:szCs w:val="21"/>
                <w:highlight w:val="none"/>
                <w:lang w:eastAsia="zh-CN"/>
              </w:rPr>
              <w:t>项目经理</w:t>
            </w:r>
          </w:p>
        </w:tc>
        <w:tc>
          <w:tcPr>
            <w:tcW w:w="670" w:type="dxa"/>
            <w:noWrap w:val="0"/>
            <w:vAlign w:val="center"/>
          </w:tcPr>
          <w:p w14:paraId="3F2CBF62">
            <w:pPr>
              <w:ind w:left="223" w:hanging="222" w:hangingChars="106"/>
              <w:jc w:val="center"/>
              <w:rPr>
                <w:color w:val="auto"/>
                <w:szCs w:val="21"/>
                <w:highlight w:val="none"/>
              </w:rPr>
            </w:pPr>
          </w:p>
        </w:tc>
        <w:tc>
          <w:tcPr>
            <w:tcW w:w="829" w:type="dxa"/>
            <w:noWrap w:val="0"/>
            <w:vAlign w:val="center"/>
          </w:tcPr>
          <w:p w14:paraId="70679AA3">
            <w:pPr>
              <w:ind w:left="223" w:hanging="222" w:hangingChars="106"/>
              <w:jc w:val="center"/>
              <w:rPr>
                <w:color w:val="auto"/>
                <w:szCs w:val="21"/>
                <w:highlight w:val="none"/>
              </w:rPr>
            </w:pPr>
          </w:p>
        </w:tc>
        <w:tc>
          <w:tcPr>
            <w:tcW w:w="816" w:type="dxa"/>
            <w:noWrap w:val="0"/>
            <w:vAlign w:val="center"/>
          </w:tcPr>
          <w:p w14:paraId="587A566A">
            <w:pPr>
              <w:ind w:left="223" w:hanging="222" w:hangingChars="106"/>
              <w:jc w:val="center"/>
              <w:rPr>
                <w:color w:val="auto"/>
                <w:szCs w:val="21"/>
                <w:highlight w:val="none"/>
              </w:rPr>
            </w:pPr>
          </w:p>
        </w:tc>
        <w:tc>
          <w:tcPr>
            <w:tcW w:w="1148" w:type="dxa"/>
            <w:noWrap w:val="0"/>
            <w:vAlign w:val="center"/>
          </w:tcPr>
          <w:p w14:paraId="1B046F6E">
            <w:pPr>
              <w:ind w:left="223" w:hanging="222" w:hangingChars="106"/>
              <w:jc w:val="center"/>
              <w:rPr>
                <w:color w:val="auto"/>
                <w:szCs w:val="21"/>
                <w:highlight w:val="none"/>
              </w:rPr>
            </w:pPr>
          </w:p>
        </w:tc>
        <w:tc>
          <w:tcPr>
            <w:tcW w:w="1148" w:type="dxa"/>
            <w:noWrap w:val="0"/>
            <w:vAlign w:val="center"/>
          </w:tcPr>
          <w:p w14:paraId="14C85ED9">
            <w:pPr>
              <w:ind w:left="223" w:hanging="222" w:hangingChars="106"/>
              <w:jc w:val="center"/>
              <w:rPr>
                <w:color w:val="auto"/>
                <w:szCs w:val="21"/>
                <w:highlight w:val="none"/>
              </w:rPr>
            </w:pPr>
          </w:p>
        </w:tc>
        <w:tc>
          <w:tcPr>
            <w:tcW w:w="1148" w:type="dxa"/>
            <w:noWrap w:val="0"/>
            <w:vAlign w:val="center"/>
          </w:tcPr>
          <w:p w14:paraId="1106C8F4">
            <w:pPr>
              <w:ind w:left="223" w:hanging="222" w:hangingChars="106"/>
              <w:jc w:val="center"/>
              <w:rPr>
                <w:color w:val="auto"/>
                <w:szCs w:val="21"/>
                <w:highlight w:val="none"/>
              </w:rPr>
            </w:pPr>
          </w:p>
        </w:tc>
        <w:tc>
          <w:tcPr>
            <w:tcW w:w="744" w:type="dxa"/>
            <w:noWrap w:val="0"/>
            <w:vAlign w:val="center"/>
          </w:tcPr>
          <w:p w14:paraId="5B3788A3">
            <w:pPr>
              <w:ind w:left="223" w:hanging="222" w:hangingChars="106"/>
              <w:jc w:val="center"/>
              <w:rPr>
                <w:color w:val="auto"/>
                <w:szCs w:val="21"/>
                <w:highlight w:val="none"/>
              </w:rPr>
            </w:pPr>
          </w:p>
        </w:tc>
        <w:tc>
          <w:tcPr>
            <w:tcW w:w="1167" w:type="dxa"/>
            <w:noWrap w:val="0"/>
            <w:vAlign w:val="center"/>
          </w:tcPr>
          <w:p w14:paraId="08AF73B5">
            <w:pPr>
              <w:ind w:left="223" w:hanging="222" w:hangingChars="106"/>
              <w:jc w:val="center"/>
              <w:rPr>
                <w:color w:val="auto"/>
                <w:szCs w:val="21"/>
                <w:highlight w:val="none"/>
              </w:rPr>
            </w:pPr>
          </w:p>
        </w:tc>
        <w:tc>
          <w:tcPr>
            <w:tcW w:w="1276" w:type="dxa"/>
            <w:noWrap w:val="0"/>
            <w:vAlign w:val="center"/>
          </w:tcPr>
          <w:p w14:paraId="47110ADE">
            <w:pPr>
              <w:ind w:left="223" w:hanging="222" w:hangingChars="106"/>
              <w:jc w:val="center"/>
              <w:rPr>
                <w:color w:val="auto"/>
                <w:szCs w:val="21"/>
                <w:highlight w:val="none"/>
              </w:rPr>
            </w:pPr>
          </w:p>
        </w:tc>
      </w:tr>
      <w:tr w14:paraId="7A73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7247ED21">
            <w:pPr>
              <w:pStyle w:val="81"/>
              <w:spacing w:line="240" w:lineRule="auto"/>
              <w:ind w:firstLine="0"/>
              <w:rPr>
                <w:color w:val="auto"/>
                <w:sz w:val="21"/>
                <w:szCs w:val="21"/>
                <w:highlight w:val="none"/>
                <w:lang w:eastAsia="zh-CN"/>
              </w:rPr>
            </w:pPr>
            <w:r>
              <w:rPr>
                <w:rFonts w:ascii="Times New Roman" w:hAnsi="Times New Roman" w:eastAsia="Times New Roman" w:cs="Times New Roman"/>
                <w:color w:val="auto"/>
                <w:sz w:val="21"/>
                <w:szCs w:val="21"/>
                <w:highlight w:val="none"/>
                <w:lang w:val="en-US" w:eastAsia="zh-CN" w:bidi="en-US"/>
              </w:rPr>
              <w:t>2.</w:t>
            </w:r>
            <w:r>
              <w:rPr>
                <w:color w:val="auto"/>
                <w:sz w:val="21"/>
                <w:szCs w:val="21"/>
                <w:highlight w:val="none"/>
                <w:lang w:eastAsia="zh-CN"/>
              </w:rPr>
              <w:t>技术负责人</w:t>
            </w:r>
            <w:r>
              <w:rPr>
                <w:rFonts w:hint="eastAsia"/>
                <w:color w:val="auto"/>
                <w:sz w:val="21"/>
                <w:szCs w:val="21"/>
                <w:highlight w:val="none"/>
                <w:lang w:eastAsia="zh-CN"/>
              </w:rPr>
              <w:t>（项目总工）</w:t>
            </w:r>
          </w:p>
        </w:tc>
        <w:tc>
          <w:tcPr>
            <w:tcW w:w="670" w:type="dxa"/>
            <w:noWrap w:val="0"/>
            <w:vAlign w:val="center"/>
          </w:tcPr>
          <w:p w14:paraId="53A052DE">
            <w:pPr>
              <w:ind w:left="223" w:hanging="222" w:hangingChars="106"/>
              <w:jc w:val="center"/>
              <w:rPr>
                <w:color w:val="auto"/>
                <w:szCs w:val="21"/>
                <w:highlight w:val="none"/>
              </w:rPr>
            </w:pPr>
          </w:p>
        </w:tc>
        <w:tc>
          <w:tcPr>
            <w:tcW w:w="829" w:type="dxa"/>
            <w:noWrap w:val="0"/>
            <w:vAlign w:val="center"/>
          </w:tcPr>
          <w:p w14:paraId="66A02149">
            <w:pPr>
              <w:ind w:left="223" w:hanging="222" w:hangingChars="106"/>
              <w:jc w:val="center"/>
              <w:rPr>
                <w:color w:val="auto"/>
                <w:szCs w:val="21"/>
                <w:highlight w:val="none"/>
              </w:rPr>
            </w:pPr>
          </w:p>
        </w:tc>
        <w:tc>
          <w:tcPr>
            <w:tcW w:w="816" w:type="dxa"/>
            <w:noWrap w:val="0"/>
            <w:vAlign w:val="center"/>
          </w:tcPr>
          <w:p w14:paraId="1A77B7F7">
            <w:pPr>
              <w:ind w:left="223" w:hanging="222" w:hangingChars="106"/>
              <w:jc w:val="center"/>
              <w:rPr>
                <w:color w:val="auto"/>
                <w:szCs w:val="21"/>
                <w:highlight w:val="none"/>
              </w:rPr>
            </w:pPr>
          </w:p>
        </w:tc>
        <w:tc>
          <w:tcPr>
            <w:tcW w:w="1148" w:type="dxa"/>
            <w:noWrap w:val="0"/>
            <w:vAlign w:val="center"/>
          </w:tcPr>
          <w:p w14:paraId="060745A4">
            <w:pPr>
              <w:ind w:left="223" w:hanging="222" w:hangingChars="106"/>
              <w:jc w:val="center"/>
              <w:rPr>
                <w:color w:val="auto"/>
                <w:szCs w:val="21"/>
                <w:highlight w:val="none"/>
              </w:rPr>
            </w:pPr>
          </w:p>
        </w:tc>
        <w:tc>
          <w:tcPr>
            <w:tcW w:w="1148" w:type="dxa"/>
            <w:noWrap w:val="0"/>
            <w:vAlign w:val="center"/>
          </w:tcPr>
          <w:p w14:paraId="401FE79C">
            <w:pPr>
              <w:ind w:left="223" w:hanging="222" w:hangingChars="106"/>
              <w:jc w:val="center"/>
              <w:rPr>
                <w:color w:val="auto"/>
                <w:szCs w:val="21"/>
                <w:highlight w:val="none"/>
              </w:rPr>
            </w:pPr>
          </w:p>
        </w:tc>
        <w:tc>
          <w:tcPr>
            <w:tcW w:w="1148" w:type="dxa"/>
            <w:noWrap w:val="0"/>
            <w:vAlign w:val="center"/>
          </w:tcPr>
          <w:p w14:paraId="49080E7B">
            <w:pPr>
              <w:ind w:left="223" w:hanging="222" w:hangingChars="106"/>
              <w:jc w:val="center"/>
              <w:rPr>
                <w:color w:val="auto"/>
                <w:szCs w:val="21"/>
                <w:highlight w:val="none"/>
              </w:rPr>
            </w:pPr>
          </w:p>
        </w:tc>
        <w:tc>
          <w:tcPr>
            <w:tcW w:w="744" w:type="dxa"/>
            <w:noWrap w:val="0"/>
            <w:vAlign w:val="center"/>
          </w:tcPr>
          <w:p w14:paraId="1EF603EE">
            <w:pPr>
              <w:ind w:left="223" w:hanging="222" w:hangingChars="106"/>
              <w:jc w:val="center"/>
              <w:rPr>
                <w:color w:val="auto"/>
                <w:szCs w:val="21"/>
                <w:highlight w:val="none"/>
              </w:rPr>
            </w:pPr>
          </w:p>
        </w:tc>
        <w:tc>
          <w:tcPr>
            <w:tcW w:w="1167" w:type="dxa"/>
            <w:noWrap w:val="0"/>
            <w:vAlign w:val="center"/>
          </w:tcPr>
          <w:p w14:paraId="602FDF1E">
            <w:pPr>
              <w:ind w:left="223" w:hanging="222" w:hangingChars="106"/>
              <w:jc w:val="center"/>
              <w:rPr>
                <w:color w:val="auto"/>
                <w:szCs w:val="21"/>
                <w:highlight w:val="none"/>
              </w:rPr>
            </w:pPr>
          </w:p>
        </w:tc>
        <w:tc>
          <w:tcPr>
            <w:tcW w:w="1276" w:type="dxa"/>
            <w:noWrap w:val="0"/>
            <w:vAlign w:val="center"/>
          </w:tcPr>
          <w:p w14:paraId="20BB1714">
            <w:pPr>
              <w:ind w:left="223" w:hanging="222" w:hangingChars="106"/>
              <w:jc w:val="center"/>
              <w:rPr>
                <w:color w:val="auto"/>
                <w:szCs w:val="21"/>
                <w:highlight w:val="none"/>
              </w:rPr>
            </w:pPr>
          </w:p>
        </w:tc>
      </w:tr>
      <w:tr w14:paraId="6368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22D46C3E">
            <w:pPr>
              <w:pStyle w:val="81"/>
              <w:spacing w:line="240" w:lineRule="auto"/>
              <w:ind w:firstLine="0"/>
              <w:rPr>
                <w:color w:val="auto"/>
                <w:sz w:val="21"/>
                <w:szCs w:val="21"/>
                <w:highlight w:val="none"/>
                <w:lang w:eastAsia="zh-CN"/>
              </w:rPr>
            </w:pPr>
            <w:r>
              <w:rPr>
                <w:rFonts w:ascii="Times New Roman" w:hAnsi="Times New Roman" w:eastAsia="Times New Roman" w:cs="Times New Roman"/>
                <w:color w:val="auto"/>
                <w:sz w:val="21"/>
                <w:szCs w:val="21"/>
                <w:highlight w:val="none"/>
                <w:lang w:val="en-US" w:eastAsia="en-US" w:bidi="en-US"/>
              </w:rPr>
              <w:t>3.</w:t>
            </w:r>
            <w:r>
              <w:rPr>
                <w:rFonts w:hint="eastAsia"/>
                <w:color w:val="auto"/>
                <w:sz w:val="21"/>
                <w:szCs w:val="21"/>
                <w:highlight w:val="none"/>
                <w:lang w:eastAsia="zh-CN"/>
              </w:rPr>
              <w:t xml:space="preserve"> 施工员</w:t>
            </w:r>
          </w:p>
        </w:tc>
        <w:tc>
          <w:tcPr>
            <w:tcW w:w="670" w:type="dxa"/>
            <w:noWrap w:val="0"/>
            <w:vAlign w:val="center"/>
          </w:tcPr>
          <w:p w14:paraId="5E9CA0D8">
            <w:pPr>
              <w:ind w:left="223" w:hanging="222" w:hangingChars="106"/>
              <w:jc w:val="center"/>
              <w:rPr>
                <w:color w:val="auto"/>
                <w:szCs w:val="21"/>
                <w:highlight w:val="none"/>
              </w:rPr>
            </w:pPr>
          </w:p>
        </w:tc>
        <w:tc>
          <w:tcPr>
            <w:tcW w:w="829" w:type="dxa"/>
            <w:noWrap w:val="0"/>
            <w:vAlign w:val="center"/>
          </w:tcPr>
          <w:p w14:paraId="0E1B9B9F">
            <w:pPr>
              <w:ind w:left="223" w:hanging="222" w:hangingChars="106"/>
              <w:jc w:val="center"/>
              <w:rPr>
                <w:color w:val="auto"/>
                <w:szCs w:val="21"/>
                <w:highlight w:val="none"/>
              </w:rPr>
            </w:pPr>
          </w:p>
        </w:tc>
        <w:tc>
          <w:tcPr>
            <w:tcW w:w="816" w:type="dxa"/>
            <w:noWrap w:val="0"/>
            <w:vAlign w:val="center"/>
          </w:tcPr>
          <w:p w14:paraId="2FDF25B2">
            <w:pPr>
              <w:ind w:left="223" w:hanging="222" w:hangingChars="106"/>
              <w:jc w:val="center"/>
              <w:rPr>
                <w:color w:val="auto"/>
                <w:szCs w:val="21"/>
                <w:highlight w:val="none"/>
              </w:rPr>
            </w:pPr>
          </w:p>
        </w:tc>
        <w:tc>
          <w:tcPr>
            <w:tcW w:w="1148" w:type="dxa"/>
            <w:noWrap w:val="0"/>
            <w:vAlign w:val="center"/>
          </w:tcPr>
          <w:p w14:paraId="28B7D000">
            <w:pPr>
              <w:ind w:left="223" w:hanging="222" w:hangingChars="106"/>
              <w:jc w:val="center"/>
              <w:rPr>
                <w:color w:val="auto"/>
                <w:szCs w:val="21"/>
                <w:highlight w:val="none"/>
              </w:rPr>
            </w:pPr>
          </w:p>
        </w:tc>
        <w:tc>
          <w:tcPr>
            <w:tcW w:w="1148" w:type="dxa"/>
            <w:noWrap w:val="0"/>
            <w:vAlign w:val="center"/>
          </w:tcPr>
          <w:p w14:paraId="5DF499EC">
            <w:pPr>
              <w:ind w:left="223" w:hanging="222" w:hangingChars="106"/>
              <w:jc w:val="center"/>
              <w:rPr>
                <w:color w:val="auto"/>
                <w:szCs w:val="21"/>
                <w:highlight w:val="none"/>
              </w:rPr>
            </w:pPr>
          </w:p>
        </w:tc>
        <w:tc>
          <w:tcPr>
            <w:tcW w:w="1148" w:type="dxa"/>
            <w:noWrap w:val="0"/>
            <w:vAlign w:val="center"/>
          </w:tcPr>
          <w:p w14:paraId="1D749648">
            <w:pPr>
              <w:ind w:left="223" w:hanging="222" w:hangingChars="106"/>
              <w:jc w:val="center"/>
              <w:rPr>
                <w:color w:val="auto"/>
                <w:szCs w:val="21"/>
                <w:highlight w:val="none"/>
              </w:rPr>
            </w:pPr>
          </w:p>
        </w:tc>
        <w:tc>
          <w:tcPr>
            <w:tcW w:w="744" w:type="dxa"/>
            <w:noWrap w:val="0"/>
            <w:vAlign w:val="center"/>
          </w:tcPr>
          <w:p w14:paraId="7C0F151B">
            <w:pPr>
              <w:ind w:left="223" w:hanging="222" w:hangingChars="106"/>
              <w:jc w:val="center"/>
              <w:rPr>
                <w:color w:val="auto"/>
                <w:szCs w:val="21"/>
                <w:highlight w:val="none"/>
              </w:rPr>
            </w:pPr>
          </w:p>
        </w:tc>
        <w:tc>
          <w:tcPr>
            <w:tcW w:w="1167" w:type="dxa"/>
            <w:noWrap w:val="0"/>
            <w:vAlign w:val="center"/>
          </w:tcPr>
          <w:p w14:paraId="3AB71742">
            <w:pPr>
              <w:ind w:left="223" w:hanging="222" w:hangingChars="106"/>
              <w:jc w:val="center"/>
              <w:rPr>
                <w:color w:val="auto"/>
                <w:szCs w:val="21"/>
                <w:highlight w:val="none"/>
              </w:rPr>
            </w:pPr>
          </w:p>
        </w:tc>
        <w:tc>
          <w:tcPr>
            <w:tcW w:w="1276" w:type="dxa"/>
            <w:noWrap w:val="0"/>
            <w:vAlign w:val="center"/>
          </w:tcPr>
          <w:p w14:paraId="7D0385A8">
            <w:pPr>
              <w:ind w:left="223" w:hanging="222" w:hangingChars="106"/>
              <w:jc w:val="center"/>
              <w:rPr>
                <w:color w:val="auto"/>
                <w:szCs w:val="21"/>
                <w:highlight w:val="none"/>
              </w:rPr>
            </w:pPr>
          </w:p>
        </w:tc>
      </w:tr>
      <w:tr w14:paraId="73D4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3F957F78">
            <w:pPr>
              <w:pStyle w:val="81"/>
              <w:spacing w:line="240" w:lineRule="auto"/>
              <w:ind w:firstLine="0"/>
              <w:rPr>
                <w:color w:val="auto"/>
                <w:sz w:val="21"/>
                <w:szCs w:val="21"/>
                <w:highlight w:val="none"/>
                <w:lang w:eastAsia="zh-CN"/>
              </w:rPr>
            </w:pPr>
            <w:r>
              <w:rPr>
                <w:rFonts w:ascii="Times New Roman" w:hAnsi="Times New Roman" w:eastAsia="Times New Roman" w:cs="Times New Roman"/>
                <w:color w:val="auto"/>
                <w:sz w:val="21"/>
                <w:szCs w:val="21"/>
                <w:highlight w:val="none"/>
                <w:lang w:val="en-US" w:eastAsia="en-US" w:bidi="en-US"/>
              </w:rPr>
              <w:t>4.</w:t>
            </w:r>
            <w:r>
              <w:rPr>
                <w:color w:val="auto"/>
                <w:sz w:val="21"/>
                <w:szCs w:val="21"/>
                <w:highlight w:val="none"/>
                <w:lang w:eastAsia="zh-CN"/>
              </w:rPr>
              <w:t>安全员</w:t>
            </w:r>
          </w:p>
        </w:tc>
        <w:tc>
          <w:tcPr>
            <w:tcW w:w="670" w:type="dxa"/>
            <w:noWrap w:val="0"/>
            <w:vAlign w:val="center"/>
          </w:tcPr>
          <w:p w14:paraId="0CE1922C">
            <w:pPr>
              <w:ind w:left="223" w:hanging="222" w:hangingChars="106"/>
              <w:jc w:val="center"/>
              <w:rPr>
                <w:color w:val="auto"/>
                <w:szCs w:val="21"/>
                <w:highlight w:val="none"/>
              </w:rPr>
            </w:pPr>
          </w:p>
        </w:tc>
        <w:tc>
          <w:tcPr>
            <w:tcW w:w="829" w:type="dxa"/>
            <w:noWrap w:val="0"/>
            <w:vAlign w:val="center"/>
          </w:tcPr>
          <w:p w14:paraId="2C01874B">
            <w:pPr>
              <w:ind w:left="223" w:hanging="222" w:hangingChars="106"/>
              <w:jc w:val="center"/>
              <w:rPr>
                <w:color w:val="auto"/>
                <w:szCs w:val="21"/>
                <w:highlight w:val="none"/>
              </w:rPr>
            </w:pPr>
          </w:p>
        </w:tc>
        <w:tc>
          <w:tcPr>
            <w:tcW w:w="816" w:type="dxa"/>
            <w:noWrap w:val="0"/>
            <w:vAlign w:val="center"/>
          </w:tcPr>
          <w:p w14:paraId="29133DBB">
            <w:pPr>
              <w:ind w:left="223" w:hanging="222" w:hangingChars="106"/>
              <w:jc w:val="center"/>
              <w:rPr>
                <w:color w:val="auto"/>
                <w:szCs w:val="21"/>
                <w:highlight w:val="none"/>
              </w:rPr>
            </w:pPr>
          </w:p>
        </w:tc>
        <w:tc>
          <w:tcPr>
            <w:tcW w:w="1148" w:type="dxa"/>
            <w:noWrap w:val="0"/>
            <w:vAlign w:val="center"/>
          </w:tcPr>
          <w:p w14:paraId="47F38EAD">
            <w:pPr>
              <w:ind w:left="223" w:hanging="222" w:hangingChars="106"/>
              <w:jc w:val="center"/>
              <w:rPr>
                <w:color w:val="auto"/>
                <w:szCs w:val="21"/>
                <w:highlight w:val="none"/>
              </w:rPr>
            </w:pPr>
          </w:p>
        </w:tc>
        <w:tc>
          <w:tcPr>
            <w:tcW w:w="1148" w:type="dxa"/>
            <w:noWrap w:val="0"/>
            <w:vAlign w:val="center"/>
          </w:tcPr>
          <w:p w14:paraId="04840509">
            <w:pPr>
              <w:ind w:left="223" w:hanging="222" w:hangingChars="106"/>
              <w:jc w:val="center"/>
              <w:rPr>
                <w:color w:val="auto"/>
                <w:szCs w:val="21"/>
                <w:highlight w:val="none"/>
              </w:rPr>
            </w:pPr>
          </w:p>
        </w:tc>
        <w:tc>
          <w:tcPr>
            <w:tcW w:w="1148" w:type="dxa"/>
            <w:noWrap w:val="0"/>
            <w:vAlign w:val="center"/>
          </w:tcPr>
          <w:p w14:paraId="41AF7658">
            <w:pPr>
              <w:ind w:left="223" w:hanging="222" w:hangingChars="106"/>
              <w:jc w:val="center"/>
              <w:rPr>
                <w:color w:val="auto"/>
                <w:szCs w:val="21"/>
                <w:highlight w:val="none"/>
              </w:rPr>
            </w:pPr>
          </w:p>
        </w:tc>
        <w:tc>
          <w:tcPr>
            <w:tcW w:w="744" w:type="dxa"/>
            <w:noWrap w:val="0"/>
            <w:vAlign w:val="center"/>
          </w:tcPr>
          <w:p w14:paraId="27E98756">
            <w:pPr>
              <w:ind w:left="223" w:hanging="222" w:hangingChars="106"/>
              <w:jc w:val="center"/>
              <w:rPr>
                <w:color w:val="auto"/>
                <w:szCs w:val="21"/>
                <w:highlight w:val="none"/>
              </w:rPr>
            </w:pPr>
          </w:p>
        </w:tc>
        <w:tc>
          <w:tcPr>
            <w:tcW w:w="1167" w:type="dxa"/>
            <w:noWrap w:val="0"/>
            <w:vAlign w:val="center"/>
          </w:tcPr>
          <w:p w14:paraId="76E95948">
            <w:pPr>
              <w:ind w:left="223" w:hanging="222" w:hangingChars="106"/>
              <w:jc w:val="center"/>
              <w:rPr>
                <w:color w:val="auto"/>
                <w:szCs w:val="21"/>
                <w:highlight w:val="none"/>
              </w:rPr>
            </w:pPr>
          </w:p>
        </w:tc>
        <w:tc>
          <w:tcPr>
            <w:tcW w:w="1276" w:type="dxa"/>
            <w:noWrap w:val="0"/>
            <w:vAlign w:val="center"/>
          </w:tcPr>
          <w:p w14:paraId="4D767B5F">
            <w:pPr>
              <w:ind w:left="223" w:hanging="222" w:hangingChars="106"/>
              <w:jc w:val="center"/>
              <w:rPr>
                <w:color w:val="auto"/>
                <w:szCs w:val="21"/>
                <w:highlight w:val="none"/>
              </w:rPr>
            </w:pPr>
          </w:p>
        </w:tc>
      </w:tr>
      <w:tr w14:paraId="456B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2B37F5C4">
            <w:pPr>
              <w:jc w:val="left"/>
              <w:rPr>
                <w:color w:val="auto"/>
                <w:szCs w:val="21"/>
                <w:highlight w:val="none"/>
              </w:rPr>
            </w:pPr>
            <w:r>
              <w:rPr>
                <w:rFonts w:hint="eastAsia"/>
                <w:color w:val="auto"/>
                <w:szCs w:val="21"/>
                <w:highlight w:val="none"/>
              </w:rPr>
              <w:t>5.</w:t>
            </w:r>
            <w:r>
              <w:rPr>
                <w:color w:val="auto"/>
                <w:szCs w:val="21"/>
                <w:highlight w:val="none"/>
              </w:rPr>
              <w:t xml:space="preserve"> 质量员</w:t>
            </w:r>
          </w:p>
        </w:tc>
        <w:tc>
          <w:tcPr>
            <w:tcW w:w="670" w:type="dxa"/>
            <w:noWrap w:val="0"/>
            <w:vAlign w:val="center"/>
          </w:tcPr>
          <w:p w14:paraId="5807B0E8">
            <w:pPr>
              <w:ind w:left="223" w:hanging="222" w:hangingChars="106"/>
              <w:jc w:val="center"/>
              <w:rPr>
                <w:color w:val="auto"/>
                <w:szCs w:val="21"/>
                <w:highlight w:val="none"/>
              </w:rPr>
            </w:pPr>
          </w:p>
        </w:tc>
        <w:tc>
          <w:tcPr>
            <w:tcW w:w="829" w:type="dxa"/>
            <w:noWrap w:val="0"/>
            <w:vAlign w:val="center"/>
          </w:tcPr>
          <w:p w14:paraId="2D27B410">
            <w:pPr>
              <w:ind w:left="223" w:hanging="222" w:hangingChars="106"/>
              <w:jc w:val="center"/>
              <w:rPr>
                <w:color w:val="auto"/>
                <w:szCs w:val="21"/>
                <w:highlight w:val="none"/>
              </w:rPr>
            </w:pPr>
          </w:p>
        </w:tc>
        <w:tc>
          <w:tcPr>
            <w:tcW w:w="816" w:type="dxa"/>
            <w:noWrap w:val="0"/>
            <w:vAlign w:val="center"/>
          </w:tcPr>
          <w:p w14:paraId="73B12D13">
            <w:pPr>
              <w:ind w:left="223" w:hanging="222" w:hangingChars="106"/>
              <w:jc w:val="center"/>
              <w:rPr>
                <w:color w:val="auto"/>
                <w:szCs w:val="21"/>
                <w:highlight w:val="none"/>
              </w:rPr>
            </w:pPr>
          </w:p>
        </w:tc>
        <w:tc>
          <w:tcPr>
            <w:tcW w:w="1148" w:type="dxa"/>
            <w:noWrap w:val="0"/>
            <w:vAlign w:val="center"/>
          </w:tcPr>
          <w:p w14:paraId="0766DA87">
            <w:pPr>
              <w:ind w:left="223" w:hanging="222" w:hangingChars="106"/>
              <w:jc w:val="center"/>
              <w:rPr>
                <w:color w:val="auto"/>
                <w:szCs w:val="21"/>
                <w:highlight w:val="none"/>
              </w:rPr>
            </w:pPr>
          </w:p>
        </w:tc>
        <w:tc>
          <w:tcPr>
            <w:tcW w:w="1148" w:type="dxa"/>
            <w:noWrap w:val="0"/>
            <w:vAlign w:val="center"/>
          </w:tcPr>
          <w:p w14:paraId="7A605583">
            <w:pPr>
              <w:ind w:left="223" w:hanging="222" w:hangingChars="106"/>
              <w:jc w:val="center"/>
              <w:rPr>
                <w:color w:val="auto"/>
                <w:szCs w:val="21"/>
                <w:highlight w:val="none"/>
              </w:rPr>
            </w:pPr>
          </w:p>
        </w:tc>
        <w:tc>
          <w:tcPr>
            <w:tcW w:w="1148" w:type="dxa"/>
            <w:noWrap w:val="0"/>
            <w:vAlign w:val="center"/>
          </w:tcPr>
          <w:p w14:paraId="2A2ACFEB">
            <w:pPr>
              <w:ind w:left="223" w:hanging="222" w:hangingChars="106"/>
              <w:jc w:val="center"/>
              <w:rPr>
                <w:color w:val="auto"/>
                <w:szCs w:val="21"/>
                <w:highlight w:val="none"/>
              </w:rPr>
            </w:pPr>
          </w:p>
        </w:tc>
        <w:tc>
          <w:tcPr>
            <w:tcW w:w="744" w:type="dxa"/>
            <w:noWrap w:val="0"/>
            <w:vAlign w:val="center"/>
          </w:tcPr>
          <w:p w14:paraId="177CC2E1">
            <w:pPr>
              <w:ind w:left="223" w:hanging="222" w:hangingChars="106"/>
              <w:jc w:val="center"/>
              <w:rPr>
                <w:color w:val="auto"/>
                <w:szCs w:val="21"/>
                <w:highlight w:val="none"/>
              </w:rPr>
            </w:pPr>
          </w:p>
        </w:tc>
        <w:tc>
          <w:tcPr>
            <w:tcW w:w="1167" w:type="dxa"/>
            <w:noWrap w:val="0"/>
            <w:vAlign w:val="center"/>
          </w:tcPr>
          <w:p w14:paraId="42588B07">
            <w:pPr>
              <w:ind w:left="223" w:hanging="222" w:hangingChars="106"/>
              <w:jc w:val="center"/>
              <w:rPr>
                <w:color w:val="auto"/>
                <w:szCs w:val="21"/>
                <w:highlight w:val="none"/>
              </w:rPr>
            </w:pPr>
          </w:p>
        </w:tc>
        <w:tc>
          <w:tcPr>
            <w:tcW w:w="1276" w:type="dxa"/>
            <w:noWrap w:val="0"/>
            <w:vAlign w:val="center"/>
          </w:tcPr>
          <w:p w14:paraId="7206728A">
            <w:pPr>
              <w:ind w:left="223" w:hanging="222" w:hangingChars="106"/>
              <w:jc w:val="center"/>
              <w:rPr>
                <w:color w:val="auto"/>
                <w:szCs w:val="21"/>
                <w:highlight w:val="none"/>
              </w:rPr>
            </w:pPr>
          </w:p>
        </w:tc>
      </w:tr>
      <w:tr w14:paraId="62D7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6F6887EA">
            <w:pPr>
              <w:jc w:val="left"/>
              <w:rPr>
                <w:color w:val="auto"/>
                <w:szCs w:val="21"/>
                <w:highlight w:val="none"/>
              </w:rPr>
            </w:pPr>
            <w:r>
              <w:rPr>
                <w:rFonts w:hint="eastAsia"/>
                <w:color w:val="auto"/>
                <w:szCs w:val="21"/>
                <w:highlight w:val="none"/>
              </w:rPr>
              <w:t>6.材料员</w:t>
            </w:r>
          </w:p>
        </w:tc>
        <w:tc>
          <w:tcPr>
            <w:tcW w:w="670" w:type="dxa"/>
            <w:noWrap w:val="0"/>
            <w:vAlign w:val="center"/>
          </w:tcPr>
          <w:p w14:paraId="19624A2A">
            <w:pPr>
              <w:ind w:left="223" w:hanging="222" w:hangingChars="106"/>
              <w:jc w:val="center"/>
              <w:rPr>
                <w:color w:val="auto"/>
                <w:szCs w:val="21"/>
                <w:highlight w:val="none"/>
              </w:rPr>
            </w:pPr>
          </w:p>
        </w:tc>
        <w:tc>
          <w:tcPr>
            <w:tcW w:w="829" w:type="dxa"/>
            <w:noWrap w:val="0"/>
            <w:vAlign w:val="center"/>
          </w:tcPr>
          <w:p w14:paraId="18D07678">
            <w:pPr>
              <w:ind w:left="223" w:hanging="222" w:hangingChars="106"/>
              <w:jc w:val="center"/>
              <w:rPr>
                <w:color w:val="auto"/>
                <w:szCs w:val="21"/>
                <w:highlight w:val="none"/>
              </w:rPr>
            </w:pPr>
          </w:p>
        </w:tc>
        <w:tc>
          <w:tcPr>
            <w:tcW w:w="816" w:type="dxa"/>
            <w:noWrap w:val="0"/>
            <w:vAlign w:val="center"/>
          </w:tcPr>
          <w:p w14:paraId="1E800958">
            <w:pPr>
              <w:ind w:left="223" w:hanging="222" w:hangingChars="106"/>
              <w:jc w:val="center"/>
              <w:rPr>
                <w:color w:val="auto"/>
                <w:szCs w:val="21"/>
                <w:highlight w:val="none"/>
              </w:rPr>
            </w:pPr>
          </w:p>
        </w:tc>
        <w:tc>
          <w:tcPr>
            <w:tcW w:w="1148" w:type="dxa"/>
            <w:noWrap w:val="0"/>
            <w:vAlign w:val="center"/>
          </w:tcPr>
          <w:p w14:paraId="40D3E135">
            <w:pPr>
              <w:ind w:left="223" w:hanging="222" w:hangingChars="106"/>
              <w:jc w:val="center"/>
              <w:rPr>
                <w:color w:val="auto"/>
                <w:szCs w:val="21"/>
                <w:highlight w:val="none"/>
              </w:rPr>
            </w:pPr>
          </w:p>
        </w:tc>
        <w:tc>
          <w:tcPr>
            <w:tcW w:w="1148" w:type="dxa"/>
            <w:noWrap w:val="0"/>
            <w:vAlign w:val="center"/>
          </w:tcPr>
          <w:p w14:paraId="3313A5F3">
            <w:pPr>
              <w:ind w:left="223" w:hanging="222" w:hangingChars="106"/>
              <w:jc w:val="center"/>
              <w:rPr>
                <w:color w:val="auto"/>
                <w:szCs w:val="21"/>
                <w:highlight w:val="none"/>
              </w:rPr>
            </w:pPr>
          </w:p>
        </w:tc>
        <w:tc>
          <w:tcPr>
            <w:tcW w:w="1148" w:type="dxa"/>
            <w:noWrap w:val="0"/>
            <w:vAlign w:val="center"/>
          </w:tcPr>
          <w:p w14:paraId="725B4B3E">
            <w:pPr>
              <w:ind w:left="223" w:hanging="222" w:hangingChars="106"/>
              <w:jc w:val="center"/>
              <w:rPr>
                <w:color w:val="auto"/>
                <w:szCs w:val="21"/>
                <w:highlight w:val="none"/>
              </w:rPr>
            </w:pPr>
          </w:p>
        </w:tc>
        <w:tc>
          <w:tcPr>
            <w:tcW w:w="744" w:type="dxa"/>
            <w:noWrap w:val="0"/>
            <w:vAlign w:val="center"/>
          </w:tcPr>
          <w:p w14:paraId="220A18F1">
            <w:pPr>
              <w:ind w:left="223" w:hanging="222" w:hangingChars="106"/>
              <w:jc w:val="center"/>
              <w:rPr>
                <w:color w:val="auto"/>
                <w:szCs w:val="21"/>
                <w:highlight w:val="none"/>
              </w:rPr>
            </w:pPr>
          </w:p>
        </w:tc>
        <w:tc>
          <w:tcPr>
            <w:tcW w:w="1167" w:type="dxa"/>
            <w:noWrap w:val="0"/>
            <w:vAlign w:val="center"/>
          </w:tcPr>
          <w:p w14:paraId="345FF41C">
            <w:pPr>
              <w:ind w:left="223" w:hanging="222" w:hangingChars="106"/>
              <w:jc w:val="center"/>
              <w:rPr>
                <w:color w:val="auto"/>
                <w:szCs w:val="21"/>
                <w:highlight w:val="none"/>
              </w:rPr>
            </w:pPr>
          </w:p>
        </w:tc>
        <w:tc>
          <w:tcPr>
            <w:tcW w:w="1276" w:type="dxa"/>
            <w:noWrap w:val="0"/>
            <w:vAlign w:val="center"/>
          </w:tcPr>
          <w:p w14:paraId="6C96712F">
            <w:pPr>
              <w:ind w:left="223" w:hanging="222" w:hangingChars="106"/>
              <w:jc w:val="center"/>
              <w:rPr>
                <w:color w:val="auto"/>
                <w:szCs w:val="21"/>
                <w:highlight w:val="none"/>
              </w:rPr>
            </w:pPr>
          </w:p>
        </w:tc>
      </w:tr>
      <w:tr w14:paraId="6A7F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01CE7293">
            <w:pPr>
              <w:ind w:left="223" w:hanging="222" w:hangingChars="106"/>
              <w:jc w:val="center"/>
              <w:rPr>
                <w:color w:val="auto"/>
                <w:szCs w:val="21"/>
                <w:highlight w:val="none"/>
              </w:rPr>
            </w:pPr>
          </w:p>
        </w:tc>
        <w:tc>
          <w:tcPr>
            <w:tcW w:w="670" w:type="dxa"/>
            <w:noWrap w:val="0"/>
            <w:vAlign w:val="center"/>
          </w:tcPr>
          <w:p w14:paraId="1FDD34BC">
            <w:pPr>
              <w:ind w:left="223" w:hanging="222" w:hangingChars="106"/>
              <w:jc w:val="center"/>
              <w:rPr>
                <w:color w:val="auto"/>
                <w:szCs w:val="21"/>
                <w:highlight w:val="none"/>
              </w:rPr>
            </w:pPr>
          </w:p>
        </w:tc>
        <w:tc>
          <w:tcPr>
            <w:tcW w:w="829" w:type="dxa"/>
            <w:noWrap w:val="0"/>
            <w:vAlign w:val="center"/>
          </w:tcPr>
          <w:p w14:paraId="33921F9E">
            <w:pPr>
              <w:ind w:left="223" w:hanging="222" w:hangingChars="106"/>
              <w:jc w:val="center"/>
              <w:rPr>
                <w:color w:val="auto"/>
                <w:szCs w:val="21"/>
                <w:highlight w:val="none"/>
              </w:rPr>
            </w:pPr>
          </w:p>
        </w:tc>
        <w:tc>
          <w:tcPr>
            <w:tcW w:w="816" w:type="dxa"/>
            <w:noWrap w:val="0"/>
            <w:vAlign w:val="center"/>
          </w:tcPr>
          <w:p w14:paraId="1FB5AC3E">
            <w:pPr>
              <w:ind w:left="223" w:hanging="222" w:hangingChars="106"/>
              <w:jc w:val="center"/>
              <w:rPr>
                <w:color w:val="auto"/>
                <w:szCs w:val="21"/>
                <w:highlight w:val="none"/>
              </w:rPr>
            </w:pPr>
          </w:p>
        </w:tc>
        <w:tc>
          <w:tcPr>
            <w:tcW w:w="1148" w:type="dxa"/>
            <w:noWrap w:val="0"/>
            <w:vAlign w:val="center"/>
          </w:tcPr>
          <w:p w14:paraId="1D444B83">
            <w:pPr>
              <w:ind w:left="223" w:hanging="222" w:hangingChars="106"/>
              <w:jc w:val="center"/>
              <w:rPr>
                <w:color w:val="auto"/>
                <w:szCs w:val="21"/>
                <w:highlight w:val="none"/>
              </w:rPr>
            </w:pPr>
          </w:p>
        </w:tc>
        <w:tc>
          <w:tcPr>
            <w:tcW w:w="1148" w:type="dxa"/>
            <w:noWrap w:val="0"/>
            <w:vAlign w:val="center"/>
          </w:tcPr>
          <w:p w14:paraId="180F8EAB">
            <w:pPr>
              <w:ind w:left="223" w:hanging="222" w:hangingChars="106"/>
              <w:jc w:val="center"/>
              <w:rPr>
                <w:color w:val="auto"/>
                <w:szCs w:val="21"/>
                <w:highlight w:val="none"/>
              </w:rPr>
            </w:pPr>
          </w:p>
        </w:tc>
        <w:tc>
          <w:tcPr>
            <w:tcW w:w="1148" w:type="dxa"/>
            <w:noWrap w:val="0"/>
            <w:vAlign w:val="center"/>
          </w:tcPr>
          <w:p w14:paraId="085BADB3">
            <w:pPr>
              <w:ind w:left="223" w:hanging="222" w:hangingChars="106"/>
              <w:jc w:val="center"/>
              <w:rPr>
                <w:color w:val="auto"/>
                <w:szCs w:val="21"/>
                <w:highlight w:val="none"/>
              </w:rPr>
            </w:pPr>
          </w:p>
        </w:tc>
        <w:tc>
          <w:tcPr>
            <w:tcW w:w="744" w:type="dxa"/>
            <w:noWrap w:val="0"/>
            <w:vAlign w:val="center"/>
          </w:tcPr>
          <w:p w14:paraId="2A841039">
            <w:pPr>
              <w:ind w:left="223" w:hanging="222" w:hangingChars="106"/>
              <w:jc w:val="center"/>
              <w:rPr>
                <w:color w:val="auto"/>
                <w:szCs w:val="21"/>
                <w:highlight w:val="none"/>
              </w:rPr>
            </w:pPr>
          </w:p>
        </w:tc>
        <w:tc>
          <w:tcPr>
            <w:tcW w:w="1167" w:type="dxa"/>
            <w:noWrap w:val="0"/>
            <w:vAlign w:val="center"/>
          </w:tcPr>
          <w:p w14:paraId="0FB406A3">
            <w:pPr>
              <w:ind w:left="223" w:hanging="222" w:hangingChars="106"/>
              <w:jc w:val="center"/>
              <w:rPr>
                <w:color w:val="auto"/>
                <w:szCs w:val="21"/>
                <w:highlight w:val="none"/>
              </w:rPr>
            </w:pPr>
          </w:p>
        </w:tc>
        <w:tc>
          <w:tcPr>
            <w:tcW w:w="1276" w:type="dxa"/>
            <w:noWrap w:val="0"/>
            <w:vAlign w:val="center"/>
          </w:tcPr>
          <w:p w14:paraId="33EEBCA3">
            <w:pPr>
              <w:ind w:left="223" w:hanging="222" w:hangingChars="106"/>
              <w:jc w:val="center"/>
              <w:rPr>
                <w:color w:val="auto"/>
                <w:szCs w:val="21"/>
                <w:highlight w:val="none"/>
              </w:rPr>
            </w:pPr>
          </w:p>
        </w:tc>
      </w:tr>
      <w:tr w14:paraId="2B8EC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9866" w:type="dxa"/>
            <w:gridSpan w:val="10"/>
            <w:noWrap w:val="0"/>
            <w:vAlign w:val="center"/>
          </w:tcPr>
          <w:p w14:paraId="1DFC27E8">
            <w:pPr>
              <w:ind w:firstLine="420" w:firstLineChars="200"/>
              <w:jc w:val="both"/>
              <w:rPr>
                <w:color w:val="auto"/>
                <w:highlight w:val="none"/>
              </w:rPr>
            </w:pPr>
            <w:r>
              <w:rPr>
                <w:rFonts w:hint="eastAsia"/>
                <w:color w:val="auto"/>
                <w:highlight w:val="none"/>
              </w:rPr>
              <w:t>一旦我单位成交，将实行项目经理负责制，我方保证并配备上述项目管理机构。上述填报内容真实，若不真实，愿按有关规定接受处理。项目管理班子机构设置、职责分工等情况另附资料说明。</w:t>
            </w:r>
          </w:p>
        </w:tc>
      </w:tr>
    </w:tbl>
    <w:p w14:paraId="4D3153F7">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备注：</w:t>
      </w:r>
    </w:p>
    <w:p w14:paraId="4E99752E">
      <w:pPr>
        <w:spacing w:line="360" w:lineRule="auto"/>
        <w:ind w:firstLine="480" w:firstLineChars="200"/>
        <w:contextualSpacing/>
        <w:jc w:val="left"/>
        <w:rPr>
          <w:rFonts w:hint="eastAsia"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本表所列岗位的所有管理人员的情况均应如实填写。可按以上格式扩展为多页填写。</w:t>
      </w:r>
    </w:p>
    <w:p w14:paraId="350F9BFE">
      <w:pPr>
        <w:spacing w:line="360" w:lineRule="auto"/>
        <w:ind w:firstLine="480" w:firstLineChars="200"/>
        <w:contextualSpacing/>
        <w:jc w:val="left"/>
        <w:rPr>
          <w:rFonts w:hint="eastAsia" w:ascii="宋体" w:hAnsi="宋体"/>
          <w:color w:val="auto"/>
          <w:sz w:val="24"/>
          <w:szCs w:val="20"/>
          <w:highlight w:val="none"/>
        </w:rPr>
      </w:pPr>
      <w:r>
        <w:rPr>
          <w:rFonts w:hint="eastAsia" w:ascii="宋体" w:hAnsi="宋体"/>
          <w:color w:val="auto"/>
          <w:sz w:val="24"/>
          <w:szCs w:val="20"/>
          <w:highlight w:val="none"/>
        </w:rPr>
        <w:t>2</w:t>
      </w:r>
      <w:r>
        <w:rPr>
          <w:rFonts w:ascii="宋体" w:hAnsi="宋体"/>
          <w:color w:val="auto"/>
          <w:sz w:val="24"/>
          <w:szCs w:val="20"/>
          <w:highlight w:val="none"/>
        </w:rPr>
        <w:t>.</w:t>
      </w:r>
      <w:r>
        <w:rPr>
          <w:rFonts w:hint="eastAsia" w:ascii="宋体" w:hAnsi="宋体"/>
          <w:color w:val="auto"/>
          <w:sz w:val="24"/>
          <w:szCs w:val="20"/>
          <w:highlight w:val="none"/>
        </w:rPr>
        <w:t>供应商应当在本表后附所有管理人员的身份证、职称证、执业或职业资格证书、</w:t>
      </w:r>
      <w:r>
        <w:rPr>
          <w:rFonts w:hint="eastAsia" w:ascii="宋体" w:hAnsi="宋体"/>
          <w:color w:val="auto"/>
          <w:sz w:val="24"/>
          <w:szCs w:val="20"/>
          <w:highlight w:val="none"/>
          <w:lang w:val="en-US" w:eastAsia="zh-CN"/>
        </w:rPr>
        <w:t>2025年01月以来任意</w:t>
      </w:r>
      <w:r>
        <w:rPr>
          <w:rFonts w:hint="eastAsia" w:ascii="宋体" w:hAnsi="宋体"/>
          <w:color w:val="auto"/>
          <w:sz w:val="24"/>
          <w:szCs w:val="20"/>
          <w:highlight w:val="none"/>
        </w:rPr>
        <w:t>1个月在</w:t>
      </w:r>
      <w:r>
        <w:rPr>
          <w:rFonts w:hint="eastAsia" w:ascii="宋体" w:hAnsi="宋体"/>
          <w:color w:val="auto"/>
          <w:sz w:val="24"/>
          <w:szCs w:val="20"/>
          <w:highlight w:val="none"/>
          <w:lang w:eastAsia="zh-CN"/>
        </w:rPr>
        <w:t>供应商</w:t>
      </w:r>
      <w:r>
        <w:rPr>
          <w:rFonts w:hint="eastAsia" w:ascii="宋体" w:hAnsi="宋体"/>
          <w:color w:val="auto"/>
          <w:sz w:val="24"/>
          <w:szCs w:val="20"/>
          <w:highlight w:val="none"/>
        </w:rPr>
        <w:t>单位依法缴纳社会保险的证明材料的复印件并加盖供应商电子签章。</w:t>
      </w:r>
    </w:p>
    <w:p w14:paraId="0EDB680A">
      <w:pPr>
        <w:spacing w:line="360" w:lineRule="auto"/>
        <w:ind w:firstLine="480" w:firstLineChars="200"/>
        <w:contextualSpacing/>
        <w:jc w:val="left"/>
        <w:rPr>
          <w:rFonts w:hint="eastAsia" w:ascii="宋体" w:hAnsi="宋体"/>
          <w:color w:val="auto"/>
          <w:sz w:val="24"/>
          <w:szCs w:val="20"/>
          <w:highlight w:val="none"/>
        </w:rPr>
      </w:pPr>
    </w:p>
    <w:p w14:paraId="05E31E69">
      <w:pPr>
        <w:spacing w:line="360" w:lineRule="auto"/>
        <w:ind w:right="480"/>
        <w:contextualSpacing/>
        <w:jc w:val="center"/>
        <w:rPr>
          <w:rFonts w:hint="eastAsia" w:ascii="宋体" w:hAnsi="宋体"/>
          <w:color w:val="auto"/>
          <w:sz w:val="24"/>
          <w:szCs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法定代表人或者委托代理人（签字或者电子签名）：</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570C501F">
      <w:pPr>
        <w:spacing w:line="360" w:lineRule="auto"/>
        <w:ind w:right="480" w:firstLine="3360" w:firstLineChars="1400"/>
        <w:contextualSpacing/>
        <w:rPr>
          <w:rFonts w:hint="eastAsia" w:ascii="宋体" w:hAnsi="宋体"/>
          <w:color w:val="auto"/>
          <w:sz w:val="24"/>
          <w:szCs w:val="24"/>
          <w:highlight w:val="none"/>
        </w:rPr>
      </w:pPr>
      <w:r>
        <w:rPr>
          <w:rFonts w:hint="eastAsia" w:ascii="宋体" w:hAnsi="宋体"/>
          <w:color w:val="auto"/>
          <w:sz w:val="24"/>
          <w:szCs w:val="24"/>
          <w:highlight w:val="none"/>
        </w:rPr>
        <w:t>供应商（电子签章）：</w:t>
      </w:r>
      <w:r>
        <w:rPr>
          <w:rFonts w:hint="eastAsia" w:ascii="宋体" w:hAnsi="宋体"/>
          <w:color w:val="auto"/>
          <w:sz w:val="24"/>
          <w:szCs w:val="24"/>
          <w:highlight w:val="none"/>
          <w:u w:val="single"/>
        </w:rPr>
        <w:t xml:space="preserve">                </w:t>
      </w:r>
    </w:p>
    <w:p w14:paraId="4E7F7164">
      <w:pPr>
        <w:spacing w:line="360" w:lineRule="auto"/>
        <w:ind w:firstLine="480" w:firstLineChars="200"/>
        <w:contextualSpacing/>
        <w:jc w:val="left"/>
        <w:rPr>
          <w:rFonts w:ascii="宋体" w:hAnsi="宋体"/>
          <w:color w:val="auto"/>
          <w:sz w:val="24"/>
          <w:szCs w:val="24"/>
          <w:highlight w:val="none"/>
        </w:rPr>
      </w:pPr>
      <w:r>
        <w:rPr>
          <w:rFonts w:hint="eastAsia" w:ascii="宋体" w:hAnsi="宋体"/>
          <w:color w:val="auto"/>
          <w:sz w:val="24"/>
          <w:szCs w:val="24"/>
          <w:highlight w:val="none"/>
        </w:rPr>
        <w:t xml:space="preserve">                                        年    月    日</w:t>
      </w:r>
    </w:p>
    <w:p w14:paraId="7667DA6A">
      <w:pPr>
        <w:spacing w:before="100" w:line="225" w:lineRule="auto"/>
        <w:ind w:left="16"/>
        <w:outlineLvl w:val="9"/>
        <w:rPr>
          <w:rFonts w:ascii="Cambria" w:hAnsi="Cambria" w:eastAsia="Cambria" w:cs="Cambria"/>
          <w:color w:val="auto"/>
          <w:spacing w:val="-1"/>
          <w:sz w:val="31"/>
          <w:szCs w:val="31"/>
          <w:highlight w:val="none"/>
        </w:rPr>
      </w:pPr>
      <w:r>
        <w:rPr>
          <w:rFonts w:ascii="宋体" w:hAnsi="宋体"/>
          <w:b/>
          <w:color w:val="auto"/>
          <w:sz w:val="32"/>
          <w:szCs w:val="32"/>
          <w:highlight w:val="none"/>
        </w:rPr>
        <w:br w:type="page"/>
      </w:r>
    </w:p>
    <w:p w14:paraId="2C36C6D8">
      <w:pPr>
        <w:pStyle w:val="49"/>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附：大型、 中型和小型、微型企业划型标准</w:t>
      </w:r>
    </w:p>
    <w:p w14:paraId="2C6698EC">
      <w:pPr>
        <w:pStyle w:val="49"/>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根据(工信部联企业[2011]300 号)文</w:t>
      </w:r>
    </w:p>
    <w:tbl>
      <w:tblPr>
        <w:tblStyle w:val="61"/>
        <w:tblW w:w="85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4"/>
        <w:gridCol w:w="1187"/>
        <w:gridCol w:w="900"/>
        <w:gridCol w:w="1399"/>
        <w:gridCol w:w="1535"/>
        <w:gridCol w:w="1295"/>
        <w:gridCol w:w="1004"/>
      </w:tblGrid>
      <w:tr w14:paraId="22DE5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184" w:type="dxa"/>
            <w:vAlign w:val="top"/>
          </w:tcPr>
          <w:p w14:paraId="3EE06A54">
            <w:pPr>
              <w:keepNext w:val="0"/>
              <w:keepLines w:val="0"/>
              <w:pageBreakBefore w:val="0"/>
              <w:widowControl w:val="0"/>
              <w:kinsoku/>
              <w:wordWrap/>
              <w:overflowPunct/>
              <w:topLinePunct w:val="0"/>
              <w:autoSpaceDE/>
              <w:autoSpaceDN/>
              <w:bidi w:val="0"/>
              <w:adjustRightInd/>
              <w:snapToGrid/>
              <w:spacing w:before="104" w:line="200" w:lineRule="exact"/>
              <w:ind w:left="126"/>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14:textOutline w14:w="4358" w14:cap="sq" w14:cmpd="sng">
                  <w14:solidFill>
                    <w14:srgbClr w14:val="000000"/>
                  </w14:solidFill>
                  <w14:prstDash w14:val="solid"/>
                  <w14:bevel/>
                </w14:textOutline>
              </w:rPr>
              <w:t>行业名称</w:t>
            </w:r>
          </w:p>
        </w:tc>
        <w:tc>
          <w:tcPr>
            <w:tcW w:w="1187" w:type="dxa"/>
            <w:vAlign w:val="top"/>
          </w:tcPr>
          <w:p w14:paraId="26DC48FD">
            <w:pPr>
              <w:keepNext w:val="0"/>
              <w:keepLines w:val="0"/>
              <w:pageBreakBefore w:val="0"/>
              <w:widowControl w:val="0"/>
              <w:kinsoku/>
              <w:wordWrap/>
              <w:overflowPunct/>
              <w:topLinePunct w:val="0"/>
              <w:autoSpaceDE/>
              <w:autoSpaceDN/>
              <w:bidi w:val="0"/>
              <w:adjustRightInd/>
              <w:snapToGrid/>
              <w:spacing w:before="104" w:line="200" w:lineRule="exact"/>
              <w:ind w:left="126"/>
              <w:textAlignment w:val="auto"/>
              <w:rPr>
                <w:rFonts w:ascii="仿宋" w:hAnsi="仿宋" w:eastAsia="仿宋" w:cs="仿宋"/>
                <w:color w:val="auto"/>
                <w:sz w:val="23"/>
                <w:szCs w:val="23"/>
                <w:highlight w:val="none"/>
              </w:rPr>
            </w:pPr>
            <w:r>
              <w:rPr>
                <w:rFonts w:ascii="仿宋" w:hAnsi="仿宋" w:eastAsia="仿宋" w:cs="仿宋"/>
                <w:color w:val="auto"/>
                <w:spacing w:val="8"/>
                <w:sz w:val="23"/>
                <w:szCs w:val="23"/>
                <w:highlight w:val="none"/>
                <w14:textOutline w14:w="4358" w14:cap="sq" w14:cmpd="sng">
                  <w14:solidFill>
                    <w14:srgbClr w14:val="000000"/>
                  </w14:solidFill>
                  <w14:prstDash w14:val="solid"/>
                  <w14:bevel/>
                </w14:textOutline>
              </w:rPr>
              <w:t>指</w:t>
            </w:r>
            <w:r>
              <w:rPr>
                <w:rFonts w:ascii="仿宋" w:hAnsi="仿宋" w:eastAsia="仿宋" w:cs="仿宋"/>
                <w:color w:val="auto"/>
                <w:spacing w:val="6"/>
                <w:sz w:val="23"/>
                <w:szCs w:val="23"/>
                <w:highlight w:val="none"/>
                <w14:textOutline w14:w="4358" w14:cap="sq" w14:cmpd="sng">
                  <w14:solidFill>
                    <w14:srgbClr w14:val="000000"/>
                  </w14:solidFill>
                  <w14:prstDash w14:val="solid"/>
                  <w14:bevel/>
                </w14:textOutline>
              </w:rPr>
              <w:t>标名称</w:t>
            </w:r>
          </w:p>
        </w:tc>
        <w:tc>
          <w:tcPr>
            <w:tcW w:w="900" w:type="dxa"/>
            <w:vAlign w:val="top"/>
          </w:tcPr>
          <w:p w14:paraId="43B51FD8">
            <w:pPr>
              <w:keepNext w:val="0"/>
              <w:keepLines w:val="0"/>
              <w:pageBreakBefore w:val="0"/>
              <w:widowControl w:val="0"/>
              <w:kinsoku/>
              <w:wordWrap/>
              <w:overflowPunct/>
              <w:topLinePunct w:val="0"/>
              <w:autoSpaceDE/>
              <w:autoSpaceDN/>
              <w:bidi w:val="0"/>
              <w:adjustRightInd/>
              <w:snapToGrid/>
              <w:spacing w:before="104" w:line="200" w:lineRule="exact"/>
              <w:ind w:left="228"/>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14:textOutline w14:w="4358" w14:cap="sq" w14:cmpd="sng">
                  <w14:solidFill>
                    <w14:srgbClr w14:val="000000"/>
                  </w14:solidFill>
                  <w14:prstDash w14:val="solid"/>
                  <w14:bevel/>
                </w14:textOutline>
              </w:rPr>
              <w:t>单</w:t>
            </w:r>
            <w:r>
              <w:rPr>
                <w:rFonts w:ascii="仿宋" w:hAnsi="仿宋" w:eastAsia="仿宋" w:cs="仿宋"/>
                <w:color w:val="auto"/>
                <w:sz w:val="23"/>
                <w:szCs w:val="23"/>
                <w:highlight w:val="none"/>
                <w14:textOutline w14:w="4358" w14:cap="sq" w14:cmpd="sng">
                  <w14:solidFill>
                    <w14:srgbClr w14:val="000000"/>
                  </w14:solidFill>
                  <w14:prstDash w14:val="solid"/>
                  <w14:bevel/>
                </w14:textOutline>
              </w:rPr>
              <w:t>位</w:t>
            </w:r>
          </w:p>
        </w:tc>
        <w:tc>
          <w:tcPr>
            <w:tcW w:w="1399" w:type="dxa"/>
            <w:vAlign w:val="top"/>
          </w:tcPr>
          <w:p w14:paraId="64613C90">
            <w:pPr>
              <w:keepNext w:val="0"/>
              <w:keepLines w:val="0"/>
              <w:pageBreakBefore w:val="0"/>
              <w:widowControl w:val="0"/>
              <w:kinsoku/>
              <w:wordWrap/>
              <w:overflowPunct/>
              <w:topLinePunct w:val="0"/>
              <w:autoSpaceDE/>
              <w:autoSpaceDN/>
              <w:bidi w:val="0"/>
              <w:adjustRightInd/>
              <w:snapToGrid/>
              <w:spacing w:before="104" w:line="200" w:lineRule="exact"/>
              <w:ind w:left="47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14:textOutline w14:w="4358" w14:cap="sq" w14:cmpd="sng">
                  <w14:solidFill>
                    <w14:srgbClr w14:val="000000"/>
                  </w14:solidFill>
                  <w14:prstDash w14:val="solid"/>
                  <w14:bevel/>
                </w14:textOutline>
              </w:rPr>
              <w:t>大</w:t>
            </w:r>
            <w:r>
              <w:rPr>
                <w:rFonts w:ascii="仿宋" w:hAnsi="仿宋" w:eastAsia="仿宋" w:cs="仿宋"/>
                <w:color w:val="auto"/>
                <w:sz w:val="23"/>
                <w:szCs w:val="23"/>
                <w:highlight w:val="none"/>
                <w14:textOutline w14:w="4358" w14:cap="sq" w14:cmpd="sng">
                  <w14:solidFill>
                    <w14:srgbClr w14:val="000000"/>
                  </w14:solidFill>
                  <w14:prstDash w14:val="solid"/>
                  <w14:bevel/>
                </w14:textOutline>
              </w:rPr>
              <w:t>型</w:t>
            </w:r>
          </w:p>
        </w:tc>
        <w:tc>
          <w:tcPr>
            <w:tcW w:w="1535" w:type="dxa"/>
            <w:vAlign w:val="top"/>
          </w:tcPr>
          <w:p w14:paraId="409FCD1D">
            <w:pPr>
              <w:keepNext w:val="0"/>
              <w:keepLines w:val="0"/>
              <w:pageBreakBefore w:val="0"/>
              <w:widowControl w:val="0"/>
              <w:kinsoku/>
              <w:wordWrap/>
              <w:overflowPunct/>
              <w:topLinePunct w:val="0"/>
              <w:autoSpaceDE/>
              <w:autoSpaceDN/>
              <w:bidi w:val="0"/>
              <w:adjustRightInd/>
              <w:snapToGrid/>
              <w:spacing w:before="104" w:line="200" w:lineRule="exact"/>
              <w:ind w:left="571"/>
              <w:textAlignment w:val="auto"/>
              <w:rPr>
                <w:rFonts w:ascii="仿宋" w:hAnsi="仿宋" w:eastAsia="仿宋" w:cs="仿宋"/>
                <w:color w:val="auto"/>
                <w:sz w:val="23"/>
                <w:szCs w:val="23"/>
                <w:highlight w:val="none"/>
              </w:rPr>
            </w:pPr>
            <w:r>
              <w:rPr>
                <w:rFonts w:ascii="仿宋" w:hAnsi="仿宋" w:eastAsia="仿宋" w:cs="仿宋"/>
                <w:color w:val="auto"/>
                <w:spacing w:val="-14"/>
                <w:sz w:val="23"/>
                <w:szCs w:val="23"/>
                <w:highlight w:val="none"/>
                <w14:textOutline w14:w="4358" w14:cap="sq" w14:cmpd="sng">
                  <w14:solidFill>
                    <w14:srgbClr w14:val="000000"/>
                  </w14:solidFill>
                  <w14:prstDash w14:val="solid"/>
                  <w14:bevel/>
                </w14:textOutline>
              </w:rPr>
              <w:t>中</w:t>
            </w:r>
            <w:r>
              <w:rPr>
                <w:rFonts w:ascii="仿宋" w:hAnsi="仿宋" w:eastAsia="仿宋" w:cs="仿宋"/>
                <w:color w:val="auto"/>
                <w:spacing w:val="-13"/>
                <w:sz w:val="23"/>
                <w:szCs w:val="23"/>
                <w:highlight w:val="none"/>
                <w14:textOutline w14:w="4358" w14:cap="sq" w14:cmpd="sng">
                  <w14:solidFill>
                    <w14:srgbClr w14:val="000000"/>
                  </w14:solidFill>
                  <w14:prstDash w14:val="solid"/>
                  <w14:bevel/>
                </w14:textOutline>
              </w:rPr>
              <w:t>型</w:t>
            </w:r>
          </w:p>
        </w:tc>
        <w:tc>
          <w:tcPr>
            <w:tcW w:w="1295" w:type="dxa"/>
            <w:vAlign w:val="top"/>
          </w:tcPr>
          <w:p w14:paraId="577428E7">
            <w:pPr>
              <w:keepNext w:val="0"/>
              <w:keepLines w:val="0"/>
              <w:pageBreakBefore w:val="0"/>
              <w:widowControl w:val="0"/>
              <w:kinsoku/>
              <w:wordWrap/>
              <w:overflowPunct/>
              <w:topLinePunct w:val="0"/>
              <w:autoSpaceDE/>
              <w:autoSpaceDN/>
              <w:bidi w:val="0"/>
              <w:adjustRightInd/>
              <w:snapToGrid/>
              <w:spacing w:before="105" w:line="200" w:lineRule="exact"/>
              <w:ind w:left="42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14:textOutline w14:w="4358" w14:cap="sq" w14:cmpd="sng">
                  <w14:solidFill>
                    <w14:srgbClr w14:val="000000"/>
                  </w14:solidFill>
                  <w14:prstDash w14:val="solid"/>
                  <w14:bevel/>
                </w14:textOutline>
              </w:rPr>
              <w:t>小型</w:t>
            </w:r>
          </w:p>
        </w:tc>
        <w:tc>
          <w:tcPr>
            <w:tcW w:w="1004" w:type="dxa"/>
            <w:vAlign w:val="top"/>
          </w:tcPr>
          <w:p w14:paraId="73B38A9A">
            <w:pPr>
              <w:keepNext w:val="0"/>
              <w:keepLines w:val="0"/>
              <w:pageBreakBefore w:val="0"/>
              <w:widowControl w:val="0"/>
              <w:kinsoku/>
              <w:wordWrap/>
              <w:overflowPunct/>
              <w:topLinePunct w:val="0"/>
              <w:autoSpaceDE/>
              <w:autoSpaceDN/>
              <w:bidi w:val="0"/>
              <w:adjustRightInd/>
              <w:snapToGrid/>
              <w:spacing w:before="104" w:line="200" w:lineRule="exact"/>
              <w:ind w:left="275"/>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14:textOutline w14:w="4358" w14:cap="sq" w14:cmpd="sng">
                  <w14:solidFill>
                    <w14:srgbClr w14:val="000000"/>
                  </w14:solidFill>
                  <w14:prstDash w14:val="solid"/>
                  <w14:bevel/>
                </w14:textOutline>
              </w:rPr>
              <w:t>微型</w:t>
            </w:r>
          </w:p>
        </w:tc>
      </w:tr>
      <w:tr w14:paraId="20CEA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184" w:type="dxa"/>
            <w:vAlign w:val="top"/>
          </w:tcPr>
          <w:p w14:paraId="0947E730">
            <w:pPr>
              <w:keepNext w:val="0"/>
              <w:keepLines w:val="0"/>
              <w:pageBreakBefore w:val="0"/>
              <w:widowControl w:val="0"/>
              <w:kinsoku/>
              <w:wordWrap/>
              <w:overflowPunct/>
              <w:topLinePunct w:val="0"/>
              <w:autoSpaceDE/>
              <w:autoSpaceDN/>
              <w:bidi w:val="0"/>
              <w:adjustRightInd/>
              <w:snapToGrid/>
              <w:spacing w:before="99"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农林牧</w:t>
            </w:r>
            <w:r>
              <w:rPr>
                <w:rFonts w:ascii="仿宋" w:hAnsi="仿宋" w:eastAsia="仿宋" w:cs="仿宋"/>
                <w:color w:val="auto"/>
                <w:spacing w:val="5"/>
                <w:sz w:val="23"/>
                <w:szCs w:val="23"/>
                <w:highlight w:val="none"/>
              </w:rPr>
              <w:t>渔</w:t>
            </w:r>
          </w:p>
        </w:tc>
        <w:tc>
          <w:tcPr>
            <w:tcW w:w="1187" w:type="dxa"/>
            <w:vAlign w:val="top"/>
          </w:tcPr>
          <w:p w14:paraId="01EAB9AA">
            <w:pPr>
              <w:keepNext w:val="0"/>
              <w:keepLines w:val="0"/>
              <w:pageBreakBefore w:val="0"/>
              <w:widowControl w:val="0"/>
              <w:kinsoku/>
              <w:wordWrap/>
              <w:overflowPunct/>
              <w:topLinePunct w:val="0"/>
              <w:autoSpaceDE/>
              <w:autoSpaceDN/>
              <w:bidi w:val="0"/>
              <w:adjustRightInd/>
              <w:snapToGrid/>
              <w:spacing w:before="100"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43854BD2">
            <w:pPr>
              <w:keepNext w:val="0"/>
              <w:keepLines w:val="0"/>
              <w:pageBreakBefore w:val="0"/>
              <w:widowControl w:val="0"/>
              <w:kinsoku/>
              <w:wordWrap/>
              <w:overflowPunct/>
              <w:topLinePunct w:val="0"/>
              <w:autoSpaceDE/>
              <w:autoSpaceDN/>
              <w:bidi w:val="0"/>
              <w:adjustRightInd/>
              <w:snapToGrid/>
              <w:spacing w:before="100"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714BA72E">
            <w:pPr>
              <w:keepNext w:val="0"/>
              <w:keepLines w:val="0"/>
              <w:pageBreakBefore w:val="0"/>
              <w:widowControl w:val="0"/>
              <w:kinsoku/>
              <w:wordWrap/>
              <w:overflowPunct/>
              <w:topLinePunct w:val="0"/>
              <w:autoSpaceDE/>
              <w:autoSpaceDN/>
              <w:bidi w:val="0"/>
              <w:adjustRightInd/>
              <w:snapToGrid/>
              <w:spacing w:before="100"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≥2</w:t>
            </w:r>
            <w:r>
              <w:rPr>
                <w:rFonts w:ascii="仿宋" w:hAnsi="仿宋" w:eastAsia="仿宋" w:cs="仿宋"/>
                <w:color w:val="auto"/>
                <w:position w:val="1"/>
                <w:sz w:val="23"/>
                <w:szCs w:val="23"/>
                <w:highlight w:val="none"/>
              </w:rPr>
              <w:t>0000</w:t>
            </w:r>
          </w:p>
        </w:tc>
        <w:tc>
          <w:tcPr>
            <w:tcW w:w="1535" w:type="dxa"/>
            <w:vAlign w:val="top"/>
          </w:tcPr>
          <w:p w14:paraId="1D69B12A">
            <w:pPr>
              <w:keepNext w:val="0"/>
              <w:keepLines w:val="0"/>
              <w:pageBreakBefore w:val="0"/>
              <w:widowControl w:val="0"/>
              <w:kinsoku/>
              <w:wordWrap/>
              <w:overflowPunct/>
              <w:topLinePunct w:val="0"/>
              <w:autoSpaceDE/>
              <w:autoSpaceDN/>
              <w:bidi w:val="0"/>
              <w:adjustRightInd/>
              <w:snapToGrid/>
              <w:spacing w:before="141" w:line="200" w:lineRule="exact"/>
              <w:ind w:left="23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w:t>
            </w:r>
            <w:r>
              <w:rPr>
                <w:rFonts w:ascii="仿宋" w:hAnsi="仿宋" w:eastAsia="仿宋" w:cs="仿宋"/>
                <w:color w:val="auto"/>
                <w:spacing w:val="4"/>
                <w:sz w:val="23"/>
                <w:szCs w:val="23"/>
                <w:highlight w:val="none"/>
              </w:rPr>
              <w:t>0</w:t>
            </w:r>
            <w:r>
              <w:rPr>
                <w:rFonts w:ascii="仿宋" w:hAnsi="仿宋" w:eastAsia="仿宋" w:cs="仿宋"/>
                <w:color w:val="auto"/>
                <w:spacing w:val="3"/>
                <w:sz w:val="23"/>
                <w:szCs w:val="23"/>
                <w:highlight w:val="none"/>
              </w:rPr>
              <w:t>0-20000</w:t>
            </w:r>
          </w:p>
        </w:tc>
        <w:tc>
          <w:tcPr>
            <w:tcW w:w="1295" w:type="dxa"/>
            <w:vAlign w:val="top"/>
          </w:tcPr>
          <w:p w14:paraId="6522E8B0">
            <w:pPr>
              <w:keepNext w:val="0"/>
              <w:keepLines w:val="0"/>
              <w:pageBreakBefore w:val="0"/>
              <w:widowControl w:val="0"/>
              <w:kinsoku/>
              <w:wordWrap/>
              <w:overflowPunct/>
              <w:topLinePunct w:val="0"/>
              <w:autoSpaceDE/>
              <w:autoSpaceDN/>
              <w:bidi w:val="0"/>
              <w:adjustRightInd/>
              <w:snapToGrid/>
              <w:spacing w:before="141" w:line="200" w:lineRule="exact"/>
              <w:ind w:left="298"/>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50</w:t>
            </w:r>
            <w:r>
              <w:rPr>
                <w:rFonts w:ascii="仿宋" w:hAnsi="仿宋" w:eastAsia="仿宋" w:cs="仿宋"/>
                <w:color w:val="auto"/>
                <w:spacing w:val="2"/>
                <w:sz w:val="23"/>
                <w:szCs w:val="23"/>
                <w:highlight w:val="none"/>
              </w:rPr>
              <w:t>-500</w:t>
            </w:r>
          </w:p>
        </w:tc>
        <w:tc>
          <w:tcPr>
            <w:tcW w:w="1004" w:type="dxa"/>
            <w:vAlign w:val="top"/>
          </w:tcPr>
          <w:p w14:paraId="24262C57">
            <w:pPr>
              <w:keepNext w:val="0"/>
              <w:keepLines w:val="0"/>
              <w:pageBreakBefore w:val="0"/>
              <w:widowControl w:val="0"/>
              <w:kinsoku/>
              <w:wordWrap/>
              <w:overflowPunct/>
              <w:topLinePunct w:val="0"/>
              <w:autoSpaceDE/>
              <w:autoSpaceDN/>
              <w:bidi w:val="0"/>
              <w:adjustRightInd/>
              <w:snapToGrid/>
              <w:spacing w:before="100"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50</w:t>
            </w:r>
          </w:p>
        </w:tc>
      </w:tr>
      <w:tr w14:paraId="3F79A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184" w:type="dxa"/>
            <w:vMerge w:val="restart"/>
            <w:tcBorders>
              <w:bottom w:val="nil"/>
            </w:tcBorders>
            <w:vAlign w:val="top"/>
          </w:tcPr>
          <w:p w14:paraId="749E3278">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22394C18">
            <w:pPr>
              <w:keepNext w:val="0"/>
              <w:keepLines w:val="0"/>
              <w:pageBreakBefore w:val="0"/>
              <w:widowControl w:val="0"/>
              <w:kinsoku/>
              <w:wordWrap/>
              <w:overflowPunct/>
              <w:topLinePunct w:val="0"/>
              <w:autoSpaceDE/>
              <w:autoSpaceDN/>
              <w:bidi w:val="0"/>
              <w:adjustRightInd/>
              <w:snapToGrid/>
              <w:spacing w:before="75"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工业</w:t>
            </w:r>
          </w:p>
        </w:tc>
        <w:tc>
          <w:tcPr>
            <w:tcW w:w="1187" w:type="dxa"/>
            <w:vAlign w:val="top"/>
          </w:tcPr>
          <w:p w14:paraId="6911ABD6">
            <w:pPr>
              <w:keepNext w:val="0"/>
              <w:keepLines w:val="0"/>
              <w:pageBreakBefore w:val="0"/>
              <w:widowControl w:val="0"/>
              <w:kinsoku/>
              <w:wordWrap/>
              <w:overflowPunct/>
              <w:topLinePunct w:val="0"/>
              <w:autoSpaceDE/>
              <w:autoSpaceDN/>
              <w:bidi w:val="0"/>
              <w:adjustRightInd/>
              <w:snapToGrid/>
              <w:spacing w:before="101"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38190725">
            <w:pPr>
              <w:keepNext w:val="0"/>
              <w:keepLines w:val="0"/>
              <w:pageBreakBefore w:val="0"/>
              <w:widowControl w:val="0"/>
              <w:kinsoku/>
              <w:wordWrap/>
              <w:overflowPunct/>
              <w:topLinePunct w:val="0"/>
              <w:autoSpaceDE/>
              <w:autoSpaceDN/>
              <w:bidi w:val="0"/>
              <w:adjustRightInd/>
              <w:snapToGrid/>
              <w:spacing w:before="101"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19A61A8D">
            <w:pPr>
              <w:keepNext w:val="0"/>
              <w:keepLines w:val="0"/>
              <w:pageBreakBefore w:val="0"/>
              <w:widowControl w:val="0"/>
              <w:kinsoku/>
              <w:wordWrap/>
              <w:overflowPunct/>
              <w:topLinePunct w:val="0"/>
              <w:autoSpaceDE/>
              <w:autoSpaceDN/>
              <w:bidi w:val="0"/>
              <w:adjustRightInd/>
              <w:snapToGrid/>
              <w:spacing w:before="101"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≥10</w:t>
            </w:r>
            <w:r>
              <w:rPr>
                <w:rFonts w:ascii="仿宋" w:hAnsi="仿宋" w:eastAsia="仿宋" w:cs="仿宋"/>
                <w:color w:val="auto"/>
                <w:position w:val="1"/>
                <w:sz w:val="23"/>
                <w:szCs w:val="23"/>
                <w:highlight w:val="none"/>
              </w:rPr>
              <w:t>00</w:t>
            </w:r>
          </w:p>
        </w:tc>
        <w:tc>
          <w:tcPr>
            <w:tcW w:w="1535" w:type="dxa"/>
            <w:vAlign w:val="top"/>
          </w:tcPr>
          <w:p w14:paraId="2B8DB635">
            <w:pPr>
              <w:keepNext w:val="0"/>
              <w:keepLines w:val="0"/>
              <w:pageBreakBefore w:val="0"/>
              <w:widowControl w:val="0"/>
              <w:kinsoku/>
              <w:wordWrap/>
              <w:overflowPunct/>
              <w:topLinePunct w:val="0"/>
              <w:autoSpaceDE/>
              <w:autoSpaceDN/>
              <w:bidi w:val="0"/>
              <w:adjustRightInd/>
              <w:snapToGrid/>
              <w:spacing w:before="142" w:line="200" w:lineRule="exact"/>
              <w:ind w:left="297"/>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00-1000</w:t>
            </w:r>
          </w:p>
        </w:tc>
        <w:tc>
          <w:tcPr>
            <w:tcW w:w="1295" w:type="dxa"/>
            <w:vAlign w:val="top"/>
          </w:tcPr>
          <w:p w14:paraId="542E4372">
            <w:pPr>
              <w:keepNext w:val="0"/>
              <w:keepLines w:val="0"/>
              <w:pageBreakBefore w:val="0"/>
              <w:widowControl w:val="0"/>
              <w:kinsoku/>
              <w:wordWrap/>
              <w:overflowPunct/>
              <w:topLinePunct w:val="0"/>
              <w:autoSpaceDE/>
              <w:autoSpaceDN/>
              <w:bidi w:val="0"/>
              <w:adjustRightInd/>
              <w:snapToGrid/>
              <w:spacing w:before="142" w:line="200" w:lineRule="exact"/>
              <w:ind w:left="296"/>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20-300</w:t>
            </w:r>
          </w:p>
        </w:tc>
        <w:tc>
          <w:tcPr>
            <w:tcW w:w="1004" w:type="dxa"/>
            <w:vAlign w:val="top"/>
          </w:tcPr>
          <w:p w14:paraId="5F80D60F">
            <w:pPr>
              <w:keepNext w:val="0"/>
              <w:keepLines w:val="0"/>
              <w:pageBreakBefore w:val="0"/>
              <w:widowControl w:val="0"/>
              <w:kinsoku/>
              <w:wordWrap/>
              <w:overflowPunct/>
              <w:topLinePunct w:val="0"/>
              <w:autoSpaceDE/>
              <w:autoSpaceDN/>
              <w:bidi w:val="0"/>
              <w:adjustRightInd/>
              <w:snapToGrid/>
              <w:spacing w:before="101"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20</w:t>
            </w:r>
          </w:p>
        </w:tc>
      </w:tr>
      <w:tr w14:paraId="210CE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84" w:type="dxa"/>
            <w:vMerge w:val="continue"/>
            <w:tcBorders>
              <w:top w:val="nil"/>
            </w:tcBorders>
            <w:vAlign w:val="top"/>
          </w:tcPr>
          <w:p w14:paraId="5FC191A5">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30A90267">
            <w:pPr>
              <w:keepNext w:val="0"/>
              <w:keepLines w:val="0"/>
              <w:pageBreakBefore w:val="0"/>
              <w:widowControl w:val="0"/>
              <w:kinsoku/>
              <w:wordWrap/>
              <w:overflowPunct/>
              <w:topLinePunct w:val="0"/>
              <w:autoSpaceDE/>
              <w:autoSpaceDN/>
              <w:bidi w:val="0"/>
              <w:adjustRightInd/>
              <w:snapToGrid/>
              <w:spacing w:before="101"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04265DA6">
            <w:pPr>
              <w:keepNext w:val="0"/>
              <w:keepLines w:val="0"/>
              <w:pageBreakBefore w:val="0"/>
              <w:widowControl w:val="0"/>
              <w:kinsoku/>
              <w:wordWrap/>
              <w:overflowPunct/>
              <w:topLinePunct w:val="0"/>
              <w:autoSpaceDE/>
              <w:autoSpaceDN/>
              <w:bidi w:val="0"/>
              <w:adjustRightInd/>
              <w:snapToGrid/>
              <w:spacing w:before="101"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47AF3DF3">
            <w:pPr>
              <w:keepNext w:val="0"/>
              <w:keepLines w:val="0"/>
              <w:pageBreakBefore w:val="0"/>
              <w:widowControl w:val="0"/>
              <w:kinsoku/>
              <w:wordWrap/>
              <w:overflowPunct/>
              <w:topLinePunct w:val="0"/>
              <w:autoSpaceDE/>
              <w:autoSpaceDN/>
              <w:bidi w:val="0"/>
              <w:adjustRightInd/>
              <w:snapToGrid/>
              <w:spacing w:before="101"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≥4</w:t>
            </w:r>
            <w:r>
              <w:rPr>
                <w:rFonts w:ascii="仿宋" w:hAnsi="仿宋" w:eastAsia="仿宋" w:cs="仿宋"/>
                <w:color w:val="auto"/>
                <w:position w:val="1"/>
                <w:sz w:val="23"/>
                <w:szCs w:val="23"/>
                <w:highlight w:val="none"/>
              </w:rPr>
              <w:t>0000</w:t>
            </w:r>
          </w:p>
        </w:tc>
        <w:tc>
          <w:tcPr>
            <w:tcW w:w="1535" w:type="dxa"/>
            <w:vAlign w:val="top"/>
          </w:tcPr>
          <w:p w14:paraId="4DE063B6">
            <w:pPr>
              <w:keepNext w:val="0"/>
              <w:keepLines w:val="0"/>
              <w:pageBreakBefore w:val="0"/>
              <w:widowControl w:val="0"/>
              <w:kinsoku/>
              <w:wordWrap/>
              <w:overflowPunct/>
              <w:topLinePunct w:val="0"/>
              <w:autoSpaceDE/>
              <w:autoSpaceDN/>
              <w:bidi w:val="0"/>
              <w:adjustRightInd/>
              <w:snapToGrid/>
              <w:spacing w:before="142" w:line="200" w:lineRule="exact"/>
              <w:ind w:left="175"/>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2000-4000</w:t>
            </w:r>
            <w:r>
              <w:rPr>
                <w:rFonts w:ascii="仿宋" w:hAnsi="仿宋" w:eastAsia="仿宋" w:cs="仿宋"/>
                <w:color w:val="auto"/>
                <w:spacing w:val="2"/>
                <w:sz w:val="23"/>
                <w:szCs w:val="23"/>
                <w:highlight w:val="none"/>
              </w:rPr>
              <w:t>0</w:t>
            </w:r>
          </w:p>
        </w:tc>
        <w:tc>
          <w:tcPr>
            <w:tcW w:w="1295" w:type="dxa"/>
            <w:vAlign w:val="top"/>
          </w:tcPr>
          <w:p w14:paraId="262CC3A5">
            <w:pPr>
              <w:keepNext w:val="0"/>
              <w:keepLines w:val="0"/>
              <w:pageBreakBefore w:val="0"/>
              <w:widowControl w:val="0"/>
              <w:kinsoku/>
              <w:wordWrap/>
              <w:overflowPunct/>
              <w:topLinePunct w:val="0"/>
              <w:autoSpaceDE/>
              <w:autoSpaceDN/>
              <w:bidi w:val="0"/>
              <w:adjustRightInd/>
              <w:snapToGrid/>
              <w:spacing w:before="142" w:line="200" w:lineRule="exact"/>
              <w:ind w:left="178"/>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00-2000</w:t>
            </w:r>
          </w:p>
        </w:tc>
        <w:tc>
          <w:tcPr>
            <w:tcW w:w="1004" w:type="dxa"/>
            <w:vAlign w:val="top"/>
          </w:tcPr>
          <w:p w14:paraId="25DFCBA4">
            <w:pPr>
              <w:keepNext w:val="0"/>
              <w:keepLines w:val="0"/>
              <w:pageBreakBefore w:val="0"/>
              <w:widowControl w:val="0"/>
              <w:kinsoku/>
              <w:wordWrap/>
              <w:overflowPunct/>
              <w:topLinePunct w:val="0"/>
              <w:autoSpaceDE/>
              <w:autoSpaceDN/>
              <w:bidi w:val="0"/>
              <w:adjustRightInd/>
              <w:snapToGrid/>
              <w:spacing w:before="101"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＜30</w:t>
            </w:r>
            <w:r>
              <w:rPr>
                <w:rFonts w:ascii="仿宋" w:hAnsi="仿宋" w:eastAsia="仿宋" w:cs="仿宋"/>
                <w:color w:val="auto"/>
                <w:position w:val="2"/>
                <w:sz w:val="23"/>
                <w:szCs w:val="23"/>
                <w:highlight w:val="none"/>
              </w:rPr>
              <w:t>0</w:t>
            </w:r>
          </w:p>
        </w:tc>
      </w:tr>
      <w:tr w14:paraId="2A0E0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84" w:type="dxa"/>
            <w:vMerge w:val="restart"/>
            <w:tcBorders>
              <w:bottom w:val="nil"/>
            </w:tcBorders>
            <w:vAlign w:val="top"/>
          </w:tcPr>
          <w:p w14:paraId="3CF060EA">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33086906">
            <w:pPr>
              <w:keepNext w:val="0"/>
              <w:keepLines w:val="0"/>
              <w:pageBreakBefore w:val="0"/>
              <w:widowControl w:val="0"/>
              <w:kinsoku/>
              <w:wordWrap/>
              <w:overflowPunct/>
              <w:topLinePunct w:val="0"/>
              <w:autoSpaceDE/>
              <w:autoSpaceDN/>
              <w:bidi w:val="0"/>
              <w:adjustRightInd/>
              <w:snapToGrid/>
              <w:spacing w:before="74" w:line="200" w:lineRule="exact"/>
              <w:ind w:left="244"/>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建</w:t>
            </w:r>
            <w:r>
              <w:rPr>
                <w:rFonts w:ascii="仿宋" w:hAnsi="仿宋" w:eastAsia="仿宋" w:cs="仿宋"/>
                <w:color w:val="auto"/>
                <w:spacing w:val="4"/>
                <w:sz w:val="23"/>
                <w:szCs w:val="23"/>
                <w:highlight w:val="none"/>
              </w:rPr>
              <w:t>筑业</w:t>
            </w:r>
          </w:p>
        </w:tc>
        <w:tc>
          <w:tcPr>
            <w:tcW w:w="1187" w:type="dxa"/>
            <w:vAlign w:val="top"/>
          </w:tcPr>
          <w:p w14:paraId="3A867AEC">
            <w:pPr>
              <w:keepNext w:val="0"/>
              <w:keepLines w:val="0"/>
              <w:pageBreakBefore w:val="0"/>
              <w:widowControl w:val="0"/>
              <w:kinsoku/>
              <w:wordWrap/>
              <w:overflowPunct/>
              <w:topLinePunct w:val="0"/>
              <w:autoSpaceDE/>
              <w:autoSpaceDN/>
              <w:bidi w:val="0"/>
              <w:adjustRightInd/>
              <w:snapToGrid/>
              <w:spacing w:before="101"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1FB7FA22">
            <w:pPr>
              <w:keepNext w:val="0"/>
              <w:keepLines w:val="0"/>
              <w:pageBreakBefore w:val="0"/>
              <w:widowControl w:val="0"/>
              <w:kinsoku/>
              <w:wordWrap/>
              <w:overflowPunct/>
              <w:topLinePunct w:val="0"/>
              <w:autoSpaceDE/>
              <w:autoSpaceDN/>
              <w:bidi w:val="0"/>
              <w:adjustRightInd/>
              <w:snapToGrid/>
              <w:spacing w:before="101"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588009C5">
            <w:pPr>
              <w:keepNext w:val="0"/>
              <w:keepLines w:val="0"/>
              <w:pageBreakBefore w:val="0"/>
              <w:widowControl w:val="0"/>
              <w:kinsoku/>
              <w:wordWrap/>
              <w:overflowPunct/>
              <w:topLinePunct w:val="0"/>
              <w:autoSpaceDE/>
              <w:autoSpaceDN/>
              <w:bidi w:val="0"/>
              <w:adjustRightInd/>
              <w:snapToGrid/>
              <w:spacing w:before="100"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≥8</w:t>
            </w:r>
            <w:r>
              <w:rPr>
                <w:rFonts w:ascii="仿宋" w:hAnsi="仿宋" w:eastAsia="仿宋" w:cs="仿宋"/>
                <w:color w:val="auto"/>
                <w:position w:val="1"/>
                <w:sz w:val="23"/>
                <w:szCs w:val="23"/>
                <w:highlight w:val="none"/>
              </w:rPr>
              <w:t>0000</w:t>
            </w:r>
          </w:p>
        </w:tc>
        <w:tc>
          <w:tcPr>
            <w:tcW w:w="1535" w:type="dxa"/>
            <w:vAlign w:val="top"/>
          </w:tcPr>
          <w:p w14:paraId="55F01891">
            <w:pPr>
              <w:keepNext w:val="0"/>
              <w:keepLines w:val="0"/>
              <w:pageBreakBefore w:val="0"/>
              <w:widowControl w:val="0"/>
              <w:kinsoku/>
              <w:wordWrap/>
              <w:overflowPunct/>
              <w:topLinePunct w:val="0"/>
              <w:autoSpaceDE/>
              <w:autoSpaceDN/>
              <w:bidi w:val="0"/>
              <w:adjustRightInd/>
              <w:snapToGrid/>
              <w:spacing w:before="141" w:line="200" w:lineRule="exact"/>
              <w:ind w:left="174"/>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6000-8000</w:t>
            </w:r>
            <w:r>
              <w:rPr>
                <w:rFonts w:ascii="仿宋" w:hAnsi="仿宋" w:eastAsia="仿宋" w:cs="仿宋"/>
                <w:color w:val="auto"/>
                <w:spacing w:val="3"/>
                <w:sz w:val="23"/>
                <w:szCs w:val="23"/>
                <w:highlight w:val="none"/>
              </w:rPr>
              <w:t>0</w:t>
            </w:r>
          </w:p>
        </w:tc>
        <w:tc>
          <w:tcPr>
            <w:tcW w:w="1295" w:type="dxa"/>
            <w:vAlign w:val="top"/>
          </w:tcPr>
          <w:p w14:paraId="3BCE43CB">
            <w:pPr>
              <w:keepNext w:val="0"/>
              <w:keepLines w:val="0"/>
              <w:pageBreakBefore w:val="0"/>
              <w:widowControl w:val="0"/>
              <w:kinsoku/>
              <w:wordWrap/>
              <w:overflowPunct/>
              <w:topLinePunct w:val="0"/>
              <w:autoSpaceDE/>
              <w:autoSpaceDN/>
              <w:bidi w:val="0"/>
              <w:adjustRightInd/>
              <w:snapToGrid/>
              <w:spacing w:before="141" w:line="200" w:lineRule="exact"/>
              <w:ind w:left="178"/>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00-6000</w:t>
            </w:r>
          </w:p>
        </w:tc>
        <w:tc>
          <w:tcPr>
            <w:tcW w:w="1004" w:type="dxa"/>
            <w:vAlign w:val="top"/>
          </w:tcPr>
          <w:p w14:paraId="68F4A179">
            <w:pPr>
              <w:keepNext w:val="0"/>
              <w:keepLines w:val="0"/>
              <w:pageBreakBefore w:val="0"/>
              <w:widowControl w:val="0"/>
              <w:kinsoku/>
              <w:wordWrap/>
              <w:overflowPunct/>
              <w:topLinePunct w:val="0"/>
              <w:autoSpaceDE/>
              <w:autoSpaceDN/>
              <w:bidi w:val="0"/>
              <w:adjustRightInd/>
              <w:snapToGrid/>
              <w:spacing w:before="100"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＜30</w:t>
            </w:r>
            <w:r>
              <w:rPr>
                <w:rFonts w:ascii="仿宋" w:hAnsi="仿宋" w:eastAsia="仿宋" w:cs="仿宋"/>
                <w:color w:val="auto"/>
                <w:position w:val="2"/>
                <w:sz w:val="23"/>
                <w:szCs w:val="23"/>
                <w:highlight w:val="none"/>
              </w:rPr>
              <w:t>0</w:t>
            </w:r>
          </w:p>
        </w:tc>
      </w:tr>
      <w:tr w14:paraId="0B025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continue"/>
            <w:tcBorders>
              <w:top w:val="nil"/>
            </w:tcBorders>
            <w:vAlign w:val="top"/>
          </w:tcPr>
          <w:p w14:paraId="7857264A">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6D564836">
            <w:pPr>
              <w:keepNext w:val="0"/>
              <w:keepLines w:val="0"/>
              <w:pageBreakBefore w:val="0"/>
              <w:widowControl w:val="0"/>
              <w:kinsoku/>
              <w:wordWrap/>
              <w:overflowPunct/>
              <w:topLinePunct w:val="0"/>
              <w:autoSpaceDE/>
              <w:autoSpaceDN/>
              <w:bidi w:val="0"/>
              <w:adjustRightInd/>
              <w:snapToGrid/>
              <w:spacing w:before="101" w:line="200" w:lineRule="exact"/>
              <w:ind w:left="138"/>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资产总</w:t>
            </w:r>
            <w:r>
              <w:rPr>
                <w:rFonts w:ascii="仿宋" w:hAnsi="仿宋" w:eastAsia="仿宋" w:cs="仿宋"/>
                <w:color w:val="auto"/>
                <w:spacing w:val="2"/>
                <w:sz w:val="23"/>
                <w:szCs w:val="23"/>
                <w:highlight w:val="none"/>
              </w:rPr>
              <w:t>额</w:t>
            </w:r>
          </w:p>
        </w:tc>
        <w:tc>
          <w:tcPr>
            <w:tcW w:w="900" w:type="dxa"/>
            <w:vAlign w:val="top"/>
          </w:tcPr>
          <w:p w14:paraId="6B26A31E">
            <w:pPr>
              <w:keepNext w:val="0"/>
              <w:keepLines w:val="0"/>
              <w:pageBreakBefore w:val="0"/>
              <w:widowControl w:val="0"/>
              <w:kinsoku/>
              <w:wordWrap/>
              <w:overflowPunct/>
              <w:topLinePunct w:val="0"/>
              <w:autoSpaceDE/>
              <w:autoSpaceDN/>
              <w:bidi w:val="0"/>
              <w:adjustRightInd/>
              <w:snapToGrid/>
              <w:spacing w:before="101"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02D38C93">
            <w:pPr>
              <w:keepNext w:val="0"/>
              <w:keepLines w:val="0"/>
              <w:pageBreakBefore w:val="0"/>
              <w:widowControl w:val="0"/>
              <w:kinsoku/>
              <w:wordWrap/>
              <w:overflowPunct/>
              <w:topLinePunct w:val="0"/>
              <w:autoSpaceDE/>
              <w:autoSpaceDN/>
              <w:bidi w:val="0"/>
              <w:adjustRightInd/>
              <w:snapToGrid/>
              <w:spacing w:before="101"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≥8</w:t>
            </w:r>
            <w:r>
              <w:rPr>
                <w:rFonts w:ascii="仿宋" w:hAnsi="仿宋" w:eastAsia="仿宋" w:cs="仿宋"/>
                <w:color w:val="auto"/>
                <w:position w:val="1"/>
                <w:sz w:val="23"/>
                <w:szCs w:val="23"/>
                <w:highlight w:val="none"/>
              </w:rPr>
              <w:t>0000</w:t>
            </w:r>
          </w:p>
        </w:tc>
        <w:tc>
          <w:tcPr>
            <w:tcW w:w="1535" w:type="dxa"/>
            <w:vAlign w:val="top"/>
          </w:tcPr>
          <w:p w14:paraId="29FA2A6E">
            <w:pPr>
              <w:keepNext w:val="0"/>
              <w:keepLines w:val="0"/>
              <w:pageBreakBefore w:val="0"/>
              <w:widowControl w:val="0"/>
              <w:kinsoku/>
              <w:wordWrap/>
              <w:overflowPunct/>
              <w:topLinePunct w:val="0"/>
              <w:autoSpaceDE/>
              <w:autoSpaceDN/>
              <w:bidi w:val="0"/>
              <w:adjustRightInd/>
              <w:snapToGrid/>
              <w:spacing w:before="142" w:line="200" w:lineRule="exact"/>
              <w:ind w:left="17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50</w:t>
            </w:r>
            <w:r>
              <w:rPr>
                <w:rFonts w:ascii="仿宋" w:hAnsi="仿宋" w:eastAsia="仿宋" w:cs="仿宋"/>
                <w:color w:val="auto"/>
                <w:spacing w:val="3"/>
                <w:sz w:val="23"/>
                <w:szCs w:val="23"/>
                <w:highlight w:val="none"/>
              </w:rPr>
              <w:t>00-80000</w:t>
            </w:r>
          </w:p>
        </w:tc>
        <w:tc>
          <w:tcPr>
            <w:tcW w:w="1295" w:type="dxa"/>
            <w:vAlign w:val="top"/>
          </w:tcPr>
          <w:p w14:paraId="23368AB8">
            <w:pPr>
              <w:keepNext w:val="0"/>
              <w:keepLines w:val="0"/>
              <w:pageBreakBefore w:val="0"/>
              <w:widowControl w:val="0"/>
              <w:kinsoku/>
              <w:wordWrap/>
              <w:overflowPunct/>
              <w:topLinePunct w:val="0"/>
              <w:autoSpaceDE/>
              <w:autoSpaceDN/>
              <w:bidi w:val="0"/>
              <w:adjustRightInd/>
              <w:snapToGrid/>
              <w:spacing w:before="142" w:line="200" w:lineRule="exact"/>
              <w:ind w:left="178"/>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00-5000</w:t>
            </w:r>
          </w:p>
        </w:tc>
        <w:tc>
          <w:tcPr>
            <w:tcW w:w="1004" w:type="dxa"/>
            <w:vAlign w:val="top"/>
          </w:tcPr>
          <w:p w14:paraId="21828BA4">
            <w:pPr>
              <w:keepNext w:val="0"/>
              <w:keepLines w:val="0"/>
              <w:pageBreakBefore w:val="0"/>
              <w:widowControl w:val="0"/>
              <w:kinsoku/>
              <w:wordWrap/>
              <w:overflowPunct/>
              <w:topLinePunct w:val="0"/>
              <w:autoSpaceDE/>
              <w:autoSpaceDN/>
              <w:bidi w:val="0"/>
              <w:adjustRightInd/>
              <w:snapToGrid/>
              <w:spacing w:before="101"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＜30</w:t>
            </w:r>
            <w:r>
              <w:rPr>
                <w:rFonts w:ascii="仿宋" w:hAnsi="仿宋" w:eastAsia="仿宋" w:cs="仿宋"/>
                <w:color w:val="auto"/>
                <w:position w:val="2"/>
                <w:sz w:val="23"/>
                <w:szCs w:val="23"/>
                <w:highlight w:val="none"/>
              </w:rPr>
              <w:t>0</w:t>
            </w:r>
          </w:p>
        </w:tc>
      </w:tr>
      <w:tr w14:paraId="4166B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84" w:type="dxa"/>
            <w:vMerge w:val="restart"/>
            <w:tcBorders>
              <w:bottom w:val="nil"/>
            </w:tcBorders>
            <w:vAlign w:val="top"/>
          </w:tcPr>
          <w:p w14:paraId="25D046C1">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4B31B8CC">
            <w:pPr>
              <w:keepNext w:val="0"/>
              <w:keepLines w:val="0"/>
              <w:pageBreakBefore w:val="0"/>
              <w:widowControl w:val="0"/>
              <w:kinsoku/>
              <w:wordWrap/>
              <w:overflowPunct/>
              <w:topLinePunct w:val="0"/>
              <w:autoSpaceDE/>
              <w:autoSpaceDN/>
              <w:bidi w:val="0"/>
              <w:adjustRightInd/>
              <w:snapToGrid/>
              <w:spacing w:before="74" w:line="200" w:lineRule="exact"/>
              <w:ind w:left="244"/>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批</w:t>
            </w:r>
            <w:r>
              <w:rPr>
                <w:rFonts w:ascii="仿宋" w:hAnsi="仿宋" w:eastAsia="仿宋" w:cs="仿宋"/>
                <w:color w:val="auto"/>
                <w:spacing w:val="4"/>
                <w:sz w:val="23"/>
                <w:szCs w:val="23"/>
                <w:highlight w:val="none"/>
              </w:rPr>
              <w:t>发业</w:t>
            </w:r>
          </w:p>
        </w:tc>
        <w:tc>
          <w:tcPr>
            <w:tcW w:w="1187" w:type="dxa"/>
            <w:vAlign w:val="top"/>
          </w:tcPr>
          <w:p w14:paraId="6550BD44">
            <w:pPr>
              <w:keepNext w:val="0"/>
              <w:keepLines w:val="0"/>
              <w:pageBreakBefore w:val="0"/>
              <w:widowControl w:val="0"/>
              <w:kinsoku/>
              <w:wordWrap/>
              <w:overflowPunct/>
              <w:topLinePunct w:val="0"/>
              <w:autoSpaceDE/>
              <w:autoSpaceDN/>
              <w:bidi w:val="0"/>
              <w:adjustRightInd/>
              <w:snapToGrid/>
              <w:spacing w:before="101"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4D83FE3B">
            <w:pPr>
              <w:keepNext w:val="0"/>
              <w:keepLines w:val="0"/>
              <w:pageBreakBefore w:val="0"/>
              <w:widowControl w:val="0"/>
              <w:kinsoku/>
              <w:wordWrap/>
              <w:overflowPunct/>
              <w:topLinePunct w:val="0"/>
              <w:autoSpaceDE/>
              <w:autoSpaceDN/>
              <w:bidi w:val="0"/>
              <w:adjustRightInd/>
              <w:snapToGrid/>
              <w:spacing w:before="101"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5F89AF0B">
            <w:pPr>
              <w:keepNext w:val="0"/>
              <w:keepLines w:val="0"/>
              <w:pageBreakBefore w:val="0"/>
              <w:widowControl w:val="0"/>
              <w:kinsoku/>
              <w:wordWrap/>
              <w:overflowPunct/>
              <w:topLinePunct w:val="0"/>
              <w:autoSpaceDE/>
              <w:autoSpaceDN/>
              <w:bidi w:val="0"/>
              <w:adjustRightInd/>
              <w:snapToGrid/>
              <w:spacing w:before="101"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≥200</w:t>
            </w:r>
          </w:p>
        </w:tc>
        <w:tc>
          <w:tcPr>
            <w:tcW w:w="1535" w:type="dxa"/>
            <w:vAlign w:val="top"/>
          </w:tcPr>
          <w:p w14:paraId="36D2B848">
            <w:pPr>
              <w:keepNext w:val="0"/>
              <w:keepLines w:val="0"/>
              <w:pageBreakBefore w:val="0"/>
              <w:widowControl w:val="0"/>
              <w:kinsoku/>
              <w:wordWrap/>
              <w:overflowPunct/>
              <w:topLinePunct w:val="0"/>
              <w:autoSpaceDE/>
              <w:autoSpaceDN/>
              <w:bidi w:val="0"/>
              <w:adjustRightInd/>
              <w:snapToGrid/>
              <w:spacing w:before="142" w:line="200" w:lineRule="exact"/>
              <w:ind w:left="415"/>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20-200</w:t>
            </w:r>
          </w:p>
        </w:tc>
        <w:tc>
          <w:tcPr>
            <w:tcW w:w="1295" w:type="dxa"/>
            <w:vAlign w:val="top"/>
          </w:tcPr>
          <w:p w14:paraId="4E9D6F54">
            <w:pPr>
              <w:keepNext w:val="0"/>
              <w:keepLines w:val="0"/>
              <w:pageBreakBefore w:val="0"/>
              <w:widowControl w:val="0"/>
              <w:kinsoku/>
              <w:wordWrap/>
              <w:overflowPunct/>
              <w:topLinePunct w:val="0"/>
              <w:autoSpaceDE/>
              <w:autoSpaceDN/>
              <w:bidi w:val="0"/>
              <w:adjustRightInd/>
              <w:snapToGrid/>
              <w:spacing w:before="142" w:line="200" w:lineRule="exact"/>
              <w:ind w:left="418"/>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5-</w:t>
            </w:r>
            <w:r>
              <w:rPr>
                <w:rFonts w:ascii="仿宋" w:hAnsi="仿宋" w:eastAsia="仿宋" w:cs="仿宋"/>
                <w:color w:val="auto"/>
                <w:spacing w:val="1"/>
                <w:sz w:val="23"/>
                <w:szCs w:val="23"/>
                <w:highlight w:val="none"/>
              </w:rPr>
              <w:t>20</w:t>
            </w:r>
          </w:p>
        </w:tc>
        <w:tc>
          <w:tcPr>
            <w:tcW w:w="1004" w:type="dxa"/>
            <w:vAlign w:val="top"/>
          </w:tcPr>
          <w:p w14:paraId="7C9338DC">
            <w:pPr>
              <w:keepNext w:val="0"/>
              <w:keepLines w:val="0"/>
              <w:pageBreakBefore w:val="0"/>
              <w:widowControl w:val="0"/>
              <w:kinsoku/>
              <w:wordWrap/>
              <w:overflowPunct/>
              <w:topLinePunct w:val="0"/>
              <w:autoSpaceDE/>
              <w:autoSpaceDN/>
              <w:bidi w:val="0"/>
              <w:adjustRightInd/>
              <w:snapToGrid/>
              <w:spacing w:before="101"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pacing w:val="-7"/>
                <w:position w:val="2"/>
                <w:sz w:val="23"/>
                <w:szCs w:val="23"/>
                <w:highlight w:val="none"/>
              </w:rPr>
              <w:t>＜</w:t>
            </w:r>
            <w:r>
              <w:rPr>
                <w:rFonts w:ascii="仿宋" w:hAnsi="仿宋" w:eastAsia="仿宋" w:cs="仿宋"/>
                <w:color w:val="auto"/>
                <w:spacing w:val="-6"/>
                <w:position w:val="2"/>
                <w:sz w:val="23"/>
                <w:szCs w:val="23"/>
                <w:highlight w:val="none"/>
              </w:rPr>
              <w:t>5</w:t>
            </w:r>
          </w:p>
        </w:tc>
      </w:tr>
      <w:tr w14:paraId="2453B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84" w:type="dxa"/>
            <w:vMerge w:val="continue"/>
            <w:tcBorders>
              <w:top w:val="nil"/>
            </w:tcBorders>
            <w:vAlign w:val="top"/>
          </w:tcPr>
          <w:p w14:paraId="569CA428">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724276AD">
            <w:pPr>
              <w:keepNext w:val="0"/>
              <w:keepLines w:val="0"/>
              <w:pageBreakBefore w:val="0"/>
              <w:widowControl w:val="0"/>
              <w:kinsoku/>
              <w:wordWrap/>
              <w:overflowPunct/>
              <w:topLinePunct w:val="0"/>
              <w:autoSpaceDE/>
              <w:autoSpaceDN/>
              <w:bidi w:val="0"/>
              <w:adjustRightInd/>
              <w:snapToGrid/>
              <w:spacing w:before="102"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6C4977AB">
            <w:pPr>
              <w:keepNext w:val="0"/>
              <w:keepLines w:val="0"/>
              <w:pageBreakBefore w:val="0"/>
              <w:widowControl w:val="0"/>
              <w:kinsoku/>
              <w:wordWrap/>
              <w:overflowPunct/>
              <w:topLinePunct w:val="0"/>
              <w:autoSpaceDE/>
              <w:autoSpaceDN/>
              <w:bidi w:val="0"/>
              <w:adjustRightInd/>
              <w:snapToGrid/>
              <w:spacing w:before="102"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0662E654">
            <w:pPr>
              <w:keepNext w:val="0"/>
              <w:keepLines w:val="0"/>
              <w:pageBreakBefore w:val="0"/>
              <w:widowControl w:val="0"/>
              <w:kinsoku/>
              <w:wordWrap/>
              <w:overflowPunct/>
              <w:topLinePunct w:val="0"/>
              <w:autoSpaceDE/>
              <w:autoSpaceDN/>
              <w:bidi w:val="0"/>
              <w:adjustRightInd/>
              <w:snapToGrid/>
              <w:spacing w:before="102"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≥4</w:t>
            </w:r>
            <w:r>
              <w:rPr>
                <w:rFonts w:ascii="仿宋" w:hAnsi="仿宋" w:eastAsia="仿宋" w:cs="仿宋"/>
                <w:color w:val="auto"/>
                <w:position w:val="1"/>
                <w:sz w:val="23"/>
                <w:szCs w:val="23"/>
                <w:highlight w:val="none"/>
              </w:rPr>
              <w:t>0000</w:t>
            </w:r>
          </w:p>
        </w:tc>
        <w:tc>
          <w:tcPr>
            <w:tcW w:w="1535" w:type="dxa"/>
            <w:vAlign w:val="top"/>
          </w:tcPr>
          <w:p w14:paraId="3D8EB7C4">
            <w:pPr>
              <w:keepNext w:val="0"/>
              <w:keepLines w:val="0"/>
              <w:pageBreakBefore w:val="0"/>
              <w:widowControl w:val="0"/>
              <w:kinsoku/>
              <w:wordWrap/>
              <w:overflowPunct/>
              <w:topLinePunct w:val="0"/>
              <w:autoSpaceDE/>
              <w:autoSpaceDN/>
              <w:bidi w:val="0"/>
              <w:adjustRightInd/>
              <w:snapToGrid/>
              <w:spacing w:before="143" w:line="200" w:lineRule="exact"/>
              <w:ind w:left="17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50</w:t>
            </w:r>
            <w:r>
              <w:rPr>
                <w:rFonts w:ascii="仿宋" w:hAnsi="仿宋" w:eastAsia="仿宋" w:cs="仿宋"/>
                <w:color w:val="auto"/>
                <w:spacing w:val="3"/>
                <w:sz w:val="23"/>
                <w:szCs w:val="23"/>
                <w:highlight w:val="none"/>
              </w:rPr>
              <w:t>00-40000</w:t>
            </w:r>
          </w:p>
        </w:tc>
        <w:tc>
          <w:tcPr>
            <w:tcW w:w="1295" w:type="dxa"/>
            <w:vAlign w:val="top"/>
          </w:tcPr>
          <w:p w14:paraId="0887E8D8">
            <w:pPr>
              <w:keepNext w:val="0"/>
              <w:keepLines w:val="0"/>
              <w:pageBreakBefore w:val="0"/>
              <w:widowControl w:val="0"/>
              <w:kinsoku/>
              <w:wordWrap/>
              <w:overflowPunct/>
              <w:topLinePunct w:val="0"/>
              <w:autoSpaceDE/>
              <w:autoSpaceDN/>
              <w:bidi w:val="0"/>
              <w:adjustRightInd/>
              <w:snapToGrid/>
              <w:spacing w:before="143" w:line="200" w:lineRule="exact"/>
              <w:ind w:left="13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1000-5000</w:t>
            </w:r>
          </w:p>
        </w:tc>
        <w:tc>
          <w:tcPr>
            <w:tcW w:w="1004" w:type="dxa"/>
            <w:vAlign w:val="top"/>
          </w:tcPr>
          <w:p w14:paraId="40D84655">
            <w:pPr>
              <w:keepNext w:val="0"/>
              <w:keepLines w:val="0"/>
              <w:pageBreakBefore w:val="0"/>
              <w:widowControl w:val="0"/>
              <w:kinsoku/>
              <w:wordWrap/>
              <w:overflowPunct/>
              <w:topLinePunct w:val="0"/>
              <w:autoSpaceDE/>
              <w:autoSpaceDN/>
              <w:bidi w:val="0"/>
              <w:adjustRightInd/>
              <w:snapToGrid/>
              <w:spacing w:before="102" w:line="200" w:lineRule="exact"/>
              <w:ind w:left="16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w:t>
            </w:r>
            <w:r>
              <w:rPr>
                <w:rFonts w:ascii="仿宋" w:hAnsi="仿宋" w:eastAsia="仿宋" w:cs="仿宋"/>
                <w:color w:val="auto"/>
                <w:position w:val="2"/>
                <w:sz w:val="23"/>
                <w:szCs w:val="23"/>
                <w:highlight w:val="none"/>
              </w:rPr>
              <w:t>000</w:t>
            </w:r>
          </w:p>
        </w:tc>
      </w:tr>
      <w:tr w14:paraId="4368E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84" w:type="dxa"/>
            <w:vMerge w:val="restart"/>
            <w:tcBorders>
              <w:bottom w:val="nil"/>
            </w:tcBorders>
            <w:vAlign w:val="top"/>
          </w:tcPr>
          <w:p w14:paraId="169D66B4">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49E12E2A">
            <w:pPr>
              <w:keepNext w:val="0"/>
              <w:keepLines w:val="0"/>
              <w:pageBreakBefore w:val="0"/>
              <w:widowControl w:val="0"/>
              <w:kinsoku/>
              <w:wordWrap/>
              <w:overflowPunct/>
              <w:topLinePunct w:val="0"/>
              <w:autoSpaceDE/>
              <w:autoSpaceDN/>
              <w:bidi w:val="0"/>
              <w:adjustRightInd/>
              <w:snapToGrid/>
              <w:spacing w:before="75" w:line="200" w:lineRule="exact"/>
              <w:ind w:left="245"/>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零</w:t>
            </w:r>
            <w:r>
              <w:rPr>
                <w:rFonts w:ascii="仿宋" w:hAnsi="仿宋" w:eastAsia="仿宋" w:cs="仿宋"/>
                <w:color w:val="auto"/>
                <w:spacing w:val="4"/>
                <w:sz w:val="23"/>
                <w:szCs w:val="23"/>
                <w:highlight w:val="none"/>
              </w:rPr>
              <w:t>售业</w:t>
            </w:r>
          </w:p>
        </w:tc>
        <w:tc>
          <w:tcPr>
            <w:tcW w:w="1187" w:type="dxa"/>
            <w:vAlign w:val="top"/>
          </w:tcPr>
          <w:p w14:paraId="05171ED0">
            <w:pPr>
              <w:keepNext w:val="0"/>
              <w:keepLines w:val="0"/>
              <w:pageBreakBefore w:val="0"/>
              <w:widowControl w:val="0"/>
              <w:kinsoku/>
              <w:wordWrap/>
              <w:overflowPunct/>
              <w:topLinePunct w:val="0"/>
              <w:autoSpaceDE/>
              <w:autoSpaceDN/>
              <w:bidi w:val="0"/>
              <w:adjustRightInd/>
              <w:snapToGrid/>
              <w:spacing w:before="102"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14C37595">
            <w:pPr>
              <w:keepNext w:val="0"/>
              <w:keepLines w:val="0"/>
              <w:pageBreakBefore w:val="0"/>
              <w:widowControl w:val="0"/>
              <w:kinsoku/>
              <w:wordWrap/>
              <w:overflowPunct/>
              <w:topLinePunct w:val="0"/>
              <w:autoSpaceDE/>
              <w:autoSpaceDN/>
              <w:bidi w:val="0"/>
              <w:adjustRightInd/>
              <w:snapToGrid/>
              <w:spacing w:before="101"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7CA0E12E">
            <w:pPr>
              <w:keepNext w:val="0"/>
              <w:keepLines w:val="0"/>
              <w:pageBreakBefore w:val="0"/>
              <w:widowControl w:val="0"/>
              <w:kinsoku/>
              <w:wordWrap/>
              <w:overflowPunct/>
              <w:topLinePunct w:val="0"/>
              <w:autoSpaceDE/>
              <w:autoSpaceDN/>
              <w:bidi w:val="0"/>
              <w:adjustRightInd/>
              <w:snapToGrid/>
              <w:spacing w:before="102"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≥300</w:t>
            </w:r>
          </w:p>
        </w:tc>
        <w:tc>
          <w:tcPr>
            <w:tcW w:w="1535" w:type="dxa"/>
            <w:vAlign w:val="top"/>
          </w:tcPr>
          <w:p w14:paraId="220EE022">
            <w:pPr>
              <w:keepNext w:val="0"/>
              <w:keepLines w:val="0"/>
              <w:pageBreakBefore w:val="0"/>
              <w:widowControl w:val="0"/>
              <w:kinsoku/>
              <w:wordWrap/>
              <w:overflowPunct/>
              <w:topLinePunct w:val="0"/>
              <w:autoSpaceDE/>
              <w:autoSpaceDN/>
              <w:bidi w:val="0"/>
              <w:adjustRightInd/>
              <w:snapToGrid/>
              <w:spacing w:before="143" w:line="200" w:lineRule="exact"/>
              <w:ind w:left="417"/>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50</w:t>
            </w:r>
            <w:r>
              <w:rPr>
                <w:rFonts w:ascii="仿宋" w:hAnsi="仿宋" w:eastAsia="仿宋" w:cs="仿宋"/>
                <w:color w:val="auto"/>
                <w:spacing w:val="2"/>
                <w:sz w:val="23"/>
                <w:szCs w:val="23"/>
                <w:highlight w:val="none"/>
              </w:rPr>
              <w:t>-300</w:t>
            </w:r>
          </w:p>
        </w:tc>
        <w:tc>
          <w:tcPr>
            <w:tcW w:w="1295" w:type="dxa"/>
            <w:vAlign w:val="top"/>
          </w:tcPr>
          <w:p w14:paraId="0C0C720D">
            <w:pPr>
              <w:keepNext w:val="0"/>
              <w:keepLines w:val="0"/>
              <w:pageBreakBefore w:val="0"/>
              <w:widowControl w:val="0"/>
              <w:kinsoku/>
              <w:wordWrap/>
              <w:overflowPunct/>
              <w:topLinePunct w:val="0"/>
              <w:autoSpaceDE/>
              <w:autoSpaceDN/>
              <w:bidi w:val="0"/>
              <w:adjustRightInd/>
              <w:snapToGrid/>
              <w:spacing w:before="143" w:line="200" w:lineRule="exact"/>
              <w:ind w:left="37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-50</w:t>
            </w:r>
          </w:p>
        </w:tc>
        <w:tc>
          <w:tcPr>
            <w:tcW w:w="1004" w:type="dxa"/>
            <w:vAlign w:val="top"/>
          </w:tcPr>
          <w:p w14:paraId="596F935C">
            <w:pPr>
              <w:keepNext w:val="0"/>
              <w:keepLines w:val="0"/>
              <w:pageBreakBefore w:val="0"/>
              <w:widowControl w:val="0"/>
              <w:kinsoku/>
              <w:wordWrap/>
              <w:overflowPunct/>
              <w:topLinePunct w:val="0"/>
              <w:autoSpaceDE/>
              <w:autoSpaceDN/>
              <w:bidi w:val="0"/>
              <w:adjustRightInd/>
              <w:snapToGrid/>
              <w:spacing w:before="102"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10</w:t>
            </w:r>
          </w:p>
        </w:tc>
      </w:tr>
      <w:tr w14:paraId="6729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184" w:type="dxa"/>
            <w:vMerge w:val="continue"/>
            <w:tcBorders>
              <w:top w:val="nil"/>
            </w:tcBorders>
            <w:vAlign w:val="top"/>
          </w:tcPr>
          <w:p w14:paraId="47494F9C">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52BC9BB0">
            <w:pPr>
              <w:keepNext w:val="0"/>
              <w:keepLines w:val="0"/>
              <w:pageBreakBefore w:val="0"/>
              <w:widowControl w:val="0"/>
              <w:kinsoku/>
              <w:wordWrap/>
              <w:overflowPunct/>
              <w:topLinePunct w:val="0"/>
              <w:autoSpaceDE/>
              <w:autoSpaceDN/>
              <w:bidi w:val="0"/>
              <w:adjustRightInd/>
              <w:snapToGrid/>
              <w:spacing w:before="102"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3ADCB8DB">
            <w:pPr>
              <w:keepNext w:val="0"/>
              <w:keepLines w:val="0"/>
              <w:pageBreakBefore w:val="0"/>
              <w:widowControl w:val="0"/>
              <w:kinsoku/>
              <w:wordWrap/>
              <w:overflowPunct/>
              <w:topLinePunct w:val="0"/>
              <w:autoSpaceDE/>
              <w:autoSpaceDN/>
              <w:bidi w:val="0"/>
              <w:adjustRightInd/>
              <w:snapToGrid/>
              <w:spacing w:before="102"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54B01E1A">
            <w:pPr>
              <w:keepNext w:val="0"/>
              <w:keepLines w:val="0"/>
              <w:pageBreakBefore w:val="0"/>
              <w:widowControl w:val="0"/>
              <w:kinsoku/>
              <w:wordWrap/>
              <w:overflowPunct/>
              <w:topLinePunct w:val="0"/>
              <w:autoSpaceDE/>
              <w:autoSpaceDN/>
              <w:bidi w:val="0"/>
              <w:adjustRightInd/>
              <w:snapToGrid/>
              <w:spacing w:before="101" w:line="200" w:lineRule="exact"/>
              <w:ind w:left="303"/>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≤2</w:t>
            </w:r>
            <w:r>
              <w:rPr>
                <w:rFonts w:ascii="仿宋" w:hAnsi="仿宋" w:eastAsia="仿宋" w:cs="仿宋"/>
                <w:color w:val="auto"/>
                <w:spacing w:val="1"/>
                <w:position w:val="1"/>
                <w:sz w:val="23"/>
                <w:szCs w:val="23"/>
                <w:highlight w:val="none"/>
              </w:rPr>
              <w:t>0000</w:t>
            </w:r>
          </w:p>
        </w:tc>
        <w:tc>
          <w:tcPr>
            <w:tcW w:w="1535" w:type="dxa"/>
            <w:vAlign w:val="top"/>
          </w:tcPr>
          <w:p w14:paraId="563DEEBA">
            <w:pPr>
              <w:keepNext w:val="0"/>
              <w:keepLines w:val="0"/>
              <w:pageBreakBefore w:val="0"/>
              <w:widowControl w:val="0"/>
              <w:kinsoku/>
              <w:wordWrap/>
              <w:overflowPunct/>
              <w:topLinePunct w:val="0"/>
              <w:autoSpaceDE/>
              <w:autoSpaceDN/>
              <w:bidi w:val="0"/>
              <w:adjustRightInd/>
              <w:snapToGrid/>
              <w:spacing w:before="142" w:line="200" w:lineRule="exact"/>
              <w:ind w:left="23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w:t>
            </w:r>
            <w:r>
              <w:rPr>
                <w:rFonts w:ascii="仿宋" w:hAnsi="仿宋" w:eastAsia="仿宋" w:cs="仿宋"/>
                <w:color w:val="auto"/>
                <w:spacing w:val="4"/>
                <w:sz w:val="23"/>
                <w:szCs w:val="23"/>
                <w:highlight w:val="none"/>
              </w:rPr>
              <w:t>0</w:t>
            </w:r>
            <w:r>
              <w:rPr>
                <w:rFonts w:ascii="仿宋" w:hAnsi="仿宋" w:eastAsia="仿宋" w:cs="仿宋"/>
                <w:color w:val="auto"/>
                <w:spacing w:val="3"/>
                <w:sz w:val="23"/>
                <w:szCs w:val="23"/>
                <w:highlight w:val="none"/>
              </w:rPr>
              <w:t>0-20000</w:t>
            </w:r>
          </w:p>
        </w:tc>
        <w:tc>
          <w:tcPr>
            <w:tcW w:w="1295" w:type="dxa"/>
            <w:vAlign w:val="top"/>
          </w:tcPr>
          <w:p w14:paraId="6989294E">
            <w:pPr>
              <w:keepNext w:val="0"/>
              <w:keepLines w:val="0"/>
              <w:pageBreakBefore w:val="0"/>
              <w:widowControl w:val="0"/>
              <w:kinsoku/>
              <w:wordWrap/>
              <w:overflowPunct/>
              <w:topLinePunct w:val="0"/>
              <w:autoSpaceDE/>
              <w:autoSpaceDN/>
              <w:bidi w:val="0"/>
              <w:adjustRightInd/>
              <w:snapToGrid/>
              <w:spacing w:before="142" w:line="200" w:lineRule="exact"/>
              <w:ind w:left="25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00-500</w:t>
            </w:r>
          </w:p>
        </w:tc>
        <w:tc>
          <w:tcPr>
            <w:tcW w:w="1004" w:type="dxa"/>
            <w:vAlign w:val="top"/>
          </w:tcPr>
          <w:p w14:paraId="54C15A40">
            <w:pPr>
              <w:keepNext w:val="0"/>
              <w:keepLines w:val="0"/>
              <w:pageBreakBefore w:val="0"/>
              <w:widowControl w:val="0"/>
              <w:kinsoku/>
              <w:wordWrap/>
              <w:overflowPunct/>
              <w:topLinePunct w:val="0"/>
              <w:autoSpaceDE/>
              <w:autoSpaceDN/>
              <w:bidi w:val="0"/>
              <w:adjustRightInd/>
              <w:snapToGrid/>
              <w:spacing w:before="101"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65FE7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184" w:type="dxa"/>
            <w:vMerge w:val="restart"/>
            <w:tcBorders>
              <w:bottom w:val="nil"/>
            </w:tcBorders>
            <w:vAlign w:val="top"/>
          </w:tcPr>
          <w:p w14:paraId="544F7D00">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78836F09">
            <w:pPr>
              <w:keepNext w:val="0"/>
              <w:keepLines w:val="0"/>
              <w:pageBreakBefore w:val="0"/>
              <w:widowControl w:val="0"/>
              <w:kinsoku/>
              <w:wordWrap/>
              <w:overflowPunct/>
              <w:topLinePunct w:val="0"/>
              <w:autoSpaceDE/>
              <w:autoSpaceDN/>
              <w:bidi w:val="0"/>
              <w:adjustRightInd/>
              <w:snapToGrid/>
              <w:spacing w:before="75" w:line="200" w:lineRule="exact"/>
              <w:ind w:left="130"/>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交</w:t>
            </w:r>
            <w:r>
              <w:rPr>
                <w:rFonts w:ascii="仿宋" w:hAnsi="仿宋" w:eastAsia="仿宋" w:cs="仿宋"/>
                <w:color w:val="auto"/>
                <w:spacing w:val="4"/>
                <w:sz w:val="23"/>
                <w:szCs w:val="23"/>
                <w:highlight w:val="none"/>
              </w:rPr>
              <w:t>通运输</w:t>
            </w:r>
          </w:p>
        </w:tc>
        <w:tc>
          <w:tcPr>
            <w:tcW w:w="1187" w:type="dxa"/>
            <w:vAlign w:val="top"/>
          </w:tcPr>
          <w:p w14:paraId="1CB5870C">
            <w:pPr>
              <w:keepNext w:val="0"/>
              <w:keepLines w:val="0"/>
              <w:pageBreakBefore w:val="0"/>
              <w:widowControl w:val="0"/>
              <w:kinsoku/>
              <w:wordWrap/>
              <w:overflowPunct/>
              <w:topLinePunct w:val="0"/>
              <w:autoSpaceDE/>
              <w:autoSpaceDN/>
              <w:bidi w:val="0"/>
              <w:adjustRightInd/>
              <w:snapToGrid/>
              <w:spacing w:before="102"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2F705F9D">
            <w:pPr>
              <w:keepNext w:val="0"/>
              <w:keepLines w:val="0"/>
              <w:pageBreakBefore w:val="0"/>
              <w:widowControl w:val="0"/>
              <w:kinsoku/>
              <w:wordWrap/>
              <w:overflowPunct/>
              <w:topLinePunct w:val="0"/>
              <w:autoSpaceDE/>
              <w:autoSpaceDN/>
              <w:bidi w:val="0"/>
              <w:adjustRightInd/>
              <w:snapToGrid/>
              <w:spacing w:before="102"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42F661B8">
            <w:pPr>
              <w:keepNext w:val="0"/>
              <w:keepLines w:val="0"/>
              <w:pageBreakBefore w:val="0"/>
              <w:widowControl w:val="0"/>
              <w:kinsoku/>
              <w:wordWrap/>
              <w:overflowPunct/>
              <w:topLinePunct w:val="0"/>
              <w:autoSpaceDE/>
              <w:autoSpaceDN/>
              <w:bidi w:val="0"/>
              <w:adjustRightInd/>
              <w:snapToGrid/>
              <w:spacing w:before="102"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≥10</w:t>
            </w:r>
            <w:r>
              <w:rPr>
                <w:rFonts w:ascii="仿宋" w:hAnsi="仿宋" w:eastAsia="仿宋" w:cs="仿宋"/>
                <w:color w:val="auto"/>
                <w:position w:val="1"/>
                <w:sz w:val="23"/>
                <w:szCs w:val="23"/>
                <w:highlight w:val="none"/>
              </w:rPr>
              <w:t>00</w:t>
            </w:r>
          </w:p>
        </w:tc>
        <w:tc>
          <w:tcPr>
            <w:tcW w:w="1535" w:type="dxa"/>
            <w:vAlign w:val="top"/>
          </w:tcPr>
          <w:p w14:paraId="3CC06D40">
            <w:pPr>
              <w:keepNext w:val="0"/>
              <w:keepLines w:val="0"/>
              <w:pageBreakBefore w:val="0"/>
              <w:widowControl w:val="0"/>
              <w:kinsoku/>
              <w:wordWrap/>
              <w:overflowPunct/>
              <w:topLinePunct w:val="0"/>
              <w:autoSpaceDE/>
              <w:autoSpaceDN/>
              <w:bidi w:val="0"/>
              <w:adjustRightInd/>
              <w:snapToGrid/>
              <w:spacing w:before="143" w:line="200" w:lineRule="exact"/>
              <w:ind w:left="297"/>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00-1000</w:t>
            </w:r>
          </w:p>
        </w:tc>
        <w:tc>
          <w:tcPr>
            <w:tcW w:w="1295" w:type="dxa"/>
            <w:vAlign w:val="top"/>
          </w:tcPr>
          <w:p w14:paraId="77708B1E">
            <w:pPr>
              <w:keepNext w:val="0"/>
              <w:keepLines w:val="0"/>
              <w:pageBreakBefore w:val="0"/>
              <w:widowControl w:val="0"/>
              <w:kinsoku/>
              <w:wordWrap/>
              <w:overflowPunct/>
              <w:topLinePunct w:val="0"/>
              <w:autoSpaceDE/>
              <w:autoSpaceDN/>
              <w:bidi w:val="0"/>
              <w:adjustRightInd/>
              <w:snapToGrid/>
              <w:spacing w:before="143" w:line="200" w:lineRule="exact"/>
              <w:ind w:left="296"/>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20-300</w:t>
            </w:r>
          </w:p>
        </w:tc>
        <w:tc>
          <w:tcPr>
            <w:tcW w:w="1004" w:type="dxa"/>
            <w:vAlign w:val="top"/>
          </w:tcPr>
          <w:p w14:paraId="5F26A6FC">
            <w:pPr>
              <w:keepNext w:val="0"/>
              <w:keepLines w:val="0"/>
              <w:pageBreakBefore w:val="0"/>
              <w:widowControl w:val="0"/>
              <w:kinsoku/>
              <w:wordWrap/>
              <w:overflowPunct/>
              <w:topLinePunct w:val="0"/>
              <w:autoSpaceDE/>
              <w:autoSpaceDN/>
              <w:bidi w:val="0"/>
              <w:adjustRightInd/>
              <w:snapToGrid/>
              <w:spacing w:before="102"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20</w:t>
            </w:r>
          </w:p>
        </w:tc>
      </w:tr>
      <w:tr w14:paraId="2FCA4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84" w:type="dxa"/>
            <w:vMerge w:val="continue"/>
            <w:tcBorders>
              <w:top w:val="nil"/>
            </w:tcBorders>
            <w:vAlign w:val="top"/>
          </w:tcPr>
          <w:p w14:paraId="36D29E66">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0C88E15F">
            <w:pPr>
              <w:keepNext w:val="0"/>
              <w:keepLines w:val="0"/>
              <w:pageBreakBefore w:val="0"/>
              <w:widowControl w:val="0"/>
              <w:kinsoku/>
              <w:wordWrap/>
              <w:overflowPunct/>
              <w:topLinePunct w:val="0"/>
              <w:autoSpaceDE/>
              <w:autoSpaceDN/>
              <w:bidi w:val="0"/>
              <w:adjustRightInd/>
              <w:snapToGrid/>
              <w:spacing w:before="105"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4A7FFBD0">
            <w:pPr>
              <w:keepNext w:val="0"/>
              <w:keepLines w:val="0"/>
              <w:pageBreakBefore w:val="0"/>
              <w:widowControl w:val="0"/>
              <w:kinsoku/>
              <w:wordWrap/>
              <w:overflowPunct/>
              <w:topLinePunct w:val="0"/>
              <w:autoSpaceDE/>
              <w:autoSpaceDN/>
              <w:bidi w:val="0"/>
              <w:adjustRightInd/>
              <w:snapToGrid/>
              <w:spacing w:before="105"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0F11519F">
            <w:pPr>
              <w:keepNext w:val="0"/>
              <w:keepLines w:val="0"/>
              <w:pageBreakBefore w:val="0"/>
              <w:widowControl w:val="0"/>
              <w:kinsoku/>
              <w:wordWrap/>
              <w:overflowPunct/>
              <w:topLinePunct w:val="0"/>
              <w:autoSpaceDE/>
              <w:autoSpaceDN/>
              <w:bidi w:val="0"/>
              <w:adjustRightInd/>
              <w:snapToGrid/>
              <w:spacing w:before="104"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≥3</w:t>
            </w:r>
            <w:r>
              <w:rPr>
                <w:rFonts w:ascii="仿宋" w:hAnsi="仿宋" w:eastAsia="仿宋" w:cs="仿宋"/>
                <w:color w:val="auto"/>
                <w:position w:val="1"/>
                <w:sz w:val="23"/>
                <w:szCs w:val="23"/>
                <w:highlight w:val="none"/>
              </w:rPr>
              <w:t>0000</w:t>
            </w:r>
          </w:p>
        </w:tc>
        <w:tc>
          <w:tcPr>
            <w:tcW w:w="1535" w:type="dxa"/>
            <w:vAlign w:val="top"/>
          </w:tcPr>
          <w:p w14:paraId="7A8E65CD">
            <w:pPr>
              <w:keepNext w:val="0"/>
              <w:keepLines w:val="0"/>
              <w:pageBreakBefore w:val="0"/>
              <w:widowControl w:val="0"/>
              <w:kinsoku/>
              <w:wordWrap/>
              <w:overflowPunct/>
              <w:topLinePunct w:val="0"/>
              <w:autoSpaceDE/>
              <w:autoSpaceDN/>
              <w:bidi w:val="0"/>
              <w:adjustRightInd/>
              <w:snapToGrid/>
              <w:spacing w:before="145" w:line="200" w:lineRule="exact"/>
              <w:ind w:left="17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30</w:t>
            </w:r>
            <w:r>
              <w:rPr>
                <w:rFonts w:ascii="仿宋" w:hAnsi="仿宋" w:eastAsia="仿宋" w:cs="仿宋"/>
                <w:color w:val="auto"/>
                <w:spacing w:val="3"/>
                <w:sz w:val="23"/>
                <w:szCs w:val="23"/>
                <w:highlight w:val="none"/>
              </w:rPr>
              <w:t>00-30000</w:t>
            </w:r>
          </w:p>
        </w:tc>
        <w:tc>
          <w:tcPr>
            <w:tcW w:w="1295" w:type="dxa"/>
            <w:vAlign w:val="top"/>
          </w:tcPr>
          <w:p w14:paraId="32E3DA0E">
            <w:pPr>
              <w:keepNext w:val="0"/>
              <w:keepLines w:val="0"/>
              <w:pageBreakBefore w:val="0"/>
              <w:widowControl w:val="0"/>
              <w:kinsoku/>
              <w:wordWrap/>
              <w:overflowPunct/>
              <w:topLinePunct w:val="0"/>
              <w:autoSpaceDE/>
              <w:autoSpaceDN/>
              <w:bidi w:val="0"/>
              <w:adjustRightInd/>
              <w:snapToGrid/>
              <w:spacing w:before="145" w:line="200" w:lineRule="exact"/>
              <w:ind w:left="176"/>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2</w:t>
            </w:r>
            <w:r>
              <w:rPr>
                <w:rFonts w:ascii="仿宋" w:hAnsi="仿宋" w:eastAsia="仿宋" w:cs="仿宋"/>
                <w:color w:val="auto"/>
                <w:spacing w:val="4"/>
                <w:sz w:val="23"/>
                <w:szCs w:val="23"/>
                <w:highlight w:val="none"/>
              </w:rPr>
              <w:t>0</w:t>
            </w:r>
            <w:r>
              <w:rPr>
                <w:rFonts w:ascii="仿宋" w:hAnsi="仿宋" w:eastAsia="仿宋" w:cs="仿宋"/>
                <w:color w:val="auto"/>
                <w:spacing w:val="3"/>
                <w:sz w:val="23"/>
                <w:szCs w:val="23"/>
                <w:highlight w:val="none"/>
              </w:rPr>
              <w:t>0-3000</w:t>
            </w:r>
          </w:p>
        </w:tc>
        <w:tc>
          <w:tcPr>
            <w:tcW w:w="1004" w:type="dxa"/>
            <w:vAlign w:val="top"/>
          </w:tcPr>
          <w:p w14:paraId="32213042">
            <w:pPr>
              <w:keepNext w:val="0"/>
              <w:keepLines w:val="0"/>
              <w:pageBreakBefore w:val="0"/>
              <w:widowControl w:val="0"/>
              <w:kinsoku/>
              <w:wordWrap/>
              <w:overflowPunct/>
              <w:topLinePunct w:val="0"/>
              <w:autoSpaceDE/>
              <w:autoSpaceDN/>
              <w:bidi w:val="0"/>
              <w:adjustRightInd/>
              <w:snapToGrid/>
              <w:spacing w:before="104"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＜20</w:t>
            </w:r>
            <w:r>
              <w:rPr>
                <w:rFonts w:ascii="仿宋" w:hAnsi="仿宋" w:eastAsia="仿宋" w:cs="仿宋"/>
                <w:color w:val="auto"/>
                <w:position w:val="2"/>
                <w:sz w:val="23"/>
                <w:szCs w:val="23"/>
                <w:highlight w:val="none"/>
              </w:rPr>
              <w:t>0</w:t>
            </w:r>
          </w:p>
        </w:tc>
      </w:tr>
      <w:tr w14:paraId="22E00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restart"/>
            <w:tcBorders>
              <w:bottom w:val="nil"/>
            </w:tcBorders>
            <w:vAlign w:val="top"/>
          </w:tcPr>
          <w:p w14:paraId="53BD4419">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22764AE8">
            <w:pPr>
              <w:keepNext w:val="0"/>
              <w:keepLines w:val="0"/>
              <w:pageBreakBefore w:val="0"/>
              <w:widowControl w:val="0"/>
              <w:kinsoku/>
              <w:wordWrap/>
              <w:overflowPunct/>
              <w:topLinePunct w:val="0"/>
              <w:autoSpaceDE/>
              <w:autoSpaceDN/>
              <w:bidi w:val="0"/>
              <w:adjustRightInd/>
              <w:snapToGrid/>
              <w:spacing w:before="75" w:line="200" w:lineRule="exact"/>
              <w:ind w:left="369"/>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仓</w:t>
            </w:r>
            <w:r>
              <w:rPr>
                <w:rFonts w:ascii="仿宋" w:hAnsi="仿宋" w:eastAsia="仿宋" w:cs="仿宋"/>
                <w:color w:val="auto"/>
                <w:sz w:val="23"/>
                <w:szCs w:val="23"/>
                <w:highlight w:val="none"/>
              </w:rPr>
              <w:t>储</w:t>
            </w:r>
          </w:p>
        </w:tc>
        <w:tc>
          <w:tcPr>
            <w:tcW w:w="1187" w:type="dxa"/>
            <w:vAlign w:val="top"/>
          </w:tcPr>
          <w:p w14:paraId="64D0DB0B">
            <w:pPr>
              <w:keepNext w:val="0"/>
              <w:keepLines w:val="0"/>
              <w:pageBreakBefore w:val="0"/>
              <w:widowControl w:val="0"/>
              <w:kinsoku/>
              <w:wordWrap/>
              <w:overflowPunct/>
              <w:topLinePunct w:val="0"/>
              <w:autoSpaceDE/>
              <w:autoSpaceDN/>
              <w:bidi w:val="0"/>
              <w:adjustRightInd/>
              <w:snapToGrid/>
              <w:spacing w:before="104"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2F614409">
            <w:pPr>
              <w:keepNext w:val="0"/>
              <w:keepLines w:val="0"/>
              <w:pageBreakBefore w:val="0"/>
              <w:widowControl w:val="0"/>
              <w:kinsoku/>
              <w:wordWrap/>
              <w:overflowPunct/>
              <w:topLinePunct w:val="0"/>
              <w:autoSpaceDE/>
              <w:autoSpaceDN/>
              <w:bidi w:val="0"/>
              <w:adjustRightInd/>
              <w:snapToGrid/>
              <w:spacing w:before="104"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0ED96396">
            <w:pPr>
              <w:keepNext w:val="0"/>
              <w:keepLines w:val="0"/>
              <w:pageBreakBefore w:val="0"/>
              <w:widowControl w:val="0"/>
              <w:kinsoku/>
              <w:wordWrap/>
              <w:overflowPunct/>
              <w:topLinePunct w:val="0"/>
              <w:autoSpaceDE/>
              <w:autoSpaceDN/>
              <w:bidi w:val="0"/>
              <w:adjustRightInd/>
              <w:snapToGrid/>
              <w:spacing w:before="104"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≥200</w:t>
            </w:r>
          </w:p>
        </w:tc>
        <w:tc>
          <w:tcPr>
            <w:tcW w:w="1535" w:type="dxa"/>
            <w:vAlign w:val="top"/>
          </w:tcPr>
          <w:p w14:paraId="6229CD47">
            <w:pPr>
              <w:keepNext w:val="0"/>
              <w:keepLines w:val="0"/>
              <w:pageBreakBefore w:val="0"/>
              <w:widowControl w:val="0"/>
              <w:kinsoku/>
              <w:wordWrap/>
              <w:overflowPunct/>
              <w:topLinePunct w:val="0"/>
              <w:autoSpaceDE/>
              <w:autoSpaceDN/>
              <w:bidi w:val="0"/>
              <w:adjustRightInd/>
              <w:snapToGrid/>
              <w:spacing w:before="145"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00-200</w:t>
            </w:r>
          </w:p>
        </w:tc>
        <w:tc>
          <w:tcPr>
            <w:tcW w:w="1295" w:type="dxa"/>
            <w:vAlign w:val="top"/>
          </w:tcPr>
          <w:p w14:paraId="0978E460">
            <w:pPr>
              <w:keepNext w:val="0"/>
              <w:keepLines w:val="0"/>
              <w:pageBreakBefore w:val="0"/>
              <w:widowControl w:val="0"/>
              <w:kinsoku/>
              <w:wordWrap/>
              <w:overflowPunct/>
              <w:topLinePunct w:val="0"/>
              <w:autoSpaceDE/>
              <w:autoSpaceDN/>
              <w:bidi w:val="0"/>
              <w:adjustRightInd/>
              <w:snapToGrid/>
              <w:spacing w:before="145" w:line="200" w:lineRule="exact"/>
              <w:ind w:left="296"/>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20-100</w:t>
            </w:r>
          </w:p>
        </w:tc>
        <w:tc>
          <w:tcPr>
            <w:tcW w:w="1004" w:type="dxa"/>
            <w:vAlign w:val="top"/>
          </w:tcPr>
          <w:p w14:paraId="4D513DE8">
            <w:pPr>
              <w:keepNext w:val="0"/>
              <w:keepLines w:val="0"/>
              <w:pageBreakBefore w:val="0"/>
              <w:widowControl w:val="0"/>
              <w:kinsoku/>
              <w:wordWrap/>
              <w:overflowPunct/>
              <w:topLinePunct w:val="0"/>
              <w:autoSpaceDE/>
              <w:autoSpaceDN/>
              <w:bidi w:val="0"/>
              <w:adjustRightInd/>
              <w:snapToGrid/>
              <w:spacing w:before="104"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20</w:t>
            </w:r>
          </w:p>
        </w:tc>
      </w:tr>
      <w:tr w14:paraId="0233E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continue"/>
            <w:tcBorders>
              <w:top w:val="nil"/>
            </w:tcBorders>
            <w:vAlign w:val="top"/>
          </w:tcPr>
          <w:p w14:paraId="4DA80CB2">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2F395766">
            <w:pPr>
              <w:keepNext w:val="0"/>
              <w:keepLines w:val="0"/>
              <w:pageBreakBefore w:val="0"/>
              <w:widowControl w:val="0"/>
              <w:kinsoku/>
              <w:wordWrap/>
              <w:overflowPunct/>
              <w:topLinePunct w:val="0"/>
              <w:autoSpaceDE/>
              <w:autoSpaceDN/>
              <w:bidi w:val="0"/>
              <w:adjustRightInd/>
              <w:snapToGrid/>
              <w:spacing w:before="104"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12A5105C">
            <w:pPr>
              <w:keepNext w:val="0"/>
              <w:keepLines w:val="0"/>
              <w:pageBreakBefore w:val="0"/>
              <w:widowControl w:val="0"/>
              <w:kinsoku/>
              <w:wordWrap/>
              <w:overflowPunct/>
              <w:topLinePunct w:val="0"/>
              <w:autoSpaceDE/>
              <w:autoSpaceDN/>
              <w:bidi w:val="0"/>
              <w:adjustRightInd/>
              <w:snapToGrid/>
              <w:spacing w:before="104"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6DCF0850">
            <w:pPr>
              <w:keepNext w:val="0"/>
              <w:keepLines w:val="0"/>
              <w:pageBreakBefore w:val="0"/>
              <w:widowControl w:val="0"/>
              <w:kinsoku/>
              <w:wordWrap/>
              <w:overflowPunct/>
              <w:topLinePunct w:val="0"/>
              <w:autoSpaceDE/>
              <w:autoSpaceDN/>
              <w:bidi w:val="0"/>
              <w:adjustRightInd/>
              <w:snapToGrid/>
              <w:spacing w:before="104"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≥3</w:t>
            </w:r>
            <w:r>
              <w:rPr>
                <w:rFonts w:ascii="仿宋" w:hAnsi="仿宋" w:eastAsia="仿宋" w:cs="仿宋"/>
                <w:color w:val="auto"/>
                <w:position w:val="1"/>
                <w:sz w:val="23"/>
                <w:szCs w:val="23"/>
                <w:highlight w:val="none"/>
              </w:rPr>
              <w:t>0000</w:t>
            </w:r>
          </w:p>
        </w:tc>
        <w:tc>
          <w:tcPr>
            <w:tcW w:w="1535" w:type="dxa"/>
            <w:vAlign w:val="top"/>
          </w:tcPr>
          <w:p w14:paraId="3BDB92CA">
            <w:pPr>
              <w:keepNext w:val="0"/>
              <w:keepLines w:val="0"/>
              <w:pageBreakBefore w:val="0"/>
              <w:widowControl w:val="0"/>
              <w:kinsoku/>
              <w:wordWrap/>
              <w:overflowPunct/>
              <w:topLinePunct w:val="0"/>
              <w:autoSpaceDE/>
              <w:autoSpaceDN/>
              <w:bidi w:val="0"/>
              <w:adjustRightInd/>
              <w:snapToGrid/>
              <w:spacing w:before="145" w:line="200" w:lineRule="exact"/>
              <w:ind w:left="190"/>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1</w:t>
            </w:r>
            <w:r>
              <w:rPr>
                <w:rFonts w:ascii="仿宋" w:hAnsi="仿宋" w:eastAsia="仿宋" w:cs="仿宋"/>
                <w:color w:val="auto"/>
                <w:spacing w:val="3"/>
                <w:sz w:val="23"/>
                <w:szCs w:val="23"/>
                <w:highlight w:val="none"/>
              </w:rPr>
              <w:t>0</w:t>
            </w:r>
            <w:r>
              <w:rPr>
                <w:rFonts w:ascii="仿宋" w:hAnsi="仿宋" w:eastAsia="仿宋" w:cs="仿宋"/>
                <w:color w:val="auto"/>
                <w:spacing w:val="2"/>
                <w:sz w:val="23"/>
                <w:szCs w:val="23"/>
                <w:highlight w:val="none"/>
              </w:rPr>
              <w:t>00-30000</w:t>
            </w:r>
          </w:p>
        </w:tc>
        <w:tc>
          <w:tcPr>
            <w:tcW w:w="1295" w:type="dxa"/>
            <w:vAlign w:val="top"/>
          </w:tcPr>
          <w:p w14:paraId="31FE6107">
            <w:pPr>
              <w:keepNext w:val="0"/>
              <w:keepLines w:val="0"/>
              <w:pageBreakBefore w:val="0"/>
              <w:widowControl w:val="0"/>
              <w:kinsoku/>
              <w:wordWrap/>
              <w:overflowPunct/>
              <w:topLinePunct w:val="0"/>
              <w:autoSpaceDE/>
              <w:autoSpaceDN/>
              <w:bidi w:val="0"/>
              <w:adjustRightInd/>
              <w:snapToGrid/>
              <w:spacing w:before="145" w:line="200" w:lineRule="exact"/>
              <w:ind w:left="19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100-1</w:t>
            </w:r>
            <w:r>
              <w:rPr>
                <w:rFonts w:ascii="仿宋" w:hAnsi="仿宋" w:eastAsia="仿宋" w:cs="仿宋"/>
                <w:color w:val="auto"/>
                <w:spacing w:val="1"/>
                <w:sz w:val="23"/>
                <w:szCs w:val="23"/>
                <w:highlight w:val="none"/>
              </w:rPr>
              <w:t>000</w:t>
            </w:r>
          </w:p>
        </w:tc>
        <w:tc>
          <w:tcPr>
            <w:tcW w:w="1004" w:type="dxa"/>
            <w:vAlign w:val="top"/>
          </w:tcPr>
          <w:p w14:paraId="775A43AF">
            <w:pPr>
              <w:keepNext w:val="0"/>
              <w:keepLines w:val="0"/>
              <w:pageBreakBefore w:val="0"/>
              <w:widowControl w:val="0"/>
              <w:kinsoku/>
              <w:wordWrap/>
              <w:overflowPunct/>
              <w:topLinePunct w:val="0"/>
              <w:autoSpaceDE/>
              <w:autoSpaceDN/>
              <w:bidi w:val="0"/>
              <w:adjustRightInd/>
              <w:snapToGrid/>
              <w:spacing w:before="104"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7D7B3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restart"/>
            <w:tcBorders>
              <w:bottom w:val="nil"/>
            </w:tcBorders>
            <w:vAlign w:val="top"/>
          </w:tcPr>
          <w:p w14:paraId="4DCEF5D4">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30DFD49D">
            <w:pPr>
              <w:keepNext w:val="0"/>
              <w:keepLines w:val="0"/>
              <w:pageBreakBefore w:val="0"/>
              <w:widowControl w:val="0"/>
              <w:kinsoku/>
              <w:wordWrap/>
              <w:overflowPunct/>
              <w:topLinePunct w:val="0"/>
              <w:autoSpaceDE/>
              <w:autoSpaceDN/>
              <w:bidi w:val="0"/>
              <w:adjustRightInd/>
              <w:snapToGrid/>
              <w:spacing w:before="75" w:line="200" w:lineRule="exact"/>
              <w:ind w:left="262"/>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邮</w:t>
            </w:r>
            <w:r>
              <w:rPr>
                <w:rFonts w:ascii="仿宋" w:hAnsi="仿宋" w:eastAsia="仿宋" w:cs="仿宋"/>
                <w:color w:val="auto"/>
                <w:spacing w:val="-1"/>
                <w:sz w:val="23"/>
                <w:szCs w:val="23"/>
                <w:highlight w:val="none"/>
              </w:rPr>
              <w:t>政业</w:t>
            </w:r>
          </w:p>
        </w:tc>
        <w:tc>
          <w:tcPr>
            <w:tcW w:w="1187" w:type="dxa"/>
            <w:vAlign w:val="top"/>
          </w:tcPr>
          <w:p w14:paraId="2B892CAA">
            <w:pPr>
              <w:keepNext w:val="0"/>
              <w:keepLines w:val="0"/>
              <w:pageBreakBefore w:val="0"/>
              <w:widowControl w:val="0"/>
              <w:kinsoku/>
              <w:wordWrap/>
              <w:overflowPunct/>
              <w:topLinePunct w:val="0"/>
              <w:autoSpaceDE/>
              <w:autoSpaceDN/>
              <w:bidi w:val="0"/>
              <w:adjustRightInd/>
              <w:snapToGrid/>
              <w:spacing w:before="104"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192DC2CC">
            <w:pPr>
              <w:keepNext w:val="0"/>
              <w:keepLines w:val="0"/>
              <w:pageBreakBefore w:val="0"/>
              <w:widowControl w:val="0"/>
              <w:kinsoku/>
              <w:wordWrap/>
              <w:overflowPunct/>
              <w:topLinePunct w:val="0"/>
              <w:autoSpaceDE/>
              <w:autoSpaceDN/>
              <w:bidi w:val="0"/>
              <w:adjustRightInd/>
              <w:snapToGrid/>
              <w:spacing w:before="104"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0DEDC692">
            <w:pPr>
              <w:keepNext w:val="0"/>
              <w:keepLines w:val="0"/>
              <w:pageBreakBefore w:val="0"/>
              <w:widowControl w:val="0"/>
              <w:kinsoku/>
              <w:wordWrap/>
              <w:overflowPunct/>
              <w:topLinePunct w:val="0"/>
              <w:autoSpaceDE/>
              <w:autoSpaceDN/>
              <w:bidi w:val="0"/>
              <w:adjustRightInd/>
              <w:snapToGrid/>
              <w:spacing w:before="104"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≥10</w:t>
            </w:r>
            <w:r>
              <w:rPr>
                <w:rFonts w:ascii="仿宋" w:hAnsi="仿宋" w:eastAsia="仿宋" w:cs="仿宋"/>
                <w:color w:val="auto"/>
                <w:position w:val="1"/>
                <w:sz w:val="23"/>
                <w:szCs w:val="23"/>
                <w:highlight w:val="none"/>
              </w:rPr>
              <w:t>00</w:t>
            </w:r>
          </w:p>
        </w:tc>
        <w:tc>
          <w:tcPr>
            <w:tcW w:w="1535" w:type="dxa"/>
            <w:vAlign w:val="top"/>
          </w:tcPr>
          <w:p w14:paraId="70680819">
            <w:pPr>
              <w:keepNext w:val="0"/>
              <w:keepLines w:val="0"/>
              <w:pageBreakBefore w:val="0"/>
              <w:widowControl w:val="0"/>
              <w:kinsoku/>
              <w:wordWrap/>
              <w:overflowPunct/>
              <w:topLinePunct w:val="0"/>
              <w:autoSpaceDE/>
              <w:autoSpaceDN/>
              <w:bidi w:val="0"/>
              <w:adjustRightInd/>
              <w:snapToGrid/>
              <w:spacing w:before="145" w:line="200" w:lineRule="exact"/>
              <w:ind w:left="23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3</w:t>
            </w:r>
            <w:r>
              <w:rPr>
                <w:rFonts w:ascii="仿宋" w:hAnsi="仿宋" w:eastAsia="仿宋" w:cs="仿宋"/>
                <w:color w:val="auto"/>
                <w:spacing w:val="4"/>
                <w:sz w:val="23"/>
                <w:szCs w:val="23"/>
                <w:highlight w:val="none"/>
              </w:rPr>
              <w:t>0</w:t>
            </w:r>
            <w:r>
              <w:rPr>
                <w:rFonts w:ascii="仿宋" w:hAnsi="仿宋" w:eastAsia="仿宋" w:cs="仿宋"/>
                <w:color w:val="auto"/>
                <w:spacing w:val="3"/>
                <w:sz w:val="23"/>
                <w:szCs w:val="23"/>
                <w:highlight w:val="none"/>
              </w:rPr>
              <w:t>0- 1000</w:t>
            </w:r>
          </w:p>
        </w:tc>
        <w:tc>
          <w:tcPr>
            <w:tcW w:w="1295" w:type="dxa"/>
            <w:vAlign w:val="top"/>
          </w:tcPr>
          <w:p w14:paraId="7F9452AA">
            <w:pPr>
              <w:keepNext w:val="0"/>
              <w:keepLines w:val="0"/>
              <w:pageBreakBefore w:val="0"/>
              <w:widowControl w:val="0"/>
              <w:kinsoku/>
              <w:wordWrap/>
              <w:overflowPunct/>
              <w:topLinePunct w:val="0"/>
              <w:autoSpaceDE/>
              <w:autoSpaceDN/>
              <w:bidi w:val="0"/>
              <w:adjustRightInd/>
              <w:snapToGrid/>
              <w:spacing w:before="145" w:line="200" w:lineRule="exact"/>
              <w:ind w:left="296"/>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20-300</w:t>
            </w:r>
          </w:p>
        </w:tc>
        <w:tc>
          <w:tcPr>
            <w:tcW w:w="1004" w:type="dxa"/>
            <w:vAlign w:val="top"/>
          </w:tcPr>
          <w:p w14:paraId="1CA30C6B">
            <w:pPr>
              <w:keepNext w:val="0"/>
              <w:keepLines w:val="0"/>
              <w:pageBreakBefore w:val="0"/>
              <w:widowControl w:val="0"/>
              <w:kinsoku/>
              <w:wordWrap/>
              <w:overflowPunct/>
              <w:topLinePunct w:val="0"/>
              <w:autoSpaceDE/>
              <w:autoSpaceDN/>
              <w:bidi w:val="0"/>
              <w:adjustRightInd/>
              <w:snapToGrid/>
              <w:spacing w:before="104"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20</w:t>
            </w:r>
          </w:p>
        </w:tc>
      </w:tr>
      <w:tr w14:paraId="3A7E0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184" w:type="dxa"/>
            <w:vMerge w:val="continue"/>
            <w:tcBorders>
              <w:top w:val="nil"/>
            </w:tcBorders>
            <w:vAlign w:val="top"/>
          </w:tcPr>
          <w:p w14:paraId="45DAC644">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0212EB85">
            <w:pPr>
              <w:keepNext w:val="0"/>
              <w:keepLines w:val="0"/>
              <w:pageBreakBefore w:val="0"/>
              <w:widowControl w:val="0"/>
              <w:kinsoku/>
              <w:wordWrap/>
              <w:overflowPunct/>
              <w:topLinePunct w:val="0"/>
              <w:autoSpaceDE/>
              <w:autoSpaceDN/>
              <w:bidi w:val="0"/>
              <w:adjustRightInd/>
              <w:snapToGrid/>
              <w:spacing w:before="104"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17A38356">
            <w:pPr>
              <w:keepNext w:val="0"/>
              <w:keepLines w:val="0"/>
              <w:pageBreakBefore w:val="0"/>
              <w:widowControl w:val="0"/>
              <w:kinsoku/>
              <w:wordWrap/>
              <w:overflowPunct/>
              <w:topLinePunct w:val="0"/>
              <w:autoSpaceDE/>
              <w:autoSpaceDN/>
              <w:bidi w:val="0"/>
              <w:adjustRightInd/>
              <w:snapToGrid/>
              <w:spacing w:before="104"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4CF98CAE">
            <w:pPr>
              <w:keepNext w:val="0"/>
              <w:keepLines w:val="0"/>
              <w:pageBreakBefore w:val="0"/>
              <w:widowControl w:val="0"/>
              <w:kinsoku/>
              <w:wordWrap/>
              <w:overflowPunct/>
              <w:topLinePunct w:val="0"/>
              <w:autoSpaceDE/>
              <w:autoSpaceDN/>
              <w:bidi w:val="0"/>
              <w:adjustRightInd/>
              <w:snapToGrid/>
              <w:spacing w:before="104"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≥3</w:t>
            </w:r>
            <w:r>
              <w:rPr>
                <w:rFonts w:ascii="仿宋" w:hAnsi="仿宋" w:eastAsia="仿宋" w:cs="仿宋"/>
                <w:color w:val="auto"/>
                <w:position w:val="1"/>
                <w:sz w:val="23"/>
                <w:szCs w:val="23"/>
                <w:highlight w:val="none"/>
              </w:rPr>
              <w:t>0000</w:t>
            </w:r>
          </w:p>
        </w:tc>
        <w:tc>
          <w:tcPr>
            <w:tcW w:w="1535" w:type="dxa"/>
            <w:vAlign w:val="top"/>
          </w:tcPr>
          <w:p w14:paraId="34AB1951">
            <w:pPr>
              <w:keepNext w:val="0"/>
              <w:keepLines w:val="0"/>
              <w:pageBreakBefore w:val="0"/>
              <w:widowControl w:val="0"/>
              <w:kinsoku/>
              <w:wordWrap/>
              <w:overflowPunct/>
              <w:topLinePunct w:val="0"/>
              <w:autoSpaceDE/>
              <w:autoSpaceDN/>
              <w:bidi w:val="0"/>
              <w:adjustRightInd/>
              <w:snapToGrid/>
              <w:spacing w:before="145" w:line="200" w:lineRule="exact"/>
              <w:ind w:left="175"/>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2000-3000</w:t>
            </w:r>
            <w:r>
              <w:rPr>
                <w:rFonts w:ascii="仿宋" w:hAnsi="仿宋" w:eastAsia="仿宋" w:cs="仿宋"/>
                <w:color w:val="auto"/>
                <w:spacing w:val="2"/>
                <w:sz w:val="23"/>
                <w:szCs w:val="23"/>
                <w:highlight w:val="none"/>
              </w:rPr>
              <w:t>0</w:t>
            </w:r>
          </w:p>
        </w:tc>
        <w:tc>
          <w:tcPr>
            <w:tcW w:w="1295" w:type="dxa"/>
            <w:vAlign w:val="top"/>
          </w:tcPr>
          <w:p w14:paraId="1D235F2D">
            <w:pPr>
              <w:keepNext w:val="0"/>
              <w:keepLines w:val="0"/>
              <w:pageBreakBefore w:val="0"/>
              <w:widowControl w:val="0"/>
              <w:kinsoku/>
              <w:wordWrap/>
              <w:overflowPunct/>
              <w:topLinePunct w:val="0"/>
              <w:autoSpaceDE/>
              <w:autoSpaceDN/>
              <w:bidi w:val="0"/>
              <w:adjustRightInd/>
              <w:snapToGrid/>
              <w:spacing w:before="145" w:line="200" w:lineRule="exact"/>
              <w:ind w:left="19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100-2</w:t>
            </w:r>
            <w:r>
              <w:rPr>
                <w:rFonts w:ascii="仿宋" w:hAnsi="仿宋" w:eastAsia="仿宋" w:cs="仿宋"/>
                <w:color w:val="auto"/>
                <w:spacing w:val="1"/>
                <w:sz w:val="23"/>
                <w:szCs w:val="23"/>
                <w:highlight w:val="none"/>
              </w:rPr>
              <w:t>000</w:t>
            </w:r>
          </w:p>
        </w:tc>
        <w:tc>
          <w:tcPr>
            <w:tcW w:w="1004" w:type="dxa"/>
            <w:vAlign w:val="top"/>
          </w:tcPr>
          <w:p w14:paraId="56C7EBA8">
            <w:pPr>
              <w:keepNext w:val="0"/>
              <w:keepLines w:val="0"/>
              <w:pageBreakBefore w:val="0"/>
              <w:widowControl w:val="0"/>
              <w:kinsoku/>
              <w:wordWrap/>
              <w:overflowPunct/>
              <w:topLinePunct w:val="0"/>
              <w:autoSpaceDE/>
              <w:autoSpaceDN/>
              <w:bidi w:val="0"/>
              <w:adjustRightInd/>
              <w:snapToGrid/>
              <w:spacing w:before="104"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296C1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restart"/>
            <w:tcBorders>
              <w:bottom w:val="nil"/>
            </w:tcBorders>
            <w:vAlign w:val="top"/>
          </w:tcPr>
          <w:p w14:paraId="44C6006C">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5809DD99">
            <w:pPr>
              <w:keepNext w:val="0"/>
              <w:keepLines w:val="0"/>
              <w:pageBreakBefore w:val="0"/>
              <w:widowControl w:val="0"/>
              <w:kinsoku/>
              <w:wordWrap/>
              <w:overflowPunct/>
              <w:topLinePunct w:val="0"/>
              <w:autoSpaceDE/>
              <w:autoSpaceDN/>
              <w:bidi w:val="0"/>
              <w:adjustRightInd/>
              <w:snapToGrid/>
              <w:spacing w:before="75" w:line="200" w:lineRule="exact"/>
              <w:ind w:left="124"/>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住宿餐饮</w:t>
            </w:r>
          </w:p>
        </w:tc>
        <w:tc>
          <w:tcPr>
            <w:tcW w:w="1187" w:type="dxa"/>
            <w:vAlign w:val="top"/>
          </w:tcPr>
          <w:p w14:paraId="0B67F836">
            <w:pPr>
              <w:keepNext w:val="0"/>
              <w:keepLines w:val="0"/>
              <w:pageBreakBefore w:val="0"/>
              <w:widowControl w:val="0"/>
              <w:kinsoku/>
              <w:wordWrap/>
              <w:overflowPunct/>
              <w:topLinePunct w:val="0"/>
              <w:autoSpaceDE/>
              <w:autoSpaceDN/>
              <w:bidi w:val="0"/>
              <w:adjustRightInd/>
              <w:snapToGrid/>
              <w:spacing w:before="104"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5438C2AF">
            <w:pPr>
              <w:keepNext w:val="0"/>
              <w:keepLines w:val="0"/>
              <w:pageBreakBefore w:val="0"/>
              <w:widowControl w:val="0"/>
              <w:kinsoku/>
              <w:wordWrap/>
              <w:overflowPunct/>
              <w:topLinePunct w:val="0"/>
              <w:autoSpaceDE/>
              <w:autoSpaceDN/>
              <w:bidi w:val="0"/>
              <w:adjustRightInd/>
              <w:snapToGrid/>
              <w:spacing w:before="103"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6975E3E0">
            <w:pPr>
              <w:keepNext w:val="0"/>
              <w:keepLines w:val="0"/>
              <w:pageBreakBefore w:val="0"/>
              <w:widowControl w:val="0"/>
              <w:kinsoku/>
              <w:wordWrap/>
              <w:overflowPunct/>
              <w:topLinePunct w:val="0"/>
              <w:autoSpaceDE/>
              <w:autoSpaceDN/>
              <w:bidi w:val="0"/>
              <w:adjustRightInd/>
              <w:snapToGrid/>
              <w:spacing w:before="103"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≥300</w:t>
            </w:r>
          </w:p>
        </w:tc>
        <w:tc>
          <w:tcPr>
            <w:tcW w:w="1535" w:type="dxa"/>
            <w:vAlign w:val="top"/>
          </w:tcPr>
          <w:p w14:paraId="597608A8">
            <w:pPr>
              <w:keepNext w:val="0"/>
              <w:keepLines w:val="0"/>
              <w:pageBreakBefore w:val="0"/>
              <w:widowControl w:val="0"/>
              <w:kinsoku/>
              <w:wordWrap/>
              <w:overflowPunct/>
              <w:topLinePunct w:val="0"/>
              <w:autoSpaceDE/>
              <w:autoSpaceDN/>
              <w:bidi w:val="0"/>
              <w:adjustRightInd/>
              <w:snapToGrid/>
              <w:spacing w:before="144"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00-300</w:t>
            </w:r>
          </w:p>
        </w:tc>
        <w:tc>
          <w:tcPr>
            <w:tcW w:w="1295" w:type="dxa"/>
            <w:vAlign w:val="top"/>
          </w:tcPr>
          <w:p w14:paraId="28627993">
            <w:pPr>
              <w:keepNext w:val="0"/>
              <w:keepLines w:val="0"/>
              <w:pageBreakBefore w:val="0"/>
              <w:widowControl w:val="0"/>
              <w:kinsoku/>
              <w:wordWrap/>
              <w:overflowPunct/>
              <w:topLinePunct w:val="0"/>
              <w:autoSpaceDE/>
              <w:autoSpaceDN/>
              <w:bidi w:val="0"/>
              <w:adjustRightInd/>
              <w:snapToGrid/>
              <w:spacing w:before="144" w:line="200" w:lineRule="exact"/>
              <w:ind w:left="31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100</w:t>
            </w:r>
          </w:p>
        </w:tc>
        <w:tc>
          <w:tcPr>
            <w:tcW w:w="1004" w:type="dxa"/>
            <w:vAlign w:val="top"/>
          </w:tcPr>
          <w:p w14:paraId="42679FAA">
            <w:pPr>
              <w:keepNext w:val="0"/>
              <w:keepLines w:val="0"/>
              <w:pageBreakBefore w:val="0"/>
              <w:widowControl w:val="0"/>
              <w:kinsoku/>
              <w:wordWrap/>
              <w:overflowPunct/>
              <w:topLinePunct w:val="0"/>
              <w:autoSpaceDE/>
              <w:autoSpaceDN/>
              <w:bidi w:val="0"/>
              <w:adjustRightInd/>
              <w:snapToGrid/>
              <w:spacing w:before="103"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10</w:t>
            </w:r>
          </w:p>
        </w:tc>
      </w:tr>
      <w:tr w14:paraId="13002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84" w:type="dxa"/>
            <w:vMerge w:val="continue"/>
            <w:tcBorders>
              <w:top w:val="nil"/>
            </w:tcBorders>
            <w:vAlign w:val="top"/>
          </w:tcPr>
          <w:p w14:paraId="6EF7E36F">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59AB318C">
            <w:pPr>
              <w:keepNext w:val="0"/>
              <w:keepLines w:val="0"/>
              <w:pageBreakBefore w:val="0"/>
              <w:widowControl w:val="0"/>
              <w:kinsoku/>
              <w:wordWrap/>
              <w:overflowPunct/>
              <w:topLinePunct w:val="0"/>
              <w:autoSpaceDE/>
              <w:autoSpaceDN/>
              <w:bidi w:val="0"/>
              <w:adjustRightInd/>
              <w:snapToGrid/>
              <w:spacing w:before="103"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313DE49C">
            <w:pPr>
              <w:keepNext w:val="0"/>
              <w:keepLines w:val="0"/>
              <w:pageBreakBefore w:val="0"/>
              <w:widowControl w:val="0"/>
              <w:kinsoku/>
              <w:wordWrap/>
              <w:overflowPunct/>
              <w:topLinePunct w:val="0"/>
              <w:autoSpaceDE/>
              <w:autoSpaceDN/>
              <w:bidi w:val="0"/>
              <w:adjustRightInd/>
              <w:snapToGrid/>
              <w:spacing w:before="103"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52E45E88">
            <w:pPr>
              <w:keepNext w:val="0"/>
              <w:keepLines w:val="0"/>
              <w:pageBreakBefore w:val="0"/>
              <w:widowControl w:val="0"/>
              <w:kinsoku/>
              <w:wordWrap/>
              <w:overflowPunct/>
              <w:topLinePunct w:val="0"/>
              <w:autoSpaceDE/>
              <w:autoSpaceDN/>
              <w:bidi w:val="0"/>
              <w:adjustRightInd/>
              <w:snapToGrid/>
              <w:spacing w:before="103"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w:t>
            </w:r>
            <w:r>
              <w:rPr>
                <w:rFonts w:ascii="仿宋" w:hAnsi="仿宋" w:eastAsia="仿宋" w:cs="仿宋"/>
                <w:color w:val="auto"/>
                <w:position w:val="1"/>
                <w:sz w:val="23"/>
                <w:szCs w:val="23"/>
                <w:highlight w:val="none"/>
              </w:rPr>
              <w:t>0000</w:t>
            </w:r>
          </w:p>
        </w:tc>
        <w:tc>
          <w:tcPr>
            <w:tcW w:w="1535" w:type="dxa"/>
            <w:vAlign w:val="top"/>
          </w:tcPr>
          <w:p w14:paraId="3F9147A9">
            <w:pPr>
              <w:keepNext w:val="0"/>
              <w:keepLines w:val="0"/>
              <w:pageBreakBefore w:val="0"/>
              <w:widowControl w:val="0"/>
              <w:kinsoku/>
              <w:wordWrap/>
              <w:overflowPunct/>
              <w:topLinePunct w:val="0"/>
              <w:autoSpaceDE/>
              <w:autoSpaceDN/>
              <w:bidi w:val="0"/>
              <w:adjustRightInd/>
              <w:snapToGrid/>
              <w:spacing w:before="144" w:line="200" w:lineRule="exact"/>
              <w:ind w:left="175"/>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2000-1000</w:t>
            </w:r>
            <w:r>
              <w:rPr>
                <w:rFonts w:ascii="仿宋" w:hAnsi="仿宋" w:eastAsia="仿宋" w:cs="仿宋"/>
                <w:color w:val="auto"/>
                <w:spacing w:val="2"/>
                <w:sz w:val="23"/>
                <w:szCs w:val="23"/>
                <w:highlight w:val="none"/>
              </w:rPr>
              <w:t>0</w:t>
            </w:r>
          </w:p>
        </w:tc>
        <w:tc>
          <w:tcPr>
            <w:tcW w:w="1295" w:type="dxa"/>
            <w:vAlign w:val="top"/>
          </w:tcPr>
          <w:p w14:paraId="2B24504C">
            <w:pPr>
              <w:keepNext w:val="0"/>
              <w:keepLines w:val="0"/>
              <w:pageBreakBefore w:val="0"/>
              <w:widowControl w:val="0"/>
              <w:kinsoku/>
              <w:wordWrap/>
              <w:overflowPunct/>
              <w:topLinePunct w:val="0"/>
              <w:autoSpaceDE/>
              <w:autoSpaceDN/>
              <w:bidi w:val="0"/>
              <w:adjustRightInd/>
              <w:snapToGrid/>
              <w:spacing w:before="144" w:line="200" w:lineRule="exact"/>
              <w:ind w:left="19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100-2</w:t>
            </w:r>
            <w:r>
              <w:rPr>
                <w:rFonts w:ascii="仿宋" w:hAnsi="仿宋" w:eastAsia="仿宋" w:cs="仿宋"/>
                <w:color w:val="auto"/>
                <w:spacing w:val="1"/>
                <w:sz w:val="23"/>
                <w:szCs w:val="23"/>
                <w:highlight w:val="none"/>
              </w:rPr>
              <w:t>000</w:t>
            </w:r>
          </w:p>
        </w:tc>
        <w:tc>
          <w:tcPr>
            <w:tcW w:w="1004" w:type="dxa"/>
            <w:vAlign w:val="top"/>
          </w:tcPr>
          <w:p w14:paraId="4E9973B1">
            <w:pPr>
              <w:keepNext w:val="0"/>
              <w:keepLines w:val="0"/>
              <w:pageBreakBefore w:val="0"/>
              <w:widowControl w:val="0"/>
              <w:kinsoku/>
              <w:wordWrap/>
              <w:overflowPunct/>
              <w:topLinePunct w:val="0"/>
              <w:autoSpaceDE/>
              <w:autoSpaceDN/>
              <w:bidi w:val="0"/>
              <w:adjustRightInd/>
              <w:snapToGrid/>
              <w:spacing w:before="103"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141CF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84" w:type="dxa"/>
            <w:vMerge w:val="restart"/>
            <w:tcBorders>
              <w:bottom w:val="nil"/>
            </w:tcBorders>
            <w:vAlign w:val="top"/>
          </w:tcPr>
          <w:p w14:paraId="408F2780">
            <w:pPr>
              <w:keepNext w:val="0"/>
              <w:keepLines w:val="0"/>
              <w:pageBreakBefore w:val="0"/>
              <w:widowControl w:val="0"/>
              <w:kinsoku/>
              <w:wordWrap/>
              <w:overflowPunct/>
              <w:topLinePunct w:val="0"/>
              <w:autoSpaceDE/>
              <w:autoSpaceDN/>
              <w:bidi w:val="0"/>
              <w:adjustRightInd/>
              <w:snapToGrid/>
              <w:spacing w:before="172" w:line="200" w:lineRule="exact"/>
              <w:ind w:left="124" w:right="110" w:firstLine="124"/>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房地产</w:t>
            </w:r>
            <w:r>
              <w:rPr>
                <w:rFonts w:ascii="仿宋" w:hAnsi="仿宋" w:eastAsia="仿宋" w:cs="仿宋"/>
                <w:color w:val="auto"/>
                <w:sz w:val="23"/>
                <w:szCs w:val="23"/>
                <w:highlight w:val="none"/>
              </w:rPr>
              <w:t xml:space="preserve"> </w:t>
            </w:r>
            <w:r>
              <w:rPr>
                <w:rFonts w:ascii="仿宋" w:hAnsi="仿宋" w:eastAsia="仿宋" w:cs="仿宋"/>
                <w:color w:val="auto"/>
                <w:spacing w:val="6"/>
                <w:sz w:val="23"/>
                <w:szCs w:val="23"/>
                <w:highlight w:val="none"/>
              </w:rPr>
              <w:t>开发经营</w:t>
            </w:r>
          </w:p>
        </w:tc>
        <w:tc>
          <w:tcPr>
            <w:tcW w:w="1187" w:type="dxa"/>
            <w:vAlign w:val="top"/>
          </w:tcPr>
          <w:p w14:paraId="495D7DC2">
            <w:pPr>
              <w:keepNext w:val="0"/>
              <w:keepLines w:val="0"/>
              <w:pageBreakBefore w:val="0"/>
              <w:widowControl w:val="0"/>
              <w:kinsoku/>
              <w:wordWrap/>
              <w:overflowPunct/>
              <w:topLinePunct w:val="0"/>
              <w:autoSpaceDE/>
              <w:autoSpaceDN/>
              <w:bidi w:val="0"/>
              <w:adjustRightInd/>
              <w:snapToGrid/>
              <w:spacing w:before="103" w:line="200" w:lineRule="exact"/>
              <w:ind w:left="138"/>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资产总</w:t>
            </w:r>
            <w:r>
              <w:rPr>
                <w:rFonts w:ascii="仿宋" w:hAnsi="仿宋" w:eastAsia="仿宋" w:cs="仿宋"/>
                <w:color w:val="auto"/>
                <w:spacing w:val="2"/>
                <w:sz w:val="23"/>
                <w:szCs w:val="23"/>
                <w:highlight w:val="none"/>
              </w:rPr>
              <w:t>额</w:t>
            </w:r>
          </w:p>
        </w:tc>
        <w:tc>
          <w:tcPr>
            <w:tcW w:w="900" w:type="dxa"/>
            <w:vAlign w:val="top"/>
          </w:tcPr>
          <w:p w14:paraId="72C2D12E">
            <w:pPr>
              <w:keepNext w:val="0"/>
              <w:keepLines w:val="0"/>
              <w:pageBreakBefore w:val="0"/>
              <w:widowControl w:val="0"/>
              <w:kinsoku/>
              <w:wordWrap/>
              <w:overflowPunct/>
              <w:topLinePunct w:val="0"/>
              <w:autoSpaceDE/>
              <w:autoSpaceDN/>
              <w:bidi w:val="0"/>
              <w:adjustRightInd/>
              <w:snapToGrid/>
              <w:spacing w:before="103"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6DB9432B">
            <w:pPr>
              <w:keepNext w:val="0"/>
              <w:keepLines w:val="0"/>
              <w:pageBreakBefore w:val="0"/>
              <w:widowControl w:val="0"/>
              <w:kinsoku/>
              <w:wordWrap/>
              <w:overflowPunct/>
              <w:topLinePunct w:val="0"/>
              <w:autoSpaceDE/>
              <w:autoSpaceDN/>
              <w:bidi w:val="0"/>
              <w:adjustRightInd/>
              <w:snapToGrid/>
              <w:spacing w:before="103"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w:t>
            </w:r>
            <w:r>
              <w:rPr>
                <w:rFonts w:ascii="仿宋" w:hAnsi="仿宋" w:eastAsia="仿宋" w:cs="仿宋"/>
                <w:color w:val="auto"/>
                <w:position w:val="1"/>
                <w:sz w:val="23"/>
                <w:szCs w:val="23"/>
                <w:highlight w:val="none"/>
              </w:rPr>
              <w:t>0000</w:t>
            </w:r>
          </w:p>
        </w:tc>
        <w:tc>
          <w:tcPr>
            <w:tcW w:w="1535" w:type="dxa"/>
            <w:vAlign w:val="top"/>
          </w:tcPr>
          <w:p w14:paraId="385AB1A3">
            <w:pPr>
              <w:keepNext w:val="0"/>
              <w:keepLines w:val="0"/>
              <w:pageBreakBefore w:val="0"/>
              <w:widowControl w:val="0"/>
              <w:kinsoku/>
              <w:wordWrap/>
              <w:overflowPunct/>
              <w:topLinePunct w:val="0"/>
              <w:autoSpaceDE/>
              <w:autoSpaceDN/>
              <w:bidi w:val="0"/>
              <w:adjustRightInd/>
              <w:snapToGrid/>
              <w:spacing w:before="144" w:line="200" w:lineRule="exact"/>
              <w:ind w:left="17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50</w:t>
            </w:r>
            <w:r>
              <w:rPr>
                <w:rFonts w:ascii="仿宋" w:hAnsi="仿宋" w:eastAsia="仿宋" w:cs="仿宋"/>
                <w:color w:val="auto"/>
                <w:spacing w:val="3"/>
                <w:sz w:val="23"/>
                <w:szCs w:val="23"/>
                <w:highlight w:val="none"/>
              </w:rPr>
              <w:t>00-10000</w:t>
            </w:r>
          </w:p>
        </w:tc>
        <w:tc>
          <w:tcPr>
            <w:tcW w:w="1295" w:type="dxa"/>
            <w:vAlign w:val="top"/>
          </w:tcPr>
          <w:p w14:paraId="11FF934A">
            <w:pPr>
              <w:keepNext w:val="0"/>
              <w:keepLines w:val="0"/>
              <w:pageBreakBefore w:val="0"/>
              <w:widowControl w:val="0"/>
              <w:kinsoku/>
              <w:wordWrap/>
              <w:overflowPunct/>
              <w:topLinePunct w:val="0"/>
              <w:autoSpaceDE/>
              <w:autoSpaceDN/>
              <w:bidi w:val="0"/>
              <w:adjustRightInd/>
              <w:snapToGrid/>
              <w:spacing w:before="103" w:line="200" w:lineRule="exact"/>
              <w:ind w:left="116"/>
              <w:textAlignment w:val="auto"/>
              <w:rPr>
                <w:rFonts w:ascii="仿宋" w:hAnsi="仿宋" w:eastAsia="仿宋" w:cs="仿宋"/>
                <w:color w:val="auto"/>
                <w:sz w:val="23"/>
                <w:szCs w:val="23"/>
                <w:highlight w:val="none"/>
              </w:rPr>
            </w:pPr>
            <w:r>
              <w:rPr>
                <w:rFonts w:ascii="仿宋" w:hAnsi="仿宋" w:eastAsia="仿宋" w:cs="仿宋"/>
                <w:color w:val="auto"/>
                <w:spacing w:val="6"/>
                <w:position w:val="1"/>
                <w:sz w:val="23"/>
                <w:szCs w:val="23"/>
                <w:highlight w:val="none"/>
              </w:rPr>
              <w:t>20</w:t>
            </w:r>
            <w:r>
              <w:rPr>
                <w:rFonts w:ascii="仿宋" w:hAnsi="仿宋" w:eastAsia="仿宋" w:cs="仿宋"/>
                <w:color w:val="auto"/>
                <w:spacing w:val="3"/>
                <w:position w:val="1"/>
                <w:sz w:val="23"/>
                <w:szCs w:val="23"/>
                <w:highlight w:val="none"/>
              </w:rPr>
              <w:t>00&lt;5000</w:t>
            </w:r>
          </w:p>
        </w:tc>
        <w:tc>
          <w:tcPr>
            <w:tcW w:w="1004" w:type="dxa"/>
            <w:vAlign w:val="top"/>
          </w:tcPr>
          <w:p w14:paraId="55DF6E51">
            <w:pPr>
              <w:keepNext w:val="0"/>
              <w:keepLines w:val="0"/>
              <w:pageBreakBefore w:val="0"/>
              <w:widowControl w:val="0"/>
              <w:kinsoku/>
              <w:wordWrap/>
              <w:overflowPunct/>
              <w:topLinePunct w:val="0"/>
              <w:autoSpaceDE/>
              <w:autoSpaceDN/>
              <w:bidi w:val="0"/>
              <w:adjustRightInd/>
              <w:snapToGrid/>
              <w:spacing w:before="103" w:line="200" w:lineRule="exact"/>
              <w:ind w:left="16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＜2</w:t>
            </w:r>
            <w:r>
              <w:rPr>
                <w:rFonts w:ascii="仿宋" w:hAnsi="仿宋" w:eastAsia="仿宋" w:cs="仿宋"/>
                <w:color w:val="auto"/>
                <w:position w:val="2"/>
                <w:sz w:val="23"/>
                <w:szCs w:val="23"/>
                <w:highlight w:val="none"/>
              </w:rPr>
              <w:t>000</w:t>
            </w:r>
          </w:p>
        </w:tc>
      </w:tr>
      <w:tr w14:paraId="5C6A0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84" w:type="dxa"/>
            <w:vMerge w:val="continue"/>
            <w:tcBorders>
              <w:top w:val="nil"/>
            </w:tcBorders>
            <w:vAlign w:val="top"/>
          </w:tcPr>
          <w:p w14:paraId="7E02D71B">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744300B5">
            <w:pPr>
              <w:keepNext w:val="0"/>
              <w:keepLines w:val="0"/>
              <w:pageBreakBefore w:val="0"/>
              <w:widowControl w:val="0"/>
              <w:kinsoku/>
              <w:wordWrap/>
              <w:overflowPunct/>
              <w:topLinePunct w:val="0"/>
              <w:autoSpaceDE/>
              <w:autoSpaceDN/>
              <w:bidi w:val="0"/>
              <w:adjustRightInd/>
              <w:snapToGrid/>
              <w:spacing w:before="103"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1BCAC04F">
            <w:pPr>
              <w:keepNext w:val="0"/>
              <w:keepLines w:val="0"/>
              <w:pageBreakBefore w:val="0"/>
              <w:widowControl w:val="0"/>
              <w:kinsoku/>
              <w:wordWrap/>
              <w:overflowPunct/>
              <w:topLinePunct w:val="0"/>
              <w:autoSpaceDE/>
              <w:autoSpaceDN/>
              <w:bidi w:val="0"/>
              <w:adjustRightInd/>
              <w:snapToGrid/>
              <w:spacing w:before="103"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40662BC4">
            <w:pPr>
              <w:keepNext w:val="0"/>
              <w:keepLines w:val="0"/>
              <w:pageBreakBefore w:val="0"/>
              <w:widowControl w:val="0"/>
              <w:kinsoku/>
              <w:wordWrap/>
              <w:overflowPunct/>
              <w:topLinePunct w:val="0"/>
              <w:autoSpaceDE/>
              <w:autoSpaceDN/>
              <w:bidi w:val="0"/>
              <w:adjustRightInd/>
              <w:snapToGrid/>
              <w:spacing w:before="103" w:line="200" w:lineRule="exact"/>
              <w:ind w:left="25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≥200000</w:t>
            </w:r>
          </w:p>
        </w:tc>
        <w:tc>
          <w:tcPr>
            <w:tcW w:w="1535" w:type="dxa"/>
            <w:vAlign w:val="top"/>
          </w:tcPr>
          <w:p w14:paraId="37DB6ADF">
            <w:pPr>
              <w:keepNext w:val="0"/>
              <w:keepLines w:val="0"/>
              <w:pageBreakBefore w:val="0"/>
              <w:widowControl w:val="0"/>
              <w:kinsoku/>
              <w:wordWrap/>
              <w:overflowPunct/>
              <w:topLinePunct w:val="0"/>
              <w:autoSpaceDE/>
              <w:autoSpaceDN/>
              <w:bidi w:val="0"/>
              <w:adjustRightInd/>
              <w:snapToGrid/>
              <w:spacing w:before="144" w:line="200" w:lineRule="exact"/>
              <w:ind w:left="130"/>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100</w:t>
            </w:r>
            <w:r>
              <w:rPr>
                <w:rFonts w:ascii="仿宋" w:hAnsi="仿宋" w:eastAsia="仿宋" w:cs="仿宋"/>
                <w:color w:val="auto"/>
                <w:spacing w:val="2"/>
                <w:sz w:val="23"/>
                <w:szCs w:val="23"/>
                <w:highlight w:val="none"/>
              </w:rPr>
              <w:t>0-200000</w:t>
            </w:r>
          </w:p>
        </w:tc>
        <w:tc>
          <w:tcPr>
            <w:tcW w:w="1295" w:type="dxa"/>
            <w:vAlign w:val="top"/>
          </w:tcPr>
          <w:p w14:paraId="25032F84">
            <w:pPr>
              <w:keepNext w:val="0"/>
              <w:keepLines w:val="0"/>
              <w:pageBreakBefore w:val="0"/>
              <w:widowControl w:val="0"/>
              <w:kinsoku/>
              <w:wordWrap/>
              <w:overflowPunct/>
              <w:topLinePunct w:val="0"/>
              <w:autoSpaceDE/>
              <w:autoSpaceDN/>
              <w:bidi w:val="0"/>
              <w:adjustRightInd/>
              <w:snapToGrid/>
              <w:spacing w:before="103" w:line="200" w:lineRule="exact"/>
              <w:ind w:left="131"/>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100&lt;10000</w:t>
            </w:r>
          </w:p>
        </w:tc>
        <w:tc>
          <w:tcPr>
            <w:tcW w:w="1004" w:type="dxa"/>
            <w:vAlign w:val="top"/>
          </w:tcPr>
          <w:p w14:paraId="5AE2AE60">
            <w:pPr>
              <w:keepNext w:val="0"/>
              <w:keepLines w:val="0"/>
              <w:pageBreakBefore w:val="0"/>
              <w:widowControl w:val="0"/>
              <w:kinsoku/>
              <w:wordWrap/>
              <w:overflowPunct/>
              <w:topLinePunct w:val="0"/>
              <w:autoSpaceDE/>
              <w:autoSpaceDN/>
              <w:bidi w:val="0"/>
              <w:adjustRightInd/>
              <w:snapToGrid/>
              <w:spacing w:before="103"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1B865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 w:hRule="atLeast"/>
        </w:trPr>
        <w:tc>
          <w:tcPr>
            <w:tcW w:w="1184" w:type="dxa"/>
            <w:vMerge w:val="restart"/>
            <w:tcBorders>
              <w:bottom w:val="nil"/>
            </w:tcBorders>
            <w:vAlign w:val="top"/>
          </w:tcPr>
          <w:p w14:paraId="688F8EB9">
            <w:pPr>
              <w:keepNext w:val="0"/>
              <w:keepLines w:val="0"/>
              <w:pageBreakBefore w:val="0"/>
              <w:widowControl w:val="0"/>
              <w:kinsoku/>
              <w:wordWrap/>
              <w:overflowPunct/>
              <w:topLinePunct w:val="0"/>
              <w:autoSpaceDE/>
              <w:autoSpaceDN/>
              <w:bidi w:val="0"/>
              <w:adjustRightInd/>
              <w:snapToGrid/>
              <w:spacing w:before="263"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物业管</w:t>
            </w:r>
            <w:r>
              <w:rPr>
                <w:rFonts w:ascii="仿宋" w:hAnsi="仿宋" w:eastAsia="仿宋" w:cs="仿宋"/>
                <w:color w:val="auto"/>
                <w:spacing w:val="5"/>
                <w:sz w:val="23"/>
                <w:szCs w:val="23"/>
                <w:highlight w:val="none"/>
              </w:rPr>
              <w:t>理</w:t>
            </w:r>
          </w:p>
        </w:tc>
        <w:tc>
          <w:tcPr>
            <w:tcW w:w="1187" w:type="dxa"/>
            <w:vAlign w:val="top"/>
          </w:tcPr>
          <w:p w14:paraId="62F2E2BF">
            <w:pPr>
              <w:keepNext w:val="0"/>
              <w:keepLines w:val="0"/>
              <w:pageBreakBefore w:val="0"/>
              <w:widowControl w:val="0"/>
              <w:kinsoku/>
              <w:wordWrap/>
              <w:overflowPunct/>
              <w:topLinePunct w:val="0"/>
              <w:autoSpaceDE/>
              <w:autoSpaceDN/>
              <w:bidi w:val="0"/>
              <w:adjustRightInd/>
              <w:snapToGrid/>
              <w:spacing w:before="40"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51939F93">
            <w:pPr>
              <w:keepNext w:val="0"/>
              <w:keepLines w:val="0"/>
              <w:pageBreakBefore w:val="0"/>
              <w:widowControl w:val="0"/>
              <w:kinsoku/>
              <w:wordWrap/>
              <w:overflowPunct/>
              <w:topLinePunct w:val="0"/>
              <w:autoSpaceDE/>
              <w:autoSpaceDN/>
              <w:bidi w:val="0"/>
              <w:adjustRightInd/>
              <w:snapToGrid/>
              <w:spacing w:before="40"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230CA95B">
            <w:pPr>
              <w:keepNext w:val="0"/>
              <w:keepLines w:val="0"/>
              <w:pageBreakBefore w:val="0"/>
              <w:widowControl w:val="0"/>
              <w:kinsoku/>
              <w:wordWrap/>
              <w:overflowPunct/>
              <w:topLinePunct w:val="0"/>
              <w:autoSpaceDE/>
              <w:autoSpaceDN/>
              <w:bidi w:val="0"/>
              <w:adjustRightInd/>
              <w:snapToGrid/>
              <w:spacing w:before="40"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00</w:t>
            </w:r>
          </w:p>
        </w:tc>
        <w:tc>
          <w:tcPr>
            <w:tcW w:w="1535" w:type="dxa"/>
            <w:vAlign w:val="top"/>
          </w:tcPr>
          <w:p w14:paraId="712EEC7E">
            <w:pPr>
              <w:keepNext w:val="0"/>
              <w:keepLines w:val="0"/>
              <w:pageBreakBefore w:val="0"/>
              <w:widowControl w:val="0"/>
              <w:kinsoku/>
              <w:wordWrap/>
              <w:overflowPunct/>
              <w:topLinePunct w:val="0"/>
              <w:autoSpaceDE/>
              <w:autoSpaceDN/>
              <w:bidi w:val="0"/>
              <w:adjustRightInd/>
              <w:snapToGrid/>
              <w:spacing w:before="81" w:line="200" w:lineRule="exact"/>
              <w:ind w:left="297"/>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00-1000</w:t>
            </w:r>
          </w:p>
        </w:tc>
        <w:tc>
          <w:tcPr>
            <w:tcW w:w="1295" w:type="dxa"/>
            <w:vAlign w:val="top"/>
          </w:tcPr>
          <w:p w14:paraId="0898277A">
            <w:pPr>
              <w:keepNext w:val="0"/>
              <w:keepLines w:val="0"/>
              <w:pageBreakBefore w:val="0"/>
              <w:widowControl w:val="0"/>
              <w:kinsoku/>
              <w:wordWrap/>
              <w:overflowPunct/>
              <w:topLinePunct w:val="0"/>
              <w:autoSpaceDE/>
              <w:autoSpaceDN/>
              <w:bidi w:val="0"/>
              <w:adjustRightInd/>
              <w:snapToGrid/>
              <w:spacing w:before="81" w:line="200" w:lineRule="exact"/>
              <w:ind w:left="25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00-300</w:t>
            </w:r>
          </w:p>
        </w:tc>
        <w:tc>
          <w:tcPr>
            <w:tcW w:w="1004" w:type="dxa"/>
            <w:vAlign w:val="top"/>
          </w:tcPr>
          <w:p w14:paraId="31B5F117">
            <w:pPr>
              <w:keepNext w:val="0"/>
              <w:keepLines w:val="0"/>
              <w:pageBreakBefore w:val="0"/>
              <w:widowControl w:val="0"/>
              <w:kinsoku/>
              <w:wordWrap/>
              <w:overflowPunct/>
              <w:topLinePunct w:val="0"/>
              <w:autoSpaceDE/>
              <w:autoSpaceDN/>
              <w:bidi w:val="0"/>
              <w:adjustRightInd/>
              <w:snapToGrid/>
              <w:spacing w:before="40"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0</w:t>
            </w:r>
          </w:p>
        </w:tc>
      </w:tr>
      <w:tr w14:paraId="48E4B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continue"/>
            <w:tcBorders>
              <w:top w:val="nil"/>
            </w:tcBorders>
            <w:vAlign w:val="top"/>
          </w:tcPr>
          <w:p w14:paraId="75C56BBD">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7B8D9F8B">
            <w:pPr>
              <w:keepNext w:val="0"/>
              <w:keepLines w:val="0"/>
              <w:pageBreakBefore w:val="0"/>
              <w:widowControl w:val="0"/>
              <w:kinsoku/>
              <w:wordWrap/>
              <w:overflowPunct/>
              <w:topLinePunct w:val="0"/>
              <w:autoSpaceDE/>
              <w:autoSpaceDN/>
              <w:bidi w:val="0"/>
              <w:adjustRightInd/>
              <w:snapToGrid/>
              <w:spacing w:before="103"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2440A9F9">
            <w:pPr>
              <w:keepNext w:val="0"/>
              <w:keepLines w:val="0"/>
              <w:pageBreakBefore w:val="0"/>
              <w:widowControl w:val="0"/>
              <w:kinsoku/>
              <w:wordWrap/>
              <w:overflowPunct/>
              <w:topLinePunct w:val="0"/>
              <w:autoSpaceDE/>
              <w:autoSpaceDN/>
              <w:bidi w:val="0"/>
              <w:adjustRightInd/>
              <w:snapToGrid/>
              <w:spacing w:before="103"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77EB687C">
            <w:pPr>
              <w:keepNext w:val="0"/>
              <w:keepLines w:val="0"/>
              <w:pageBreakBefore w:val="0"/>
              <w:widowControl w:val="0"/>
              <w:kinsoku/>
              <w:wordWrap/>
              <w:overflowPunct/>
              <w:topLinePunct w:val="0"/>
              <w:autoSpaceDE/>
              <w:autoSpaceDN/>
              <w:bidi w:val="0"/>
              <w:adjustRightInd/>
              <w:snapToGrid/>
              <w:spacing w:before="103"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≥50</w:t>
            </w:r>
            <w:r>
              <w:rPr>
                <w:rFonts w:ascii="仿宋" w:hAnsi="仿宋" w:eastAsia="仿宋" w:cs="仿宋"/>
                <w:color w:val="auto"/>
                <w:position w:val="1"/>
                <w:sz w:val="23"/>
                <w:szCs w:val="23"/>
                <w:highlight w:val="none"/>
              </w:rPr>
              <w:t>00</w:t>
            </w:r>
          </w:p>
        </w:tc>
        <w:tc>
          <w:tcPr>
            <w:tcW w:w="1535" w:type="dxa"/>
            <w:vAlign w:val="top"/>
          </w:tcPr>
          <w:p w14:paraId="539F83BB">
            <w:pPr>
              <w:keepNext w:val="0"/>
              <w:keepLines w:val="0"/>
              <w:pageBreakBefore w:val="0"/>
              <w:widowControl w:val="0"/>
              <w:kinsoku/>
              <w:wordWrap/>
              <w:overflowPunct/>
              <w:topLinePunct w:val="0"/>
              <w:autoSpaceDE/>
              <w:autoSpaceDN/>
              <w:bidi w:val="0"/>
              <w:adjustRightInd/>
              <w:snapToGrid/>
              <w:spacing w:before="144" w:line="200" w:lineRule="exact"/>
              <w:ind w:left="25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1000-5000</w:t>
            </w:r>
          </w:p>
        </w:tc>
        <w:tc>
          <w:tcPr>
            <w:tcW w:w="1295" w:type="dxa"/>
            <w:vAlign w:val="top"/>
          </w:tcPr>
          <w:p w14:paraId="7BDC924E">
            <w:pPr>
              <w:keepNext w:val="0"/>
              <w:keepLines w:val="0"/>
              <w:pageBreakBefore w:val="0"/>
              <w:widowControl w:val="0"/>
              <w:kinsoku/>
              <w:wordWrap/>
              <w:overflowPunct/>
              <w:topLinePunct w:val="0"/>
              <w:autoSpaceDE/>
              <w:autoSpaceDN/>
              <w:bidi w:val="0"/>
              <w:adjustRightInd/>
              <w:snapToGrid/>
              <w:spacing w:before="144" w:line="200" w:lineRule="exact"/>
              <w:ind w:left="118"/>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w:t>
            </w:r>
            <w:r>
              <w:rPr>
                <w:rFonts w:ascii="仿宋" w:hAnsi="仿宋" w:eastAsia="仿宋" w:cs="仿宋"/>
                <w:color w:val="auto"/>
                <w:spacing w:val="4"/>
                <w:sz w:val="23"/>
                <w:szCs w:val="23"/>
                <w:highlight w:val="none"/>
              </w:rPr>
              <w:t>0</w:t>
            </w:r>
            <w:r>
              <w:rPr>
                <w:rFonts w:ascii="仿宋" w:hAnsi="仿宋" w:eastAsia="仿宋" w:cs="仿宋"/>
                <w:color w:val="auto"/>
                <w:spacing w:val="3"/>
                <w:sz w:val="23"/>
                <w:szCs w:val="23"/>
                <w:highlight w:val="none"/>
              </w:rPr>
              <w:t>0- 1000</w:t>
            </w:r>
          </w:p>
        </w:tc>
        <w:tc>
          <w:tcPr>
            <w:tcW w:w="1004" w:type="dxa"/>
            <w:vAlign w:val="top"/>
          </w:tcPr>
          <w:p w14:paraId="00DAE1AE">
            <w:pPr>
              <w:keepNext w:val="0"/>
              <w:keepLines w:val="0"/>
              <w:pageBreakBefore w:val="0"/>
              <w:widowControl w:val="0"/>
              <w:kinsoku/>
              <w:wordWrap/>
              <w:overflowPunct/>
              <w:topLinePunct w:val="0"/>
              <w:autoSpaceDE/>
              <w:autoSpaceDN/>
              <w:bidi w:val="0"/>
              <w:adjustRightInd/>
              <w:snapToGrid/>
              <w:spacing w:before="103"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＜50</w:t>
            </w:r>
            <w:r>
              <w:rPr>
                <w:rFonts w:ascii="仿宋" w:hAnsi="仿宋" w:eastAsia="仿宋" w:cs="仿宋"/>
                <w:color w:val="auto"/>
                <w:position w:val="2"/>
                <w:sz w:val="23"/>
                <w:szCs w:val="23"/>
                <w:highlight w:val="none"/>
              </w:rPr>
              <w:t>0</w:t>
            </w:r>
          </w:p>
        </w:tc>
      </w:tr>
      <w:tr w14:paraId="33426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184" w:type="dxa"/>
            <w:vMerge w:val="restart"/>
            <w:tcBorders>
              <w:bottom w:val="nil"/>
            </w:tcBorders>
            <w:vAlign w:val="top"/>
          </w:tcPr>
          <w:p w14:paraId="49828A21">
            <w:pPr>
              <w:keepNext w:val="0"/>
              <w:keepLines w:val="0"/>
              <w:pageBreakBefore w:val="0"/>
              <w:widowControl w:val="0"/>
              <w:kinsoku/>
              <w:wordWrap/>
              <w:overflowPunct/>
              <w:topLinePunct w:val="0"/>
              <w:autoSpaceDE/>
              <w:autoSpaceDN/>
              <w:bidi w:val="0"/>
              <w:adjustRightInd/>
              <w:snapToGrid/>
              <w:spacing w:before="263" w:line="200" w:lineRule="exact"/>
              <w:ind w:left="124"/>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信息传输</w:t>
            </w:r>
          </w:p>
        </w:tc>
        <w:tc>
          <w:tcPr>
            <w:tcW w:w="1187" w:type="dxa"/>
            <w:vAlign w:val="top"/>
          </w:tcPr>
          <w:p w14:paraId="5BFE8451">
            <w:pPr>
              <w:keepNext w:val="0"/>
              <w:keepLines w:val="0"/>
              <w:pageBreakBefore w:val="0"/>
              <w:widowControl w:val="0"/>
              <w:kinsoku/>
              <w:wordWrap/>
              <w:overflowPunct/>
              <w:topLinePunct w:val="0"/>
              <w:autoSpaceDE/>
              <w:autoSpaceDN/>
              <w:bidi w:val="0"/>
              <w:adjustRightInd/>
              <w:snapToGrid/>
              <w:spacing w:before="40"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3FAA50CB">
            <w:pPr>
              <w:keepNext w:val="0"/>
              <w:keepLines w:val="0"/>
              <w:pageBreakBefore w:val="0"/>
              <w:widowControl w:val="0"/>
              <w:kinsoku/>
              <w:wordWrap/>
              <w:overflowPunct/>
              <w:topLinePunct w:val="0"/>
              <w:autoSpaceDE/>
              <w:autoSpaceDN/>
              <w:bidi w:val="0"/>
              <w:adjustRightInd/>
              <w:snapToGrid/>
              <w:spacing w:before="40"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5792B671">
            <w:pPr>
              <w:keepNext w:val="0"/>
              <w:keepLines w:val="0"/>
              <w:pageBreakBefore w:val="0"/>
              <w:widowControl w:val="0"/>
              <w:kinsoku/>
              <w:wordWrap/>
              <w:overflowPunct/>
              <w:topLinePunct w:val="0"/>
              <w:autoSpaceDE/>
              <w:autoSpaceDN/>
              <w:bidi w:val="0"/>
              <w:adjustRightInd/>
              <w:snapToGrid/>
              <w:spacing w:before="40"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≥20</w:t>
            </w:r>
            <w:r>
              <w:rPr>
                <w:rFonts w:ascii="仿宋" w:hAnsi="仿宋" w:eastAsia="仿宋" w:cs="仿宋"/>
                <w:color w:val="auto"/>
                <w:sz w:val="23"/>
                <w:szCs w:val="23"/>
                <w:highlight w:val="none"/>
              </w:rPr>
              <w:t>00</w:t>
            </w:r>
          </w:p>
        </w:tc>
        <w:tc>
          <w:tcPr>
            <w:tcW w:w="1535" w:type="dxa"/>
            <w:vAlign w:val="top"/>
          </w:tcPr>
          <w:p w14:paraId="37A9C3DE">
            <w:pPr>
              <w:keepNext w:val="0"/>
              <w:keepLines w:val="0"/>
              <w:pageBreakBefore w:val="0"/>
              <w:widowControl w:val="0"/>
              <w:kinsoku/>
              <w:wordWrap/>
              <w:overflowPunct/>
              <w:topLinePunct w:val="0"/>
              <w:autoSpaceDE/>
              <w:autoSpaceDN/>
              <w:bidi w:val="0"/>
              <w:adjustRightInd/>
              <w:snapToGrid/>
              <w:spacing w:before="82"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00-200</w:t>
            </w:r>
          </w:p>
        </w:tc>
        <w:tc>
          <w:tcPr>
            <w:tcW w:w="1295" w:type="dxa"/>
            <w:vAlign w:val="top"/>
          </w:tcPr>
          <w:p w14:paraId="24D8CE80">
            <w:pPr>
              <w:keepNext w:val="0"/>
              <w:keepLines w:val="0"/>
              <w:pageBreakBefore w:val="0"/>
              <w:widowControl w:val="0"/>
              <w:kinsoku/>
              <w:wordWrap/>
              <w:overflowPunct/>
              <w:topLinePunct w:val="0"/>
              <w:autoSpaceDE/>
              <w:autoSpaceDN/>
              <w:bidi w:val="0"/>
              <w:adjustRightInd/>
              <w:snapToGrid/>
              <w:spacing w:before="82" w:line="200" w:lineRule="exact"/>
              <w:ind w:left="31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100</w:t>
            </w:r>
          </w:p>
        </w:tc>
        <w:tc>
          <w:tcPr>
            <w:tcW w:w="1004" w:type="dxa"/>
            <w:vAlign w:val="top"/>
          </w:tcPr>
          <w:p w14:paraId="5A69378A">
            <w:pPr>
              <w:keepNext w:val="0"/>
              <w:keepLines w:val="0"/>
              <w:pageBreakBefore w:val="0"/>
              <w:widowControl w:val="0"/>
              <w:kinsoku/>
              <w:wordWrap/>
              <w:overflowPunct/>
              <w:topLinePunct w:val="0"/>
              <w:autoSpaceDE/>
              <w:autoSpaceDN/>
              <w:bidi w:val="0"/>
              <w:adjustRightInd/>
              <w:snapToGrid/>
              <w:spacing w:before="40"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w:t>
            </w:r>
            <w:r>
              <w:rPr>
                <w:rFonts w:ascii="仿宋" w:hAnsi="仿宋" w:eastAsia="仿宋" w:cs="仿宋"/>
                <w:color w:val="auto"/>
                <w:spacing w:val="-2"/>
                <w:sz w:val="23"/>
                <w:szCs w:val="23"/>
                <w:highlight w:val="none"/>
              </w:rPr>
              <w:t>10</w:t>
            </w:r>
          </w:p>
        </w:tc>
      </w:tr>
      <w:tr w14:paraId="52355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184" w:type="dxa"/>
            <w:vMerge w:val="continue"/>
            <w:tcBorders>
              <w:top w:val="nil"/>
            </w:tcBorders>
            <w:vAlign w:val="top"/>
          </w:tcPr>
          <w:p w14:paraId="438421C0">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01E0BCED">
            <w:pPr>
              <w:keepNext w:val="0"/>
              <w:keepLines w:val="0"/>
              <w:pageBreakBefore w:val="0"/>
              <w:widowControl w:val="0"/>
              <w:kinsoku/>
              <w:wordWrap/>
              <w:overflowPunct/>
              <w:topLinePunct w:val="0"/>
              <w:autoSpaceDE/>
              <w:autoSpaceDN/>
              <w:bidi w:val="0"/>
              <w:adjustRightInd/>
              <w:snapToGrid/>
              <w:spacing w:before="103"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3FF98A82">
            <w:pPr>
              <w:keepNext w:val="0"/>
              <w:keepLines w:val="0"/>
              <w:pageBreakBefore w:val="0"/>
              <w:widowControl w:val="0"/>
              <w:kinsoku/>
              <w:wordWrap/>
              <w:overflowPunct/>
              <w:topLinePunct w:val="0"/>
              <w:autoSpaceDE/>
              <w:autoSpaceDN/>
              <w:bidi w:val="0"/>
              <w:adjustRightInd/>
              <w:snapToGrid/>
              <w:spacing w:before="103"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1250105A">
            <w:pPr>
              <w:keepNext w:val="0"/>
              <w:keepLines w:val="0"/>
              <w:pageBreakBefore w:val="0"/>
              <w:widowControl w:val="0"/>
              <w:kinsoku/>
              <w:wordWrap/>
              <w:overflowPunct/>
              <w:topLinePunct w:val="0"/>
              <w:autoSpaceDE/>
              <w:autoSpaceDN/>
              <w:bidi w:val="0"/>
              <w:adjustRightInd/>
              <w:snapToGrid/>
              <w:spacing w:before="103" w:line="200" w:lineRule="exact"/>
              <w:ind w:left="25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≥100000</w:t>
            </w:r>
          </w:p>
        </w:tc>
        <w:tc>
          <w:tcPr>
            <w:tcW w:w="1535" w:type="dxa"/>
            <w:vAlign w:val="top"/>
          </w:tcPr>
          <w:p w14:paraId="0AFE137C">
            <w:pPr>
              <w:keepNext w:val="0"/>
              <w:keepLines w:val="0"/>
              <w:pageBreakBefore w:val="0"/>
              <w:widowControl w:val="0"/>
              <w:kinsoku/>
              <w:wordWrap/>
              <w:overflowPunct/>
              <w:topLinePunct w:val="0"/>
              <w:autoSpaceDE/>
              <w:autoSpaceDN/>
              <w:bidi w:val="0"/>
              <w:adjustRightInd/>
              <w:snapToGrid/>
              <w:spacing w:before="144" w:line="200" w:lineRule="exact"/>
              <w:ind w:left="130"/>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100</w:t>
            </w:r>
            <w:r>
              <w:rPr>
                <w:rFonts w:ascii="仿宋" w:hAnsi="仿宋" w:eastAsia="仿宋" w:cs="仿宋"/>
                <w:color w:val="auto"/>
                <w:spacing w:val="2"/>
                <w:sz w:val="23"/>
                <w:szCs w:val="23"/>
                <w:highlight w:val="none"/>
              </w:rPr>
              <w:t>0-100000</w:t>
            </w:r>
          </w:p>
        </w:tc>
        <w:tc>
          <w:tcPr>
            <w:tcW w:w="1295" w:type="dxa"/>
            <w:vAlign w:val="top"/>
          </w:tcPr>
          <w:p w14:paraId="08A05E66">
            <w:pPr>
              <w:keepNext w:val="0"/>
              <w:keepLines w:val="0"/>
              <w:pageBreakBefore w:val="0"/>
              <w:widowControl w:val="0"/>
              <w:kinsoku/>
              <w:wordWrap/>
              <w:overflowPunct/>
              <w:topLinePunct w:val="0"/>
              <w:autoSpaceDE/>
              <w:autoSpaceDN/>
              <w:bidi w:val="0"/>
              <w:adjustRightInd/>
              <w:snapToGrid/>
              <w:spacing w:before="144" w:line="200" w:lineRule="exact"/>
              <w:ind w:left="19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100-1</w:t>
            </w:r>
            <w:r>
              <w:rPr>
                <w:rFonts w:ascii="仿宋" w:hAnsi="仿宋" w:eastAsia="仿宋" w:cs="仿宋"/>
                <w:color w:val="auto"/>
                <w:spacing w:val="1"/>
                <w:sz w:val="23"/>
                <w:szCs w:val="23"/>
                <w:highlight w:val="none"/>
              </w:rPr>
              <w:t>000</w:t>
            </w:r>
          </w:p>
        </w:tc>
        <w:tc>
          <w:tcPr>
            <w:tcW w:w="1004" w:type="dxa"/>
            <w:vAlign w:val="top"/>
          </w:tcPr>
          <w:p w14:paraId="7116819F">
            <w:pPr>
              <w:keepNext w:val="0"/>
              <w:keepLines w:val="0"/>
              <w:pageBreakBefore w:val="0"/>
              <w:widowControl w:val="0"/>
              <w:kinsoku/>
              <w:wordWrap/>
              <w:overflowPunct/>
              <w:topLinePunct w:val="0"/>
              <w:autoSpaceDE/>
              <w:autoSpaceDN/>
              <w:bidi w:val="0"/>
              <w:adjustRightInd/>
              <w:snapToGrid/>
              <w:spacing w:before="103"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2E11A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84" w:type="dxa"/>
            <w:vMerge w:val="restart"/>
            <w:tcBorders>
              <w:bottom w:val="nil"/>
            </w:tcBorders>
            <w:vAlign w:val="top"/>
          </w:tcPr>
          <w:p w14:paraId="2AA2ADDD">
            <w:pPr>
              <w:keepNext w:val="0"/>
              <w:keepLines w:val="0"/>
              <w:pageBreakBefore w:val="0"/>
              <w:widowControl w:val="0"/>
              <w:kinsoku/>
              <w:wordWrap/>
              <w:overflowPunct/>
              <w:topLinePunct w:val="0"/>
              <w:autoSpaceDE/>
              <w:autoSpaceDN/>
              <w:bidi w:val="0"/>
              <w:adjustRightInd/>
              <w:snapToGrid/>
              <w:spacing w:before="127" w:line="200" w:lineRule="exact"/>
              <w:ind w:left="124" w:right="110" w:firstLine="120"/>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软</w:t>
            </w:r>
            <w:r>
              <w:rPr>
                <w:rFonts w:ascii="仿宋" w:hAnsi="仿宋" w:eastAsia="仿宋" w:cs="仿宋"/>
                <w:color w:val="auto"/>
                <w:spacing w:val="4"/>
                <w:sz w:val="23"/>
                <w:szCs w:val="23"/>
                <w:highlight w:val="none"/>
              </w:rPr>
              <w:t>件和</w:t>
            </w:r>
            <w:r>
              <w:rPr>
                <w:rFonts w:ascii="仿宋" w:hAnsi="仿宋" w:eastAsia="仿宋" w:cs="仿宋"/>
                <w:color w:val="auto"/>
                <w:sz w:val="23"/>
                <w:szCs w:val="23"/>
                <w:highlight w:val="none"/>
              </w:rPr>
              <w:t xml:space="preserve"> </w:t>
            </w:r>
            <w:r>
              <w:rPr>
                <w:rFonts w:ascii="仿宋" w:hAnsi="仿宋" w:eastAsia="仿宋" w:cs="仿宋"/>
                <w:color w:val="auto"/>
                <w:spacing w:val="6"/>
                <w:sz w:val="23"/>
                <w:szCs w:val="23"/>
                <w:highlight w:val="none"/>
              </w:rPr>
              <w:t>信息技术</w:t>
            </w:r>
          </w:p>
        </w:tc>
        <w:tc>
          <w:tcPr>
            <w:tcW w:w="1187" w:type="dxa"/>
            <w:vAlign w:val="top"/>
          </w:tcPr>
          <w:p w14:paraId="5A89B216">
            <w:pPr>
              <w:keepNext w:val="0"/>
              <w:keepLines w:val="0"/>
              <w:pageBreakBefore w:val="0"/>
              <w:widowControl w:val="0"/>
              <w:kinsoku/>
              <w:wordWrap/>
              <w:overflowPunct/>
              <w:topLinePunct w:val="0"/>
              <w:autoSpaceDE/>
              <w:autoSpaceDN/>
              <w:bidi w:val="0"/>
              <w:adjustRightInd/>
              <w:snapToGrid/>
              <w:spacing w:before="57"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75FC727A">
            <w:pPr>
              <w:keepNext w:val="0"/>
              <w:keepLines w:val="0"/>
              <w:pageBreakBefore w:val="0"/>
              <w:widowControl w:val="0"/>
              <w:kinsoku/>
              <w:wordWrap/>
              <w:overflowPunct/>
              <w:topLinePunct w:val="0"/>
              <w:autoSpaceDE/>
              <w:autoSpaceDN/>
              <w:bidi w:val="0"/>
              <w:adjustRightInd/>
              <w:snapToGrid/>
              <w:spacing w:before="57"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5AF1897F">
            <w:pPr>
              <w:keepNext w:val="0"/>
              <w:keepLines w:val="0"/>
              <w:pageBreakBefore w:val="0"/>
              <w:widowControl w:val="0"/>
              <w:kinsoku/>
              <w:wordWrap/>
              <w:overflowPunct/>
              <w:topLinePunct w:val="0"/>
              <w:autoSpaceDE/>
              <w:autoSpaceDN/>
              <w:bidi w:val="0"/>
              <w:adjustRightInd/>
              <w:snapToGrid/>
              <w:spacing w:before="57"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≥300</w:t>
            </w:r>
          </w:p>
        </w:tc>
        <w:tc>
          <w:tcPr>
            <w:tcW w:w="1535" w:type="dxa"/>
            <w:vAlign w:val="top"/>
          </w:tcPr>
          <w:p w14:paraId="2E1F339C">
            <w:pPr>
              <w:keepNext w:val="0"/>
              <w:keepLines w:val="0"/>
              <w:pageBreakBefore w:val="0"/>
              <w:widowControl w:val="0"/>
              <w:kinsoku/>
              <w:wordWrap/>
              <w:overflowPunct/>
              <w:topLinePunct w:val="0"/>
              <w:autoSpaceDE/>
              <w:autoSpaceDN/>
              <w:bidi w:val="0"/>
              <w:adjustRightInd/>
              <w:snapToGrid/>
              <w:spacing w:before="98"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00-300</w:t>
            </w:r>
          </w:p>
        </w:tc>
        <w:tc>
          <w:tcPr>
            <w:tcW w:w="1295" w:type="dxa"/>
            <w:vAlign w:val="top"/>
          </w:tcPr>
          <w:p w14:paraId="47D1DF78">
            <w:pPr>
              <w:keepNext w:val="0"/>
              <w:keepLines w:val="0"/>
              <w:pageBreakBefore w:val="0"/>
              <w:widowControl w:val="0"/>
              <w:kinsoku/>
              <w:wordWrap/>
              <w:overflowPunct/>
              <w:topLinePunct w:val="0"/>
              <w:autoSpaceDE/>
              <w:autoSpaceDN/>
              <w:bidi w:val="0"/>
              <w:adjustRightInd/>
              <w:snapToGrid/>
              <w:spacing w:before="98" w:line="200" w:lineRule="exact"/>
              <w:ind w:left="31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100</w:t>
            </w:r>
          </w:p>
        </w:tc>
        <w:tc>
          <w:tcPr>
            <w:tcW w:w="1004" w:type="dxa"/>
            <w:vAlign w:val="top"/>
          </w:tcPr>
          <w:p w14:paraId="06EEC185">
            <w:pPr>
              <w:keepNext w:val="0"/>
              <w:keepLines w:val="0"/>
              <w:pageBreakBefore w:val="0"/>
              <w:widowControl w:val="0"/>
              <w:kinsoku/>
              <w:wordWrap/>
              <w:overflowPunct/>
              <w:topLinePunct w:val="0"/>
              <w:autoSpaceDE/>
              <w:autoSpaceDN/>
              <w:bidi w:val="0"/>
              <w:adjustRightInd/>
              <w:snapToGrid/>
              <w:spacing w:before="57"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w:t>
            </w:r>
            <w:r>
              <w:rPr>
                <w:rFonts w:ascii="仿宋" w:hAnsi="仿宋" w:eastAsia="仿宋" w:cs="仿宋"/>
                <w:color w:val="auto"/>
                <w:spacing w:val="-2"/>
                <w:sz w:val="23"/>
                <w:szCs w:val="23"/>
                <w:highlight w:val="none"/>
              </w:rPr>
              <w:t>10</w:t>
            </w:r>
          </w:p>
        </w:tc>
      </w:tr>
      <w:tr w14:paraId="78848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184" w:type="dxa"/>
            <w:vMerge w:val="continue"/>
            <w:tcBorders>
              <w:top w:val="nil"/>
            </w:tcBorders>
            <w:vAlign w:val="top"/>
          </w:tcPr>
          <w:p w14:paraId="172B7FF9">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2E46FC05">
            <w:pPr>
              <w:keepNext w:val="0"/>
              <w:keepLines w:val="0"/>
              <w:pageBreakBefore w:val="0"/>
              <w:widowControl w:val="0"/>
              <w:kinsoku/>
              <w:wordWrap/>
              <w:overflowPunct/>
              <w:topLinePunct w:val="0"/>
              <w:autoSpaceDE/>
              <w:autoSpaceDN/>
              <w:bidi w:val="0"/>
              <w:adjustRightInd/>
              <w:snapToGrid/>
              <w:spacing w:before="104"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6BD079E0">
            <w:pPr>
              <w:keepNext w:val="0"/>
              <w:keepLines w:val="0"/>
              <w:pageBreakBefore w:val="0"/>
              <w:widowControl w:val="0"/>
              <w:kinsoku/>
              <w:wordWrap/>
              <w:overflowPunct/>
              <w:topLinePunct w:val="0"/>
              <w:autoSpaceDE/>
              <w:autoSpaceDN/>
              <w:bidi w:val="0"/>
              <w:adjustRightInd/>
              <w:snapToGrid/>
              <w:spacing w:before="104"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3B0C9F46">
            <w:pPr>
              <w:keepNext w:val="0"/>
              <w:keepLines w:val="0"/>
              <w:pageBreakBefore w:val="0"/>
              <w:widowControl w:val="0"/>
              <w:kinsoku/>
              <w:wordWrap/>
              <w:overflowPunct/>
              <w:topLinePunct w:val="0"/>
              <w:autoSpaceDE/>
              <w:autoSpaceDN/>
              <w:bidi w:val="0"/>
              <w:adjustRightInd/>
              <w:snapToGrid/>
              <w:spacing w:before="103"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w:t>
            </w:r>
            <w:r>
              <w:rPr>
                <w:rFonts w:ascii="仿宋" w:hAnsi="仿宋" w:eastAsia="仿宋" w:cs="仿宋"/>
                <w:color w:val="auto"/>
                <w:position w:val="1"/>
                <w:sz w:val="23"/>
                <w:szCs w:val="23"/>
                <w:highlight w:val="none"/>
              </w:rPr>
              <w:t>0000</w:t>
            </w:r>
          </w:p>
        </w:tc>
        <w:tc>
          <w:tcPr>
            <w:tcW w:w="1535" w:type="dxa"/>
            <w:vAlign w:val="top"/>
          </w:tcPr>
          <w:p w14:paraId="511B8A33">
            <w:pPr>
              <w:keepNext w:val="0"/>
              <w:keepLines w:val="0"/>
              <w:pageBreakBefore w:val="0"/>
              <w:widowControl w:val="0"/>
              <w:kinsoku/>
              <w:wordWrap/>
              <w:overflowPunct/>
              <w:topLinePunct w:val="0"/>
              <w:autoSpaceDE/>
              <w:autoSpaceDN/>
              <w:bidi w:val="0"/>
              <w:adjustRightInd/>
              <w:snapToGrid/>
              <w:spacing w:before="144" w:line="200" w:lineRule="exact"/>
              <w:ind w:left="190"/>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1</w:t>
            </w:r>
            <w:r>
              <w:rPr>
                <w:rFonts w:ascii="仿宋" w:hAnsi="仿宋" w:eastAsia="仿宋" w:cs="仿宋"/>
                <w:color w:val="auto"/>
                <w:spacing w:val="3"/>
                <w:sz w:val="23"/>
                <w:szCs w:val="23"/>
                <w:highlight w:val="none"/>
              </w:rPr>
              <w:t>0</w:t>
            </w:r>
            <w:r>
              <w:rPr>
                <w:rFonts w:ascii="仿宋" w:hAnsi="仿宋" w:eastAsia="仿宋" w:cs="仿宋"/>
                <w:color w:val="auto"/>
                <w:spacing w:val="2"/>
                <w:sz w:val="23"/>
                <w:szCs w:val="23"/>
                <w:highlight w:val="none"/>
              </w:rPr>
              <w:t>00-10000</w:t>
            </w:r>
          </w:p>
        </w:tc>
        <w:tc>
          <w:tcPr>
            <w:tcW w:w="1295" w:type="dxa"/>
            <w:vAlign w:val="top"/>
          </w:tcPr>
          <w:p w14:paraId="1022FC8B">
            <w:pPr>
              <w:keepNext w:val="0"/>
              <w:keepLines w:val="0"/>
              <w:pageBreakBefore w:val="0"/>
              <w:widowControl w:val="0"/>
              <w:kinsoku/>
              <w:wordWrap/>
              <w:overflowPunct/>
              <w:topLinePunct w:val="0"/>
              <w:autoSpaceDE/>
              <w:autoSpaceDN/>
              <w:bidi w:val="0"/>
              <w:adjustRightInd/>
              <w:snapToGrid/>
              <w:spacing w:before="144" w:line="200" w:lineRule="exact"/>
              <w:ind w:left="238"/>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50-1000</w:t>
            </w:r>
          </w:p>
        </w:tc>
        <w:tc>
          <w:tcPr>
            <w:tcW w:w="1004" w:type="dxa"/>
            <w:vAlign w:val="top"/>
          </w:tcPr>
          <w:p w14:paraId="214156CC">
            <w:pPr>
              <w:keepNext w:val="0"/>
              <w:keepLines w:val="0"/>
              <w:pageBreakBefore w:val="0"/>
              <w:widowControl w:val="0"/>
              <w:kinsoku/>
              <w:wordWrap/>
              <w:overflowPunct/>
              <w:topLinePunct w:val="0"/>
              <w:autoSpaceDE/>
              <w:autoSpaceDN/>
              <w:bidi w:val="0"/>
              <w:adjustRightInd/>
              <w:snapToGrid/>
              <w:spacing w:before="103"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50</w:t>
            </w:r>
          </w:p>
        </w:tc>
      </w:tr>
      <w:tr w14:paraId="5B0A5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84" w:type="dxa"/>
            <w:vMerge w:val="restart"/>
            <w:tcBorders>
              <w:bottom w:val="nil"/>
            </w:tcBorders>
            <w:vAlign w:val="top"/>
          </w:tcPr>
          <w:p w14:paraId="476FF08E">
            <w:pPr>
              <w:keepNext w:val="0"/>
              <w:keepLines w:val="0"/>
              <w:pageBreakBefore w:val="0"/>
              <w:widowControl w:val="0"/>
              <w:kinsoku/>
              <w:wordWrap/>
              <w:overflowPunct/>
              <w:topLinePunct w:val="0"/>
              <w:autoSpaceDE/>
              <w:autoSpaceDN/>
              <w:bidi w:val="0"/>
              <w:adjustRightInd/>
              <w:snapToGrid/>
              <w:spacing w:before="117" w:line="200" w:lineRule="exact"/>
              <w:ind w:left="133" w:right="110" w:firstLine="112"/>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租</w:t>
            </w:r>
            <w:r>
              <w:rPr>
                <w:rFonts w:ascii="仿宋" w:hAnsi="仿宋" w:eastAsia="仿宋" w:cs="仿宋"/>
                <w:color w:val="auto"/>
                <w:spacing w:val="4"/>
                <w:sz w:val="23"/>
                <w:szCs w:val="23"/>
                <w:highlight w:val="none"/>
              </w:rPr>
              <w:t>赁和</w:t>
            </w:r>
            <w:r>
              <w:rPr>
                <w:rFonts w:ascii="仿宋" w:hAnsi="仿宋" w:eastAsia="仿宋" w:cs="仿宋"/>
                <w:color w:val="auto"/>
                <w:sz w:val="23"/>
                <w:szCs w:val="23"/>
                <w:highlight w:val="none"/>
              </w:rPr>
              <w:t xml:space="preserve"> </w:t>
            </w:r>
            <w:r>
              <w:rPr>
                <w:rFonts w:ascii="仿宋" w:hAnsi="仿宋" w:eastAsia="仿宋" w:cs="仿宋"/>
                <w:color w:val="auto"/>
                <w:spacing w:val="4"/>
                <w:sz w:val="23"/>
                <w:szCs w:val="23"/>
                <w:highlight w:val="none"/>
              </w:rPr>
              <w:t>商务服</w:t>
            </w:r>
            <w:r>
              <w:rPr>
                <w:rFonts w:ascii="仿宋" w:hAnsi="仿宋" w:eastAsia="仿宋" w:cs="仿宋"/>
                <w:color w:val="auto"/>
                <w:spacing w:val="3"/>
                <w:sz w:val="23"/>
                <w:szCs w:val="23"/>
                <w:highlight w:val="none"/>
              </w:rPr>
              <w:t>务</w:t>
            </w:r>
          </w:p>
        </w:tc>
        <w:tc>
          <w:tcPr>
            <w:tcW w:w="1187" w:type="dxa"/>
            <w:vAlign w:val="top"/>
          </w:tcPr>
          <w:p w14:paraId="3C138A0F">
            <w:pPr>
              <w:keepNext w:val="0"/>
              <w:keepLines w:val="0"/>
              <w:pageBreakBefore w:val="0"/>
              <w:widowControl w:val="0"/>
              <w:kinsoku/>
              <w:wordWrap/>
              <w:overflowPunct/>
              <w:topLinePunct w:val="0"/>
              <w:autoSpaceDE/>
              <w:autoSpaceDN/>
              <w:bidi w:val="0"/>
              <w:adjustRightInd/>
              <w:snapToGrid/>
              <w:spacing w:before="48"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6F4F866C">
            <w:pPr>
              <w:keepNext w:val="0"/>
              <w:keepLines w:val="0"/>
              <w:pageBreakBefore w:val="0"/>
              <w:widowControl w:val="0"/>
              <w:kinsoku/>
              <w:wordWrap/>
              <w:overflowPunct/>
              <w:topLinePunct w:val="0"/>
              <w:autoSpaceDE/>
              <w:autoSpaceDN/>
              <w:bidi w:val="0"/>
              <w:adjustRightInd/>
              <w:snapToGrid/>
              <w:spacing w:before="48"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3DDD7617">
            <w:pPr>
              <w:keepNext w:val="0"/>
              <w:keepLines w:val="0"/>
              <w:pageBreakBefore w:val="0"/>
              <w:widowControl w:val="0"/>
              <w:kinsoku/>
              <w:wordWrap/>
              <w:overflowPunct/>
              <w:topLinePunct w:val="0"/>
              <w:autoSpaceDE/>
              <w:autoSpaceDN/>
              <w:bidi w:val="0"/>
              <w:adjustRightInd/>
              <w:snapToGrid/>
              <w:spacing w:before="48"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≥300</w:t>
            </w:r>
          </w:p>
        </w:tc>
        <w:tc>
          <w:tcPr>
            <w:tcW w:w="1535" w:type="dxa"/>
            <w:vAlign w:val="top"/>
          </w:tcPr>
          <w:p w14:paraId="777170B6">
            <w:pPr>
              <w:keepNext w:val="0"/>
              <w:keepLines w:val="0"/>
              <w:pageBreakBefore w:val="0"/>
              <w:widowControl w:val="0"/>
              <w:kinsoku/>
              <w:wordWrap/>
              <w:overflowPunct/>
              <w:topLinePunct w:val="0"/>
              <w:autoSpaceDE/>
              <w:autoSpaceDN/>
              <w:bidi w:val="0"/>
              <w:adjustRightInd/>
              <w:snapToGrid/>
              <w:spacing w:before="89"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00-300</w:t>
            </w:r>
          </w:p>
        </w:tc>
        <w:tc>
          <w:tcPr>
            <w:tcW w:w="1295" w:type="dxa"/>
            <w:vAlign w:val="top"/>
          </w:tcPr>
          <w:p w14:paraId="242555A1">
            <w:pPr>
              <w:keepNext w:val="0"/>
              <w:keepLines w:val="0"/>
              <w:pageBreakBefore w:val="0"/>
              <w:widowControl w:val="0"/>
              <w:kinsoku/>
              <w:wordWrap/>
              <w:overflowPunct/>
              <w:topLinePunct w:val="0"/>
              <w:autoSpaceDE/>
              <w:autoSpaceDN/>
              <w:bidi w:val="0"/>
              <w:adjustRightInd/>
              <w:snapToGrid/>
              <w:spacing w:before="89" w:line="200" w:lineRule="exact"/>
              <w:ind w:left="31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100</w:t>
            </w:r>
          </w:p>
        </w:tc>
        <w:tc>
          <w:tcPr>
            <w:tcW w:w="1004" w:type="dxa"/>
            <w:vAlign w:val="top"/>
          </w:tcPr>
          <w:p w14:paraId="6EF0E3DC">
            <w:pPr>
              <w:keepNext w:val="0"/>
              <w:keepLines w:val="0"/>
              <w:pageBreakBefore w:val="0"/>
              <w:widowControl w:val="0"/>
              <w:kinsoku/>
              <w:wordWrap/>
              <w:overflowPunct/>
              <w:topLinePunct w:val="0"/>
              <w:autoSpaceDE/>
              <w:autoSpaceDN/>
              <w:bidi w:val="0"/>
              <w:adjustRightInd/>
              <w:snapToGrid/>
              <w:spacing w:before="48"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w:t>
            </w:r>
            <w:r>
              <w:rPr>
                <w:rFonts w:ascii="仿宋" w:hAnsi="仿宋" w:eastAsia="仿宋" w:cs="仿宋"/>
                <w:color w:val="auto"/>
                <w:spacing w:val="-2"/>
                <w:sz w:val="23"/>
                <w:szCs w:val="23"/>
                <w:highlight w:val="none"/>
              </w:rPr>
              <w:t>10</w:t>
            </w:r>
          </w:p>
        </w:tc>
      </w:tr>
      <w:tr w14:paraId="524B6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84" w:type="dxa"/>
            <w:vMerge w:val="continue"/>
            <w:tcBorders>
              <w:top w:val="nil"/>
            </w:tcBorders>
            <w:vAlign w:val="top"/>
          </w:tcPr>
          <w:p w14:paraId="5986254D">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1C60DB4E">
            <w:pPr>
              <w:keepNext w:val="0"/>
              <w:keepLines w:val="0"/>
              <w:pageBreakBefore w:val="0"/>
              <w:widowControl w:val="0"/>
              <w:kinsoku/>
              <w:wordWrap/>
              <w:overflowPunct/>
              <w:topLinePunct w:val="0"/>
              <w:autoSpaceDE/>
              <w:autoSpaceDN/>
              <w:bidi w:val="0"/>
              <w:adjustRightInd/>
              <w:snapToGrid/>
              <w:spacing w:before="102" w:line="200" w:lineRule="exact"/>
              <w:ind w:left="138"/>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资产总</w:t>
            </w:r>
            <w:r>
              <w:rPr>
                <w:rFonts w:ascii="仿宋" w:hAnsi="仿宋" w:eastAsia="仿宋" w:cs="仿宋"/>
                <w:color w:val="auto"/>
                <w:spacing w:val="2"/>
                <w:sz w:val="23"/>
                <w:szCs w:val="23"/>
                <w:highlight w:val="none"/>
              </w:rPr>
              <w:t>额</w:t>
            </w:r>
          </w:p>
        </w:tc>
        <w:tc>
          <w:tcPr>
            <w:tcW w:w="900" w:type="dxa"/>
            <w:vAlign w:val="top"/>
          </w:tcPr>
          <w:p w14:paraId="0E97DB55">
            <w:pPr>
              <w:keepNext w:val="0"/>
              <w:keepLines w:val="0"/>
              <w:pageBreakBefore w:val="0"/>
              <w:widowControl w:val="0"/>
              <w:kinsoku/>
              <w:wordWrap/>
              <w:overflowPunct/>
              <w:topLinePunct w:val="0"/>
              <w:autoSpaceDE/>
              <w:autoSpaceDN/>
              <w:bidi w:val="0"/>
              <w:adjustRightInd/>
              <w:snapToGrid/>
              <w:spacing w:before="102"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722DF7DD">
            <w:pPr>
              <w:keepNext w:val="0"/>
              <w:keepLines w:val="0"/>
              <w:pageBreakBefore w:val="0"/>
              <w:widowControl w:val="0"/>
              <w:kinsoku/>
              <w:wordWrap/>
              <w:overflowPunct/>
              <w:topLinePunct w:val="0"/>
              <w:autoSpaceDE/>
              <w:autoSpaceDN/>
              <w:bidi w:val="0"/>
              <w:adjustRightInd/>
              <w:snapToGrid/>
              <w:spacing w:before="102" w:line="200" w:lineRule="exact"/>
              <w:ind w:left="25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≥120000</w:t>
            </w:r>
          </w:p>
        </w:tc>
        <w:tc>
          <w:tcPr>
            <w:tcW w:w="1535" w:type="dxa"/>
            <w:vAlign w:val="top"/>
          </w:tcPr>
          <w:p w14:paraId="5A8CAD55">
            <w:pPr>
              <w:keepNext w:val="0"/>
              <w:keepLines w:val="0"/>
              <w:pageBreakBefore w:val="0"/>
              <w:widowControl w:val="0"/>
              <w:kinsoku/>
              <w:wordWrap/>
              <w:overflowPunct/>
              <w:topLinePunct w:val="0"/>
              <w:autoSpaceDE/>
              <w:autoSpaceDN/>
              <w:bidi w:val="0"/>
              <w:adjustRightInd/>
              <w:snapToGrid/>
              <w:spacing w:before="143" w:line="200" w:lineRule="exact"/>
              <w:ind w:left="11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8</w:t>
            </w:r>
            <w:r>
              <w:rPr>
                <w:rFonts w:ascii="仿宋" w:hAnsi="仿宋" w:eastAsia="仿宋" w:cs="仿宋"/>
                <w:color w:val="auto"/>
                <w:spacing w:val="4"/>
                <w:sz w:val="23"/>
                <w:szCs w:val="23"/>
                <w:highlight w:val="none"/>
              </w:rPr>
              <w:t>000-120000</w:t>
            </w:r>
          </w:p>
        </w:tc>
        <w:tc>
          <w:tcPr>
            <w:tcW w:w="1295" w:type="dxa"/>
            <w:vAlign w:val="top"/>
          </w:tcPr>
          <w:p w14:paraId="273D4913">
            <w:pPr>
              <w:keepNext w:val="0"/>
              <w:keepLines w:val="0"/>
              <w:pageBreakBefore w:val="0"/>
              <w:widowControl w:val="0"/>
              <w:kinsoku/>
              <w:wordWrap/>
              <w:overflowPunct/>
              <w:topLinePunct w:val="0"/>
              <w:autoSpaceDE/>
              <w:autoSpaceDN/>
              <w:bidi w:val="0"/>
              <w:adjustRightInd/>
              <w:snapToGrid/>
              <w:spacing w:before="143" w:line="200" w:lineRule="exact"/>
              <w:ind w:left="19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100-8</w:t>
            </w:r>
            <w:r>
              <w:rPr>
                <w:rFonts w:ascii="仿宋" w:hAnsi="仿宋" w:eastAsia="仿宋" w:cs="仿宋"/>
                <w:color w:val="auto"/>
                <w:spacing w:val="1"/>
                <w:sz w:val="23"/>
                <w:szCs w:val="23"/>
                <w:highlight w:val="none"/>
              </w:rPr>
              <w:t>000</w:t>
            </w:r>
          </w:p>
        </w:tc>
        <w:tc>
          <w:tcPr>
            <w:tcW w:w="1004" w:type="dxa"/>
            <w:vAlign w:val="top"/>
          </w:tcPr>
          <w:p w14:paraId="69515338">
            <w:pPr>
              <w:keepNext w:val="0"/>
              <w:keepLines w:val="0"/>
              <w:pageBreakBefore w:val="0"/>
              <w:widowControl w:val="0"/>
              <w:kinsoku/>
              <w:wordWrap/>
              <w:overflowPunct/>
              <w:topLinePunct w:val="0"/>
              <w:autoSpaceDE/>
              <w:autoSpaceDN/>
              <w:bidi w:val="0"/>
              <w:adjustRightInd/>
              <w:snapToGrid/>
              <w:spacing w:before="102"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6267F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84" w:type="dxa"/>
            <w:vAlign w:val="top"/>
          </w:tcPr>
          <w:p w14:paraId="264B9A1D">
            <w:pPr>
              <w:keepNext w:val="0"/>
              <w:keepLines w:val="0"/>
              <w:pageBreakBefore w:val="0"/>
              <w:widowControl w:val="0"/>
              <w:kinsoku/>
              <w:wordWrap/>
              <w:overflowPunct/>
              <w:topLinePunct w:val="0"/>
              <w:autoSpaceDE/>
              <w:autoSpaceDN/>
              <w:bidi w:val="0"/>
              <w:adjustRightInd/>
              <w:snapToGrid/>
              <w:spacing w:before="40" w:line="200" w:lineRule="exact"/>
              <w:ind w:left="259" w:right="110" w:hanging="133"/>
              <w:textAlignment w:val="auto"/>
              <w:rPr>
                <w:rFonts w:ascii="仿宋" w:hAnsi="仿宋" w:eastAsia="仿宋" w:cs="仿宋"/>
                <w:color w:val="auto"/>
                <w:sz w:val="23"/>
                <w:szCs w:val="23"/>
                <w:highlight w:val="none"/>
              </w:rPr>
            </w:pPr>
            <w:r>
              <w:rPr>
                <w:rFonts w:ascii="仿宋" w:hAnsi="仿宋" w:eastAsia="仿宋" w:cs="仿宋"/>
                <w:color w:val="auto"/>
                <w:spacing w:val="7"/>
                <w:sz w:val="23"/>
                <w:szCs w:val="23"/>
                <w:highlight w:val="none"/>
              </w:rPr>
              <w:t>其</w:t>
            </w:r>
            <w:r>
              <w:rPr>
                <w:rFonts w:ascii="仿宋" w:hAnsi="仿宋" w:eastAsia="仿宋" w:cs="仿宋"/>
                <w:color w:val="auto"/>
                <w:spacing w:val="5"/>
                <w:sz w:val="23"/>
                <w:szCs w:val="23"/>
                <w:highlight w:val="none"/>
              </w:rPr>
              <w:t>他未列</w:t>
            </w:r>
            <w:r>
              <w:rPr>
                <w:rFonts w:ascii="仿宋" w:hAnsi="仿宋" w:eastAsia="仿宋" w:cs="仿宋"/>
                <w:color w:val="auto"/>
                <w:sz w:val="23"/>
                <w:szCs w:val="23"/>
                <w:highlight w:val="none"/>
              </w:rPr>
              <w:t xml:space="preserve"> </w:t>
            </w:r>
            <w:r>
              <w:rPr>
                <w:rFonts w:ascii="仿宋" w:hAnsi="仿宋" w:eastAsia="仿宋" w:cs="仿宋"/>
                <w:color w:val="auto"/>
                <w:spacing w:val="-1"/>
                <w:sz w:val="23"/>
                <w:szCs w:val="23"/>
                <w:highlight w:val="none"/>
              </w:rPr>
              <w:t>明</w:t>
            </w:r>
            <w:r>
              <w:rPr>
                <w:rFonts w:ascii="仿宋" w:hAnsi="仿宋" w:eastAsia="仿宋" w:cs="仿宋"/>
                <w:color w:val="auto"/>
                <w:sz w:val="23"/>
                <w:szCs w:val="23"/>
                <w:highlight w:val="none"/>
              </w:rPr>
              <w:t>行业</w:t>
            </w:r>
          </w:p>
        </w:tc>
        <w:tc>
          <w:tcPr>
            <w:tcW w:w="1187" w:type="dxa"/>
            <w:vAlign w:val="top"/>
          </w:tcPr>
          <w:p w14:paraId="38D49394">
            <w:pPr>
              <w:keepNext w:val="0"/>
              <w:keepLines w:val="0"/>
              <w:pageBreakBefore w:val="0"/>
              <w:widowControl w:val="0"/>
              <w:kinsoku/>
              <w:wordWrap/>
              <w:overflowPunct/>
              <w:topLinePunct w:val="0"/>
              <w:autoSpaceDE/>
              <w:autoSpaceDN/>
              <w:bidi w:val="0"/>
              <w:adjustRightInd/>
              <w:snapToGrid/>
              <w:spacing w:before="195"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5CC27C22">
            <w:pPr>
              <w:keepNext w:val="0"/>
              <w:keepLines w:val="0"/>
              <w:pageBreakBefore w:val="0"/>
              <w:widowControl w:val="0"/>
              <w:kinsoku/>
              <w:wordWrap/>
              <w:overflowPunct/>
              <w:topLinePunct w:val="0"/>
              <w:autoSpaceDE/>
              <w:autoSpaceDN/>
              <w:bidi w:val="0"/>
              <w:adjustRightInd/>
              <w:snapToGrid/>
              <w:spacing w:before="195"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5E2C7DF1">
            <w:pPr>
              <w:keepNext w:val="0"/>
              <w:keepLines w:val="0"/>
              <w:pageBreakBefore w:val="0"/>
              <w:widowControl w:val="0"/>
              <w:kinsoku/>
              <w:wordWrap/>
              <w:overflowPunct/>
              <w:topLinePunct w:val="0"/>
              <w:autoSpaceDE/>
              <w:autoSpaceDN/>
              <w:bidi w:val="0"/>
              <w:adjustRightInd/>
              <w:snapToGrid/>
              <w:spacing w:before="195"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≥300</w:t>
            </w:r>
          </w:p>
        </w:tc>
        <w:tc>
          <w:tcPr>
            <w:tcW w:w="1535" w:type="dxa"/>
            <w:vAlign w:val="top"/>
          </w:tcPr>
          <w:p w14:paraId="1E5069A2">
            <w:pPr>
              <w:keepNext w:val="0"/>
              <w:keepLines w:val="0"/>
              <w:pageBreakBefore w:val="0"/>
              <w:widowControl w:val="0"/>
              <w:kinsoku/>
              <w:wordWrap/>
              <w:overflowPunct/>
              <w:topLinePunct w:val="0"/>
              <w:autoSpaceDE/>
              <w:autoSpaceDN/>
              <w:bidi w:val="0"/>
              <w:adjustRightInd/>
              <w:snapToGrid/>
              <w:spacing w:before="236"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00-300</w:t>
            </w:r>
          </w:p>
        </w:tc>
        <w:tc>
          <w:tcPr>
            <w:tcW w:w="1295" w:type="dxa"/>
            <w:vAlign w:val="top"/>
          </w:tcPr>
          <w:p w14:paraId="6DEC3EA8">
            <w:pPr>
              <w:keepNext w:val="0"/>
              <w:keepLines w:val="0"/>
              <w:pageBreakBefore w:val="0"/>
              <w:widowControl w:val="0"/>
              <w:kinsoku/>
              <w:wordWrap/>
              <w:overflowPunct/>
              <w:topLinePunct w:val="0"/>
              <w:autoSpaceDE/>
              <w:autoSpaceDN/>
              <w:bidi w:val="0"/>
              <w:adjustRightInd/>
              <w:snapToGrid/>
              <w:spacing w:before="236" w:line="200" w:lineRule="exact"/>
              <w:ind w:left="31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100</w:t>
            </w:r>
          </w:p>
        </w:tc>
        <w:tc>
          <w:tcPr>
            <w:tcW w:w="1004" w:type="dxa"/>
            <w:vAlign w:val="top"/>
          </w:tcPr>
          <w:p w14:paraId="4CEF4965">
            <w:pPr>
              <w:keepNext w:val="0"/>
              <w:keepLines w:val="0"/>
              <w:pageBreakBefore w:val="0"/>
              <w:widowControl w:val="0"/>
              <w:kinsoku/>
              <w:wordWrap/>
              <w:overflowPunct/>
              <w:topLinePunct w:val="0"/>
              <w:autoSpaceDE/>
              <w:autoSpaceDN/>
              <w:bidi w:val="0"/>
              <w:adjustRightInd/>
              <w:snapToGrid/>
              <w:spacing w:before="195"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10</w:t>
            </w:r>
          </w:p>
        </w:tc>
      </w:tr>
    </w:tbl>
    <w:p w14:paraId="0CED7246">
      <w:pPr>
        <w:widowControl/>
        <w:spacing w:line="360" w:lineRule="auto"/>
        <w:ind w:left="420" w:hanging="420" w:hanging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说明：</w:t>
      </w:r>
    </w:p>
    <w:p w14:paraId="595DC9A8">
      <w:pPr>
        <w:widowControl/>
        <w:spacing w:line="360" w:lineRule="auto"/>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1.大型、中型和小型企业须同时满足所列指标的下限，否则下划一档；微型企业只须满足所列指标中的一项即可。</w:t>
      </w:r>
    </w:p>
    <w:p w14:paraId="751AD0A0">
      <w:pPr>
        <w:widowControl/>
        <w:spacing w:line="360" w:lineRule="auto"/>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48D2A3E">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val="0"/>
          <w:bCs w:val="0"/>
          <w:color w:val="auto"/>
          <w:sz w:val="21"/>
          <w:szCs w:val="24"/>
          <w:highlight w:val="none"/>
          <w:lang w:eastAsia="zh-CN"/>
        </w:rPr>
      </w:pPr>
      <w:r>
        <w:rPr>
          <w:rFonts w:hint="eastAsia" w:ascii="宋体" w:hAnsi="宋体" w:cs="宋体"/>
          <w:color w:val="auto"/>
          <w:kern w:val="0"/>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47E95A0">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4"/>
          <w:szCs w:val="32"/>
          <w:highlight w:val="none"/>
        </w:rPr>
      </w:pPr>
    </w:p>
    <w:p w14:paraId="0C5655ED">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4"/>
          <w:szCs w:val="32"/>
          <w:highlight w:val="none"/>
        </w:rPr>
      </w:pPr>
    </w:p>
    <w:p w14:paraId="49073936">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0587319A">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730A38AF">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37AE6FFA">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282AB4F3">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72DE9F59">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32C36B1B">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48F8D57C">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51C79A69">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3A8F6218">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48299745">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797AF3B7">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1137034C">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47A1859E">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098A173D">
      <w:pPr>
        <w:pStyle w:val="47"/>
        <w:ind w:left="0" w:leftChars="0" w:firstLine="0" w:firstLineChars="0"/>
        <w:rPr>
          <w:color w:val="auto"/>
          <w:highlight w:val="none"/>
        </w:rPr>
      </w:pPr>
    </w:p>
    <w:p w14:paraId="78A81D20">
      <w:pPr>
        <w:pStyle w:val="2"/>
        <w:numPr>
          <w:ilvl w:val="0"/>
          <w:numId w:val="3"/>
        </w:numPr>
        <w:spacing w:line="560" w:lineRule="exact"/>
        <w:jc w:val="center"/>
        <w:rPr>
          <w:rFonts w:hint="eastAsia" w:ascii="宋体" w:hAnsi="宋体" w:cs="宋体"/>
          <w:color w:val="auto"/>
          <w:spacing w:val="-14"/>
          <w:kern w:val="0"/>
          <w:position w:val="-6"/>
          <w:sz w:val="36"/>
          <w:szCs w:val="36"/>
          <w:highlight w:val="none"/>
        </w:rPr>
      </w:pPr>
      <w:r>
        <w:rPr>
          <w:rFonts w:hint="eastAsia" w:ascii="宋体" w:hAnsi="宋体" w:cs="宋体"/>
          <w:color w:val="auto"/>
          <w:spacing w:val="-14"/>
          <w:kern w:val="0"/>
          <w:position w:val="-6"/>
          <w:sz w:val="36"/>
          <w:szCs w:val="36"/>
          <w:highlight w:val="none"/>
        </w:rPr>
        <w:t xml:space="preserve">   </w:t>
      </w:r>
      <w:bookmarkStart w:id="77" w:name="_Toc3612"/>
      <w:r>
        <w:rPr>
          <w:rFonts w:hint="eastAsia" w:ascii="宋体" w:hAnsi="宋体" w:cs="宋体"/>
          <w:color w:val="auto"/>
          <w:spacing w:val="-14"/>
          <w:kern w:val="0"/>
          <w:position w:val="-6"/>
          <w:sz w:val="36"/>
          <w:szCs w:val="36"/>
          <w:highlight w:val="none"/>
        </w:rPr>
        <w:t>合同主要条款 (参考格式)</w:t>
      </w:r>
      <w:bookmarkEnd w:id="77"/>
    </w:p>
    <w:p w14:paraId="7C6D8381">
      <w:pPr>
        <w:pStyle w:val="2"/>
        <w:numPr>
          <w:ilvl w:val="0"/>
          <w:numId w:val="0"/>
        </w:numPr>
        <w:spacing w:line="560" w:lineRule="exact"/>
        <w:jc w:val="center"/>
        <w:rPr>
          <w:rFonts w:hint="eastAsia" w:ascii="宋体" w:hAnsi="宋体" w:cs="宋体"/>
          <w:color w:val="auto"/>
          <w:spacing w:val="-14"/>
          <w:kern w:val="0"/>
          <w:position w:val="-6"/>
          <w:sz w:val="32"/>
          <w:szCs w:val="32"/>
          <w:highlight w:val="none"/>
        </w:rPr>
      </w:pPr>
      <w:bookmarkStart w:id="78" w:name="_Toc31567"/>
      <w:r>
        <w:rPr>
          <w:rFonts w:hint="eastAsia" w:ascii="宋体" w:hAnsi="宋体" w:cs="宋体"/>
          <w:color w:val="auto"/>
          <w:spacing w:val="-14"/>
          <w:kern w:val="0"/>
          <w:position w:val="-6"/>
          <w:sz w:val="32"/>
          <w:szCs w:val="32"/>
          <w:highlight w:val="none"/>
        </w:rPr>
        <w:t>(仅供参考，由双方按实际情况调整)</w:t>
      </w:r>
      <w:bookmarkEnd w:id="78"/>
    </w:p>
    <w:p w14:paraId="33980303">
      <w:pPr>
        <w:shd w:val="clear"/>
        <w:jc w:val="center"/>
        <w:rPr>
          <w:rFonts w:hint="eastAsia" w:ascii="宋体" w:hAnsi="宋体" w:eastAsia="宋体" w:cs="宋体"/>
          <w:b/>
          <w:bCs/>
          <w:color w:val="auto"/>
          <w:spacing w:val="20"/>
          <w:sz w:val="72"/>
          <w:szCs w:val="144"/>
          <w:highlight w:val="none"/>
        </w:rPr>
      </w:pPr>
    </w:p>
    <w:p w14:paraId="372DD0D7">
      <w:pPr>
        <w:shd w:val="clear"/>
        <w:jc w:val="center"/>
        <w:rPr>
          <w:rFonts w:ascii="宋体" w:hAnsi="宋体" w:eastAsia="宋体" w:cs="宋体"/>
          <w:b/>
          <w:bCs/>
          <w:color w:val="auto"/>
          <w:spacing w:val="20"/>
          <w:sz w:val="96"/>
          <w:szCs w:val="160"/>
          <w:highlight w:val="none"/>
        </w:rPr>
      </w:pPr>
      <w:r>
        <w:rPr>
          <w:rFonts w:hint="eastAsia" w:ascii="宋体" w:hAnsi="宋体" w:eastAsia="宋体" w:cs="宋体"/>
          <w:b/>
          <w:bCs/>
          <w:color w:val="auto"/>
          <w:spacing w:val="20"/>
          <w:sz w:val="72"/>
          <w:szCs w:val="144"/>
          <w:highlight w:val="none"/>
        </w:rPr>
        <w:t>施 工 承 包 合 同 书</w:t>
      </w:r>
    </w:p>
    <w:p w14:paraId="5B866917">
      <w:pPr>
        <w:shd w:val="clear"/>
        <w:jc w:val="center"/>
        <w:rPr>
          <w:rFonts w:ascii="宋体" w:hAnsi="宋体" w:eastAsia="宋体" w:cs="宋体"/>
          <w:color w:val="auto"/>
          <w:spacing w:val="20"/>
          <w:sz w:val="32"/>
          <w:szCs w:val="40"/>
          <w:highlight w:val="none"/>
        </w:rPr>
      </w:pPr>
    </w:p>
    <w:p w14:paraId="1029F71D">
      <w:pPr>
        <w:shd w:val="clear"/>
        <w:jc w:val="center"/>
        <w:rPr>
          <w:rFonts w:ascii="宋体" w:hAnsi="宋体" w:eastAsia="宋体" w:cs="宋体"/>
          <w:color w:val="auto"/>
          <w:spacing w:val="20"/>
          <w:sz w:val="32"/>
          <w:szCs w:val="40"/>
          <w:highlight w:val="none"/>
        </w:rPr>
      </w:pPr>
    </w:p>
    <w:p w14:paraId="5EBC7B98">
      <w:pPr>
        <w:shd w:val="clear"/>
        <w:jc w:val="center"/>
        <w:rPr>
          <w:rFonts w:ascii="宋体" w:hAnsi="宋体" w:eastAsia="宋体" w:cs="宋体"/>
          <w:color w:val="auto"/>
          <w:spacing w:val="20"/>
          <w:sz w:val="32"/>
          <w:szCs w:val="40"/>
          <w:highlight w:val="none"/>
        </w:rPr>
      </w:pPr>
    </w:p>
    <w:p w14:paraId="4A48E4D9">
      <w:pPr>
        <w:shd w:val="clear"/>
        <w:jc w:val="center"/>
        <w:rPr>
          <w:rFonts w:ascii="宋体" w:hAnsi="宋体" w:eastAsia="宋体" w:cs="宋体"/>
          <w:color w:val="auto"/>
          <w:spacing w:val="20"/>
          <w:sz w:val="32"/>
          <w:szCs w:val="40"/>
          <w:highlight w:val="none"/>
        </w:rPr>
      </w:pPr>
    </w:p>
    <w:p w14:paraId="64BE53BB">
      <w:pPr>
        <w:shd w:val="clear"/>
        <w:jc w:val="center"/>
        <w:rPr>
          <w:rFonts w:ascii="宋体" w:hAnsi="宋体" w:eastAsia="宋体" w:cs="宋体"/>
          <w:color w:val="auto"/>
          <w:spacing w:val="20"/>
          <w:sz w:val="32"/>
          <w:szCs w:val="40"/>
          <w:highlight w:val="none"/>
        </w:rPr>
      </w:pPr>
    </w:p>
    <w:p w14:paraId="59D1B06D">
      <w:pPr>
        <w:shd w:val="clear"/>
        <w:jc w:val="both"/>
        <w:rPr>
          <w:rFonts w:hint="default" w:ascii="宋体" w:hAnsi="宋体" w:eastAsia="宋体" w:cs="宋体"/>
          <w:b/>
          <w:bCs/>
          <w:color w:val="auto"/>
          <w:spacing w:val="20"/>
          <w:sz w:val="48"/>
          <w:szCs w:val="56"/>
          <w:highlight w:val="none"/>
          <w:lang w:val="en-US" w:eastAsia="zh-CN"/>
        </w:rPr>
      </w:pPr>
      <w:r>
        <w:rPr>
          <w:rFonts w:hint="eastAsia" w:ascii="宋体" w:hAnsi="宋体" w:eastAsia="宋体" w:cs="宋体"/>
          <w:color w:val="auto"/>
          <w:spacing w:val="20"/>
          <w:sz w:val="28"/>
          <w:szCs w:val="28"/>
          <w:highlight w:val="none"/>
        </w:rPr>
        <w:t>工程名称：</w:t>
      </w:r>
      <w:r>
        <w:rPr>
          <w:rFonts w:hint="eastAsia" w:ascii="宋体" w:hAnsi="宋体" w:eastAsia="宋体" w:cs="宋体"/>
          <w:color w:val="auto"/>
          <w:spacing w:val="0"/>
          <w:sz w:val="28"/>
          <w:szCs w:val="28"/>
          <w:highlight w:val="none"/>
          <w:u w:val="single"/>
          <w:lang w:val="en-US" w:eastAsia="zh-CN"/>
        </w:rPr>
        <w:t xml:space="preserve"> </w:t>
      </w:r>
      <w:r>
        <w:rPr>
          <w:rFonts w:hint="eastAsia" w:ascii="宋体" w:hAnsi="宋体" w:cs="宋体"/>
          <w:color w:val="auto"/>
          <w:spacing w:val="0"/>
          <w:sz w:val="28"/>
          <w:szCs w:val="28"/>
          <w:highlight w:val="none"/>
          <w:u w:val="single"/>
          <w:lang w:val="en-US" w:eastAsia="zh-CN"/>
        </w:rPr>
        <w:t xml:space="preserve">                                       </w:t>
      </w:r>
      <w:r>
        <w:rPr>
          <w:rFonts w:hint="eastAsia" w:ascii="宋体" w:hAnsi="宋体" w:eastAsia="宋体" w:cs="宋体"/>
          <w:color w:val="auto"/>
          <w:spacing w:val="0"/>
          <w:sz w:val="28"/>
          <w:szCs w:val="28"/>
          <w:highlight w:val="none"/>
          <w:u w:val="single"/>
          <w:lang w:val="en-US" w:eastAsia="zh-CN"/>
        </w:rPr>
        <w:t xml:space="preserve">   </w:t>
      </w:r>
    </w:p>
    <w:p w14:paraId="7EE99891">
      <w:pPr>
        <w:shd w:val="clear"/>
        <w:rPr>
          <w:rFonts w:ascii="宋体" w:hAnsi="宋体" w:eastAsia="宋体" w:cs="宋体"/>
          <w:color w:val="auto"/>
          <w:spacing w:val="20"/>
          <w:sz w:val="28"/>
          <w:szCs w:val="36"/>
          <w:highlight w:val="none"/>
        </w:rPr>
      </w:pPr>
    </w:p>
    <w:p w14:paraId="36D7339C">
      <w:pPr>
        <w:shd w:val="clear"/>
        <w:rPr>
          <w:rFonts w:ascii="宋体" w:hAnsi="宋体" w:eastAsia="宋体" w:cs="宋体"/>
          <w:color w:val="auto"/>
          <w:spacing w:val="20"/>
          <w:sz w:val="28"/>
          <w:szCs w:val="36"/>
          <w:highlight w:val="none"/>
          <w:u w:val="single"/>
        </w:rPr>
      </w:pPr>
      <w:r>
        <w:rPr>
          <w:rFonts w:hint="eastAsia" w:ascii="宋体" w:hAnsi="宋体" w:eastAsia="宋体" w:cs="宋体"/>
          <w:color w:val="auto"/>
          <w:spacing w:val="20"/>
          <w:sz w:val="28"/>
          <w:szCs w:val="36"/>
          <w:highlight w:val="none"/>
        </w:rPr>
        <w:t>发包人（甲方）：</w:t>
      </w:r>
      <w:r>
        <w:rPr>
          <w:rFonts w:hint="eastAsia" w:ascii="宋体" w:hAnsi="宋体" w:eastAsia="宋体" w:cs="宋体"/>
          <w:color w:val="auto"/>
          <w:spacing w:val="20"/>
          <w:sz w:val="28"/>
          <w:szCs w:val="36"/>
          <w:highlight w:val="none"/>
          <w:u w:val="single"/>
        </w:rPr>
        <w:t xml:space="preserve"> </w:t>
      </w:r>
      <w:r>
        <w:rPr>
          <w:rFonts w:hint="eastAsia" w:ascii="宋体" w:hAnsi="宋体" w:cs="宋体"/>
          <w:color w:val="auto"/>
          <w:spacing w:val="20"/>
          <w:sz w:val="28"/>
          <w:szCs w:val="36"/>
          <w:highlight w:val="none"/>
          <w:u w:val="single"/>
          <w:lang w:val="en-US" w:eastAsia="zh-CN"/>
        </w:rPr>
        <w:t xml:space="preserve">                          </w:t>
      </w:r>
      <w:r>
        <w:rPr>
          <w:rFonts w:hint="eastAsia" w:ascii="宋体" w:hAnsi="宋体" w:eastAsia="宋体" w:cs="宋体"/>
          <w:color w:val="auto"/>
          <w:spacing w:val="20"/>
          <w:sz w:val="28"/>
          <w:szCs w:val="36"/>
          <w:highlight w:val="none"/>
          <w:u w:val="single"/>
        </w:rPr>
        <w:t xml:space="preserve"> </w:t>
      </w:r>
    </w:p>
    <w:p w14:paraId="5FB800FD">
      <w:pPr>
        <w:shd w:val="clear"/>
        <w:rPr>
          <w:rFonts w:ascii="宋体" w:hAnsi="宋体" w:eastAsia="宋体" w:cs="宋体"/>
          <w:color w:val="auto"/>
          <w:spacing w:val="20"/>
          <w:sz w:val="28"/>
          <w:szCs w:val="36"/>
          <w:highlight w:val="none"/>
        </w:rPr>
      </w:pPr>
    </w:p>
    <w:p w14:paraId="39C06BFF">
      <w:pPr>
        <w:shd w:val="clear"/>
        <w:rPr>
          <w:rFonts w:ascii="宋体" w:hAnsi="宋体" w:eastAsia="宋体" w:cs="宋体"/>
          <w:color w:val="auto"/>
          <w:spacing w:val="20"/>
          <w:sz w:val="28"/>
          <w:szCs w:val="36"/>
          <w:highlight w:val="none"/>
          <w:u w:val="single"/>
        </w:rPr>
      </w:pPr>
      <w:r>
        <w:rPr>
          <w:rFonts w:hint="eastAsia" w:ascii="宋体" w:hAnsi="宋体" w:eastAsia="宋体" w:cs="宋体"/>
          <w:color w:val="auto"/>
          <w:spacing w:val="20"/>
          <w:sz w:val="28"/>
          <w:szCs w:val="36"/>
          <w:highlight w:val="none"/>
        </w:rPr>
        <w:t>承包人（乙方）：</w:t>
      </w:r>
      <w:r>
        <w:rPr>
          <w:rFonts w:hint="eastAsia" w:ascii="宋体" w:hAnsi="宋体" w:eastAsia="宋体" w:cs="宋体"/>
          <w:color w:val="auto"/>
          <w:spacing w:val="20"/>
          <w:sz w:val="28"/>
          <w:szCs w:val="36"/>
          <w:highlight w:val="none"/>
          <w:u w:val="single"/>
        </w:rPr>
        <w:t xml:space="preserve"> </w:t>
      </w:r>
      <w:r>
        <w:rPr>
          <w:rFonts w:hint="eastAsia" w:ascii="宋体" w:hAnsi="宋体" w:eastAsia="宋体" w:cs="宋体"/>
          <w:color w:val="auto"/>
          <w:spacing w:val="20"/>
          <w:sz w:val="28"/>
          <w:szCs w:val="36"/>
          <w:highlight w:val="none"/>
          <w:u w:val="single"/>
          <w:lang w:val="en-US" w:eastAsia="zh-CN"/>
        </w:rPr>
        <w:t xml:space="preserve">                          </w:t>
      </w:r>
      <w:r>
        <w:rPr>
          <w:rFonts w:hint="eastAsia" w:ascii="宋体" w:hAnsi="宋体" w:eastAsia="宋体" w:cs="宋体"/>
          <w:color w:val="auto"/>
          <w:spacing w:val="20"/>
          <w:sz w:val="28"/>
          <w:szCs w:val="36"/>
          <w:highlight w:val="none"/>
          <w:u w:val="single"/>
        </w:rPr>
        <w:t xml:space="preserve">  </w:t>
      </w:r>
    </w:p>
    <w:p w14:paraId="282D105C">
      <w:pPr>
        <w:shd w:val="clear"/>
        <w:rPr>
          <w:rFonts w:ascii="宋体" w:hAnsi="宋体" w:eastAsia="宋体" w:cs="宋体"/>
          <w:color w:val="auto"/>
          <w:spacing w:val="20"/>
          <w:sz w:val="28"/>
          <w:szCs w:val="36"/>
          <w:highlight w:val="none"/>
        </w:rPr>
      </w:pPr>
    </w:p>
    <w:p w14:paraId="259A7AAA">
      <w:pPr>
        <w:shd w:val="clear"/>
        <w:rPr>
          <w:rFonts w:ascii="宋体" w:hAnsi="宋体" w:eastAsia="宋体" w:cs="宋体"/>
          <w:color w:val="auto"/>
          <w:spacing w:val="20"/>
          <w:sz w:val="32"/>
          <w:szCs w:val="40"/>
          <w:highlight w:val="none"/>
        </w:rPr>
      </w:pPr>
      <w:r>
        <w:rPr>
          <w:rFonts w:hint="eastAsia" w:ascii="宋体" w:hAnsi="宋体" w:eastAsia="宋体" w:cs="宋体"/>
          <w:color w:val="auto"/>
          <w:spacing w:val="20"/>
          <w:sz w:val="32"/>
          <w:szCs w:val="40"/>
          <w:highlight w:val="none"/>
        </w:rPr>
        <w:t>日      期：</w:t>
      </w:r>
      <w:r>
        <w:rPr>
          <w:rFonts w:hint="eastAsia" w:ascii="宋体" w:hAnsi="宋体" w:eastAsia="宋体" w:cs="宋体"/>
          <w:color w:val="auto"/>
          <w:spacing w:val="20"/>
          <w:sz w:val="32"/>
          <w:szCs w:val="40"/>
          <w:highlight w:val="none"/>
          <w:lang w:val="en-US" w:eastAsia="zh-CN"/>
        </w:rPr>
        <w:t xml:space="preserve">    </w:t>
      </w:r>
      <w:r>
        <w:rPr>
          <w:rFonts w:hint="eastAsia" w:ascii="宋体" w:hAnsi="宋体" w:eastAsia="宋体" w:cs="宋体"/>
          <w:color w:val="auto"/>
          <w:spacing w:val="20"/>
          <w:sz w:val="32"/>
          <w:szCs w:val="40"/>
          <w:highlight w:val="none"/>
        </w:rPr>
        <w:t xml:space="preserve"> 年</w:t>
      </w:r>
      <w:r>
        <w:rPr>
          <w:rFonts w:hint="eastAsia" w:ascii="宋体" w:hAnsi="宋体" w:eastAsia="宋体" w:cs="宋体"/>
          <w:color w:val="auto"/>
          <w:spacing w:val="20"/>
          <w:sz w:val="32"/>
          <w:szCs w:val="40"/>
          <w:highlight w:val="none"/>
          <w:lang w:val="en-US" w:eastAsia="zh-CN"/>
        </w:rPr>
        <w:t xml:space="preserve">   </w:t>
      </w:r>
      <w:r>
        <w:rPr>
          <w:rFonts w:hint="eastAsia" w:ascii="宋体" w:hAnsi="宋体" w:eastAsia="宋体" w:cs="宋体"/>
          <w:color w:val="auto"/>
          <w:spacing w:val="20"/>
          <w:sz w:val="32"/>
          <w:szCs w:val="40"/>
          <w:highlight w:val="none"/>
        </w:rPr>
        <w:t xml:space="preserve">月 </w:t>
      </w:r>
      <w:r>
        <w:rPr>
          <w:rFonts w:hint="eastAsia" w:ascii="宋体" w:hAnsi="宋体" w:eastAsia="宋体" w:cs="宋体"/>
          <w:color w:val="auto"/>
          <w:spacing w:val="20"/>
          <w:sz w:val="32"/>
          <w:szCs w:val="40"/>
          <w:highlight w:val="none"/>
          <w:lang w:val="en-US" w:eastAsia="zh-CN"/>
        </w:rPr>
        <w:t xml:space="preserve">  </w:t>
      </w:r>
      <w:r>
        <w:rPr>
          <w:rFonts w:hint="eastAsia" w:ascii="宋体" w:hAnsi="宋体" w:eastAsia="宋体" w:cs="宋体"/>
          <w:color w:val="auto"/>
          <w:spacing w:val="20"/>
          <w:sz w:val="32"/>
          <w:szCs w:val="40"/>
          <w:highlight w:val="none"/>
        </w:rPr>
        <w:t>日</w:t>
      </w:r>
    </w:p>
    <w:p w14:paraId="3DD700E7">
      <w:pPr>
        <w:shd w:val="clear"/>
        <w:ind w:firstLine="1080" w:firstLineChars="300"/>
        <w:rPr>
          <w:rFonts w:ascii="宋体" w:hAnsi="宋体" w:eastAsia="宋体" w:cs="宋体"/>
          <w:color w:val="auto"/>
          <w:spacing w:val="20"/>
          <w:sz w:val="32"/>
          <w:szCs w:val="40"/>
          <w:highlight w:val="none"/>
        </w:rPr>
      </w:pPr>
    </w:p>
    <w:p w14:paraId="60ABBF97">
      <w:pPr>
        <w:shd w:val="clear"/>
        <w:rPr>
          <w:rFonts w:ascii="宋体" w:hAnsi="宋体" w:eastAsia="宋体" w:cs="宋体"/>
          <w:color w:val="auto"/>
          <w:spacing w:val="20"/>
          <w:sz w:val="32"/>
          <w:szCs w:val="40"/>
          <w:highlight w:val="none"/>
        </w:rPr>
      </w:pPr>
    </w:p>
    <w:p w14:paraId="0FFEE25B">
      <w:pPr>
        <w:pStyle w:val="2"/>
        <w:numPr>
          <w:ilvl w:val="0"/>
          <w:numId w:val="4"/>
        </w:numPr>
        <w:shd w:val="clear"/>
        <w:jc w:val="center"/>
        <w:rPr>
          <w:rFonts w:ascii="宋体" w:hAnsi="宋体" w:eastAsia="宋体" w:cs="宋体"/>
          <w:color w:val="auto"/>
          <w:spacing w:val="20"/>
          <w:sz w:val="40"/>
          <w:szCs w:val="52"/>
          <w:highlight w:val="none"/>
        </w:rPr>
        <w:sectPr>
          <w:pgSz w:w="11906" w:h="16838"/>
          <w:pgMar w:top="1247" w:right="1417" w:bottom="1247" w:left="1417" w:header="851" w:footer="992" w:gutter="0"/>
          <w:cols w:space="0" w:num="1"/>
          <w:docGrid w:type="lines" w:linePitch="312" w:charSpace="0"/>
        </w:sectPr>
      </w:pPr>
      <w:bookmarkStart w:id="79" w:name="_Toc26265"/>
      <w:bookmarkStart w:id="80" w:name="_Toc373227552"/>
      <w:bookmarkStart w:id="81" w:name="_Toc389065255"/>
      <w:bookmarkStart w:id="82" w:name="_Toc351203480"/>
      <w:bookmarkStart w:id="83" w:name="_Toc12680"/>
      <w:bookmarkStart w:id="84" w:name="_Toc296890982"/>
      <w:bookmarkStart w:id="85" w:name="_Toc373478199"/>
      <w:bookmarkStart w:id="86" w:name="_Toc296503025"/>
    </w:p>
    <w:bookmarkEnd w:id="79"/>
    <w:bookmarkEnd w:id="80"/>
    <w:bookmarkEnd w:id="81"/>
    <w:bookmarkEnd w:id="82"/>
    <w:bookmarkEnd w:id="83"/>
    <w:bookmarkEnd w:id="84"/>
    <w:bookmarkEnd w:id="85"/>
    <w:bookmarkEnd w:id="86"/>
    <w:p w14:paraId="00DF143C">
      <w:pPr>
        <w:keepNext/>
        <w:keepLines/>
        <w:widowControl w:val="0"/>
        <w:numPr>
          <w:ilvl w:val="0"/>
          <w:numId w:val="4"/>
        </w:numPr>
        <w:spacing w:before="340" w:after="330" w:line="360" w:lineRule="auto"/>
        <w:ind w:firstLine="803"/>
        <w:jc w:val="center"/>
        <w:outlineLvl w:val="0"/>
        <w:rPr>
          <w:rFonts w:ascii="宋体" w:hAnsi="宋体" w:eastAsia="宋体" w:cs="宋体"/>
          <w:b/>
          <w:bCs/>
          <w:color w:val="auto"/>
          <w:spacing w:val="20"/>
          <w:kern w:val="44"/>
          <w:sz w:val="24"/>
          <w:szCs w:val="32"/>
          <w:lang w:val="en-US" w:eastAsia="zh-CN" w:bidi="ar-SA"/>
        </w:rPr>
      </w:pPr>
      <w:r>
        <w:rPr>
          <w:rFonts w:hint="eastAsia" w:ascii="宋体" w:hAnsi="宋体" w:eastAsia="宋体" w:cs="宋体"/>
          <w:b/>
          <w:bCs/>
          <w:color w:val="auto"/>
          <w:spacing w:val="20"/>
          <w:kern w:val="44"/>
          <w:sz w:val="36"/>
          <w:szCs w:val="48"/>
          <w:lang w:val="en-US" w:eastAsia="zh-CN" w:bidi="ar-SA"/>
        </w:rPr>
        <w:t>合同协议书</w:t>
      </w:r>
    </w:p>
    <w:p w14:paraId="098F510E">
      <w:pPr>
        <w:keepNext w:val="0"/>
        <w:keepLines w:val="0"/>
        <w:pageBreakBefore w:val="0"/>
        <w:widowControl w:val="0"/>
        <w:kinsoku/>
        <w:wordWrap/>
        <w:overflowPunct/>
        <w:topLinePunct w:val="0"/>
        <w:bidi w:val="0"/>
        <w:adjustRightInd w:val="0"/>
        <w:snapToGrid w:val="0"/>
        <w:spacing w:line="480" w:lineRule="exact"/>
        <w:textAlignment w:val="auto"/>
        <w:rPr>
          <w:rFonts w:ascii="宋体" w:hAnsi="宋体" w:eastAsia="宋体" w:cs="宋体"/>
          <w:color w:val="auto"/>
          <w:spacing w:val="20"/>
          <w:sz w:val="24"/>
          <w:u w:val="single"/>
        </w:rPr>
      </w:pPr>
      <w:r>
        <w:rPr>
          <w:rFonts w:hint="eastAsia" w:ascii="宋体" w:hAnsi="宋体" w:eastAsia="宋体" w:cs="宋体"/>
          <w:color w:val="auto"/>
          <w:spacing w:val="20"/>
          <w:sz w:val="24"/>
        </w:rPr>
        <w:t>发包人（全称）：</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p>
    <w:p w14:paraId="755B126B">
      <w:pPr>
        <w:keepNext w:val="0"/>
        <w:keepLines w:val="0"/>
        <w:pageBreakBefore w:val="0"/>
        <w:widowControl w:val="0"/>
        <w:kinsoku/>
        <w:wordWrap/>
        <w:overflowPunct/>
        <w:topLinePunct w:val="0"/>
        <w:bidi w:val="0"/>
        <w:adjustRightInd w:val="0"/>
        <w:snapToGrid w:val="0"/>
        <w:spacing w:line="480" w:lineRule="exact"/>
        <w:textAlignment w:val="auto"/>
        <w:rPr>
          <w:rFonts w:ascii="宋体" w:hAnsi="宋体" w:eastAsia="宋体" w:cs="宋体"/>
          <w:color w:val="auto"/>
          <w:spacing w:val="20"/>
          <w:sz w:val="24"/>
          <w:u w:val="single"/>
        </w:rPr>
      </w:pPr>
      <w:r>
        <w:rPr>
          <w:rFonts w:hint="eastAsia" w:ascii="宋体" w:hAnsi="宋体" w:eastAsia="宋体" w:cs="宋体"/>
          <w:color w:val="auto"/>
          <w:spacing w:val="20"/>
          <w:sz w:val="24"/>
        </w:rPr>
        <w:t>承包人（全称）：</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p>
    <w:p w14:paraId="1F51CA1F">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color w:val="auto"/>
          <w:spacing w:val="20"/>
          <w:sz w:val="24"/>
        </w:rPr>
      </w:pP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rPr>
        <w:t>（以下称发包人）为实施</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rPr>
        <w:t>，根据《中华人民共和国民法典》、《中华人民共和国建筑法》及有关法律规定，遵循平等、自愿、公平和诚实信用的原则，双方就</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工程施工及有关事项协商一致，共同达成如下协议：</w:t>
      </w:r>
      <w:bookmarkStart w:id="87" w:name="_Toc351203481"/>
    </w:p>
    <w:p w14:paraId="0F0A6630">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r>
        <w:rPr>
          <w:rFonts w:hint="eastAsia" w:ascii="宋体" w:hAnsi="宋体" w:eastAsia="宋体" w:cs="宋体"/>
          <w:b/>
          <w:bCs/>
          <w:color w:val="auto"/>
          <w:spacing w:val="20"/>
          <w:sz w:val="24"/>
        </w:rPr>
        <w:t>一、工程概况</w:t>
      </w:r>
      <w:bookmarkEnd w:id="87"/>
    </w:p>
    <w:p w14:paraId="4CF333B5">
      <w:pPr>
        <w:keepNext w:val="0"/>
        <w:keepLines w:val="0"/>
        <w:pageBreakBefore w:val="0"/>
        <w:widowControl w:val="0"/>
        <w:kinsoku/>
        <w:wordWrap/>
        <w:overflowPunct/>
        <w:topLinePunct w:val="0"/>
        <w:bidi w:val="0"/>
        <w:adjustRightInd w:val="0"/>
        <w:snapToGrid w:val="0"/>
        <w:spacing w:line="480" w:lineRule="exact"/>
        <w:ind w:firstLine="548" w:firstLineChars="196"/>
        <w:textAlignment w:val="auto"/>
        <w:rPr>
          <w:rFonts w:ascii="宋体" w:hAnsi="宋体" w:eastAsia="宋体" w:cs="宋体"/>
          <w:color w:val="auto"/>
          <w:spacing w:val="20"/>
          <w:sz w:val="24"/>
          <w:u w:val="single"/>
        </w:rPr>
      </w:pPr>
      <w:r>
        <w:rPr>
          <w:rFonts w:hint="eastAsia" w:ascii="宋体" w:hAnsi="宋体" w:eastAsia="宋体" w:cs="宋体"/>
          <w:bCs/>
          <w:color w:val="auto"/>
          <w:spacing w:val="20"/>
          <w:sz w:val="24"/>
        </w:rPr>
        <w:t>1. 工程名称</w:t>
      </w:r>
      <w:r>
        <w:rPr>
          <w:rFonts w:hint="eastAsia" w:ascii="宋体" w:hAnsi="宋体" w:eastAsia="宋体" w:cs="宋体"/>
          <w:color w:val="auto"/>
          <w:spacing w:val="20"/>
          <w:sz w:val="24"/>
        </w:rPr>
        <w:t>：</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b/>
          <w:bCs/>
          <w:color w:val="auto"/>
          <w:spacing w:val="20"/>
          <w:sz w:val="24"/>
          <w:u w:val="single"/>
        </w:rPr>
        <w:t xml:space="preserve"> </w:t>
      </w:r>
      <w:r>
        <w:rPr>
          <w:rFonts w:hint="eastAsia" w:ascii="宋体" w:hAnsi="宋体" w:eastAsia="宋体" w:cs="宋体"/>
          <w:color w:val="auto"/>
          <w:spacing w:val="20"/>
          <w:sz w:val="24"/>
        </w:rPr>
        <w:t>。</w:t>
      </w:r>
    </w:p>
    <w:p w14:paraId="1397046E">
      <w:pPr>
        <w:keepNext w:val="0"/>
        <w:keepLines w:val="0"/>
        <w:pageBreakBefore w:val="0"/>
        <w:widowControl w:val="0"/>
        <w:kinsoku/>
        <w:wordWrap/>
        <w:overflowPunct/>
        <w:topLinePunct w:val="0"/>
        <w:bidi w:val="0"/>
        <w:adjustRightInd w:val="0"/>
        <w:snapToGrid w:val="0"/>
        <w:spacing w:line="480" w:lineRule="exact"/>
        <w:ind w:firstLine="548" w:firstLineChars="196"/>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2. 工程地点：</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w:t>
      </w:r>
    </w:p>
    <w:p w14:paraId="64EC1326">
      <w:pPr>
        <w:keepNext w:val="0"/>
        <w:keepLines w:val="0"/>
        <w:pageBreakBefore w:val="0"/>
        <w:widowControl w:val="0"/>
        <w:kinsoku/>
        <w:wordWrap/>
        <w:overflowPunct/>
        <w:topLinePunct w:val="0"/>
        <w:bidi w:val="0"/>
        <w:adjustRightInd w:val="0"/>
        <w:snapToGrid w:val="0"/>
        <w:spacing w:line="480" w:lineRule="exact"/>
        <w:ind w:firstLine="548" w:firstLineChars="196"/>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3. 工程立项批准文号：</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bCs/>
          <w:color w:val="auto"/>
          <w:spacing w:val="20"/>
          <w:sz w:val="24"/>
        </w:rPr>
        <w:t>。</w:t>
      </w:r>
    </w:p>
    <w:p w14:paraId="78DFA1A5">
      <w:pPr>
        <w:keepNext w:val="0"/>
        <w:keepLines w:val="0"/>
        <w:pageBreakBefore w:val="0"/>
        <w:widowControl w:val="0"/>
        <w:kinsoku/>
        <w:wordWrap/>
        <w:overflowPunct/>
        <w:topLinePunct w:val="0"/>
        <w:bidi w:val="0"/>
        <w:adjustRightInd w:val="0"/>
        <w:snapToGrid w:val="0"/>
        <w:spacing w:line="480" w:lineRule="exact"/>
        <w:ind w:firstLine="548" w:firstLineChars="196"/>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4. 资金来源：</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bCs/>
          <w:color w:val="auto"/>
          <w:spacing w:val="20"/>
          <w:sz w:val="24"/>
        </w:rPr>
        <w:t>。</w:t>
      </w:r>
    </w:p>
    <w:p w14:paraId="1EB58D98">
      <w:pPr>
        <w:keepNext w:val="0"/>
        <w:keepLines w:val="0"/>
        <w:pageBreakBefore w:val="0"/>
        <w:widowControl w:val="0"/>
        <w:kinsoku/>
        <w:wordWrap/>
        <w:overflowPunct/>
        <w:topLinePunct w:val="0"/>
        <w:bidi w:val="0"/>
        <w:adjustRightInd w:val="0"/>
        <w:snapToGrid w:val="0"/>
        <w:spacing w:line="480" w:lineRule="exact"/>
        <w:ind w:firstLine="548" w:firstLineChars="196"/>
        <w:textAlignment w:val="auto"/>
        <w:rPr>
          <w:rFonts w:ascii="宋体" w:hAnsi="宋体" w:eastAsia="宋体" w:cs="宋体"/>
          <w:color w:val="auto"/>
          <w:spacing w:val="20"/>
          <w:sz w:val="24"/>
          <w:u w:val="single"/>
        </w:rPr>
      </w:pPr>
      <w:r>
        <w:rPr>
          <w:rFonts w:hint="eastAsia" w:ascii="宋体" w:hAnsi="宋体" w:eastAsia="宋体" w:cs="宋体"/>
          <w:bCs/>
          <w:color w:val="auto"/>
          <w:spacing w:val="20"/>
          <w:sz w:val="24"/>
        </w:rPr>
        <w:t>5. 工程内容</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w:t>
      </w:r>
    </w:p>
    <w:p w14:paraId="0545743D">
      <w:pPr>
        <w:keepNext w:val="0"/>
        <w:keepLines w:val="0"/>
        <w:pageBreakBefore w:val="0"/>
        <w:widowControl w:val="0"/>
        <w:kinsoku/>
        <w:wordWrap/>
        <w:overflowPunct/>
        <w:topLinePunct w:val="0"/>
        <w:bidi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6. 工程承包范围：</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w:t>
      </w:r>
    </w:p>
    <w:p w14:paraId="7B988BD2">
      <w:pPr>
        <w:keepNext w:val="0"/>
        <w:keepLines w:val="0"/>
        <w:pageBreakBefore w:val="0"/>
        <w:widowControl w:val="0"/>
        <w:kinsoku/>
        <w:wordWrap/>
        <w:overflowPunct/>
        <w:topLinePunct w:val="0"/>
        <w:bidi w:val="0"/>
        <w:adjustRightInd w:val="0"/>
        <w:snapToGrid w:val="0"/>
        <w:spacing w:line="480" w:lineRule="exact"/>
        <w:ind w:firstLine="542" w:firstLineChars="193"/>
        <w:textAlignment w:val="auto"/>
        <w:outlineLvl w:val="0"/>
        <w:rPr>
          <w:rFonts w:ascii="宋体" w:hAnsi="宋体" w:eastAsia="宋体" w:cs="宋体"/>
          <w:b/>
          <w:bCs/>
          <w:color w:val="auto"/>
          <w:spacing w:val="20"/>
          <w:sz w:val="24"/>
        </w:rPr>
      </w:pPr>
      <w:bookmarkStart w:id="88" w:name="_Toc351203482"/>
      <w:r>
        <w:rPr>
          <w:rFonts w:hint="eastAsia" w:ascii="宋体" w:hAnsi="宋体" w:eastAsia="宋体" w:cs="宋体"/>
          <w:b/>
          <w:bCs/>
          <w:color w:val="auto"/>
          <w:spacing w:val="20"/>
          <w:sz w:val="24"/>
        </w:rPr>
        <w:t>二、合同工期</w:t>
      </w:r>
      <w:bookmarkEnd w:id="88"/>
    </w:p>
    <w:p w14:paraId="5EFC4EA8">
      <w:pPr>
        <w:keepNext w:val="0"/>
        <w:keepLines w:val="0"/>
        <w:pageBreakBefore w:val="0"/>
        <w:widowControl w:val="0"/>
        <w:kinsoku/>
        <w:wordWrap/>
        <w:overflowPunct/>
        <w:topLinePunct w:val="0"/>
        <w:bidi w:val="0"/>
        <w:adjustRightInd w:val="0"/>
        <w:snapToGrid w:val="0"/>
        <w:spacing w:line="480" w:lineRule="exact"/>
        <w:ind w:firstLine="560"/>
        <w:textAlignment w:val="auto"/>
        <w:rPr>
          <w:rFonts w:hint="eastAsia" w:ascii="宋体" w:hAnsi="宋体" w:eastAsia="宋体" w:cs="宋体"/>
          <w:color w:val="auto"/>
          <w:spacing w:val="20"/>
          <w:sz w:val="24"/>
        </w:rPr>
      </w:pPr>
      <w:r>
        <w:rPr>
          <w:rFonts w:hint="eastAsia" w:ascii="宋体" w:hAnsi="宋体" w:eastAsia="宋体" w:cs="宋体"/>
          <w:color w:val="auto"/>
          <w:spacing w:val="20"/>
          <w:sz w:val="24"/>
        </w:rPr>
        <w:t>计划开工日期：</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年</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月</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日。（以总监理工程师开具并有发包人签认的开工令为准 ）</w:t>
      </w:r>
    </w:p>
    <w:p w14:paraId="5188B154">
      <w:pPr>
        <w:keepNext w:val="0"/>
        <w:keepLines w:val="0"/>
        <w:pageBreakBefore w:val="0"/>
        <w:widowControl w:val="0"/>
        <w:kinsoku/>
        <w:wordWrap/>
        <w:overflowPunct/>
        <w:topLinePunct w:val="0"/>
        <w:bidi w:val="0"/>
        <w:adjustRightInd w:val="0"/>
        <w:snapToGrid w:val="0"/>
        <w:spacing w:line="480" w:lineRule="exact"/>
        <w:ind w:firstLine="560"/>
        <w:textAlignment w:val="auto"/>
        <w:rPr>
          <w:rFonts w:ascii="宋体" w:hAnsi="宋体" w:eastAsia="宋体" w:cs="宋体"/>
          <w:color w:val="auto"/>
          <w:spacing w:val="20"/>
          <w:sz w:val="24"/>
        </w:rPr>
      </w:pPr>
      <w:r>
        <w:rPr>
          <w:rFonts w:hint="eastAsia" w:ascii="宋体" w:hAnsi="宋体" w:eastAsia="宋体" w:cs="宋体"/>
          <w:color w:val="auto"/>
          <w:spacing w:val="20"/>
          <w:sz w:val="24"/>
        </w:rPr>
        <w:t>计划竣工日期：</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年</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rPr>
        <w:t>月</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日。</w:t>
      </w:r>
    </w:p>
    <w:p w14:paraId="45000804">
      <w:pPr>
        <w:keepNext w:val="0"/>
        <w:keepLines w:val="0"/>
        <w:pageBreakBefore w:val="0"/>
        <w:widowControl w:val="0"/>
        <w:kinsoku/>
        <w:wordWrap/>
        <w:overflowPunct/>
        <w:topLinePunct w:val="0"/>
        <w:bidi w:val="0"/>
        <w:adjustRightInd w:val="0"/>
        <w:snapToGrid w:val="0"/>
        <w:spacing w:line="480" w:lineRule="exact"/>
        <w:ind w:firstLine="560"/>
        <w:textAlignment w:val="auto"/>
        <w:rPr>
          <w:rFonts w:ascii="宋体" w:hAnsi="宋体" w:eastAsia="宋体" w:cs="宋体"/>
          <w:color w:val="auto"/>
          <w:spacing w:val="20"/>
          <w:sz w:val="24"/>
        </w:rPr>
      </w:pPr>
      <w:r>
        <w:rPr>
          <w:rFonts w:hint="eastAsia" w:ascii="宋体" w:hAnsi="宋体" w:eastAsia="宋体" w:cs="宋体"/>
          <w:color w:val="auto"/>
          <w:spacing w:val="20"/>
          <w:sz w:val="24"/>
        </w:rPr>
        <w:t>工期总日历天数：</w:t>
      </w:r>
      <w:r>
        <w:rPr>
          <w:rFonts w:hint="eastAsia" w:ascii="宋体" w:hAnsi="宋体" w:eastAsia="宋体" w:cs="宋体"/>
          <w:b/>
          <w:bCs/>
          <w:color w:val="auto"/>
          <w:spacing w:val="20"/>
          <w:sz w:val="24"/>
          <w:u w:val="single"/>
        </w:rPr>
        <w:t xml:space="preserve"> </w:t>
      </w:r>
      <w:r>
        <w:rPr>
          <w:rFonts w:hint="eastAsia" w:ascii="宋体" w:hAnsi="宋体" w:cs="宋体"/>
          <w:b/>
          <w:bCs/>
          <w:color w:val="auto"/>
          <w:spacing w:val="20"/>
          <w:sz w:val="24"/>
          <w:u w:val="single"/>
          <w:lang w:val="en-US" w:eastAsia="zh-CN"/>
        </w:rPr>
        <w:t xml:space="preserve">   </w:t>
      </w:r>
      <w:r>
        <w:rPr>
          <w:rFonts w:hint="eastAsia" w:ascii="宋体" w:hAnsi="宋体" w:eastAsia="宋体" w:cs="宋体"/>
          <w:color w:val="auto"/>
          <w:spacing w:val="20"/>
          <w:sz w:val="24"/>
        </w:rPr>
        <w:t>天。工期总日历天数与根据前述计划开竣工日期计算的工期天数不一致的，以工期总日历天数为准。</w:t>
      </w:r>
    </w:p>
    <w:p w14:paraId="10E74DDD">
      <w:pPr>
        <w:keepNext w:val="0"/>
        <w:keepLines w:val="0"/>
        <w:pageBreakBefore w:val="0"/>
        <w:widowControl w:val="0"/>
        <w:kinsoku/>
        <w:wordWrap/>
        <w:overflowPunct/>
        <w:topLinePunct w:val="0"/>
        <w:bidi w:val="0"/>
        <w:adjustRightInd w:val="0"/>
        <w:snapToGrid w:val="0"/>
        <w:spacing w:line="480" w:lineRule="exact"/>
        <w:ind w:firstLine="562"/>
        <w:textAlignment w:val="auto"/>
        <w:outlineLvl w:val="0"/>
        <w:rPr>
          <w:rFonts w:ascii="宋体" w:hAnsi="宋体" w:eastAsia="宋体" w:cs="宋体"/>
          <w:b/>
          <w:bCs/>
          <w:color w:val="auto"/>
          <w:spacing w:val="20"/>
          <w:sz w:val="24"/>
        </w:rPr>
      </w:pPr>
      <w:bookmarkStart w:id="89" w:name="_Toc351203483"/>
      <w:r>
        <w:rPr>
          <w:rFonts w:hint="eastAsia" w:ascii="宋体" w:hAnsi="宋体" w:eastAsia="宋体" w:cs="宋体"/>
          <w:b/>
          <w:bCs/>
          <w:color w:val="auto"/>
          <w:spacing w:val="20"/>
          <w:sz w:val="24"/>
        </w:rPr>
        <w:t>三、质量标准</w:t>
      </w:r>
      <w:bookmarkEnd w:id="89"/>
    </w:p>
    <w:p w14:paraId="3325E65A">
      <w:pPr>
        <w:keepNext w:val="0"/>
        <w:keepLines w:val="0"/>
        <w:pageBreakBefore w:val="0"/>
        <w:widowControl w:val="0"/>
        <w:kinsoku/>
        <w:wordWrap/>
        <w:overflowPunct/>
        <w:topLinePunct w:val="0"/>
        <w:bidi w:val="0"/>
        <w:adjustRightInd w:val="0"/>
        <w:snapToGrid w:val="0"/>
        <w:spacing w:line="480" w:lineRule="exact"/>
        <w:ind w:firstLine="560"/>
        <w:textAlignment w:val="auto"/>
        <w:rPr>
          <w:rFonts w:ascii="宋体" w:hAnsi="宋体" w:eastAsia="宋体" w:cs="宋体"/>
          <w:color w:val="auto"/>
          <w:spacing w:val="20"/>
          <w:sz w:val="24"/>
        </w:rPr>
      </w:pPr>
      <w:r>
        <w:rPr>
          <w:rFonts w:hint="eastAsia" w:ascii="宋体" w:hAnsi="宋体" w:eastAsia="宋体" w:cs="宋体"/>
          <w:color w:val="auto"/>
          <w:spacing w:val="20"/>
          <w:sz w:val="24"/>
        </w:rPr>
        <w:t>工程质量符合</w:t>
      </w:r>
      <w:r>
        <w:rPr>
          <w:rFonts w:hint="eastAsia" w:ascii="宋体" w:hAnsi="宋体" w:eastAsia="宋体" w:cs="宋体"/>
          <w:color w:val="auto"/>
          <w:spacing w:val="20"/>
          <w:sz w:val="24"/>
          <w:u w:val="single"/>
        </w:rPr>
        <w:t>《工程施工质量验收规范》合格</w:t>
      </w:r>
      <w:r>
        <w:rPr>
          <w:rFonts w:hint="eastAsia" w:ascii="宋体" w:hAnsi="宋体" w:eastAsia="宋体" w:cs="宋体"/>
          <w:color w:val="auto"/>
          <w:spacing w:val="20"/>
          <w:sz w:val="24"/>
        </w:rPr>
        <w:t>标准。</w:t>
      </w:r>
    </w:p>
    <w:p w14:paraId="7AF65131">
      <w:pPr>
        <w:keepNext w:val="0"/>
        <w:keepLines w:val="0"/>
        <w:pageBreakBefore w:val="0"/>
        <w:widowControl w:val="0"/>
        <w:kinsoku/>
        <w:wordWrap/>
        <w:overflowPunct/>
        <w:topLinePunct w:val="0"/>
        <w:bidi w:val="0"/>
        <w:adjustRightInd w:val="0"/>
        <w:snapToGrid w:val="0"/>
        <w:spacing w:line="480" w:lineRule="exact"/>
        <w:ind w:firstLine="562"/>
        <w:textAlignment w:val="auto"/>
        <w:outlineLvl w:val="0"/>
        <w:rPr>
          <w:rFonts w:ascii="宋体" w:hAnsi="宋体" w:eastAsia="宋体" w:cs="宋体"/>
          <w:b/>
          <w:bCs/>
          <w:color w:val="auto"/>
          <w:spacing w:val="20"/>
          <w:sz w:val="24"/>
        </w:rPr>
      </w:pPr>
      <w:bookmarkStart w:id="90" w:name="_Toc351203484"/>
      <w:r>
        <w:rPr>
          <w:rFonts w:hint="eastAsia" w:ascii="宋体" w:hAnsi="宋体" w:eastAsia="宋体" w:cs="宋体"/>
          <w:b/>
          <w:bCs/>
          <w:color w:val="auto"/>
          <w:spacing w:val="20"/>
          <w:sz w:val="24"/>
        </w:rPr>
        <w:t>四、签约合同价与合同价格形式</w:t>
      </w:r>
      <w:bookmarkEnd w:id="90"/>
    </w:p>
    <w:p w14:paraId="67803326">
      <w:pPr>
        <w:keepNext w:val="0"/>
        <w:keepLines w:val="0"/>
        <w:pageBreakBefore w:val="0"/>
        <w:widowControl w:val="0"/>
        <w:kinsoku/>
        <w:wordWrap/>
        <w:overflowPunct/>
        <w:topLinePunct w:val="0"/>
        <w:bidi w:val="0"/>
        <w:adjustRightInd w:val="0"/>
        <w:snapToGrid w:val="0"/>
        <w:spacing w:line="480" w:lineRule="exact"/>
        <w:ind w:firstLine="560"/>
        <w:textAlignment w:val="auto"/>
        <w:rPr>
          <w:rFonts w:ascii="宋体" w:hAnsi="宋体" w:eastAsia="宋体" w:cs="宋体"/>
          <w:color w:val="auto"/>
          <w:spacing w:val="20"/>
          <w:sz w:val="24"/>
        </w:rPr>
      </w:pPr>
      <w:r>
        <w:rPr>
          <w:rFonts w:hint="eastAsia" w:ascii="宋体" w:hAnsi="宋体" w:cs="宋体"/>
          <w:color w:val="auto"/>
          <w:spacing w:val="20"/>
          <w:sz w:val="24"/>
          <w:lang w:val="en-US" w:eastAsia="zh-CN"/>
        </w:rPr>
        <w:t>1.</w:t>
      </w:r>
      <w:r>
        <w:rPr>
          <w:rFonts w:hint="eastAsia" w:ascii="宋体" w:hAnsi="宋体" w:eastAsia="宋体" w:cs="宋体"/>
          <w:color w:val="auto"/>
          <w:spacing w:val="20"/>
          <w:sz w:val="24"/>
        </w:rPr>
        <w:t>签约合同价为：</w:t>
      </w:r>
    </w:p>
    <w:p w14:paraId="0C949723">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color w:val="auto"/>
          <w:spacing w:val="20"/>
          <w:sz w:val="24"/>
        </w:rPr>
      </w:pPr>
      <w:r>
        <w:rPr>
          <w:rFonts w:hint="eastAsia" w:ascii="宋体" w:hAnsi="宋体" w:eastAsia="宋体" w:cs="宋体"/>
          <w:color w:val="auto"/>
          <w:spacing w:val="20"/>
          <w:sz w:val="24"/>
        </w:rPr>
        <w:t>人民币（大写：</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w:t>
      </w:r>
      <w:r>
        <w:rPr>
          <w:rFonts w:hint="eastAsia" w:asciiTheme="minorEastAsia" w:hAnsiTheme="minorEastAsia" w:eastAsiaTheme="minorEastAsia" w:cstheme="minorEastAsia"/>
          <w:color w:val="auto"/>
          <w:spacing w:val="20"/>
          <w:sz w:val="24"/>
          <w:u w:val="single"/>
        </w:rPr>
        <w:t>（¥</w:t>
      </w:r>
      <w:r>
        <w:rPr>
          <w:rFonts w:hint="eastAsia" w:asciiTheme="minorEastAsia" w:hAnsiTheme="minorEastAsia" w:eastAsiaTheme="minorEastAsia" w:cstheme="minorEastAsia"/>
          <w:color w:val="auto"/>
          <w:spacing w:val="20"/>
          <w:sz w:val="24"/>
          <w:u w:val="single"/>
          <w:lang w:val="en-US" w:eastAsia="zh-CN"/>
        </w:rPr>
        <w:t xml:space="preserve">           </w:t>
      </w:r>
      <w:r>
        <w:rPr>
          <w:rFonts w:hint="eastAsia" w:asciiTheme="minorEastAsia" w:hAnsiTheme="minorEastAsia" w:eastAsiaTheme="minorEastAsia" w:cstheme="minorEastAsia"/>
          <w:color w:val="auto"/>
          <w:spacing w:val="20"/>
          <w:sz w:val="24"/>
          <w:u w:val="single"/>
        </w:rPr>
        <w:t>元</w:t>
      </w:r>
      <w:r>
        <w:rPr>
          <w:rFonts w:hint="eastAsia" w:asciiTheme="minorEastAsia" w:hAnsiTheme="minorEastAsia" w:eastAsiaTheme="minorEastAsia" w:cstheme="minorEastAsia"/>
          <w:color w:val="auto"/>
          <w:spacing w:val="20"/>
          <w:sz w:val="24"/>
        </w:rPr>
        <w:t>）；</w:t>
      </w:r>
    </w:p>
    <w:p w14:paraId="4E912729">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color w:val="auto"/>
          <w:spacing w:val="20"/>
          <w:sz w:val="24"/>
        </w:rPr>
      </w:pPr>
      <w:r>
        <w:rPr>
          <w:rFonts w:hint="eastAsia" w:ascii="宋体" w:hAnsi="宋体" w:eastAsia="宋体" w:cs="宋体"/>
          <w:color w:val="auto"/>
          <w:spacing w:val="20"/>
          <w:sz w:val="24"/>
        </w:rPr>
        <w:t>2. 合同价格形式：</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highlight w:val="none"/>
          <w:u w:val="single"/>
        </w:rPr>
        <w:t>综合单价</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w:t>
      </w:r>
    </w:p>
    <w:p w14:paraId="7E610C76">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1" w:name="_Toc351203485"/>
      <w:r>
        <w:rPr>
          <w:rFonts w:hint="eastAsia" w:ascii="宋体" w:hAnsi="宋体" w:eastAsia="宋体" w:cs="宋体"/>
          <w:b/>
          <w:bCs/>
          <w:color w:val="auto"/>
          <w:spacing w:val="20"/>
          <w:sz w:val="24"/>
        </w:rPr>
        <w:t>五、</w:t>
      </w:r>
      <w:bookmarkEnd w:id="91"/>
      <w:r>
        <w:rPr>
          <w:rFonts w:hint="eastAsia" w:ascii="宋体" w:hAnsi="宋体" w:eastAsia="宋体" w:cs="宋体"/>
          <w:b/>
          <w:bCs/>
          <w:color w:val="auto"/>
          <w:spacing w:val="20"/>
          <w:sz w:val="24"/>
        </w:rPr>
        <w:t>项目经理</w:t>
      </w:r>
    </w:p>
    <w:p w14:paraId="2380A572">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color w:val="auto"/>
          <w:spacing w:val="20"/>
          <w:sz w:val="24"/>
        </w:rPr>
      </w:pPr>
      <w:r>
        <w:rPr>
          <w:rFonts w:hint="eastAsia" w:ascii="宋体" w:hAnsi="宋体" w:eastAsia="宋体" w:cs="宋体"/>
          <w:color w:val="auto"/>
          <w:spacing w:val="20"/>
          <w:sz w:val="24"/>
        </w:rPr>
        <w:t>承包人项目经理：</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w:t>
      </w:r>
    </w:p>
    <w:p w14:paraId="29F1134A">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2" w:name="_Toc351203486"/>
      <w:r>
        <w:rPr>
          <w:rFonts w:hint="eastAsia" w:ascii="宋体" w:hAnsi="宋体" w:eastAsia="宋体" w:cs="宋体"/>
          <w:b/>
          <w:bCs/>
          <w:color w:val="auto"/>
          <w:spacing w:val="20"/>
          <w:sz w:val="24"/>
        </w:rPr>
        <w:t>六、合同文件构成</w:t>
      </w:r>
      <w:bookmarkEnd w:id="92"/>
    </w:p>
    <w:p w14:paraId="4287E321">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1.本协议书与下列文件一起构成合同文件：</w:t>
      </w:r>
    </w:p>
    <w:p w14:paraId="6C9D79A8">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（1）中标通知书（如有）；</w:t>
      </w:r>
    </w:p>
    <w:p w14:paraId="1406F169">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 xml:space="preserve">（2）投标函及其附录（如有）； </w:t>
      </w:r>
    </w:p>
    <w:p w14:paraId="3EE2ECA9">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（3）专用合同条款及其附件；</w:t>
      </w:r>
    </w:p>
    <w:p w14:paraId="5EC0B193">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（4）通用合同条款；</w:t>
      </w:r>
    </w:p>
    <w:p w14:paraId="1BF6D01B">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（5）技术标准和要求；</w:t>
      </w:r>
    </w:p>
    <w:p w14:paraId="2D468266">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 xml:space="preserve">（6）已标价工程量清单或预算书； </w:t>
      </w:r>
    </w:p>
    <w:p w14:paraId="4C7559D1">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（7）图纸；</w:t>
      </w:r>
    </w:p>
    <w:p w14:paraId="5BD353D2">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（8）其他合同文件。</w:t>
      </w:r>
    </w:p>
    <w:p w14:paraId="17CE142C">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2.双方有关工程的洽商、变更等书面协议或文件视为本合同的组成部分。</w:t>
      </w:r>
    </w:p>
    <w:p w14:paraId="4AC49CBD">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上述各项合同文件包括合同当事人就该项合同文件所作出的补充和修改，属于同一类内容的文件，应以最新签署的为准。专用合同条款及其附件须经合同当事人签字或盖章。</w:t>
      </w:r>
    </w:p>
    <w:p w14:paraId="696BED3C">
      <w:pPr>
        <w:keepNext w:val="0"/>
        <w:keepLines w:val="0"/>
        <w:pageBreakBefore w:val="0"/>
        <w:widowControl w:val="0"/>
        <w:kinsoku/>
        <w:wordWrap/>
        <w:overflowPunct/>
        <w:topLinePunct w:val="0"/>
        <w:autoSpaceDE w:val="0"/>
        <w:autoSpaceDN w:val="0"/>
        <w:bidi w:val="0"/>
        <w:adjustRightInd w:val="0"/>
        <w:snapToGrid w:val="0"/>
        <w:spacing w:line="480" w:lineRule="exact"/>
        <w:ind w:firstLine="562" w:firstLineChars="200"/>
        <w:jc w:val="left"/>
        <w:textAlignment w:val="auto"/>
        <w:outlineLvl w:val="0"/>
        <w:rPr>
          <w:rFonts w:ascii="宋体" w:hAnsi="宋体" w:eastAsia="宋体" w:cs="宋体"/>
          <w:b/>
          <w:bCs/>
          <w:color w:val="auto"/>
          <w:spacing w:val="20"/>
          <w:sz w:val="24"/>
        </w:rPr>
      </w:pPr>
      <w:bookmarkStart w:id="93" w:name="_Toc351203487"/>
      <w:r>
        <w:rPr>
          <w:rFonts w:hint="eastAsia" w:ascii="宋体" w:hAnsi="宋体" w:eastAsia="宋体" w:cs="宋体"/>
          <w:b/>
          <w:bCs/>
          <w:color w:val="auto"/>
          <w:spacing w:val="20"/>
          <w:sz w:val="24"/>
        </w:rPr>
        <w:t>七、承诺</w:t>
      </w:r>
      <w:bookmarkEnd w:id="93"/>
    </w:p>
    <w:p w14:paraId="4D81D557">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1. 发包人承诺按照法律规定履行项目审批手续、筹集工程建设资金并按照合同约定的期限和方式支付合同价款。</w:t>
      </w:r>
    </w:p>
    <w:p w14:paraId="2FB06C0D">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2. 承包人承诺按照法律规定及合同约定组织完成工程施工，确保工程质量和安全，不进行转包及违法分包。</w:t>
      </w:r>
    </w:p>
    <w:p w14:paraId="117A0A0D">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3. 发包人和承包人签订的合同，双方理解并承诺不再就同一工程另行签订与合同实质性内容相背离的协议。</w:t>
      </w:r>
      <w:bookmarkStart w:id="94" w:name="_Toc351203488"/>
    </w:p>
    <w:p w14:paraId="7FCD9F8A">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r>
        <w:rPr>
          <w:rFonts w:hint="eastAsia" w:ascii="宋体" w:hAnsi="宋体" w:eastAsia="宋体" w:cs="宋体"/>
          <w:b/>
          <w:bCs/>
          <w:color w:val="auto"/>
          <w:spacing w:val="20"/>
          <w:sz w:val="24"/>
        </w:rPr>
        <w:t>八、词语含义</w:t>
      </w:r>
      <w:bookmarkEnd w:id="94"/>
    </w:p>
    <w:p w14:paraId="24239A0E">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本协议书中词语含义与第二部分通用合同条款中赋予的含义相同。</w:t>
      </w:r>
    </w:p>
    <w:p w14:paraId="14F92A76">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5" w:name="_Toc351203489"/>
      <w:r>
        <w:rPr>
          <w:rFonts w:hint="eastAsia" w:ascii="宋体" w:hAnsi="宋体" w:eastAsia="宋体" w:cs="宋体"/>
          <w:b/>
          <w:bCs/>
          <w:color w:val="auto"/>
          <w:spacing w:val="20"/>
          <w:sz w:val="24"/>
        </w:rPr>
        <w:t>九、签订时间</w:t>
      </w:r>
      <w:bookmarkEnd w:id="95"/>
    </w:p>
    <w:p w14:paraId="4F6BF597">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本合同于</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u w:val="single"/>
          <w:lang w:val="en-US" w:eastAsia="zh-CN"/>
        </w:rPr>
        <w:t xml:space="preserve">     </w:t>
      </w:r>
      <w:r>
        <w:rPr>
          <w:rFonts w:hint="eastAsia" w:ascii="宋体" w:hAnsi="宋体" w:eastAsia="宋体" w:cs="宋体"/>
          <w:bCs/>
          <w:color w:val="auto"/>
          <w:spacing w:val="20"/>
          <w:sz w:val="24"/>
        </w:rPr>
        <w:t>年</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u w:val="single"/>
          <w:lang w:val="en-US" w:eastAsia="zh-CN"/>
        </w:rPr>
        <w:t xml:space="preserve"> </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rPr>
        <w:t>月</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u w:val="single"/>
          <w:lang w:val="en-US" w:eastAsia="zh-CN"/>
        </w:rPr>
        <w:t xml:space="preserve">  </w:t>
      </w:r>
      <w:r>
        <w:rPr>
          <w:rFonts w:hint="eastAsia" w:ascii="宋体" w:hAnsi="宋体" w:eastAsia="宋体" w:cs="宋体"/>
          <w:bCs/>
          <w:color w:val="auto"/>
          <w:spacing w:val="20"/>
          <w:sz w:val="24"/>
        </w:rPr>
        <w:t>日签订。</w:t>
      </w:r>
    </w:p>
    <w:p w14:paraId="3CEB6BC6">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6" w:name="_Toc351203490"/>
      <w:r>
        <w:rPr>
          <w:rFonts w:hint="eastAsia" w:ascii="宋体" w:hAnsi="宋体" w:eastAsia="宋体" w:cs="宋体"/>
          <w:b/>
          <w:bCs/>
          <w:color w:val="auto"/>
          <w:spacing w:val="20"/>
          <w:sz w:val="24"/>
        </w:rPr>
        <w:t>十、签订地点</w:t>
      </w:r>
      <w:bookmarkEnd w:id="96"/>
    </w:p>
    <w:p w14:paraId="171E534E">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本合同在</w:t>
      </w:r>
      <w:r>
        <w:rPr>
          <w:rFonts w:hint="eastAsia" w:ascii="宋体" w:hAnsi="宋体" w:eastAsia="宋体" w:cs="宋体"/>
          <w:bCs/>
          <w:color w:val="auto"/>
          <w:spacing w:val="20"/>
          <w:sz w:val="24"/>
          <w:u w:val="single"/>
        </w:rPr>
        <w:t xml:space="preserve">     </w:t>
      </w:r>
      <w:r>
        <w:rPr>
          <w:rFonts w:hint="eastAsia" w:ascii="宋体" w:hAnsi="宋体" w:cs="宋体"/>
          <w:bCs/>
          <w:color w:val="auto"/>
          <w:spacing w:val="20"/>
          <w:sz w:val="24"/>
          <w:u w:val="single"/>
          <w:lang w:val="en-US" w:eastAsia="zh-CN"/>
        </w:rPr>
        <w:t xml:space="preserve">   </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rPr>
        <w:t>签订。</w:t>
      </w:r>
    </w:p>
    <w:p w14:paraId="7B26396F">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7" w:name="_Toc351203491"/>
      <w:r>
        <w:rPr>
          <w:rFonts w:hint="eastAsia" w:ascii="宋体" w:hAnsi="宋体" w:eastAsia="宋体" w:cs="宋体"/>
          <w:b/>
          <w:bCs/>
          <w:color w:val="auto"/>
          <w:spacing w:val="20"/>
          <w:sz w:val="24"/>
        </w:rPr>
        <w:t>十一、补充协议</w:t>
      </w:r>
      <w:bookmarkEnd w:id="97"/>
    </w:p>
    <w:p w14:paraId="7966A9B3">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合同未尽事宜，合同当事人另行签订补充协议，补充协议是合同的组成部分。</w:t>
      </w:r>
    </w:p>
    <w:p w14:paraId="70401B42">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8" w:name="_Toc351203492"/>
      <w:r>
        <w:rPr>
          <w:rFonts w:hint="eastAsia" w:ascii="宋体" w:hAnsi="宋体" w:eastAsia="宋体" w:cs="宋体"/>
          <w:b/>
          <w:bCs/>
          <w:color w:val="auto"/>
          <w:spacing w:val="20"/>
          <w:sz w:val="24"/>
        </w:rPr>
        <w:t>十二、合同生效</w:t>
      </w:r>
      <w:bookmarkEnd w:id="98"/>
    </w:p>
    <w:p w14:paraId="4A39D2B6">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本合同自</w:t>
      </w:r>
      <w:r>
        <w:rPr>
          <w:rFonts w:hint="eastAsia" w:ascii="宋体" w:hAnsi="宋体" w:eastAsia="宋体" w:cs="宋体"/>
          <w:bCs/>
          <w:color w:val="auto"/>
          <w:spacing w:val="20"/>
          <w:sz w:val="24"/>
          <w:u w:val="single"/>
        </w:rPr>
        <w:t xml:space="preserve">双方法定代表人或其授权代理人签字并加盖单位公章之日起 </w:t>
      </w:r>
      <w:r>
        <w:rPr>
          <w:rFonts w:hint="eastAsia" w:ascii="宋体" w:hAnsi="宋体" w:eastAsia="宋体" w:cs="宋体"/>
          <w:bCs/>
          <w:color w:val="auto"/>
          <w:spacing w:val="20"/>
          <w:sz w:val="24"/>
        </w:rPr>
        <w:t>生效。</w:t>
      </w:r>
    </w:p>
    <w:p w14:paraId="75C58D7F">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9" w:name="_Toc351203493"/>
      <w:r>
        <w:rPr>
          <w:rFonts w:hint="eastAsia" w:ascii="宋体" w:hAnsi="宋体" w:eastAsia="宋体" w:cs="宋体"/>
          <w:b/>
          <w:bCs/>
          <w:color w:val="auto"/>
          <w:spacing w:val="20"/>
          <w:sz w:val="24"/>
        </w:rPr>
        <w:t>十三、合同份数</w:t>
      </w:r>
      <w:bookmarkEnd w:id="99"/>
    </w:p>
    <w:p w14:paraId="002D97E6">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本合同一式</w:t>
      </w:r>
      <w:r>
        <w:rPr>
          <w:rFonts w:hint="eastAsia" w:ascii="宋体" w:hAnsi="宋体" w:eastAsia="宋体" w:cs="宋体"/>
          <w:bCs/>
          <w:color w:val="auto"/>
          <w:spacing w:val="20"/>
          <w:sz w:val="24"/>
          <w:u w:val="single"/>
        </w:rPr>
        <w:t xml:space="preserve"> </w:t>
      </w:r>
      <w:r>
        <w:rPr>
          <w:rFonts w:hint="eastAsia" w:ascii="宋体" w:hAnsi="宋体" w:cs="宋体"/>
          <w:bCs/>
          <w:color w:val="auto"/>
          <w:spacing w:val="20"/>
          <w:sz w:val="24"/>
          <w:u w:val="single"/>
          <w:lang w:val="en-US" w:eastAsia="zh-CN"/>
        </w:rPr>
        <w:t>肆</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rPr>
        <w:t>份，均具有同等法律效力，发包人执</w:t>
      </w:r>
      <w:r>
        <w:rPr>
          <w:rFonts w:hint="eastAsia" w:ascii="宋体" w:hAnsi="宋体" w:eastAsia="宋体" w:cs="宋体"/>
          <w:bCs/>
          <w:color w:val="auto"/>
          <w:spacing w:val="20"/>
          <w:sz w:val="24"/>
          <w:u w:val="single"/>
        </w:rPr>
        <w:t xml:space="preserve"> </w:t>
      </w:r>
      <w:r>
        <w:rPr>
          <w:rFonts w:hint="eastAsia" w:ascii="宋体" w:hAnsi="宋体" w:cs="宋体"/>
          <w:bCs/>
          <w:color w:val="auto"/>
          <w:spacing w:val="20"/>
          <w:sz w:val="24"/>
          <w:u w:val="single"/>
          <w:lang w:val="en-US" w:eastAsia="zh-CN"/>
        </w:rPr>
        <w:t>贰</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rPr>
        <w:t>份，承包人执</w:t>
      </w:r>
      <w:r>
        <w:rPr>
          <w:rFonts w:hint="eastAsia" w:ascii="宋体" w:hAnsi="宋体" w:eastAsia="宋体" w:cs="宋体"/>
          <w:bCs/>
          <w:color w:val="auto"/>
          <w:spacing w:val="20"/>
          <w:sz w:val="24"/>
          <w:u w:val="single"/>
        </w:rPr>
        <w:t xml:space="preserve"> </w:t>
      </w:r>
      <w:r>
        <w:rPr>
          <w:rFonts w:hint="eastAsia" w:ascii="宋体" w:hAnsi="宋体" w:cs="宋体"/>
          <w:bCs/>
          <w:color w:val="auto"/>
          <w:spacing w:val="20"/>
          <w:sz w:val="24"/>
          <w:u w:val="single"/>
          <w:lang w:val="en-US" w:eastAsia="zh-CN"/>
        </w:rPr>
        <w:t>贰</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rPr>
        <w:t>份。</w:t>
      </w:r>
    </w:p>
    <w:p w14:paraId="17996F69">
      <w:pPr>
        <w:pageBreakBefore w:val="0"/>
        <w:widowControl w:val="0"/>
        <w:kinsoku/>
        <w:wordWrap/>
        <w:overflowPunct/>
        <w:topLinePunct w:val="0"/>
        <w:bidi w:val="0"/>
        <w:adjustRightInd w:val="0"/>
        <w:snapToGrid w:val="0"/>
        <w:spacing w:line="380" w:lineRule="exact"/>
        <w:textAlignment w:val="auto"/>
        <w:rPr>
          <w:rFonts w:hint="eastAsia" w:ascii="宋体" w:hAnsi="宋体" w:eastAsia="宋体" w:cs="宋体"/>
          <w:color w:val="auto"/>
          <w:spacing w:val="20"/>
          <w:sz w:val="24"/>
        </w:rPr>
      </w:pPr>
      <w:bookmarkStart w:id="100" w:name="_Toc461982824"/>
      <w:bookmarkStart w:id="101" w:name="_Toc21285"/>
      <w:bookmarkStart w:id="102" w:name="_Toc16007"/>
      <w:bookmarkStart w:id="103" w:name="_Toc439779029"/>
      <w:bookmarkStart w:id="104" w:name="_Toc389065256"/>
      <w:bookmarkStart w:id="105" w:name="_Toc425437329"/>
      <w:bookmarkStart w:id="106" w:name="_Toc373478338"/>
      <w:bookmarkStart w:id="107" w:name="_Toc373227691"/>
      <w:bookmarkStart w:id="108" w:name="_Toc351203632"/>
    </w:p>
    <w:p w14:paraId="0E247150">
      <w:pPr>
        <w:pageBreakBefore w:val="0"/>
        <w:widowControl w:val="0"/>
        <w:kinsoku/>
        <w:wordWrap/>
        <w:overflowPunct/>
        <w:topLinePunct w:val="0"/>
        <w:bidi w:val="0"/>
        <w:adjustRightInd w:val="0"/>
        <w:snapToGrid w:val="0"/>
        <w:spacing w:line="380" w:lineRule="exact"/>
        <w:textAlignment w:val="auto"/>
        <w:rPr>
          <w:rFonts w:hint="eastAsia" w:ascii="宋体" w:hAnsi="宋体" w:eastAsia="宋体" w:cs="宋体"/>
          <w:color w:val="auto"/>
          <w:spacing w:val="20"/>
          <w:sz w:val="24"/>
        </w:rPr>
      </w:pPr>
    </w:p>
    <w:p w14:paraId="710CCBA7">
      <w:pPr>
        <w:pageBreakBefore w:val="0"/>
        <w:widowControl w:val="0"/>
        <w:kinsoku/>
        <w:wordWrap/>
        <w:overflowPunct/>
        <w:topLinePunct w:val="0"/>
        <w:bidi w:val="0"/>
        <w:adjustRightInd w:val="0"/>
        <w:snapToGrid w:val="0"/>
        <w:spacing w:line="380" w:lineRule="exact"/>
        <w:textAlignment w:val="auto"/>
        <w:rPr>
          <w:rFonts w:hint="eastAsia" w:ascii="宋体" w:hAnsi="宋体" w:eastAsia="宋体" w:cs="宋体"/>
          <w:color w:val="auto"/>
          <w:spacing w:val="20"/>
          <w:sz w:val="15"/>
          <w:szCs w:val="15"/>
        </w:rPr>
      </w:pPr>
      <w:r>
        <w:rPr>
          <w:rFonts w:hint="eastAsia" w:ascii="宋体" w:hAnsi="宋体" w:eastAsia="宋体" w:cs="宋体"/>
          <w:color w:val="auto"/>
          <w:spacing w:val="20"/>
          <w:sz w:val="24"/>
        </w:rPr>
        <w:t>发包人：浦北县</w:t>
      </w:r>
      <w:r>
        <w:rPr>
          <w:rFonts w:hint="eastAsia" w:ascii="宋体" w:hAnsi="宋体" w:cs="宋体"/>
          <w:color w:val="auto"/>
          <w:spacing w:val="20"/>
          <w:sz w:val="24"/>
          <w:lang w:val="en-US" w:eastAsia="zh-CN"/>
        </w:rPr>
        <w:t>小江街道办事处</w:t>
      </w:r>
      <w:r>
        <w:rPr>
          <w:rFonts w:hint="eastAsia" w:ascii="宋体" w:hAnsi="宋体" w:eastAsia="宋体" w:cs="宋体"/>
          <w:color w:val="auto"/>
          <w:spacing w:val="20"/>
          <w:sz w:val="24"/>
        </w:rPr>
        <w:t xml:space="preserve">      承包人：</w:t>
      </w:r>
    </w:p>
    <w:p w14:paraId="2B32EC33">
      <w:pPr>
        <w:pageBreakBefore w:val="0"/>
        <w:widowControl w:val="0"/>
        <w:kinsoku/>
        <w:wordWrap/>
        <w:overflowPunct/>
        <w:topLinePunct w:val="0"/>
        <w:bidi w:val="0"/>
        <w:adjustRightInd w:val="0"/>
        <w:snapToGrid w:val="0"/>
        <w:spacing w:line="380" w:lineRule="exact"/>
        <w:ind w:firstLine="1540" w:firstLineChars="550"/>
        <w:textAlignment w:val="auto"/>
        <w:rPr>
          <w:rFonts w:hint="eastAsia" w:ascii="宋体" w:hAnsi="宋体" w:eastAsia="宋体" w:cs="宋体"/>
          <w:color w:val="auto"/>
          <w:spacing w:val="20"/>
          <w:sz w:val="24"/>
        </w:rPr>
      </w:pPr>
      <w:r>
        <w:rPr>
          <w:rFonts w:hint="eastAsia" w:ascii="宋体" w:hAnsi="宋体" w:eastAsia="宋体" w:cs="宋体"/>
          <w:color w:val="auto"/>
          <w:spacing w:val="20"/>
          <w:sz w:val="24"/>
        </w:rPr>
        <w:t>（公章）                    （公章）</w:t>
      </w:r>
    </w:p>
    <w:p w14:paraId="577DBA81">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p>
    <w:p w14:paraId="5A96DE0F">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r>
        <w:rPr>
          <w:rFonts w:hint="eastAsia" w:ascii="宋体" w:hAnsi="宋体" w:eastAsia="宋体" w:cs="宋体"/>
          <w:color w:val="auto"/>
          <w:spacing w:val="20"/>
          <w:sz w:val="24"/>
        </w:rPr>
        <w:t xml:space="preserve">法定代表人：                   </w:t>
      </w:r>
      <w:r>
        <w:rPr>
          <w:rFonts w:hint="eastAsia" w:ascii="宋体" w:hAnsi="宋体" w:cs="宋体"/>
          <w:color w:val="auto"/>
          <w:spacing w:val="20"/>
          <w:sz w:val="24"/>
          <w:lang w:val="en-US" w:eastAsia="zh-CN"/>
        </w:rPr>
        <w:t xml:space="preserve"> </w:t>
      </w:r>
      <w:r>
        <w:rPr>
          <w:rFonts w:hint="eastAsia" w:ascii="宋体" w:hAnsi="宋体" w:eastAsia="宋体" w:cs="宋体"/>
          <w:color w:val="auto"/>
          <w:spacing w:val="20"/>
          <w:sz w:val="24"/>
        </w:rPr>
        <w:t>法定代表人：</w:t>
      </w:r>
    </w:p>
    <w:p w14:paraId="3DBFBDA7">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r>
        <w:rPr>
          <w:rFonts w:hint="eastAsia" w:ascii="宋体" w:hAnsi="宋体" w:eastAsia="宋体" w:cs="宋体"/>
          <w:color w:val="auto"/>
          <w:spacing w:val="20"/>
          <w:sz w:val="24"/>
        </w:rPr>
        <w:t xml:space="preserve">或其委托代理人：               </w:t>
      </w:r>
      <w:r>
        <w:rPr>
          <w:rFonts w:hint="eastAsia" w:ascii="宋体" w:hAnsi="宋体" w:cs="宋体"/>
          <w:color w:val="auto"/>
          <w:spacing w:val="20"/>
          <w:sz w:val="24"/>
          <w:lang w:val="en-US" w:eastAsia="zh-CN"/>
        </w:rPr>
        <w:t xml:space="preserve">  </w:t>
      </w:r>
      <w:r>
        <w:rPr>
          <w:rFonts w:hint="eastAsia" w:ascii="宋体" w:hAnsi="宋体" w:eastAsia="宋体" w:cs="宋体"/>
          <w:color w:val="auto"/>
          <w:spacing w:val="20"/>
          <w:sz w:val="24"/>
        </w:rPr>
        <w:t>或其委托代理人：</w:t>
      </w:r>
    </w:p>
    <w:p w14:paraId="1B8FCDB4">
      <w:pPr>
        <w:pageBreakBefore w:val="0"/>
        <w:widowControl w:val="0"/>
        <w:kinsoku/>
        <w:wordWrap/>
        <w:overflowPunct/>
        <w:topLinePunct w:val="0"/>
        <w:bidi w:val="0"/>
        <w:adjustRightInd w:val="0"/>
        <w:snapToGrid w:val="0"/>
        <w:spacing w:line="380" w:lineRule="exact"/>
        <w:textAlignment w:val="auto"/>
        <w:rPr>
          <w:rFonts w:hint="eastAsia" w:ascii="宋体" w:hAnsi="宋体" w:eastAsia="宋体" w:cs="宋体"/>
          <w:color w:val="auto"/>
          <w:spacing w:val="20"/>
          <w:sz w:val="24"/>
        </w:rPr>
      </w:pPr>
    </w:p>
    <w:p w14:paraId="3AE8F28F">
      <w:pPr>
        <w:pageBreakBefore w:val="0"/>
        <w:widowControl w:val="0"/>
        <w:kinsoku/>
        <w:wordWrap/>
        <w:overflowPunct/>
        <w:topLinePunct w:val="0"/>
        <w:bidi w:val="0"/>
        <w:adjustRightInd w:val="0"/>
        <w:snapToGrid w:val="0"/>
        <w:spacing w:line="380" w:lineRule="exact"/>
        <w:textAlignment w:val="auto"/>
        <w:rPr>
          <w:rFonts w:hint="eastAsia" w:ascii="宋体" w:hAnsi="宋体" w:eastAsia="宋体" w:cs="宋体"/>
          <w:color w:val="auto"/>
          <w:spacing w:val="20"/>
          <w:sz w:val="24"/>
        </w:rPr>
      </w:pPr>
    </w:p>
    <w:p w14:paraId="3AC3B51A">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r>
        <w:rPr>
          <w:rFonts w:hint="eastAsia" w:ascii="宋体" w:hAnsi="宋体" w:eastAsia="宋体" w:cs="宋体"/>
          <w:color w:val="auto"/>
          <w:spacing w:val="20"/>
          <w:sz w:val="24"/>
        </w:rPr>
        <w:t>地址：</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 xml:space="preserve">      地址：</w:t>
      </w:r>
      <w:r>
        <w:rPr>
          <w:rFonts w:hint="eastAsia" w:eastAsia="宋体" w:cs="Times New Roman" w:asciiTheme="minorEastAsia" w:hAnsiTheme="minorEastAsia"/>
          <w:color w:val="auto"/>
          <w:sz w:val="24"/>
          <w:u w:val="single"/>
        </w:rPr>
        <w:t xml:space="preserve">                         </w:t>
      </w:r>
    </w:p>
    <w:p w14:paraId="0981CB55">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r>
        <w:rPr>
          <w:rFonts w:hint="eastAsia" w:ascii="宋体" w:hAnsi="宋体" w:eastAsia="宋体" w:cs="宋体"/>
          <w:color w:val="auto"/>
          <w:spacing w:val="20"/>
          <w:sz w:val="24"/>
        </w:rPr>
        <w:t>邮政编码：</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 xml:space="preserve">      </w:t>
      </w:r>
      <w:r>
        <w:rPr>
          <w:rFonts w:hint="eastAsia" w:ascii="宋体" w:hAnsi="宋体" w:cs="宋体"/>
          <w:color w:val="auto"/>
          <w:spacing w:val="20"/>
          <w:sz w:val="24"/>
          <w:lang w:val="en-US" w:eastAsia="zh-CN"/>
        </w:rPr>
        <w:t xml:space="preserve"> </w:t>
      </w:r>
      <w:r>
        <w:rPr>
          <w:rFonts w:hint="eastAsia" w:ascii="宋体" w:hAnsi="宋体" w:eastAsia="宋体" w:cs="宋体"/>
          <w:color w:val="auto"/>
          <w:spacing w:val="20"/>
          <w:sz w:val="24"/>
        </w:rPr>
        <w:t>邮政编码：</w:t>
      </w:r>
      <w:r>
        <w:rPr>
          <w:rFonts w:hint="eastAsia" w:ascii="宋体" w:hAnsi="宋体" w:eastAsia="宋体" w:cs="宋体"/>
          <w:color w:val="auto"/>
          <w:spacing w:val="20"/>
          <w:sz w:val="24"/>
          <w:u w:val="single"/>
        </w:rPr>
        <w:t xml:space="preserve">              </w:t>
      </w:r>
    </w:p>
    <w:p w14:paraId="0B885682">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r>
        <w:rPr>
          <w:rFonts w:hint="eastAsia" w:ascii="宋体" w:hAnsi="宋体" w:eastAsia="宋体" w:cs="宋体"/>
          <w:color w:val="auto"/>
          <w:spacing w:val="20"/>
          <w:sz w:val="24"/>
        </w:rPr>
        <w:t>电话（传真）：</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 xml:space="preserve">    </w:t>
      </w:r>
      <w:r>
        <w:rPr>
          <w:rFonts w:hint="eastAsia" w:ascii="宋体" w:hAnsi="宋体" w:cs="宋体"/>
          <w:color w:val="auto"/>
          <w:spacing w:val="20"/>
          <w:sz w:val="24"/>
          <w:lang w:val="en-US" w:eastAsia="zh-CN"/>
        </w:rPr>
        <w:t xml:space="preserve">  </w:t>
      </w:r>
      <w:r>
        <w:rPr>
          <w:rFonts w:hint="eastAsia" w:ascii="宋体" w:hAnsi="宋体" w:eastAsia="宋体" w:cs="宋体"/>
          <w:color w:val="auto"/>
          <w:spacing w:val="20"/>
          <w:sz w:val="24"/>
        </w:rPr>
        <w:t>电话（传真）：</w:t>
      </w:r>
      <w:r>
        <w:rPr>
          <w:rFonts w:hint="eastAsia" w:ascii="宋体" w:hAnsi="宋体" w:eastAsia="宋体" w:cs="宋体"/>
          <w:color w:val="auto"/>
          <w:spacing w:val="20"/>
          <w:sz w:val="24"/>
          <w:u w:val="single"/>
        </w:rPr>
        <w:t xml:space="preserve">           </w:t>
      </w:r>
    </w:p>
    <w:p w14:paraId="0379B5F4">
      <w:pPr>
        <w:pageBreakBefore w:val="0"/>
        <w:widowControl w:val="0"/>
        <w:kinsoku/>
        <w:wordWrap/>
        <w:overflowPunct/>
        <w:topLinePunct w:val="0"/>
        <w:bidi w:val="0"/>
        <w:adjustRightInd w:val="0"/>
        <w:snapToGrid w:val="0"/>
        <w:spacing w:line="380" w:lineRule="exact"/>
        <w:ind w:left="6020" w:hanging="6020" w:hangingChars="2150"/>
        <w:textAlignment w:val="auto"/>
        <w:rPr>
          <w:rFonts w:ascii="宋体" w:hAnsi="宋体" w:eastAsia="宋体" w:cs="宋体"/>
          <w:color w:val="auto"/>
          <w:spacing w:val="20"/>
          <w:sz w:val="24"/>
        </w:rPr>
      </w:pPr>
      <w:r>
        <w:rPr>
          <w:rFonts w:hint="eastAsia" w:ascii="宋体" w:hAnsi="宋体" w:eastAsia="宋体" w:cs="宋体"/>
          <w:color w:val="auto"/>
          <w:spacing w:val="20"/>
          <w:sz w:val="24"/>
        </w:rPr>
        <w:t>开户银行：</w:t>
      </w:r>
      <w:r>
        <w:rPr>
          <w:rFonts w:hint="eastAsia" w:eastAsia="宋体" w:cs="Times New Roman" w:asciiTheme="minorEastAsia" w:hAnsiTheme="minorEastAsia"/>
          <w:color w:val="auto"/>
          <w:sz w:val="15"/>
          <w:szCs w:val="15"/>
          <w:u w:val="single"/>
        </w:rPr>
        <w:t xml:space="preserve">   </w:t>
      </w:r>
      <w:r>
        <w:rPr>
          <w:rFonts w:hint="eastAsia" w:eastAsia="宋体" w:cs="Times New Roman" w:asciiTheme="minorEastAsia" w:hAnsiTheme="minorEastAsia"/>
          <w:color w:val="auto"/>
          <w:sz w:val="24"/>
          <w:u w:val="single"/>
        </w:rPr>
        <w:t xml:space="preserve">   </w:t>
      </w:r>
      <w:r>
        <w:rPr>
          <w:rFonts w:hint="eastAsia" w:eastAsia="宋体" w:cs="Times New Roman" w:asciiTheme="minorEastAsia" w:hAnsiTheme="minorEastAsia"/>
          <w:color w:val="auto"/>
          <w:sz w:val="24"/>
          <w:u w:val="single"/>
          <w:lang w:val="en-US" w:eastAsia="zh-CN"/>
        </w:rPr>
        <w:t xml:space="preserve">                  </w:t>
      </w:r>
      <w:r>
        <w:rPr>
          <w:rFonts w:hint="eastAsia" w:ascii="宋体" w:hAnsi="宋体" w:cs="宋体"/>
          <w:color w:val="auto"/>
          <w:spacing w:val="20"/>
          <w:sz w:val="24"/>
          <w:lang w:val="en-US" w:eastAsia="zh-CN"/>
        </w:rPr>
        <w:t xml:space="preserve"> </w:t>
      </w:r>
      <w:r>
        <w:rPr>
          <w:rFonts w:hint="eastAsia" w:ascii="宋体" w:hAnsi="宋体" w:eastAsia="宋体" w:cs="宋体"/>
          <w:color w:val="auto"/>
          <w:spacing w:val="20"/>
          <w:sz w:val="24"/>
        </w:rPr>
        <w:t xml:space="preserve">     开户银行：</w:t>
      </w:r>
      <w:r>
        <w:rPr>
          <w:rFonts w:hint="eastAsia" w:eastAsia="宋体" w:cs="Times New Roman" w:asciiTheme="minorEastAsia" w:hAnsiTheme="minorEastAsia"/>
          <w:color w:val="auto"/>
          <w:sz w:val="24"/>
          <w:u w:val="single"/>
        </w:rPr>
        <w:t xml:space="preserve"> </w:t>
      </w:r>
      <w:r>
        <w:rPr>
          <w:rFonts w:hint="eastAsia" w:eastAsia="宋体" w:cs="Times New Roman" w:asciiTheme="minorEastAsia" w:hAnsiTheme="minorEastAsia"/>
          <w:color w:val="auto"/>
          <w:sz w:val="15"/>
          <w:szCs w:val="15"/>
          <w:u w:val="single"/>
        </w:rPr>
        <w:t xml:space="preserve">   </w:t>
      </w:r>
      <w:r>
        <w:rPr>
          <w:rFonts w:hint="eastAsia" w:eastAsia="宋体" w:cs="Times New Roman" w:asciiTheme="minorEastAsia" w:hAnsiTheme="minorEastAsia"/>
          <w:color w:val="auto"/>
          <w:sz w:val="24"/>
          <w:u w:val="single"/>
        </w:rPr>
        <w:t xml:space="preserve">   </w:t>
      </w:r>
      <w:r>
        <w:rPr>
          <w:rFonts w:hint="eastAsia" w:eastAsia="宋体" w:cs="Times New Roman" w:asciiTheme="minorEastAsia" w:hAnsiTheme="minorEastAsia"/>
          <w:color w:val="auto"/>
          <w:sz w:val="24"/>
          <w:u w:val="single"/>
          <w:lang w:val="en-US" w:eastAsia="zh-CN"/>
        </w:rPr>
        <w:t xml:space="preserve">           </w:t>
      </w:r>
      <w:r>
        <w:rPr>
          <w:rFonts w:hint="eastAsia" w:eastAsia="宋体" w:cs="Times New Roman" w:asciiTheme="minorEastAsia" w:hAnsiTheme="minorEastAsia"/>
          <w:color w:val="auto"/>
          <w:sz w:val="24"/>
          <w:u w:val="single"/>
        </w:rPr>
        <w:t xml:space="preserve">   </w:t>
      </w:r>
    </w:p>
    <w:p w14:paraId="2C790157">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u w:val="single"/>
        </w:rPr>
      </w:pPr>
      <w:r>
        <w:rPr>
          <w:rFonts w:hint="eastAsia" w:ascii="宋体" w:hAnsi="宋体" w:eastAsia="宋体" w:cs="宋体"/>
          <w:color w:val="auto"/>
          <w:spacing w:val="20"/>
          <w:sz w:val="24"/>
        </w:rPr>
        <w:t>账 号：</w:t>
      </w:r>
      <w:r>
        <w:rPr>
          <w:rFonts w:hint="eastAsia" w:ascii="宋体" w:hAnsi="宋体" w:eastAsia="宋体" w:cs="宋体"/>
          <w:color w:val="auto"/>
          <w:sz w:val="24"/>
          <w:u w:val="single"/>
        </w:rPr>
        <w:t xml:space="preserve"> </w:t>
      </w:r>
      <w:r>
        <w:rPr>
          <w:rFonts w:hint="eastAsia" w:asciiTheme="minorEastAsia" w:hAnsiTheme="minorEastAsia" w:eastAsiaTheme="minorEastAsia" w:cstheme="minorEastAsia"/>
          <w:color w:val="auto"/>
          <w:spacing w:val="20"/>
          <w:sz w:val="24"/>
          <w:u w:val="single"/>
        </w:rPr>
        <w:t xml:space="preserve">  </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 xml:space="preserve">     账 号：</w:t>
      </w:r>
      <w:r>
        <w:rPr>
          <w:rFonts w:hint="eastAsia" w:eastAsia="宋体" w:cs="Times New Roman" w:asciiTheme="minorEastAsia" w:hAnsiTheme="minorEastAsia"/>
          <w:color w:val="auto"/>
          <w:sz w:val="24"/>
          <w:u w:val="single"/>
        </w:rPr>
        <w:t xml:space="preserve"> </w:t>
      </w:r>
      <w:r>
        <w:rPr>
          <w:rFonts w:hint="eastAsia" w:eastAsia="宋体" w:cs="Times New Roman" w:asciiTheme="minorEastAsia" w:hAnsiTheme="minorEastAsia"/>
          <w:color w:val="auto"/>
          <w:sz w:val="24"/>
          <w:u w:val="single"/>
          <w:lang w:val="en-US" w:eastAsia="zh-CN"/>
        </w:rPr>
        <w:t xml:space="preserve">                   </w:t>
      </w:r>
      <w:r>
        <w:rPr>
          <w:rFonts w:hint="eastAsia" w:eastAsia="宋体" w:cs="Times New Roman" w:asciiTheme="minorEastAsia" w:hAnsiTheme="minorEastAsia"/>
          <w:color w:val="auto"/>
          <w:sz w:val="24"/>
          <w:u w:val="single"/>
        </w:rPr>
        <w:t xml:space="preserve">  </w:t>
      </w:r>
    </w:p>
    <w:p w14:paraId="4C9D4DD9">
      <w:pPr>
        <w:keepNext w:val="0"/>
        <w:keepLines w:val="0"/>
        <w:pageBreakBefore w:val="0"/>
        <w:widowControl w:val="0"/>
        <w:kinsoku/>
        <w:wordWrap/>
        <w:overflowPunct/>
        <w:topLinePunct w:val="0"/>
        <w:bidi w:val="0"/>
        <w:spacing w:before="340" w:after="330" w:line="380" w:lineRule="exact"/>
        <w:ind w:firstLine="642"/>
        <w:jc w:val="center"/>
        <w:textAlignment w:val="auto"/>
        <w:outlineLvl w:val="9"/>
        <w:rPr>
          <w:rFonts w:ascii="宋体" w:hAnsi="宋体" w:eastAsia="宋体" w:cs="宋体"/>
          <w:b/>
          <w:bCs/>
          <w:color w:val="auto"/>
          <w:spacing w:val="20"/>
          <w:kern w:val="44"/>
          <w:sz w:val="28"/>
          <w:szCs w:val="32"/>
          <w:lang w:val="en-US" w:eastAsia="zh-CN" w:bidi="ar-SA"/>
        </w:rPr>
      </w:pPr>
    </w:p>
    <w:p w14:paraId="39ED5B1B">
      <w:pPr>
        <w:pageBreakBefore w:val="0"/>
        <w:widowControl w:val="0"/>
        <w:kinsoku/>
        <w:wordWrap/>
        <w:overflowPunct/>
        <w:topLinePunct w:val="0"/>
        <w:bidi w:val="0"/>
        <w:spacing w:line="380" w:lineRule="exact"/>
        <w:ind w:firstLine="500"/>
        <w:textAlignment w:val="auto"/>
        <w:rPr>
          <w:rFonts w:ascii="宋体" w:hAnsi="宋体" w:eastAsia="宋体" w:cs="宋体"/>
          <w:color w:val="auto"/>
          <w:spacing w:val="20"/>
          <w:szCs w:val="32"/>
        </w:rPr>
      </w:pPr>
      <w:r>
        <w:rPr>
          <w:rFonts w:hint="eastAsia" w:ascii="宋体" w:hAnsi="宋体" w:eastAsia="宋体" w:cs="宋体"/>
          <w:color w:val="auto"/>
          <w:spacing w:val="20"/>
          <w:szCs w:val="32"/>
        </w:rPr>
        <w:br w:type="page"/>
      </w:r>
    </w:p>
    <w:p w14:paraId="68EE1545">
      <w:pPr>
        <w:keepNext w:val="0"/>
        <w:keepLines w:val="0"/>
        <w:pageBreakBefore w:val="0"/>
        <w:widowControl w:val="0"/>
        <w:kinsoku/>
        <w:wordWrap/>
        <w:overflowPunct/>
        <w:topLinePunct w:val="0"/>
        <w:bidi w:val="0"/>
        <w:spacing w:before="340" w:after="330" w:line="380" w:lineRule="exact"/>
        <w:ind w:firstLine="642"/>
        <w:jc w:val="center"/>
        <w:textAlignment w:val="auto"/>
        <w:outlineLvl w:val="0"/>
        <w:rPr>
          <w:rFonts w:ascii="宋体" w:hAnsi="宋体" w:eastAsia="宋体" w:cs="宋体"/>
          <w:b/>
          <w:bCs/>
          <w:color w:val="auto"/>
          <w:spacing w:val="20"/>
          <w:kern w:val="44"/>
          <w:sz w:val="28"/>
          <w:szCs w:val="32"/>
          <w:lang w:val="en-US" w:eastAsia="zh-CN" w:bidi="ar-SA"/>
        </w:rPr>
      </w:pPr>
      <w:r>
        <w:rPr>
          <w:rFonts w:hint="eastAsia" w:ascii="宋体" w:hAnsi="宋体" w:eastAsia="宋体" w:cs="宋体"/>
          <w:b/>
          <w:bCs/>
          <w:color w:val="auto"/>
          <w:spacing w:val="20"/>
          <w:kern w:val="44"/>
          <w:sz w:val="28"/>
          <w:szCs w:val="32"/>
          <w:lang w:val="en-US" w:eastAsia="zh-CN" w:bidi="ar-SA"/>
        </w:rPr>
        <w:t>第二部分 通用合同条款</w:t>
      </w:r>
      <w:bookmarkEnd w:id="100"/>
      <w:bookmarkEnd w:id="101"/>
      <w:bookmarkEnd w:id="102"/>
      <w:bookmarkEnd w:id="103"/>
      <w:bookmarkEnd w:id="104"/>
      <w:bookmarkEnd w:id="105"/>
    </w:p>
    <w:p w14:paraId="635EBAB6">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109" w:name="_Toc17965070"/>
      <w:bookmarkStart w:id="110" w:name="_Toc337558727"/>
      <w:bookmarkStart w:id="111" w:name="_Toc351203495"/>
      <w:bookmarkStart w:id="112" w:name="_Toc461982825"/>
      <w:bookmarkStart w:id="113" w:name="_Toc389065257"/>
      <w:bookmarkStart w:id="114" w:name="_Toc25546"/>
      <w:bookmarkStart w:id="115" w:name="_Toc1320"/>
      <w:bookmarkStart w:id="116" w:name="_Toc425437330"/>
      <w:bookmarkStart w:id="117" w:name="_Toc439779030"/>
      <w:r>
        <w:rPr>
          <w:rFonts w:ascii="Times New Roman" w:hAnsi="Times New Roman" w:eastAsia="黑体" w:cs="Times New Roman"/>
          <w:b/>
          <w:bCs/>
          <w:color w:val="auto"/>
          <w:kern w:val="2"/>
          <w:sz w:val="24"/>
          <w:szCs w:val="24"/>
          <w:highlight w:val="none"/>
          <w:lang w:val="en-US" w:eastAsia="zh-CN" w:bidi="ar-SA"/>
        </w:rPr>
        <w:t>1.</w:t>
      </w:r>
      <w:bookmarkStart w:id="118" w:name="_Toc303538976"/>
      <w:bookmarkEnd w:id="118"/>
      <w:bookmarkStart w:id="119" w:name="_Toc303538974"/>
      <w:bookmarkEnd w:id="119"/>
      <w:bookmarkStart w:id="120" w:name="_Toc303538973"/>
      <w:bookmarkEnd w:id="120"/>
      <w:bookmarkStart w:id="121" w:name="_Toc303538975"/>
      <w:bookmarkEnd w:id="121"/>
      <w:bookmarkStart w:id="122" w:name="_Toc303538972"/>
      <w:bookmarkEnd w:id="122"/>
      <w:bookmarkStart w:id="123" w:name="_Toc296346528"/>
      <w:bookmarkStart w:id="124" w:name="_Toc296503027"/>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一般约定</w:t>
      </w:r>
      <w:bookmarkEnd w:id="109"/>
      <w:bookmarkEnd w:id="110"/>
      <w:bookmarkEnd w:id="111"/>
      <w:bookmarkEnd w:id="123"/>
      <w:bookmarkEnd w:id="124"/>
    </w:p>
    <w:p w14:paraId="35498CB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25" w:name="_Toc337558728"/>
      <w:bookmarkStart w:id="126" w:name="_Toc296503028"/>
      <w:bookmarkStart w:id="127" w:name="_Toc296346529"/>
      <w:bookmarkStart w:id="128" w:name="_Toc351203496"/>
      <w:r>
        <w:rPr>
          <w:rFonts w:ascii="Times New Roman" w:hAnsi="Times New Roman" w:eastAsia="Ђˎ̥" w:cs="Times New Roman"/>
          <w:color w:val="auto"/>
          <w:kern w:val="0"/>
          <w:sz w:val="24"/>
          <w:szCs w:val="24"/>
          <w:highlight w:val="none"/>
          <w:lang w:val="en-US" w:eastAsia="zh-CN" w:bidi="ar-SA"/>
        </w:rPr>
        <w:t>1.1</w:t>
      </w:r>
      <w:r>
        <w:rPr>
          <w:rFonts w:hint="eastAsia" w:ascii="Times New Roman" w:hAnsi="Times New Roman" w:eastAsia="Ђˎ̥" w:cs="Times New Roman"/>
          <w:color w:val="auto"/>
          <w:kern w:val="0"/>
          <w:sz w:val="24"/>
          <w:szCs w:val="24"/>
          <w:highlight w:val="none"/>
          <w:lang w:val="en-US" w:eastAsia="zh-CN" w:bidi="ar-SA"/>
        </w:rPr>
        <w:t>词语定义</w:t>
      </w:r>
      <w:bookmarkEnd w:id="125"/>
      <w:bookmarkEnd w:id="126"/>
      <w:bookmarkEnd w:id="127"/>
      <w:r>
        <w:rPr>
          <w:rFonts w:hint="eastAsia" w:ascii="Times New Roman" w:hAnsi="Times New Roman" w:eastAsia="Ђˎ̥" w:cs="Times New Roman"/>
          <w:color w:val="auto"/>
          <w:kern w:val="0"/>
          <w:sz w:val="24"/>
          <w:szCs w:val="24"/>
          <w:highlight w:val="none"/>
          <w:lang w:val="en-US" w:eastAsia="zh-CN" w:bidi="ar-SA"/>
        </w:rPr>
        <w:t>与解释</w:t>
      </w:r>
      <w:bookmarkEnd w:id="128"/>
    </w:p>
    <w:p w14:paraId="2A97819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合同协议书、通用合同条款、专用合同条款中的下列词语具有本款所赋予的含义：</w:t>
      </w:r>
    </w:p>
    <w:p w14:paraId="54FA86D8">
      <w:pPr>
        <w:autoSpaceDE w:val="0"/>
        <w:autoSpaceDN w:val="0"/>
        <w:adjustRightInd w:val="0"/>
        <w:spacing w:line="360" w:lineRule="auto"/>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1.1.1 </w:t>
      </w:r>
      <w:r>
        <w:rPr>
          <w:rFonts w:hint="eastAsia" w:ascii="宋体" w:hAnsi="宋体" w:eastAsia="宋体" w:cs="Times New Roman"/>
          <w:color w:val="auto"/>
          <w:kern w:val="0"/>
          <w:sz w:val="24"/>
          <w:szCs w:val="24"/>
          <w:highlight w:val="none"/>
        </w:rPr>
        <w:t>合同</w:t>
      </w:r>
    </w:p>
    <w:p w14:paraId="01FF62D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1.1.1.1 </w:t>
      </w:r>
      <w:r>
        <w:rPr>
          <w:rFonts w:hint="eastAsia" w:ascii="宋体" w:hAnsi="宋体" w:eastAsia="宋体" w:cs="Times New Roman"/>
          <w:color w:val="auto"/>
          <w:kern w:val="0"/>
          <w:sz w:val="24"/>
          <w:szCs w:val="24"/>
          <w:highlight w:val="none"/>
        </w:rPr>
        <w:t>合同：是指根据法律规定和合同当事人约定具有约束力的文件，构成合同的文件包括合同协议书、中标通知书（如果有）、投标函及其附录（如果有）、专用合同条款</w:t>
      </w:r>
      <w:r>
        <w:rPr>
          <w:rFonts w:hint="eastAsia" w:ascii="宋体" w:hAnsi="宋体" w:eastAsia="宋体" w:cs="Times New Roman"/>
          <w:color w:val="auto"/>
          <w:sz w:val="24"/>
          <w:szCs w:val="24"/>
          <w:highlight w:val="none"/>
        </w:rPr>
        <w:t>及其附件</w:t>
      </w:r>
      <w:r>
        <w:rPr>
          <w:rFonts w:hint="eastAsia" w:ascii="宋体" w:hAnsi="宋体" w:eastAsia="宋体" w:cs="Times New Roman"/>
          <w:color w:val="auto"/>
          <w:kern w:val="0"/>
          <w:sz w:val="24"/>
          <w:szCs w:val="24"/>
          <w:highlight w:val="none"/>
        </w:rPr>
        <w:t>、通用合同条款、技术标准和要求、图纸、已标价工程量清单或预算书以及其他合同文件。</w:t>
      </w:r>
    </w:p>
    <w:p w14:paraId="2B004E6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1.1.1.2 </w:t>
      </w:r>
      <w:r>
        <w:rPr>
          <w:rFonts w:hint="eastAsia" w:ascii="宋体" w:hAnsi="宋体" w:eastAsia="宋体" w:cs="Times New Roman"/>
          <w:color w:val="auto"/>
          <w:kern w:val="0"/>
          <w:sz w:val="24"/>
          <w:szCs w:val="24"/>
          <w:highlight w:val="none"/>
        </w:rPr>
        <w:t>合同协议书：是指构成合同的由发包人和承包人共同签署的称为</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合同协议书</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的书面文件。</w:t>
      </w:r>
    </w:p>
    <w:p w14:paraId="2CB655D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1.1.1.3 </w:t>
      </w:r>
      <w:r>
        <w:rPr>
          <w:rFonts w:hint="eastAsia" w:ascii="宋体" w:hAnsi="宋体" w:eastAsia="宋体" w:cs="Times New Roman"/>
          <w:color w:val="auto"/>
          <w:kern w:val="0"/>
          <w:sz w:val="24"/>
          <w:szCs w:val="24"/>
          <w:highlight w:val="none"/>
        </w:rPr>
        <w:t>中标通知书：是指构成合同的由发包人通知承包人中标的书面文件。</w:t>
      </w:r>
    </w:p>
    <w:p w14:paraId="2469E80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1.1.1.4 </w:t>
      </w:r>
      <w:r>
        <w:rPr>
          <w:rFonts w:hint="eastAsia" w:ascii="宋体" w:hAnsi="宋体" w:eastAsia="宋体" w:cs="Times New Roman"/>
          <w:color w:val="auto"/>
          <w:kern w:val="0"/>
          <w:sz w:val="24"/>
          <w:szCs w:val="24"/>
          <w:highlight w:val="none"/>
        </w:rPr>
        <w:t>投标函：是指构成合同的由承包人填写并签署的用于投标的称为</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投标函</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的文件。</w:t>
      </w:r>
    </w:p>
    <w:p w14:paraId="15733BA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1.1.1.5 </w:t>
      </w:r>
      <w:r>
        <w:rPr>
          <w:rFonts w:hint="eastAsia" w:ascii="宋体" w:hAnsi="宋体" w:eastAsia="宋体" w:cs="Times New Roman"/>
          <w:color w:val="auto"/>
          <w:kern w:val="0"/>
          <w:sz w:val="24"/>
          <w:szCs w:val="24"/>
          <w:highlight w:val="none"/>
        </w:rPr>
        <w:t>投标函附录：是指构成合同的附在投标函后的称为</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投标函附录</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的文件。</w:t>
      </w:r>
    </w:p>
    <w:p w14:paraId="25BDF0F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1.1.1.6 </w:t>
      </w:r>
      <w:r>
        <w:rPr>
          <w:rFonts w:hint="eastAsia" w:ascii="宋体" w:hAnsi="宋体" w:eastAsia="宋体" w:cs="Times New Roman"/>
          <w:color w:val="auto"/>
          <w:kern w:val="0"/>
          <w:sz w:val="24"/>
          <w:szCs w:val="24"/>
          <w:highlight w:val="none"/>
        </w:rPr>
        <w:t>技术标准和要求：是指构成合同的施工应当遵守的或指导施工的国家、行业或地方的技术标准和要求，以及合同约定的技术标准和要求。</w:t>
      </w:r>
    </w:p>
    <w:p w14:paraId="00569FA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1.1.1.7 </w:t>
      </w:r>
      <w:r>
        <w:rPr>
          <w:rFonts w:hint="eastAsia" w:ascii="宋体" w:hAnsi="宋体" w:eastAsia="宋体" w:cs="Times New Roman"/>
          <w:color w:val="auto"/>
          <w:kern w:val="0"/>
          <w:sz w:val="24"/>
          <w:szCs w:val="24"/>
          <w:highlight w:val="none"/>
        </w:rPr>
        <w:t>图纸：是指构成合同的图纸，包括由发包人按照合同约定提供或经发包人批准的设计文件、施工图、鸟瞰图及模型等，以及在合同履行过程中形成的图纸文件。图纸应当按照法律规定审查合格。</w:t>
      </w:r>
    </w:p>
    <w:p w14:paraId="4C77E910">
      <w:pPr>
        <w:autoSpaceDE w:val="0"/>
        <w:autoSpaceDN w:val="0"/>
        <w:adjustRightInd w:val="0"/>
        <w:spacing w:line="360" w:lineRule="auto"/>
        <w:ind w:firstLine="468" w:firstLineChars="195"/>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1.1.1.8 </w:t>
      </w:r>
      <w:r>
        <w:rPr>
          <w:rFonts w:hint="eastAsia" w:ascii="宋体" w:hAnsi="宋体" w:eastAsia="宋体" w:cs="Times New Roman"/>
          <w:color w:val="auto"/>
          <w:kern w:val="0"/>
          <w:sz w:val="24"/>
          <w:szCs w:val="24"/>
          <w:highlight w:val="none"/>
        </w:rPr>
        <w:t>已标价工程量清单：是指构成合同的由承包人按照规定的格式和要求填写并标明价格的工程量清单，包括说明和表格。</w:t>
      </w:r>
    </w:p>
    <w:p w14:paraId="62258FDA">
      <w:pPr>
        <w:autoSpaceDE w:val="0"/>
        <w:autoSpaceDN w:val="0"/>
        <w:adjustRightInd w:val="0"/>
        <w:spacing w:line="360" w:lineRule="auto"/>
        <w:ind w:firstLine="468" w:firstLineChars="195"/>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1.1.1.9 </w:t>
      </w:r>
      <w:r>
        <w:rPr>
          <w:rFonts w:hint="eastAsia" w:ascii="宋体" w:hAnsi="宋体" w:eastAsia="宋体" w:cs="Times New Roman"/>
          <w:color w:val="auto"/>
          <w:kern w:val="0"/>
          <w:sz w:val="24"/>
          <w:szCs w:val="24"/>
          <w:highlight w:val="none"/>
        </w:rPr>
        <w:t>预算书：是指构成合同的由承包人按照发包人规定的格式和要求编制的工程预算文件。</w:t>
      </w:r>
    </w:p>
    <w:p w14:paraId="15C70E1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1.1.1.10 </w:t>
      </w:r>
      <w:r>
        <w:rPr>
          <w:rFonts w:hint="eastAsia" w:ascii="宋体" w:hAnsi="宋体" w:eastAsia="宋体" w:cs="Times New Roman"/>
          <w:color w:val="auto"/>
          <w:kern w:val="0"/>
          <w:sz w:val="24"/>
          <w:szCs w:val="24"/>
          <w:highlight w:val="none"/>
        </w:rPr>
        <w:t>其他合同文件：是指经合同当事人约定的与工程施工有关的具有合同约束力的文件或书面协议。合同当事人可以在专用合同条款中进行约定。</w:t>
      </w:r>
    </w:p>
    <w:p w14:paraId="26F2065F">
      <w:pPr>
        <w:autoSpaceDE w:val="0"/>
        <w:autoSpaceDN w:val="0"/>
        <w:adjustRightInd w:val="0"/>
        <w:spacing w:line="360" w:lineRule="auto"/>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1.1.2 </w:t>
      </w:r>
      <w:r>
        <w:rPr>
          <w:rFonts w:hint="eastAsia" w:ascii="宋体" w:hAnsi="宋体" w:eastAsia="宋体" w:cs="Times New Roman"/>
          <w:color w:val="auto"/>
          <w:kern w:val="0"/>
          <w:sz w:val="24"/>
          <w:szCs w:val="24"/>
          <w:highlight w:val="none"/>
        </w:rPr>
        <w:t>合同当事人及其他相关方</w:t>
      </w:r>
    </w:p>
    <w:p w14:paraId="27483D1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1.1.2.1 </w:t>
      </w:r>
      <w:r>
        <w:rPr>
          <w:rFonts w:hint="eastAsia" w:ascii="宋体" w:hAnsi="宋体" w:eastAsia="宋体" w:cs="Times New Roman"/>
          <w:color w:val="auto"/>
          <w:kern w:val="0"/>
          <w:sz w:val="24"/>
          <w:szCs w:val="24"/>
          <w:highlight w:val="none"/>
        </w:rPr>
        <w:t>合同当事人：是指发包人和（或）承包人。</w:t>
      </w:r>
    </w:p>
    <w:p w14:paraId="78014B0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1.1.2.2 </w:t>
      </w:r>
      <w:r>
        <w:rPr>
          <w:rFonts w:hint="eastAsia" w:ascii="宋体" w:hAnsi="宋体" w:eastAsia="宋体" w:cs="Times New Roman"/>
          <w:color w:val="auto"/>
          <w:kern w:val="0"/>
          <w:sz w:val="24"/>
          <w:szCs w:val="24"/>
          <w:highlight w:val="none"/>
        </w:rPr>
        <w:t>发包人：是指与承包人签订合同协议书的当事人及取得该当事人资格的合法继承人。</w:t>
      </w:r>
    </w:p>
    <w:p w14:paraId="1E1131C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1.1.2.3 </w:t>
      </w:r>
      <w:r>
        <w:rPr>
          <w:rFonts w:hint="eastAsia" w:ascii="宋体" w:hAnsi="宋体" w:eastAsia="宋体" w:cs="Times New Roman"/>
          <w:color w:val="auto"/>
          <w:kern w:val="0"/>
          <w:sz w:val="24"/>
          <w:szCs w:val="24"/>
          <w:highlight w:val="none"/>
        </w:rPr>
        <w:t>承包人：是指与发包人签订合同协议书的，具有相应工程施工承包资质的当事人及取得该当事人资格的合法继承人。</w:t>
      </w:r>
    </w:p>
    <w:p w14:paraId="774A723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1.1.2.4 </w:t>
      </w:r>
      <w:r>
        <w:rPr>
          <w:rFonts w:hint="eastAsia" w:ascii="宋体" w:hAnsi="宋体" w:eastAsia="宋体" w:cs="Times New Roman"/>
          <w:color w:val="auto"/>
          <w:kern w:val="0"/>
          <w:sz w:val="24"/>
          <w:szCs w:val="24"/>
          <w:highlight w:val="none"/>
        </w:rPr>
        <w:t>监理人：是指在专用合同条款中指明的，受发包人委托按照法律规定进行工程监督管理的法人或其他组织。</w:t>
      </w:r>
    </w:p>
    <w:p w14:paraId="1AC9A9E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1.1.2.5 </w:t>
      </w:r>
      <w:r>
        <w:rPr>
          <w:rFonts w:hint="eastAsia" w:ascii="宋体" w:hAnsi="宋体" w:eastAsia="宋体" w:cs="Times New Roman"/>
          <w:color w:val="auto"/>
          <w:kern w:val="0"/>
          <w:sz w:val="24"/>
          <w:szCs w:val="24"/>
          <w:highlight w:val="none"/>
        </w:rPr>
        <w:t>设计人：是指在专用合同条款中指明的，受发包人委托负责工程设计并具备相应工程设计资质的法人或其他组织。</w:t>
      </w:r>
    </w:p>
    <w:p w14:paraId="3F9B771C">
      <w:pPr>
        <w:spacing w:line="360" w:lineRule="auto"/>
        <w:ind w:firstLine="468" w:firstLineChars="195"/>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1.1.2.6 </w:t>
      </w:r>
      <w:r>
        <w:rPr>
          <w:rFonts w:hint="eastAsia" w:ascii="宋体" w:hAnsi="宋体" w:eastAsia="宋体" w:cs="Times New Roman"/>
          <w:color w:val="auto"/>
          <w:kern w:val="0"/>
          <w:sz w:val="24"/>
          <w:szCs w:val="24"/>
          <w:highlight w:val="none"/>
        </w:rPr>
        <w:t>分包人：</w:t>
      </w:r>
      <w:bookmarkStart w:id="129" w:name="#go5"/>
      <w:bookmarkEnd w:id="129"/>
      <w:r>
        <w:rPr>
          <w:rFonts w:hint="eastAsia" w:ascii="宋体" w:hAnsi="宋体" w:eastAsia="宋体" w:cs="Times New Roman"/>
          <w:color w:val="auto"/>
          <w:kern w:val="0"/>
          <w:sz w:val="24"/>
          <w:szCs w:val="24"/>
          <w:highlight w:val="none"/>
        </w:rPr>
        <w:t>是指按照法律规定和合同约定，分包部分工程或工作，并与承包人签订分包合同的具有相应资质的法人。</w:t>
      </w:r>
    </w:p>
    <w:p w14:paraId="7E75F4B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1.1.2.7 </w:t>
      </w:r>
      <w:r>
        <w:rPr>
          <w:rFonts w:hint="eastAsia" w:ascii="宋体" w:hAnsi="宋体" w:eastAsia="宋体" w:cs="Times New Roman"/>
          <w:color w:val="auto"/>
          <w:kern w:val="0"/>
          <w:sz w:val="24"/>
          <w:szCs w:val="24"/>
          <w:highlight w:val="none"/>
        </w:rPr>
        <w:t>发包人代表：是指由发包人任命并派驻施工现场在发包人授权范围内行使发包人权利的人。</w:t>
      </w:r>
    </w:p>
    <w:p w14:paraId="0A388D9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1.1.2.8 </w:t>
      </w:r>
      <w:r>
        <w:rPr>
          <w:rFonts w:hint="eastAsia" w:ascii="宋体" w:hAnsi="宋体" w:eastAsia="宋体" w:cs="Times New Roman"/>
          <w:color w:val="auto"/>
          <w:kern w:val="0"/>
          <w:sz w:val="24"/>
          <w:szCs w:val="24"/>
          <w:highlight w:val="none"/>
        </w:rPr>
        <w:t>项目经理：是指由承包人任命并派驻施工现场，在承包人授权范围内负责合同履行，且按照法律规定具有相应资格的项目负责人。</w:t>
      </w:r>
    </w:p>
    <w:p w14:paraId="33AD5D6E">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1.1.2.9 </w:t>
      </w:r>
      <w:r>
        <w:rPr>
          <w:rFonts w:hint="eastAsia" w:ascii="宋体" w:hAnsi="宋体" w:eastAsia="宋体" w:cs="Times New Roman"/>
          <w:color w:val="auto"/>
          <w:kern w:val="0"/>
          <w:sz w:val="24"/>
          <w:szCs w:val="24"/>
          <w:highlight w:val="none"/>
        </w:rPr>
        <w:t>总监理工程师：是指由监理人任命并派驻施工现场进行工程监理的总负责人。</w:t>
      </w:r>
    </w:p>
    <w:p w14:paraId="7EE5496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 </w:t>
      </w:r>
      <w:r>
        <w:rPr>
          <w:rFonts w:hint="eastAsia" w:ascii="宋体" w:hAnsi="宋体" w:eastAsia="宋体" w:cs="Times New Roman"/>
          <w:color w:val="auto"/>
          <w:kern w:val="0"/>
          <w:sz w:val="24"/>
          <w:szCs w:val="24"/>
          <w:highlight w:val="none"/>
        </w:rPr>
        <w:t>工程和设备</w:t>
      </w:r>
    </w:p>
    <w:p w14:paraId="77FA3709">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1.1.3.1 </w:t>
      </w:r>
      <w:r>
        <w:rPr>
          <w:rFonts w:hint="eastAsia" w:ascii="宋体" w:hAnsi="宋体" w:eastAsia="宋体" w:cs="Times New Roman"/>
          <w:color w:val="auto"/>
          <w:kern w:val="0"/>
          <w:sz w:val="24"/>
          <w:szCs w:val="24"/>
          <w:highlight w:val="none"/>
        </w:rPr>
        <w:t>工程：是指与合同协议书中工程承包范围对应的永久工程和（或）临时工程。</w:t>
      </w:r>
    </w:p>
    <w:p w14:paraId="6B5EAB9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1.1.3.2 </w:t>
      </w:r>
      <w:r>
        <w:rPr>
          <w:rFonts w:hint="eastAsia" w:ascii="宋体" w:hAnsi="宋体" w:eastAsia="宋体" w:cs="Times New Roman"/>
          <w:color w:val="auto"/>
          <w:kern w:val="0"/>
          <w:sz w:val="24"/>
          <w:szCs w:val="24"/>
          <w:highlight w:val="none"/>
        </w:rPr>
        <w:t>永久工程：是指按合同约定建造并移交给发包人的工程，包括工程设备。</w:t>
      </w:r>
    </w:p>
    <w:p w14:paraId="3E6E3C5F">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1.1.3.3 </w:t>
      </w:r>
      <w:r>
        <w:rPr>
          <w:rFonts w:hint="eastAsia" w:ascii="宋体" w:hAnsi="宋体" w:eastAsia="宋体" w:cs="Times New Roman"/>
          <w:color w:val="auto"/>
          <w:kern w:val="0"/>
          <w:sz w:val="24"/>
          <w:szCs w:val="24"/>
          <w:highlight w:val="none"/>
        </w:rPr>
        <w:t>临时工程：是指为完成合同约定的永久工程所修建的各类临时性工程，不包括施工设备。</w:t>
      </w:r>
    </w:p>
    <w:p w14:paraId="1F9C006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1.1.3.4 </w:t>
      </w:r>
      <w:r>
        <w:rPr>
          <w:rFonts w:hint="eastAsia" w:ascii="宋体" w:hAnsi="宋体" w:eastAsia="宋体" w:cs="Times New Roman"/>
          <w:color w:val="auto"/>
          <w:kern w:val="0"/>
          <w:sz w:val="24"/>
          <w:szCs w:val="24"/>
          <w:highlight w:val="none"/>
        </w:rPr>
        <w:t>单位工程：是指在合同协议书中指明的，具备独立施工条件并能形成独立使用功能的永久工程。</w:t>
      </w:r>
    </w:p>
    <w:p w14:paraId="4CFD4C3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1.1.3.5 </w:t>
      </w:r>
      <w:r>
        <w:rPr>
          <w:rFonts w:hint="eastAsia" w:ascii="宋体" w:hAnsi="宋体" w:eastAsia="宋体" w:cs="Times New Roman"/>
          <w:color w:val="auto"/>
          <w:kern w:val="0"/>
          <w:sz w:val="24"/>
          <w:szCs w:val="24"/>
          <w:highlight w:val="none"/>
        </w:rPr>
        <w:t>工程设备：是指构成永久工程的机电设备、金属结构设备、仪器及其他类似的设备和装置。</w:t>
      </w:r>
    </w:p>
    <w:p w14:paraId="04356E9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1.1.3.6 </w:t>
      </w:r>
      <w:r>
        <w:rPr>
          <w:rFonts w:hint="eastAsia" w:ascii="宋体" w:hAnsi="宋体" w:eastAsia="宋体" w:cs="Times New Roman"/>
          <w:color w:val="auto"/>
          <w:kern w:val="0"/>
          <w:sz w:val="24"/>
          <w:szCs w:val="24"/>
          <w:highlight w:val="none"/>
        </w:rPr>
        <w:t>施工设备：是指为完成合同约定的各项工作所需的设备、器具和其他物品，但不包括工程设备、临时工程和材料。</w:t>
      </w:r>
    </w:p>
    <w:p w14:paraId="1A48026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1.1.3.7 </w:t>
      </w:r>
      <w:r>
        <w:rPr>
          <w:rFonts w:hint="eastAsia" w:ascii="宋体" w:hAnsi="宋体" w:eastAsia="宋体" w:cs="Times New Roman"/>
          <w:color w:val="auto"/>
          <w:kern w:val="0"/>
          <w:sz w:val="24"/>
          <w:szCs w:val="24"/>
          <w:highlight w:val="none"/>
        </w:rPr>
        <w:t>施工现场：是指用于工程施工的场所，以及在专用合同条款中指明作为施工场所组成部分的其他场所，包括永久占地和临时占地。</w:t>
      </w:r>
    </w:p>
    <w:p w14:paraId="73789F38">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1.1.3.8</w:t>
      </w:r>
      <w:r>
        <w:rPr>
          <w:rFonts w:hint="eastAsia" w:ascii="宋体" w:hAnsi="宋体" w:eastAsia="宋体" w:cs="Times New Roman"/>
          <w:color w:val="auto"/>
          <w:kern w:val="0"/>
          <w:sz w:val="24"/>
          <w:szCs w:val="24"/>
          <w:highlight w:val="none"/>
        </w:rPr>
        <w:t>临时设施：是指为完成合同约定的各项工作所服务的临时性生产和生活设施。</w:t>
      </w:r>
    </w:p>
    <w:p w14:paraId="56573F6B">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1.1.3.9 </w:t>
      </w:r>
      <w:r>
        <w:rPr>
          <w:rFonts w:hint="eastAsia" w:ascii="宋体" w:hAnsi="宋体" w:eastAsia="宋体" w:cs="Times New Roman"/>
          <w:color w:val="auto"/>
          <w:kern w:val="0"/>
          <w:sz w:val="24"/>
          <w:szCs w:val="24"/>
          <w:highlight w:val="none"/>
        </w:rPr>
        <w:t>永久占地：是指专用合同条款中指明为实施工程需永久占用的土地。</w:t>
      </w:r>
    </w:p>
    <w:p w14:paraId="6AF62AC4">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1.1.3.10 </w:t>
      </w:r>
      <w:r>
        <w:rPr>
          <w:rFonts w:hint="eastAsia" w:ascii="宋体" w:hAnsi="宋体" w:eastAsia="宋体" w:cs="Times New Roman"/>
          <w:color w:val="auto"/>
          <w:kern w:val="0"/>
          <w:sz w:val="24"/>
          <w:szCs w:val="24"/>
          <w:highlight w:val="none"/>
        </w:rPr>
        <w:t>临时占地：是指专用合同条款中指明为实施工程需要临时占用的土地。</w:t>
      </w:r>
    </w:p>
    <w:p w14:paraId="2220190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 </w:t>
      </w:r>
      <w:r>
        <w:rPr>
          <w:rFonts w:hint="eastAsia" w:ascii="宋体" w:hAnsi="宋体" w:eastAsia="宋体" w:cs="Times New Roman"/>
          <w:color w:val="auto"/>
          <w:kern w:val="0"/>
          <w:sz w:val="24"/>
          <w:szCs w:val="24"/>
          <w:highlight w:val="none"/>
        </w:rPr>
        <w:t>日期和期限</w:t>
      </w:r>
    </w:p>
    <w:p w14:paraId="453F5C29">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1.1.4.1 </w:t>
      </w:r>
      <w:r>
        <w:rPr>
          <w:rFonts w:hint="eastAsia" w:ascii="宋体" w:hAnsi="宋体" w:eastAsia="宋体" w:cs="Times New Roman"/>
          <w:color w:val="auto"/>
          <w:kern w:val="0"/>
          <w:sz w:val="24"/>
          <w:szCs w:val="24"/>
          <w:highlight w:val="none"/>
        </w:rPr>
        <w:t>开工日期：包括计划开工日期和实际开工日期。计划开工日期是指合同协议书约定的开工日期；实际开工日期是指监理人按照第</w:t>
      </w:r>
      <w:r>
        <w:rPr>
          <w:rFonts w:ascii="宋体" w:hAnsi="宋体" w:eastAsia="宋体" w:cs="Times New Roman"/>
          <w:color w:val="auto"/>
          <w:kern w:val="0"/>
          <w:sz w:val="24"/>
          <w:szCs w:val="24"/>
          <w:highlight w:val="none"/>
        </w:rPr>
        <w:t>7.3.2</w:t>
      </w:r>
      <w:r>
        <w:rPr>
          <w:rFonts w:hint="eastAsia" w:ascii="宋体" w:hAnsi="宋体" w:eastAsia="宋体" w:cs="Times New Roman"/>
          <w:color w:val="auto"/>
          <w:kern w:val="0"/>
          <w:sz w:val="24"/>
          <w:szCs w:val="24"/>
          <w:highlight w:val="none"/>
        </w:rPr>
        <w:t>项〔开工通知〕约定发出的符合法律规定的开工通知中载明的开工日期。</w:t>
      </w:r>
    </w:p>
    <w:p w14:paraId="44C03A1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1.1.4.2 </w:t>
      </w:r>
      <w:r>
        <w:rPr>
          <w:rFonts w:hint="eastAsia" w:ascii="宋体" w:hAnsi="宋体" w:eastAsia="宋体" w:cs="Times New Roman"/>
          <w:color w:val="auto"/>
          <w:kern w:val="0"/>
          <w:sz w:val="24"/>
          <w:szCs w:val="24"/>
          <w:highlight w:val="none"/>
        </w:rPr>
        <w:t>竣工日期：包括计划竣工日期和实际竣工日期。计划竣工日期是指合同协议书约定的竣工日期；实际竣工日期按照第</w:t>
      </w:r>
      <w:r>
        <w:rPr>
          <w:rFonts w:ascii="宋体" w:hAnsi="宋体" w:eastAsia="宋体" w:cs="Times New Roman"/>
          <w:color w:val="auto"/>
          <w:kern w:val="0"/>
          <w:sz w:val="24"/>
          <w:szCs w:val="24"/>
          <w:highlight w:val="none"/>
        </w:rPr>
        <w:t>13.2.3</w:t>
      </w:r>
      <w:r>
        <w:rPr>
          <w:rFonts w:hint="eastAsia" w:ascii="宋体" w:hAnsi="宋体" w:eastAsia="宋体" w:cs="Times New Roman"/>
          <w:color w:val="auto"/>
          <w:kern w:val="0"/>
          <w:sz w:val="24"/>
          <w:szCs w:val="24"/>
          <w:highlight w:val="none"/>
        </w:rPr>
        <w:t>项〔竣工日期〕的约定确定。</w:t>
      </w:r>
      <w:r>
        <w:rPr>
          <w:rFonts w:ascii="宋体" w:hAnsi="宋体" w:eastAsia="宋体" w:cs="Times New Roman"/>
          <w:color w:val="auto"/>
          <w:kern w:val="0"/>
          <w:sz w:val="24"/>
          <w:szCs w:val="24"/>
          <w:highlight w:val="none"/>
        </w:rPr>
        <w:t xml:space="preserve"> </w:t>
      </w:r>
    </w:p>
    <w:p w14:paraId="47EA7F1B">
      <w:pPr>
        <w:spacing w:line="360" w:lineRule="auto"/>
        <w:ind w:firstLine="487" w:firstLineChars="203"/>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1.1.4.3 </w:t>
      </w:r>
      <w:r>
        <w:rPr>
          <w:rFonts w:hint="eastAsia" w:ascii="宋体" w:hAnsi="宋体" w:eastAsia="宋体" w:cs="Times New Roman"/>
          <w:color w:val="auto"/>
          <w:kern w:val="0"/>
          <w:sz w:val="24"/>
          <w:szCs w:val="24"/>
          <w:highlight w:val="none"/>
        </w:rPr>
        <w:t>工期：是指在合同协议书约定的承包人完成工程所需的期限，包括按照合同约定所作的期限变更。</w:t>
      </w:r>
    </w:p>
    <w:p w14:paraId="28E0238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1.1.4.4 </w:t>
      </w:r>
      <w:r>
        <w:rPr>
          <w:rFonts w:hint="eastAsia" w:ascii="宋体" w:hAnsi="宋体" w:eastAsia="宋体" w:cs="Times New Roman"/>
          <w:color w:val="auto"/>
          <w:kern w:val="0"/>
          <w:sz w:val="24"/>
          <w:szCs w:val="24"/>
          <w:highlight w:val="none"/>
        </w:rPr>
        <w:t>缺陷责任期：是指承包人按照合同约定承担缺陷修复义务，且发包人预留质量保证金的期限，自工程实际竣工日期起计算。</w:t>
      </w:r>
    </w:p>
    <w:p w14:paraId="0474657B">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1.1.4.5 </w:t>
      </w:r>
      <w:r>
        <w:rPr>
          <w:rFonts w:hint="eastAsia" w:ascii="宋体" w:hAnsi="宋体" w:eastAsia="宋体" w:cs="Times New Roman"/>
          <w:color w:val="auto"/>
          <w:kern w:val="0"/>
          <w:sz w:val="24"/>
          <w:szCs w:val="24"/>
          <w:highlight w:val="none"/>
        </w:rPr>
        <w:t>保修期：是指承包人按照合同约定对工程承担保修责任的期限，从工程竣工验收合格之日起计算。</w:t>
      </w:r>
    </w:p>
    <w:p w14:paraId="09398A9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1.1.4.6 </w:t>
      </w:r>
      <w:r>
        <w:rPr>
          <w:rFonts w:hint="eastAsia" w:ascii="宋体" w:hAnsi="宋体" w:eastAsia="宋体" w:cs="Times New Roman"/>
          <w:color w:val="auto"/>
          <w:kern w:val="0"/>
          <w:sz w:val="24"/>
          <w:szCs w:val="24"/>
          <w:highlight w:val="none"/>
        </w:rPr>
        <w:t>基准日期：招标发包的工程以投标截止日前</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天的日期为基准日期，直接发包的工程以合同签订日前</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天的日期为基准日期。</w:t>
      </w:r>
    </w:p>
    <w:p w14:paraId="50F0C17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1.1.4.7 </w:t>
      </w:r>
      <w:r>
        <w:rPr>
          <w:rFonts w:hint="eastAsia" w:ascii="宋体" w:hAnsi="宋体" w:eastAsia="宋体" w:cs="Times New Roman"/>
          <w:color w:val="auto"/>
          <w:kern w:val="0"/>
          <w:sz w:val="24"/>
          <w:szCs w:val="24"/>
          <w:highlight w:val="none"/>
        </w:rPr>
        <w:t>天：除特别指明外，均指日历天。合同中按天计算时间的，开始当天不计入，从次日开始计算，期限最后一天的截止时间为当天</w:t>
      </w:r>
      <w:r>
        <w:rPr>
          <w:rFonts w:ascii="宋体" w:hAnsi="宋体" w:eastAsia="宋体" w:cs="Times New Roman"/>
          <w:color w:val="auto"/>
          <w:kern w:val="0"/>
          <w:sz w:val="24"/>
          <w:szCs w:val="24"/>
          <w:highlight w:val="none"/>
        </w:rPr>
        <w:t>24:00</w:t>
      </w:r>
      <w:r>
        <w:rPr>
          <w:rFonts w:hint="eastAsia" w:ascii="宋体" w:hAnsi="宋体" w:eastAsia="宋体" w:cs="Times New Roman"/>
          <w:color w:val="auto"/>
          <w:kern w:val="0"/>
          <w:sz w:val="24"/>
          <w:szCs w:val="24"/>
          <w:highlight w:val="none"/>
        </w:rPr>
        <w:t>时。</w:t>
      </w:r>
    </w:p>
    <w:p w14:paraId="2F3ED32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 </w:t>
      </w:r>
      <w:r>
        <w:rPr>
          <w:rFonts w:hint="eastAsia" w:ascii="宋体" w:hAnsi="宋体" w:eastAsia="宋体" w:cs="Times New Roman"/>
          <w:color w:val="auto"/>
          <w:kern w:val="0"/>
          <w:sz w:val="24"/>
          <w:szCs w:val="24"/>
          <w:highlight w:val="none"/>
        </w:rPr>
        <w:t>合同价格和费用</w:t>
      </w:r>
    </w:p>
    <w:p w14:paraId="37D2F42D">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1.1.5.1 </w:t>
      </w:r>
      <w:r>
        <w:rPr>
          <w:rFonts w:hint="eastAsia" w:ascii="宋体" w:hAnsi="宋体" w:eastAsia="宋体" w:cs="Times New Roman"/>
          <w:color w:val="auto"/>
          <w:kern w:val="0"/>
          <w:sz w:val="24"/>
          <w:szCs w:val="24"/>
          <w:highlight w:val="none"/>
        </w:rPr>
        <w:t>签约合同价：是指</w:t>
      </w:r>
      <w:r>
        <w:rPr>
          <w:rFonts w:hint="eastAsia" w:ascii="宋体" w:hAnsi="宋体" w:eastAsia="宋体" w:cs="Times New Roman"/>
          <w:color w:val="auto"/>
          <w:sz w:val="24"/>
          <w:szCs w:val="24"/>
          <w:highlight w:val="none"/>
        </w:rPr>
        <w:t>发包人和承包人在合同协议书中确定的总金额，包括安全文明施工费、暂估价及暂列金额等。</w:t>
      </w:r>
    </w:p>
    <w:p w14:paraId="6A097324">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1.1.5.2 </w:t>
      </w:r>
      <w:r>
        <w:rPr>
          <w:rFonts w:hint="eastAsia" w:ascii="宋体" w:hAnsi="宋体" w:eastAsia="宋体" w:cs="Times New Roman"/>
          <w:color w:val="auto"/>
          <w:kern w:val="0"/>
          <w:sz w:val="24"/>
          <w:szCs w:val="24"/>
          <w:highlight w:val="none"/>
        </w:rPr>
        <w:t>合同价格：是指发包人用于支付承包人按照合同约定完成承包范围内全部工作的金额，包括合同履行过程中按合同约定发生的价格变化。</w:t>
      </w:r>
    </w:p>
    <w:p w14:paraId="6333795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1.1.5.3 </w:t>
      </w:r>
      <w:r>
        <w:rPr>
          <w:rFonts w:hint="eastAsia" w:ascii="宋体" w:hAnsi="宋体" w:eastAsia="宋体" w:cs="Times New Roman"/>
          <w:color w:val="auto"/>
          <w:kern w:val="0"/>
          <w:sz w:val="24"/>
          <w:szCs w:val="24"/>
          <w:highlight w:val="none"/>
        </w:rPr>
        <w:t>费用：是指为履行合同所发生的或将要发生的所有必需的开支，包括管理费和应分摊的其他费用，但不包括利润。</w:t>
      </w:r>
    </w:p>
    <w:p w14:paraId="53338BC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1.1.5.4 </w:t>
      </w:r>
      <w:r>
        <w:rPr>
          <w:rFonts w:hint="eastAsia" w:ascii="宋体" w:hAnsi="宋体" w:eastAsia="宋体" w:cs="Times New Roman"/>
          <w:color w:val="auto"/>
          <w:kern w:val="0"/>
          <w:sz w:val="24"/>
          <w:szCs w:val="24"/>
          <w:highlight w:val="none"/>
        </w:rPr>
        <w:t>暂估价：是指发包人在工程量清单或预算书中提供的用于支付必然发生但暂时不能确定价格的材料、工程设备的单价、专业工程以及服务工作的金额。</w:t>
      </w:r>
    </w:p>
    <w:p w14:paraId="7029D47E">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1.1.5.5 </w:t>
      </w:r>
      <w:r>
        <w:rPr>
          <w:rFonts w:hint="eastAsia" w:ascii="宋体" w:hAnsi="宋体" w:eastAsia="宋体" w:cs="Times New Roman"/>
          <w:color w:val="auto"/>
          <w:kern w:val="0"/>
          <w:sz w:val="24"/>
          <w:szCs w:val="24"/>
          <w:highlight w:val="none"/>
        </w:rPr>
        <w:t>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2F8A6001">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1.1.5.6 </w:t>
      </w:r>
      <w:r>
        <w:rPr>
          <w:rFonts w:hint="eastAsia" w:ascii="宋体" w:hAnsi="宋体" w:eastAsia="宋体" w:cs="Times New Roman"/>
          <w:color w:val="auto"/>
          <w:kern w:val="0"/>
          <w:sz w:val="24"/>
          <w:szCs w:val="24"/>
          <w:highlight w:val="none"/>
        </w:rPr>
        <w:t>计日工：是指合同履行过程中，承包人完成发包人提出的零星工作或需要采用计日工计价的变更工作时，按合同中约定的单价计价的一种方式。</w:t>
      </w:r>
    </w:p>
    <w:p w14:paraId="539779A0">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1.1.5.7 </w:t>
      </w:r>
      <w:r>
        <w:rPr>
          <w:rFonts w:hint="eastAsia" w:ascii="宋体" w:hAnsi="宋体" w:eastAsia="宋体" w:cs="Times New Roman"/>
          <w:color w:val="auto"/>
          <w:kern w:val="0"/>
          <w:sz w:val="24"/>
          <w:szCs w:val="24"/>
          <w:highlight w:val="none"/>
        </w:rPr>
        <w:t>质量保证金</w:t>
      </w:r>
      <w:bookmarkStart w:id="130" w:name="#go2"/>
      <w:bookmarkEnd w:id="130"/>
      <w:r>
        <w:rPr>
          <w:rFonts w:hint="eastAsia" w:ascii="宋体" w:hAnsi="宋体" w:eastAsia="宋体" w:cs="Times New Roman"/>
          <w:color w:val="auto"/>
          <w:kern w:val="0"/>
          <w:sz w:val="24"/>
          <w:szCs w:val="24"/>
          <w:highlight w:val="none"/>
        </w:rPr>
        <w:t>：是指按照第</w:t>
      </w:r>
      <w:r>
        <w:rPr>
          <w:rFonts w:ascii="宋体" w:hAnsi="宋体" w:eastAsia="宋体" w:cs="Times New Roman"/>
          <w:color w:val="auto"/>
          <w:kern w:val="0"/>
          <w:sz w:val="24"/>
          <w:szCs w:val="24"/>
          <w:highlight w:val="none"/>
        </w:rPr>
        <w:t>15.3</w:t>
      </w:r>
      <w:r>
        <w:rPr>
          <w:rFonts w:hint="eastAsia" w:ascii="宋体" w:hAnsi="宋体" w:eastAsia="宋体" w:cs="Times New Roman"/>
          <w:color w:val="auto"/>
          <w:kern w:val="0"/>
          <w:sz w:val="24"/>
          <w:szCs w:val="24"/>
          <w:highlight w:val="none"/>
        </w:rPr>
        <w:t>款〔质量保证金〕约定承包人用于保证其在缺陷责任期内履行缺陷修补义务的担保</w:t>
      </w:r>
      <w:r>
        <w:rPr>
          <w:rFonts w:hint="eastAsia" w:ascii="宋体" w:hAnsi="宋体" w:eastAsia="宋体" w:cs="Times New Roman"/>
          <w:color w:val="auto"/>
          <w:sz w:val="24"/>
          <w:szCs w:val="24"/>
          <w:highlight w:val="none"/>
        </w:rPr>
        <w:t>。</w:t>
      </w:r>
    </w:p>
    <w:p w14:paraId="5F7EA34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1.1.5.8 </w:t>
      </w:r>
      <w:r>
        <w:rPr>
          <w:rFonts w:hint="eastAsia" w:ascii="宋体" w:hAnsi="宋体" w:eastAsia="宋体" w:cs="Times New Roman"/>
          <w:color w:val="auto"/>
          <w:kern w:val="0"/>
          <w:sz w:val="24"/>
          <w:szCs w:val="24"/>
          <w:highlight w:val="none"/>
        </w:rPr>
        <w:t>总价项目：是指在现行国家、行业以及地方的计量规则中无工程量计算规则，在已标价工程量清单或预算书中以总价或以费率形式计算的项目。</w:t>
      </w:r>
    </w:p>
    <w:p w14:paraId="2ECBE0C6">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1.1.6 </w:t>
      </w:r>
      <w:r>
        <w:rPr>
          <w:rFonts w:hint="eastAsia" w:ascii="宋体" w:hAnsi="宋体" w:eastAsia="宋体" w:cs="Times New Roman"/>
          <w:color w:val="auto"/>
          <w:sz w:val="24"/>
          <w:szCs w:val="24"/>
          <w:highlight w:val="none"/>
        </w:rPr>
        <w:t>其他</w:t>
      </w:r>
    </w:p>
    <w:p w14:paraId="0043AE7A">
      <w:pPr>
        <w:spacing w:line="360" w:lineRule="auto"/>
        <w:ind w:firstLine="480" w:firstLineChars="200"/>
        <w:jc w:val="left"/>
        <w:outlineLvl w:val="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1.1.6.1 </w:t>
      </w:r>
      <w:r>
        <w:rPr>
          <w:rFonts w:hint="eastAsia" w:ascii="宋体" w:hAnsi="宋体" w:eastAsia="宋体" w:cs="Times New Roman"/>
          <w:color w:val="auto"/>
          <w:sz w:val="24"/>
          <w:szCs w:val="24"/>
          <w:highlight w:val="none"/>
        </w:rPr>
        <w:t>书面形式：是指合同文件、信函、电报、传真等可以有形地表现所载内容的形式。</w:t>
      </w:r>
    </w:p>
    <w:p w14:paraId="0220F41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31" w:name="_Toc296346530"/>
      <w:bookmarkStart w:id="132" w:name="_Toc337558729"/>
      <w:bookmarkStart w:id="133" w:name="_Toc296503029"/>
      <w:bookmarkStart w:id="134" w:name="_Toc351203497"/>
      <w:r>
        <w:rPr>
          <w:rFonts w:ascii="Times New Roman" w:hAnsi="Times New Roman" w:eastAsia="Ђˎ̥" w:cs="Times New Roman"/>
          <w:color w:val="auto"/>
          <w:kern w:val="0"/>
          <w:sz w:val="24"/>
          <w:szCs w:val="24"/>
          <w:highlight w:val="none"/>
          <w:lang w:val="en-US" w:eastAsia="zh-CN" w:bidi="ar-SA"/>
        </w:rPr>
        <w:t>1.2</w:t>
      </w:r>
      <w:r>
        <w:rPr>
          <w:rFonts w:hint="eastAsia" w:ascii="Times New Roman" w:hAnsi="Times New Roman" w:eastAsia="Ђˎ̥" w:cs="宋体"/>
          <w:color w:val="auto"/>
          <w:kern w:val="0"/>
          <w:sz w:val="24"/>
          <w:szCs w:val="24"/>
          <w:highlight w:val="none"/>
          <w:lang w:val="en-US" w:eastAsia="zh-CN" w:bidi="ar-SA"/>
        </w:rPr>
        <w:t>语言文字</w:t>
      </w:r>
      <w:bookmarkEnd w:id="131"/>
      <w:bookmarkEnd w:id="132"/>
      <w:bookmarkEnd w:id="133"/>
      <w:bookmarkEnd w:id="134"/>
    </w:p>
    <w:p w14:paraId="0EFD9C3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合同以中国的汉语简体文字编写、解释和说明。合同当事人在专用合同条款中约定使用两种以上语言时，汉语为优先解释和说明合同的语言。</w:t>
      </w:r>
    </w:p>
    <w:p w14:paraId="46620A8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35" w:name="_Toc337558730"/>
      <w:bookmarkStart w:id="136" w:name="_Toc296346531"/>
      <w:bookmarkStart w:id="137" w:name="_Toc296503030"/>
      <w:bookmarkStart w:id="138" w:name="_Toc351203498"/>
      <w:r>
        <w:rPr>
          <w:rFonts w:ascii="Times New Roman" w:hAnsi="Times New Roman" w:eastAsia="Ђˎ̥" w:cs="Times New Roman"/>
          <w:color w:val="auto"/>
          <w:kern w:val="0"/>
          <w:sz w:val="24"/>
          <w:szCs w:val="24"/>
          <w:highlight w:val="none"/>
          <w:lang w:val="en-US" w:eastAsia="zh-CN" w:bidi="ar-SA"/>
        </w:rPr>
        <w:t>1.3</w:t>
      </w:r>
      <w:r>
        <w:rPr>
          <w:rFonts w:hint="eastAsia" w:ascii="Times New Roman" w:hAnsi="Times New Roman" w:eastAsia="Ђˎ̥" w:cs="宋体"/>
          <w:color w:val="auto"/>
          <w:kern w:val="0"/>
          <w:sz w:val="24"/>
          <w:szCs w:val="24"/>
          <w:highlight w:val="none"/>
          <w:lang w:val="en-US" w:eastAsia="zh-CN" w:bidi="ar-SA"/>
        </w:rPr>
        <w:t>法律</w:t>
      </w:r>
      <w:bookmarkEnd w:id="135"/>
      <w:bookmarkEnd w:id="136"/>
      <w:bookmarkEnd w:id="137"/>
      <w:bookmarkEnd w:id="138"/>
    </w:p>
    <w:p w14:paraId="4D7B3C0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合同所称法律是指中华人民共和国法律、行政法规、部门规章，以及工程所在地的地方性法规、自治条例、单行条例和地方政府规章等。</w:t>
      </w:r>
    </w:p>
    <w:p w14:paraId="747D284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合同当事人可以在专用合同条款中约定合同适用的其他规范性文件。</w:t>
      </w:r>
    </w:p>
    <w:p w14:paraId="3E23FF3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39" w:name="_Toc351203499"/>
      <w:r>
        <w:rPr>
          <w:rFonts w:ascii="Times New Roman" w:hAnsi="Times New Roman" w:eastAsia="Ђˎ̥" w:cs="Times New Roman"/>
          <w:color w:val="auto"/>
          <w:kern w:val="0"/>
          <w:sz w:val="24"/>
          <w:szCs w:val="24"/>
          <w:highlight w:val="none"/>
          <w:lang w:val="en-US" w:eastAsia="zh-CN" w:bidi="ar-SA"/>
        </w:rPr>
        <w:t xml:space="preserve">1.4 </w:t>
      </w:r>
      <w:r>
        <w:rPr>
          <w:rFonts w:hint="eastAsia" w:ascii="Times New Roman" w:hAnsi="Times New Roman" w:eastAsia="Ђˎ̥" w:cs="宋体"/>
          <w:color w:val="auto"/>
          <w:kern w:val="0"/>
          <w:sz w:val="24"/>
          <w:szCs w:val="24"/>
          <w:highlight w:val="none"/>
          <w:lang w:val="en-US" w:eastAsia="zh-CN" w:bidi="ar-SA"/>
        </w:rPr>
        <w:t>标准和规范</w:t>
      </w:r>
      <w:bookmarkEnd w:id="139"/>
    </w:p>
    <w:p w14:paraId="2497945B">
      <w:pPr>
        <w:autoSpaceDE w:val="0"/>
        <w:autoSpaceDN w:val="0"/>
        <w:adjustRightInd w:val="0"/>
        <w:spacing w:line="360" w:lineRule="auto"/>
        <w:ind w:firstLine="64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1.4.1 </w:t>
      </w:r>
      <w:r>
        <w:rPr>
          <w:rFonts w:hint="eastAsia" w:ascii="宋体" w:hAnsi="宋体" w:eastAsia="宋体" w:cs="Times New Roman"/>
          <w:color w:val="auto"/>
          <w:kern w:val="0"/>
          <w:sz w:val="24"/>
          <w:szCs w:val="24"/>
          <w:highlight w:val="none"/>
        </w:rPr>
        <w:t>适用于工程的国家标准、行业标准、工程所在地的地方性标准，以及相应的规范、规程等，合同当事人有特别要求的，应在专用合同条款中约定。</w:t>
      </w:r>
    </w:p>
    <w:p w14:paraId="53E25BED">
      <w:pPr>
        <w:autoSpaceDE w:val="0"/>
        <w:autoSpaceDN w:val="0"/>
        <w:adjustRightInd w:val="0"/>
        <w:spacing w:line="360" w:lineRule="auto"/>
        <w:ind w:firstLine="64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1.4.2 </w:t>
      </w:r>
      <w:r>
        <w:rPr>
          <w:rFonts w:hint="eastAsia" w:ascii="宋体" w:hAnsi="宋体" w:eastAsia="宋体" w:cs="Times New Roman"/>
          <w:color w:val="auto"/>
          <w:kern w:val="0"/>
          <w:sz w:val="24"/>
          <w:szCs w:val="24"/>
          <w:highlight w:val="none"/>
        </w:rPr>
        <w:t>发包人要求使用国外标准、规范的，发包人负责提供原文版本和中文译本，并在专用合同条款中约定提供标准规范的名称、份数和时间。</w:t>
      </w:r>
    </w:p>
    <w:p w14:paraId="2AC810E4">
      <w:pPr>
        <w:autoSpaceDE w:val="0"/>
        <w:autoSpaceDN w:val="0"/>
        <w:adjustRightInd w:val="0"/>
        <w:spacing w:line="360" w:lineRule="auto"/>
        <w:ind w:firstLine="64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1.4.3 </w:t>
      </w:r>
      <w:r>
        <w:rPr>
          <w:rFonts w:hint="eastAsia" w:ascii="宋体" w:hAnsi="宋体" w:eastAsia="宋体" w:cs="Times New Roman"/>
          <w:color w:val="auto"/>
          <w:kern w:val="0"/>
          <w:sz w:val="24"/>
          <w:szCs w:val="24"/>
          <w:highlight w:val="none"/>
        </w:rPr>
        <w:t>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4E18526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40" w:name="_Toc351203500"/>
      <w:r>
        <w:rPr>
          <w:rFonts w:ascii="Times New Roman" w:hAnsi="Times New Roman" w:eastAsia="Ђˎ̥" w:cs="Times New Roman"/>
          <w:color w:val="auto"/>
          <w:kern w:val="0"/>
          <w:sz w:val="24"/>
          <w:szCs w:val="24"/>
          <w:highlight w:val="none"/>
          <w:lang w:val="en-US" w:eastAsia="zh-CN" w:bidi="ar-SA"/>
        </w:rPr>
        <w:t>1</w:t>
      </w:r>
      <w:bookmarkStart w:id="141" w:name="_Toc296346532"/>
      <w:bookmarkStart w:id="142" w:name="_Toc296503031"/>
      <w:bookmarkStart w:id="143" w:name="_Toc337558731"/>
      <w:r>
        <w:rPr>
          <w:rFonts w:ascii="Times New Roman" w:hAnsi="Times New Roman" w:eastAsia="Ђˎ̥" w:cs="Times New Roman"/>
          <w:color w:val="auto"/>
          <w:kern w:val="0"/>
          <w:sz w:val="24"/>
          <w:szCs w:val="24"/>
          <w:highlight w:val="none"/>
          <w:lang w:val="en-US" w:eastAsia="zh-CN" w:bidi="ar-SA"/>
        </w:rPr>
        <w:t xml:space="preserve">.5 </w:t>
      </w:r>
      <w:r>
        <w:rPr>
          <w:rFonts w:hint="eastAsia" w:ascii="Times New Roman" w:hAnsi="Times New Roman" w:eastAsia="Ђˎ̥" w:cs="Times New Roman"/>
          <w:color w:val="auto"/>
          <w:kern w:val="0"/>
          <w:sz w:val="24"/>
          <w:szCs w:val="24"/>
          <w:highlight w:val="none"/>
          <w:lang w:val="en-US" w:eastAsia="zh-CN" w:bidi="ar-SA"/>
        </w:rPr>
        <w:t>合同文件的优先顺序</w:t>
      </w:r>
      <w:bookmarkEnd w:id="140"/>
    </w:p>
    <w:bookmarkEnd w:id="141"/>
    <w:bookmarkEnd w:id="142"/>
    <w:bookmarkEnd w:id="143"/>
    <w:p w14:paraId="4518F0D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组成合同的各项文件应互相解释，互为说明。除专用合同条款另有约定外，解释合同文件的优先顺序如下：</w:t>
      </w:r>
    </w:p>
    <w:p w14:paraId="074E65E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）合同协议书；</w:t>
      </w:r>
    </w:p>
    <w:p w14:paraId="58AD680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）中标通知书（如果有）；</w:t>
      </w:r>
    </w:p>
    <w:p w14:paraId="497A17B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）投标函及其附录（如果有）；</w:t>
      </w:r>
    </w:p>
    <w:p w14:paraId="2CB8F26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）专用合同条款</w:t>
      </w:r>
      <w:r>
        <w:rPr>
          <w:rFonts w:hint="eastAsia" w:ascii="宋体" w:hAnsi="宋体" w:eastAsia="宋体" w:cs="Times New Roman"/>
          <w:color w:val="auto"/>
          <w:sz w:val="24"/>
          <w:szCs w:val="24"/>
          <w:highlight w:val="none"/>
        </w:rPr>
        <w:t>及其附件</w:t>
      </w:r>
      <w:r>
        <w:rPr>
          <w:rFonts w:hint="eastAsia" w:ascii="宋体" w:hAnsi="宋体" w:eastAsia="宋体" w:cs="Times New Roman"/>
          <w:color w:val="auto"/>
          <w:kern w:val="0"/>
          <w:sz w:val="24"/>
          <w:szCs w:val="24"/>
          <w:highlight w:val="none"/>
        </w:rPr>
        <w:t>；</w:t>
      </w:r>
    </w:p>
    <w:p w14:paraId="34B59F2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）通用合同条款；</w:t>
      </w:r>
    </w:p>
    <w:p w14:paraId="03A80A1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w:t>
      </w:r>
      <w:r>
        <w:rPr>
          <w:rFonts w:ascii="Times New Roman" w:hAnsi="Times New Roman" w:eastAsia="宋体" w:cs="Times New Roman"/>
          <w:color w:val="auto"/>
          <w:sz w:val="24"/>
          <w:szCs w:val="24"/>
          <w:highlight w:val="none"/>
        </w:rPr>
        <w:t>________________</w:t>
      </w:r>
      <w:r>
        <w:rPr>
          <w:rFonts w:hint="eastAsia" w:ascii="宋体" w:hAnsi="宋体" w:eastAsia="宋体" w:cs="Times New Roman"/>
          <w:color w:val="auto"/>
          <w:kern w:val="0"/>
          <w:sz w:val="24"/>
          <w:szCs w:val="24"/>
          <w:highlight w:val="none"/>
        </w:rPr>
        <w:t>；</w:t>
      </w:r>
    </w:p>
    <w:p w14:paraId="5BA041B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w:t>
      </w:r>
      <w:r>
        <w:rPr>
          <w:rFonts w:ascii="Times New Roman" w:hAnsi="Times New Roman" w:eastAsia="宋体" w:cs="Times New Roman"/>
          <w:color w:val="auto"/>
          <w:sz w:val="24"/>
          <w:szCs w:val="24"/>
          <w:highlight w:val="none"/>
        </w:rPr>
        <w:t>________________</w:t>
      </w:r>
      <w:r>
        <w:rPr>
          <w:rFonts w:hint="eastAsia" w:ascii="宋体" w:hAnsi="宋体" w:eastAsia="宋体" w:cs="Times New Roman"/>
          <w:color w:val="auto"/>
          <w:kern w:val="0"/>
          <w:sz w:val="24"/>
          <w:szCs w:val="24"/>
          <w:highlight w:val="none"/>
        </w:rPr>
        <w:t>；</w:t>
      </w:r>
    </w:p>
    <w:p w14:paraId="5627BCB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8</w:t>
      </w:r>
      <w:r>
        <w:rPr>
          <w:rFonts w:hint="eastAsia" w:ascii="宋体" w:hAnsi="宋体" w:eastAsia="宋体" w:cs="Times New Roman"/>
          <w:color w:val="auto"/>
          <w:kern w:val="0"/>
          <w:sz w:val="24"/>
          <w:szCs w:val="24"/>
          <w:highlight w:val="none"/>
        </w:rPr>
        <w:t>）</w:t>
      </w:r>
      <w:r>
        <w:rPr>
          <w:rFonts w:ascii="Times New Roman" w:hAnsi="Times New Roman" w:eastAsia="宋体" w:cs="Times New Roman"/>
          <w:color w:val="auto"/>
          <w:sz w:val="24"/>
          <w:szCs w:val="24"/>
          <w:highlight w:val="none"/>
        </w:rPr>
        <w:t>________________</w:t>
      </w:r>
      <w:r>
        <w:rPr>
          <w:rFonts w:hint="eastAsia" w:ascii="宋体" w:hAnsi="宋体" w:eastAsia="宋体" w:cs="Times New Roman"/>
          <w:color w:val="auto"/>
          <w:kern w:val="0"/>
          <w:sz w:val="24"/>
          <w:szCs w:val="24"/>
          <w:highlight w:val="none"/>
        </w:rPr>
        <w:t>；</w:t>
      </w:r>
    </w:p>
    <w:p w14:paraId="7228EFA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9</w:t>
      </w:r>
      <w:r>
        <w:rPr>
          <w:rFonts w:hint="eastAsia" w:ascii="宋体" w:hAnsi="宋体" w:eastAsia="宋体" w:cs="Times New Roman"/>
          <w:color w:val="auto"/>
          <w:kern w:val="0"/>
          <w:sz w:val="24"/>
          <w:szCs w:val="24"/>
          <w:highlight w:val="none"/>
        </w:rPr>
        <w:t>）</w:t>
      </w:r>
      <w:r>
        <w:rPr>
          <w:rFonts w:ascii="Times New Roman" w:hAnsi="Times New Roman" w:eastAsia="宋体" w:cs="Times New Roman"/>
          <w:color w:val="auto"/>
          <w:sz w:val="24"/>
          <w:szCs w:val="24"/>
          <w:highlight w:val="none"/>
        </w:rPr>
        <w:t>________________</w:t>
      </w:r>
      <w:r>
        <w:rPr>
          <w:rFonts w:hint="eastAsia" w:ascii="宋体" w:hAnsi="宋体" w:eastAsia="宋体" w:cs="Times New Roman"/>
          <w:color w:val="auto"/>
          <w:kern w:val="0"/>
          <w:sz w:val="24"/>
          <w:szCs w:val="24"/>
          <w:highlight w:val="none"/>
        </w:rPr>
        <w:t>。</w:t>
      </w:r>
    </w:p>
    <w:p w14:paraId="51A9F870">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（10）《建设工程工程量清单计价规范（GB5050-2013）》及其广西实施细则及</w:t>
      </w:r>
      <w:r>
        <w:rPr>
          <w:rFonts w:hint="eastAsia" w:ascii="宋体" w:hAnsi="宋体" w:eastAsia="宋体" w:cs="宋体"/>
          <w:color w:val="auto"/>
          <w:sz w:val="24"/>
          <w:szCs w:val="24"/>
          <w:highlight w:val="none"/>
        </w:rPr>
        <w:t>《广西壮族自治区建设关于调整除税价计算适用增值税税率的通知》(桂造价[2019]10号</w:t>
      </w:r>
      <w:r>
        <w:rPr>
          <w:rFonts w:hint="eastAsia" w:ascii="宋体" w:hAnsi="宋体" w:eastAsia="宋体" w:cs="Times New Roman"/>
          <w:color w:val="auto"/>
          <w:sz w:val="24"/>
          <w:szCs w:val="24"/>
          <w:highlight w:val="none"/>
        </w:rPr>
        <w:t>、《建设工程工程量清单计算规范（GB5854~50862-2013）》及其广西实施细则（修订本）。</w:t>
      </w:r>
    </w:p>
    <w:p w14:paraId="528636D3">
      <w:pPr>
        <w:widowControl/>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说明：（6）、（7）、（8）、（9）填空内容分别限于技术标准和要求、图纸、已标价工程量清单或预算书、其他合同文件四者之一，其优先顺序可根据采取的不同合同方式由双方约定。</w:t>
      </w:r>
    </w:p>
    <w:p w14:paraId="1E115041">
      <w:pPr>
        <w:spacing w:line="360" w:lineRule="auto"/>
        <w:ind w:firstLine="511" w:firstLineChars="213"/>
        <w:rPr>
          <w:rFonts w:ascii="宋体" w:hAnsi="宋体" w:eastAsia="宋体" w:cs="Times New Roman"/>
          <w:color w:val="auto"/>
          <w:sz w:val="24"/>
          <w:szCs w:val="24"/>
          <w:highlight w:val="none"/>
        </w:rPr>
      </w:pPr>
    </w:p>
    <w:p w14:paraId="364B2DC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44" w:name="_Toc351203501"/>
      <w:r>
        <w:rPr>
          <w:rFonts w:ascii="Times New Roman" w:hAnsi="Times New Roman" w:eastAsia="Ђˎ̥" w:cs="Times New Roman"/>
          <w:color w:val="auto"/>
          <w:kern w:val="0"/>
          <w:sz w:val="24"/>
          <w:szCs w:val="24"/>
          <w:highlight w:val="none"/>
          <w:lang w:val="en-US" w:eastAsia="zh-CN" w:bidi="ar-SA"/>
        </w:rPr>
        <w:t>1</w:t>
      </w:r>
      <w:bookmarkStart w:id="145" w:name="_Toc296346533"/>
      <w:bookmarkStart w:id="146" w:name="_Toc296503032"/>
      <w:bookmarkStart w:id="147" w:name="_Toc337558732"/>
      <w:r>
        <w:rPr>
          <w:rFonts w:ascii="Times New Roman" w:hAnsi="Times New Roman" w:eastAsia="Ђˎ̥" w:cs="Times New Roman"/>
          <w:color w:val="auto"/>
          <w:kern w:val="0"/>
          <w:sz w:val="24"/>
          <w:szCs w:val="24"/>
          <w:highlight w:val="none"/>
          <w:lang w:val="en-US" w:eastAsia="zh-CN" w:bidi="ar-SA"/>
        </w:rPr>
        <w:t>.6</w:t>
      </w:r>
      <w:r>
        <w:rPr>
          <w:rFonts w:hint="eastAsia" w:ascii="Times New Roman" w:hAnsi="Times New Roman" w:eastAsia="Ђˎ̥" w:cs="Times New Roman"/>
          <w:color w:val="auto"/>
          <w:kern w:val="0"/>
          <w:sz w:val="24"/>
          <w:szCs w:val="24"/>
          <w:highlight w:val="none"/>
          <w:lang w:val="en-US" w:eastAsia="zh-CN" w:bidi="ar-SA"/>
        </w:rPr>
        <w:t>图纸和承包人文件</w:t>
      </w:r>
      <w:bookmarkEnd w:id="144"/>
    </w:p>
    <w:bookmarkEnd w:id="145"/>
    <w:bookmarkEnd w:id="146"/>
    <w:bookmarkEnd w:id="147"/>
    <w:p w14:paraId="1D28CCD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1.6.1 </w:t>
      </w:r>
      <w:r>
        <w:rPr>
          <w:rFonts w:hint="eastAsia" w:ascii="宋体" w:hAnsi="宋体" w:eastAsia="宋体" w:cs="Times New Roman"/>
          <w:color w:val="auto"/>
          <w:kern w:val="0"/>
          <w:sz w:val="24"/>
          <w:szCs w:val="24"/>
          <w:highlight w:val="none"/>
        </w:rPr>
        <w:t>图纸的提供和交底</w:t>
      </w:r>
    </w:p>
    <w:p w14:paraId="71ACF00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发包人应按照专用合同条款约定的期限、数量和内容向承包人免费提供图纸，并组织承包人、监理人和设计人进行图纸会审和设计交底。发包人至迟不得晚于第</w:t>
      </w:r>
      <w:r>
        <w:rPr>
          <w:rFonts w:ascii="宋体" w:hAnsi="宋体" w:eastAsia="宋体" w:cs="Times New Roman"/>
          <w:color w:val="auto"/>
          <w:kern w:val="0"/>
          <w:sz w:val="24"/>
          <w:szCs w:val="24"/>
          <w:highlight w:val="none"/>
        </w:rPr>
        <w:t>7.3.2</w:t>
      </w:r>
      <w:r>
        <w:rPr>
          <w:rFonts w:hint="eastAsia" w:ascii="宋体" w:hAnsi="宋体" w:eastAsia="宋体" w:cs="Times New Roman"/>
          <w:color w:val="auto"/>
          <w:kern w:val="0"/>
          <w:sz w:val="24"/>
          <w:szCs w:val="24"/>
          <w:highlight w:val="none"/>
        </w:rPr>
        <w:t>项〔开工通知〕载明的开工日期前</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天向承包人提供图纸。</w:t>
      </w:r>
    </w:p>
    <w:p w14:paraId="6849579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因发包人未按合同约定提供图纸导致承包人费用增加和（或）工期延误的，按照第</w:t>
      </w:r>
      <w:r>
        <w:rPr>
          <w:rFonts w:ascii="宋体" w:hAnsi="宋体" w:eastAsia="宋体" w:cs="Times New Roman"/>
          <w:color w:val="auto"/>
          <w:kern w:val="0"/>
          <w:sz w:val="24"/>
          <w:szCs w:val="24"/>
          <w:highlight w:val="none"/>
        </w:rPr>
        <w:t>7.5.1</w:t>
      </w:r>
      <w:r>
        <w:rPr>
          <w:rFonts w:hint="eastAsia" w:ascii="宋体" w:hAnsi="宋体" w:eastAsia="宋体" w:cs="Times New Roman"/>
          <w:color w:val="auto"/>
          <w:kern w:val="0"/>
          <w:sz w:val="24"/>
          <w:szCs w:val="24"/>
          <w:highlight w:val="none"/>
        </w:rPr>
        <w:t>项〔因发包人原因导致工期延误〕约定办理。</w:t>
      </w:r>
    </w:p>
    <w:p w14:paraId="3EDD5D0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1.6.2 </w:t>
      </w:r>
      <w:r>
        <w:rPr>
          <w:rFonts w:hint="eastAsia" w:ascii="宋体" w:hAnsi="宋体" w:eastAsia="宋体" w:cs="Times New Roman"/>
          <w:color w:val="auto"/>
          <w:kern w:val="0"/>
          <w:sz w:val="24"/>
          <w:szCs w:val="24"/>
          <w:highlight w:val="none"/>
        </w:rPr>
        <w:t>图纸的错误</w:t>
      </w:r>
    </w:p>
    <w:p w14:paraId="6591C20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7C6B2B3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1.6.3 </w:t>
      </w:r>
      <w:r>
        <w:rPr>
          <w:rFonts w:hint="eastAsia" w:ascii="宋体" w:hAnsi="宋体" w:eastAsia="宋体" w:cs="Times New Roman"/>
          <w:color w:val="auto"/>
          <w:kern w:val="0"/>
          <w:sz w:val="24"/>
          <w:szCs w:val="24"/>
          <w:highlight w:val="none"/>
        </w:rPr>
        <w:t>图纸的修改和补充</w:t>
      </w:r>
    </w:p>
    <w:p w14:paraId="13B5FF2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010EF73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1.6.4 </w:t>
      </w:r>
      <w:r>
        <w:rPr>
          <w:rFonts w:hint="eastAsia" w:ascii="宋体" w:hAnsi="宋体" w:eastAsia="宋体" w:cs="Times New Roman"/>
          <w:color w:val="auto"/>
          <w:kern w:val="0"/>
          <w:sz w:val="24"/>
          <w:szCs w:val="24"/>
          <w:highlight w:val="none"/>
        </w:rPr>
        <w:t>承包人文件</w:t>
      </w:r>
    </w:p>
    <w:p w14:paraId="40652EF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承包人应按照专用合同条款的约定提供应当由其编制的与工程施工有关的文件，并按照专用合同条款约定的期限、数量和形式提交监理人，并由监理人报送发包人。</w:t>
      </w:r>
    </w:p>
    <w:p w14:paraId="657D8BAC">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除专用合同条款另有约定外，监理人应在收到承包人文件后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天内审查完毕，监理人对承包人文件有异议的，承包人应予以修改，并重新报送监理人。监理人的审查并不减轻或免除承包人根据合同约定应当承担的责任。</w:t>
      </w:r>
    </w:p>
    <w:p w14:paraId="11FF91C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1.6.5 </w:t>
      </w:r>
      <w:r>
        <w:rPr>
          <w:rFonts w:hint="eastAsia" w:ascii="宋体" w:hAnsi="宋体" w:eastAsia="宋体" w:cs="Times New Roman"/>
          <w:color w:val="auto"/>
          <w:kern w:val="0"/>
          <w:sz w:val="24"/>
          <w:szCs w:val="24"/>
          <w:highlight w:val="none"/>
        </w:rPr>
        <w:t>图纸和承包人文件的保管</w:t>
      </w:r>
    </w:p>
    <w:p w14:paraId="6059F7B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除专用合同条款另有约定外，承包人应在施工现场另外保存一套完整的图纸和承包人文件，供发包人、监理人及有关人员进行工程检查时使用。</w:t>
      </w:r>
    </w:p>
    <w:p w14:paraId="04483B8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48" w:name="_Toc351203502"/>
      <w:r>
        <w:rPr>
          <w:rFonts w:ascii="Times New Roman" w:hAnsi="Times New Roman" w:eastAsia="Ђˎ̥" w:cs="Times New Roman"/>
          <w:color w:val="auto"/>
          <w:kern w:val="0"/>
          <w:sz w:val="24"/>
          <w:szCs w:val="24"/>
          <w:highlight w:val="none"/>
          <w:lang w:val="en-US" w:eastAsia="zh-CN" w:bidi="ar-SA"/>
        </w:rPr>
        <w:t>1</w:t>
      </w:r>
      <w:bookmarkStart w:id="149" w:name="_Toc296503033"/>
      <w:bookmarkStart w:id="150" w:name="_Toc337558733"/>
      <w:bookmarkStart w:id="151" w:name="_Toc296346534"/>
      <w:r>
        <w:rPr>
          <w:rFonts w:ascii="Times New Roman" w:hAnsi="Times New Roman" w:eastAsia="Ђˎ̥" w:cs="Times New Roman"/>
          <w:color w:val="auto"/>
          <w:kern w:val="0"/>
          <w:sz w:val="24"/>
          <w:szCs w:val="24"/>
          <w:highlight w:val="none"/>
          <w:lang w:val="en-US" w:eastAsia="zh-CN" w:bidi="ar-SA"/>
        </w:rPr>
        <w:t>.7</w:t>
      </w:r>
      <w:r>
        <w:rPr>
          <w:rFonts w:hint="eastAsia" w:ascii="Times New Roman" w:hAnsi="Times New Roman" w:eastAsia="Ђˎ̥" w:cs="宋体"/>
          <w:color w:val="auto"/>
          <w:kern w:val="0"/>
          <w:sz w:val="24"/>
          <w:szCs w:val="24"/>
          <w:highlight w:val="none"/>
          <w:lang w:val="en-US" w:eastAsia="zh-CN" w:bidi="ar-SA"/>
        </w:rPr>
        <w:t>联络</w:t>
      </w:r>
      <w:bookmarkEnd w:id="148"/>
    </w:p>
    <w:bookmarkEnd w:id="149"/>
    <w:bookmarkEnd w:id="150"/>
    <w:bookmarkEnd w:id="151"/>
    <w:p w14:paraId="010A8A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1.7.1 </w:t>
      </w:r>
      <w:r>
        <w:rPr>
          <w:rFonts w:hint="eastAsia" w:ascii="宋体" w:hAnsi="宋体" w:eastAsia="宋体" w:cs="Times New Roman"/>
          <w:color w:val="auto"/>
          <w:kern w:val="0"/>
          <w:sz w:val="24"/>
          <w:szCs w:val="24"/>
          <w:highlight w:val="none"/>
        </w:rPr>
        <w:t>与合同有关的通知、批准、证明、证书、指示、指令、要求、请求、同意、意见、确定和决定等，均应采用书面形式，并应在合同约定的期限内送达接收人和送达地点。</w:t>
      </w:r>
    </w:p>
    <w:p w14:paraId="011182D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1.7.2 </w:t>
      </w:r>
      <w:r>
        <w:rPr>
          <w:rFonts w:hint="eastAsia" w:ascii="宋体" w:hAnsi="宋体" w:eastAsia="宋体" w:cs="Times New Roman"/>
          <w:color w:val="auto"/>
          <w:kern w:val="0"/>
          <w:sz w:val="24"/>
          <w:szCs w:val="24"/>
          <w:highlight w:val="none"/>
        </w:rPr>
        <w:t>发包人和承包人应在专用合同条款中约定各自的送达接收人和送达地点。任何一方合同当事人指定的接收人或送达地点发生变动的，应提前</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天以书面形式通知对方。</w:t>
      </w:r>
    </w:p>
    <w:p w14:paraId="4EB0082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1.7.3 </w:t>
      </w:r>
      <w:r>
        <w:rPr>
          <w:rFonts w:hint="eastAsia" w:ascii="宋体" w:hAnsi="宋体" w:eastAsia="宋体" w:cs="Times New Roman"/>
          <w:color w:val="auto"/>
          <w:kern w:val="0"/>
          <w:sz w:val="24"/>
          <w:szCs w:val="24"/>
          <w:highlight w:val="none"/>
        </w:rPr>
        <w:t>发包人和承包人应当及时签收另一方送达至送达地点和指定接收人的来往信函。拒不签收的，由此增加的费用和（或）延误的工期由拒绝接收一方承担。</w:t>
      </w:r>
    </w:p>
    <w:p w14:paraId="643F9A13">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52" w:name="_Toc351203503"/>
      <w:r>
        <w:rPr>
          <w:rFonts w:ascii="Times New Roman" w:hAnsi="Times New Roman" w:eastAsia="Ђˎ̥" w:cs="Times New Roman"/>
          <w:color w:val="auto"/>
          <w:kern w:val="0"/>
          <w:sz w:val="24"/>
          <w:szCs w:val="24"/>
          <w:highlight w:val="none"/>
          <w:lang w:val="en-US" w:eastAsia="zh-CN" w:bidi="ar-SA"/>
        </w:rPr>
        <w:t>1</w:t>
      </w:r>
      <w:bookmarkStart w:id="153" w:name="_Toc296503035"/>
      <w:bookmarkStart w:id="154" w:name="_Toc337558734"/>
      <w:bookmarkStart w:id="155" w:name="_Toc296346536"/>
      <w:r>
        <w:rPr>
          <w:rFonts w:ascii="Times New Roman" w:hAnsi="Times New Roman" w:eastAsia="Ђˎ̥" w:cs="Times New Roman"/>
          <w:color w:val="auto"/>
          <w:kern w:val="0"/>
          <w:sz w:val="24"/>
          <w:szCs w:val="24"/>
          <w:highlight w:val="none"/>
          <w:lang w:val="en-US" w:eastAsia="zh-CN" w:bidi="ar-SA"/>
        </w:rPr>
        <w:t>.8</w:t>
      </w:r>
      <w:r>
        <w:rPr>
          <w:rFonts w:hint="eastAsia" w:ascii="Times New Roman" w:hAnsi="Times New Roman" w:eastAsia="Ђˎ̥" w:cs="宋体"/>
          <w:color w:val="auto"/>
          <w:kern w:val="0"/>
          <w:sz w:val="24"/>
          <w:szCs w:val="24"/>
          <w:highlight w:val="none"/>
          <w:lang w:val="en-US" w:eastAsia="zh-CN" w:bidi="ar-SA"/>
        </w:rPr>
        <w:t>严禁贿赂</w:t>
      </w:r>
      <w:bookmarkEnd w:id="152"/>
    </w:p>
    <w:bookmarkEnd w:id="153"/>
    <w:bookmarkEnd w:id="154"/>
    <w:bookmarkEnd w:id="155"/>
    <w:p w14:paraId="24ED3E9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合同当事人不得以贿赂或变相贿赂的方式，谋取非法利益或损害对方权益。因一方合同当事人的贿赂造成对方损失的，应赔偿损失，并承担相应的法律责任。</w:t>
      </w:r>
    </w:p>
    <w:p w14:paraId="2E8BACA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50C19D8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56" w:name="_Toc351203504"/>
      <w:r>
        <w:rPr>
          <w:rFonts w:ascii="Times New Roman" w:hAnsi="Times New Roman" w:eastAsia="Ђˎ̥" w:cs="Times New Roman"/>
          <w:color w:val="auto"/>
          <w:kern w:val="0"/>
          <w:sz w:val="24"/>
          <w:szCs w:val="24"/>
          <w:highlight w:val="none"/>
          <w:lang w:val="en-US" w:eastAsia="zh-CN" w:bidi="ar-SA"/>
        </w:rPr>
        <w:t>1</w:t>
      </w:r>
      <w:bookmarkStart w:id="157" w:name="_Toc296503036"/>
      <w:bookmarkStart w:id="158" w:name="_Toc296346537"/>
      <w:bookmarkStart w:id="159" w:name="_Toc337558735"/>
      <w:r>
        <w:rPr>
          <w:rFonts w:ascii="Times New Roman" w:hAnsi="Times New Roman" w:eastAsia="Ђˎ̥" w:cs="Times New Roman"/>
          <w:color w:val="auto"/>
          <w:kern w:val="0"/>
          <w:sz w:val="24"/>
          <w:szCs w:val="24"/>
          <w:highlight w:val="none"/>
          <w:lang w:val="en-US" w:eastAsia="zh-CN" w:bidi="ar-SA"/>
        </w:rPr>
        <w:t>.9</w:t>
      </w:r>
      <w:r>
        <w:rPr>
          <w:rFonts w:hint="eastAsia" w:ascii="Times New Roman" w:hAnsi="Times New Roman" w:eastAsia="Ђˎ̥" w:cs="Times New Roman"/>
          <w:color w:val="auto"/>
          <w:kern w:val="0"/>
          <w:sz w:val="24"/>
          <w:szCs w:val="24"/>
          <w:highlight w:val="none"/>
          <w:lang w:val="en-US" w:eastAsia="zh-CN" w:bidi="ar-SA"/>
        </w:rPr>
        <w:t>化石、文物</w:t>
      </w:r>
      <w:bookmarkEnd w:id="156"/>
    </w:p>
    <w:bookmarkEnd w:id="157"/>
    <w:bookmarkEnd w:id="158"/>
    <w:bookmarkEnd w:id="159"/>
    <w:p w14:paraId="47E1487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5476D99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发包人、监理人和承包人应按有关政府行政管理部门要求采取妥善的保护措施，由此增加的费用和（或）延误的工期由发包人承担。</w:t>
      </w:r>
    </w:p>
    <w:p w14:paraId="64C2CE3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承包人发现文物后不及时报告或隐瞒不报，致使文物丢失或损坏的，应赔偿损失，并承担相应的法律责任。</w:t>
      </w:r>
    </w:p>
    <w:p w14:paraId="1AE71A1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60" w:name="_Toc351203505"/>
      <w:r>
        <w:rPr>
          <w:rFonts w:ascii="Times New Roman" w:hAnsi="Times New Roman" w:eastAsia="Ђˎ̥" w:cs="Times New Roman"/>
          <w:color w:val="auto"/>
          <w:kern w:val="0"/>
          <w:sz w:val="24"/>
          <w:szCs w:val="24"/>
          <w:highlight w:val="none"/>
          <w:lang w:val="en-US" w:eastAsia="zh-CN" w:bidi="ar-SA"/>
        </w:rPr>
        <w:t>1</w:t>
      </w:r>
      <w:bookmarkStart w:id="161" w:name="_Toc337558736"/>
      <w:r>
        <w:rPr>
          <w:rFonts w:ascii="Times New Roman" w:hAnsi="Times New Roman" w:eastAsia="Ђˎ̥" w:cs="Times New Roman"/>
          <w:color w:val="auto"/>
          <w:kern w:val="0"/>
          <w:sz w:val="24"/>
          <w:szCs w:val="24"/>
          <w:highlight w:val="none"/>
          <w:lang w:val="en-US" w:eastAsia="zh-CN" w:bidi="ar-SA"/>
        </w:rPr>
        <w:t>.10</w:t>
      </w:r>
      <w:r>
        <w:rPr>
          <w:rFonts w:hint="eastAsia" w:ascii="Times New Roman" w:hAnsi="Times New Roman" w:eastAsia="Ђˎ̥" w:cs="宋体"/>
          <w:color w:val="auto"/>
          <w:kern w:val="0"/>
          <w:sz w:val="24"/>
          <w:szCs w:val="24"/>
          <w:highlight w:val="none"/>
          <w:lang w:val="en-US" w:eastAsia="zh-CN" w:bidi="ar-SA"/>
        </w:rPr>
        <w:t>交通运输</w:t>
      </w:r>
      <w:bookmarkEnd w:id="160"/>
    </w:p>
    <w:bookmarkEnd w:id="161"/>
    <w:p w14:paraId="27C909DB">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1.10.1 </w:t>
      </w:r>
      <w:r>
        <w:rPr>
          <w:rFonts w:hint="eastAsia" w:ascii="宋体" w:hAnsi="宋体" w:eastAsia="宋体" w:cs="Times New Roman"/>
          <w:color w:val="auto"/>
          <w:kern w:val="0"/>
          <w:sz w:val="24"/>
          <w:szCs w:val="24"/>
          <w:highlight w:val="none"/>
        </w:rPr>
        <w:t>出入现场的权利</w:t>
      </w:r>
    </w:p>
    <w:p w14:paraId="380336C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3BBA2EE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074F1C9F">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1.10.2 </w:t>
      </w:r>
      <w:r>
        <w:rPr>
          <w:rFonts w:hint="eastAsia" w:ascii="宋体" w:hAnsi="宋体" w:eastAsia="宋体" w:cs="Times New Roman"/>
          <w:color w:val="auto"/>
          <w:kern w:val="0"/>
          <w:sz w:val="24"/>
          <w:szCs w:val="24"/>
          <w:highlight w:val="none"/>
        </w:rPr>
        <w:t>场外交通</w:t>
      </w:r>
    </w:p>
    <w:p w14:paraId="0B8220F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781032CC">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1.10.3</w:t>
      </w:r>
      <w:r>
        <w:rPr>
          <w:rFonts w:hint="eastAsia" w:ascii="宋体" w:hAnsi="宋体" w:eastAsia="宋体" w:cs="Times New Roman"/>
          <w:color w:val="auto"/>
          <w:kern w:val="0"/>
          <w:sz w:val="24"/>
          <w:szCs w:val="24"/>
          <w:highlight w:val="none"/>
        </w:rPr>
        <w:t>场内交通</w:t>
      </w:r>
    </w:p>
    <w:p w14:paraId="6D64D97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2C8F5B9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4CBE212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场外交通和场内交通的边界由合同当事人在专用合同条款中约定。</w:t>
      </w:r>
    </w:p>
    <w:p w14:paraId="1C398F74">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1.10.4 </w:t>
      </w:r>
      <w:r>
        <w:rPr>
          <w:rFonts w:hint="eastAsia" w:ascii="宋体" w:hAnsi="宋体" w:eastAsia="宋体" w:cs="Times New Roman"/>
          <w:color w:val="auto"/>
          <w:kern w:val="0"/>
          <w:sz w:val="24"/>
          <w:szCs w:val="24"/>
          <w:highlight w:val="none"/>
        </w:rPr>
        <w:t>超大件和超重件的运输</w:t>
      </w:r>
    </w:p>
    <w:p w14:paraId="2E2923C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5065BD7A">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1.10.5 </w:t>
      </w:r>
      <w:r>
        <w:rPr>
          <w:rFonts w:hint="eastAsia" w:ascii="宋体" w:hAnsi="宋体" w:eastAsia="宋体" w:cs="Times New Roman"/>
          <w:color w:val="auto"/>
          <w:kern w:val="0"/>
          <w:sz w:val="24"/>
          <w:szCs w:val="24"/>
          <w:highlight w:val="none"/>
        </w:rPr>
        <w:t>道路和桥梁的损坏责任</w:t>
      </w:r>
    </w:p>
    <w:p w14:paraId="2C2E916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因承包人运输造成施工场地内外公共道路和桥梁损坏的，由承包人承担修复损坏的全部费用和可能引起的赔偿。</w:t>
      </w:r>
    </w:p>
    <w:p w14:paraId="0DFEFF45">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1.10.6 </w:t>
      </w:r>
      <w:r>
        <w:rPr>
          <w:rFonts w:hint="eastAsia" w:ascii="宋体" w:hAnsi="宋体" w:eastAsia="宋体" w:cs="Times New Roman"/>
          <w:color w:val="auto"/>
          <w:kern w:val="0"/>
          <w:sz w:val="24"/>
          <w:szCs w:val="24"/>
          <w:highlight w:val="none"/>
        </w:rPr>
        <w:t>水路和航空运输</w:t>
      </w:r>
    </w:p>
    <w:p w14:paraId="33621DB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本款前述各项的内容适用于水路运输和航空运输，其中</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道路</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一词的涵义包括河道、航线、船闸、机场、码头、堤防以及水路或航空运输中其他相似结构物；</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车辆</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一词的涵义包括船舶和飞机等。</w:t>
      </w:r>
    </w:p>
    <w:p w14:paraId="0D3235F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62" w:name="_Toc351203506"/>
      <w:r>
        <w:rPr>
          <w:rFonts w:ascii="Times New Roman" w:hAnsi="Times New Roman" w:eastAsia="Ђˎ̥" w:cs="Times New Roman"/>
          <w:color w:val="auto"/>
          <w:kern w:val="0"/>
          <w:sz w:val="24"/>
          <w:szCs w:val="24"/>
          <w:highlight w:val="none"/>
          <w:lang w:val="en-US" w:eastAsia="zh-CN" w:bidi="ar-SA"/>
        </w:rPr>
        <w:t>1</w:t>
      </w:r>
      <w:bookmarkStart w:id="163" w:name="_Toc337558737"/>
      <w:bookmarkStart w:id="164" w:name="_Toc296346538"/>
      <w:bookmarkStart w:id="165" w:name="_Toc296503037"/>
      <w:r>
        <w:rPr>
          <w:rFonts w:ascii="Times New Roman" w:hAnsi="Times New Roman" w:eastAsia="Ђˎ̥" w:cs="Times New Roman"/>
          <w:color w:val="auto"/>
          <w:kern w:val="0"/>
          <w:sz w:val="24"/>
          <w:szCs w:val="24"/>
          <w:highlight w:val="none"/>
          <w:lang w:val="en-US" w:eastAsia="zh-CN" w:bidi="ar-SA"/>
        </w:rPr>
        <w:t>.11</w:t>
      </w:r>
      <w:r>
        <w:rPr>
          <w:rFonts w:hint="eastAsia" w:ascii="Times New Roman" w:hAnsi="Times New Roman" w:eastAsia="Ђˎ̥" w:cs="宋体"/>
          <w:color w:val="auto"/>
          <w:kern w:val="0"/>
          <w:sz w:val="24"/>
          <w:szCs w:val="24"/>
          <w:highlight w:val="none"/>
          <w:lang w:val="en-US" w:eastAsia="zh-CN" w:bidi="ar-SA"/>
        </w:rPr>
        <w:t>知识产权</w:t>
      </w:r>
      <w:bookmarkEnd w:id="162"/>
      <w:r>
        <w:rPr>
          <w:rFonts w:ascii="Times New Roman" w:hAnsi="Times New Roman" w:eastAsia="Ђˎ̥" w:cs="Times New Roman"/>
          <w:color w:val="auto"/>
          <w:kern w:val="0"/>
          <w:sz w:val="24"/>
          <w:szCs w:val="24"/>
          <w:highlight w:val="none"/>
          <w:lang w:val="en-US" w:eastAsia="zh-CN" w:bidi="ar-SA"/>
        </w:rPr>
        <w:t xml:space="preserve"> </w:t>
      </w:r>
      <w:bookmarkEnd w:id="163"/>
    </w:p>
    <w:bookmarkEnd w:id="164"/>
    <w:bookmarkEnd w:id="165"/>
    <w:p w14:paraId="52E91D6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1.11.1 </w:t>
      </w:r>
      <w:r>
        <w:rPr>
          <w:rFonts w:hint="eastAsia" w:ascii="宋体" w:hAnsi="宋体" w:eastAsia="宋体" w:cs="Times New Roman"/>
          <w:color w:val="auto"/>
          <w:kern w:val="0"/>
          <w:sz w:val="24"/>
          <w:szCs w:val="24"/>
          <w:highlight w:val="none"/>
        </w:rPr>
        <w:t>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47DCBE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1.11.2 </w:t>
      </w:r>
      <w:r>
        <w:rPr>
          <w:rFonts w:hint="eastAsia" w:ascii="宋体" w:hAnsi="宋体" w:eastAsia="宋体" w:cs="Times New Roman"/>
          <w:color w:val="auto"/>
          <w:kern w:val="0"/>
          <w:sz w:val="24"/>
          <w:szCs w:val="24"/>
          <w:highlight w:val="none"/>
        </w:rPr>
        <w:t>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07EFC03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1.11.3 </w:t>
      </w:r>
      <w:r>
        <w:rPr>
          <w:rFonts w:hint="eastAsia" w:ascii="宋体" w:hAnsi="宋体" w:eastAsia="宋体" w:cs="Times New Roman"/>
          <w:color w:val="auto"/>
          <w:kern w:val="0"/>
          <w:sz w:val="24"/>
          <w:szCs w:val="24"/>
          <w:highlight w:val="none"/>
        </w:rPr>
        <w:t>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4D343294">
      <w:pPr>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    </w:t>
      </w:r>
      <w:r>
        <w:rPr>
          <w:rFonts w:ascii="宋体" w:hAnsi="宋体" w:eastAsia="宋体" w:cs="Times New Roman"/>
          <w:color w:val="auto"/>
          <w:sz w:val="24"/>
          <w:szCs w:val="24"/>
          <w:highlight w:val="none"/>
        </w:rPr>
        <w:t xml:space="preserve">1.11.4 </w:t>
      </w:r>
      <w:r>
        <w:rPr>
          <w:rFonts w:hint="eastAsia" w:ascii="宋体" w:hAnsi="宋体" w:eastAsia="宋体" w:cs="Times New Roman"/>
          <w:color w:val="auto"/>
          <w:sz w:val="24"/>
          <w:szCs w:val="24"/>
          <w:highlight w:val="none"/>
        </w:rPr>
        <w:t>除专用合同条款另有约定外，承包人在合同签订前和签订时已确定采用的专利、专有技术、技术秘密的使用费已包含在签约合同价中。</w:t>
      </w:r>
    </w:p>
    <w:p w14:paraId="51D1AE9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66" w:name="_Toc351203507"/>
      <w:r>
        <w:rPr>
          <w:rFonts w:ascii="Times New Roman" w:hAnsi="Times New Roman" w:eastAsia="Ђˎ̥" w:cs="Times New Roman"/>
          <w:color w:val="auto"/>
          <w:kern w:val="0"/>
          <w:sz w:val="24"/>
          <w:szCs w:val="24"/>
          <w:highlight w:val="none"/>
          <w:lang w:val="en-US" w:eastAsia="zh-CN" w:bidi="ar-SA"/>
        </w:rPr>
        <w:t>1</w:t>
      </w:r>
      <w:bookmarkStart w:id="167" w:name="_Toc337558738"/>
      <w:r>
        <w:rPr>
          <w:rFonts w:ascii="Times New Roman" w:hAnsi="Times New Roman" w:eastAsia="Ђˎ̥" w:cs="Times New Roman"/>
          <w:color w:val="auto"/>
          <w:kern w:val="0"/>
          <w:sz w:val="24"/>
          <w:szCs w:val="24"/>
          <w:highlight w:val="none"/>
          <w:lang w:val="en-US" w:eastAsia="zh-CN" w:bidi="ar-SA"/>
        </w:rPr>
        <w:t>.12</w:t>
      </w:r>
      <w:r>
        <w:rPr>
          <w:rFonts w:hint="eastAsia" w:ascii="Times New Roman" w:hAnsi="Times New Roman" w:eastAsia="Ђˎ̥" w:cs="宋体"/>
          <w:color w:val="auto"/>
          <w:kern w:val="0"/>
          <w:sz w:val="24"/>
          <w:szCs w:val="24"/>
          <w:highlight w:val="none"/>
          <w:lang w:val="en-US" w:eastAsia="zh-CN" w:bidi="ar-SA"/>
        </w:rPr>
        <w:t>保密</w:t>
      </w:r>
      <w:bookmarkEnd w:id="166"/>
    </w:p>
    <w:bookmarkEnd w:id="167"/>
    <w:p w14:paraId="73D4C4B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除法律规定或合同另有约定外，未经发包人同意，承包人不得将发包人提供的图纸、文件以及声明需要保密的资料信息等商业秘密泄露给第三方。</w:t>
      </w:r>
    </w:p>
    <w:p w14:paraId="5C4B91E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除法律规定或合同另有约定外，未经承包人同意，发包人不得将承包人提供的技术秘密及声明需要保密的资料信息等商业秘密泄露给第三方。</w:t>
      </w:r>
    </w:p>
    <w:p w14:paraId="72EBDE2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68" w:name="_Toc351203508"/>
      <w:r>
        <w:rPr>
          <w:rFonts w:ascii="Times New Roman" w:hAnsi="Times New Roman" w:eastAsia="Ђˎ̥" w:cs="Times New Roman"/>
          <w:color w:val="auto"/>
          <w:kern w:val="0"/>
          <w:sz w:val="24"/>
          <w:szCs w:val="24"/>
          <w:highlight w:val="none"/>
          <w:lang w:val="en-US" w:eastAsia="zh-CN" w:bidi="ar-SA"/>
        </w:rPr>
        <w:t>1.13</w:t>
      </w:r>
      <w:r>
        <w:rPr>
          <w:rFonts w:hint="eastAsia" w:ascii="Times New Roman" w:hAnsi="Times New Roman" w:eastAsia="Ђˎ̥" w:cs="Times New Roman"/>
          <w:color w:val="auto"/>
          <w:kern w:val="0"/>
          <w:sz w:val="24"/>
          <w:szCs w:val="24"/>
          <w:highlight w:val="none"/>
          <w:lang w:val="en-US" w:eastAsia="zh-CN" w:bidi="ar-SA"/>
        </w:rPr>
        <w:t>工程量清单错误的修正</w:t>
      </w:r>
      <w:bookmarkEnd w:id="168"/>
    </w:p>
    <w:p w14:paraId="463B775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除专用合同条款另有约定外，发包人提供的工程量清单，应被认为是准确的和完整的。出现下列情形之一时，发包人应予以修正，并相应调整合同价格：</w:t>
      </w:r>
    </w:p>
    <w:p w14:paraId="660F226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）工程量清单存在缺项、漏项的；</w:t>
      </w:r>
    </w:p>
    <w:p w14:paraId="7F07856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）工程量清单偏差超出专用合同条款约定的工程量偏差范围的；</w:t>
      </w:r>
    </w:p>
    <w:p w14:paraId="17F1E09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）未按照国家现行计量规范强制性规定计量的。</w:t>
      </w:r>
    </w:p>
    <w:p w14:paraId="656F81E7">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169" w:name="_Toc17965071"/>
      <w:bookmarkStart w:id="170" w:name="_Toc351203509"/>
      <w:r>
        <w:rPr>
          <w:rFonts w:ascii="Times New Roman" w:hAnsi="Times New Roman" w:eastAsia="黑体" w:cs="Times New Roman"/>
          <w:b/>
          <w:bCs/>
          <w:color w:val="auto"/>
          <w:kern w:val="2"/>
          <w:sz w:val="24"/>
          <w:szCs w:val="24"/>
          <w:highlight w:val="none"/>
          <w:lang w:val="en-US" w:eastAsia="zh-CN" w:bidi="ar-SA"/>
        </w:rPr>
        <w:t>2</w:t>
      </w:r>
      <w:bookmarkStart w:id="171" w:name="_Toc296346539"/>
      <w:bookmarkStart w:id="172" w:name="_Toc296503038"/>
      <w:bookmarkStart w:id="173" w:name="_Toc337558739"/>
      <w:bookmarkStart w:id="174" w:name="OLE_LINK2"/>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发包人</w:t>
      </w:r>
      <w:bookmarkEnd w:id="169"/>
      <w:bookmarkEnd w:id="170"/>
    </w:p>
    <w:bookmarkEnd w:id="171"/>
    <w:bookmarkEnd w:id="172"/>
    <w:bookmarkEnd w:id="173"/>
    <w:p w14:paraId="4592221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75" w:name="_Toc351203510"/>
      <w:r>
        <w:rPr>
          <w:rFonts w:ascii="Times New Roman" w:hAnsi="Times New Roman" w:eastAsia="Ђˎ̥" w:cs="Times New Roman"/>
          <w:color w:val="auto"/>
          <w:kern w:val="0"/>
          <w:sz w:val="24"/>
          <w:szCs w:val="24"/>
          <w:highlight w:val="none"/>
          <w:lang w:val="en-US" w:eastAsia="zh-CN" w:bidi="ar-SA"/>
        </w:rPr>
        <w:t>2</w:t>
      </w:r>
      <w:bookmarkStart w:id="176" w:name="_Toc337558740"/>
      <w:bookmarkStart w:id="177" w:name="_Toc296346540"/>
      <w:bookmarkStart w:id="178" w:name="_Toc296503039"/>
      <w:r>
        <w:rPr>
          <w:rFonts w:ascii="Times New Roman" w:hAnsi="Times New Roman" w:eastAsia="Ђˎ̥" w:cs="Times New Roman"/>
          <w:color w:val="auto"/>
          <w:kern w:val="0"/>
          <w:sz w:val="24"/>
          <w:szCs w:val="24"/>
          <w:highlight w:val="none"/>
          <w:lang w:val="en-US" w:eastAsia="zh-CN" w:bidi="ar-SA"/>
        </w:rPr>
        <w:t xml:space="preserve">.1 </w:t>
      </w:r>
      <w:r>
        <w:rPr>
          <w:rFonts w:hint="eastAsia" w:ascii="Times New Roman" w:hAnsi="Times New Roman" w:eastAsia="Ђˎ̥" w:cs="宋体"/>
          <w:color w:val="auto"/>
          <w:kern w:val="0"/>
          <w:sz w:val="24"/>
          <w:szCs w:val="24"/>
          <w:highlight w:val="none"/>
          <w:lang w:val="en-US" w:eastAsia="zh-CN" w:bidi="ar-SA"/>
        </w:rPr>
        <w:t>许可或批准</w:t>
      </w:r>
      <w:bookmarkEnd w:id="175"/>
    </w:p>
    <w:p w14:paraId="26CDB1E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5075D97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因发包人原因未能及时办理完毕前述许可、批准或备案，由发包人承担由此增加的费用和（或）延误的工期，并支付承包人合理的利润。</w:t>
      </w:r>
    </w:p>
    <w:p w14:paraId="651FF01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79" w:name="_Toc351203511"/>
      <w:r>
        <w:rPr>
          <w:rFonts w:ascii="Times New Roman" w:hAnsi="Times New Roman" w:eastAsia="Ђˎ̥" w:cs="Times New Roman"/>
          <w:color w:val="auto"/>
          <w:kern w:val="0"/>
          <w:sz w:val="24"/>
          <w:szCs w:val="24"/>
          <w:highlight w:val="none"/>
          <w:lang w:val="en-US" w:eastAsia="zh-CN" w:bidi="ar-SA"/>
        </w:rPr>
        <w:t xml:space="preserve">2.2 </w:t>
      </w:r>
      <w:r>
        <w:rPr>
          <w:rFonts w:hint="eastAsia" w:ascii="Times New Roman" w:hAnsi="Times New Roman" w:eastAsia="Ђˎ̥" w:cs="宋体"/>
          <w:color w:val="auto"/>
          <w:kern w:val="0"/>
          <w:sz w:val="24"/>
          <w:szCs w:val="24"/>
          <w:highlight w:val="none"/>
          <w:lang w:val="en-US" w:eastAsia="zh-CN" w:bidi="ar-SA"/>
        </w:rPr>
        <w:t>发包人代表</w:t>
      </w:r>
      <w:bookmarkEnd w:id="179"/>
    </w:p>
    <w:p w14:paraId="0CEFCAA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天书面通知承包人。</w:t>
      </w:r>
    </w:p>
    <w:p w14:paraId="037EE464">
      <w:pPr>
        <w:ind w:firstLine="480" w:firstLineChars="200"/>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发包人代表不能按照合同约定履行其职责及义务，并导致合同无法继续正常履行的，承包人可以要求发包人撤换发包人代表。</w:t>
      </w:r>
    </w:p>
    <w:p w14:paraId="548C196D">
      <w:pPr>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不属于法定必须监理的工程，监理人的职权可以由发包人代表或发包人指定的其他人员行使。</w:t>
      </w:r>
    </w:p>
    <w:p w14:paraId="7E55973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80" w:name="_Toc351203512"/>
      <w:r>
        <w:rPr>
          <w:rFonts w:ascii="Times New Roman" w:hAnsi="Times New Roman" w:eastAsia="Ђˎ̥" w:cs="Times New Roman"/>
          <w:color w:val="auto"/>
          <w:kern w:val="0"/>
          <w:sz w:val="24"/>
          <w:szCs w:val="24"/>
          <w:highlight w:val="none"/>
          <w:lang w:val="en-US" w:eastAsia="zh-CN" w:bidi="ar-SA"/>
        </w:rPr>
        <w:t xml:space="preserve">2.3 </w:t>
      </w:r>
      <w:r>
        <w:rPr>
          <w:rFonts w:hint="eastAsia" w:ascii="Times New Roman" w:hAnsi="Times New Roman" w:eastAsia="Ђˎ̥" w:cs="宋体"/>
          <w:color w:val="auto"/>
          <w:kern w:val="0"/>
          <w:sz w:val="24"/>
          <w:szCs w:val="24"/>
          <w:highlight w:val="none"/>
          <w:lang w:val="en-US" w:eastAsia="zh-CN" w:bidi="ar-SA"/>
        </w:rPr>
        <w:t>发包人人员</w:t>
      </w:r>
      <w:bookmarkEnd w:id="180"/>
    </w:p>
    <w:p w14:paraId="46D1D97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发包人应要求在施工现场的发包人人员遵守法律及有关安全、质量、环境保护、文明施工等规定，并保障承包人免于承受因发包人人员未遵守上述要求给承包人造成的损失和责任。</w:t>
      </w:r>
    </w:p>
    <w:p w14:paraId="162EF8BB">
      <w:pPr>
        <w:spacing w:line="360" w:lineRule="auto"/>
        <w:ind w:firstLine="64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发包人人员包括发包人代表及其他由发包人派驻施工现场的人员。</w:t>
      </w:r>
      <w:bookmarkEnd w:id="176"/>
      <w:bookmarkEnd w:id="177"/>
      <w:bookmarkEnd w:id="178"/>
    </w:p>
    <w:p w14:paraId="5A8A1C2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81" w:name="_Toc351203513"/>
      <w:r>
        <w:rPr>
          <w:rFonts w:ascii="Times New Roman" w:hAnsi="Times New Roman" w:eastAsia="Ђˎ̥" w:cs="Times New Roman"/>
          <w:color w:val="auto"/>
          <w:kern w:val="0"/>
          <w:sz w:val="24"/>
          <w:szCs w:val="24"/>
          <w:highlight w:val="none"/>
          <w:lang w:val="en-US" w:eastAsia="zh-CN" w:bidi="ar-SA"/>
        </w:rPr>
        <w:t>2</w:t>
      </w:r>
      <w:bookmarkStart w:id="182" w:name="_Toc337558741"/>
      <w:bookmarkStart w:id="183" w:name="_Toc296503040"/>
      <w:bookmarkStart w:id="184" w:name="_Toc296346541"/>
      <w:r>
        <w:rPr>
          <w:rFonts w:ascii="Times New Roman" w:hAnsi="Times New Roman" w:eastAsia="Ђˎ̥" w:cs="Times New Roman"/>
          <w:color w:val="auto"/>
          <w:kern w:val="0"/>
          <w:sz w:val="24"/>
          <w:szCs w:val="24"/>
          <w:highlight w:val="none"/>
          <w:lang w:val="en-US" w:eastAsia="zh-CN" w:bidi="ar-SA"/>
        </w:rPr>
        <w:t xml:space="preserve">.4 </w:t>
      </w:r>
      <w:r>
        <w:rPr>
          <w:rFonts w:hint="eastAsia" w:ascii="Times New Roman" w:hAnsi="Times New Roman" w:eastAsia="Ђˎ̥" w:cs="Times New Roman"/>
          <w:color w:val="auto"/>
          <w:kern w:val="0"/>
          <w:sz w:val="24"/>
          <w:szCs w:val="24"/>
          <w:highlight w:val="none"/>
          <w:lang w:val="en-US" w:eastAsia="zh-CN" w:bidi="ar-SA"/>
        </w:rPr>
        <w:t>施工现场、施工条件和基础资料的提供</w:t>
      </w:r>
      <w:bookmarkEnd w:id="181"/>
      <w:r>
        <w:rPr>
          <w:rFonts w:ascii="Times New Roman" w:hAnsi="Times New Roman" w:eastAsia="Ђˎ̥" w:cs="Times New Roman"/>
          <w:color w:val="auto"/>
          <w:kern w:val="0"/>
          <w:sz w:val="24"/>
          <w:szCs w:val="24"/>
          <w:highlight w:val="none"/>
          <w:lang w:val="en-US" w:eastAsia="zh-CN" w:bidi="ar-SA"/>
        </w:rPr>
        <w:t xml:space="preserve"> </w:t>
      </w:r>
      <w:bookmarkEnd w:id="182"/>
      <w:bookmarkEnd w:id="183"/>
      <w:bookmarkEnd w:id="184"/>
      <w:r>
        <w:rPr>
          <w:rFonts w:ascii="Times New Roman" w:hAnsi="Times New Roman" w:eastAsia="Ђˎ̥" w:cs="Times New Roman"/>
          <w:color w:val="auto"/>
          <w:kern w:val="0"/>
          <w:sz w:val="24"/>
          <w:szCs w:val="24"/>
          <w:highlight w:val="none"/>
          <w:lang w:val="en-US" w:eastAsia="zh-CN" w:bidi="ar-SA"/>
        </w:rPr>
        <w:t xml:space="preserve"> </w:t>
      </w:r>
    </w:p>
    <w:p w14:paraId="70277D1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2.4.1 </w:t>
      </w:r>
      <w:r>
        <w:rPr>
          <w:rFonts w:hint="eastAsia" w:ascii="宋体" w:hAnsi="宋体" w:eastAsia="宋体" w:cs="Times New Roman"/>
          <w:color w:val="auto"/>
          <w:kern w:val="0"/>
          <w:sz w:val="24"/>
          <w:szCs w:val="24"/>
          <w:highlight w:val="none"/>
        </w:rPr>
        <w:t>提供施工现场</w:t>
      </w:r>
    </w:p>
    <w:p w14:paraId="64F0160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w:t>
      </w:r>
      <w:bookmarkEnd w:id="174"/>
      <w:r>
        <w:rPr>
          <w:rFonts w:hint="eastAsia" w:ascii="宋体" w:hAnsi="宋体" w:eastAsia="宋体" w:cs="Times New Roman"/>
          <w:color w:val="auto"/>
          <w:kern w:val="0"/>
          <w:sz w:val="24"/>
          <w:szCs w:val="24"/>
          <w:highlight w:val="none"/>
        </w:rPr>
        <w:t>专用合同条款另有约定外，发包人应最迟于开工日期</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天前向承包人移交施工现场。</w:t>
      </w:r>
    </w:p>
    <w:p w14:paraId="25FFC70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2.4.2 </w:t>
      </w:r>
      <w:r>
        <w:rPr>
          <w:rFonts w:hint="eastAsia" w:ascii="宋体" w:hAnsi="宋体" w:eastAsia="宋体" w:cs="Times New Roman"/>
          <w:color w:val="auto"/>
          <w:kern w:val="0"/>
          <w:sz w:val="24"/>
          <w:szCs w:val="24"/>
          <w:highlight w:val="none"/>
        </w:rPr>
        <w:t>提供施工条件</w:t>
      </w:r>
    </w:p>
    <w:p w14:paraId="20537C1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除专用合同条款另有约定外，发包人应负责提供施工所需要的条件，包括：</w:t>
      </w:r>
    </w:p>
    <w:p w14:paraId="6F93BCB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）将施工用水、电力、通讯线路等施工所必需的条件接至施工现场内；</w:t>
      </w:r>
    </w:p>
    <w:p w14:paraId="4C62BAB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）保证向承包人提供正常施工所需要的进入施工现场的交通条件；</w:t>
      </w:r>
    </w:p>
    <w:p w14:paraId="6FBB992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）协调处理施工现场周围地下管线和邻近建筑物、构筑物、古树名木的保护工作，并承担相关费用；</w:t>
      </w:r>
    </w:p>
    <w:p w14:paraId="1B46F3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）按照专用合同条款约定应提供的其他设施和条件。</w:t>
      </w:r>
    </w:p>
    <w:p w14:paraId="7F84CF60">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2.4.3 </w:t>
      </w:r>
      <w:r>
        <w:rPr>
          <w:rFonts w:hint="eastAsia" w:ascii="宋体" w:hAnsi="宋体" w:eastAsia="宋体" w:cs="Times New Roman"/>
          <w:color w:val="auto"/>
          <w:kern w:val="0"/>
          <w:sz w:val="24"/>
          <w:szCs w:val="24"/>
          <w:highlight w:val="none"/>
        </w:rPr>
        <w:t>提供基础资料</w:t>
      </w:r>
    </w:p>
    <w:p w14:paraId="05651E9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44CCC50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按照法律规定确需在开工后方能提供的基础资料，发包人应尽其努力及时地在相应工程施工前的合理期限内提供，合理期限应以不影响承包人的正常施工为限。</w:t>
      </w:r>
    </w:p>
    <w:p w14:paraId="3D260926">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2.4.4 </w:t>
      </w:r>
      <w:r>
        <w:rPr>
          <w:rFonts w:hint="eastAsia" w:ascii="宋体" w:hAnsi="宋体" w:eastAsia="宋体" w:cs="Times New Roman"/>
          <w:color w:val="auto"/>
          <w:kern w:val="0"/>
          <w:sz w:val="24"/>
          <w:szCs w:val="24"/>
          <w:highlight w:val="none"/>
        </w:rPr>
        <w:t>逾期提供的责任</w:t>
      </w:r>
    </w:p>
    <w:p w14:paraId="55F48E2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因发包人原因未能按合同约定及时向承包人提供施工现场、施工条件、基础资料的，由发包人承担由此增加的费用和（或）延误的工期。</w:t>
      </w:r>
    </w:p>
    <w:p w14:paraId="14F6415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85" w:name="_Toc351203514"/>
      <w:r>
        <w:rPr>
          <w:rFonts w:ascii="Times New Roman" w:hAnsi="Times New Roman" w:eastAsia="Ђˎ̥" w:cs="Times New Roman"/>
          <w:color w:val="auto"/>
          <w:kern w:val="0"/>
          <w:sz w:val="24"/>
          <w:szCs w:val="24"/>
          <w:highlight w:val="none"/>
          <w:lang w:val="en-US" w:eastAsia="zh-CN" w:bidi="ar-SA"/>
        </w:rPr>
        <w:t>2</w:t>
      </w:r>
      <w:bookmarkStart w:id="186" w:name="_Toc296346543"/>
      <w:bookmarkStart w:id="187" w:name="_Toc337558745"/>
      <w:bookmarkStart w:id="188" w:name="_Toc296503042"/>
      <w:r>
        <w:rPr>
          <w:rFonts w:ascii="Times New Roman" w:hAnsi="Times New Roman" w:eastAsia="Ђˎ̥" w:cs="Times New Roman"/>
          <w:color w:val="auto"/>
          <w:kern w:val="0"/>
          <w:sz w:val="24"/>
          <w:szCs w:val="24"/>
          <w:highlight w:val="none"/>
          <w:lang w:val="en-US" w:eastAsia="zh-CN" w:bidi="ar-SA"/>
        </w:rPr>
        <w:t xml:space="preserve">.5 </w:t>
      </w:r>
      <w:r>
        <w:rPr>
          <w:rFonts w:hint="eastAsia" w:ascii="Times New Roman" w:hAnsi="Times New Roman" w:eastAsia="Ђˎ̥" w:cs="Times New Roman"/>
          <w:color w:val="auto"/>
          <w:kern w:val="0"/>
          <w:sz w:val="24"/>
          <w:szCs w:val="24"/>
          <w:highlight w:val="none"/>
          <w:lang w:val="en-US" w:eastAsia="zh-CN" w:bidi="ar-SA"/>
        </w:rPr>
        <w:t>资</w:t>
      </w:r>
      <w:bookmarkEnd w:id="186"/>
      <w:bookmarkEnd w:id="187"/>
      <w:bookmarkEnd w:id="188"/>
      <w:r>
        <w:rPr>
          <w:rFonts w:hint="eastAsia" w:ascii="Times New Roman" w:hAnsi="Times New Roman" w:eastAsia="Ђˎ̥" w:cs="Times New Roman"/>
          <w:color w:val="auto"/>
          <w:kern w:val="0"/>
          <w:sz w:val="24"/>
          <w:szCs w:val="24"/>
          <w:highlight w:val="none"/>
          <w:lang w:val="en-US" w:eastAsia="zh-CN" w:bidi="ar-SA"/>
        </w:rPr>
        <w:t>金来源证明及支付担保</w:t>
      </w:r>
      <w:bookmarkEnd w:id="185"/>
    </w:p>
    <w:p w14:paraId="4286E5A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除专用合同条款另有约定外，发包人应在收到承包人要求提供资金来源证明的书面通知后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天内，向承包人提供能够按照合同约定支付合同价款的相应资金来源证明。</w:t>
      </w:r>
    </w:p>
    <w:p w14:paraId="1C88BF1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14:paraId="183A676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89" w:name="_Toc351203515"/>
      <w:r>
        <w:rPr>
          <w:rFonts w:ascii="Times New Roman" w:hAnsi="Times New Roman" w:eastAsia="Ђˎ̥" w:cs="Times New Roman"/>
          <w:color w:val="auto"/>
          <w:kern w:val="0"/>
          <w:sz w:val="24"/>
          <w:szCs w:val="24"/>
          <w:highlight w:val="none"/>
          <w:lang w:val="en-US" w:eastAsia="zh-CN" w:bidi="ar-SA"/>
        </w:rPr>
        <w:t xml:space="preserve">2.6 </w:t>
      </w:r>
      <w:r>
        <w:rPr>
          <w:rFonts w:hint="eastAsia" w:ascii="Times New Roman" w:hAnsi="Times New Roman" w:eastAsia="Ђˎ̥" w:cs="Times New Roman"/>
          <w:color w:val="auto"/>
          <w:kern w:val="0"/>
          <w:sz w:val="24"/>
          <w:szCs w:val="24"/>
          <w:highlight w:val="none"/>
          <w:lang w:val="en-US" w:eastAsia="zh-CN" w:bidi="ar-SA"/>
        </w:rPr>
        <w:t>支付合同价款</w:t>
      </w:r>
      <w:bookmarkEnd w:id="189"/>
    </w:p>
    <w:p w14:paraId="13265E7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发包人应按合同约定向承包人及时支付合同价款。</w:t>
      </w:r>
    </w:p>
    <w:p w14:paraId="3BB6C56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90" w:name="_Toc351203516"/>
      <w:r>
        <w:rPr>
          <w:rFonts w:ascii="Times New Roman" w:hAnsi="Times New Roman" w:eastAsia="Ђˎ̥" w:cs="Times New Roman"/>
          <w:color w:val="auto"/>
          <w:kern w:val="0"/>
          <w:sz w:val="24"/>
          <w:szCs w:val="24"/>
          <w:highlight w:val="none"/>
          <w:lang w:val="en-US" w:eastAsia="zh-CN" w:bidi="ar-SA"/>
        </w:rPr>
        <w:t xml:space="preserve">2.7 </w:t>
      </w:r>
      <w:r>
        <w:rPr>
          <w:rFonts w:hint="eastAsia" w:ascii="Times New Roman" w:hAnsi="Times New Roman" w:eastAsia="Ђˎ̥" w:cs="Times New Roman"/>
          <w:color w:val="auto"/>
          <w:kern w:val="0"/>
          <w:sz w:val="24"/>
          <w:szCs w:val="24"/>
          <w:highlight w:val="none"/>
          <w:lang w:val="en-US" w:eastAsia="zh-CN" w:bidi="ar-SA"/>
        </w:rPr>
        <w:t>组织竣工验收</w:t>
      </w:r>
      <w:bookmarkEnd w:id="190"/>
    </w:p>
    <w:p w14:paraId="261025E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发包人应按合同约定及时组织竣工验收。</w:t>
      </w:r>
    </w:p>
    <w:p w14:paraId="1263A86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91" w:name="_Toc351203517"/>
      <w:r>
        <w:rPr>
          <w:rFonts w:ascii="Times New Roman" w:hAnsi="Times New Roman" w:eastAsia="Ђˎ̥" w:cs="Times New Roman"/>
          <w:color w:val="auto"/>
          <w:kern w:val="0"/>
          <w:sz w:val="24"/>
          <w:szCs w:val="24"/>
          <w:highlight w:val="none"/>
          <w:lang w:val="en-US" w:eastAsia="zh-CN" w:bidi="ar-SA"/>
        </w:rPr>
        <w:t xml:space="preserve">2.8 </w:t>
      </w:r>
      <w:r>
        <w:rPr>
          <w:rFonts w:hint="eastAsia" w:ascii="Times New Roman" w:hAnsi="Times New Roman" w:eastAsia="Ђˎ̥" w:cs="Times New Roman"/>
          <w:color w:val="auto"/>
          <w:kern w:val="0"/>
          <w:sz w:val="24"/>
          <w:szCs w:val="24"/>
          <w:highlight w:val="none"/>
          <w:lang w:val="en-US" w:eastAsia="zh-CN" w:bidi="ar-SA"/>
        </w:rPr>
        <w:t>现场统一管理协议</w:t>
      </w:r>
      <w:bookmarkEnd w:id="191"/>
    </w:p>
    <w:p w14:paraId="5A33340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发包人应与承包人、由发包人直接发包的专业工程的承包人签订施工现场统一管理协议，明确各方的权利义务。施工现场统一管理协议作为专用合同条款的附件。</w:t>
      </w:r>
    </w:p>
    <w:p w14:paraId="5FEBEF17">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192" w:name="_Toc351203518"/>
      <w:bookmarkStart w:id="193" w:name="_Toc17965072"/>
      <w:r>
        <w:rPr>
          <w:rFonts w:ascii="Times New Roman" w:hAnsi="Times New Roman" w:eastAsia="黑体" w:cs="Times New Roman"/>
          <w:b/>
          <w:bCs/>
          <w:color w:val="auto"/>
          <w:kern w:val="2"/>
          <w:sz w:val="24"/>
          <w:szCs w:val="24"/>
          <w:highlight w:val="none"/>
          <w:lang w:val="en-US" w:eastAsia="zh-CN" w:bidi="ar-SA"/>
        </w:rPr>
        <w:t>3</w:t>
      </w:r>
      <w:bookmarkStart w:id="194" w:name="_Toc296503045"/>
      <w:bookmarkStart w:id="195" w:name="_Toc296346546"/>
      <w:bookmarkStart w:id="196" w:name="_Toc337558746"/>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承包人</w:t>
      </w:r>
      <w:bookmarkEnd w:id="192"/>
      <w:bookmarkEnd w:id="193"/>
    </w:p>
    <w:bookmarkEnd w:id="194"/>
    <w:bookmarkEnd w:id="195"/>
    <w:bookmarkEnd w:id="196"/>
    <w:p w14:paraId="69B26A2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97" w:name="_Toc351203519"/>
      <w:r>
        <w:rPr>
          <w:rFonts w:ascii="Times New Roman" w:hAnsi="Times New Roman" w:eastAsia="Ђˎ̥" w:cs="Times New Roman"/>
          <w:color w:val="auto"/>
          <w:kern w:val="0"/>
          <w:sz w:val="24"/>
          <w:szCs w:val="24"/>
          <w:highlight w:val="none"/>
          <w:lang w:val="en-US" w:eastAsia="zh-CN" w:bidi="ar-SA"/>
        </w:rPr>
        <w:t>3</w:t>
      </w:r>
      <w:bookmarkStart w:id="198" w:name="_Toc296503046"/>
      <w:bookmarkStart w:id="199" w:name="_Toc296346547"/>
      <w:bookmarkStart w:id="200" w:name="_Toc337558747"/>
      <w:r>
        <w:rPr>
          <w:rFonts w:ascii="Times New Roman" w:hAnsi="Times New Roman" w:eastAsia="Ђˎ̥" w:cs="Times New Roman"/>
          <w:color w:val="auto"/>
          <w:kern w:val="0"/>
          <w:sz w:val="24"/>
          <w:szCs w:val="24"/>
          <w:highlight w:val="none"/>
          <w:lang w:val="en-US" w:eastAsia="zh-CN" w:bidi="ar-SA"/>
        </w:rPr>
        <w:t xml:space="preserve">.1 </w:t>
      </w:r>
      <w:r>
        <w:rPr>
          <w:rFonts w:hint="eastAsia" w:ascii="Times New Roman" w:hAnsi="Times New Roman" w:eastAsia="Ђˎ̥" w:cs="Times New Roman"/>
          <w:color w:val="auto"/>
          <w:kern w:val="0"/>
          <w:sz w:val="24"/>
          <w:szCs w:val="24"/>
          <w:highlight w:val="none"/>
          <w:lang w:val="en-US" w:eastAsia="zh-CN" w:bidi="ar-SA"/>
        </w:rPr>
        <w:t>承包人的一般义务</w:t>
      </w:r>
      <w:bookmarkEnd w:id="197"/>
    </w:p>
    <w:bookmarkEnd w:id="198"/>
    <w:bookmarkEnd w:id="199"/>
    <w:bookmarkEnd w:id="200"/>
    <w:p w14:paraId="0B18E55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承包人在履行合同过程中应遵守法律和工程建设标准规范，并履行以下义务：</w:t>
      </w:r>
    </w:p>
    <w:p w14:paraId="0E292111">
      <w:pPr>
        <w:numPr>
          <w:ilvl w:val="0"/>
          <w:numId w:val="5"/>
        </w:num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办理法律规定应由承包人办理的许可和批准，并将办理结果书面报送发包人留存；</w:t>
      </w:r>
    </w:p>
    <w:p w14:paraId="2CF3F0A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）按法律规定和合同约定完成工程，并在保修期内承担保修义务；</w:t>
      </w:r>
    </w:p>
    <w:p w14:paraId="4F867BC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）按法律规定和合同约定采取施工安全和环境保护措施，办理工伤保险，确保工程及人员、材料、设备和设施的安全；</w:t>
      </w:r>
    </w:p>
    <w:p w14:paraId="3CC6D0D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）按合同约定的工作内容和施工进度要求，编制施工组织设计和施工措施计划，并对所有施工作业和施工方法的完备性和安全可靠性负责；</w:t>
      </w:r>
    </w:p>
    <w:p w14:paraId="658819E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70236B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）按照第</w:t>
      </w:r>
      <w:r>
        <w:rPr>
          <w:rFonts w:ascii="宋体" w:hAnsi="宋体" w:eastAsia="宋体" w:cs="Times New Roman"/>
          <w:color w:val="auto"/>
          <w:kern w:val="0"/>
          <w:sz w:val="24"/>
          <w:szCs w:val="24"/>
          <w:highlight w:val="none"/>
        </w:rPr>
        <w:t>6.3</w:t>
      </w:r>
      <w:r>
        <w:rPr>
          <w:rFonts w:hint="eastAsia" w:ascii="宋体" w:hAnsi="宋体" w:eastAsia="宋体" w:cs="Times New Roman"/>
          <w:color w:val="auto"/>
          <w:kern w:val="0"/>
          <w:sz w:val="24"/>
          <w:szCs w:val="24"/>
          <w:highlight w:val="none"/>
        </w:rPr>
        <w:t>款〔环境保护〕约定负责施工场地及其周边环境与生态的保护工作；</w:t>
      </w:r>
    </w:p>
    <w:p w14:paraId="5A0E45C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）按第</w:t>
      </w:r>
      <w:r>
        <w:rPr>
          <w:rFonts w:ascii="宋体" w:hAnsi="宋体" w:eastAsia="宋体" w:cs="Times New Roman"/>
          <w:color w:val="auto"/>
          <w:kern w:val="0"/>
          <w:sz w:val="24"/>
          <w:szCs w:val="24"/>
          <w:highlight w:val="none"/>
        </w:rPr>
        <w:t>6.1</w:t>
      </w:r>
      <w:r>
        <w:rPr>
          <w:rFonts w:hint="eastAsia" w:ascii="宋体" w:hAnsi="宋体" w:eastAsia="宋体" w:cs="Times New Roman"/>
          <w:color w:val="auto"/>
          <w:kern w:val="0"/>
          <w:sz w:val="24"/>
          <w:szCs w:val="24"/>
          <w:highlight w:val="none"/>
        </w:rPr>
        <w:t>款〔安全文明施工〕约定采取施工安全措施，确保工程及其人员、材料、设备和设施的安全，防止因工程施工造成的人身伤害和财产损失；</w:t>
      </w:r>
    </w:p>
    <w:p w14:paraId="608F83C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8</w:t>
      </w:r>
      <w:r>
        <w:rPr>
          <w:rFonts w:hint="eastAsia" w:ascii="宋体" w:hAnsi="宋体" w:eastAsia="宋体" w:cs="Times New Roman"/>
          <w:color w:val="auto"/>
          <w:kern w:val="0"/>
          <w:sz w:val="24"/>
          <w:szCs w:val="24"/>
          <w:highlight w:val="none"/>
        </w:rPr>
        <w:t>）将发包人按合同约定支付的各项价款专用于合同工程，且应及时支付其雇用人员工资，并及时向分包人支付合同价款；</w:t>
      </w:r>
    </w:p>
    <w:p w14:paraId="2A523C8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9</w:t>
      </w:r>
      <w:r>
        <w:rPr>
          <w:rFonts w:hint="eastAsia" w:ascii="宋体" w:hAnsi="宋体" w:eastAsia="宋体" w:cs="Times New Roman"/>
          <w:color w:val="auto"/>
          <w:kern w:val="0"/>
          <w:sz w:val="24"/>
          <w:szCs w:val="24"/>
          <w:highlight w:val="none"/>
        </w:rPr>
        <w:t>）按照法律规定和合同约定编制竣工资料，完成竣工资料立卷及归档，并按专用合同条款约定的竣工资料的套数、内容、时间等要求移交发包人；</w:t>
      </w:r>
    </w:p>
    <w:p w14:paraId="7F124AA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10</w:t>
      </w:r>
      <w:r>
        <w:rPr>
          <w:rFonts w:hint="eastAsia" w:ascii="宋体" w:hAnsi="宋体" w:eastAsia="宋体" w:cs="Times New Roman"/>
          <w:color w:val="auto"/>
          <w:kern w:val="0"/>
          <w:sz w:val="24"/>
          <w:szCs w:val="24"/>
          <w:highlight w:val="none"/>
        </w:rPr>
        <w:t>）应履行的其他义务。</w:t>
      </w:r>
    </w:p>
    <w:p w14:paraId="113DE4C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01" w:name="_Toc351203520"/>
      <w:r>
        <w:rPr>
          <w:rFonts w:ascii="Times New Roman" w:hAnsi="Times New Roman" w:eastAsia="Ђˎ̥" w:cs="Times New Roman"/>
          <w:color w:val="auto"/>
          <w:kern w:val="0"/>
          <w:sz w:val="24"/>
          <w:szCs w:val="24"/>
          <w:highlight w:val="none"/>
          <w:lang w:val="en-US" w:eastAsia="zh-CN" w:bidi="ar-SA"/>
        </w:rPr>
        <w:t>3</w:t>
      </w:r>
      <w:bookmarkStart w:id="202" w:name="_Toc337558748"/>
      <w:bookmarkStart w:id="203" w:name="_Toc296503047"/>
      <w:bookmarkStart w:id="204" w:name="_Toc296346548"/>
      <w:r>
        <w:rPr>
          <w:rFonts w:ascii="Times New Roman" w:hAnsi="Times New Roman" w:eastAsia="Ђˎ̥" w:cs="Times New Roman"/>
          <w:color w:val="auto"/>
          <w:kern w:val="0"/>
          <w:sz w:val="24"/>
          <w:szCs w:val="24"/>
          <w:highlight w:val="none"/>
          <w:lang w:val="en-US" w:eastAsia="zh-CN" w:bidi="ar-SA"/>
        </w:rPr>
        <w:t xml:space="preserve">.2 </w:t>
      </w:r>
      <w:bookmarkEnd w:id="201"/>
      <w:r>
        <w:rPr>
          <w:rFonts w:hint="eastAsia" w:ascii="Times New Roman" w:hAnsi="Times New Roman" w:eastAsia="Ђˎ̥" w:cs="宋体"/>
          <w:color w:val="auto"/>
          <w:kern w:val="0"/>
          <w:sz w:val="24"/>
          <w:szCs w:val="24"/>
          <w:highlight w:val="none"/>
          <w:lang w:val="en-US" w:eastAsia="zh-CN" w:bidi="ar-SA"/>
        </w:rPr>
        <w:t>项目经理</w:t>
      </w:r>
    </w:p>
    <w:bookmarkEnd w:id="202"/>
    <w:bookmarkEnd w:id="203"/>
    <w:bookmarkEnd w:id="204"/>
    <w:p w14:paraId="089B5D6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3.2.1 </w:t>
      </w:r>
      <w:r>
        <w:rPr>
          <w:rFonts w:hint="eastAsia" w:ascii="宋体" w:hAnsi="宋体" w:eastAsia="宋体" w:cs="Times New Roman"/>
          <w:color w:val="auto"/>
          <w:kern w:val="0"/>
          <w:sz w:val="24"/>
          <w:szCs w:val="24"/>
          <w:highlight w:val="none"/>
        </w:rPr>
        <w:t>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5358F29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5F42156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承包人违反上述约定的，应按照专用合同条款的约定，承担违约责任。</w:t>
      </w:r>
    </w:p>
    <w:p w14:paraId="6A22897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3.2.2 </w:t>
      </w:r>
      <w:r>
        <w:rPr>
          <w:rFonts w:hint="eastAsia" w:ascii="宋体" w:hAnsi="宋体" w:eastAsia="宋体" w:cs="Times New Roman"/>
          <w:color w:val="auto"/>
          <w:kern w:val="0"/>
          <w:sz w:val="24"/>
          <w:szCs w:val="24"/>
          <w:highlight w:val="none"/>
        </w:rPr>
        <w:t>项目经理按合同约定组织工程实施。在紧急情况下为确保施工安全和人员安全，在无法与发包人代表和总监理工程师及时取得联系时，项目经理有权采取必要的措施保证与工程有关的人身、财产和工程的安全，但应在</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小时内向发包人代表和总监理工程师提交书面报告。</w:t>
      </w:r>
    </w:p>
    <w:p w14:paraId="0586BF3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3.2.3 </w:t>
      </w:r>
      <w:r>
        <w:rPr>
          <w:rFonts w:hint="eastAsia" w:ascii="宋体" w:hAnsi="宋体" w:eastAsia="宋体" w:cs="Times New Roman"/>
          <w:color w:val="auto"/>
          <w:kern w:val="0"/>
          <w:sz w:val="24"/>
          <w:szCs w:val="24"/>
          <w:highlight w:val="none"/>
        </w:rPr>
        <w:t>承包人需要更换项目经理的，应提前</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天书面通知发包人和监理人，并征得发包人书面同意。通知中应当载明继任项目经理的注册执业资格、管理经验等资料，继任项目经理继续履行第</w:t>
      </w:r>
      <w:r>
        <w:rPr>
          <w:rFonts w:ascii="宋体" w:hAnsi="宋体" w:eastAsia="宋体" w:cs="Times New Roman"/>
          <w:color w:val="auto"/>
          <w:kern w:val="0"/>
          <w:sz w:val="24"/>
          <w:szCs w:val="24"/>
          <w:highlight w:val="none"/>
        </w:rPr>
        <w:t>3.2.1</w:t>
      </w:r>
      <w:r>
        <w:rPr>
          <w:rFonts w:hint="eastAsia" w:ascii="宋体" w:hAnsi="宋体" w:eastAsia="宋体" w:cs="Times New Roman"/>
          <w:color w:val="auto"/>
          <w:kern w:val="0"/>
          <w:sz w:val="24"/>
          <w:szCs w:val="24"/>
          <w:highlight w:val="none"/>
        </w:rPr>
        <w:t>项约定的职责。未经发包人书面同意，承包人不得擅自更换项目经理。承包人擅自更换项目经理的，应按照专用合同条款的约定承担违约责任。</w:t>
      </w:r>
    </w:p>
    <w:p w14:paraId="1B43EDA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3.2.4 </w:t>
      </w:r>
      <w:r>
        <w:rPr>
          <w:rFonts w:hint="eastAsia" w:ascii="宋体" w:hAnsi="宋体" w:eastAsia="宋体" w:cs="Times New Roman"/>
          <w:color w:val="auto"/>
          <w:kern w:val="0"/>
          <w:sz w:val="24"/>
          <w:szCs w:val="24"/>
          <w:highlight w:val="none"/>
        </w:rPr>
        <w:t>发包人有权书面通知承包人更换其认为不称职的项目经理，通知中应当载明要求更换的理由。承包人应在接到更换通知后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天内向发包人提出书面的改进报告。发包人收到改进报告后仍要求更换的，承包人应在接到第二次更换通知的</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天内进行更换，并将新任命的项目经理的注册执业资格、管理经验等资料书面通知发包人。继任项目经理继续履行第</w:t>
      </w:r>
      <w:r>
        <w:rPr>
          <w:rFonts w:ascii="宋体" w:hAnsi="宋体" w:eastAsia="宋体" w:cs="Times New Roman"/>
          <w:color w:val="auto"/>
          <w:kern w:val="0"/>
          <w:sz w:val="24"/>
          <w:szCs w:val="24"/>
          <w:highlight w:val="none"/>
        </w:rPr>
        <w:t>3.2.1</w:t>
      </w:r>
      <w:r>
        <w:rPr>
          <w:rFonts w:hint="eastAsia" w:ascii="宋体" w:hAnsi="宋体" w:eastAsia="宋体" w:cs="Times New Roman"/>
          <w:color w:val="auto"/>
          <w:kern w:val="0"/>
          <w:sz w:val="24"/>
          <w:szCs w:val="24"/>
          <w:highlight w:val="none"/>
        </w:rPr>
        <w:t>项约定的职责。承包人无正当理由拒绝更换项目经理的，应按照专用合同条款的约定承担违约责任。</w:t>
      </w:r>
    </w:p>
    <w:p w14:paraId="4C7B40F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3.2.5 </w:t>
      </w:r>
      <w:r>
        <w:rPr>
          <w:rFonts w:hint="eastAsia" w:ascii="宋体" w:hAnsi="宋体" w:eastAsia="宋体" w:cs="Times New Roman"/>
          <w:color w:val="auto"/>
          <w:kern w:val="0"/>
          <w:sz w:val="24"/>
          <w:szCs w:val="24"/>
          <w:highlight w:val="none"/>
        </w:rPr>
        <w:t>项目经理因特殊情况授权其下属人员履行其某项工作职责的，该下属人员应具备履行相应职责的能力，并应提前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天将上述人员的姓名和授权范围书面通知监理人，并征得发包人书面同意。</w:t>
      </w:r>
    </w:p>
    <w:p w14:paraId="1CA1A02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05" w:name="_Toc351203521"/>
      <w:r>
        <w:rPr>
          <w:rFonts w:ascii="Times New Roman" w:hAnsi="Times New Roman" w:eastAsia="Ђˎ̥" w:cs="Times New Roman"/>
          <w:color w:val="auto"/>
          <w:kern w:val="0"/>
          <w:sz w:val="24"/>
          <w:szCs w:val="24"/>
          <w:highlight w:val="none"/>
          <w:lang w:val="en-US" w:eastAsia="zh-CN" w:bidi="ar-SA"/>
        </w:rPr>
        <w:t>3</w:t>
      </w:r>
      <w:bookmarkStart w:id="206" w:name="_Toc296503048"/>
      <w:bookmarkStart w:id="207" w:name="_Toc296346549"/>
      <w:bookmarkStart w:id="208" w:name="_Toc337558749"/>
      <w:r>
        <w:rPr>
          <w:rFonts w:ascii="Times New Roman" w:hAnsi="Times New Roman" w:eastAsia="Ђˎ̥" w:cs="Times New Roman"/>
          <w:color w:val="auto"/>
          <w:kern w:val="0"/>
          <w:sz w:val="24"/>
          <w:szCs w:val="24"/>
          <w:highlight w:val="none"/>
          <w:lang w:val="en-US" w:eastAsia="zh-CN" w:bidi="ar-SA"/>
        </w:rPr>
        <w:t xml:space="preserve">.3 </w:t>
      </w:r>
      <w:bookmarkEnd w:id="206"/>
      <w:bookmarkEnd w:id="207"/>
      <w:r>
        <w:rPr>
          <w:rFonts w:hint="eastAsia" w:ascii="Times New Roman" w:hAnsi="Times New Roman" w:eastAsia="Ђˎ̥" w:cs="宋体"/>
          <w:color w:val="auto"/>
          <w:kern w:val="0"/>
          <w:sz w:val="24"/>
          <w:szCs w:val="24"/>
          <w:highlight w:val="none"/>
          <w:lang w:val="en-US" w:eastAsia="zh-CN" w:bidi="ar-SA"/>
        </w:rPr>
        <w:t>承包人人员</w:t>
      </w:r>
      <w:bookmarkEnd w:id="205"/>
    </w:p>
    <w:bookmarkEnd w:id="208"/>
    <w:p w14:paraId="5CA9BCC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3.3.1 </w:t>
      </w:r>
      <w:r>
        <w:rPr>
          <w:rFonts w:hint="eastAsia" w:ascii="宋体" w:hAnsi="宋体" w:eastAsia="宋体" w:cs="Times New Roman"/>
          <w:color w:val="auto"/>
          <w:kern w:val="0"/>
          <w:sz w:val="24"/>
          <w:szCs w:val="24"/>
          <w:highlight w:val="none"/>
        </w:rPr>
        <w:t>除专用合同条款另有约定外，承包人应在接到开工通知后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44846DB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3.3.2 </w:t>
      </w:r>
      <w:r>
        <w:rPr>
          <w:rFonts w:hint="eastAsia" w:ascii="宋体" w:hAnsi="宋体" w:eastAsia="宋体" w:cs="Times New Roman"/>
          <w:color w:val="auto"/>
          <w:kern w:val="0"/>
          <w:sz w:val="24"/>
          <w:szCs w:val="24"/>
          <w:highlight w:val="none"/>
        </w:rPr>
        <w:t>承包人派驻到施工现场的主要施工管理人员应相对稳定。施工过程中如有变动，承包人应及时向监理人提交施工现场人员变动情况的报告。承包人更换主要施工管理人员时，应提前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天书面通知监理人，并征得发包人书面同意。通知中应当载明继任人员的注册执业资格、管理经验等资料。</w:t>
      </w:r>
    </w:p>
    <w:p w14:paraId="14B8DB4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特殊工种作业人员均应持有相应的资格证明，监理人可以随时检查。</w:t>
      </w:r>
    </w:p>
    <w:p w14:paraId="053F80A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3.3.3 </w:t>
      </w:r>
      <w:r>
        <w:rPr>
          <w:rFonts w:hint="eastAsia" w:ascii="宋体" w:hAnsi="宋体" w:eastAsia="宋体" w:cs="Times New Roman"/>
          <w:color w:val="auto"/>
          <w:kern w:val="0"/>
          <w:sz w:val="24"/>
          <w:szCs w:val="24"/>
          <w:highlight w:val="none"/>
        </w:rPr>
        <w:t>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31D3D4C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3.3.4 </w:t>
      </w:r>
      <w:r>
        <w:rPr>
          <w:rFonts w:hint="eastAsia" w:ascii="宋体" w:hAnsi="宋体" w:eastAsia="宋体" w:cs="Times New Roman"/>
          <w:color w:val="auto"/>
          <w:kern w:val="0"/>
          <w:sz w:val="24"/>
          <w:szCs w:val="24"/>
          <w:highlight w:val="none"/>
        </w:rPr>
        <w:t>除专用合同条款另有约定外，承包人的主要施工管理人员离开施工现场每月累计不超过</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天的，应报监理人同意；离开施工现场每月累计超过</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天的，应通知监理人，并征得发包人书面同意。主要施工管理人员离开施工现场前应指定一名有经验的人员临时代行其职责，该人员应具备履行相应职责的资格和能力，且应征得监理人或发包人的同意。</w:t>
      </w:r>
    </w:p>
    <w:p w14:paraId="2B4B76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3.3.5 </w:t>
      </w:r>
      <w:r>
        <w:rPr>
          <w:rFonts w:hint="eastAsia" w:ascii="宋体" w:hAnsi="宋体" w:eastAsia="宋体" w:cs="Times New Roman"/>
          <w:color w:val="auto"/>
          <w:kern w:val="0"/>
          <w:sz w:val="24"/>
          <w:szCs w:val="24"/>
          <w:highlight w:val="none"/>
        </w:rPr>
        <w:t>承包人擅自更换主要施工管理人员，或前述人员未经监理人或发包人同意擅自离开施工现场的，应按照专用合同条款约定承担违约责任。</w:t>
      </w:r>
    </w:p>
    <w:p w14:paraId="3761BC8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09" w:name="_Toc351203522"/>
      <w:r>
        <w:rPr>
          <w:rFonts w:ascii="Times New Roman" w:hAnsi="Times New Roman" w:eastAsia="Ђˎ̥" w:cs="Times New Roman"/>
          <w:color w:val="auto"/>
          <w:kern w:val="0"/>
          <w:sz w:val="24"/>
          <w:szCs w:val="24"/>
          <w:highlight w:val="none"/>
          <w:lang w:val="en-US" w:eastAsia="zh-CN" w:bidi="ar-SA"/>
        </w:rPr>
        <w:t>3</w:t>
      </w:r>
      <w:bookmarkStart w:id="210" w:name="_Toc296503050"/>
      <w:bookmarkStart w:id="211" w:name="_Toc296346551"/>
      <w:bookmarkStart w:id="212" w:name="_Toc337558750"/>
      <w:r>
        <w:rPr>
          <w:rFonts w:ascii="Times New Roman" w:hAnsi="Times New Roman" w:eastAsia="Ђˎ̥" w:cs="Times New Roman"/>
          <w:color w:val="auto"/>
          <w:kern w:val="0"/>
          <w:sz w:val="24"/>
          <w:szCs w:val="24"/>
          <w:highlight w:val="none"/>
          <w:lang w:val="en-US" w:eastAsia="zh-CN" w:bidi="ar-SA"/>
        </w:rPr>
        <w:t xml:space="preserve">.4 </w:t>
      </w:r>
      <w:r>
        <w:rPr>
          <w:rFonts w:hint="eastAsia" w:ascii="Times New Roman" w:hAnsi="Times New Roman" w:eastAsia="Ђˎ̥" w:cs="Times New Roman"/>
          <w:color w:val="auto"/>
          <w:kern w:val="0"/>
          <w:sz w:val="24"/>
          <w:szCs w:val="24"/>
          <w:highlight w:val="none"/>
          <w:lang w:val="en-US" w:eastAsia="zh-CN" w:bidi="ar-SA"/>
        </w:rPr>
        <w:t>承包人现场查勘</w:t>
      </w:r>
      <w:bookmarkEnd w:id="209"/>
    </w:p>
    <w:bookmarkEnd w:id="210"/>
    <w:bookmarkEnd w:id="211"/>
    <w:bookmarkEnd w:id="212"/>
    <w:p w14:paraId="524263FB">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承包人应对基于发包人按照第</w:t>
      </w:r>
      <w:r>
        <w:rPr>
          <w:rFonts w:ascii="宋体" w:hAnsi="宋体" w:eastAsia="宋体" w:cs="Times New Roman"/>
          <w:color w:val="auto"/>
          <w:kern w:val="0"/>
          <w:sz w:val="24"/>
          <w:szCs w:val="24"/>
          <w:highlight w:val="none"/>
        </w:rPr>
        <w:t>2.4.3</w:t>
      </w:r>
      <w:r>
        <w:rPr>
          <w:rFonts w:hint="eastAsia" w:ascii="宋体" w:hAnsi="宋体" w:eastAsia="宋体" w:cs="Times New Roman"/>
          <w:color w:val="auto"/>
          <w:kern w:val="0"/>
          <w:sz w:val="24"/>
          <w:szCs w:val="24"/>
          <w:highlight w:val="none"/>
        </w:rPr>
        <w:t>项〔提供基础资料〕提交的基础资料所做出的解释和推断负责，但因基础资料存在错误、遗漏导致承包人解释或推断失实的，由发包人承担责任。</w:t>
      </w:r>
    </w:p>
    <w:p w14:paraId="7A3FD44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7A2FB2A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13" w:name="_Toc351203523"/>
      <w:r>
        <w:rPr>
          <w:rFonts w:ascii="Times New Roman" w:hAnsi="Times New Roman" w:eastAsia="Ђˎ̥" w:cs="Times New Roman"/>
          <w:color w:val="auto"/>
          <w:kern w:val="0"/>
          <w:sz w:val="24"/>
          <w:szCs w:val="24"/>
          <w:highlight w:val="none"/>
          <w:lang w:val="en-US" w:eastAsia="zh-CN" w:bidi="ar-SA"/>
        </w:rPr>
        <w:t>3</w:t>
      </w:r>
      <w:bookmarkStart w:id="214" w:name="_Toc337558751"/>
      <w:bookmarkStart w:id="215" w:name="_Toc296346552"/>
      <w:bookmarkStart w:id="216" w:name="_Toc296503051"/>
      <w:r>
        <w:rPr>
          <w:rFonts w:ascii="Times New Roman" w:hAnsi="Times New Roman" w:eastAsia="Ђˎ̥" w:cs="Times New Roman"/>
          <w:color w:val="auto"/>
          <w:kern w:val="0"/>
          <w:sz w:val="24"/>
          <w:szCs w:val="24"/>
          <w:highlight w:val="none"/>
          <w:lang w:val="en-US" w:eastAsia="zh-CN" w:bidi="ar-SA"/>
        </w:rPr>
        <w:t xml:space="preserve">.5 </w:t>
      </w:r>
      <w:r>
        <w:rPr>
          <w:rFonts w:hint="eastAsia" w:ascii="Times New Roman" w:hAnsi="Times New Roman" w:eastAsia="Ђˎ̥" w:cs="宋体"/>
          <w:color w:val="auto"/>
          <w:kern w:val="0"/>
          <w:sz w:val="24"/>
          <w:szCs w:val="24"/>
          <w:highlight w:val="none"/>
          <w:lang w:val="en-US" w:eastAsia="zh-CN" w:bidi="ar-SA"/>
        </w:rPr>
        <w:t>分包</w:t>
      </w:r>
      <w:bookmarkEnd w:id="213"/>
    </w:p>
    <w:bookmarkEnd w:id="214"/>
    <w:bookmarkEnd w:id="215"/>
    <w:bookmarkEnd w:id="216"/>
    <w:p w14:paraId="57E15CC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3.5.1 </w:t>
      </w:r>
      <w:r>
        <w:rPr>
          <w:rFonts w:hint="eastAsia" w:ascii="宋体" w:hAnsi="宋体" w:eastAsia="宋体" w:cs="Times New Roman"/>
          <w:color w:val="auto"/>
          <w:kern w:val="0"/>
          <w:sz w:val="24"/>
          <w:szCs w:val="24"/>
          <w:highlight w:val="none"/>
        </w:rPr>
        <w:t>分包的一般约定</w:t>
      </w:r>
    </w:p>
    <w:p w14:paraId="53ABB96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7004F70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承包人不得以劳务分包的名义转包或违法分包工程。</w:t>
      </w:r>
    </w:p>
    <w:p w14:paraId="3EEE029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3.5.2 </w:t>
      </w:r>
      <w:r>
        <w:rPr>
          <w:rFonts w:hint="eastAsia" w:ascii="宋体" w:hAnsi="宋体" w:eastAsia="宋体" w:cs="Times New Roman"/>
          <w:color w:val="auto"/>
          <w:kern w:val="0"/>
          <w:sz w:val="24"/>
          <w:szCs w:val="24"/>
          <w:highlight w:val="none"/>
        </w:rPr>
        <w:t>分包的确定</w:t>
      </w:r>
    </w:p>
    <w:p w14:paraId="0D2162A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承包人应按专用合同条款的约定进行分包，确定分包人。已标价工程量清单或预算书中给定暂估价的专业工程，按照第</w:t>
      </w:r>
      <w:r>
        <w:rPr>
          <w:rFonts w:ascii="宋体" w:hAnsi="宋体" w:eastAsia="宋体" w:cs="Times New Roman"/>
          <w:color w:val="auto"/>
          <w:kern w:val="0"/>
          <w:sz w:val="24"/>
          <w:szCs w:val="24"/>
          <w:highlight w:val="none"/>
        </w:rPr>
        <w:t>10.7</w:t>
      </w:r>
      <w:r>
        <w:rPr>
          <w:rFonts w:hint="eastAsia" w:ascii="宋体" w:hAnsi="宋体" w:eastAsia="宋体" w:cs="Times New Roman"/>
          <w:color w:val="auto"/>
          <w:kern w:val="0"/>
          <w:sz w:val="24"/>
          <w:szCs w:val="24"/>
          <w:highlight w:val="none"/>
        </w:rPr>
        <w:t>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天内向发包人和监理人提交分包合同副本。</w:t>
      </w:r>
    </w:p>
    <w:p w14:paraId="0C0DE7B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3.5.3 </w:t>
      </w:r>
      <w:r>
        <w:rPr>
          <w:rFonts w:hint="eastAsia" w:ascii="宋体" w:hAnsi="宋体" w:eastAsia="宋体" w:cs="Times New Roman"/>
          <w:color w:val="auto"/>
          <w:kern w:val="0"/>
          <w:sz w:val="24"/>
          <w:szCs w:val="24"/>
          <w:highlight w:val="none"/>
        </w:rPr>
        <w:t>分包管理</w:t>
      </w:r>
    </w:p>
    <w:p w14:paraId="7A407540">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承包人应向监理人提交分包人的主要施工管理人员表，并对分包人的施工人员进行实名制管理，包括但不限于进出场管理、登记造册以及各种证照的办理。</w:t>
      </w:r>
    </w:p>
    <w:p w14:paraId="66C40BCB">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3.5.4 </w:t>
      </w:r>
      <w:r>
        <w:rPr>
          <w:rFonts w:hint="eastAsia" w:ascii="宋体" w:hAnsi="宋体" w:eastAsia="宋体" w:cs="Times New Roman"/>
          <w:color w:val="auto"/>
          <w:kern w:val="0"/>
          <w:sz w:val="24"/>
          <w:szCs w:val="24"/>
          <w:highlight w:val="none"/>
        </w:rPr>
        <w:t>分包合同价款</w:t>
      </w:r>
    </w:p>
    <w:p w14:paraId="6518CB9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）除本项第（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）目约定的情况或专用合同条款另有约定外，分包合同价款由承包人与分包人结算，未经承包人同意，发包人不得向分包人支付分包工程价款；</w:t>
      </w:r>
    </w:p>
    <w:p w14:paraId="16CC244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）生效法律文书要求发包人向分包人支付分包合同价款的，发包人有权从应付承包人工程款中扣除该部分款项。</w:t>
      </w:r>
    </w:p>
    <w:p w14:paraId="7F16D6D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3.5.5 </w:t>
      </w:r>
      <w:r>
        <w:rPr>
          <w:rFonts w:hint="eastAsia" w:ascii="宋体" w:hAnsi="宋体" w:eastAsia="宋体" w:cs="Times New Roman"/>
          <w:color w:val="auto"/>
          <w:kern w:val="0"/>
          <w:sz w:val="24"/>
          <w:szCs w:val="24"/>
          <w:highlight w:val="none"/>
        </w:rPr>
        <w:t>分包合同权益的转让</w:t>
      </w:r>
    </w:p>
    <w:p w14:paraId="7123BA6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17" w:name="_Toc351203524"/>
    </w:p>
    <w:p w14:paraId="5C8628D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r>
        <w:rPr>
          <w:rFonts w:ascii="Times New Roman" w:hAnsi="Times New Roman" w:eastAsia="Ђˎ̥" w:cs="Times New Roman"/>
          <w:color w:val="auto"/>
          <w:kern w:val="0"/>
          <w:sz w:val="24"/>
          <w:szCs w:val="24"/>
          <w:highlight w:val="none"/>
          <w:lang w:val="en-US" w:eastAsia="zh-CN" w:bidi="ar-SA"/>
        </w:rPr>
        <w:t xml:space="preserve">3.6 </w:t>
      </w:r>
      <w:r>
        <w:rPr>
          <w:rFonts w:hint="eastAsia" w:ascii="Times New Roman" w:hAnsi="Times New Roman" w:eastAsia="Ђˎ̥" w:cs="Times New Roman"/>
          <w:color w:val="auto"/>
          <w:kern w:val="0"/>
          <w:sz w:val="24"/>
          <w:szCs w:val="24"/>
          <w:highlight w:val="none"/>
          <w:lang w:val="en-US" w:eastAsia="zh-CN" w:bidi="ar-SA"/>
        </w:rPr>
        <w:t>工程照管与成品、半成品保护</w:t>
      </w:r>
      <w:bookmarkEnd w:id="217"/>
    </w:p>
    <w:p w14:paraId="0E8255F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）除专用合同条款另有约定外，自发包人向承包人移交施工现场之日起，承包人应负责照管工程及工程相关的材料、工程设备，直到颁发工程接收证书之日止。</w:t>
      </w:r>
    </w:p>
    <w:p w14:paraId="616D07B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）在承包人负责照管期间，因承包人原因造成工程、材料、工程设备损坏的，由承包人负责修复或更换，并承担由此增加的费用和（或）延误的工期。</w:t>
      </w:r>
    </w:p>
    <w:p w14:paraId="5FAD820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）对合同内分期完成的成品和半成品，在工程接收证书颁发前，由承包人承担保护责任。因承包人原因造成成品或半成品损坏的，由承包人负责修复或更换，并承担由此增加的费用和（或）延误的工期。</w:t>
      </w:r>
    </w:p>
    <w:p w14:paraId="6C06C77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18" w:name="_Toc351203525"/>
      <w:r>
        <w:rPr>
          <w:rFonts w:ascii="Times New Roman" w:hAnsi="Times New Roman" w:eastAsia="Ђˎ̥" w:cs="Times New Roman"/>
          <w:color w:val="auto"/>
          <w:kern w:val="0"/>
          <w:sz w:val="24"/>
          <w:szCs w:val="24"/>
          <w:highlight w:val="none"/>
          <w:lang w:val="en-US" w:eastAsia="zh-CN" w:bidi="ar-SA"/>
        </w:rPr>
        <w:t>3</w:t>
      </w:r>
      <w:bookmarkStart w:id="219" w:name="_Toc296346553"/>
      <w:bookmarkStart w:id="220" w:name="_Toc296503052"/>
      <w:bookmarkStart w:id="221" w:name="_Toc337558752"/>
      <w:r>
        <w:rPr>
          <w:rFonts w:ascii="Times New Roman" w:hAnsi="Times New Roman" w:eastAsia="Ђˎ̥" w:cs="Times New Roman"/>
          <w:color w:val="auto"/>
          <w:kern w:val="0"/>
          <w:sz w:val="24"/>
          <w:szCs w:val="24"/>
          <w:highlight w:val="none"/>
          <w:lang w:val="en-US" w:eastAsia="zh-CN" w:bidi="ar-SA"/>
        </w:rPr>
        <w:t xml:space="preserve">.7 </w:t>
      </w:r>
      <w:r>
        <w:rPr>
          <w:rFonts w:hint="eastAsia" w:ascii="Times New Roman" w:hAnsi="Times New Roman" w:eastAsia="Ђˎ̥" w:cs="宋体"/>
          <w:color w:val="auto"/>
          <w:kern w:val="0"/>
          <w:sz w:val="24"/>
          <w:szCs w:val="24"/>
          <w:highlight w:val="none"/>
          <w:lang w:val="en-US" w:eastAsia="zh-CN" w:bidi="ar-SA"/>
        </w:rPr>
        <w:t>履约担保</w:t>
      </w:r>
      <w:bookmarkEnd w:id="218"/>
    </w:p>
    <w:bookmarkEnd w:id="219"/>
    <w:bookmarkEnd w:id="220"/>
    <w:bookmarkEnd w:id="221"/>
    <w:p w14:paraId="42B635A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0F421BE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因承包人原因导致工期延长的，继续提供履约担保所增加的费用由承包人承担；非因承包人原因导致工期延长的，继续提供履约担保所增加的费用由发包人承担。</w:t>
      </w:r>
    </w:p>
    <w:p w14:paraId="6B12A28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22" w:name="_Toc351203526"/>
      <w:r>
        <w:rPr>
          <w:rFonts w:ascii="Times New Roman" w:hAnsi="Times New Roman" w:eastAsia="Ђˎ̥" w:cs="Times New Roman"/>
          <w:color w:val="auto"/>
          <w:kern w:val="0"/>
          <w:sz w:val="24"/>
          <w:szCs w:val="24"/>
          <w:highlight w:val="none"/>
          <w:lang w:val="en-US" w:eastAsia="zh-CN" w:bidi="ar-SA"/>
        </w:rPr>
        <w:t xml:space="preserve">3.8 </w:t>
      </w:r>
      <w:r>
        <w:rPr>
          <w:rFonts w:hint="eastAsia" w:ascii="Times New Roman" w:hAnsi="Times New Roman" w:eastAsia="Ђˎ̥" w:cs="宋体"/>
          <w:color w:val="auto"/>
          <w:kern w:val="0"/>
          <w:sz w:val="24"/>
          <w:szCs w:val="24"/>
          <w:highlight w:val="none"/>
          <w:lang w:val="en-US" w:eastAsia="zh-CN" w:bidi="ar-SA"/>
        </w:rPr>
        <w:t>联合体</w:t>
      </w:r>
      <w:bookmarkEnd w:id="222"/>
    </w:p>
    <w:p w14:paraId="2DDC83C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3.8.1 </w:t>
      </w:r>
      <w:r>
        <w:rPr>
          <w:rFonts w:hint="eastAsia" w:ascii="宋体" w:hAnsi="宋体" w:eastAsia="宋体" w:cs="Times New Roman"/>
          <w:color w:val="auto"/>
          <w:kern w:val="0"/>
          <w:sz w:val="24"/>
          <w:szCs w:val="24"/>
          <w:highlight w:val="none"/>
        </w:rPr>
        <w:t>联合体各方应共同与发包人签订合同协议书。联合体各方应为履行合同向发包人承担连带责任。</w:t>
      </w:r>
    </w:p>
    <w:p w14:paraId="4E2448B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3.8.2 </w:t>
      </w:r>
      <w:r>
        <w:rPr>
          <w:rFonts w:hint="eastAsia" w:ascii="宋体" w:hAnsi="宋体" w:eastAsia="宋体" w:cs="Times New Roman"/>
          <w:color w:val="auto"/>
          <w:kern w:val="0"/>
          <w:sz w:val="24"/>
          <w:szCs w:val="24"/>
          <w:highlight w:val="none"/>
        </w:rPr>
        <w:t>联合体协议经发包人确认后作为合同附件。在履行合同过程中，未经发包人同意，不得修改联合体协议。</w:t>
      </w:r>
    </w:p>
    <w:p w14:paraId="4248B02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3.8.3 </w:t>
      </w:r>
      <w:r>
        <w:rPr>
          <w:rFonts w:hint="eastAsia" w:ascii="宋体" w:hAnsi="宋体" w:eastAsia="宋体" w:cs="Times New Roman"/>
          <w:color w:val="auto"/>
          <w:kern w:val="0"/>
          <w:sz w:val="24"/>
          <w:szCs w:val="24"/>
          <w:highlight w:val="none"/>
        </w:rPr>
        <w:t>联合体牵头人负责与发包人和监理人联系，并接受指示，负责组织联合体各成员全面履行合同。</w:t>
      </w:r>
    </w:p>
    <w:p w14:paraId="4C1A2BDC">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223" w:name="_Toc17965073"/>
      <w:bookmarkStart w:id="224" w:name="_Toc351203527"/>
      <w:r>
        <w:rPr>
          <w:rFonts w:ascii="Times New Roman" w:hAnsi="Times New Roman" w:eastAsia="黑体" w:cs="Times New Roman"/>
          <w:b/>
          <w:bCs/>
          <w:color w:val="auto"/>
          <w:kern w:val="2"/>
          <w:sz w:val="24"/>
          <w:szCs w:val="24"/>
          <w:highlight w:val="none"/>
          <w:lang w:val="en-US" w:eastAsia="zh-CN" w:bidi="ar-SA"/>
        </w:rPr>
        <w:t>4</w:t>
      </w:r>
      <w:bookmarkStart w:id="225" w:name="_Toc296503053"/>
      <w:bookmarkStart w:id="226" w:name="_Toc296346554"/>
      <w:bookmarkStart w:id="227" w:name="_Toc337558753"/>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监</w:t>
      </w:r>
      <w:bookmarkEnd w:id="225"/>
      <w:bookmarkEnd w:id="226"/>
      <w:r>
        <w:rPr>
          <w:rFonts w:ascii="Times New Roman" w:hAnsi="Times New Roman" w:eastAsia="黑体" w:cs="宋体"/>
          <w:b/>
          <w:bCs/>
          <w:color w:val="auto"/>
          <w:kern w:val="2"/>
          <w:sz w:val="24"/>
          <w:szCs w:val="24"/>
          <w:highlight w:val="none"/>
          <w:lang w:val="en-US" w:eastAsia="zh-CN" w:bidi="ar-SA"/>
        </w:rPr>
        <w:t>理人</w:t>
      </w:r>
      <w:bookmarkEnd w:id="223"/>
      <w:bookmarkEnd w:id="224"/>
    </w:p>
    <w:bookmarkEnd w:id="227"/>
    <w:p w14:paraId="16ACCAF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28" w:name="_Toc351203528"/>
      <w:r>
        <w:rPr>
          <w:rFonts w:ascii="Times New Roman" w:hAnsi="Times New Roman" w:eastAsia="Ђˎ̥" w:cs="Times New Roman"/>
          <w:color w:val="auto"/>
          <w:kern w:val="0"/>
          <w:sz w:val="24"/>
          <w:szCs w:val="24"/>
          <w:highlight w:val="none"/>
          <w:lang w:val="en-US" w:eastAsia="zh-CN" w:bidi="ar-SA"/>
        </w:rPr>
        <w:t>4</w:t>
      </w:r>
      <w:bookmarkStart w:id="229" w:name="_Toc296346555"/>
      <w:bookmarkStart w:id="230" w:name="_Toc337558754"/>
      <w:bookmarkStart w:id="231" w:name="_Toc296503054"/>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Times New Roman"/>
          <w:color w:val="auto"/>
          <w:kern w:val="0"/>
          <w:sz w:val="24"/>
          <w:szCs w:val="24"/>
          <w:highlight w:val="none"/>
          <w:lang w:val="en-US" w:eastAsia="zh-CN" w:bidi="ar-SA"/>
        </w:rPr>
        <w:t>监理人的一般规定</w:t>
      </w:r>
      <w:bookmarkEnd w:id="228"/>
    </w:p>
    <w:bookmarkEnd w:id="229"/>
    <w:bookmarkEnd w:id="230"/>
    <w:bookmarkEnd w:id="231"/>
    <w:p w14:paraId="67CC4D2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7C79F38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除专用合同条款另有约定外，监理人在施工现场的办公场所、生活场所由承包人提供，所发生的费用由发包人承担。</w:t>
      </w:r>
    </w:p>
    <w:p w14:paraId="51126A7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32" w:name="_Toc351203529"/>
      <w:r>
        <w:rPr>
          <w:rFonts w:ascii="Times New Roman" w:hAnsi="Times New Roman" w:eastAsia="Ђˎ̥" w:cs="Times New Roman"/>
          <w:color w:val="auto"/>
          <w:kern w:val="0"/>
          <w:sz w:val="24"/>
          <w:szCs w:val="24"/>
          <w:highlight w:val="none"/>
          <w:lang w:val="en-US" w:eastAsia="zh-CN" w:bidi="ar-SA"/>
        </w:rPr>
        <w:t>4</w:t>
      </w:r>
      <w:bookmarkStart w:id="233" w:name="_Toc337558755"/>
      <w:r>
        <w:rPr>
          <w:rFonts w:ascii="Times New Roman" w:hAnsi="Times New Roman" w:eastAsia="Ђˎ̥" w:cs="Times New Roman"/>
          <w:color w:val="auto"/>
          <w:kern w:val="0"/>
          <w:sz w:val="24"/>
          <w:szCs w:val="24"/>
          <w:highlight w:val="none"/>
          <w:lang w:val="en-US" w:eastAsia="zh-CN" w:bidi="ar-SA"/>
        </w:rPr>
        <w:t>.2</w:t>
      </w:r>
      <w:r>
        <w:rPr>
          <w:rFonts w:hint="eastAsia" w:ascii="Times New Roman" w:hAnsi="Times New Roman" w:eastAsia="Ђˎ̥" w:cs="宋体"/>
          <w:color w:val="auto"/>
          <w:kern w:val="0"/>
          <w:sz w:val="24"/>
          <w:szCs w:val="24"/>
          <w:highlight w:val="none"/>
          <w:lang w:val="en-US" w:eastAsia="zh-CN" w:bidi="ar-SA"/>
        </w:rPr>
        <w:t>监理人员</w:t>
      </w:r>
      <w:bookmarkEnd w:id="232"/>
    </w:p>
    <w:bookmarkEnd w:id="233"/>
    <w:p w14:paraId="7976C8E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天书面通知承包人；更换其他监理人员，监理人应提前</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小时书面通知承包人。</w:t>
      </w:r>
    </w:p>
    <w:p w14:paraId="34146023">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34" w:name="_Toc351203530"/>
      <w:r>
        <w:rPr>
          <w:rFonts w:ascii="Times New Roman" w:hAnsi="Times New Roman" w:eastAsia="Ђˎ̥" w:cs="Times New Roman"/>
          <w:color w:val="auto"/>
          <w:kern w:val="0"/>
          <w:sz w:val="24"/>
          <w:szCs w:val="24"/>
          <w:highlight w:val="none"/>
          <w:lang w:val="en-US" w:eastAsia="zh-CN" w:bidi="ar-SA"/>
        </w:rPr>
        <w:t>4</w:t>
      </w:r>
      <w:bookmarkStart w:id="235" w:name="_Toc296503055"/>
      <w:bookmarkStart w:id="236" w:name="_Toc296346556"/>
      <w:bookmarkStart w:id="237" w:name="_Toc337558756"/>
      <w:r>
        <w:rPr>
          <w:rFonts w:ascii="Times New Roman" w:hAnsi="Times New Roman" w:eastAsia="Ђˎ̥" w:cs="Times New Roman"/>
          <w:color w:val="auto"/>
          <w:kern w:val="0"/>
          <w:sz w:val="24"/>
          <w:szCs w:val="24"/>
          <w:highlight w:val="none"/>
          <w:lang w:val="en-US" w:eastAsia="zh-CN" w:bidi="ar-SA"/>
        </w:rPr>
        <w:t>.3</w:t>
      </w:r>
      <w:bookmarkEnd w:id="235"/>
      <w:bookmarkEnd w:id="236"/>
      <w:r>
        <w:rPr>
          <w:rFonts w:hint="eastAsia" w:ascii="Times New Roman" w:hAnsi="Times New Roman" w:eastAsia="Ђˎ̥" w:cs="Times New Roman"/>
          <w:color w:val="auto"/>
          <w:kern w:val="0"/>
          <w:sz w:val="24"/>
          <w:szCs w:val="24"/>
          <w:highlight w:val="none"/>
          <w:lang w:val="en-US" w:eastAsia="zh-CN" w:bidi="ar-SA"/>
        </w:rPr>
        <w:t>监理人的指</w:t>
      </w:r>
      <w:bookmarkEnd w:id="237"/>
      <w:r>
        <w:rPr>
          <w:rFonts w:hint="eastAsia" w:ascii="Times New Roman" w:hAnsi="Times New Roman" w:eastAsia="Ђˎ̥" w:cs="Times New Roman"/>
          <w:color w:val="auto"/>
          <w:kern w:val="0"/>
          <w:sz w:val="24"/>
          <w:szCs w:val="24"/>
          <w:highlight w:val="none"/>
          <w:lang w:val="en-US" w:eastAsia="zh-CN" w:bidi="ar-SA"/>
        </w:rPr>
        <w:t>示</w:t>
      </w:r>
      <w:bookmarkEnd w:id="234"/>
    </w:p>
    <w:p w14:paraId="292D4FF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小时内补发书面监理指示，补发的书面监理指示应与口头指示一致。</w:t>
      </w:r>
    </w:p>
    <w:p w14:paraId="0F83F8E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款〔商定或确定〕约定应由总监理工程师作出确定的权力授权或委托给其他监理人员。</w:t>
      </w:r>
    </w:p>
    <w:p w14:paraId="47861FD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承包人对监理人发出的指示有疑问的，应向监理人提出书面异议，监理人应在</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小时内对该指示予以确认、更改或撤销，监理人逾期未回复的，承包人有权拒绝执行上述指示。</w:t>
      </w:r>
    </w:p>
    <w:p w14:paraId="7701773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59EC9C4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38" w:name="_Toc351203531"/>
      <w:r>
        <w:rPr>
          <w:rFonts w:ascii="Times New Roman" w:hAnsi="Times New Roman" w:eastAsia="Ђˎ̥" w:cs="Times New Roman"/>
          <w:color w:val="auto"/>
          <w:kern w:val="0"/>
          <w:sz w:val="24"/>
          <w:szCs w:val="24"/>
          <w:highlight w:val="none"/>
          <w:lang w:val="en-US" w:eastAsia="zh-CN" w:bidi="ar-SA"/>
        </w:rPr>
        <w:t>4</w:t>
      </w:r>
      <w:bookmarkStart w:id="239" w:name="_Toc296346558"/>
      <w:bookmarkStart w:id="240" w:name="_Toc337558757"/>
      <w:bookmarkStart w:id="241" w:name="_Toc296503057"/>
      <w:r>
        <w:rPr>
          <w:rFonts w:ascii="Times New Roman" w:hAnsi="Times New Roman" w:eastAsia="Ђˎ̥" w:cs="Times New Roman"/>
          <w:color w:val="auto"/>
          <w:kern w:val="0"/>
          <w:sz w:val="24"/>
          <w:szCs w:val="24"/>
          <w:highlight w:val="none"/>
          <w:lang w:val="en-US" w:eastAsia="zh-CN" w:bidi="ar-SA"/>
        </w:rPr>
        <w:t xml:space="preserve">.4 </w:t>
      </w:r>
      <w:r>
        <w:rPr>
          <w:rFonts w:hint="eastAsia" w:ascii="Times New Roman" w:hAnsi="Times New Roman" w:eastAsia="Ђˎ̥" w:cs="宋体"/>
          <w:color w:val="auto"/>
          <w:kern w:val="0"/>
          <w:sz w:val="24"/>
          <w:szCs w:val="24"/>
          <w:highlight w:val="none"/>
          <w:lang w:val="en-US" w:eastAsia="zh-CN" w:bidi="ar-SA"/>
        </w:rPr>
        <w:t>商定或确定</w:t>
      </w:r>
      <w:bookmarkEnd w:id="238"/>
    </w:p>
    <w:bookmarkEnd w:id="239"/>
    <w:bookmarkEnd w:id="240"/>
    <w:bookmarkEnd w:id="241"/>
    <w:p w14:paraId="777A699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合同当事人进行商定或确定时，总监理工程师应当会同合同当事人尽量通过协商达成一致，不能达成一致的，由总监理工程师按照合同约定审慎做出公正的确定。</w:t>
      </w:r>
    </w:p>
    <w:p w14:paraId="0681A52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总监理工程师应将确定以书面形式通知发包人和承包人，并附详细依据。合同当事人对总监理工程师的确定没有异议的，按照总监理工程师的确定执行。任何一方合同当事人有异议，按照第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条〔争议解决〕约定处理。争议解决前，合同当事人暂按总监理工程师的确定执行；争议解决后，争议解决的结果与总监理工程师的确定不一致的，按照争议解决的结果执行，由此造成的损失由责任人承担。</w:t>
      </w:r>
    </w:p>
    <w:p w14:paraId="3649CFC1">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242" w:name="_Toc17965074"/>
      <w:bookmarkStart w:id="243" w:name="_Toc351203532"/>
      <w:r>
        <w:rPr>
          <w:rFonts w:ascii="Times New Roman" w:hAnsi="Times New Roman" w:eastAsia="黑体" w:cs="Times New Roman"/>
          <w:b/>
          <w:bCs/>
          <w:color w:val="auto"/>
          <w:kern w:val="2"/>
          <w:sz w:val="24"/>
          <w:szCs w:val="24"/>
          <w:highlight w:val="none"/>
          <w:lang w:val="en-US" w:eastAsia="zh-CN" w:bidi="ar-SA"/>
        </w:rPr>
        <w:t>5</w:t>
      </w:r>
      <w:bookmarkStart w:id="244" w:name="_Toc337558758"/>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工程质量</w:t>
      </w:r>
      <w:bookmarkEnd w:id="242"/>
      <w:bookmarkEnd w:id="243"/>
    </w:p>
    <w:bookmarkEnd w:id="244"/>
    <w:p w14:paraId="4F9E527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45" w:name="_Toc351203533"/>
      <w:r>
        <w:rPr>
          <w:rFonts w:ascii="Times New Roman" w:hAnsi="Times New Roman" w:eastAsia="Ђˎ̥" w:cs="Times New Roman"/>
          <w:color w:val="auto"/>
          <w:kern w:val="0"/>
          <w:sz w:val="24"/>
          <w:szCs w:val="24"/>
          <w:highlight w:val="none"/>
          <w:lang w:val="en-US" w:eastAsia="zh-CN" w:bidi="ar-SA"/>
        </w:rPr>
        <w:t>5</w:t>
      </w:r>
      <w:bookmarkStart w:id="246" w:name="_Toc337558759"/>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宋体"/>
          <w:color w:val="auto"/>
          <w:kern w:val="0"/>
          <w:sz w:val="24"/>
          <w:szCs w:val="24"/>
          <w:highlight w:val="none"/>
          <w:lang w:val="en-US" w:eastAsia="zh-CN" w:bidi="ar-SA"/>
        </w:rPr>
        <w:t>质量要求</w:t>
      </w:r>
      <w:bookmarkEnd w:id="245"/>
    </w:p>
    <w:bookmarkEnd w:id="246"/>
    <w:p w14:paraId="3957F06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5.1.1 </w:t>
      </w:r>
      <w:r>
        <w:rPr>
          <w:rFonts w:hint="eastAsia" w:ascii="宋体" w:hAnsi="宋体" w:eastAsia="宋体" w:cs="Times New Roman"/>
          <w:color w:val="auto"/>
          <w:kern w:val="0"/>
          <w:sz w:val="24"/>
          <w:szCs w:val="24"/>
          <w:highlight w:val="none"/>
        </w:rPr>
        <w:t>工程质量标准必须符合现行国家有关工程施工质量验收规范和标准的要求。有关工程质量的特殊标准或要求由合同当事人在专用合同条款中约定。</w:t>
      </w:r>
    </w:p>
    <w:p w14:paraId="39DDE40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5.1.2 </w:t>
      </w:r>
      <w:r>
        <w:rPr>
          <w:rFonts w:hint="eastAsia" w:ascii="宋体" w:hAnsi="宋体" w:eastAsia="宋体" w:cs="Times New Roman"/>
          <w:color w:val="auto"/>
          <w:kern w:val="0"/>
          <w:sz w:val="24"/>
          <w:szCs w:val="24"/>
          <w:highlight w:val="none"/>
        </w:rPr>
        <w:t>因发包人原因造成工程质量未达到合同约定标准的，由发包人承担由此增加的费用和（或）延误的工期，并支付承包人合理的利润。</w:t>
      </w:r>
    </w:p>
    <w:p w14:paraId="23AAAB7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5.1.3 </w:t>
      </w:r>
      <w:r>
        <w:rPr>
          <w:rFonts w:hint="eastAsia" w:ascii="宋体" w:hAnsi="宋体" w:eastAsia="宋体" w:cs="Times New Roman"/>
          <w:color w:val="auto"/>
          <w:kern w:val="0"/>
          <w:sz w:val="24"/>
          <w:szCs w:val="24"/>
          <w:highlight w:val="none"/>
        </w:rPr>
        <w:t>因承包人原因造成工程质量未达到合同约定标准的，发包人有权要求承包人返工直至工程质量达到合同约定的标准为止，并由承包人承担由此增加的费用和（或）延误的工期。</w:t>
      </w:r>
    </w:p>
    <w:p w14:paraId="51366A5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47" w:name="_Toc351203534"/>
      <w:r>
        <w:rPr>
          <w:rFonts w:ascii="Times New Roman" w:hAnsi="Times New Roman" w:eastAsia="Ђˎ̥" w:cs="Times New Roman"/>
          <w:color w:val="auto"/>
          <w:kern w:val="0"/>
          <w:sz w:val="24"/>
          <w:szCs w:val="24"/>
          <w:highlight w:val="none"/>
          <w:lang w:val="en-US" w:eastAsia="zh-CN" w:bidi="ar-SA"/>
        </w:rPr>
        <w:t>5</w:t>
      </w:r>
      <w:bookmarkStart w:id="248" w:name="_Toc337558760"/>
      <w:r>
        <w:rPr>
          <w:rFonts w:ascii="Times New Roman" w:hAnsi="Times New Roman" w:eastAsia="Ђˎ̥" w:cs="Times New Roman"/>
          <w:color w:val="auto"/>
          <w:kern w:val="0"/>
          <w:sz w:val="24"/>
          <w:szCs w:val="24"/>
          <w:highlight w:val="none"/>
          <w:lang w:val="en-US" w:eastAsia="zh-CN" w:bidi="ar-SA"/>
        </w:rPr>
        <w:t>.2</w:t>
      </w:r>
      <w:r>
        <w:rPr>
          <w:rFonts w:hint="eastAsia" w:ascii="Times New Roman" w:hAnsi="Times New Roman" w:eastAsia="Ђˎ̥" w:cs="Times New Roman"/>
          <w:color w:val="auto"/>
          <w:kern w:val="0"/>
          <w:sz w:val="24"/>
          <w:szCs w:val="24"/>
          <w:highlight w:val="none"/>
          <w:lang w:val="en-US" w:eastAsia="zh-CN" w:bidi="ar-SA"/>
        </w:rPr>
        <w:t>质量保证措施</w:t>
      </w:r>
      <w:bookmarkEnd w:id="247"/>
    </w:p>
    <w:bookmarkEnd w:id="248"/>
    <w:p w14:paraId="0156C53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5.2.1 </w:t>
      </w:r>
      <w:r>
        <w:rPr>
          <w:rFonts w:hint="eastAsia" w:ascii="宋体" w:hAnsi="宋体" w:eastAsia="宋体" w:cs="Times New Roman"/>
          <w:color w:val="auto"/>
          <w:kern w:val="0"/>
          <w:sz w:val="24"/>
          <w:szCs w:val="24"/>
          <w:highlight w:val="none"/>
        </w:rPr>
        <w:t>发包人的质量管理</w:t>
      </w:r>
    </w:p>
    <w:p w14:paraId="5B4BCAE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发包人应按照法律规定及合同约定完成与工程质量有关的各项工作。</w:t>
      </w:r>
    </w:p>
    <w:p w14:paraId="6EC49D0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5.2.2 </w:t>
      </w:r>
      <w:r>
        <w:rPr>
          <w:rFonts w:hint="eastAsia" w:ascii="宋体" w:hAnsi="宋体" w:eastAsia="宋体" w:cs="Times New Roman"/>
          <w:color w:val="auto"/>
          <w:kern w:val="0"/>
          <w:sz w:val="24"/>
          <w:szCs w:val="24"/>
          <w:highlight w:val="none"/>
        </w:rPr>
        <w:t>承包人的质量管理</w:t>
      </w:r>
    </w:p>
    <w:p w14:paraId="0D0CA65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承包人按照第</w:t>
      </w:r>
      <w:r>
        <w:rPr>
          <w:rFonts w:ascii="宋体" w:hAnsi="宋体" w:eastAsia="宋体" w:cs="Times New Roman"/>
          <w:color w:val="auto"/>
          <w:kern w:val="0"/>
          <w:sz w:val="24"/>
          <w:szCs w:val="24"/>
          <w:highlight w:val="none"/>
        </w:rPr>
        <w:t>7.1</w:t>
      </w:r>
      <w:r>
        <w:rPr>
          <w:rFonts w:hint="eastAsia" w:ascii="宋体" w:hAnsi="宋体" w:eastAsia="宋体" w:cs="Times New Roman"/>
          <w:color w:val="auto"/>
          <w:kern w:val="0"/>
          <w:sz w:val="24"/>
          <w:szCs w:val="24"/>
          <w:highlight w:val="none"/>
        </w:rPr>
        <w:t>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1823CA7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承包人应对施工人员进行质量教育和技术培训，定期考核施工人员的劳动技能，严格执行施工规范和操作规程。</w:t>
      </w:r>
    </w:p>
    <w:p w14:paraId="2608B6E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094C9B9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5.2.3 </w:t>
      </w:r>
      <w:r>
        <w:rPr>
          <w:rFonts w:hint="eastAsia" w:ascii="宋体" w:hAnsi="宋体" w:eastAsia="宋体" w:cs="Times New Roman"/>
          <w:color w:val="auto"/>
          <w:kern w:val="0"/>
          <w:sz w:val="24"/>
          <w:szCs w:val="24"/>
          <w:highlight w:val="none"/>
        </w:rPr>
        <w:t>监理人的质量检查和检验</w:t>
      </w:r>
    </w:p>
    <w:p w14:paraId="6276474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708DBE9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795BE96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49" w:name="_Toc351203535"/>
      <w:r>
        <w:rPr>
          <w:rFonts w:ascii="Times New Roman" w:hAnsi="Times New Roman" w:eastAsia="Ђˎ̥" w:cs="Times New Roman"/>
          <w:color w:val="auto"/>
          <w:kern w:val="0"/>
          <w:sz w:val="24"/>
          <w:szCs w:val="24"/>
          <w:highlight w:val="none"/>
          <w:lang w:val="en-US" w:eastAsia="zh-CN" w:bidi="ar-SA"/>
        </w:rPr>
        <w:t>5</w:t>
      </w:r>
      <w:bookmarkStart w:id="250" w:name="_Toc337558761"/>
      <w:r>
        <w:rPr>
          <w:rFonts w:ascii="Times New Roman" w:hAnsi="Times New Roman" w:eastAsia="Ђˎ̥" w:cs="Times New Roman"/>
          <w:color w:val="auto"/>
          <w:kern w:val="0"/>
          <w:sz w:val="24"/>
          <w:szCs w:val="24"/>
          <w:highlight w:val="none"/>
          <w:lang w:val="en-US" w:eastAsia="zh-CN" w:bidi="ar-SA"/>
        </w:rPr>
        <w:t xml:space="preserve">.3 </w:t>
      </w:r>
      <w:r>
        <w:rPr>
          <w:rFonts w:hint="eastAsia" w:ascii="Times New Roman" w:hAnsi="Times New Roman" w:eastAsia="Ђˎ̥" w:cs="Times New Roman"/>
          <w:color w:val="auto"/>
          <w:kern w:val="0"/>
          <w:sz w:val="24"/>
          <w:szCs w:val="24"/>
          <w:highlight w:val="none"/>
          <w:lang w:val="en-US" w:eastAsia="zh-CN" w:bidi="ar-SA"/>
        </w:rPr>
        <w:t>隐蔽工程检查</w:t>
      </w:r>
      <w:bookmarkEnd w:id="249"/>
    </w:p>
    <w:bookmarkEnd w:id="250"/>
    <w:p w14:paraId="27FCFCB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5.3.1</w:t>
      </w:r>
      <w:r>
        <w:rPr>
          <w:rFonts w:hint="eastAsia" w:ascii="宋体" w:hAnsi="宋体" w:eastAsia="宋体" w:cs="Times New Roman"/>
          <w:color w:val="auto"/>
          <w:kern w:val="0"/>
          <w:sz w:val="24"/>
          <w:szCs w:val="24"/>
          <w:highlight w:val="none"/>
        </w:rPr>
        <w:t>承包人自检</w:t>
      </w:r>
    </w:p>
    <w:p w14:paraId="1940CC9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承包人应当对工程隐蔽部位进行自检，并经自检确认是否具备覆盖条件。</w:t>
      </w:r>
    </w:p>
    <w:p w14:paraId="3A18633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5.3.2</w:t>
      </w:r>
      <w:r>
        <w:rPr>
          <w:rFonts w:hint="eastAsia" w:ascii="宋体" w:hAnsi="宋体" w:eastAsia="宋体" w:cs="Times New Roman"/>
          <w:color w:val="auto"/>
          <w:kern w:val="0"/>
          <w:sz w:val="24"/>
          <w:szCs w:val="24"/>
          <w:highlight w:val="none"/>
        </w:rPr>
        <w:t>检查程序</w:t>
      </w:r>
    </w:p>
    <w:p w14:paraId="531FA43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除专用合同条款另有约定外，工程隐蔽部位经承包人自检确认具备覆盖条件的，承包人应在共同检查前</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小时书面通知监理人检查，通知中应载明隐蔽检查的内容、时间和地点，并应附有自检记录和必要的检查资料。</w:t>
      </w:r>
    </w:p>
    <w:p w14:paraId="7F9B942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6EF32C6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除专用合同条款另有约定外，监理人不能按时进行检查的，应在检查前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小时向承包人提交书面延期要求，但延期不能超过</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w:t>
      </w:r>
      <w:r>
        <w:rPr>
          <w:rFonts w:ascii="宋体" w:hAnsi="宋体" w:eastAsia="宋体" w:cs="Times New Roman"/>
          <w:color w:val="auto"/>
          <w:kern w:val="0"/>
          <w:sz w:val="24"/>
          <w:szCs w:val="24"/>
          <w:highlight w:val="none"/>
        </w:rPr>
        <w:t>5.3.3</w:t>
      </w:r>
      <w:r>
        <w:rPr>
          <w:rFonts w:hint="eastAsia" w:ascii="宋体" w:hAnsi="宋体" w:eastAsia="宋体" w:cs="Times New Roman"/>
          <w:color w:val="auto"/>
          <w:kern w:val="0"/>
          <w:sz w:val="24"/>
          <w:szCs w:val="24"/>
          <w:highlight w:val="none"/>
        </w:rPr>
        <w:t>项〔重新检查〕的约定重新检查。</w:t>
      </w:r>
    </w:p>
    <w:p w14:paraId="0426346B">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5.3.3 </w:t>
      </w:r>
      <w:r>
        <w:rPr>
          <w:rFonts w:hint="eastAsia" w:ascii="宋体" w:hAnsi="宋体" w:eastAsia="宋体" w:cs="Times New Roman"/>
          <w:color w:val="auto"/>
          <w:kern w:val="0"/>
          <w:sz w:val="24"/>
          <w:szCs w:val="24"/>
          <w:highlight w:val="none"/>
        </w:rPr>
        <w:t>重新检查</w:t>
      </w:r>
    </w:p>
    <w:p w14:paraId="291D565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6C9CB2B0">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5.3.4 </w:t>
      </w:r>
      <w:r>
        <w:rPr>
          <w:rFonts w:hint="eastAsia" w:ascii="宋体" w:hAnsi="宋体" w:eastAsia="宋体" w:cs="Times New Roman"/>
          <w:color w:val="auto"/>
          <w:kern w:val="0"/>
          <w:sz w:val="24"/>
          <w:szCs w:val="24"/>
          <w:highlight w:val="none"/>
        </w:rPr>
        <w:t>承包人私自覆盖</w:t>
      </w:r>
    </w:p>
    <w:p w14:paraId="19498931">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74C3D70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51" w:name="_Toc351203536"/>
      <w:r>
        <w:rPr>
          <w:rFonts w:ascii="Times New Roman" w:hAnsi="Times New Roman" w:eastAsia="Ђˎ̥" w:cs="Times New Roman"/>
          <w:color w:val="auto"/>
          <w:kern w:val="0"/>
          <w:sz w:val="24"/>
          <w:szCs w:val="24"/>
          <w:highlight w:val="none"/>
          <w:lang w:val="en-US" w:eastAsia="zh-CN" w:bidi="ar-SA"/>
        </w:rPr>
        <w:t>5</w:t>
      </w:r>
      <w:bookmarkStart w:id="252" w:name="_Toc337558762"/>
      <w:r>
        <w:rPr>
          <w:rFonts w:ascii="Times New Roman" w:hAnsi="Times New Roman" w:eastAsia="Ђˎ̥" w:cs="Times New Roman"/>
          <w:color w:val="auto"/>
          <w:kern w:val="0"/>
          <w:sz w:val="24"/>
          <w:szCs w:val="24"/>
          <w:highlight w:val="none"/>
          <w:lang w:val="en-US" w:eastAsia="zh-CN" w:bidi="ar-SA"/>
        </w:rPr>
        <w:t>.4</w:t>
      </w:r>
      <w:r>
        <w:rPr>
          <w:rFonts w:hint="eastAsia" w:ascii="Times New Roman" w:hAnsi="Times New Roman" w:eastAsia="Ђˎ̥" w:cs="Times New Roman"/>
          <w:color w:val="auto"/>
          <w:kern w:val="0"/>
          <w:sz w:val="24"/>
          <w:szCs w:val="24"/>
          <w:highlight w:val="none"/>
          <w:lang w:val="en-US" w:eastAsia="zh-CN" w:bidi="ar-SA"/>
        </w:rPr>
        <w:t>不合格工程的处理</w:t>
      </w:r>
      <w:bookmarkEnd w:id="251"/>
    </w:p>
    <w:bookmarkEnd w:id="252"/>
    <w:p w14:paraId="11F4FE1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5.4.1 </w:t>
      </w:r>
      <w:r>
        <w:rPr>
          <w:rFonts w:hint="eastAsia" w:ascii="宋体" w:hAnsi="宋体" w:eastAsia="宋体" w:cs="Times New Roman"/>
          <w:color w:val="auto"/>
          <w:kern w:val="0"/>
          <w:sz w:val="24"/>
          <w:szCs w:val="24"/>
          <w:highlight w:val="none"/>
        </w:rPr>
        <w:t>因承包人原因造成工程不合格的，发包人有权随时要求承包人采取补救措施，直至达到合同要求的质量标准，由此增加的费用和（或）延误的工期由承包人承担。无法补救的，按照第</w:t>
      </w:r>
      <w:r>
        <w:rPr>
          <w:rFonts w:ascii="宋体" w:hAnsi="宋体" w:eastAsia="宋体" w:cs="Times New Roman"/>
          <w:color w:val="auto"/>
          <w:kern w:val="0"/>
          <w:sz w:val="24"/>
          <w:szCs w:val="24"/>
          <w:highlight w:val="none"/>
        </w:rPr>
        <w:t>13.2.4</w:t>
      </w:r>
      <w:r>
        <w:rPr>
          <w:rFonts w:hint="eastAsia" w:ascii="宋体" w:hAnsi="宋体" w:eastAsia="宋体" w:cs="Times New Roman"/>
          <w:color w:val="auto"/>
          <w:kern w:val="0"/>
          <w:sz w:val="24"/>
          <w:szCs w:val="24"/>
          <w:highlight w:val="none"/>
        </w:rPr>
        <w:t>项〔拒绝接收全部或部分工程〕约定执行。</w:t>
      </w:r>
      <w:r>
        <w:rPr>
          <w:rFonts w:ascii="宋体" w:hAnsi="宋体" w:eastAsia="宋体" w:cs="Times New Roman"/>
          <w:color w:val="auto"/>
          <w:kern w:val="0"/>
          <w:sz w:val="24"/>
          <w:szCs w:val="24"/>
          <w:highlight w:val="none"/>
        </w:rPr>
        <w:t xml:space="preserve"> </w:t>
      </w:r>
    </w:p>
    <w:p w14:paraId="7B404E5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5.4.2 </w:t>
      </w:r>
      <w:r>
        <w:rPr>
          <w:rFonts w:hint="eastAsia" w:ascii="宋体" w:hAnsi="宋体" w:eastAsia="宋体" w:cs="Times New Roman"/>
          <w:color w:val="auto"/>
          <w:kern w:val="0"/>
          <w:sz w:val="24"/>
          <w:szCs w:val="24"/>
          <w:highlight w:val="none"/>
        </w:rPr>
        <w:t>因发包人原因造成工程不合格的，由此增加的费用和（或）延误的工期由发包人承担，并支付承包人合理的利润。</w:t>
      </w:r>
    </w:p>
    <w:p w14:paraId="798F377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53" w:name="_Toc351203537"/>
      <w:r>
        <w:rPr>
          <w:rFonts w:ascii="Times New Roman" w:hAnsi="Times New Roman" w:eastAsia="Ђˎ̥" w:cs="Times New Roman"/>
          <w:color w:val="auto"/>
          <w:kern w:val="0"/>
          <w:sz w:val="24"/>
          <w:szCs w:val="24"/>
          <w:highlight w:val="none"/>
          <w:lang w:val="en-US" w:eastAsia="zh-CN" w:bidi="ar-SA"/>
        </w:rPr>
        <w:t xml:space="preserve">5.5 </w:t>
      </w:r>
      <w:r>
        <w:rPr>
          <w:rFonts w:hint="eastAsia" w:ascii="Times New Roman" w:hAnsi="Times New Roman" w:eastAsia="Ђˎ̥" w:cs="Times New Roman"/>
          <w:color w:val="auto"/>
          <w:kern w:val="0"/>
          <w:sz w:val="24"/>
          <w:szCs w:val="24"/>
          <w:highlight w:val="none"/>
          <w:lang w:val="en-US" w:eastAsia="zh-CN" w:bidi="ar-SA"/>
        </w:rPr>
        <w:t>质量争议检测</w:t>
      </w:r>
      <w:bookmarkEnd w:id="253"/>
    </w:p>
    <w:p w14:paraId="7CB177E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合同当事人对工程质量有争议的，由双方协商确定的工程质量检测机构鉴定，由此产生的费用及因此造成的损失，由责任方承担。</w:t>
      </w:r>
    </w:p>
    <w:p w14:paraId="595F4C4A">
      <w:pPr>
        <w:autoSpaceDE w:val="0"/>
        <w:autoSpaceDN w:val="0"/>
        <w:adjustRightInd w:val="0"/>
        <w:spacing w:line="360" w:lineRule="auto"/>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合同当事人均有责任的，由双方根据其责任分别承担。合同当事人无法达成一致的，按照第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款〔商定或确定〕执行。</w:t>
      </w:r>
    </w:p>
    <w:p w14:paraId="1E8AF20E">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254" w:name="_Toc351203538"/>
      <w:bookmarkStart w:id="255" w:name="_Toc17965075"/>
      <w:r>
        <w:rPr>
          <w:rFonts w:ascii="Times New Roman" w:hAnsi="Times New Roman" w:eastAsia="黑体" w:cs="Times New Roman"/>
          <w:b/>
          <w:bCs/>
          <w:color w:val="auto"/>
          <w:kern w:val="2"/>
          <w:sz w:val="24"/>
          <w:szCs w:val="24"/>
          <w:highlight w:val="none"/>
          <w:lang w:val="en-US" w:eastAsia="zh-CN" w:bidi="ar-SA"/>
        </w:rPr>
        <w:t>6</w:t>
      </w:r>
      <w:bookmarkStart w:id="256" w:name="_Toc337558763"/>
      <w:r>
        <w:rPr>
          <w:rFonts w:ascii="Times New Roman" w:hAnsi="Times New Roman" w:eastAsia="黑体" w:cs="Times New Roman"/>
          <w:b/>
          <w:bCs/>
          <w:color w:val="auto"/>
          <w:kern w:val="2"/>
          <w:sz w:val="24"/>
          <w:szCs w:val="24"/>
          <w:highlight w:val="none"/>
          <w:lang w:val="en-US" w:eastAsia="zh-CN" w:bidi="ar-SA"/>
        </w:rPr>
        <w:t>. 安全文明施工与环境保护</w:t>
      </w:r>
      <w:bookmarkEnd w:id="254"/>
      <w:bookmarkEnd w:id="255"/>
    </w:p>
    <w:bookmarkEnd w:id="256"/>
    <w:p w14:paraId="20375CA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57" w:name="_Toc351203539"/>
      <w:r>
        <w:rPr>
          <w:rFonts w:ascii="Times New Roman" w:hAnsi="Times New Roman" w:eastAsia="Ђˎ̥" w:cs="Times New Roman"/>
          <w:color w:val="auto"/>
          <w:kern w:val="0"/>
          <w:sz w:val="24"/>
          <w:szCs w:val="24"/>
          <w:highlight w:val="none"/>
          <w:lang w:val="en-US" w:eastAsia="zh-CN" w:bidi="ar-SA"/>
        </w:rPr>
        <w:t>6</w:t>
      </w:r>
      <w:bookmarkStart w:id="258" w:name="_Toc337558764"/>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Times New Roman"/>
          <w:color w:val="auto"/>
          <w:kern w:val="0"/>
          <w:sz w:val="24"/>
          <w:szCs w:val="24"/>
          <w:highlight w:val="none"/>
          <w:lang w:val="en-US" w:eastAsia="zh-CN" w:bidi="ar-SA"/>
        </w:rPr>
        <w:t>安全文明施工</w:t>
      </w:r>
      <w:bookmarkEnd w:id="257"/>
    </w:p>
    <w:bookmarkEnd w:id="258"/>
    <w:p w14:paraId="2268AA8B">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6.1.1</w:t>
      </w:r>
      <w:r>
        <w:rPr>
          <w:rFonts w:hint="eastAsia" w:ascii="宋体" w:hAnsi="宋体" w:eastAsia="宋体" w:cs="Times New Roman"/>
          <w:color w:val="auto"/>
          <w:sz w:val="24"/>
          <w:szCs w:val="24"/>
          <w:highlight w:val="none"/>
        </w:rPr>
        <w:t>安全生产要求</w:t>
      </w:r>
    </w:p>
    <w:p w14:paraId="3C4B9EB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3B6DADC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在施工过程中，如遇到突发的地质变动、事先未知的地下施工障碍等影响施工安全的紧急情况，承包人应及时报告监理人和发包人，发包人应当及时下令停工并报</w:t>
      </w:r>
      <w:r>
        <w:rPr>
          <w:rFonts w:hint="eastAsia" w:ascii="宋体" w:hAnsi="宋体" w:eastAsia="宋体" w:cs="Times New Roman"/>
          <w:color w:val="auto"/>
          <w:kern w:val="0"/>
          <w:sz w:val="24"/>
          <w:szCs w:val="24"/>
          <w:highlight w:val="none"/>
        </w:rPr>
        <w:t>政府有关行政管理部门</w:t>
      </w:r>
      <w:r>
        <w:rPr>
          <w:rFonts w:hint="eastAsia" w:ascii="宋体" w:hAnsi="宋体" w:eastAsia="宋体" w:cs="Times New Roman"/>
          <w:color w:val="auto"/>
          <w:sz w:val="24"/>
          <w:szCs w:val="24"/>
          <w:highlight w:val="none"/>
        </w:rPr>
        <w:t>采取应急措施。</w:t>
      </w:r>
    </w:p>
    <w:p w14:paraId="06F79D2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因安全生产需要暂停施工的，按照第</w:t>
      </w:r>
      <w:r>
        <w:rPr>
          <w:rFonts w:ascii="宋体" w:hAnsi="宋体" w:eastAsia="宋体" w:cs="Times New Roman"/>
          <w:color w:val="auto"/>
          <w:sz w:val="24"/>
          <w:szCs w:val="24"/>
          <w:highlight w:val="none"/>
        </w:rPr>
        <w:t>7.8</w:t>
      </w:r>
      <w:r>
        <w:rPr>
          <w:rFonts w:hint="eastAsia" w:ascii="宋体" w:hAnsi="宋体" w:eastAsia="宋体" w:cs="Times New Roman"/>
          <w:color w:val="auto"/>
          <w:sz w:val="24"/>
          <w:szCs w:val="24"/>
          <w:highlight w:val="none"/>
        </w:rPr>
        <w:t>款〔暂停施工〕的约定执行。</w:t>
      </w:r>
    </w:p>
    <w:p w14:paraId="43CB2B78">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6.1.2 </w:t>
      </w:r>
      <w:r>
        <w:rPr>
          <w:rFonts w:hint="eastAsia" w:ascii="宋体" w:hAnsi="宋体" w:eastAsia="宋体" w:cs="Times New Roman"/>
          <w:color w:val="auto"/>
          <w:sz w:val="24"/>
          <w:szCs w:val="24"/>
          <w:highlight w:val="none"/>
        </w:rPr>
        <w:t>安全生产保证措施</w:t>
      </w:r>
    </w:p>
    <w:p w14:paraId="67DD255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sz w:val="24"/>
          <w:szCs w:val="24"/>
          <w:highlight w:val="none"/>
        </w:rPr>
        <w:t>承包人应当按照有关</w:t>
      </w:r>
      <w:r>
        <w:rPr>
          <w:rFonts w:hint="eastAsia" w:ascii="宋体" w:hAnsi="宋体" w:eastAsia="宋体" w:cs="Times New Roman"/>
          <w:color w:val="auto"/>
          <w:kern w:val="0"/>
          <w:sz w:val="24"/>
          <w:szCs w:val="24"/>
          <w:highlight w:val="none"/>
        </w:rPr>
        <w:t>规定编制安全技术措施或者专项施工方案，</w:t>
      </w:r>
      <w:r>
        <w:rPr>
          <w:rFonts w:hint="eastAsia" w:ascii="宋体" w:hAnsi="宋体" w:eastAsia="宋体" w:cs="Times New Roman"/>
          <w:color w:val="auto"/>
          <w:sz w:val="24"/>
          <w:szCs w:val="24"/>
          <w:highlight w:val="none"/>
        </w:rPr>
        <w:t>建立安全生产责任制度、治安保卫制度及安全生产教育培训制度，并</w:t>
      </w:r>
      <w:r>
        <w:rPr>
          <w:rFonts w:hint="eastAsia" w:ascii="宋体" w:hAnsi="宋体" w:eastAsia="宋体" w:cs="Times New Roman"/>
          <w:color w:val="auto"/>
          <w:kern w:val="0"/>
          <w:sz w:val="24"/>
          <w:szCs w:val="24"/>
          <w:highlight w:val="none"/>
        </w:rPr>
        <w:t>按安全生产法律规定及合同约定履行安全职责，如实</w:t>
      </w:r>
      <w:r>
        <w:rPr>
          <w:rFonts w:hint="eastAsia" w:ascii="宋体" w:hAnsi="宋体" w:eastAsia="宋体" w:cs="Times New Roman"/>
          <w:color w:val="auto"/>
          <w:sz w:val="24"/>
          <w:szCs w:val="24"/>
          <w:highlight w:val="none"/>
        </w:rPr>
        <w:t>编制工程安全生产的有关记录，</w:t>
      </w:r>
      <w:r>
        <w:rPr>
          <w:rFonts w:hint="eastAsia" w:ascii="宋体" w:hAnsi="宋体" w:eastAsia="宋体" w:cs="Times New Roman"/>
          <w:color w:val="auto"/>
          <w:kern w:val="0"/>
          <w:sz w:val="24"/>
          <w:szCs w:val="24"/>
          <w:highlight w:val="none"/>
        </w:rPr>
        <w:t>接受发包人、监理人及政府安全监督部门的检查与监督。</w:t>
      </w:r>
    </w:p>
    <w:p w14:paraId="21EE72D4">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6.1.3</w:t>
      </w:r>
      <w:r>
        <w:rPr>
          <w:rFonts w:hint="eastAsia" w:ascii="宋体" w:hAnsi="宋体" w:eastAsia="宋体" w:cs="Times New Roman"/>
          <w:color w:val="auto"/>
          <w:sz w:val="24"/>
          <w:szCs w:val="24"/>
          <w:highlight w:val="none"/>
        </w:rPr>
        <w:t>特别安全生产事项</w:t>
      </w:r>
    </w:p>
    <w:p w14:paraId="276741F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1CB981C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承包人在动力设备、输电线路、地下管道、密封防震车间、易燃易爆地段以及临街交通要道附近施工时，施工开始前应向发包人和监理人提出安全防护措施，经发包人认可后实施。</w:t>
      </w:r>
      <w:r>
        <w:rPr>
          <w:rFonts w:ascii="宋体" w:hAnsi="宋体" w:eastAsia="宋体" w:cs="Times New Roman"/>
          <w:color w:val="auto"/>
          <w:sz w:val="24"/>
          <w:szCs w:val="24"/>
          <w:highlight w:val="none"/>
        </w:rPr>
        <w:t xml:space="preserve"> </w:t>
      </w:r>
    </w:p>
    <w:p w14:paraId="5882FB7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实施爆破作业，在放射、毒害性环境中施工（含储存、运输、使用）及使用毒害性、腐蚀性物品施工时，承包人应在施工前</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天以书面通知发包人和监理人，并报送相应的安全防护措施，经发包人认可后实施。</w:t>
      </w:r>
    </w:p>
    <w:p w14:paraId="0ABD9F5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需单独编制危险性较大分部分项专项工程施工方案的，及要求进行专家论证的超过一定规模的危险性较大的分部分项工程，承包人应及时编制和组织论证。</w:t>
      </w:r>
    </w:p>
    <w:p w14:paraId="0A75FC43">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6.1.4 </w:t>
      </w:r>
      <w:r>
        <w:rPr>
          <w:rFonts w:hint="eastAsia" w:ascii="宋体" w:hAnsi="宋体" w:eastAsia="宋体" w:cs="Times New Roman"/>
          <w:color w:val="auto"/>
          <w:sz w:val="24"/>
          <w:szCs w:val="24"/>
          <w:highlight w:val="none"/>
        </w:rPr>
        <w:t>治安保卫</w:t>
      </w:r>
    </w:p>
    <w:p w14:paraId="09993B8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除专用合同条款另有约定外，发包人应与当地公安部门协商，在现场建立治安管理机构或联防组织，统一管理施工场地的治安保卫事项，履行合同工程的治安保卫职责。</w:t>
      </w:r>
    </w:p>
    <w:p w14:paraId="5F93B3F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发包人和承包人除应协助现场治安管理机构或联防组织维护施工场地的社会治安外，还应做好包括生活区在内的各自管辖区的治安保卫工作。</w:t>
      </w:r>
    </w:p>
    <w:p w14:paraId="5053B18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除专用合同条款另有约定外，发包人和承包人应在工程开工后</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48F6C962">
      <w:pPr>
        <w:spacing w:line="360" w:lineRule="auto"/>
        <w:ind w:firstLine="480" w:firstLineChars="200"/>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 xml:space="preserve">6.1.5 </w:t>
      </w:r>
      <w:r>
        <w:rPr>
          <w:rFonts w:hint="eastAsia" w:ascii="宋体" w:hAnsi="宋体" w:eastAsia="宋体" w:cs="Times New Roman"/>
          <w:color w:val="auto"/>
          <w:sz w:val="24"/>
          <w:szCs w:val="24"/>
          <w:highlight w:val="none"/>
        </w:rPr>
        <w:t>文明施工</w:t>
      </w:r>
    </w:p>
    <w:p w14:paraId="04794AE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5BEA82D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2BDE9AC4">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6.1.6 </w:t>
      </w:r>
      <w:r>
        <w:rPr>
          <w:rFonts w:hint="eastAsia" w:ascii="宋体" w:hAnsi="宋体" w:eastAsia="宋体" w:cs="Times New Roman"/>
          <w:color w:val="auto"/>
          <w:sz w:val="24"/>
          <w:szCs w:val="24"/>
          <w:highlight w:val="none"/>
        </w:rPr>
        <w:t>安全文明施工费</w:t>
      </w:r>
    </w:p>
    <w:p w14:paraId="26CB417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安全文明施工费由发包人承担，发包人不得以任何形式扣减该部分费用。因基准日期后合同所适用的法律或政府有关规定发生变化，增加的安全文明施工费由发包人承担。</w:t>
      </w:r>
    </w:p>
    <w:p w14:paraId="1391C20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1DF6A7E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除专用合同条款另有约定外，发包人应在开工后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天内预付安全文明施工费总额的</w:t>
      </w:r>
      <w:r>
        <w:rPr>
          <w:rFonts w:ascii="宋体" w:hAnsi="宋体" w:eastAsia="宋体" w:cs="Times New Roman"/>
          <w:color w:val="auto"/>
          <w:kern w:val="0"/>
          <w:sz w:val="24"/>
          <w:szCs w:val="24"/>
          <w:highlight w:val="none"/>
        </w:rPr>
        <w:t>50%</w:t>
      </w:r>
      <w:r>
        <w:rPr>
          <w:rFonts w:hint="eastAsia" w:ascii="宋体" w:hAnsi="宋体" w:eastAsia="宋体" w:cs="Times New Roman"/>
          <w:color w:val="auto"/>
          <w:kern w:val="0"/>
          <w:sz w:val="24"/>
          <w:szCs w:val="24"/>
          <w:highlight w:val="none"/>
        </w:rPr>
        <w:t>，其余部分与进度款同期支付。发包人逾期支付安全文明施工费超过</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天的，承包人有权向发包人发出要求预付的催告通知，发包人收到通知后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天内仍未支付的，承包人有权暂停施工，并按第</w:t>
      </w:r>
      <w:r>
        <w:rPr>
          <w:rFonts w:ascii="宋体" w:hAnsi="宋体" w:eastAsia="宋体" w:cs="Times New Roman"/>
          <w:color w:val="auto"/>
          <w:kern w:val="0"/>
          <w:sz w:val="24"/>
          <w:szCs w:val="24"/>
          <w:highlight w:val="none"/>
        </w:rPr>
        <w:t>16.1.1</w:t>
      </w:r>
      <w:r>
        <w:rPr>
          <w:rFonts w:hint="eastAsia" w:ascii="宋体" w:hAnsi="宋体" w:eastAsia="宋体" w:cs="Times New Roman"/>
          <w:color w:val="auto"/>
          <w:kern w:val="0"/>
          <w:sz w:val="24"/>
          <w:szCs w:val="24"/>
          <w:highlight w:val="none"/>
        </w:rPr>
        <w:t>项〔发包人违约的情形〕执行。</w:t>
      </w:r>
    </w:p>
    <w:p w14:paraId="64C12C5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5274318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6.1.7 </w:t>
      </w:r>
      <w:r>
        <w:rPr>
          <w:rFonts w:hint="eastAsia" w:ascii="宋体" w:hAnsi="宋体" w:eastAsia="宋体" w:cs="Times New Roman"/>
          <w:color w:val="auto"/>
          <w:kern w:val="0"/>
          <w:sz w:val="24"/>
          <w:szCs w:val="24"/>
          <w:highlight w:val="none"/>
        </w:rPr>
        <w:t>紧急情况处理</w:t>
      </w:r>
    </w:p>
    <w:p w14:paraId="623C3DBC">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797209B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6.1.8 </w:t>
      </w:r>
      <w:r>
        <w:rPr>
          <w:rFonts w:hint="eastAsia" w:ascii="宋体" w:hAnsi="宋体" w:eastAsia="宋体" w:cs="Times New Roman"/>
          <w:color w:val="auto"/>
          <w:kern w:val="0"/>
          <w:sz w:val="24"/>
          <w:szCs w:val="24"/>
          <w:highlight w:val="none"/>
        </w:rPr>
        <w:t>事故处理</w:t>
      </w:r>
    </w:p>
    <w:p w14:paraId="5AA6D35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6560633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6.1.9 </w:t>
      </w:r>
      <w:r>
        <w:rPr>
          <w:rFonts w:hint="eastAsia" w:ascii="宋体" w:hAnsi="宋体" w:eastAsia="宋体" w:cs="Times New Roman"/>
          <w:color w:val="auto"/>
          <w:kern w:val="0"/>
          <w:sz w:val="24"/>
          <w:szCs w:val="24"/>
          <w:highlight w:val="none"/>
        </w:rPr>
        <w:t>安全生产责任</w:t>
      </w:r>
    </w:p>
    <w:p w14:paraId="1C09159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6.1.9.1 </w:t>
      </w:r>
      <w:r>
        <w:rPr>
          <w:rFonts w:hint="eastAsia" w:ascii="宋体" w:hAnsi="宋体" w:eastAsia="宋体" w:cs="Times New Roman"/>
          <w:color w:val="auto"/>
          <w:kern w:val="0"/>
          <w:sz w:val="24"/>
          <w:szCs w:val="24"/>
          <w:highlight w:val="none"/>
        </w:rPr>
        <w:t>发包人的安全责任</w:t>
      </w:r>
    </w:p>
    <w:p w14:paraId="53B8FDF0">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发包人应负责赔偿以下各种情况造成的损失：</w:t>
      </w:r>
    </w:p>
    <w:p w14:paraId="2999BAE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）工程或工程的任何部分对土地的占用所造成的第三者财产损失；</w:t>
      </w:r>
    </w:p>
    <w:p w14:paraId="15489F5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）由于发包人原因在施工场地及其毗邻地带造成的第三者人身伤亡和财产损失；</w:t>
      </w:r>
    </w:p>
    <w:p w14:paraId="3DBF331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）由于发包人原因对承包人、监理人造成的人员人身伤亡和财产损失；</w:t>
      </w:r>
    </w:p>
    <w:p w14:paraId="32F7A16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）由于发包人原因造成的发包人自身人员的人身伤害以及财产损失。</w:t>
      </w:r>
    </w:p>
    <w:p w14:paraId="03FF0B7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6.1.9.2 </w:t>
      </w:r>
      <w:r>
        <w:rPr>
          <w:rFonts w:hint="eastAsia" w:ascii="宋体" w:hAnsi="宋体" w:eastAsia="宋体" w:cs="Times New Roman"/>
          <w:color w:val="auto"/>
          <w:kern w:val="0"/>
          <w:sz w:val="24"/>
          <w:szCs w:val="24"/>
          <w:highlight w:val="none"/>
        </w:rPr>
        <w:t>承包人的安全责任</w:t>
      </w:r>
    </w:p>
    <w:p w14:paraId="782E5C28">
      <w:pPr>
        <w:spacing w:line="360" w:lineRule="auto"/>
        <w:ind w:firstLine="480" w:firstLineChars="200"/>
        <w:rPr>
          <w:rFonts w:ascii="宋体" w:hAnsi="宋体" w:eastAsia="宋体" w:cs="Times New Roman"/>
          <w:color w:val="auto"/>
          <w:kern w:val="0"/>
          <w:sz w:val="24"/>
          <w:szCs w:val="24"/>
          <w:highlight w:val="none"/>
        </w:rPr>
      </w:pPr>
      <w:r>
        <w:rPr>
          <w:rFonts w:hint="eastAsia" w:ascii="宋体" w:hAnsi="宋体" w:eastAsia="宋体" w:cs="Times New Roman"/>
          <w:color w:val="auto"/>
          <w:sz w:val="24"/>
          <w:szCs w:val="24"/>
          <w:highlight w:val="none"/>
        </w:rPr>
        <w:t>由于承包人原因在施工场地内及其毗邻地带造成的发包人、监理人以及第三者人员伤亡和财产损失，由承包人负责赔偿。</w:t>
      </w:r>
    </w:p>
    <w:p w14:paraId="35340FA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59" w:name="_Toc351203540"/>
      <w:r>
        <w:rPr>
          <w:rFonts w:ascii="Times New Roman" w:hAnsi="Times New Roman" w:eastAsia="Ђˎ̥" w:cs="Times New Roman"/>
          <w:color w:val="auto"/>
          <w:kern w:val="0"/>
          <w:sz w:val="24"/>
          <w:szCs w:val="24"/>
          <w:highlight w:val="none"/>
          <w:lang w:val="en-US" w:eastAsia="zh-CN" w:bidi="ar-SA"/>
        </w:rPr>
        <w:t>6</w:t>
      </w:r>
      <w:bookmarkStart w:id="260" w:name="_Toc337558765"/>
      <w:r>
        <w:rPr>
          <w:rFonts w:ascii="Times New Roman" w:hAnsi="Times New Roman" w:eastAsia="Ђˎ̥" w:cs="Times New Roman"/>
          <w:color w:val="auto"/>
          <w:kern w:val="0"/>
          <w:sz w:val="24"/>
          <w:szCs w:val="24"/>
          <w:highlight w:val="none"/>
          <w:lang w:val="en-US" w:eastAsia="zh-CN" w:bidi="ar-SA"/>
        </w:rPr>
        <w:t xml:space="preserve">.2 </w:t>
      </w:r>
      <w:r>
        <w:rPr>
          <w:rFonts w:hint="eastAsia" w:ascii="Times New Roman" w:hAnsi="Times New Roman" w:eastAsia="Ђˎ̥" w:cs="宋体"/>
          <w:color w:val="auto"/>
          <w:kern w:val="0"/>
          <w:sz w:val="24"/>
          <w:szCs w:val="24"/>
          <w:highlight w:val="none"/>
          <w:lang w:val="en-US" w:eastAsia="zh-CN" w:bidi="ar-SA"/>
        </w:rPr>
        <w:t>职业健康</w:t>
      </w:r>
      <w:bookmarkEnd w:id="259"/>
    </w:p>
    <w:bookmarkEnd w:id="260"/>
    <w:p w14:paraId="4791779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6.2.1 </w:t>
      </w:r>
      <w:r>
        <w:rPr>
          <w:rFonts w:hint="eastAsia" w:ascii="宋体" w:hAnsi="宋体" w:eastAsia="宋体" w:cs="Times New Roman"/>
          <w:color w:val="auto"/>
          <w:kern w:val="0"/>
          <w:sz w:val="24"/>
          <w:szCs w:val="24"/>
          <w:highlight w:val="none"/>
        </w:rPr>
        <w:t>劳动保护</w:t>
      </w:r>
    </w:p>
    <w:p w14:paraId="561837F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00D7CC5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承包人应按照法律规定保障现场施工人员的劳动安全，并提供劳动保护</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6391030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0422AF9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6.2.2 </w:t>
      </w:r>
      <w:r>
        <w:rPr>
          <w:rFonts w:hint="eastAsia" w:ascii="宋体" w:hAnsi="宋体" w:eastAsia="宋体" w:cs="Times New Roman"/>
          <w:color w:val="auto"/>
          <w:kern w:val="0"/>
          <w:sz w:val="24"/>
          <w:szCs w:val="24"/>
          <w:highlight w:val="none"/>
        </w:rPr>
        <w:t>生活条件</w:t>
      </w:r>
    </w:p>
    <w:p w14:paraId="0E495F2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在远离城镇的施工场地，还应配备必要的伤病防治和急救的医务人员与医疗设施。</w:t>
      </w:r>
    </w:p>
    <w:p w14:paraId="12396E0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61" w:name="_Toc351203541"/>
      <w:r>
        <w:rPr>
          <w:rFonts w:ascii="Times New Roman" w:hAnsi="Times New Roman" w:eastAsia="Ђˎ̥" w:cs="Times New Roman"/>
          <w:color w:val="auto"/>
          <w:kern w:val="0"/>
          <w:sz w:val="24"/>
          <w:szCs w:val="24"/>
          <w:highlight w:val="none"/>
          <w:lang w:val="en-US" w:eastAsia="zh-CN" w:bidi="ar-SA"/>
        </w:rPr>
        <w:t>6</w:t>
      </w:r>
      <w:bookmarkStart w:id="262" w:name="_Toc337558766"/>
      <w:r>
        <w:rPr>
          <w:rFonts w:ascii="Times New Roman" w:hAnsi="Times New Roman" w:eastAsia="Ђˎ̥" w:cs="Times New Roman"/>
          <w:color w:val="auto"/>
          <w:kern w:val="0"/>
          <w:sz w:val="24"/>
          <w:szCs w:val="24"/>
          <w:highlight w:val="none"/>
          <w:lang w:val="en-US" w:eastAsia="zh-CN" w:bidi="ar-SA"/>
        </w:rPr>
        <w:t xml:space="preserve">.3 </w:t>
      </w:r>
      <w:r>
        <w:rPr>
          <w:rFonts w:hint="eastAsia" w:ascii="Times New Roman" w:hAnsi="Times New Roman" w:eastAsia="Ђˎ̥" w:cs="宋体"/>
          <w:color w:val="auto"/>
          <w:kern w:val="0"/>
          <w:sz w:val="24"/>
          <w:szCs w:val="24"/>
          <w:highlight w:val="none"/>
          <w:lang w:val="en-US" w:eastAsia="zh-CN" w:bidi="ar-SA"/>
        </w:rPr>
        <w:t>环境保护</w:t>
      </w:r>
      <w:bookmarkEnd w:id="261"/>
    </w:p>
    <w:bookmarkEnd w:id="262"/>
    <w:p w14:paraId="15A7A5E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680C63C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承包人应当承担因其原因引起的环境污染侵权损害赔偿责任，因上述环境污染引起纠纷而导致暂停施工的，由此增加的费用和（或）延误的工期由承包人承担。</w:t>
      </w:r>
    </w:p>
    <w:p w14:paraId="5240AF4C">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263" w:name="_Toc17965076"/>
      <w:bookmarkStart w:id="264" w:name="_Toc351203542"/>
      <w:r>
        <w:rPr>
          <w:rFonts w:ascii="Times New Roman" w:hAnsi="Times New Roman" w:eastAsia="黑体" w:cs="Times New Roman"/>
          <w:b/>
          <w:bCs/>
          <w:color w:val="auto"/>
          <w:kern w:val="2"/>
          <w:sz w:val="24"/>
          <w:szCs w:val="24"/>
          <w:highlight w:val="none"/>
          <w:lang w:val="en-US" w:eastAsia="zh-CN" w:bidi="ar-SA"/>
        </w:rPr>
        <w:t>7</w:t>
      </w:r>
      <w:bookmarkStart w:id="265" w:name="_Toc337558767"/>
      <w:r>
        <w:rPr>
          <w:rFonts w:ascii="Times New Roman" w:hAnsi="Times New Roman" w:eastAsia="黑体" w:cs="Times New Roman"/>
          <w:b/>
          <w:bCs/>
          <w:color w:val="auto"/>
          <w:kern w:val="2"/>
          <w:sz w:val="24"/>
          <w:szCs w:val="24"/>
          <w:highlight w:val="none"/>
          <w:lang w:val="en-US" w:eastAsia="zh-CN" w:bidi="ar-SA"/>
        </w:rPr>
        <w:t>. 工期和进度</w:t>
      </w:r>
      <w:bookmarkEnd w:id="263"/>
      <w:bookmarkEnd w:id="264"/>
    </w:p>
    <w:bookmarkEnd w:id="265"/>
    <w:p w14:paraId="448A9FA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66" w:name="_Toc351203543"/>
      <w:r>
        <w:rPr>
          <w:rFonts w:ascii="Times New Roman" w:hAnsi="Times New Roman" w:eastAsia="Ђˎ̥" w:cs="Times New Roman"/>
          <w:color w:val="auto"/>
          <w:kern w:val="0"/>
          <w:sz w:val="24"/>
          <w:szCs w:val="24"/>
          <w:highlight w:val="none"/>
          <w:lang w:val="en-US" w:eastAsia="zh-CN" w:bidi="ar-SA"/>
        </w:rPr>
        <w:t>7</w:t>
      </w:r>
      <w:bookmarkStart w:id="267" w:name="_Toc337558768"/>
      <w:bookmarkStart w:id="268" w:name="_Toc296503066"/>
      <w:bookmarkStart w:id="269" w:name="_Toc296346567"/>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Times New Roman"/>
          <w:color w:val="auto"/>
          <w:kern w:val="0"/>
          <w:sz w:val="24"/>
          <w:szCs w:val="24"/>
          <w:highlight w:val="none"/>
          <w:lang w:val="en-US" w:eastAsia="zh-CN" w:bidi="ar-SA"/>
        </w:rPr>
        <w:t>施工组织设计</w:t>
      </w:r>
      <w:bookmarkEnd w:id="266"/>
    </w:p>
    <w:bookmarkEnd w:id="267"/>
    <w:p w14:paraId="7B748C7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 xml:space="preserve">7.1.1 </w:t>
      </w:r>
      <w:r>
        <w:rPr>
          <w:rFonts w:hint="eastAsia" w:ascii="宋体" w:hAnsi="宋体" w:eastAsia="宋体" w:cs="Times New Roman"/>
          <w:color w:val="auto"/>
          <w:kern w:val="0"/>
          <w:sz w:val="24"/>
          <w:szCs w:val="24"/>
          <w:highlight w:val="none"/>
        </w:rPr>
        <w:t>施工组织设计的内容</w:t>
      </w:r>
    </w:p>
    <w:p w14:paraId="682C3BA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施工组织设计应包含以下内容：</w:t>
      </w:r>
    </w:p>
    <w:p w14:paraId="59C19D2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）施工方案；</w:t>
      </w:r>
      <w:r>
        <w:rPr>
          <w:rFonts w:ascii="宋体" w:hAnsi="宋体" w:eastAsia="宋体" w:cs="Times New Roman"/>
          <w:color w:val="auto"/>
          <w:kern w:val="0"/>
          <w:sz w:val="24"/>
          <w:szCs w:val="24"/>
          <w:highlight w:val="none"/>
        </w:rPr>
        <w:t xml:space="preserve"> </w:t>
      </w:r>
    </w:p>
    <w:p w14:paraId="519B82D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）施工现场平面布置图；</w:t>
      </w:r>
    </w:p>
    <w:p w14:paraId="6E6060B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）施工进度计划和保证措施；</w:t>
      </w:r>
      <w:r>
        <w:rPr>
          <w:rFonts w:ascii="宋体" w:hAnsi="宋体" w:eastAsia="宋体" w:cs="Times New Roman"/>
          <w:color w:val="auto"/>
          <w:kern w:val="0"/>
          <w:sz w:val="24"/>
          <w:szCs w:val="24"/>
          <w:highlight w:val="none"/>
        </w:rPr>
        <w:t xml:space="preserve"> </w:t>
      </w:r>
    </w:p>
    <w:p w14:paraId="2CC1015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）劳动力及材料供应计划；</w:t>
      </w:r>
    </w:p>
    <w:p w14:paraId="0087F23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）施工机械设备的选用；</w:t>
      </w:r>
    </w:p>
    <w:p w14:paraId="544BCAA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）质量保证体系及措施；</w:t>
      </w:r>
    </w:p>
    <w:p w14:paraId="3C92EC6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）安全生产、文明施工措施；</w:t>
      </w:r>
    </w:p>
    <w:p w14:paraId="23B5832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8</w:t>
      </w:r>
      <w:r>
        <w:rPr>
          <w:rFonts w:hint="eastAsia" w:ascii="宋体" w:hAnsi="宋体" w:eastAsia="宋体" w:cs="Times New Roman"/>
          <w:color w:val="auto"/>
          <w:kern w:val="0"/>
          <w:sz w:val="24"/>
          <w:szCs w:val="24"/>
          <w:highlight w:val="none"/>
        </w:rPr>
        <w:t>）环境保护、成本控制措施；</w:t>
      </w:r>
    </w:p>
    <w:p w14:paraId="1E521A8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9</w:t>
      </w:r>
      <w:r>
        <w:rPr>
          <w:rFonts w:hint="eastAsia" w:ascii="宋体" w:hAnsi="宋体" w:eastAsia="宋体" w:cs="Times New Roman"/>
          <w:color w:val="auto"/>
          <w:kern w:val="0"/>
          <w:sz w:val="24"/>
          <w:szCs w:val="24"/>
          <w:highlight w:val="none"/>
        </w:rPr>
        <w:t>）合同当事人约定的其他内容。</w:t>
      </w:r>
    </w:p>
    <w:p w14:paraId="0170588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 xml:space="preserve">7.1.2 </w:t>
      </w:r>
      <w:r>
        <w:rPr>
          <w:rFonts w:hint="eastAsia" w:ascii="宋体" w:hAnsi="宋体" w:eastAsia="宋体" w:cs="Times New Roman"/>
          <w:color w:val="auto"/>
          <w:kern w:val="0"/>
          <w:sz w:val="24"/>
          <w:szCs w:val="24"/>
          <w:highlight w:val="none"/>
        </w:rPr>
        <w:t>施工组织设计的提交和修改</w:t>
      </w:r>
    </w:p>
    <w:p w14:paraId="0CE1645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除专用合同条款另有约定外，承包人应在合同签订后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天内，但至迟不得晚于第</w:t>
      </w:r>
      <w:r>
        <w:rPr>
          <w:rFonts w:ascii="宋体" w:hAnsi="宋体" w:eastAsia="宋体" w:cs="Times New Roman"/>
          <w:color w:val="auto"/>
          <w:kern w:val="0"/>
          <w:sz w:val="24"/>
          <w:szCs w:val="24"/>
          <w:highlight w:val="none"/>
        </w:rPr>
        <w:t>7.3.2</w:t>
      </w:r>
      <w:r>
        <w:rPr>
          <w:rFonts w:hint="eastAsia" w:ascii="宋体" w:hAnsi="宋体" w:eastAsia="宋体" w:cs="Times New Roman"/>
          <w:color w:val="auto"/>
          <w:kern w:val="0"/>
          <w:sz w:val="24"/>
          <w:szCs w:val="24"/>
          <w:highlight w:val="none"/>
        </w:rPr>
        <w:t>项〔开工通知〕载明的开工日期前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天，向监理人提交详细的施工组织设计，并由监理人报送发包人。除专用合同条款另有约定外，发包人和监理人应在监理人收到施工组织设计后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天内确认或提出修改意见。对发包人和监理人提出的合理意见和要求，承包人应自费修改完善。根据工程实际情况需要修改施工组织设计的，承包人应向发包人和监理人提交修改后的施工组织设计。</w:t>
      </w:r>
    </w:p>
    <w:p w14:paraId="5BEB6C5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施工进度计划的编制和修改按照第</w:t>
      </w:r>
      <w:r>
        <w:rPr>
          <w:rFonts w:ascii="宋体" w:hAnsi="宋体" w:eastAsia="宋体" w:cs="Times New Roman"/>
          <w:color w:val="auto"/>
          <w:kern w:val="0"/>
          <w:sz w:val="24"/>
          <w:szCs w:val="24"/>
          <w:highlight w:val="none"/>
        </w:rPr>
        <w:t>7.2</w:t>
      </w:r>
      <w:r>
        <w:rPr>
          <w:rFonts w:hint="eastAsia" w:ascii="宋体" w:hAnsi="宋体" w:eastAsia="宋体" w:cs="Times New Roman"/>
          <w:color w:val="auto"/>
          <w:kern w:val="0"/>
          <w:sz w:val="24"/>
          <w:szCs w:val="24"/>
          <w:highlight w:val="none"/>
        </w:rPr>
        <w:t>款〔施工进度计划〕执行。</w:t>
      </w:r>
    </w:p>
    <w:p w14:paraId="1F91F30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70" w:name="_Toc351203544"/>
      <w:r>
        <w:rPr>
          <w:rFonts w:ascii="Times New Roman" w:hAnsi="Times New Roman" w:eastAsia="Ђˎ̥" w:cs="Times New Roman"/>
          <w:color w:val="auto"/>
          <w:kern w:val="0"/>
          <w:sz w:val="24"/>
          <w:szCs w:val="24"/>
          <w:highlight w:val="none"/>
          <w:lang w:val="en-US" w:eastAsia="zh-CN" w:bidi="ar-SA"/>
        </w:rPr>
        <w:t>7</w:t>
      </w:r>
      <w:bookmarkStart w:id="271" w:name="_Toc337558769"/>
      <w:r>
        <w:rPr>
          <w:rFonts w:ascii="Times New Roman" w:hAnsi="Times New Roman" w:eastAsia="Ђˎ̥" w:cs="Times New Roman"/>
          <w:color w:val="auto"/>
          <w:kern w:val="0"/>
          <w:sz w:val="24"/>
          <w:szCs w:val="24"/>
          <w:highlight w:val="none"/>
          <w:lang w:val="en-US" w:eastAsia="zh-CN" w:bidi="ar-SA"/>
        </w:rPr>
        <w:t xml:space="preserve">.2 </w:t>
      </w:r>
      <w:r>
        <w:rPr>
          <w:rFonts w:hint="eastAsia" w:ascii="Times New Roman" w:hAnsi="Times New Roman" w:eastAsia="Ђˎ̥" w:cs="Times New Roman"/>
          <w:color w:val="auto"/>
          <w:kern w:val="0"/>
          <w:sz w:val="24"/>
          <w:szCs w:val="24"/>
          <w:highlight w:val="none"/>
          <w:lang w:val="en-US" w:eastAsia="zh-CN" w:bidi="ar-SA"/>
        </w:rPr>
        <w:t>施工进度计划</w:t>
      </w:r>
      <w:bookmarkEnd w:id="270"/>
    </w:p>
    <w:bookmarkEnd w:id="271"/>
    <w:p w14:paraId="12BECFF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7.2.1 </w:t>
      </w:r>
      <w:r>
        <w:rPr>
          <w:rFonts w:hint="eastAsia" w:ascii="宋体" w:hAnsi="宋体" w:eastAsia="宋体" w:cs="Times New Roman"/>
          <w:color w:val="auto"/>
          <w:kern w:val="0"/>
          <w:sz w:val="24"/>
          <w:szCs w:val="24"/>
          <w:highlight w:val="none"/>
        </w:rPr>
        <w:t>施工进度计划的编制</w:t>
      </w:r>
    </w:p>
    <w:p w14:paraId="5FFE6FB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承包人应按照第</w:t>
      </w:r>
      <w:r>
        <w:rPr>
          <w:rFonts w:ascii="宋体" w:hAnsi="宋体" w:eastAsia="宋体" w:cs="Times New Roman"/>
          <w:color w:val="auto"/>
          <w:kern w:val="0"/>
          <w:sz w:val="24"/>
          <w:szCs w:val="24"/>
          <w:highlight w:val="none"/>
        </w:rPr>
        <w:t>7.1</w:t>
      </w:r>
      <w:r>
        <w:rPr>
          <w:rFonts w:hint="eastAsia" w:ascii="宋体" w:hAnsi="宋体" w:eastAsia="宋体" w:cs="Times New Roman"/>
          <w:color w:val="auto"/>
          <w:kern w:val="0"/>
          <w:sz w:val="24"/>
          <w:szCs w:val="24"/>
          <w:highlight w:val="none"/>
        </w:rPr>
        <w:t>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7CF3E5E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 xml:space="preserve">7.2.2 </w:t>
      </w:r>
      <w:r>
        <w:rPr>
          <w:rFonts w:hint="eastAsia" w:ascii="宋体" w:hAnsi="宋体" w:eastAsia="宋体" w:cs="Times New Roman"/>
          <w:color w:val="auto"/>
          <w:sz w:val="24"/>
          <w:szCs w:val="24"/>
          <w:highlight w:val="none"/>
        </w:rPr>
        <w:t>施工进度计划的修订</w:t>
      </w:r>
    </w:p>
    <w:p w14:paraId="7354D90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天内完成审核和批准或提出修改意见。发包人和监理人对承包人提交的施工进度计划的确认，不能减轻或免除承包人根据法律规定和合同约定应承担的任何责任或义务。</w:t>
      </w:r>
    </w:p>
    <w:p w14:paraId="255CF94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72" w:name="_Toc351203545"/>
      <w:r>
        <w:rPr>
          <w:rFonts w:ascii="Times New Roman" w:hAnsi="Times New Roman" w:eastAsia="Ђˎ̥" w:cs="Times New Roman"/>
          <w:color w:val="auto"/>
          <w:kern w:val="0"/>
          <w:sz w:val="24"/>
          <w:szCs w:val="24"/>
          <w:highlight w:val="none"/>
          <w:lang w:val="en-US" w:eastAsia="zh-CN" w:bidi="ar-SA"/>
        </w:rPr>
        <w:t>7</w:t>
      </w:r>
      <w:bookmarkStart w:id="273" w:name="_Toc337558770"/>
      <w:r>
        <w:rPr>
          <w:rFonts w:ascii="Times New Roman" w:hAnsi="Times New Roman" w:eastAsia="Ђˎ̥" w:cs="Times New Roman"/>
          <w:color w:val="auto"/>
          <w:kern w:val="0"/>
          <w:sz w:val="24"/>
          <w:szCs w:val="24"/>
          <w:highlight w:val="none"/>
          <w:lang w:val="en-US" w:eastAsia="zh-CN" w:bidi="ar-SA"/>
        </w:rPr>
        <w:t xml:space="preserve">.3 </w:t>
      </w:r>
      <w:r>
        <w:rPr>
          <w:rFonts w:hint="eastAsia" w:ascii="Times New Roman" w:hAnsi="Times New Roman" w:eastAsia="Ђˎ̥" w:cs="宋体"/>
          <w:color w:val="auto"/>
          <w:kern w:val="0"/>
          <w:sz w:val="24"/>
          <w:szCs w:val="24"/>
          <w:highlight w:val="none"/>
          <w:lang w:val="en-US" w:eastAsia="zh-CN" w:bidi="ar-SA"/>
        </w:rPr>
        <w:t>开工</w:t>
      </w:r>
      <w:bookmarkEnd w:id="272"/>
    </w:p>
    <w:p w14:paraId="4E0F882C">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7.3.1 </w:t>
      </w:r>
      <w:r>
        <w:rPr>
          <w:rFonts w:hint="eastAsia" w:ascii="宋体" w:hAnsi="宋体" w:eastAsia="宋体" w:cs="Times New Roman"/>
          <w:color w:val="auto"/>
          <w:kern w:val="0"/>
          <w:sz w:val="24"/>
          <w:szCs w:val="24"/>
          <w:highlight w:val="none"/>
        </w:rPr>
        <w:t>开工准备</w:t>
      </w:r>
    </w:p>
    <w:p w14:paraId="0E12D34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除专用合同条款另有约定外，承包人应按照第</w:t>
      </w:r>
      <w:r>
        <w:rPr>
          <w:rFonts w:ascii="宋体" w:hAnsi="宋体" w:eastAsia="宋体" w:cs="Times New Roman"/>
          <w:color w:val="auto"/>
          <w:kern w:val="0"/>
          <w:sz w:val="24"/>
          <w:szCs w:val="24"/>
          <w:highlight w:val="none"/>
        </w:rPr>
        <w:t>7.1</w:t>
      </w:r>
      <w:r>
        <w:rPr>
          <w:rFonts w:hint="eastAsia" w:ascii="宋体" w:hAnsi="宋体" w:eastAsia="宋体" w:cs="Times New Roman"/>
          <w:color w:val="auto"/>
          <w:kern w:val="0"/>
          <w:sz w:val="24"/>
          <w:szCs w:val="24"/>
          <w:highlight w:val="none"/>
        </w:rPr>
        <w:t>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51C7574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除专用合同条款另有约定外，合同当事人应按约定完成开工准备工作。</w:t>
      </w:r>
    </w:p>
    <w:p w14:paraId="0A9F4DC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7.3.2 </w:t>
      </w:r>
      <w:r>
        <w:rPr>
          <w:rFonts w:hint="eastAsia" w:ascii="宋体" w:hAnsi="宋体" w:eastAsia="宋体" w:cs="Times New Roman"/>
          <w:color w:val="auto"/>
          <w:kern w:val="0"/>
          <w:sz w:val="24"/>
          <w:szCs w:val="24"/>
          <w:highlight w:val="none"/>
        </w:rPr>
        <w:t>开工通知</w:t>
      </w:r>
    </w:p>
    <w:bookmarkEnd w:id="273"/>
    <w:p w14:paraId="40C838C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发包人应按照法律规定获得工程施工所需的许可。经发包人同意后，监理人发出的开工通知应符合法律规定。监理人应在计划开工日期</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天前向承包人发出开工通知，工期自开工通知中载明的开工日期起算。</w:t>
      </w:r>
    </w:p>
    <w:p w14:paraId="637717B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除专用合同条款另有约定外，因发包人原因造成监理人未能在计划开工日期之日起</w:t>
      </w:r>
      <w:r>
        <w:rPr>
          <w:rFonts w:ascii="宋体" w:hAnsi="宋体" w:eastAsia="宋体" w:cs="Times New Roman"/>
          <w:color w:val="auto"/>
          <w:kern w:val="0"/>
          <w:sz w:val="24"/>
          <w:szCs w:val="24"/>
          <w:highlight w:val="none"/>
        </w:rPr>
        <w:t>90</w:t>
      </w:r>
      <w:r>
        <w:rPr>
          <w:rFonts w:hint="eastAsia" w:ascii="宋体" w:hAnsi="宋体" w:eastAsia="宋体" w:cs="Times New Roman"/>
          <w:color w:val="auto"/>
          <w:kern w:val="0"/>
          <w:sz w:val="24"/>
          <w:szCs w:val="24"/>
          <w:highlight w:val="none"/>
        </w:rPr>
        <w:t>天内发出开工通知的，承包人有权提出价格调整要求，或者解除合同。发包人应当承担由此增加的费用和（或）延误的工期，并向承包人支付合理利润。</w:t>
      </w:r>
    </w:p>
    <w:p w14:paraId="620673E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74" w:name="_Toc351203546"/>
      <w:r>
        <w:rPr>
          <w:rFonts w:ascii="Times New Roman" w:hAnsi="Times New Roman" w:eastAsia="Ђˎ̥" w:cs="Times New Roman"/>
          <w:color w:val="auto"/>
          <w:kern w:val="0"/>
          <w:sz w:val="24"/>
          <w:szCs w:val="24"/>
          <w:highlight w:val="none"/>
          <w:lang w:val="en-US" w:eastAsia="zh-CN" w:bidi="ar-SA"/>
        </w:rPr>
        <w:t>7.4</w:t>
      </w:r>
      <w:r>
        <w:rPr>
          <w:rFonts w:hint="eastAsia" w:ascii="Times New Roman" w:hAnsi="Times New Roman" w:eastAsia="Ђˎ̥" w:cs="宋体"/>
          <w:color w:val="auto"/>
          <w:kern w:val="0"/>
          <w:sz w:val="24"/>
          <w:szCs w:val="24"/>
          <w:highlight w:val="none"/>
          <w:lang w:val="en-US" w:eastAsia="zh-CN" w:bidi="ar-SA"/>
        </w:rPr>
        <w:t>测量放线</w:t>
      </w:r>
      <w:bookmarkEnd w:id="274"/>
    </w:p>
    <w:p w14:paraId="1C2147A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7.4.1 </w:t>
      </w:r>
      <w:r>
        <w:rPr>
          <w:rFonts w:hint="eastAsia" w:ascii="宋体" w:hAnsi="宋体" w:eastAsia="宋体" w:cs="Times New Roman"/>
          <w:color w:val="auto"/>
          <w:kern w:val="0"/>
          <w:sz w:val="24"/>
          <w:szCs w:val="24"/>
          <w:highlight w:val="none"/>
        </w:rPr>
        <w:t>除专用合同条款另有约定外，发包人应在至迟不得晚于第</w:t>
      </w:r>
      <w:r>
        <w:rPr>
          <w:rFonts w:ascii="宋体" w:hAnsi="宋体" w:eastAsia="宋体" w:cs="Times New Roman"/>
          <w:color w:val="auto"/>
          <w:kern w:val="0"/>
          <w:sz w:val="24"/>
          <w:szCs w:val="24"/>
          <w:highlight w:val="none"/>
        </w:rPr>
        <w:t>7.3.2</w:t>
      </w:r>
      <w:r>
        <w:rPr>
          <w:rFonts w:hint="eastAsia" w:ascii="宋体" w:hAnsi="宋体" w:eastAsia="宋体" w:cs="Times New Roman"/>
          <w:color w:val="auto"/>
          <w:kern w:val="0"/>
          <w:sz w:val="24"/>
          <w:szCs w:val="24"/>
          <w:highlight w:val="none"/>
        </w:rPr>
        <w:t>项〔开工通知〕载明的开工日期前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天通过监理人向承包人提供测量基准点、基准线和水准点及其书面资料。发包人应对其提供的测量基准点、基准线和水准点及其书面资料的真实性、准确性和完整性负责。</w:t>
      </w:r>
    </w:p>
    <w:p w14:paraId="1064674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1CFAC3F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7.4.2 </w:t>
      </w:r>
      <w:r>
        <w:rPr>
          <w:rFonts w:hint="eastAsia" w:ascii="宋体" w:hAnsi="宋体" w:eastAsia="宋体" w:cs="Times New Roman"/>
          <w:color w:val="auto"/>
          <w:kern w:val="0"/>
          <w:sz w:val="24"/>
          <w:szCs w:val="24"/>
          <w:highlight w:val="none"/>
        </w:rPr>
        <w:t>承包人负责施工过程中的全部施工测量放线工作，并配置具有相应资质的人员、合格的仪器、设备和其他物品。承包人应矫正工程的位置、标高、尺寸或准线中出现的任何差错，并对工程各部分的定位负责。</w:t>
      </w:r>
    </w:p>
    <w:p w14:paraId="4A118B4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施工过程中对施工现场内水准点等测量标志物的保护工作由承包人负责。</w:t>
      </w:r>
      <w:bookmarkStart w:id="275" w:name="_Toc351203547"/>
    </w:p>
    <w:p w14:paraId="3298D197">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r>
        <w:rPr>
          <w:rFonts w:ascii="Times New Roman" w:hAnsi="Times New Roman" w:eastAsia="Ђˎ̥" w:cs="Times New Roman"/>
          <w:color w:val="auto"/>
          <w:kern w:val="0"/>
          <w:sz w:val="24"/>
          <w:szCs w:val="24"/>
          <w:highlight w:val="none"/>
          <w:lang w:val="en-US" w:eastAsia="zh-CN" w:bidi="ar-SA"/>
        </w:rPr>
        <w:t>7</w:t>
      </w:r>
      <w:bookmarkEnd w:id="268"/>
      <w:bookmarkEnd w:id="269"/>
      <w:bookmarkStart w:id="276" w:name="_Toc296503073"/>
      <w:bookmarkStart w:id="277" w:name="_Toc296346574"/>
      <w:bookmarkStart w:id="278" w:name="_Toc337558772"/>
      <w:r>
        <w:rPr>
          <w:rFonts w:ascii="Times New Roman" w:hAnsi="Times New Roman" w:eastAsia="Ђˎ̥" w:cs="Times New Roman"/>
          <w:color w:val="auto"/>
          <w:kern w:val="0"/>
          <w:sz w:val="24"/>
          <w:szCs w:val="24"/>
          <w:highlight w:val="none"/>
          <w:lang w:val="en-US" w:eastAsia="zh-CN" w:bidi="ar-SA"/>
        </w:rPr>
        <w:t xml:space="preserve">.5 </w:t>
      </w:r>
      <w:r>
        <w:rPr>
          <w:rFonts w:hint="eastAsia" w:ascii="Times New Roman" w:hAnsi="Times New Roman" w:eastAsia="Ђˎ̥" w:cs="宋体"/>
          <w:color w:val="auto"/>
          <w:kern w:val="0"/>
          <w:sz w:val="24"/>
          <w:szCs w:val="24"/>
          <w:highlight w:val="none"/>
          <w:lang w:val="en-US" w:eastAsia="zh-CN" w:bidi="ar-SA"/>
        </w:rPr>
        <w:t>工期延误</w:t>
      </w:r>
      <w:bookmarkEnd w:id="275"/>
    </w:p>
    <w:bookmarkEnd w:id="276"/>
    <w:bookmarkEnd w:id="277"/>
    <w:bookmarkEnd w:id="278"/>
    <w:p w14:paraId="4FB66A3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7.5.1 </w:t>
      </w:r>
      <w:r>
        <w:rPr>
          <w:rFonts w:hint="eastAsia" w:ascii="宋体" w:hAnsi="宋体" w:eastAsia="宋体" w:cs="Times New Roman"/>
          <w:color w:val="auto"/>
          <w:kern w:val="0"/>
          <w:sz w:val="24"/>
          <w:szCs w:val="24"/>
          <w:highlight w:val="none"/>
        </w:rPr>
        <w:t>因发包人原因导致工期延误</w:t>
      </w:r>
    </w:p>
    <w:p w14:paraId="47CE32F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在合同履行过程中，因下列情况导致工期延误和（或）费用增加的，由发包人承担由此延误的工期和（或）增加的费用，且发包人应支付承包人合理的利润：</w:t>
      </w:r>
      <w:r>
        <w:rPr>
          <w:rFonts w:ascii="宋体" w:hAnsi="宋体" w:eastAsia="宋体" w:cs="Times New Roman"/>
          <w:color w:val="auto"/>
          <w:kern w:val="0"/>
          <w:sz w:val="24"/>
          <w:szCs w:val="24"/>
          <w:highlight w:val="none"/>
        </w:rPr>
        <w:t xml:space="preserve"> </w:t>
      </w:r>
    </w:p>
    <w:p w14:paraId="757800E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）发包人未能按合同约定提供图纸或所提供图纸不符合合同约定的；</w:t>
      </w:r>
    </w:p>
    <w:p w14:paraId="011DF6C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）发包人未能按合同约定提供施工现场、施工条件、基础资料、许可、批准等开工条件的；</w:t>
      </w:r>
    </w:p>
    <w:p w14:paraId="42C6027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）发包人提供的测量基准点、基准线和水准点及其书面资料存在错误或疏漏的；</w:t>
      </w:r>
    </w:p>
    <w:p w14:paraId="7C2B52C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）发包人未能在计划开工日期之日起</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天内同意下达开工通知的；</w:t>
      </w:r>
    </w:p>
    <w:p w14:paraId="4A267A3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）发包人未能按合同约定日期支付工程预付款、进度款或竣工结算款的；</w:t>
      </w:r>
    </w:p>
    <w:p w14:paraId="3475E85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）监理人未按合同约定发出指示、批准等文件的；</w:t>
      </w:r>
    </w:p>
    <w:p w14:paraId="6312E5A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）专用合同条款中约定的其他情形。</w:t>
      </w:r>
    </w:p>
    <w:p w14:paraId="05C6AB2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因发包人原因未按计划开工日期开工的，发包人应按实际开工日期顺延竣工日期，确保实际工期不低于合同约定的工期总日历天数。因发包人原因导致工期延误需要修订施工进度计划的，按照第</w:t>
      </w:r>
      <w:r>
        <w:rPr>
          <w:rFonts w:ascii="宋体" w:hAnsi="宋体" w:eastAsia="宋体" w:cs="Times New Roman"/>
          <w:color w:val="auto"/>
          <w:kern w:val="0"/>
          <w:sz w:val="24"/>
          <w:szCs w:val="24"/>
          <w:highlight w:val="none"/>
        </w:rPr>
        <w:t>7.2.2</w:t>
      </w:r>
      <w:r>
        <w:rPr>
          <w:rFonts w:hint="eastAsia" w:ascii="宋体" w:hAnsi="宋体" w:eastAsia="宋体" w:cs="Times New Roman"/>
          <w:color w:val="auto"/>
          <w:kern w:val="0"/>
          <w:sz w:val="24"/>
          <w:szCs w:val="24"/>
          <w:highlight w:val="none"/>
        </w:rPr>
        <w:t>项〔施工进度计划的修订〕执行。</w:t>
      </w:r>
    </w:p>
    <w:p w14:paraId="7A6ADFA0">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7.5.2 </w:t>
      </w:r>
      <w:r>
        <w:rPr>
          <w:rFonts w:hint="eastAsia" w:ascii="宋体" w:hAnsi="宋体" w:eastAsia="宋体" w:cs="Times New Roman"/>
          <w:color w:val="auto"/>
          <w:kern w:val="0"/>
          <w:sz w:val="24"/>
          <w:szCs w:val="24"/>
          <w:highlight w:val="none"/>
        </w:rPr>
        <w:t>因承包人原因导致工期延误</w:t>
      </w:r>
    </w:p>
    <w:p w14:paraId="07613B1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bookmarkStart w:id="279" w:name="_Toc296503076"/>
      <w:bookmarkStart w:id="280" w:name="_Toc296346577"/>
      <w:r>
        <w:rPr>
          <w:rFonts w:hint="eastAsia" w:ascii="宋体" w:hAnsi="宋体" w:eastAsia="宋体" w:cs="Times New Roman"/>
          <w:color w:val="auto"/>
          <w:kern w:val="0"/>
          <w:sz w:val="24"/>
          <w:szCs w:val="24"/>
          <w:highlight w:val="none"/>
        </w:rPr>
        <w:t>因</w:t>
      </w:r>
      <w:bookmarkEnd w:id="279"/>
      <w:bookmarkEnd w:id="280"/>
      <w:r>
        <w:rPr>
          <w:rFonts w:hint="eastAsia" w:ascii="宋体" w:hAnsi="宋体" w:eastAsia="宋体" w:cs="Times New Roman"/>
          <w:color w:val="auto"/>
          <w:kern w:val="0"/>
          <w:sz w:val="24"/>
          <w:szCs w:val="24"/>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1A700B1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81" w:name="_Toc351203548"/>
      <w:r>
        <w:rPr>
          <w:rFonts w:ascii="Times New Roman" w:hAnsi="Times New Roman" w:eastAsia="Ђˎ̥" w:cs="Times New Roman"/>
          <w:color w:val="auto"/>
          <w:kern w:val="0"/>
          <w:sz w:val="24"/>
          <w:szCs w:val="24"/>
          <w:highlight w:val="none"/>
          <w:lang w:val="en-US" w:eastAsia="zh-CN" w:bidi="ar-SA"/>
        </w:rPr>
        <w:t>7</w:t>
      </w:r>
      <w:bookmarkStart w:id="282" w:name="_Toc296503074"/>
      <w:bookmarkStart w:id="283" w:name="_Toc337558773"/>
      <w:bookmarkStart w:id="284" w:name="_Toc296346575"/>
      <w:bookmarkStart w:id="285" w:name="_Toc296503077"/>
      <w:bookmarkStart w:id="286" w:name="_Toc296346578"/>
      <w:r>
        <w:rPr>
          <w:rFonts w:ascii="Times New Roman" w:hAnsi="Times New Roman" w:eastAsia="Ђˎ̥" w:cs="Times New Roman"/>
          <w:color w:val="auto"/>
          <w:kern w:val="0"/>
          <w:sz w:val="24"/>
          <w:szCs w:val="24"/>
          <w:highlight w:val="none"/>
          <w:lang w:val="en-US" w:eastAsia="zh-CN" w:bidi="ar-SA"/>
        </w:rPr>
        <w:t xml:space="preserve">.6 </w:t>
      </w:r>
      <w:r>
        <w:rPr>
          <w:rFonts w:hint="eastAsia" w:ascii="Times New Roman" w:hAnsi="Times New Roman" w:eastAsia="Ђˎ̥" w:cs="Times New Roman"/>
          <w:color w:val="auto"/>
          <w:kern w:val="0"/>
          <w:sz w:val="24"/>
          <w:szCs w:val="24"/>
          <w:highlight w:val="none"/>
          <w:lang w:val="en-US" w:eastAsia="zh-CN" w:bidi="ar-SA"/>
        </w:rPr>
        <w:t>不利物质条件</w:t>
      </w:r>
      <w:bookmarkEnd w:id="281"/>
    </w:p>
    <w:bookmarkEnd w:id="282"/>
    <w:bookmarkEnd w:id="283"/>
    <w:bookmarkEnd w:id="284"/>
    <w:p w14:paraId="0F10538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7E968C3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w:t>
      </w:r>
      <w:r>
        <w:rPr>
          <w:rFonts w:ascii="宋体" w:hAnsi="宋体" w:eastAsia="宋体" w:cs="Times New Roman"/>
          <w:color w:val="auto"/>
          <w:kern w:val="0"/>
          <w:sz w:val="24"/>
          <w:szCs w:val="24"/>
          <w:highlight w:val="none"/>
        </w:rPr>
        <w:t>10</w:t>
      </w:r>
      <w:r>
        <w:rPr>
          <w:rFonts w:hint="eastAsia" w:ascii="宋体" w:hAnsi="宋体" w:eastAsia="宋体" w:cs="Times New Roman"/>
          <w:color w:val="auto"/>
          <w:kern w:val="0"/>
          <w:sz w:val="24"/>
          <w:szCs w:val="24"/>
          <w:highlight w:val="none"/>
        </w:rPr>
        <w:t>条〔变更〕约定执行。承包人因采取合理措施而增加的费用和（或）延误的工期由发包人承担。</w:t>
      </w:r>
    </w:p>
    <w:p w14:paraId="72EE474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87" w:name="_Toc351203549"/>
      <w:r>
        <w:rPr>
          <w:rFonts w:ascii="Times New Roman" w:hAnsi="Times New Roman" w:eastAsia="Ђˎ̥" w:cs="Times New Roman"/>
          <w:color w:val="auto"/>
          <w:kern w:val="0"/>
          <w:sz w:val="24"/>
          <w:szCs w:val="24"/>
          <w:highlight w:val="none"/>
          <w:lang w:val="en-US" w:eastAsia="zh-CN" w:bidi="ar-SA"/>
        </w:rPr>
        <w:t>7</w:t>
      </w:r>
      <w:bookmarkStart w:id="288" w:name="_Toc337558774"/>
      <w:bookmarkStart w:id="289" w:name="_Toc296346576"/>
      <w:bookmarkStart w:id="290" w:name="_Toc296503075"/>
      <w:r>
        <w:rPr>
          <w:rFonts w:ascii="Times New Roman" w:hAnsi="Times New Roman" w:eastAsia="Ђˎ̥" w:cs="Times New Roman"/>
          <w:color w:val="auto"/>
          <w:kern w:val="0"/>
          <w:sz w:val="24"/>
          <w:szCs w:val="24"/>
          <w:highlight w:val="none"/>
          <w:lang w:val="en-US" w:eastAsia="zh-CN" w:bidi="ar-SA"/>
        </w:rPr>
        <w:t xml:space="preserve">.7 </w:t>
      </w:r>
      <w:r>
        <w:rPr>
          <w:rFonts w:hint="eastAsia" w:ascii="Times New Roman" w:hAnsi="Times New Roman" w:eastAsia="Ђˎ̥" w:cs="Times New Roman"/>
          <w:color w:val="auto"/>
          <w:kern w:val="0"/>
          <w:sz w:val="24"/>
          <w:szCs w:val="24"/>
          <w:highlight w:val="none"/>
          <w:lang w:val="en-US" w:eastAsia="zh-CN" w:bidi="ar-SA"/>
        </w:rPr>
        <w:t>异常恶劣的气候条件</w:t>
      </w:r>
      <w:bookmarkEnd w:id="287"/>
    </w:p>
    <w:bookmarkEnd w:id="288"/>
    <w:bookmarkEnd w:id="289"/>
    <w:bookmarkEnd w:id="290"/>
    <w:p w14:paraId="00A627E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1EA4263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承包人应采取克服异常恶劣的气候条件的合理措施继续施工，并及时通知发包人和监理人。监理人经发包人同意后应当及时发出指示，指示构成变更的，按第</w:t>
      </w:r>
      <w:r>
        <w:rPr>
          <w:rFonts w:ascii="宋体" w:hAnsi="宋体" w:eastAsia="宋体" w:cs="Times New Roman"/>
          <w:color w:val="auto"/>
          <w:kern w:val="0"/>
          <w:sz w:val="24"/>
          <w:szCs w:val="24"/>
          <w:highlight w:val="none"/>
        </w:rPr>
        <w:t>10</w:t>
      </w:r>
      <w:r>
        <w:rPr>
          <w:rFonts w:hint="eastAsia" w:ascii="宋体" w:hAnsi="宋体" w:eastAsia="宋体" w:cs="Times New Roman"/>
          <w:color w:val="auto"/>
          <w:kern w:val="0"/>
          <w:sz w:val="24"/>
          <w:szCs w:val="24"/>
          <w:highlight w:val="none"/>
        </w:rPr>
        <w:t>条〔变更〕约定办理。承包人因采取合理措施而增加的费用和（或）延误的工期由发包人承担。</w:t>
      </w:r>
      <w:bookmarkStart w:id="291" w:name="_Toc351203550"/>
    </w:p>
    <w:p w14:paraId="6BEB2F0A">
      <w:pPr>
        <w:autoSpaceDE w:val="0"/>
        <w:autoSpaceDN w:val="0"/>
        <w:adjustRightInd w:val="0"/>
        <w:spacing w:line="360" w:lineRule="auto"/>
        <w:ind w:firstLine="480" w:firstLineChars="200"/>
        <w:jc w:val="left"/>
        <w:outlineLvl w:val="0"/>
        <w:rPr>
          <w:rFonts w:ascii="宋体" w:hAnsi="宋体" w:eastAsia="宋体" w:cs="Times New Roman"/>
          <w:bCs/>
          <w:color w:val="auto"/>
          <w:sz w:val="24"/>
          <w:szCs w:val="24"/>
          <w:highlight w:val="none"/>
        </w:rPr>
      </w:pPr>
      <w:r>
        <w:rPr>
          <w:rFonts w:ascii="宋体" w:hAnsi="宋体" w:eastAsia="宋体" w:cs="Times New Roman"/>
          <w:bCs/>
          <w:color w:val="auto"/>
          <w:sz w:val="24"/>
          <w:szCs w:val="24"/>
          <w:highlight w:val="none"/>
        </w:rPr>
        <w:t>7</w:t>
      </w:r>
      <w:bookmarkStart w:id="292" w:name="_Toc337558775"/>
      <w:r>
        <w:rPr>
          <w:rFonts w:ascii="宋体" w:hAnsi="宋体" w:eastAsia="宋体" w:cs="Times New Roman"/>
          <w:bCs/>
          <w:color w:val="auto"/>
          <w:sz w:val="24"/>
          <w:szCs w:val="24"/>
          <w:highlight w:val="none"/>
        </w:rPr>
        <w:t xml:space="preserve">.8 </w:t>
      </w:r>
      <w:r>
        <w:rPr>
          <w:rFonts w:hint="eastAsia" w:ascii="宋体" w:hAnsi="宋体" w:eastAsia="宋体" w:cs="Times New Roman"/>
          <w:bCs/>
          <w:color w:val="auto"/>
          <w:sz w:val="24"/>
          <w:szCs w:val="24"/>
          <w:highlight w:val="none"/>
        </w:rPr>
        <w:t>暂停施工</w:t>
      </w:r>
      <w:bookmarkEnd w:id="291"/>
    </w:p>
    <w:bookmarkEnd w:id="285"/>
    <w:bookmarkEnd w:id="286"/>
    <w:bookmarkEnd w:id="292"/>
    <w:p w14:paraId="4EC19C20">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7.8.1</w:t>
      </w:r>
      <w:r>
        <w:rPr>
          <w:rFonts w:hint="eastAsia" w:ascii="宋体" w:hAnsi="宋体" w:eastAsia="宋体" w:cs="Times New Roman"/>
          <w:color w:val="auto"/>
          <w:kern w:val="0"/>
          <w:sz w:val="24"/>
          <w:szCs w:val="24"/>
          <w:highlight w:val="none"/>
        </w:rPr>
        <w:t>发包人原因引起的暂停施工</w:t>
      </w:r>
    </w:p>
    <w:p w14:paraId="610A671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因发包人原因引起暂停施工的，监理人经发包人同意后，应及时下达暂停施工指示。情况紧急且监理人未及时下达暂停施工指示的，按照第</w:t>
      </w:r>
      <w:r>
        <w:rPr>
          <w:rFonts w:ascii="宋体" w:hAnsi="宋体" w:eastAsia="宋体" w:cs="Times New Roman"/>
          <w:color w:val="auto"/>
          <w:kern w:val="0"/>
          <w:sz w:val="24"/>
          <w:szCs w:val="24"/>
          <w:highlight w:val="none"/>
        </w:rPr>
        <w:t>7.8.4</w:t>
      </w:r>
      <w:r>
        <w:rPr>
          <w:rFonts w:hint="eastAsia" w:ascii="宋体" w:hAnsi="宋体" w:eastAsia="宋体" w:cs="Times New Roman"/>
          <w:color w:val="auto"/>
          <w:kern w:val="0"/>
          <w:sz w:val="24"/>
          <w:szCs w:val="24"/>
          <w:highlight w:val="none"/>
        </w:rPr>
        <w:t>项〔紧急情况下的暂停施工〕执行。</w:t>
      </w:r>
    </w:p>
    <w:p w14:paraId="501B614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因发包人原因引起的暂停施工，发包人应承担由此增加的费用和（或）延误的工期，并支付承包人合理的利润。</w:t>
      </w:r>
    </w:p>
    <w:p w14:paraId="759E140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7.8.2 </w:t>
      </w:r>
      <w:r>
        <w:rPr>
          <w:rFonts w:hint="eastAsia" w:ascii="宋体" w:hAnsi="宋体" w:eastAsia="宋体" w:cs="Times New Roman"/>
          <w:color w:val="auto"/>
          <w:kern w:val="0"/>
          <w:sz w:val="24"/>
          <w:szCs w:val="24"/>
          <w:highlight w:val="none"/>
        </w:rPr>
        <w:t>承包人原因引起的暂停施工</w:t>
      </w:r>
    </w:p>
    <w:p w14:paraId="07F8C2B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因承包人原因引起的暂停施工，承包人应承担由此增加的费用和（或）延误的工期，且承包人在收到监理人复工指示后</w:t>
      </w:r>
      <w:r>
        <w:rPr>
          <w:rFonts w:ascii="宋体" w:hAnsi="宋体" w:eastAsia="宋体" w:cs="Times New Roman"/>
          <w:color w:val="auto"/>
          <w:kern w:val="0"/>
          <w:sz w:val="24"/>
          <w:szCs w:val="24"/>
          <w:highlight w:val="none"/>
        </w:rPr>
        <w:t>84</w:t>
      </w:r>
      <w:r>
        <w:rPr>
          <w:rFonts w:hint="eastAsia" w:ascii="宋体" w:hAnsi="宋体" w:eastAsia="宋体" w:cs="Times New Roman"/>
          <w:color w:val="auto"/>
          <w:kern w:val="0"/>
          <w:sz w:val="24"/>
          <w:szCs w:val="24"/>
          <w:highlight w:val="none"/>
        </w:rPr>
        <w:t>天内仍未复工的，视为第</w:t>
      </w:r>
      <w:r>
        <w:rPr>
          <w:rFonts w:ascii="宋体" w:hAnsi="宋体" w:eastAsia="宋体" w:cs="Times New Roman"/>
          <w:color w:val="auto"/>
          <w:kern w:val="0"/>
          <w:sz w:val="24"/>
          <w:szCs w:val="24"/>
          <w:highlight w:val="none"/>
        </w:rPr>
        <w:t>16.2.1</w:t>
      </w:r>
      <w:r>
        <w:rPr>
          <w:rFonts w:hint="eastAsia" w:ascii="宋体" w:hAnsi="宋体" w:eastAsia="宋体" w:cs="Times New Roman"/>
          <w:color w:val="auto"/>
          <w:kern w:val="0"/>
          <w:sz w:val="24"/>
          <w:szCs w:val="24"/>
          <w:highlight w:val="none"/>
        </w:rPr>
        <w:t>项〔承包人违约的情形〕第（</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）目约定的承包人无法继续履行合同的情形。</w:t>
      </w:r>
    </w:p>
    <w:p w14:paraId="686F020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7.8.3 </w:t>
      </w:r>
      <w:r>
        <w:rPr>
          <w:rFonts w:hint="eastAsia" w:ascii="宋体" w:hAnsi="宋体" w:eastAsia="宋体" w:cs="Times New Roman"/>
          <w:color w:val="auto"/>
          <w:kern w:val="0"/>
          <w:sz w:val="24"/>
          <w:szCs w:val="24"/>
          <w:highlight w:val="none"/>
        </w:rPr>
        <w:t>指示暂停施工</w:t>
      </w:r>
    </w:p>
    <w:p w14:paraId="5B66DF2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监理人认为有必要时，并经发包人批准后，可向承包人作出暂停施工的指示，承包人应按监理人指示暂停施工。</w:t>
      </w:r>
    </w:p>
    <w:p w14:paraId="60CFD75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7.8.4 </w:t>
      </w:r>
      <w:r>
        <w:rPr>
          <w:rFonts w:hint="eastAsia" w:ascii="宋体" w:hAnsi="宋体" w:eastAsia="宋体" w:cs="Times New Roman"/>
          <w:color w:val="auto"/>
          <w:kern w:val="0"/>
          <w:sz w:val="24"/>
          <w:szCs w:val="24"/>
          <w:highlight w:val="none"/>
        </w:rPr>
        <w:t>紧急情况下的暂停施工</w:t>
      </w:r>
    </w:p>
    <w:p w14:paraId="533FB22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因紧急情况需暂停施工，且监理人未及时下达暂停施工指示的，承包人可先暂停施工，并及时通知监理人。监理人应在接到通知后</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小时内发出指示，逾期未发出指示，视为同意承包人暂停施工。监理人不同意承包人暂停施工的，应说明理由，承包人对监理人的答复有异议，按照第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条〔争议解决〕约定处理。</w:t>
      </w:r>
    </w:p>
    <w:p w14:paraId="1A729270">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7.8.5 </w:t>
      </w:r>
      <w:r>
        <w:rPr>
          <w:rFonts w:hint="eastAsia" w:ascii="宋体" w:hAnsi="宋体" w:eastAsia="宋体" w:cs="Times New Roman"/>
          <w:color w:val="auto"/>
          <w:kern w:val="0"/>
          <w:sz w:val="24"/>
          <w:szCs w:val="24"/>
          <w:highlight w:val="none"/>
        </w:rPr>
        <w:t>暂停施工后的复工</w:t>
      </w:r>
    </w:p>
    <w:p w14:paraId="3F218D8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48D7EDD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承包人无故拖延和拒绝复工的，承包人承担由此增加的费用和（或）延误的工期；因发包人原因无法按时复工的，按照第</w:t>
      </w:r>
      <w:r>
        <w:rPr>
          <w:rFonts w:ascii="宋体" w:hAnsi="宋体" w:eastAsia="宋体" w:cs="Times New Roman"/>
          <w:color w:val="auto"/>
          <w:kern w:val="0"/>
          <w:sz w:val="24"/>
          <w:szCs w:val="24"/>
          <w:highlight w:val="none"/>
        </w:rPr>
        <w:t>7.5.1</w:t>
      </w:r>
      <w:r>
        <w:rPr>
          <w:rFonts w:hint="eastAsia" w:ascii="宋体" w:hAnsi="宋体" w:eastAsia="宋体" w:cs="Times New Roman"/>
          <w:color w:val="auto"/>
          <w:kern w:val="0"/>
          <w:sz w:val="24"/>
          <w:szCs w:val="24"/>
          <w:highlight w:val="none"/>
        </w:rPr>
        <w:t>项〔因发包人原因导致工期延误〕约定办理。</w:t>
      </w:r>
    </w:p>
    <w:p w14:paraId="65B3F784">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7.8.6 </w:t>
      </w:r>
      <w:r>
        <w:rPr>
          <w:rFonts w:hint="eastAsia" w:ascii="宋体" w:hAnsi="宋体" w:eastAsia="宋体" w:cs="Times New Roman"/>
          <w:color w:val="auto"/>
          <w:kern w:val="0"/>
          <w:sz w:val="24"/>
          <w:szCs w:val="24"/>
          <w:highlight w:val="none"/>
        </w:rPr>
        <w:t>暂停施工持续</w:t>
      </w:r>
      <w:r>
        <w:rPr>
          <w:rFonts w:ascii="宋体" w:hAnsi="宋体" w:eastAsia="宋体" w:cs="Times New Roman"/>
          <w:color w:val="auto"/>
          <w:kern w:val="0"/>
          <w:sz w:val="24"/>
          <w:szCs w:val="24"/>
          <w:highlight w:val="none"/>
        </w:rPr>
        <w:t>56</w:t>
      </w:r>
      <w:r>
        <w:rPr>
          <w:rFonts w:hint="eastAsia" w:ascii="宋体" w:hAnsi="宋体" w:eastAsia="宋体" w:cs="Times New Roman"/>
          <w:color w:val="auto"/>
          <w:kern w:val="0"/>
          <w:sz w:val="24"/>
          <w:szCs w:val="24"/>
          <w:highlight w:val="none"/>
        </w:rPr>
        <w:t>天以上</w:t>
      </w:r>
    </w:p>
    <w:p w14:paraId="04CD6384">
      <w:pPr>
        <w:spacing w:line="360" w:lineRule="auto"/>
        <w:ind w:firstLine="468" w:firstLineChars="195"/>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监理人发出暂停施工指示后</w:t>
      </w:r>
      <w:r>
        <w:rPr>
          <w:rFonts w:ascii="宋体" w:hAnsi="宋体" w:eastAsia="宋体" w:cs="Times New Roman"/>
          <w:color w:val="auto"/>
          <w:kern w:val="0"/>
          <w:sz w:val="24"/>
          <w:szCs w:val="24"/>
          <w:highlight w:val="none"/>
        </w:rPr>
        <w:t>56</w:t>
      </w:r>
      <w:r>
        <w:rPr>
          <w:rFonts w:hint="eastAsia" w:ascii="宋体" w:hAnsi="宋体" w:eastAsia="宋体" w:cs="Times New Roman"/>
          <w:color w:val="auto"/>
          <w:kern w:val="0"/>
          <w:sz w:val="24"/>
          <w:szCs w:val="24"/>
          <w:highlight w:val="none"/>
        </w:rPr>
        <w:t>天内未向承包人发出复工通知，除该项停工属于第</w:t>
      </w:r>
      <w:r>
        <w:rPr>
          <w:rFonts w:ascii="宋体" w:hAnsi="宋体" w:eastAsia="宋体" w:cs="Times New Roman"/>
          <w:color w:val="auto"/>
          <w:kern w:val="0"/>
          <w:sz w:val="24"/>
          <w:szCs w:val="24"/>
          <w:highlight w:val="none"/>
        </w:rPr>
        <w:t>7.8.2</w:t>
      </w:r>
      <w:r>
        <w:rPr>
          <w:rFonts w:hint="eastAsia" w:ascii="宋体" w:hAnsi="宋体" w:eastAsia="宋体" w:cs="Times New Roman"/>
          <w:color w:val="auto"/>
          <w:kern w:val="0"/>
          <w:sz w:val="24"/>
          <w:szCs w:val="24"/>
          <w:highlight w:val="none"/>
        </w:rPr>
        <w:t>项〔承包人原因引起的暂停施工〕及第</w:t>
      </w:r>
      <w:r>
        <w:rPr>
          <w:rFonts w:ascii="宋体" w:hAnsi="宋体" w:eastAsia="宋体" w:cs="Times New Roman"/>
          <w:color w:val="auto"/>
          <w:kern w:val="0"/>
          <w:sz w:val="24"/>
          <w:szCs w:val="24"/>
          <w:highlight w:val="none"/>
        </w:rPr>
        <w:t>17</w:t>
      </w:r>
      <w:r>
        <w:rPr>
          <w:rFonts w:hint="eastAsia" w:ascii="宋体" w:hAnsi="宋体" w:eastAsia="宋体" w:cs="Times New Roman"/>
          <w:color w:val="auto"/>
          <w:kern w:val="0"/>
          <w:sz w:val="24"/>
          <w:szCs w:val="24"/>
          <w:highlight w:val="none"/>
        </w:rPr>
        <w:t>条〔不可抗力〕约定的情形外，承包人可向发包人提交书面通知，要求发包人在收到书面通知后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天内准许已暂停施工的部分或全部工程继续施工。发包人逾期不予批准的，则承包人可以通知发包人，将工程受影响的部分视为按第</w:t>
      </w:r>
      <w:r>
        <w:rPr>
          <w:rFonts w:ascii="宋体" w:hAnsi="宋体" w:eastAsia="宋体" w:cs="Times New Roman"/>
          <w:color w:val="auto"/>
          <w:kern w:val="0"/>
          <w:sz w:val="24"/>
          <w:szCs w:val="24"/>
          <w:highlight w:val="none"/>
        </w:rPr>
        <w:t>10.1</w:t>
      </w:r>
      <w:r>
        <w:rPr>
          <w:rFonts w:hint="eastAsia" w:ascii="宋体" w:hAnsi="宋体" w:eastAsia="宋体" w:cs="Times New Roman"/>
          <w:color w:val="auto"/>
          <w:kern w:val="0"/>
          <w:sz w:val="24"/>
          <w:szCs w:val="24"/>
          <w:highlight w:val="none"/>
        </w:rPr>
        <w:t>款〔变更的范围〕第（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）项的可取消工作。</w:t>
      </w:r>
    </w:p>
    <w:p w14:paraId="518E7E7D">
      <w:pPr>
        <w:spacing w:line="360" w:lineRule="auto"/>
        <w:ind w:firstLine="468" w:firstLineChars="195"/>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暂停施工持续</w:t>
      </w:r>
      <w:r>
        <w:rPr>
          <w:rFonts w:ascii="宋体" w:hAnsi="宋体" w:eastAsia="宋体" w:cs="Times New Roman"/>
          <w:color w:val="auto"/>
          <w:kern w:val="0"/>
          <w:sz w:val="24"/>
          <w:szCs w:val="24"/>
          <w:highlight w:val="none"/>
        </w:rPr>
        <w:t>84</w:t>
      </w:r>
      <w:r>
        <w:rPr>
          <w:rFonts w:hint="eastAsia" w:ascii="宋体" w:hAnsi="宋体" w:eastAsia="宋体" w:cs="Times New Roman"/>
          <w:color w:val="auto"/>
          <w:kern w:val="0"/>
          <w:sz w:val="24"/>
          <w:szCs w:val="24"/>
          <w:highlight w:val="none"/>
        </w:rPr>
        <w:t>天以上不复工的，且不属于第</w:t>
      </w:r>
      <w:r>
        <w:rPr>
          <w:rFonts w:ascii="宋体" w:hAnsi="宋体" w:eastAsia="宋体" w:cs="Times New Roman"/>
          <w:color w:val="auto"/>
          <w:kern w:val="0"/>
          <w:sz w:val="24"/>
          <w:szCs w:val="24"/>
          <w:highlight w:val="none"/>
        </w:rPr>
        <w:t>7.8.2</w:t>
      </w:r>
      <w:r>
        <w:rPr>
          <w:rFonts w:hint="eastAsia" w:ascii="宋体" w:hAnsi="宋体" w:eastAsia="宋体" w:cs="Times New Roman"/>
          <w:color w:val="auto"/>
          <w:kern w:val="0"/>
          <w:sz w:val="24"/>
          <w:szCs w:val="24"/>
          <w:highlight w:val="none"/>
        </w:rPr>
        <w:t>项〔承包人原因引起的暂停施工〕及第</w:t>
      </w:r>
      <w:r>
        <w:rPr>
          <w:rFonts w:ascii="宋体" w:hAnsi="宋体" w:eastAsia="宋体" w:cs="Times New Roman"/>
          <w:color w:val="auto"/>
          <w:kern w:val="0"/>
          <w:sz w:val="24"/>
          <w:szCs w:val="24"/>
          <w:highlight w:val="none"/>
        </w:rPr>
        <w:t>17</w:t>
      </w:r>
      <w:r>
        <w:rPr>
          <w:rFonts w:hint="eastAsia" w:ascii="宋体" w:hAnsi="宋体" w:eastAsia="宋体" w:cs="Times New Roman"/>
          <w:color w:val="auto"/>
          <w:kern w:val="0"/>
          <w:sz w:val="24"/>
          <w:szCs w:val="24"/>
          <w:highlight w:val="none"/>
        </w:rPr>
        <w:t>条〔不可抗力〕约定的情形，并影响到整个工程以及合同目的实现的，承包人有权提出价格调整要求，或者解除合同。解除合同的，按照第</w:t>
      </w:r>
      <w:r>
        <w:rPr>
          <w:rFonts w:ascii="宋体" w:hAnsi="宋体" w:eastAsia="宋体" w:cs="Times New Roman"/>
          <w:color w:val="auto"/>
          <w:kern w:val="0"/>
          <w:sz w:val="24"/>
          <w:szCs w:val="24"/>
          <w:highlight w:val="none"/>
        </w:rPr>
        <w:t>16.1.3</w:t>
      </w:r>
      <w:r>
        <w:rPr>
          <w:rFonts w:hint="eastAsia" w:ascii="宋体" w:hAnsi="宋体" w:eastAsia="宋体" w:cs="Times New Roman"/>
          <w:color w:val="auto"/>
          <w:kern w:val="0"/>
          <w:sz w:val="24"/>
          <w:szCs w:val="24"/>
          <w:highlight w:val="none"/>
        </w:rPr>
        <w:t>项〔因发包人违约解除合同〕执行。</w:t>
      </w:r>
    </w:p>
    <w:p w14:paraId="75C9021F">
      <w:pPr>
        <w:spacing w:line="360" w:lineRule="auto"/>
        <w:ind w:left="16" w:firstLine="468" w:firstLineChars="195"/>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7.8.7 </w:t>
      </w:r>
      <w:r>
        <w:rPr>
          <w:rFonts w:hint="eastAsia" w:ascii="宋体" w:hAnsi="宋体" w:eastAsia="宋体" w:cs="Times New Roman"/>
          <w:color w:val="auto"/>
          <w:kern w:val="0"/>
          <w:sz w:val="24"/>
          <w:szCs w:val="24"/>
          <w:highlight w:val="none"/>
        </w:rPr>
        <w:t>暂停施工期间的工程照管</w:t>
      </w:r>
    </w:p>
    <w:p w14:paraId="6439992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暂停施工期间，承包人应负责妥善照管工程并提供安全保障，由此增加的费用由责任方承担。</w:t>
      </w:r>
    </w:p>
    <w:p w14:paraId="3F228FDE">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7.8.8 </w:t>
      </w:r>
      <w:r>
        <w:rPr>
          <w:rFonts w:hint="eastAsia" w:ascii="宋体" w:hAnsi="宋体" w:eastAsia="宋体" w:cs="Times New Roman"/>
          <w:color w:val="auto"/>
          <w:kern w:val="0"/>
          <w:sz w:val="24"/>
          <w:szCs w:val="24"/>
          <w:highlight w:val="none"/>
        </w:rPr>
        <w:t>暂停施工的措施</w:t>
      </w:r>
    </w:p>
    <w:p w14:paraId="47B52BE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暂停施工期间，发包人和承包人均应采取必要的措施确保工程质量及安全，防止因暂停施工扩大损失。</w:t>
      </w:r>
    </w:p>
    <w:p w14:paraId="2D2C86D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93" w:name="_Toc351203551"/>
      <w:r>
        <w:rPr>
          <w:rFonts w:ascii="Times New Roman" w:hAnsi="Times New Roman" w:eastAsia="Ђˎ̥" w:cs="Times New Roman"/>
          <w:color w:val="auto"/>
          <w:kern w:val="0"/>
          <w:sz w:val="24"/>
          <w:szCs w:val="24"/>
          <w:highlight w:val="none"/>
          <w:lang w:val="en-US" w:eastAsia="zh-CN" w:bidi="ar-SA"/>
        </w:rPr>
        <w:t>7.9</w:t>
      </w:r>
      <w:r>
        <w:rPr>
          <w:rFonts w:hint="eastAsia" w:ascii="Times New Roman" w:hAnsi="Times New Roman" w:eastAsia="Ђˎ̥" w:cs="宋体"/>
          <w:color w:val="auto"/>
          <w:kern w:val="0"/>
          <w:sz w:val="24"/>
          <w:szCs w:val="24"/>
          <w:highlight w:val="none"/>
          <w:lang w:val="en-US" w:eastAsia="zh-CN" w:bidi="ar-SA"/>
        </w:rPr>
        <w:t>提前竣工</w:t>
      </w:r>
      <w:bookmarkEnd w:id="293"/>
    </w:p>
    <w:p w14:paraId="67FC012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7.9.1 </w:t>
      </w:r>
      <w:r>
        <w:rPr>
          <w:rFonts w:hint="eastAsia" w:ascii="宋体" w:hAnsi="宋体" w:eastAsia="宋体" w:cs="Times New Roman"/>
          <w:color w:val="auto"/>
          <w:kern w:val="0"/>
          <w:sz w:val="24"/>
          <w:szCs w:val="24"/>
          <w:highlight w:val="none"/>
        </w:rPr>
        <w:t>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天内予以答复。任何情况下，发包人不得压缩合理工期。</w:t>
      </w:r>
    </w:p>
    <w:p w14:paraId="64A3C84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7.9.2 </w:t>
      </w:r>
      <w:r>
        <w:rPr>
          <w:rFonts w:hint="eastAsia" w:ascii="宋体" w:hAnsi="宋体" w:eastAsia="宋体" w:cs="Times New Roman"/>
          <w:color w:val="auto"/>
          <w:kern w:val="0"/>
          <w:sz w:val="24"/>
          <w:szCs w:val="24"/>
          <w:highlight w:val="none"/>
        </w:rPr>
        <w:t>发包人要求承包人提前竣工，或承包人提出提前竣工的建议能够给发包人带来效益的，合同当事人可以在专用合同条款中约定提前竣工的奖励。</w:t>
      </w:r>
    </w:p>
    <w:p w14:paraId="0BC20ED2">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294" w:name="_Toc351203552"/>
      <w:bookmarkStart w:id="295" w:name="_Toc17965077"/>
      <w:r>
        <w:rPr>
          <w:rFonts w:ascii="Times New Roman" w:hAnsi="Times New Roman" w:eastAsia="黑体" w:cs="Times New Roman"/>
          <w:b/>
          <w:bCs/>
          <w:color w:val="auto"/>
          <w:kern w:val="2"/>
          <w:sz w:val="24"/>
          <w:szCs w:val="24"/>
          <w:highlight w:val="none"/>
          <w:lang w:val="en-US" w:eastAsia="zh-CN" w:bidi="ar-SA"/>
        </w:rPr>
        <w:t>8</w:t>
      </w:r>
      <w:bookmarkStart w:id="296" w:name="_Toc296346559"/>
      <w:bookmarkStart w:id="297" w:name="_Toc337558776"/>
      <w:bookmarkStart w:id="298" w:name="_Toc296503058"/>
      <w:r>
        <w:rPr>
          <w:rFonts w:ascii="Times New Roman" w:hAnsi="Times New Roman" w:eastAsia="黑体" w:cs="Times New Roman"/>
          <w:b/>
          <w:bCs/>
          <w:color w:val="auto"/>
          <w:kern w:val="2"/>
          <w:sz w:val="24"/>
          <w:szCs w:val="24"/>
          <w:highlight w:val="none"/>
          <w:lang w:val="en-US" w:eastAsia="zh-CN" w:bidi="ar-SA"/>
        </w:rPr>
        <w:t>. 材料与设备</w:t>
      </w:r>
      <w:bookmarkEnd w:id="294"/>
      <w:bookmarkEnd w:id="295"/>
    </w:p>
    <w:bookmarkEnd w:id="296"/>
    <w:bookmarkEnd w:id="297"/>
    <w:bookmarkEnd w:id="298"/>
    <w:p w14:paraId="0D2D7BB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99" w:name="_Toc351203553"/>
      <w:r>
        <w:rPr>
          <w:rFonts w:ascii="Times New Roman" w:hAnsi="Times New Roman" w:eastAsia="Ђˎ̥" w:cs="Times New Roman"/>
          <w:color w:val="auto"/>
          <w:kern w:val="0"/>
          <w:sz w:val="24"/>
          <w:szCs w:val="24"/>
          <w:highlight w:val="none"/>
          <w:lang w:val="en-US" w:eastAsia="zh-CN" w:bidi="ar-SA"/>
        </w:rPr>
        <w:t>8</w:t>
      </w:r>
      <w:bookmarkStart w:id="300" w:name="_Toc296346560"/>
      <w:bookmarkStart w:id="301" w:name="_Toc296503059"/>
      <w:bookmarkStart w:id="302" w:name="_Toc337558777"/>
      <w:bookmarkStart w:id="303" w:name="_Toc468936960"/>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Times New Roman"/>
          <w:color w:val="auto"/>
          <w:kern w:val="0"/>
          <w:sz w:val="24"/>
          <w:szCs w:val="24"/>
          <w:highlight w:val="none"/>
          <w:lang w:val="en-US" w:eastAsia="zh-CN" w:bidi="ar-SA"/>
        </w:rPr>
        <w:t>发包人供应材料与工程设备</w:t>
      </w:r>
      <w:bookmarkEnd w:id="299"/>
    </w:p>
    <w:bookmarkEnd w:id="300"/>
    <w:bookmarkEnd w:id="301"/>
    <w:bookmarkEnd w:id="302"/>
    <w:p w14:paraId="4382F6D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发包人自行供应材料、工程设备的，应在签订合同时在专用合同条款的附件《发包人供应材料设备一览表》中明确材料、工程设备的品种、规格、型号、数量、单价、质量等级和送达地点。</w:t>
      </w:r>
    </w:p>
    <w:p w14:paraId="5B6EC79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承包人应提前</w:t>
      </w:r>
      <w:r>
        <w:rPr>
          <w:rFonts w:ascii="宋体" w:hAnsi="宋体" w:eastAsia="宋体" w:cs="Times New Roman"/>
          <w:color w:val="auto"/>
          <w:kern w:val="0"/>
          <w:sz w:val="24"/>
          <w:szCs w:val="24"/>
          <w:highlight w:val="none"/>
        </w:rPr>
        <w:t>30</w:t>
      </w:r>
      <w:r>
        <w:rPr>
          <w:rFonts w:hint="eastAsia" w:ascii="宋体" w:hAnsi="宋体" w:eastAsia="宋体" w:cs="Times New Roman"/>
          <w:color w:val="auto"/>
          <w:kern w:val="0"/>
          <w:sz w:val="24"/>
          <w:szCs w:val="24"/>
          <w:highlight w:val="none"/>
        </w:rPr>
        <w:t>天通过监理人以书面形式通知发包人供应材料与工程设备进场。承包人按照第</w:t>
      </w:r>
      <w:r>
        <w:rPr>
          <w:rFonts w:ascii="宋体" w:hAnsi="宋体" w:eastAsia="宋体" w:cs="Times New Roman"/>
          <w:color w:val="auto"/>
          <w:kern w:val="0"/>
          <w:sz w:val="24"/>
          <w:szCs w:val="24"/>
          <w:highlight w:val="none"/>
        </w:rPr>
        <w:t>7.2.2</w:t>
      </w:r>
      <w:r>
        <w:rPr>
          <w:rFonts w:hint="eastAsia" w:ascii="宋体" w:hAnsi="宋体" w:eastAsia="宋体" w:cs="Times New Roman"/>
          <w:color w:val="auto"/>
          <w:kern w:val="0"/>
          <w:sz w:val="24"/>
          <w:szCs w:val="24"/>
          <w:highlight w:val="none"/>
        </w:rPr>
        <w:t>项〔施工进度计划的修订〕约定修订施工进度计划时，需同时提交经修订后的发包人供应材料与工程设备的进场计划。</w:t>
      </w:r>
    </w:p>
    <w:p w14:paraId="63CA46E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04" w:name="_Toc351203554"/>
      <w:r>
        <w:rPr>
          <w:rFonts w:ascii="Times New Roman" w:hAnsi="Times New Roman" w:eastAsia="Ђˎ̥" w:cs="Times New Roman"/>
          <w:color w:val="auto"/>
          <w:kern w:val="0"/>
          <w:sz w:val="24"/>
          <w:szCs w:val="24"/>
          <w:highlight w:val="none"/>
          <w:lang w:val="en-US" w:eastAsia="zh-CN" w:bidi="ar-SA"/>
        </w:rPr>
        <w:t>8</w:t>
      </w:r>
      <w:bookmarkStart w:id="305" w:name="_Toc337558778"/>
      <w:bookmarkStart w:id="306" w:name="_Toc296503060"/>
      <w:bookmarkStart w:id="307" w:name="_Toc296346561"/>
      <w:r>
        <w:rPr>
          <w:rFonts w:ascii="Times New Roman" w:hAnsi="Times New Roman" w:eastAsia="Ђˎ̥" w:cs="Times New Roman"/>
          <w:color w:val="auto"/>
          <w:kern w:val="0"/>
          <w:sz w:val="24"/>
          <w:szCs w:val="24"/>
          <w:highlight w:val="none"/>
          <w:lang w:val="en-US" w:eastAsia="zh-CN" w:bidi="ar-SA"/>
        </w:rPr>
        <w:t>.2</w:t>
      </w:r>
      <w:r>
        <w:rPr>
          <w:rFonts w:hint="eastAsia" w:ascii="Times New Roman" w:hAnsi="Times New Roman" w:eastAsia="Ђˎ̥" w:cs="Times New Roman"/>
          <w:color w:val="auto"/>
          <w:kern w:val="0"/>
          <w:sz w:val="24"/>
          <w:szCs w:val="24"/>
          <w:highlight w:val="none"/>
          <w:lang w:val="en-US" w:eastAsia="zh-CN" w:bidi="ar-SA"/>
        </w:rPr>
        <w:t>承包人采购材料与工程设备</w:t>
      </w:r>
      <w:bookmarkEnd w:id="304"/>
    </w:p>
    <w:bookmarkEnd w:id="305"/>
    <w:bookmarkEnd w:id="306"/>
    <w:bookmarkEnd w:id="307"/>
    <w:p w14:paraId="1DE211D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5AF72B7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08" w:name="_Toc351203555"/>
      <w:r>
        <w:rPr>
          <w:rFonts w:ascii="Times New Roman" w:hAnsi="Times New Roman" w:eastAsia="Ђˎ̥" w:cs="Times New Roman"/>
          <w:color w:val="auto"/>
          <w:kern w:val="0"/>
          <w:sz w:val="24"/>
          <w:szCs w:val="24"/>
          <w:highlight w:val="none"/>
          <w:lang w:val="en-US" w:eastAsia="zh-CN" w:bidi="ar-SA"/>
        </w:rPr>
        <w:t>8</w:t>
      </w:r>
      <w:bookmarkStart w:id="309" w:name="_Toc296503061"/>
      <w:bookmarkStart w:id="310" w:name="_Toc296346562"/>
      <w:bookmarkStart w:id="311" w:name="_Toc337558779"/>
      <w:r>
        <w:rPr>
          <w:rFonts w:ascii="Times New Roman" w:hAnsi="Times New Roman" w:eastAsia="Ђˎ̥" w:cs="Times New Roman"/>
          <w:color w:val="auto"/>
          <w:kern w:val="0"/>
          <w:sz w:val="24"/>
          <w:szCs w:val="24"/>
          <w:highlight w:val="none"/>
          <w:lang w:val="en-US" w:eastAsia="zh-CN" w:bidi="ar-SA"/>
        </w:rPr>
        <w:t>.3</w:t>
      </w:r>
      <w:r>
        <w:rPr>
          <w:rFonts w:hint="eastAsia" w:ascii="Times New Roman" w:hAnsi="Times New Roman" w:eastAsia="Ђˎ̥" w:cs="Times New Roman"/>
          <w:color w:val="auto"/>
          <w:kern w:val="0"/>
          <w:sz w:val="24"/>
          <w:szCs w:val="24"/>
          <w:highlight w:val="none"/>
          <w:lang w:val="en-US" w:eastAsia="zh-CN" w:bidi="ar-SA"/>
        </w:rPr>
        <w:t>材料与工程设备的接收与拒收</w:t>
      </w:r>
      <w:bookmarkEnd w:id="308"/>
    </w:p>
    <w:bookmarkEnd w:id="309"/>
    <w:bookmarkEnd w:id="310"/>
    <w:bookmarkEnd w:id="311"/>
    <w:p w14:paraId="11DA4CB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8.3.1 </w:t>
      </w:r>
      <w:r>
        <w:rPr>
          <w:rFonts w:hint="eastAsia" w:ascii="宋体" w:hAnsi="宋体" w:eastAsia="宋体" w:cs="Times New Roman"/>
          <w:color w:val="auto"/>
          <w:kern w:val="0"/>
          <w:sz w:val="24"/>
          <w:szCs w:val="24"/>
          <w:highlight w:val="none"/>
        </w:rPr>
        <w:t>发包人应按《发包人供应材料设备一览表》约定的内容提供材料和工程设备，并向承包人提供产品合格证明及出厂证明，对其质量负责。发包人应提前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小时以书面形式通知承包人、监理人材料和工程设备到货时间，承包人负责材料和工程设备的清点、检验和接收。</w:t>
      </w:r>
    </w:p>
    <w:p w14:paraId="1132E05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发包人提供的材料和工程设备的规格、数量或质量不符合合同约定的，或因发包人原因导致交货日期延误或交货地点变更等情况的，按照第</w:t>
      </w:r>
      <w:r>
        <w:rPr>
          <w:rFonts w:ascii="宋体" w:hAnsi="宋体" w:eastAsia="宋体" w:cs="Times New Roman"/>
          <w:color w:val="auto"/>
          <w:kern w:val="0"/>
          <w:sz w:val="24"/>
          <w:szCs w:val="24"/>
          <w:highlight w:val="none"/>
        </w:rPr>
        <w:t>16.1</w:t>
      </w:r>
      <w:r>
        <w:rPr>
          <w:rFonts w:hint="eastAsia" w:ascii="宋体" w:hAnsi="宋体" w:eastAsia="宋体" w:cs="Times New Roman"/>
          <w:color w:val="auto"/>
          <w:kern w:val="0"/>
          <w:sz w:val="24"/>
          <w:szCs w:val="24"/>
          <w:highlight w:val="none"/>
        </w:rPr>
        <w:t>款〔发包人违约〕约定办理。</w:t>
      </w:r>
    </w:p>
    <w:p w14:paraId="5E4F376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8.3.2 </w:t>
      </w:r>
      <w:r>
        <w:rPr>
          <w:rFonts w:hint="eastAsia" w:ascii="宋体" w:hAnsi="宋体" w:eastAsia="宋体" w:cs="Times New Roman"/>
          <w:color w:val="auto"/>
          <w:kern w:val="0"/>
          <w:sz w:val="24"/>
          <w:szCs w:val="24"/>
          <w:highlight w:val="none"/>
        </w:rPr>
        <w:t>承包人采购的材料和工程设备，应保证产品质量合格，承包人应在材料和工程设备到货前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小时通知监理人检验。承</w:t>
      </w:r>
      <w:bookmarkStart w:id="312" w:name="_Toc250655469"/>
      <w:r>
        <w:rPr>
          <w:rFonts w:hint="eastAsia" w:ascii="宋体" w:hAnsi="宋体" w:eastAsia="宋体" w:cs="Times New Roman"/>
          <w:color w:val="auto"/>
          <w:kern w:val="0"/>
          <w:sz w:val="24"/>
          <w:szCs w:val="24"/>
          <w:highlight w:val="none"/>
        </w:rPr>
        <w:t>包人进行永久设备、材料的制造和生产的，应符合相关质量标准，并向监理人提交材料的样本以及有关资料，并应在使用该材料或工程设备之前获得监理人同意。</w:t>
      </w:r>
    </w:p>
    <w:bookmarkEnd w:id="312"/>
    <w:p w14:paraId="7E287257">
      <w:pPr>
        <w:autoSpaceDE w:val="0"/>
        <w:autoSpaceDN w:val="0"/>
        <w:adjustRightInd w:val="0"/>
        <w:spacing w:line="360" w:lineRule="auto"/>
        <w:ind w:firstLine="360" w:firstLineChars="15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349D99D3">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13" w:name="_Toc351203556"/>
      <w:r>
        <w:rPr>
          <w:rFonts w:ascii="Times New Roman" w:hAnsi="Times New Roman" w:eastAsia="Ђˎ̥" w:cs="Times New Roman"/>
          <w:color w:val="auto"/>
          <w:kern w:val="0"/>
          <w:sz w:val="24"/>
          <w:szCs w:val="24"/>
          <w:highlight w:val="none"/>
          <w:lang w:val="en-US" w:eastAsia="zh-CN" w:bidi="ar-SA"/>
        </w:rPr>
        <w:t>8</w:t>
      </w:r>
      <w:bookmarkStart w:id="314" w:name="_Toc296346563"/>
      <w:bookmarkStart w:id="315" w:name="_Toc296503062"/>
      <w:bookmarkStart w:id="316" w:name="_Toc337558780"/>
      <w:r>
        <w:rPr>
          <w:rFonts w:ascii="Times New Roman" w:hAnsi="Times New Roman" w:eastAsia="Ђˎ̥" w:cs="Times New Roman"/>
          <w:color w:val="auto"/>
          <w:kern w:val="0"/>
          <w:sz w:val="24"/>
          <w:szCs w:val="24"/>
          <w:highlight w:val="none"/>
          <w:lang w:val="en-US" w:eastAsia="zh-CN" w:bidi="ar-SA"/>
        </w:rPr>
        <w:t>.4</w:t>
      </w:r>
      <w:r>
        <w:rPr>
          <w:rFonts w:hint="eastAsia" w:ascii="Times New Roman" w:hAnsi="Times New Roman" w:eastAsia="Ђˎ̥" w:cs="Times New Roman"/>
          <w:color w:val="auto"/>
          <w:kern w:val="0"/>
          <w:sz w:val="24"/>
          <w:szCs w:val="24"/>
          <w:highlight w:val="none"/>
          <w:lang w:val="en-US" w:eastAsia="zh-CN" w:bidi="ar-SA"/>
        </w:rPr>
        <w:t>材料与工程设备的保管与使用</w:t>
      </w:r>
      <w:bookmarkEnd w:id="313"/>
    </w:p>
    <w:bookmarkEnd w:id="314"/>
    <w:bookmarkEnd w:id="315"/>
    <w:bookmarkEnd w:id="316"/>
    <w:p w14:paraId="2EACC44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8.4.1 </w:t>
      </w:r>
      <w:r>
        <w:rPr>
          <w:rFonts w:hint="eastAsia" w:ascii="宋体" w:hAnsi="宋体" w:eastAsia="宋体" w:cs="Times New Roman"/>
          <w:color w:val="auto"/>
          <w:kern w:val="0"/>
          <w:sz w:val="24"/>
          <w:szCs w:val="24"/>
          <w:highlight w:val="none"/>
        </w:rPr>
        <w:t>发包人供应</w:t>
      </w:r>
      <w:r>
        <w:rPr>
          <w:rFonts w:hint="eastAsia" w:ascii="宋体" w:hAnsi="宋体" w:eastAsia="宋体" w:cs="Times New Roman"/>
          <w:color w:val="auto"/>
          <w:sz w:val="24"/>
          <w:szCs w:val="24"/>
          <w:highlight w:val="none"/>
        </w:rPr>
        <w:t>材料与</w:t>
      </w:r>
      <w:r>
        <w:rPr>
          <w:rFonts w:hint="eastAsia" w:ascii="宋体" w:hAnsi="宋体" w:eastAsia="宋体" w:cs="Times New Roman"/>
          <w:color w:val="auto"/>
          <w:kern w:val="0"/>
          <w:sz w:val="24"/>
          <w:szCs w:val="24"/>
          <w:highlight w:val="none"/>
        </w:rPr>
        <w:t>工程</w:t>
      </w:r>
      <w:r>
        <w:rPr>
          <w:rFonts w:hint="eastAsia" w:ascii="宋体" w:hAnsi="宋体" w:eastAsia="宋体" w:cs="Times New Roman"/>
          <w:color w:val="auto"/>
          <w:sz w:val="24"/>
          <w:szCs w:val="24"/>
          <w:highlight w:val="none"/>
        </w:rPr>
        <w:t>设备的保管与使用</w:t>
      </w:r>
    </w:p>
    <w:p w14:paraId="08E9868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4CAB17A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发包人供应的材料和工程设备使用前，由承包人负责检验，检验费用由发包人承担，不合格的不得使用。</w:t>
      </w:r>
    </w:p>
    <w:p w14:paraId="61BB3EB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8.4.2 </w:t>
      </w:r>
      <w:r>
        <w:rPr>
          <w:rFonts w:hint="eastAsia" w:ascii="宋体" w:hAnsi="宋体" w:eastAsia="宋体" w:cs="Times New Roman"/>
          <w:color w:val="auto"/>
          <w:kern w:val="0"/>
          <w:sz w:val="24"/>
          <w:szCs w:val="24"/>
          <w:highlight w:val="none"/>
        </w:rPr>
        <w:t>承包人采购</w:t>
      </w:r>
      <w:r>
        <w:rPr>
          <w:rFonts w:hint="eastAsia" w:ascii="宋体" w:hAnsi="宋体" w:eastAsia="宋体" w:cs="Times New Roman"/>
          <w:color w:val="auto"/>
          <w:sz w:val="24"/>
          <w:szCs w:val="24"/>
          <w:highlight w:val="none"/>
        </w:rPr>
        <w:t>材料与</w:t>
      </w:r>
      <w:r>
        <w:rPr>
          <w:rFonts w:hint="eastAsia" w:ascii="宋体" w:hAnsi="宋体" w:eastAsia="宋体" w:cs="Times New Roman"/>
          <w:color w:val="auto"/>
          <w:kern w:val="0"/>
          <w:sz w:val="24"/>
          <w:szCs w:val="24"/>
          <w:highlight w:val="none"/>
        </w:rPr>
        <w:t>工程</w:t>
      </w:r>
      <w:r>
        <w:rPr>
          <w:rFonts w:hint="eastAsia" w:ascii="宋体" w:hAnsi="宋体" w:eastAsia="宋体" w:cs="Times New Roman"/>
          <w:color w:val="auto"/>
          <w:sz w:val="24"/>
          <w:szCs w:val="24"/>
          <w:highlight w:val="none"/>
        </w:rPr>
        <w:t>设备的保管与使用</w:t>
      </w:r>
    </w:p>
    <w:p w14:paraId="3B27931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05E807B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发包人或监理人发现承包人使用不符合设计或有关标准要求的材料和工程设备时，有权要求承包人进行修复、拆除或重新采购，由此增加的费用和（或）延误的工期，由承包人承担。</w:t>
      </w:r>
    </w:p>
    <w:p w14:paraId="7F19144E">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17" w:name="_Toc351203557"/>
      <w:r>
        <w:rPr>
          <w:rFonts w:ascii="Times New Roman" w:hAnsi="Times New Roman" w:eastAsia="Ђˎ̥" w:cs="Times New Roman"/>
          <w:color w:val="auto"/>
          <w:kern w:val="0"/>
          <w:sz w:val="24"/>
          <w:szCs w:val="24"/>
          <w:highlight w:val="none"/>
          <w:lang w:val="en-US" w:eastAsia="zh-CN" w:bidi="ar-SA"/>
        </w:rPr>
        <w:t>8.5</w:t>
      </w:r>
      <w:r>
        <w:rPr>
          <w:rFonts w:hint="eastAsia" w:ascii="Times New Roman" w:hAnsi="Times New Roman" w:eastAsia="Ђˎ̥" w:cs="Times New Roman"/>
          <w:color w:val="auto"/>
          <w:kern w:val="0"/>
          <w:sz w:val="24"/>
          <w:szCs w:val="24"/>
          <w:highlight w:val="none"/>
          <w:lang w:val="en-US" w:eastAsia="zh-CN" w:bidi="ar-SA"/>
        </w:rPr>
        <w:t>禁止使用不合格的材料和工程设备</w:t>
      </w:r>
      <w:bookmarkEnd w:id="317"/>
    </w:p>
    <w:p w14:paraId="5321248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8.5.1 </w:t>
      </w:r>
      <w:r>
        <w:rPr>
          <w:rFonts w:hint="eastAsia" w:ascii="宋体" w:hAnsi="宋体" w:eastAsia="宋体" w:cs="Times New Roman"/>
          <w:color w:val="auto"/>
          <w:kern w:val="0"/>
          <w:sz w:val="24"/>
          <w:szCs w:val="24"/>
          <w:highlight w:val="none"/>
        </w:rPr>
        <w:t>监理人有权拒绝承包人提供的不合格材料或工程设备，并要求承包人立即进行更换。监理人应在更换后再次进行检查和检验，由此增加的费用和（或）延误的工期由承包人承担。</w:t>
      </w:r>
    </w:p>
    <w:p w14:paraId="79DD62B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8.5.2 </w:t>
      </w:r>
      <w:r>
        <w:rPr>
          <w:rFonts w:hint="eastAsia" w:ascii="宋体" w:hAnsi="宋体" w:eastAsia="宋体" w:cs="Times New Roman"/>
          <w:color w:val="auto"/>
          <w:kern w:val="0"/>
          <w:sz w:val="24"/>
          <w:szCs w:val="24"/>
          <w:highlight w:val="none"/>
        </w:rPr>
        <w:t>监理人发现承包人使用了不合格的材料和工程设备，承包人应按照监理人的指示立即改正，并禁止在工程中继续使用不合格的材料和工程设备。</w:t>
      </w:r>
    </w:p>
    <w:p w14:paraId="7A7520A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8.5.3 </w:t>
      </w:r>
      <w:r>
        <w:rPr>
          <w:rFonts w:hint="eastAsia" w:ascii="宋体" w:hAnsi="宋体" w:eastAsia="宋体" w:cs="Times New Roman"/>
          <w:color w:val="auto"/>
          <w:kern w:val="0"/>
          <w:sz w:val="24"/>
          <w:szCs w:val="24"/>
          <w:highlight w:val="none"/>
        </w:rPr>
        <w:t>发包人提供的材料或工程设备不符合合同要求的，承包人有权拒绝，并可要求发包人更换，由此增加的费用和（或）延误的工期由发包人承担，并支付承包人合理的利润。</w:t>
      </w:r>
    </w:p>
    <w:p w14:paraId="1EB79FF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18" w:name="_Toc351203558"/>
      <w:r>
        <w:rPr>
          <w:rFonts w:ascii="Times New Roman" w:hAnsi="Times New Roman" w:eastAsia="Ђˎ̥" w:cs="Times New Roman"/>
          <w:color w:val="auto"/>
          <w:kern w:val="0"/>
          <w:sz w:val="24"/>
          <w:szCs w:val="24"/>
          <w:highlight w:val="none"/>
          <w:lang w:val="en-US" w:eastAsia="zh-CN" w:bidi="ar-SA"/>
        </w:rPr>
        <w:t xml:space="preserve">8.6 </w:t>
      </w:r>
      <w:r>
        <w:rPr>
          <w:rFonts w:hint="eastAsia" w:ascii="Times New Roman" w:hAnsi="Times New Roman" w:eastAsia="Ђˎ̥" w:cs="宋体"/>
          <w:color w:val="auto"/>
          <w:kern w:val="0"/>
          <w:sz w:val="24"/>
          <w:szCs w:val="24"/>
          <w:highlight w:val="none"/>
          <w:lang w:val="en-US" w:eastAsia="zh-CN" w:bidi="ar-SA"/>
        </w:rPr>
        <w:t>样品</w:t>
      </w:r>
      <w:bookmarkEnd w:id="318"/>
    </w:p>
    <w:p w14:paraId="5CB925B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8.6.1</w:t>
      </w:r>
      <w:r>
        <w:rPr>
          <w:rFonts w:ascii="宋体" w:hAnsi="宋体" w:eastAsia="宋体" w:cs="Times New Roman"/>
          <w:color w:val="auto"/>
          <w:kern w:val="0"/>
          <w:sz w:val="24"/>
          <w:szCs w:val="24"/>
          <w:highlight w:val="none"/>
        </w:rPr>
        <w:tab/>
      </w:r>
      <w:r>
        <w:rPr>
          <w:rFonts w:hint="eastAsia" w:ascii="宋体" w:hAnsi="宋体" w:eastAsia="宋体" w:cs="Times New Roman"/>
          <w:color w:val="auto"/>
          <w:kern w:val="0"/>
          <w:sz w:val="24"/>
          <w:szCs w:val="24"/>
          <w:highlight w:val="none"/>
        </w:rPr>
        <w:t>样品的报送与封存</w:t>
      </w:r>
    </w:p>
    <w:p w14:paraId="3E3AB14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需要承包人报送样品的材料或工程设备，样品的种类、名称、规格、数量等要求均应在专用合同条款中约定。样品的报送程序如下：</w:t>
      </w:r>
    </w:p>
    <w:p w14:paraId="528F344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）承包人应在计划采购前</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天向监理人报送样品。承包人报送的样品均应来自供应材料的实际生产地，且提供的样品的规格、数量足以表明材料或工程设备的质量、型号、颜色、表面处理、质地、误差和其他要求的特征。</w:t>
      </w:r>
    </w:p>
    <w:p w14:paraId="3E8B1D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）承包人每次报送样品时应随附申报单，申报单应载明报送样品的相关数据和资料，并标明每件样品对应的图纸号，预留监理人批复意见栏。监理人应在收到承包人报送的样品后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天向承包人回复经发包人签认的样品审批意见。</w:t>
      </w:r>
    </w:p>
    <w:p w14:paraId="7276D47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）经发包人和监理人审批确认的样品应按约定的方法封样，封存的样品作为检验工程相关部分的标准之一。承包人在施工过程中不得使用与样品不符的材料或工程设备。</w:t>
      </w:r>
    </w:p>
    <w:p w14:paraId="39E1509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B9A19F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8.6.2 </w:t>
      </w:r>
      <w:r>
        <w:rPr>
          <w:rFonts w:hint="eastAsia" w:ascii="宋体" w:hAnsi="宋体" w:eastAsia="宋体" w:cs="Times New Roman"/>
          <w:color w:val="auto"/>
          <w:kern w:val="0"/>
          <w:sz w:val="24"/>
          <w:szCs w:val="24"/>
          <w:highlight w:val="none"/>
        </w:rPr>
        <w:t>样品的保管</w:t>
      </w:r>
    </w:p>
    <w:p w14:paraId="0A97E3B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经批准的样品应由监理人负责封存于现场，承包人应在现场为保存样品提供适当和固定的场所并保持适当和良好的存储环境条件。</w:t>
      </w:r>
    </w:p>
    <w:p w14:paraId="7D3F834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19" w:name="_Toc351203559"/>
      <w:r>
        <w:rPr>
          <w:rFonts w:ascii="Times New Roman" w:hAnsi="Times New Roman" w:eastAsia="Ђˎ̥" w:cs="Times New Roman"/>
          <w:color w:val="auto"/>
          <w:kern w:val="0"/>
          <w:sz w:val="24"/>
          <w:szCs w:val="24"/>
          <w:highlight w:val="none"/>
          <w:lang w:val="en-US" w:eastAsia="zh-CN" w:bidi="ar-SA"/>
        </w:rPr>
        <w:t>8.7</w:t>
      </w:r>
      <w:r>
        <w:rPr>
          <w:rFonts w:hint="eastAsia" w:ascii="Times New Roman" w:hAnsi="Times New Roman" w:eastAsia="Ђˎ̥" w:cs="Times New Roman"/>
          <w:color w:val="auto"/>
          <w:kern w:val="0"/>
          <w:sz w:val="24"/>
          <w:szCs w:val="24"/>
          <w:highlight w:val="none"/>
          <w:lang w:val="en-US" w:eastAsia="zh-CN" w:bidi="ar-SA"/>
        </w:rPr>
        <w:t>材料与工程设备的替代</w:t>
      </w:r>
      <w:bookmarkEnd w:id="319"/>
    </w:p>
    <w:p w14:paraId="5AB4DAC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8.7.1 </w:t>
      </w:r>
      <w:r>
        <w:rPr>
          <w:rFonts w:hint="eastAsia" w:ascii="宋体" w:hAnsi="宋体" w:eastAsia="宋体" w:cs="Times New Roman"/>
          <w:color w:val="auto"/>
          <w:kern w:val="0"/>
          <w:sz w:val="24"/>
          <w:szCs w:val="24"/>
          <w:highlight w:val="none"/>
        </w:rPr>
        <w:t>出现下列情况需要使用替代材料和工程设备的，承包人应按照第</w:t>
      </w:r>
      <w:r>
        <w:rPr>
          <w:rFonts w:ascii="宋体" w:hAnsi="宋体" w:eastAsia="宋体" w:cs="Times New Roman"/>
          <w:color w:val="auto"/>
          <w:kern w:val="0"/>
          <w:sz w:val="24"/>
          <w:szCs w:val="24"/>
          <w:highlight w:val="none"/>
        </w:rPr>
        <w:t>8.7.2</w:t>
      </w:r>
      <w:r>
        <w:rPr>
          <w:rFonts w:hint="eastAsia" w:ascii="宋体" w:hAnsi="宋体" w:eastAsia="宋体" w:cs="Times New Roman"/>
          <w:color w:val="auto"/>
          <w:kern w:val="0"/>
          <w:sz w:val="24"/>
          <w:szCs w:val="24"/>
          <w:highlight w:val="none"/>
        </w:rPr>
        <w:t>项约定的程序执行：</w:t>
      </w:r>
    </w:p>
    <w:p w14:paraId="276F885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）基准日期后生效的法律规定禁止使用的；</w:t>
      </w:r>
    </w:p>
    <w:p w14:paraId="03FE0E4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）发包人要求使用替代品的；</w:t>
      </w:r>
    </w:p>
    <w:p w14:paraId="624B57B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）因其他原因必须使用替代品的。</w:t>
      </w:r>
    </w:p>
    <w:p w14:paraId="4E1EC03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8.7.2 </w:t>
      </w:r>
      <w:r>
        <w:rPr>
          <w:rFonts w:hint="eastAsia" w:ascii="宋体" w:hAnsi="宋体" w:eastAsia="宋体" w:cs="Times New Roman"/>
          <w:color w:val="auto"/>
          <w:kern w:val="0"/>
          <w:sz w:val="24"/>
          <w:szCs w:val="24"/>
          <w:highlight w:val="none"/>
        </w:rPr>
        <w:t>承包人应在使用替代材料和工程设备</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天前书面通知监理人，并附下列文件：</w:t>
      </w:r>
    </w:p>
    <w:p w14:paraId="214C6A8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）被替代的材料和工程设备的名称、数量、规格、型号、品牌、性能、价格及其他相关资料；</w:t>
      </w:r>
    </w:p>
    <w:p w14:paraId="480A634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）替代品的名称、数量、规格、型号、品牌、性能、价格及其他相关资料；</w:t>
      </w:r>
    </w:p>
    <w:p w14:paraId="59E253E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）替代品与被替代产品之间的差异以及使用替代品可能对工程产生的影响；</w:t>
      </w:r>
    </w:p>
    <w:p w14:paraId="5D2C91E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）替代品与被替代产品的价格差异；</w:t>
      </w:r>
    </w:p>
    <w:p w14:paraId="341D96C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）使用替代品的理由和原因说明；</w:t>
      </w:r>
    </w:p>
    <w:p w14:paraId="418F12C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）监理人要求的其他文件。</w:t>
      </w:r>
    </w:p>
    <w:p w14:paraId="384DECD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监理人应在收到通知后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天内向承包人发出经发包人签认的书面指示；监理人逾期发出书面指示的，视为发包人和监理人同意使用替代品。</w:t>
      </w:r>
    </w:p>
    <w:p w14:paraId="67B0E80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8.7.3 </w:t>
      </w:r>
      <w:r>
        <w:rPr>
          <w:rFonts w:hint="eastAsia" w:ascii="宋体" w:hAnsi="宋体" w:eastAsia="宋体" w:cs="Times New Roman"/>
          <w:color w:val="auto"/>
          <w:kern w:val="0"/>
          <w:sz w:val="24"/>
          <w:szCs w:val="24"/>
          <w:highlight w:val="none"/>
        </w:rPr>
        <w:t>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款〔商定或确定〕确定价格。</w:t>
      </w:r>
    </w:p>
    <w:p w14:paraId="15A75B8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20" w:name="_Toc351203560"/>
      <w:r>
        <w:rPr>
          <w:rFonts w:ascii="Times New Roman" w:hAnsi="Times New Roman" w:eastAsia="Ђˎ̥" w:cs="Times New Roman"/>
          <w:color w:val="auto"/>
          <w:kern w:val="0"/>
          <w:sz w:val="24"/>
          <w:szCs w:val="24"/>
          <w:highlight w:val="none"/>
          <w:lang w:val="en-US" w:eastAsia="zh-CN" w:bidi="ar-SA"/>
        </w:rPr>
        <w:t>8.8</w:t>
      </w:r>
      <w:r>
        <w:rPr>
          <w:rFonts w:hint="eastAsia" w:ascii="Times New Roman" w:hAnsi="Times New Roman" w:eastAsia="Ђˎ̥" w:cs="Times New Roman"/>
          <w:color w:val="auto"/>
          <w:kern w:val="0"/>
          <w:sz w:val="24"/>
          <w:szCs w:val="24"/>
          <w:highlight w:val="none"/>
          <w:lang w:val="en-US" w:eastAsia="zh-CN" w:bidi="ar-SA"/>
        </w:rPr>
        <w:t>施工设备和临时设施</w:t>
      </w:r>
      <w:bookmarkEnd w:id="320"/>
    </w:p>
    <w:p w14:paraId="74E50B4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8.8.1 </w:t>
      </w:r>
      <w:r>
        <w:rPr>
          <w:rFonts w:hint="eastAsia" w:ascii="宋体" w:hAnsi="宋体" w:eastAsia="宋体" w:cs="Times New Roman"/>
          <w:color w:val="auto"/>
          <w:kern w:val="0"/>
          <w:sz w:val="24"/>
          <w:szCs w:val="24"/>
          <w:highlight w:val="none"/>
        </w:rPr>
        <w:t>承包人提供的施工设备和临时设施</w:t>
      </w:r>
    </w:p>
    <w:p w14:paraId="7FDDE0C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0DE90B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除专用合同条款另有约定外，承包人应自行承担修建临时设施的费用，需要临时占地的，应由发包人办理申请手续并承担相应费用。</w:t>
      </w:r>
    </w:p>
    <w:p w14:paraId="1EB83A4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8.8.2</w:t>
      </w:r>
      <w:r>
        <w:rPr>
          <w:rFonts w:hint="eastAsia" w:ascii="宋体" w:hAnsi="宋体" w:eastAsia="宋体" w:cs="Times New Roman"/>
          <w:color w:val="auto"/>
          <w:kern w:val="0"/>
          <w:sz w:val="24"/>
          <w:szCs w:val="24"/>
          <w:highlight w:val="none"/>
        </w:rPr>
        <w:t>发包人提供的施工设备和临时设施</w:t>
      </w:r>
    </w:p>
    <w:p w14:paraId="46EC035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发包人提供的施工设备或临时设施在专用合同条款中约定。</w:t>
      </w:r>
    </w:p>
    <w:p w14:paraId="05C5B78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8.8.3</w:t>
      </w:r>
      <w:r>
        <w:rPr>
          <w:rFonts w:hint="eastAsia" w:ascii="宋体" w:hAnsi="宋体" w:eastAsia="宋体" w:cs="Times New Roman"/>
          <w:color w:val="auto"/>
          <w:kern w:val="0"/>
          <w:sz w:val="24"/>
          <w:szCs w:val="24"/>
          <w:highlight w:val="none"/>
        </w:rPr>
        <w:t>要求承包人增加或更换施工设备</w:t>
      </w:r>
    </w:p>
    <w:p w14:paraId="3720731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38C804F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21" w:name="_Toc351203561"/>
      <w:r>
        <w:rPr>
          <w:rFonts w:ascii="Times New Roman" w:hAnsi="Times New Roman" w:eastAsia="Ђˎ̥" w:cs="Times New Roman"/>
          <w:color w:val="auto"/>
          <w:kern w:val="0"/>
          <w:sz w:val="24"/>
          <w:szCs w:val="24"/>
          <w:highlight w:val="none"/>
          <w:lang w:val="en-US" w:eastAsia="zh-CN" w:bidi="ar-SA"/>
        </w:rPr>
        <w:t>8</w:t>
      </w:r>
      <w:bookmarkStart w:id="322" w:name="_Toc296503063"/>
      <w:bookmarkStart w:id="323" w:name="_Toc296346564"/>
      <w:bookmarkStart w:id="324" w:name="_Toc337558781"/>
      <w:r>
        <w:rPr>
          <w:rFonts w:ascii="Times New Roman" w:hAnsi="Times New Roman" w:eastAsia="Ђˎ̥" w:cs="Times New Roman"/>
          <w:color w:val="auto"/>
          <w:kern w:val="0"/>
          <w:sz w:val="24"/>
          <w:szCs w:val="24"/>
          <w:highlight w:val="none"/>
          <w:lang w:val="en-US" w:eastAsia="zh-CN" w:bidi="ar-SA"/>
        </w:rPr>
        <w:t>.9</w:t>
      </w:r>
      <w:r>
        <w:rPr>
          <w:rFonts w:hint="eastAsia" w:ascii="Times New Roman" w:hAnsi="Times New Roman" w:eastAsia="Ђˎ̥" w:cs="Times New Roman"/>
          <w:color w:val="auto"/>
          <w:kern w:val="0"/>
          <w:sz w:val="24"/>
          <w:szCs w:val="24"/>
          <w:highlight w:val="none"/>
          <w:lang w:val="en-US" w:eastAsia="zh-CN" w:bidi="ar-SA"/>
        </w:rPr>
        <w:t>材料与设备专用</w:t>
      </w:r>
      <w:bookmarkEnd w:id="321"/>
      <w:r>
        <w:rPr>
          <w:rFonts w:hint="eastAsia" w:ascii="Times New Roman" w:hAnsi="Times New Roman" w:eastAsia="Ђˎ̥" w:cs="Times New Roman"/>
          <w:color w:val="auto"/>
          <w:kern w:val="0"/>
          <w:sz w:val="24"/>
          <w:szCs w:val="24"/>
          <w:highlight w:val="none"/>
          <w:lang w:val="en-US" w:eastAsia="zh-CN" w:bidi="ar-SA"/>
        </w:rPr>
        <w:t>要求</w:t>
      </w:r>
    </w:p>
    <w:bookmarkEnd w:id="322"/>
    <w:bookmarkEnd w:id="323"/>
    <w:bookmarkEnd w:id="324"/>
    <w:p w14:paraId="36FDB12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303"/>
      <w:r>
        <w:rPr>
          <w:rFonts w:hint="eastAsia" w:ascii="宋体" w:hAnsi="宋体" w:eastAsia="宋体" w:cs="Times New Roman"/>
          <w:color w:val="auto"/>
          <w:kern w:val="0"/>
          <w:sz w:val="24"/>
          <w:szCs w:val="24"/>
          <w:highlight w:val="none"/>
        </w:rPr>
        <w:t>经发包人批准，承包人可以根据施工进度计划撤走闲置的施工设备和其他物品。</w:t>
      </w:r>
    </w:p>
    <w:p w14:paraId="46B701B8">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325" w:name="_Toc351203562"/>
      <w:bookmarkStart w:id="326" w:name="_Toc17965078"/>
      <w:r>
        <w:rPr>
          <w:rFonts w:ascii="Times New Roman" w:hAnsi="Times New Roman" w:eastAsia="黑体" w:cs="Times New Roman"/>
          <w:b/>
          <w:bCs/>
          <w:color w:val="auto"/>
          <w:kern w:val="2"/>
          <w:sz w:val="24"/>
          <w:szCs w:val="24"/>
          <w:highlight w:val="none"/>
          <w:lang w:val="en-US" w:eastAsia="zh-CN" w:bidi="ar-SA"/>
        </w:rPr>
        <w:t>9</w:t>
      </w:r>
      <w:bookmarkStart w:id="327" w:name="_Toc337558782"/>
      <w:bookmarkStart w:id="328" w:name="_Toc296503083"/>
      <w:bookmarkStart w:id="329" w:name="_Toc296346584"/>
      <w:r>
        <w:rPr>
          <w:rFonts w:ascii="Times New Roman" w:hAnsi="Times New Roman" w:eastAsia="黑体" w:cs="Times New Roman"/>
          <w:b/>
          <w:bCs/>
          <w:color w:val="auto"/>
          <w:kern w:val="2"/>
          <w:sz w:val="24"/>
          <w:szCs w:val="24"/>
          <w:highlight w:val="none"/>
          <w:lang w:val="en-US" w:eastAsia="zh-CN" w:bidi="ar-SA"/>
        </w:rPr>
        <w:t>. 试验与检验</w:t>
      </w:r>
      <w:bookmarkEnd w:id="325"/>
      <w:bookmarkEnd w:id="326"/>
    </w:p>
    <w:bookmarkEnd w:id="327"/>
    <w:p w14:paraId="326624A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30" w:name="_Toc351203563"/>
      <w:r>
        <w:rPr>
          <w:rFonts w:ascii="Times New Roman" w:hAnsi="Times New Roman" w:eastAsia="Ђˎ̥" w:cs="Times New Roman"/>
          <w:color w:val="auto"/>
          <w:kern w:val="0"/>
          <w:sz w:val="24"/>
          <w:szCs w:val="24"/>
          <w:highlight w:val="none"/>
          <w:lang w:val="en-US" w:eastAsia="zh-CN" w:bidi="ar-SA"/>
        </w:rPr>
        <w:t>9</w:t>
      </w:r>
      <w:bookmarkStart w:id="331" w:name="_Toc337558783"/>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Times New Roman"/>
          <w:color w:val="auto"/>
          <w:kern w:val="0"/>
          <w:sz w:val="24"/>
          <w:szCs w:val="24"/>
          <w:highlight w:val="none"/>
          <w:lang w:val="en-US" w:eastAsia="zh-CN" w:bidi="ar-SA"/>
        </w:rPr>
        <w:t>试验设备与试验人员</w:t>
      </w:r>
      <w:bookmarkEnd w:id="330"/>
    </w:p>
    <w:bookmarkEnd w:id="331"/>
    <w:p w14:paraId="5B3766FF">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9.1.1 </w:t>
      </w:r>
      <w:r>
        <w:rPr>
          <w:rFonts w:hint="eastAsia" w:ascii="宋体" w:hAnsi="宋体" w:eastAsia="宋体" w:cs="Times New Roman"/>
          <w:color w:val="auto"/>
          <w:kern w:val="0"/>
          <w:sz w:val="24"/>
          <w:szCs w:val="24"/>
          <w:highlight w:val="none"/>
        </w:rPr>
        <w:t>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200C522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9.1.2 </w:t>
      </w:r>
      <w:r>
        <w:rPr>
          <w:rFonts w:hint="eastAsia" w:ascii="宋体" w:hAnsi="宋体" w:eastAsia="宋体" w:cs="Times New Roman"/>
          <w:color w:val="auto"/>
          <w:kern w:val="0"/>
          <w:sz w:val="24"/>
          <w:szCs w:val="24"/>
          <w:highlight w:val="none"/>
        </w:rPr>
        <w:t>承包人应按专用合同条款的约定提供试验设备、取样装置、试验场所和试验条件，并向监理人提交相应进场计划表。</w:t>
      </w:r>
    </w:p>
    <w:p w14:paraId="340BD14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承包人配置的试验设备要符合相应试验规程的要求并经过具有资质的检测单位检测，且在正式使用该试验设备前，需要经过监理人与承包人共同校定。</w:t>
      </w:r>
    </w:p>
    <w:p w14:paraId="33F315F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9.1.3 </w:t>
      </w:r>
      <w:r>
        <w:rPr>
          <w:rFonts w:hint="eastAsia" w:ascii="宋体" w:hAnsi="宋体" w:eastAsia="宋体" w:cs="Times New Roman"/>
          <w:color w:val="auto"/>
          <w:kern w:val="0"/>
          <w:sz w:val="24"/>
          <w:szCs w:val="24"/>
          <w:highlight w:val="none"/>
        </w:rPr>
        <w:t>承包人应向监理人提交试验人员的名单及其岗位、资格等证明资料，试验人员必须能够熟练进行相应的检测试验，承包人对试验人员的试验程序和试验结果的正确性负责。</w:t>
      </w:r>
    </w:p>
    <w:p w14:paraId="031991F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32" w:name="_Toc351203564"/>
      <w:r>
        <w:rPr>
          <w:rFonts w:ascii="Times New Roman" w:hAnsi="Times New Roman" w:eastAsia="Ђˎ̥" w:cs="Times New Roman"/>
          <w:color w:val="auto"/>
          <w:kern w:val="0"/>
          <w:sz w:val="24"/>
          <w:szCs w:val="24"/>
          <w:highlight w:val="none"/>
          <w:lang w:val="en-US" w:eastAsia="zh-CN" w:bidi="ar-SA"/>
        </w:rPr>
        <w:t>9</w:t>
      </w:r>
      <w:bookmarkStart w:id="333" w:name="_Toc337558784"/>
      <w:r>
        <w:rPr>
          <w:rFonts w:ascii="Times New Roman" w:hAnsi="Times New Roman" w:eastAsia="Ђˎ̥" w:cs="Times New Roman"/>
          <w:color w:val="auto"/>
          <w:kern w:val="0"/>
          <w:sz w:val="24"/>
          <w:szCs w:val="24"/>
          <w:highlight w:val="none"/>
          <w:lang w:val="en-US" w:eastAsia="zh-CN" w:bidi="ar-SA"/>
        </w:rPr>
        <w:t>.2</w:t>
      </w:r>
      <w:r>
        <w:rPr>
          <w:rFonts w:hint="eastAsia" w:ascii="Times New Roman" w:hAnsi="Times New Roman" w:eastAsia="Ђˎ̥" w:cs="宋体"/>
          <w:color w:val="auto"/>
          <w:kern w:val="0"/>
          <w:sz w:val="24"/>
          <w:szCs w:val="24"/>
          <w:highlight w:val="none"/>
          <w:lang w:val="en-US" w:eastAsia="zh-CN" w:bidi="ar-SA"/>
        </w:rPr>
        <w:t>取样</w:t>
      </w:r>
      <w:bookmarkEnd w:id="332"/>
    </w:p>
    <w:bookmarkEnd w:id="333"/>
    <w:p w14:paraId="006C711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试验属于自检性质的，承包人可以单独取样。试验属于监理人抽检性质的，可由监理人取样，也可由承包人的试验人员在监理人的监督下取样。</w:t>
      </w:r>
    </w:p>
    <w:p w14:paraId="461AE16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34" w:name="_Toc351203565"/>
      <w:r>
        <w:rPr>
          <w:rFonts w:ascii="Times New Roman" w:hAnsi="Times New Roman" w:eastAsia="Ђˎ̥" w:cs="Times New Roman"/>
          <w:color w:val="auto"/>
          <w:kern w:val="0"/>
          <w:sz w:val="24"/>
          <w:szCs w:val="24"/>
          <w:highlight w:val="none"/>
          <w:lang w:val="en-US" w:eastAsia="zh-CN" w:bidi="ar-SA"/>
        </w:rPr>
        <w:t>9</w:t>
      </w:r>
      <w:bookmarkStart w:id="335" w:name="_Toc337558785"/>
      <w:r>
        <w:rPr>
          <w:rFonts w:ascii="Times New Roman" w:hAnsi="Times New Roman" w:eastAsia="Ђˎ̥" w:cs="Times New Roman"/>
          <w:color w:val="auto"/>
          <w:kern w:val="0"/>
          <w:sz w:val="24"/>
          <w:szCs w:val="24"/>
          <w:highlight w:val="none"/>
          <w:lang w:val="en-US" w:eastAsia="zh-CN" w:bidi="ar-SA"/>
        </w:rPr>
        <w:t>.3</w:t>
      </w:r>
      <w:r>
        <w:rPr>
          <w:rFonts w:hint="eastAsia" w:ascii="Times New Roman" w:hAnsi="Times New Roman" w:eastAsia="Ђˎ̥" w:cs="Times New Roman"/>
          <w:color w:val="auto"/>
          <w:kern w:val="0"/>
          <w:sz w:val="24"/>
          <w:szCs w:val="24"/>
          <w:highlight w:val="none"/>
          <w:lang w:val="en-US" w:eastAsia="zh-CN" w:bidi="ar-SA"/>
        </w:rPr>
        <w:t>材料、工程设备和工程的试验和检验</w:t>
      </w:r>
      <w:bookmarkEnd w:id="334"/>
    </w:p>
    <w:bookmarkEnd w:id="335"/>
    <w:p w14:paraId="0F2C31E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9.3.1</w:t>
      </w:r>
      <w:r>
        <w:rPr>
          <w:rFonts w:hint="eastAsia" w:ascii="宋体" w:hAnsi="宋体" w:eastAsia="宋体" w:cs="Times New Roman"/>
          <w:color w:val="auto"/>
          <w:kern w:val="0"/>
          <w:sz w:val="24"/>
          <w:szCs w:val="24"/>
          <w:highlight w:val="none"/>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7EA6DB1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9.3.2</w:t>
      </w:r>
      <w:r>
        <w:rPr>
          <w:rFonts w:hint="eastAsia" w:ascii="宋体" w:hAnsi="宋体" w:eastAsia="宋体" w:cs="Times New Roman"/>
          <w:color w:val="auto"/>
          <w:kern w:val="0"/>
          <w:sz w:val="24"/>
          <w:szCs w:val="24"/>
          <w:highlight w:val="none"/>
        </w:rPr>
        <w:t>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0BB80621">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9.3.3</w:t>
      </w:r>
      <w:r>
        <w:rPr>
          <w:rFonts w:hint="eastAsia" w:ascii="宋体" w:hAnsi="宋体" w:eastAsia="宋体" w:cs="Times New Roman"/>
          <w:color w:val="auto"/>
          <w:kern w:val="0"/>
          <w:sz w:val="24"/>
          <w:szCs w:val="24"/>
          <w:highlight w:val="none"/>
        </w:rPr>
        <w:t>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7424A80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36" w:name="_Toc351203566"/>
      <w:r>
        <w:rPr>
          <w:rFonts w:ascii="Times New Roman" w:hAnsi="Times New Roman" w:eastAsia="Ђˎ̥" w:cs="Times New Roman"/>
          <w:color w:val="auto"/>
          <w:kern w:val="0"/>
          <w:sz w:val="24"/>
          <w:szCs w:val="24"/>
          <w:highlight w:val="none"/>
          <w:lang w:val="en-US" w:eastAsia="zh-CN" w:bidi="ar-SA"/>
        </w:rPr>
        <w:t>9</w:t>
      </w:r>
      <w:bookmarkStart w:id="337" w:name="_Toc337558786"/>
      <w:r>
        <w:rPr>
          <w:rFonts w:ascii="Times New Roman" w:hAnsi="Times New Roman" w:eastAsia="Ђˎ̥" w:cs="Times New Roman"/>
          <w:color w:val="auto"/>
          <w:kern w:val="0"/>
          <w:sz w:val="24"/>
          <w:szCs w:val="24"/>
          <w:highlight w:val="none"/>
          <w:lang w:val="en-US" w:eastAsia="zh-CN" w:bidi="ar-SA"/>
        </w:rPr>
        <w:t>.4</w:t>
      </w:r>
      <w:r>
        <w:rPr>
          <w:rFonts w:hint="eastAsia" w:ascii="Times New Roman" w:hAnsi="Times New Roman" w:eastAsia="Ђˎ̥" w:cs="Times New Roman"/>
          <w:color w:val="auto"/>
          <w:kern w:val="0"/>
          <w:sz w:val="24"/>
          <w:szCs w:val="24"/>
          <w:highlight w:val="none"/>
          <w:lang w:val="en-US" w:eastAsia="zh-CN" w:bidi="ar-SA"/>
        </w:rPr>
        <w:t>现场工艺试验</w:t>
      </w:r>
      <w:bookmarkEnd w:id="336"/>
    </w:p>
    <w:bookmarkEnd w:id="337"/>
    <w:p w14:paraId="27CD1B9C">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承包人应按合同约定或监理人指示进行现场工艺试验。对大型的现场工艺试验，监理人认为必要时，承包人应根据监理人提出的工艺试验要求，编制工艺试验措施计划，报送监理人审查。</w:t>
      </w:r>
    </w:p>
    <w:p w14:paraId="53D11BC5">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338" w:name="_Toc17965079"/>
      <w:bookmarkStart w:id="339" w:name="_Toc351203567"/>
      <w:r>
        <w:rPr>
          <w:rFonts w:ascii="Times New Roman" w:hAnsi="Times New Roman" w:eastAsia="黑体" w:cs="Times New Roman"/>
          <w:b/>
          <w:bCs/>
          <w:color w:val="auto"/>
          <w:kern w:val="2"/>
          <w:sz w:val="24"/>
          <w:szCs w:val="24"/>
          <w:highlight w:val="none"/>
          <w:lang w:val="en-US" w:eastAsia="zh-CN" w:bidi="ar-SA"/>
        </w:rPr>
        <w:t>1</w:t>
      </w:r>
      <w:bookmarkStart w:id="340" w:name="_Toc337558787"/>
      <w:r>
        <w:rPr>
          <w:rFonts w:ascii="Times New Roman" w:hAnsi="Times New Roman" w:eastAsia="黑体" w:cs="Times New Roman"/>
          <w:b/>
          <w:bCs/>
          <w:color w:val="auto"/>
          <w:kern w:val="2"/>
          <w:sz w:val="24"/>
          <w:szCs w:val="24"/>
          <w:highlight w:val="none"/>
          <w:lang w:val="en-US" w:eastAsia="zh-CN" w:bidi="ar-SA"/>
        </w:rPr>
        <w:t xml:space="preserve">0. </w:t>
      </w:r>
      <w:r>
        <w:rPr>
          <w:rFonts w:ascii="Times New Roman" w:hAnsi="Times New Roman" w:eastAsia="黑体" w:cs="宋体"/>
          <w:b/>
          <w:bCs/>
          <w:color w:val="auto"/>
          <w:kern w:val="2"/>
          <w:sz w:val="24"/>
          <w:szCs w:val="24"/>
          <w:highlight w:val="none"/>
          <w:lang w:val="en-US" w:eastAsia="zh-CN" w:bidi="ar-SA"/>
        </w:rPr>
        <w:t>变更</w:t>
      </w:r>
      <w:bookmarkEnd w:id="328"/>
      <w:bookmarkEnd w:id="329"/>
      <w:bookmarkEnd w:id="338"/>
      <w:bookmarkEnd w:id="339"/>
    </w:p>
    <w:bookmarkEnd w:id="340"/>
    <w:p w14:paraId="649D728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41" w:name="_Toc351203568"/>
      <w:r>
        <w:rPr>
          <w:rFonts w:ascii="Times New Roman" w:hAnsi="Times New Roman" w:eastAsia="Ђˎ̥" w:cs="Times New Roman"/>
          <w:color w:val="auto"/>
          <w:kern w:val="0"/>
          <w:sz w:val="24"/>
          <w:szCs w:val="24"/>
          <w:highlight w:val="none"/>
          <w:lang w:val="en-US" w:eastAsia="zh-CN" w:bidi="ar-SA"/>
        </w:rPr>
        <w:t>1</w:t>
      </w:r>
      <w:bookmarkStart w:id="342" w:name="_Toc337558788"/>
      <w:bookmarkStart w:id="343" w:name="_Toc296503084"/>
      <w:bookmarkStart w:id="344" w:name="_Toc296346585"/>
      <w:r>
        <w:rPr>
          <w:rFonts w:ascii="Times New Roman" w:hAnsi="Times New Roman" w:eastAsia="Ђˎ̥" w:cs="Times New Roman"/>
          <w:color w:val="auto"/>
          <w:kern w:val="0"/>
          <w:sz w:val="24"/>
          <w:szCs w:val="24"/>
          <w:highlight w:val="none"/>
          <w:lang w:val="en-US" w:eastAsia="zh-CN" w:bidi="ar-SA"/>
        </w:rPr>
        <w:t>0.1</w:t>
      </w:r>
      <w:r>
        <w:rPr>
          <w:rFonts w:hint="eastAsia" w:ascii="Times New Roman" w:hAnsi="Times New Roman" w:eastAsia="Ђˎ̥" w:cs="宋体"/>
          <w:color w:val="auto"/>
          <w:kern w:val="0"/>
          <w:sz w:val="24"/>
          <w:szCs w:val="24"/>
          <w:highlight w:val="none"/>
          <w:lang w:val="en-US" w:eastAsia="zh-CN" w:bidi="ar-SA"/>
        </w:rPr>
        <w:t>变更的范围</w:t>
      </w:r>
      <w:bookmarkEnd w:id="341"/>
    </w:p>
    <w:bookmarkEnd w:id="342"/>
    <w:bookmarkEnd w:id="343"/>
    <w:bookmarkEnd w:id="344"/>
    <w:p w14:paraId="3373487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除专用合同条款另有约定外，合同履行过程中发生以下情形的，应按照本条约定进行变更：</w:t>
      </w:r>
    </w:p>
    <w:p w14:paraId="7F021E7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）增加或减少合同中任何工作，或追加额外的工作；</w:t>
      </w:r>
    </w:p>
    <w:p w14:paraId="6631441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）取消合同中任何工作，但转由他人实施的工作除外；</w:t>
      </w:r>
    </w:p>
    <w:p w14:paraId="3F638DE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）改变合同中任何工作的质量标准或其他特性；</w:t>
      </w:r>
    </w:p>
    <w:p w14:paraId="12F94D5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）改变工程的基线、标高、位置和尺寸；</w:t>
      </w:r>
    </w:p>
    <w:p w14:paraId="7748CD7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）改变工程的时间安排或实施顺序。</w:t>
      </w:r>
    </w:p>
    <w:p w14:paraId="22EB92E7">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45" w:name="_Toc351203569"/>
      <w:r>
        <w:rPr>
          <w:rFonts w:ascii="Times New Roman" w:hAnsi="Times New Roman" w:eastAsia="Ђˎ̥" w:cs="Times New Roman"/>
          <w:color w:val="auto"/>
          <w:kern w:val="0"/>
          <w:sz w:val="24"/>
          <w:szCs w:val="24"/>
          <w:highlight w:val="none"/>
          <w:lang w:val="en-US" w:eastAsia="zh-CN" w:bidi="ar-SA"/>
        </w:rPr>
        <w:t>1</w:t>
      </w:r>
      <w:bookmarkStart w:id="346" w:name="_Toc296503085"/>
      <w:bookmarkStart w:id="347" w:name="_Toc296346586"/>
      <w:bookmarkStart w:id="348" w:name="_Toc337558789"/>
      <w:r>
        <w:rPr>
          <w:rFonts w:ascii="Times New Roman" w:hAnsi="Times New Roman" w:eastAsia="Ђˎ̥" w:cs="Times New Roman"/>
          <w:color w:val="auto"/>
          <w:kern w:val="0"/>
          <w:sz w:val="24"/>
          <w:szCs w:val="24"/>
          <w:highlight w:val="none"/>
          <w:lang w:val="en-US" w:eastAsia="zh-CN" w:bidi="ar-SA"/>
        </w:rPr>
        <w:t>0.2</w:t>
      </w:r>
      <w:r>
        <w:rPr>
          <w:rFonts w:hint="eastAsia" w:ascii="Times New Roman" w:hAnsi="Times New Roman" w:eastAsia="Ђˎ̥" w:cs="宋体"/>
          <w:color w:val="auto"/>
          <w:kern w:val="0"/>
          <w:sz w:val="24"/>
          <w:szCs w:val="24"/>
          <w:highlight w:val="none"/>
          <w:lang w:val="en-US" w:eastAsia="zh-CN" w:bidi="ar-SA"/>
        </w:rPr>
        <w:t>变更权</w:t>
      </w:r>
      <w:bookmarkEnd w:id="345"/>
    </w:p>
    <w:bookmarkEnd w:id="346"/>
    <w:bookmarkEnd w:id="347"/>
    <w:bookmarkEnd w:id="348"/>
    <w:p w14:paraId="1D85300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B4A4A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涉及设计变更的，应由设计人提供变更后的图纸和说明。如变更超过原设计标准或批准的建设规模时，发包人应及时办理规划、设计变更等审批手续。</w:t>
      </w:r>
    </w:p>
    <w:p w14:paraId="0CFAEEF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49" w:name="_Toc351203570"/>
      <w:r>
        <w:rPr>
          <w:rFonts w:ascii="Times New Roman" w:hAnsi="Times New Roman" w:eastAsia="Ђˎ̥" w:cs="Times New Roman"/>
          <w:color w:val="auto"/>
          <w:kern w:val="0"/>
          <w:sz w:val="24"/>
          <w:szCs w:val="24"/>
          <w:highlight w:val="none"/>
          <w:lang w:val="en-US" w:eastAsia="zh-CN" w:bidi="ar-SA"/>
        </w:rPr>
        <w:t>1</w:t>
      </w:r>
      <w:bookmarkStart w:id="350" w:name="_Toc337558790"/>
      <w:bookmarkStart w:id="351" w:name="_Toc296346587"/>
      <w:bookmarkStart w:id="352" w:name="_Toc296503086"/>
      <w:r>
        <w:rPr>
          <w:rFonts w:ascii="Times New Roman" w:hAnsi="Times New Roman" w:eastAsia="Ђˎ̥" w:cs="Times New Roman"/>
          <w:color w:val="auto"/>
          <w:kern w:val="0"/>
          <w:sz w:val="24"/>
          <w:szCs w:val="24"/>
          <w:highlight w:val="none"/>
          <w:lang w:val="en-US" w:eastAsia="zh-CN" w:bidi="ar-SA"/>
        </w:rPr>
        <w:t>0.3</w:t>
      </w:r>
      <w:r>
        <w:rPr>
          <w:rFonts w:hint="eastAsia" w:ascii="Times New Roman" w:hAnsi="Times New Roman" w:eastAsia="Ђˎ̥" w:cs="宋体"/>
          <w:color w:val="auto"/>
          <w:kern w:val="0"/>
          <w:sz w:val="24"/>
          <w:szCs w:val="24"/>
          <w:highlight w:val="none"/>
          <w:lang w:val="en-US" w:eastAsia="zh-CN" w:bidi="ar-SA"/>
        </w:rPr>
        <w:t>变更程序</w:t>
      </w:r>
      <w:bookmarkEnd w:id="349"/>
    </w:p>
    <w:bookmarkEnd w:id="350"/>
    <w:bookmarkEnd w:id="351"/>
    <w:bookmarkEnd w:id="352"/>
    <w:p w14:paraId="5C4FC1C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10</w:t>
      </w:r>
      <w:r>
        <w:rPr>
          <w:rFonts w:ascii="宋体" w:hAnsi="宋体" w:eastAsia="宋体" w:cs="Times New Roman"/>
          <w:color w:val="auto"/>
          <w:kern w:val="0"/>
          <w:sz w:val="24"/>
          <w:szCs w:val="24"/>
          <w:highlight w:val="none"/>
        </w:rPr>
        <w:t xml:space="preserve">.3.1 </w:t>
      </w:r>
      <w:r>
        <w:rPr>
          <w:rFonts w:hint="eastAsia" w:ascii="宋体" w:hAnsi="宋体" w:eastAsia="宋体" w:cs="Times New Roman"/>
          <w:color w:val="auto"/>
          <w:kern w:val="0"/>
          <w:sz w:val="24"/>
          <w:szCs w:val="24"/>
          <w:highlight w:val="none"/>
        </w:rPr>
        <w:t>发包人提出变更</w:t>
      </w:r>
    </w:p>
    <w:p w14:paraId="19ABDCB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发包人提出变更的，应通过监理人向承包人发出变更指示，变更指示应说明计划变更的工程范围和变更的内容。</w:t>
      </w:r>
    </w:p>
    <w:p w14:paraId="33B9766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10</w:t>
      </w:r>
      <w:r>
        <w:rPr>
          <w:rFonts w:ascii="宋体" w:hAnsi="宋体" w:eastAsia="宋体" w:cs="Times New Roman"/>
          <w:color w:val="auto"/>
          <w:kern w:val="0"/>
          <w:sz w:val="24"/>
          <w:szCs w:val="24"/>
          <w:highlight w:val="none"/>
        </w:rPr>
        <w:t xml:space="preserve">.3.2 </w:t>
      </w:r>
      <w:r>
        <w:rPr>
          <w:rFonts w:hint="eastAsia" w:ascii="宋体" w:hAnsi="宋体" w:eastAsia="宋体" w:cs="Times New Roman"/>
          <w:color w:val="auto"/>
          <w:kern w:val="0"/>
          <w:sz w:val="24"/>
          <w:szCs w:val="24"/>
          <w:highlight w:val="none"/>
        </w:rPr>
        <w:t>监理人提出变更建议</w:t>
      </w:r>
    </w:p>
    <w:p w14:paraId="61293E5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11CAB86A">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10.3.3 </w:t>
      </w:r>
      <w:r>
        <w:rPr>
          <w:rFonts w:hint="eastAsia" w:ascii="宋体" w:hAnsi="宋体" w:eastAsia="宋体" w:cs="Times New Roman"/>
          <w:color w:val="auto"/>
          <w:sz w:val="24"/>
          <w:szCs w:val="24"/>
          <w:highlight w:val="none"/>
        </w:rPr>
        <w:t>变更执行</w:t>
      </w:r>
    </w:p>
    <w:p w14:paraId="6D44355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w:t>
      </w:r>
      <w:r>
        <w:rPr>
          <w:rFonts w:ascii="宋体" w:hAnsi="宋体" w:eastAsia="宋体" w:cs="Times New Roman"/>
          <w:color w:val="auto"/>
          <w:kern w:val="0"/>
          <w:sz w:val="24"/>
          <w:szCs w:val="24"/>
          <w:highlight w:val="none"/>
        </w:rPr>
        <w:t>10.4</w:t>
      </w:r>
      <w:r>
        <w:rPr>
          <w:rFonts w:hint="eastAsia" w:ascii="宋体" w:hAnsi="宋体" w:eastAsia="宋体" w:cs="Times New Roman"/>
          <w:color w:val="auto"/>
          <w:kern w:val="0"/>
          <w:sz w:val="24"/>
          <w:szCs w:val="24"/>
          <w:highlight w:val="none"/>
        </w:rPr>
        <w:t>款〔变更估价〕约定确定变更估价。</w:t>
      </w:r>
    </w:p>
    <w:p w14:paraId="4E9BC7A3">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53" w:name="_Toc351203571"/>
      <w:r>
        <w:rPr>
          <w:rFonts w:ascii="Times New Roman" w:hAnsi="Times New Roman" w:eastAsia="Ђˎ̥" w:cs="Times New Roman"/>
          <w:color w:val="auto"/>
          <w:kern w:val="0"/>
          <w:sz w:val="24"/>
          <w:szCs w:val="24"/>
          <w:highlight w:val="none"/>
          <w:lang w:val="en-US" w:eastAsia="zh-CN" w:bidi="ar-SA"/>
        </w:rPr>
        <w:t>1</w:t>
      </w:r>
      <w:bookmarkStart w:id="354" w:name="_Toc296346588"/>
      <w:bookmarkStart w:id="355" w:name="_Toc337558791"/>
      <w:bookmarkStart w:id="356" w:name="_Toc296503087"/>
      <w:r>
        <w:rPr>
          <w:rFonts w:ascii="Times New Roman" w:hAnsi="Times New Roman" w:eastAsia="Ђˎ̥" w:cs="Times New Roman"/>
          <w:color w:val="auto"/>
          <w:kern w:val="0"/>
          <w:sz w:val="24"/>
          <w:szCs w:val="24"/>
          <w:highlight w:val="none"/>
          <w:lang w:val="en-US" w:eastAsia="zh-CN" w:bidi="ar-SA"/>
        </w:rPr>
        <w:t>0.4</w:t>
      </w:r>
      <w:r>
        <w:rPr>
          <w:rFonts w:hint="eastAsia" w:ascii="Times New Roman" w:hAnsi="Times New Roman" w:eastAsia="Ђˎ̥" w:cs="宋体"/>
          <w:color w:val="auto"/>
          <w:kern w:val="0"/>
          <w:sz w:val="24"/>
          <w:szCs w:val="24"/>
          <w:highlight w:val="none"/>
          <w:lang w:val="en-US" w:eastAsia="zh-CN" w:bidi="ar-SA"/>
        </w:rPr>
        <w:t>变更估价</w:t>
      </w:r>
      <w:bookmarkEnd w:id="353"/>
    </w:p>
    <w:bookmarkEnd w:id="354"/>
    <w:bookmarkEnd w:id="355"/>
    <w:bookmarkEnd w:id="356"/>
    <w:p w14:paraId="2219D07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10.4.1 </w:t>
      </w:r>
      <w:r>
        <w:rPr>
          <w:rFonts w:hint="eastAsia" w:ascii="宋体" w:hAnsi="宋体" w:eastAsia="宋体" w:cs="Times New Roman"/>
          <w:color w:val="auto"/>
          <w:kern w:val="0"/>
          <w:sz w:val="24"/>
          <w:szCs w:val="24"/>
          <w:highlight w:val="none"/>
        </w:rPr>
        <w:t>变更估价原则</w:t>
      </w:r>
    </w:p>
    <w:p w14:paraId="1B36E16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除专用合同条款另有约定外，变更估价按照本款约定处理：</w:t>
      </w:r>
    </w:p>
    <w:p w14:paraId="11E8B7E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）已标价工程量清单或预算书有相同项目的，按照相同项目单价认定；</w:t>
      </w:r>
    </w:p>
    <w:p w14:paraId="0E49927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）已标价工程量清单或预算书中无相同项目，但有类似项目的，参照类似项目的单价认定；</w:t>
      </w:r>
    </w:p>
    <w:p w14:paraId="4D52FF6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）变更导致实际完成的变更工程量与已标价工程量清单或预算书中列明的该项目工程量的变化幅度超过</w:t>
      </w:r>
      <w:r>
        <w:rPr>
          <w:rFonts w:ascii="宋体" w:hAnsi="宋体" w:eastAsia="宋体" w:cs="Times New Roman"/>
          <w:color w:val="auto"/>
          <w:kern w:val="0"/>
          <w:sz w:val="24"/>
          <w:szCs w:val="24"/>
          <w:highlight w:val="none"/>
        </w:rPr>
        <w:t>15%</w:t>
      </w:r>
      <w:r>
        <w:rPr>
          <w:rFonts w:hint="eastAsia" w:ascii="宋体" w:hAnsi="宋体" w:eastAsia="宋体" w:cs="Times New Roman"/>
          <w:color w:val="auto"/>
          <w:kern w:val="0"/>
          <w:sz w:val="24"/>
          <w:szCs w:val="24"/>
          <w:highlight w:val="none"/>
        </w:rPr>
        <w:t>的，或已标价工程量清单或预算书中无相同项目及类似项目单价的，按照合理的成本与利润构成的原则，由合同当事人按照第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款〔商定或确定〕确定变更工作的单价。</w:t>
      </w:r>
    </w:p>
    <w:p w14:paraId="5D65C6E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10.4.2 </w:t>
      </w:r>
      <w:r>
        <w:rPr>
          <w:rFonts w:hint="eastAsia" w:ascii="宋体" w:hAnsi="宋体" w:eastAsia="宋体" w:cs="Times New Roman"/>
          <w:color w:val="auto"/>
          <w:kern w:val="0"/>
          <w:sz w:val="24"/>
          <w:szCs w:val="24"/>
          <w:highlight w:val="none"/>
        </w:rPr>
        <w:t>变更估价程序</w:t>
      </w:r>
    </w:p>
    <w:p w14:paraId="6FD8A9D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承包人应在收到变更指示后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天内，向监理人提交变更估价申请。监理人应在收到承包人提交的变更估价申请后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天内审查完毕并报送发包人，监理人对变更估价申请有异议，通知承包人修改后重新提交。发包人应在承包人提交变更估价申请后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天内审批完毕。发包人逾期未完成审批或未提出异议的，视为认可承包人提交的变更估价申请。</w:t>
      </w:r>
    </w:p>
    <w:p w14:paraId="7B6D23E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因变更引起的价格调整应计入最近一期的进度款中支付。</w:t>
      </w:r>
    </w:p>
    <w:p w14:paraId="1053D68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57" w:name="_Toc351203572"/>
      <w:r>
        <w:rPr>
          <w:rFonts w:ascii="Times New Roman" w:hAnsi="Times New Roman" w:eastAsia="Ђˎ̥" w:cs="Times New Roman"/>
          <w:color w:val="auto"/>
          <w:kern w:val="0"/>
          <w:sz w:val="24"/>
          <w:szCs w:val="24"/>
          <w:highlight w:val="none"/>
          <w:lang w:val="en-US" w:eastAsia="zh-CN" w:bidi="ar-SA"/>
        </w:rPr>
        <w:t>1</w:t>
      </w:r>
      <w:bookmarkStart w:id="358" w:name="_Toc296346595"/>
      <w:bookmarkStart w:id="359" w:name="_Toc337558792"/>
      <w:bookmarkStart w:id="360" w:name="_Toc296503094"/>
      <w:r>
        <w:rPr>
          <w:rFonts w:ascii="Times New Roman" w:hAnsi="Times New Roman" w:eastAsia="Ђˎ̥" w:cs="Times New Roman"/>
          <w:color w:val="auto"/>
          <w:kern w:val="0"/>
          <w:sz w:val="24"/>
          <w:szCs w:val="24"/>
          <w:highlight w:val="none"/>
          <w:lang w:val="en-US" w:eastAsia="zh-CN" w:bidi="ar-SA"/>
        </w:rPr>
        <w:t>0.5</w:t>
      </w:r>
      <w:r>
        <w:rPr>
          <w:rFonts w:hint="eastAsia" w:ascii="Times New Roman" w:hAnsi="Times New Roman" w:eastAsia="Ђˎ̥" w:cs="Times New Roman"/>
          <w:color w:val="auto"/>
          <w:kern w:val="0"/>
          <w:sz w:val="24"/>
          <w:szCs w:val="24"/>
          <w:highlight w:val="none"/>
          <w:lang w:val="en-US" w:eastAsia="zh-CN" w:bidi="ar-SA"/>
        </w:rPr>
        <w:t>承包人的合理化建议</w:t>
      </w:r>
      <w:bookmarkEnd w:id="357"/>
    </w:p>
    <w:bookmarkEnd w:id="358"/>
    <w:bookmarkEnd w:id="359"/>
    <w:bookmarkEnd w:id="360"/>
    <w:p w14:paraId="2DCDD70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承包人提出合理化建议的，应向监理人提交合理化建议说明，说明建议的内容和理由，以及实施该建议对合同价格和工期的影响。</w:t>
      </w:r>
    </w:p>
    <w:p w14:paraId="58626B0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除专用合同条款另有约定外，监理人应在收到承包人提交的合理化建议后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天内审查完毕并报送发包人，发现其中存在技术上的缺陷，应通知承包人修改。发包人应在收到监理人报送的合理化建议后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天内审批完毕。合理化建议经发包人批准的，监理人应及时发出变更指示，由此引起的合同价格调整按照第</w:t>
      </w:r>
      <w:r>
        <w:rPr>
          <w:rFonts w:ascii="宋体" w:hAnsi="宋体" w:eastAsia="宋体" w:cs="Times New Roman"/>
          <w:color w:val="auto"/>
          <w:kern w:val="0"/>
          <w:sz w:val="24"/>
          <w:szCs w:val="24"/>
          <w:highlight w:val="none"/>
        </w:rPr>
        <w:t>10.4</w:t>
      </w:r>
      <w:r>
        <w:rPr>
          <w:rFonts w:hint="eastAsia" w:ascii="宋体" w:hAnsi="宋体" w:eastAsia="宋体" w:cs="Times New Roman"/>
          <w:color w:val="auto"/>
          <w:kern w:val="0"/>
          <w:sz w:val="24"/>
          <w:szCs w:val="24"/>
          <w:highlight w:val="none"/>
        </w:rPr>
        <w:t>款〔变更估价〕约定执行。发包人不同意变更的，监理人应书面通知承包人。</w:t>
      </w:r>
    </w:p>
    <w:p w14:paraId="00AF1F6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合理化建议降低了合同价格或者提高了工程经济效益的，发包人可对承包人给予奖励，奖励的方法和金额在专用合同条款中约定。</w:t>
      </w:r>
    </w:p>
    <w:p w14:paraId="1EABEFC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61" w:name="_Toc351203573"/>
      <w:r>
        <w:rPr>
          <w:rFonts w:ascii="Times New Roman" w:hAnsi="Times New Roman" w:eastAsia="Ђˎ̥" w:cs="Times New Roman"/>
          <w:color w:val="auto"/>
          <w:kern w:val="0"/>
          <w:sz w:val="24"/>
          <w:szCs w:val="24"/>
          <w:highlight w:val="none"/>
          <w:lang w:val="en-US" w:eastAsia="zh-CN" w:bidi="ar-SA"/>
        </w:rPr>
        <w:t>1</w:t>
      </w:r>
      <w:bookmarkStart w:id="362" w:name="_Toc337558793"/>
      <w:r>
        <w:rPr>
          <w:rFonts w:ascii="Times New Roman" w:hAnsi="Times New Roman" w:eastAsia="Ђˎ̥" w:cs="Times New Roman"/>
          <w:color w:val="auto"/>
          <w:kern w:val="0"/>
          <w:sz w:val="24"/>
          <w:szCs w:val="24"/>
          <w:highlight w:val="none"/>
          <w:lang w:val="en-US" w:eastAsia="zh-CN" w:bidi="ar-SA"/>
        </w:rPr>
        <w:t>0.6</w:t>
      </w:r>
      <w:r>
        <w:rPr>
          <w:rFonts w:hint="eastAsia" w:ascii="Times New Roman" w:hAnsi="Times New Roman" w:eastAsia="Ђˎ̥" w:cs="Times New Roman"/>
          <w:color w:val="auto"/>
          <w:kern w:val="0"/>
          <w:sz w:val="24"/>
          <w:szCs w:val="24"/>
          <w:highlight w:val="none"/>
          <w:lang w:val="en-US" w:eastAsia="zh-CN" w:bidi="ar-SA"/>
        </w:rPr>
        <w:t>变更引起的工期调整</w:t>
      </w:r>
      <w:bookmarkEnd w:id="361"/>
      <w:r>
        <w:rPr>
          <w:rFonts w:ascii="Times New Roman" w:hAnsi="Times New Roman" w:eastAsia="Ђˎ̥" w:cs="Times New Roman"/>
          <w:color w:val="auto"/>
          <w:kern w:val="0"/>
          <w:sz w:val="24"/>
          <w:szCs w:val="24"/>
          <w:highlight w:val="none"/>
          <w:lang w:val="en-US" w:eastAsia="zh-CN" w:bidi="ar-SA"/>
        </w:rPr>
        <w:t xml:space="preserve"> </w:t>
      </w:r>
      <w:bookmarkEnd w:id="362"/>
      <w:r>
        <w:rPr>
          <w:rFonts w:ascii="Times New Roman" w:hAnsi="Times New Roman" w:eastAsia="Ђˎ̥" w:cs="Times New Roman"/>
          <w:color w:val="auto"/>
          <w:kern w:val="0"/>
          <w:sz w:val="24"/>
          <w:szCs w:val="24"/>
          <w:highlight w:val="none"/>
          <w:lang w:val="en-US" w:eastAsia="zh-CN" w:bidi="ar-SA"/>
        </w:rPr>
        <w:t xml:space="preserve">  </w:t>
      </w:r>
    </w:p>
    <w:p w14:paraId="182AB0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因变更引起工期变化的，合同当事人均可要求调整合同工期，由合同当事人按照第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款〔商定或确定〕并参考工程所在地的工期定额标准确定增减工期天数。</w:t>
      </w:r>
    </w:p>
    <w:p w14:paraId="340E9FB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63" w:name="_Toc351203574"/>
      <w:r>
        <w:rPr>
          <w:rFonts w:ascii="Times New Roman" w:hAnsi="Times New Roman" w:eastAsia="Ђˎ̥" w:cs="Times New Roman"/>
          <w:color w:val="auto"/>
          <w:kern w:val="0"/>
          <w:sz w:val="24"/>
          <w:szCs w:val="24"/>
          <w:highlight w:val="none"/>
          <w:lang w:val="en-US" w:eastAsia="zh-CN" w:bidi="ar-SA"/>
        </w:rPr>
        <w:t>10.7</w:t>
      </w:r>
      <w:r>
        <w:rPr>
          <w:rFonts w:hint="eastAsia" w:ascii="Times New Roman" w:hAnsi="Times New Roman" w:eastAsia="Ђˎ̥" w:cs="宋体"/>
          <w:color w:val="auto"/>
          <w:kern w:val="0"/>
          <w:sz w:val="24"/>
          <w:szCs w:val="24"/>
          <w:highlight w:val="none"/>
          <w:lang w:val="en-US" w:eastAsia="zh-CN" w:bidi="ar-SA"/>
        </w:rPr>
        <w:t>暂估价</w:t>
      </w:r>
      <w:bookmarkEnd w:id="363"/>
    </w:p>
    <w:p w14:paraId="23EAEDE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暂估价专业分包工程、服务、材料和工程设备的明细由合同当事人在专用合同条款中约定。</w:t>
      </w:r>
    </w:p>
    <w:p w14:paraId="3153E8C1">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10.7.1</w:t>
      </w: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依法必须招标的暂估价项目</w:t>
      </w:r>
    </w:p>
    <w:p w14:paraId="578CF4D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对于依法必须招标的暂估价项目，采取以下第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种方式确定。合同当事人也可以在专用合同条款中选择其他招标方式。</w:t>
      </w:r>
    </w:p>
    <w:p w14:paraId="08655F5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种方式：对于依法必须招标的暂估价项目，由承包人招标，对该暂估价项目的确认和批准按照以下约定执行：</w:t>
      </w:r>
    </w:p>
    <w:p w14:paraId="0BEFBB0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）承包人应当根据施工进度计划，在招标工作启动前</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天将招标方案通过监理人报送发包人审查，发包人应当在收到承包人报送的招标方案后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天内批准或提出修改意见。承包人应当按照经过发包人批准的招标方案开展招标工作；</w:t>
      </w:r>
    </w:p>
    <w:p w14:paraId="0EDE70FC">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）承包人应当根据施工进度计划，提前</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天将招标文件通过监理人报送发包人审批，发包人应当在收到承包人报送的相关文件后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天内完成审批或提出修改意见；发包人有权确定招标控制价并按照法律规定参加评标；</w:t>
      </w:r>
    </w:p>
    <w:p w14:paraId="1C05B852">
      <w:pPr>
        <w:spacing w:line="360" w:lineRule="auto"/>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）承包人与供应商、分包人在签订暂估价合同前，应当提前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天将确定的中标候选供应商或中标候选分包人的资料报送发包人，发包人应在收到资料后</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天内与承包人共同确定中标人；承包人应当在签订合同后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天内，将暂估价合同副本报送发包人留存。</w:t>
      </w:r>
    </w:p>
    <w:p w14:paraId="6F2327E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种方式：对于依法必须招标的暂估价项目，由发包人和承包人共同招标确定暂估价供应商或分包人的，承包人应按照施工进度计划，在招标工作启动前</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天通知发包人，并提交暂估价招标方案和工作分工。发包人应在收到后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天内确认。确定中标人后，由发包人、承包人与中标人共同签订暂估价合同。</w:t>
      </w:r>
    </w:p>
    <w:p w14:paraId="44561D6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10.7.2</w:t>
      </w:r>
      <w:r>
        <w:rPr>
          <w:rFonts w:hint="eastAsia" w:ascii="宋体" w:hAnsi="宋体" w:eastAsia="宋体" w:cs="Times New Roman"/>
          <w:color w:val="auto"/>
          <w:kern w:val="0"/>
          <w:sz w:val="24"/>
          <w:szCs w:val="24"/>
          <w:highlight w:val="none"/>
        </w:rPr>
        <w:t>不属于依法必须招标的暂估价项目</w:t>
      </w:r>
    </w:p>
    <w:p w14:paraId="1D2B835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除专用合同条款另有约定外，对于不属于依法必须招标的暂估价项目，采取以下第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种方式确定：</w:t>
      </w:r>
      <w:r>
        <w:rPr>
          <w:rFonts w:ascii="宋体" w:hAnsi="宋体" w:eastAsia="宋体" w:cs="Times New Roman"/>
          <w:color w:val="auto"/>
          <w:kern w:val="0"/>
          <w:sz w:val="24"/>
          <w:szCs w:val="24"/>
          <w:highlight w:val="none"/>
        </w:rPr>
        <w:t xml:space="preserve"> </w:t>
      </w:r>
    </w:p>
    <w:p w14:paraId="58EDDDF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种方式：对于不属于依法必须招标的暂估价项目，按本项约定确认和批准：</w:t>
      </w:r>
    </w:p>
    <w:p w14:paraId="5865040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）承包人应根据施工进度计划，在签订暂估价项目的采购合同、分包合同前</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天向监理人提出书面申请。监理人应当在收到申请后</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天内报送发包人，发包人应当在收到申请后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天内给予批准或提出修改意见，发包人逾期未予批准或提出修改意见的，视为该书面申请已获得同意；</w:t>
      </w:r>
    </w:p>
    <w:p w14:paraId="6734B0F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）发包人认为承包人确定的供应商、分包人无法满足工程质量或合同要求的，发包人可以要求承包人重新确定暂估价项目的供应商、分包人</w:t>
      </w:r>
      <w:r>
        <w:rPr>
          <w:rFonts w:ascii="宋体" w:hAnsi="宋体" w:eastAsia="宋体" w:cs="Times New Roman"/>
          <w:color w:val="auto"/>
          <w:kern w:val="0"/>
          <w:sz w:val="24"/>
          <w:szCs w:val="24"/>
          <w:highlight w:val="none"/>
        </w:rPr>
        <w:t>;</w:t>
      </w:r>
    </w:p>
    <w:p w14:paraId="358B322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）承包人应当在签订暂估价合同后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天内，将暂估价合同副本报送发包人留存。</w:t>
      </w:r>
    </w:p>
    <w:p w14:paraId="1EBF104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种方式：承包人按照第</w:t>
      </w:r>
      <w:r>
        <w:rPr>
          <w:rFonts w:ascii="宋体" w:hAnsi="宋体" w:eastAsia="宋体" w:cs="Times New Roman"/>
          <w:color w:val="auto"/>
          <w:kern w:val="0"/>
          <w:sz w:val="24"/>
          <w:szCs w:val="24"/>
          <w:highlight w:val="none"/>
        </w:rPr>
        <w:t>10.7.1</w:t>
      </w:r>
      <w:r>
        <w:rPr>
          <w:rFonts w:hint="eastAsia" w:ascii="宋体" w:hAnsi="宋体" w:eastAsia="宋体" w:cs="Times New Roman"/>
          <w:color w:val="auto"/>
          <w:kern w:val="0"/>
          <w:sz w:val="24"/>
          <w:szCs w:val="24"/>
          <w:highlight w:val="none"/>
        </w:rPr>
        <w:t>项〔依法必须招标的暂估价项目〕约定的第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种方式确定暂估价项目。</w:t>
      </w:r>
    </w:p>
    <w:p w14:paraId="45FD5F1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sz w:val="24"/>
          <w:szCs w:val="24"/>
          <w:highlight w:val="none"/>
        </w:rPr>
        <w:t>第</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种方式：</w:t>
      </w:r>
      <w:r>
        <w:rPr>
          <w:rFonts w:hint="eastAsia" w:ascii="宋体" w:hAnsi="宋体" w:eastAsia="宋体" w:cs="Times New Roman"/>
          <w:color w:val="auto"/>
          <w:kern w:val="0"/>
          <w:sz w:val="24"/>
          <w:szCs w:val="24"/>
          <w:highlight w:val="none"/>
        </w:rPr>
        <w:t>承包人直接实施的暂估价项目</w:t>
      </w:r>
    </w:p>
    <w:p w14:paraId="2D5E481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承包人具备实施暂估价项目的资格和条件的，经发包人和承包人协商一致后，可由承包人自行实施暂估价项目，合同当事人可以在专用合同条款约定具体事项。</w:t>
      </w:r>
    </w:p>
    <w:p w14:paraId="571234D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10.7.3 </w:t>
      </w:r>
      <w:r>
        <w:rPr>
          <w:rFonts w:hint="eastAsia" w:ascii="宋体" w:hAnsi="宋体" w:eastAsia="宋体" w:cs="Times New Roman"/>
          <w:color w:val="auto"/>
          <w:kern w:val="0"/>
          <w:sz w:val="24"/>
          <w:szCs w:val="24"/>
          <w:highlight w:val="none"/>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1206A7A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64" w:name="_Toc351203575"/>
      <w:r>
        <w:rPr>
          <w:rFonts w:ascii="Times New Roman" w:hAnsi="Times New Roman" w:eastAsia="Ђˎ̥" w:cs="Times New Roman"/>
          <w:color w:val="auto"/>
          <w:kern w:val="0"/>
          <w:sz w:val="24"/>
          <w:szCs w:val="24"/>
          <w:highlight w:val="none"/>
          <w:lang w:val="en-US" w:eastAsia="zh-CN" w:bidi="ar-SA"/>
        </w:rPr>
        <w:t>1</w:t>
      </w:r>
      <w:bookmarkStart w:id="365" w:name="_Toc337558794"/>
      <w:bookmarkStart w:id="366" w:name="_Toc322522561"/>
      <w:bookmarkStart w:id="367" w:name="_Toc296503090"/>
      <w:bookmarkStart w:id="368" w:name="_Toc296346591"/>
      <w:r>
        <w:rPr>
          <w:rFonts w:ascii="Times New Roman" w:hAnsi="Times New Roman" w:eastAsia="Ђˎ̥" w:cs="Times New Roman"/>
          <w:color w:val="auto"/>
          <w:kern w:val="0"/>
          <w:sz w:val="24"/>
          <w:szCs w:val="24"/>
          <w:highlight w:val="none"/>
          <w:lang w:val="en-US" w:eastAsia="zh-CN" w:bidi="ar-SA"/>
        </w:rPr>
        <w:t>0.8</w:t>
      </w:r>
      <w:r>
        <w:rPr>
          <w:rFonts w:hint="eastAsia" w:ascii="Times New Roman" w:hAnsi="Times New Roman" w:eastAsia="Ђˎ̥" w:cs="宋体"/>
          <w:color w:val="auto"/>
          <w:kern w:val="0"/>
          <w:sz w:val="24"/>
          <w:szCs w:val="24"/>
          <w:highlight w:val="none"/>
          <w:lang w:val="en-US" w:eastAsia="zh-CN" w:bidi="ar-SA"/>
        </w:rPr>
        <w:t>暂列金额</w:t>
      </w:r>
      <w:bookmarkEnd w:id="364"/>
    </w:p>
    <w:bookmarkEnd w:id="365"/>
    <w:p w14:paraId="523F8AF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暂列金额应按照发包人的要求使用，发包人的要求应通过监理人发出。合同当事人可以在专用合同条款中协商确定有关事项。</w:t>
      </w:r>
    </w:p>
    <w:bookmarkEnd w:id="366"/>
    <w:bookmarkEnd w:id="367"/>
    <w:bookmarkEnd w:id="368"/>
    <w:p w14:paraId="701A113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69" w:name="_Toc351203576"/>
      <w:r>
        <w:rPr>
          <w:rFonts w:ascii="Times New Roman" w:hAnsi="Times New Roman" w:eastAsia="Ђˎ̥" w:cs="Times New Roman"/>
          <w:color w:val="auto"/>
          <w:kern w:val="0"/>
          <w:sz w:val="24"/>
          <w:szCs w:val="24"/>
          <w:highlight w:val="none"/>
          <w:lang w:val="en-US" w:eastAsia="zh-CN" w:bidi="ar-SA"/>
        </w:rPr>
        <w:t>1</w:t>
      </w:r>
      <w:bookmarkStart w:id="370" w:name="_Toc337558796"/>
      <w:bookmarkStart w:id="371" w:name="_Toc296346592"/>
      <w:bookmarkStart w:id="372" w:name="_Toc296503091"/>
      <w:r>
        <w:rPr>
          <w:rFonts w:ascii="Times New Roman" w:hAnsi="Times New Roman" w:eastAsia="Ђˎ̥" w:cs="Times New Roman"/>
          <w:color w:val="auto"/>
          <w:kern w:val="0"/>
          <w:sz w:val="24"/>
          <w:szCs w:val="24"/>
          <w:highlight w:val="none"/>
          <w:lang w:val="en-US" w:eastAsia="zh-CN" w:bidi="ar-SA"/>
        </w:rPr>
        <w:t>0.9</w:t>
      </w:r>
      <w:r>
        <w:rPr>
          <w:rFonts w:hint="eastAsia" w:ascii="Times New Roman" w:hAnsi="Times New Roman" w:eastAsia="Ђˎ̥" w:cs="宋体"/>
          <w:color w:val="auto"/>
          <w:kern w:val="0"/>
          <w:sz w:val="24"/>
          <w:szCs w:val="24"/>
          <w:highlight w:val="none"/>
          <w:lang w:val="en-US" w:eastAsia="zh-CN" w:bidi="ar-SA"/>
        </w:rPr>
        <w:t>计日工</w:t>
      </w:r>
      <w:bookmarkEnd w:id="369"/>
      <w:r>
        <w:rPr>
          <w:rFonts w:ascii="Times New Roman" w:hAnsi="Times New Roman" w:eastAsia="Ђˎ̥" w:cs="Times New Roman"/>
          <w:color w:val="auto"/>
          <w:kern w:val="0"/>
          <w:sz w:val="24"/>
          <w:szCs w:val="24"/>
          <w:highlight w:val="none"/>
          <w:lang w:val="en-US" w:eastAsia="zh-CN" w:bidi="ar-SA"/>
        </w:rPr>
        <w:t xml:space="preserve"> </w:t>
      </w:r>
      <w:bookmarkEnd w:id="370"/>
      <w:bookmarkEnd w:id="371"/>
      <w:bookmarkEnd w:id="372"/>
    </w:p>
    <w:p w14:paraId="532E039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款〔商定或确定〕确定计日工的单价。</w:t>
      </w:r>
    </w:p>
    <w:p w14:paraId="4AD2D0D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采用计日工计价的任何一项工作，承包人应在该项工作实施过程中，每天提交以下报表和有关凭证报送监理人审查：</w:t>
      </w:r>
    </w:p>
    <w:p w14:paraId="659C5B87">
      <w:pPr>
        <w:spacing w:line="360" w:lineRule="auto"/>
        <w:ind w:firstLine="360" w:firstLineChars="15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）工作名称、内容和数量；</w:t>
      </w:r>
    </w:p>
    <w:p w14:paraId="41D281D6">
      <w:pPr>
        <w:spacing w:line="360" w:lineRule="auto"/>
        <w:ind w:firstLine="360" w:firstLineChars="15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）投入该工作的所有人员的姓名、专业、工种、级别和耗用工时；</w:t>
      </w:r>
    </w:p>
    <w:p w14:paraId="5D251961">
      <w:pPr>
        <w:spacing w:line="360" w:lineRule="auto"/>
        <w:ind w:firstLine="360" w:firstLineChars="15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）投入该工作的材料类别和数量；</w:t>
      </w:r>
    </w:p>
    <w:p w14:paraId="5BA2E493">
      <w:pPr>
        <w:spacing w:line="360" w:lineRule="auto"/>
        <w:ind w:firstLine="360" w:firstLineChars="15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）投入该工作的施工设备型号、台数和耗用台时；</w:t>
      </w:r>
    </w:p>
    <w:p w14:paraId="2EB18849">
      <w:pPr>
        <w:spacing w:line="360" w:lineRule="auto"/>
        <w:ind w:firstLine="360" w:firstLineChars="15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）其他有关资料和凭证。</w:t>
      </w:r>
    </w:p>
    <w:p w14:paraId="5AA7821D">
      <w:pPr>
        <w:spacing w:line="360" w:lineRule="auto"/>
        <w:ind w:firstLine="360" w:firstLineChars="15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计日工由承包人汇总后，列入最近一期进度付款申请单，由监理人审查并经发包人批准后列入进度付款。</w:t>
      </w:r>
    </w:p>
    <w:p w14:paraId="33DA5761">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373" w:name="_Toc17965080"/>
      <w:bookmarkStart w:id="374" w:name="_Toc351203577"/>
      <w:r>
        <w:rPr>
          <w:rFonts w:ascii="Times New Roman" w:hAnsi="Times New Roman" w:eastAsia="黑体" w:cs="Times New Roman"/>
          <w:b/>
          <w:bCs/>
          <w:color w:val="auto"/>
          <w:kern w:val="2"/>
          <w:sz w:val="24"/>
          <w:szCs w:val="24"/>
          <w:highlight w:val="none"/>
          <w:lang w:val="en-US" w:eastAsia="zh-CN" w:bidi="ar-SA"/>
        </w:rPr>
        <w:t xml:space="preserve">11. </w:t>
      </w:r>
      <w:r>
        <w:rPr>
          <w:rFonts w:ascii="Times New Roman" w:hAnsi="Times New Roman" w:eastAsia="黑体" w:cs="宋体"/>
          <w:b/>
          <w:bCs/>
          <w:color w:val="auto"/>
          <w:kern w:val="2"/>
          <w:sz w:val="24"/>
          <w:szCs w:val="24"/>
          <w:highlight w:val="none"/>
          <w:lang w:val="en-US" w:eastAsia="zh-CN" w:bidi="ar-SA"/>
        </w:rPr>
        <w:t>价格调整</w:t>
      </w:r>
      <w:bookmarkEnd w:id="373"/>
      <w:bookmarkEnd w:id="374"/>
    </w:p>
    <w:p w14:paraId="4E121EA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75" w:name="_Toc351203578"/>
      <w:bookmarkStart w:id="376" w:name="_Toc296503092"/>
      <w:bookmarkStart w:id="377" w:name="_Toc296346593"/>
      <w:bookmarkStart w:id="378" w:name="_Toc337558797"/>
      <w:r>
        <w:rPr>
          <w:rFonts w:ascii="Times New Roman" w:hAnsi="Times New Roman" w:eastAsia="Ђˎ̥" w:cs="Times New Roman"/>
          <w:color w:val="auto"/>
          <w:kern w:val="0"/>
          <w:sz w:val="24"/>
          <w:szCs w:val="24"/>
          <w:highlight w:val="none"/>
          <w:lang w:val="en-US" w:eastAsia="zh-CN" w:bidi="ar-SA"/>
        </w:rPr>
        <w:t>11.1</w:t>
      </w:r>
      <w:r>
        <w:rPr>
          <w:rFonts w:hint="eastAsia" w:ascii="Times New Roman" w:hAnsi="Times New Roman" w:eastAsia="Ђˎ̥" w:cs="Times New Roman"/>
          <w:color w:val="auto"/>
          <w:kern w:val="0"/>
          <w:sz w:val="24"/>
          <w:szCs w:val="24"/>
          <w:highlight w:val="none"/>
          <w:lang w:val="en-US" w:eastAsia="zh-CN" w:bidi="ar-SA"/>
        </w:rPr>
        <w:t>市场价格波动引起的调整</w:t>
      </w:r>
      <w:bookmarkEnd w:id="375"/>
    </w:p>
    <w:bookmarkEnd w:id="376"/>
    <w:bookmarkEnd w:id="377"/>
    <w:bookmarkEnd w:id="378"/>
    <w:p w14:paraId="518586A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除专用合同条款另有约定外，市场价格波动超过合同当事人约定的范围，合同价格应当调整。合同当事人可以在专用合同条款中约定选择以下一种方式对合同价格进行调整：</w:t>
      </w:r>
    </w:p>
    <w:p w14:paraId="22B58EC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第</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种方式：采用价格指数进行价格调整。</w:t>
      </w:r>
    </w:p>
    <w:p w14:paraId="51335405">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）价格调整公式</w:t>
      </w:r>
    </w:p>
    <w:p w14:paraId="732A757F">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因人工、材料和设备等价格波动影响合同价格时，根据专用合同条款中约定的数据，按以下公式计算差额并调整合同价格：</w:t>
      </w:r>
    </w:p>
    <w:p w14:paraId="56D63511">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position w:val="-30"/>
          <w:sz w:val="24"/>
          <w:szCs w:val="24"/>
          <w:highlight w:val="none"/>
        </w:rPr>
        <w:drawing>
          <wp:inline distT="0" distB="0" distL="0" distR="0">
            <wp:extent cx="4572000" cy="565785"/>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72000" cy="565785"/>
                    </a:xfrm>
                    <a:prstGeom prst="rect">
                      <a:avLst/>
                    </a:prstGeom>
                    <a:noFill/>
                    <a:ln>
                      <a:noFill/>
                    </a:ln>
                  </pic:spPr>
                </pic:pic>
              </a:graphicData>
            </a:graphic>
          </wp:inline>
        </w:drawing>
      </w:r>
    </w:p>
    <w:p w14:paraId="7AA1CC2B">
      <w:pPr>
        <w:tabs>
          <w:tab w:val="left" w:pos="0"/>
          <w:tab w:val="left" w:pos="360"/>
          <w:tab w:val="left" w:pos="540"/>
        </w:tabs>
        <w:spacing w:line="360" w:lineRule="auto"/>
        <w:ind w:firstLine="64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公式中：</w:t>
      </w:r>
      <w:r>
        <w:rPr>
          <w:rFonts w:ascii="宋体" w:hAnsi="宋体" w:eastAsia="宋体" w:cs="Times New Roman"/>
          <w:color w:val="auto"/>
          <w:sz w:val="24"/>
          <w:szCs w:val="24"/>
          <w:highlight w:val="none"/>
        </w:rPr>
        <w:t>ΔP——</w:t>
      </w:r>
      <w:r>
        <w:rPr>
          <w:rFonts w:hint="eastAsia" w:ascii="宋体" w:hAnsi="宋体" w:eastAsia="宋体" w:cs="Times New Roman"/>
          <w:color w:val="auto"/>
          <w:sz w:val="24"/>
          <w:szCs w:val="24"/>
          <w:highlight w:val="none"/>
        </w:rPr>
        <w:t>需调整的价格差额；</w:t>
      </w:r>
    </w:p>
    <w:p w14:paraId="021DCC19">
      <w:pPr>
        <w:tabs>
          <w:tab w:val="left" w:pos="0"/>
          <w:tab w:val="left" w:pos="360"/>
          <w:tab w:val="left" w:pos="540"/>
        </w:tabs>
        <w:spacing w:line="360" w:lineRule="auto"/>
        <w:ind w:firstLine="1440" w:firstLineChars="600"/>
        <w:rPr>
          <w:rFonts w:ascii="宋体" w:hAnsi="宋体" w:eastAsia="宋体" w:cs="Times New Roman"/>
          <w:color w:val="auto"/>
          <w:sz w:val="24"/>
          <w:szCs w:val="24"/>
          <w:highlight w:val="none"/>
        </w:rPr>
      </w:pPr>
      <w:r>
        <w:rPr>
          <w:rFonts w:ascii="宋体" w:hAnsi="宋体" w:eastAsia="宋体" w:cs="Times New Roman"/>
          <w:color w:val="auto"/>
          <w:position w:val="-6"/>
          <w:sz w:val="24"/>
          <w:szCs w:val="24"/>
          <w:highlight w:val="none"/>
        </w:rPr>
        <w:drawing>
          <wp:inline distT="0" distB="0" distL="0" distR="0">
            <wp:extent cx="226695" cy="2266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6695" cy="226695"/>
                    </a:xfrm>
                    <a:prstGeom prst="rect">
                      <a:avLst/>
                    </a:prstGeom>
                    <a:noFill/>
                    <a:ln>
                      <a:noFill/>
                    </a:ln>
                  </pic:spPr>
                </pic:pic>
              </a:graphicData>
            </a:graphic>
          </wp:inline>
        </w:drawing>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5D23A3C8">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A——</w:t>
      </w:r>
      <w:r>
        <w:rPr>
          <w:rFonts w:hint="eastAsia" w:ascii="宋体" w:hAnsi="宋体" w:eastAsia="宋体" w:cs="Times New Roman"/>
          <w:color w:val="auto"/>
          <w:sz w:val="24"/>
          <w:szCs w:val="24"/>
          <w:highlight w:val="none"/>
        </w:rPr>
        <w:t>定值权重（即不调部分的权重）；</w:t>
      </w:r>
    </w:p>
    <w:p w14:paraId="6F6D9027">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position w:val="-10"/>
          <w:sz w:val="24"/>
          <w:szCs w:val="24"/>
          <w:highlight w:val="none"/>
        </w:rPr>
        <w:drawing>
          <wp:inline distT="0" distB="0" distL="0" distR="0">
            <wp:extent cx="1289050" cy="269875"/>
            <wp:effectExtent l="0" t="0" r="6350"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89050" cy="269875"/>
                    </a:xfrm>
                    <a:prstGeom prst="rect">
                      <a:avLst/>
                    </a:prstGeom>
                    <a:noFill/>
                    <a:ln>
                      <a:noFill/>
                    </a:ln>
                  </pic:spPr>
                </pic:pic>
              </a:graphicData>
            </a:graphic>
          </wp:inline>
        </w:drawing>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各可调因子的变值权重（即可调部分的权重），为各可调因子在签约合同价中所占的比例；</w:t>
      </w:r>
    </w:p>
    <w:p w14:paraId="77DB109A">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position w:val="-10"/>
          <w:sz w:val="24"/>
          <w:szCs w:val="24"/>
          <w:highlight w:val="none"/>
        </w:rPr>
        <w:drawing>
          <wp:inline distT="0" distB="0" distL="0" distR="0">
            <wp:extent cx="1297305" cy="260985"/>
            <wp:effectExtent l="0" t="0" r="1714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97305" cy="260985"/>
                    </a:xfrm>
                    <a:prstGeom prst="rect">
                      <a:avLst/>
                    </a:prstGeom>
                    <a:noFill/>
                    <a:ln>
                      <a:noFill/>
                    </a:ln>
                  </pic:spPr>
                </pic:pic>
              </a:graphicData>
            </a:graphic>
          </wp:inline>
        </w:drawing>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各可调因子的现行价格指数，指约定的付款证书相关周期最后一天的前</w:t>
      </w:r>
      <w:r>
        <w:rPr>
          <w:rFonts w:ascii="宋体" w:hAnsi="宋体" w:eastAsia="宋体" w:cs="Times New Roman"/>
          <w:color w:val="auto"/>
          <w:sz w:val="24"/>
          <w:szCs w:val="24"/>
          <w:highlight w:val="none"/>
        </w:rPr>
        <w:t>42</w:t>
      </w:r>
      <w:r>
        <w:rPr>
          <w:rFonts w:hint="eastAsia" w:ascii="宋体" w:hAnsi="宋体" w:eastAsia="宋体" w:cs="Times New Roman"/>
          <w:color w:val="auto"/>
          <w:sz w:val="24"/>
          <w:szCs w:val="24"/>
          <w:highlight w:val="none"/>
        </w:rPr>
        <w:t>天的各可调因子的价格指数；</w:t>
      </w:r>
    </w:p>
    <w:p w14:paraId="3F748541">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position w:val="-10"/>
          <w:sz w:val="24"/>
          <w:szCs w:val="24"/>
          <w:highlight w:val="none"/>
        </w:rPr>
        <w:drawing>
          <wp:inline distT="0" distB="0" distL="0" distR="0">
            <wp:extent cx="1367155" cy="260985"/>
            <wp:effectExtent l="0" t="0" r="444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67155" cy="260985"/>
                    </a:xfrm>
                    <a:prstGeom prst="rect">
                      <a:avLst/>
                    </a:prstGeom>
                    <a:noFill/>
                    <a:ln>
                      <a:noFill/>
                    </a:ln>
                  </pic:spPr>
                </pic:pic>
              </a:graphicData>
            </a:graphic>
          </wp:inline>
        </w:drawing>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各可调因子的基本价格指数，指基准日期的各可调因子的价格指数。</w:t>
      </w:r>
    </w:p>
    <w:p w14:paraId="5E74A440">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1CE83B37">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）暂时确定调整差额</w:t>
      </w:r>
    </w:p>
    <w:p w14:paraId="7545266F">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在计算调整差额时无现行价格指数的，合同当事人同意暂用前次价格指数计算。实际价格指数有调整的，合同当事人进行相应调整。</w:t>
      </w:r>
    </w:p>
    <w:p w14:paraId="17D32F7A">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）权重的调整</w:t>
      </w:r>
    </w:p>
    <w:p w14:paraId="52433D61">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因变更导致合同约定的权重不合理时，按照第</w:t>
      </w:r>
      <w:r>
        <w:rPr>
          <w:rFonts w:ascii="宋体" w:hAnsi="宋体" w:eastAsia="宋体" w:cs="Times New Roman"/>
          <w:color w:val="auto"/>
          <w:sz w:val="24"/>
          <w:szCs w:val="24"/>
          <w:highlight w:val="none"/>
        </w:rPr>
        <w:t>4.4</w:t>
      </w:r>
      <w:r>
        <w:rPr>
          <w:rFonts w:hint="eastAsia" w:ascii="宋体" w:hAnsi="宋体" w:eastAsia="宋体" w:cs="Times New Roman"/>
          <w:color w:val="auto"/>
          <w:sz w:val="24"/>
          <w:szCs w:val="24"/>
          <w:highlight w:val="none"/>
        </w:rPr>
        <w:t>款〔商定或确定〕执行。</w:t>
      </w:r>
    </w:p>
    <w:p w14:paraId="6505CE0D">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）因承包人原因工期延误后的价格调整</w:t>
      </w:r>
    </w:p>
    <w:p w14:paraId="3C7C0F5C">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49BCE46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第</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种方式：采用造价信息进行价格调整。</w:t>
      </w:r>
    </w:p>
    <w:p w14:paraId="4440BB6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7C55576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5B5FB97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）材料、工程设备价格变化的价款调整按照发包人提供的基准价格，按以下风险范围规定执行</w:t>
      </w:r>
      <w:r>
        <w:rPr>
          <w:rFonts w:ascii="宋体" w:hAnsi="宋体" w:eastAsia="宋体" w:cs="Times New Roman"/>
          <w:color w:val="auto"/>
          <w:sz w:val="24"/>
          <w:szCs w:val="24"/>
          <w:highlight w:val="none"/>
        </w:rPr>
        <w:t>:</w:t>
      </w:r>
    </w:p>
    <w:p w14:paraId="571EE16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①</w:t>
      </w:r>
      <w:r>
        <w:rPr>
          <w:rFonts w:hint="eastAsia" w:ascii="宋体" w:hAnsi="宋体" w:eastAsia="宋体" w:cs="Times New Roman"/>
          <w:color w:val="auto"/>
          <w:sz w:val="24"/>
          <w:szCs w:val="24"/>
          <w:highlight w:val="none"/>
        </w:rPr>
        <w:t>承包人在已标价工程量清单或预算书中载明材料单价低于基准价格的：除专用合同条款另有约定外，合同履行期间材料单价涨幅以基准价格为基础超过</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时，或材料单价跌幅以在已标价工程量清单或预算书中载明材料单价为基础超过</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时，其超过部分据实调整。</w:t>
      </w:r>
    </w:p>
    <w:p w14:paraId="05A67A7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②</w:t>
      </w:r>
      <w:r>
        <w:rPr>
          <w:rFonts w:hint="eastAsia" w:ascii="宋体" w:hAnsi="宋体" w:eastAsia="宋体" w:cs="Times New Roman"/>
          <w:color w:val="auto"/>
          <w:sz w:val="24"/>
          <w:szCs w:val="24"/>
          <w:highlight w:val="none"/>
        </w:rPr>
        <w:t>承包人在已标价工程量清单或预算书中载明材料单价高于基准价格的：除专用合同条款另有约定外，合同履行期间材料单价跌幅以基准价格为基础超过</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时，材料单价涨幅以在已标价工程量清单或预算书中载明材料单价为基础超过</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时，其超过部分据实调整。</w:t>
      </w:r>
    </w:p>
    <w:p w14:paraId="2A67E03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③</w:t>
      </w:r>
      <w:r>
        <w:rPr>
          <w:rFonts w:hint="eastAsia" w:ascii="宋体" w:hAnsi="宋体" w:eastAsia="宋体" w:cs="Times New Roman"/>
          <w:color w:val="auto"/>
          <w:sz w:val="24"/>
          <w:szCs w:val="24"/>
          <w:highlight w:val="none"/>
        </w:rPr>
        <w:t>承包人在已标价工程量清单或预算书中载明材料单价等于基准价格的：除专用合同条款另有约定外，合同履行期间材料单价涨跌幅以基准价格为基础超过</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时，其超过部分据实调整。</w:t>
      </w:r>
    </w:p>
    <w:p w14:paraId="16F11C8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④</w:t>
      </w:r>
      <w:r>
        <w:rPr>
          <w:rFonts w:hint="eastAsia" w:ascii="宋体" w:hAnsi="宋体" w:eastAsia="宋体" w:cs="Times New Roman"/>
          <w:color w:val="auto"/>
          <w:sz w:val="24"/>
          <w:szCs w:val="24"/>
          <w:highlight w:val="none"/>
        </w:rPr>
        <w:t>承包人应在采购材料前将采购数量和新的材料单价报发包人核对，发包人确认用于工程时，发包人应确认采购材料的数量和单价。发包人在收到承包人报送的确认资料后</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天内不予答复的视为认可，作为调整合同价格的依据。未经发包人事先核对，承包人自行采购材料的，发包人有权不予调整合同价格。发包人同意的，可以调整合同价格。</w:t>
      </w:r>
    </w:p>
    <w:p w14:paraId="2B67999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302794BA">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）施工机械台班单价或施工机械使用费发生变化超过省级或行业建设主管部门或其授权的工程造价管理机构规定的范围时，按规定调整合同价格。</w:t>
      </w:r>
    </w:p>
    <w:p w14:paraId="017AE084">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第</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种方式：专用合同条款约定的其他方式。</w:t>
      </w:r>
    </w:p>
    <w:p w14:paraId="35C9FFC7">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79" w:name="_Toc351203579"/>
      <w:bookmarkStart w:id="380" w:name="_Toc296503093"/>
      <w:bookmarkStart w:id="381" w:name="_Toc296346594"/>
      <w:bookmarkStart w:id="382" w:name="_Toc337558798"/>
      <w:r>
        <w:rPr>
          <w:rFonts w:ascii="Times New Roman" w:hAnsi="Times New Roman" w:eastAsia="Ђˎ̥" w:cs="Times New Roman"/>
          <w:color w:val="auto"/>
          <w:kern w:val="0"/>
          <w:sz w:val="24"/>
          <w:szCs w:val="24"/>
          <w:highlight w:val="none"/>
          <w:lang w:val="en-US" w:eastAsia="zh-CN" w:bidi="ar-SA"/>
        </w:rPr>
        <w:t>11.2</w:t>
      </w:r>
      <w:r>
        <w:rPr>
          <w:rFonts w:hint="eastAsia" w:ascii="Times New Roman" w:hAnsi="Times New Roman" w:eastAsia="Ђˎ̥" w:cs="Times New Roman"/>
          <w:color w:val="auto"/>
          <w:kern w:val="0"/>
          <w:sz w:val="24"/>
          <w:szCs w:val="24"/>
          <w:highlight w:val="none"/>
          <w:lang w:val="en-US" w:eastAsia="zh-CN" w:bidi="ar-SA"/>
        </w:rPr>
        <w:t>法律变化引起的调整</w:t>
      </w:r>
      <w:bookmarkEnd w:id="379"/>
    </w:p>
    <w:bookmarkEnd w:id="380"/>
    <w:bookmarkEnd w:id="381"/>
    <w:bookmarkEnd w:id="382"/>
    <w:p w14:paraId="18D8644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基准日期后，法律变化导致承包人在合同履行过程中所需要的费用发生除第</w:t>
      </w:r>
      <w:r>
        <w:rPr>
          <w:rFonts w:ascii="宋体" w:hAnsi="宋体" w:eastAsia="宋体" w:cs="Times New Roman"/>
          <w:color w:val="auto"/>
          <w:sz w:val="24"/>
          <w:szCs w:val="24"/>
          <w:highlight w:val="none"/>
        </w:rPr>
        <w:t>11.1</w:t>
      </w:r>
      <w:r>
        <w:rPr>
          <w:rFonts w:hint="eastAsia" w:ascii="宋体" w:hAnsi="宋体" w:eastAsia="宋体" w:cs="Times New Roman"/>
          <w:color w:val="auto"/>
          <w:sz w:val="24"/>
          <w:szCs w:val="24"/>
          <w:highlight w:val="none"/>
        </w:rPr>
        <w:t>款〔市场价格波动引起的调整〕约定以外的增加时，由发包人承担由此增加的费用；减少时，应从合同价格中予以扣减。基准日期后，因法律变化造成工期延误时，工期应予以顺延。</w:t>
      </w:r>
    </w:p>
    <w:p w14:paraId="34957C6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因法律变化引起的合同价格和工期调整，合同当事人无法达成一致的，由总监理工程师按第</w:t>
      </w:r>
      <w:r>
        <w:rPr>
          <w:rFonts w:ascii="宋体" w:hAnsi="宋体" w:eastAsia="宋体" w:cs="Times New Roman"/>
          <w:color w:val="auto"/>
          <w:sz w:val="24"/>
          <w:szCs w:val="24"/>
          <w:highlight w:val="none"/>
        </w:rPr>
        <w:t>4.4</w:t>
      </w:r>
      <w:r>
        <w:rPr>
          <w:rFonts w:hint="eastAsia" w:ascii="宋体" w:hAnsi="宋体" w:eastAsia="宋体" w:cs="Times New Roman"/>
          <w:color w:val="auto"/>
          <w:sz w:val="24"/>
          <w:szCs w:val="24"/>
          <w:highlight w:val="none"/>
        </w:rPr>
        <w:t>款〔商定或确定〕的约定处理。</w:t>
      </w:r>
    </w:p>
    <w:p w14:paraId="26E13BE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因承包人原因造成工期延误，在工期延误期间出现法律变化的，由此增加的费用和（或）延误的工期由承包人承担。</w:t>
      </w:r>
    </w:p>
    <w:p w14:paraId="7E66DBC9">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383" w:name="_Toc17965081"/>
      <w:bookmarkStart w:id="384" w:name="_Toc351203580"/>
      <w:bookmarkStart w:id="385" w:name="_Toc337558799"/>
      <w:bookmarkStart w:id="386" w:name="_Toc296346597"/>
      <w:bookmarkStart w:id="387" w:name="_Toc296503096"/>
      <w:r>
        <w:rPr>
          <w:rFonts w:ascii="Times New Roman" w:hAnsi="Times New Roman" w:eastAsia="黑体" w:cs="Times New Roman"/>
          <w:b/>
          <w:bCs/>
          <w:color w:val="auto"/>
          <w:kern w:val="2"/>
          <w:sz w:val="24"/>
          <w:szCs w:val="24"/>
          <w:highlight w:val="none"/>
          <w:lang w:val="en-US" w:eastAsia="zh-CN" w:bidi="ar-SA"/>
        </w:rPr>
        <w:t>12. 合同价格、计量与支付</w:t>
      </w:r>
      <w:bookmarkEnd w:id="383"/>
      <w:bookmarkEnd w:id="384"/>
    </w:p>
    <w:bookmarkEnd w:id="385"/>
    <w:p w14:paraId="7D4575A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88" w:name="_Toc351203581"/>
      <w:bookmarkStart w:id="389" w:name="_Toc337558800"/>
      <w:r>
        <w:rPr>
          <w:rFonts w:ascii="Times New Roman" w:hAnsi="Times New Roman" w:eastAsia="Ђˎ̥" w:cs="Times New Roman"/>
          <w:color w:val="auto"/>
          <w:kern w:val="0"/>
          <w:sz w:val="24"/>
          <w:szCs w:val="24"/>
          <w:highlight w:val="none"/>
          <w:lang w:val="en-US" w:eastAsia="zh-CN" w:bidi="ar-SA"/>
        </w:rPr>
        <w:t xml:space="preserve">12.1 </w:t>
      </w:r>
      <w:r>
        <w:rPr>
          <w:rFonts w:hint="eastAsia" w:ascii="Times New Roman" w:hAnsi="Times New Roman" w:eastAsia="Ђˎ̥" w:cs="宋体"/>
          <w:color w:val="auto"/>
          <w:kern w:val="0"/>
          <w:sz w:val="24"/>
          <w:szCs w:val="24"/>
          <w:highlight w:val="none"/>
          <w:lang w:val="en-US" w:eastAsia="zh-CN" w:bidi="ar-SA"/>
        </w:rPr>
        <w:t>合同价</w:t>
      </w:r>
      <w:bookmarkEnd w:id="386"/>
      <w:bookmarkEnd w:id="387"/>
      <w:r>
        <w:rPr>
          <w:rFonts w:hint="eastAsia" w:ascii="Times New Roman" w:hAnsi="Times New Roman" w:eastAsia="Ђˎ̥" w:cs="宋体"/>
          <w:color w:val="auto"/>
          <w:kern w:val="0"/>
          <w:sz w:val="24"/>
          <w:szCs w:val="24"/>
          <w:highlight w:val="none"/>
          <w:lang w:val="en-US" w:eastAsia="zh-CN" w:bidi="ar-SA"/>
        </w:rPr>
        <w:t>格形式</w:t>
      </w:r>
      <w:bookmarkEnd w:id="388"/>
    </w:p>
    <w:bookmarkEnd w:id="389"/>
    <w:p w14:paraId="7203575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发包人和承包人应在合同协议书中选择下列一种合同价格形式：</w:t>
      </w:r>
      <w:r>
        <w:rPr>
          <w:rFonts w:ascii="宋体" w:hAnsi="宋体" w:eastAsia="宋体" w:cs="Times New Roman"/>
          <w:color w:val="auto"/>
          <w:kern w:val="0"/>
          <w:sz w:val="24"/>
          <w:szCs w:val="24"/>
          <w:highlight w:val="none"/>
        </w:rPr>
        <w:t xml:space="preserve"> </w:t>
      </w:r>
    </w:p>
    <w:p w14:paraId="61FF1CE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、单价合同</w:t>
      </w:r>
    </w:p>
    <w:p w14:paraId="12C5099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单价合同是指合同当事人约定以工程量清单及其综合单价进行合同价格计算、调整和确认的建设工程施工合同，</w:t>
      </w:r>
      <w:r>
        <w:rPr>
          <w:rFonts w:hint="eastAsia" w:ascii="宋体" w:hAnsi="宋体" w:eastAsia="宋体" w:cs="Times New Roman"/>
          <w:color w:val="auto"/>
          <w:sz w:val="24"/>
          <w:szCs w:val="24"/>
          <w:highlight w:val="none"/>
        </w:rPr>
        <w:t>在约定的范围内合同单价不作调整</w:t>
      </w:r>
      <w:r>
        <w:rPr>
          <w:rFonts w:hint="eastAsia" w:ascii="宋体" w:hAnsi="宋体" w:eastAsia="宋体" w:cs="Times New Roman"/>
          <w:color w:val="auto"/>
          <w:kern w:val="0"/>
          <w:sz w:val="24"/>
          <w:szCs w:val="24"/>
          <w:highlight w:val="none"/>
        </w:rPr>
        <w:t>。合同当事人应在专用合同条款中约定综合单价包含的风险范围和风险费用的计算方法</w:t>
      </w:r>
      <w:r>
        <w:rPr>
          <w:rFonts w:hint="eastAsia" w:ascii="宋体" w:hAnsi="宋体" w:eastAsia="宋体" w:cs="Times New Roman"/>
          <w:color w:val="auto"/>
          <w:sz w:val="24"/>
          <w:szCs w:val="24"/>
          <w:highlight w:val="none"/>
        </w:rPr>
        <w:t>，</w:t>
      </w:r>
      <w:r>
        <w:rPr>
          <w:rFonts w:hint="eastAsia" w:ascii="宋体" w:hAnsi="宋体" w:eastAsia="宋体" w:cs="Times New Roman"/>
          <w:color w:val="auto"/>
          <w:kern w:val="0"/>
          <w:sz w:val="24"/>
          <w:szCs w:val="24"/>
          <w:highlight w:val="none"/>
        </w:rPr>
        <w:t>并约定风险范围以外的合同价格的调整方法，其中因市场价格波动引起的调整按第</w:t>
      </w:r>
      <w:r>
        <w:rPr>
          <w:rFonts w:ascii="宋体" w:hAnsi="宋体" w:eastAsia="宋体" w:cs="Times New Roman"/>
          <w:color w:val="auto"/>
          <w:kern w:val="0"/>
          <w:sz w:val="24"/>
          <w:szCs w:val="24"/>
          <w:highlight w:val="none"/>
        </w:rPr>
        <w:t>11.1</w:t>
      </w:r>
      <w:r>
        <w:rPr>
          <w:rFonts w:hint="eastAsia" w:ascii="宋体" w:hAnsi="宋体" w:eastAsia="宋体" w:cs="Times New Roman"/>
          <w:color w:val="auto"/>
          <w:kern w:val="0"/>
          <w:sz w:val="24"/>
          <w:szCs w:val="24"/>
          <w:highlight w:val="none"/>
        </w:rPr>
        <w:t>款〔市场价格波动引起的调整〕约定执行。</w:t>
      </w:r>
    </w:p>
    <w:p w14:paraId="63502E0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、总价合同</w:t>
      </w:r>
    </w:p>
    <w:p w14:paraId="7339CC5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总价合同是指合同当事人约定以施工图、已标价工程量清单或预算书及有关条件进行合同价格计算、调整和确认的建设工程施工合同，</w:t>
      </w:r>
      <w:r>
        <w:rPr>
          <w:rFonts w:hint="eastAsia" w:ascii="宋体" w:hAnsi="宋体" w:eastAsia="宋体" w:cs="Times New Roman"/>
          <w:color w:val="auto"/>
          <w:sz w:val="24"/>
          <w:szCs w:val="24"/>
          <w:highlight w:val="none"/>
        </w:rPr>
        <w:t>在约定的范围内合同总价不作调整</w:t>
      </w:r>
      <w:r>
        <w:rPr>
          <w:rFonts w:hint="eastAsia" w:ascii="宋体" w:hAnsi="宋体" w:eastAsia="宋体" w:cs="Times New Roman"/>
          <w:color w:val="auto"/>
          <w:kern w:val="0"/>
          <w:sz w:val="24"/>
          <w:szCs w:val="24"/>
          <w:highlight w:val="none"/>
        </w:rPr>
        <w:t>。合同当事人应在专用合同条款中约定总价包含的风险范围和风险费用的计算方法，并约定风险范围以外的合同价格的调整方法，其中因市场价格波动引起的调整按第</w:t>
      </w:r>
      <w:r>
        <w:rPr>
          <w:rFonts w:ascii="宋体" w:hAnsi="宋体" w:eastAsia="宋体" w:cs="Times New Roman"/>
          <w:color w:val="auto"/>
          <w:kern w:val="0"/>
          <w:sz w:val="24"/>
          <w:szCs w:val="24"/>
          <w:highlight w:val="none"/>
        </w:rPr>
        <w:t>11.1</w:t>
      </w:r>
      <w:r>
        <w:rPr>
          <w:rFonts w:hint="eastAsia" w:ascii="宋体" w:hAnsi="宋体" w:eastAsia="宋体" w:cs="Times New Roman"/>
          <w:color w:val="auto"/>
          <w:kern w:val="0"/>
          <w:sz w:val="24"/>
          <w:szCs w:val="24"/>
          <w:highlight w:val="none"/>
        </w:rPr>
        <w:t>款〔市场价格波动引起的调整〕、因法律变化引起的调整按第</w:t>
      </w:r>
      <w:r>
        <w:rPr>
          <w:rFonts w:ascii="宋体" w:hAnsi="宋体" w:eastAsia="宋体" w:cs="Times New Roman"/>
          <w:color w:val="auto"/>
          <w:kern w:val="0"/>
          <w:sz w:val="24"/>
          <w:szCs w:val="24"/>
          <w:highlight w:val="none"/>
        </w:rPr>
        <w:t>11.2</w:t>
      </w:r>
      <w:r>
        <w:rPr>
          <w:rFonts w:hint="eastAsia" w:ascii="宋体" w:hAnsi="宋体" w:eastAsia="宋体" w:cs="Times New Roman"/>
          <w:color w:val="auto"/>
          <w:kern w:val="0"/>
          <w:sz w:val="24"/>
          <w:szCs w:val="24"/>
          <w:highlight w:val="none"/>
        </w:rPr>
        <w:t>款〔法律变化引起的调整〕约定执行。</w:t>
      </w:r>
    </w:p>
    <w:p w14:paraId="28F5D12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、其它价格形式</w:t>
      </w:r>
    </w:p>
    <w:p w14:paraId="4831892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合同当事人可在专用合同条款中约定其他合同价格形式。</w:t>
      </w:r>
    </w:p>
    <w:p w14:paraId="22E3341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90" w:name="_Toc296346598"/>
      <w:bookmarkStart w:id="391" w:name="_Toc296503097"/>
      <w:bookmarkStart w:id="392" w:name="_Toc351203582"/>
      <w:bookmarkStart w:id="393" w:name="_Toc337558801"/>
      <w:r>
        <w:rPr>
          <w:rFonts w:ascii="Times New Roman" w:hAnsi="Times New Roman" w:eastAsia="Ђˎ̥" w:cs="Times New Roman"/>
          <w:color w:val="auto"/>
          <w:kern w:val="0"/>
          <w:sz w:val="24"/>
          <w:szCs w:val="24"/>
          <w:highlight w:val="none"/>
          <w:lang w:val="en-US" w:eastAsia="zh-CN" w:bidi="ar-SA"/>
        </w:rPr>
        <w:t>12.2</w:t>
      </w:r>
      <w:r>
        <w:rPr>
          <w:rFonts w:hint="eastAsia" w:ascii="Times New Roman" w:hAnsi="Times New Roman" w:eastAsia="Ђˎ̥" w:cs="宋体"/>
          <w:color w:val="auto"/>
          <w:kern w:val="0"/>
          <w:sz w:val="24"/>
          <w:szCs w:val="24"/>
          <w:highlight w:val="none"/>
          <w:lang w:val="en-US" w:eastAsia="zh-CN" w:bidi="ar-SA"/>
        </w:rPr>
        <w:t>预</w:t>
      </w:r>
      <w:bookmarkEnd w:id="390"/>
      <w:bookmarkEnd w:id="391"/>
      <w:bookmarkStart w:id="394" w:name="_Toc296346601"/>
      <w:bookmarkStart w:id="395" w:name="_Toc296503100"/>
      <w:r>
        <w:rPr>
          <w:rFonts w:hint="eastAsia" w:ascii="Times New Roman" w:hAnsi="Times New Roman" w:eastAsia="Ђˎ̥" w:cs="宋体"/>
          <w:color w:val="auto"/>
          <w:kern w:val="0"/>
          <w:sz w:val="24"/>
          <w:szCs w:val="24"/>
          <w:highlight w:val="none"/>
          <w:lang w:val="en-US" w:eastAsia="zh-CN" w:bidi="ar-SA"/>
        </w:rPr>
        <w:t>付款</w:t>
      </w:r>
      <w:bookmarkEnd w:id="392"/>
    </w:p>
    <w:bookmarkEnd w:id="393"/>
    <w:bookmarkEnd w:id="394"/>
    <w:bookmarkEnd w:id="395"/>
    <w:p w14:paraId="1FB4AE48">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12.2.</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预付款的支付</w:t>
      </w:r>
    </w:p>
    <w:p w14:paraId="2913C29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预付款的支付按照专用合同条款约定执行，但至迟应在开工通知载明的开工日期</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天前支付。预付款应当用于材料、工程设备、施工设备的采购及修建临时工程、组织施工队伍进场等。</w:t>
      </w:r>
    </w:p>
    <w:p w14:paraId="1E26507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除专用合同条款另有约定外，预付款在进度付款中同比例扣回。在颁发工程接收证书前，提前解除合同的，尚未扣完的预付款应与合同价款一并结算。</w:t>
      </w:r>
    </w:p>
    <w:p w14:paraId="67F0D32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发包人逾期支付预付款超过</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天的，承包人有权向发包人发出要求预付的催告通知，发包人收到通知后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天内仍未支付的，承包人有权暂停施工，并按第</w:t>
      </w:r>
      <w:r>
        <w:rPr>
          <w:rFonts w:ascii="宋体" w:hAnsi="宋体" w:eastAsia="宋体" w:cs="Times New Roman"/>
          <w:color w:val="auto"/>
          <w:kern w:val="0"/>
          <w:sz w:val="24"/>
          <w:szCs w:val="24"/>
          <w:highlight w:val="none"/>
        </w:rPr>
        <w:t>16.1.1</w:t>
      </w:r>
      <w:r>
        <w:rPr>
          <w:rFonts w:hint="eastAsia" w:ascii="宋体" w:hAnsi="宋体" w:eastAsia="宋体" w:cs="Times New Roman"/>
          <w:color w:val="auto"/>
          <w:kern w:val="0"/>
          <w:sz w:val="24"/>
          <w:szCs w:val="24"/>
          <w:highlight w:val="none"/>
        </w:rPr>
        <w:t>项〔发包人违约的情形〕执行。</w:t>
      </w:r>
    </w:p>
    <w:p w14:paraId="6FEAC434">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12.2.2 </w:t>
      </w:r>
      <w:r>
        <w:rPr>
          <w:rFonts w:hint="eastAsia" w:ascii="宋体" w:hAnsi="宋体" w:eastAsia="宋体" w:cs="Times New Roman"/>
          <w:color w:val="auto"/>
          <w:sz w:val="24"/>
          <w:szCs w:val="24"/>
          <w:highlight w:val="none"/>
        </w:rPr>
        <w:t>预付款担保</w:t>
      </w:r>
    </w:p>
    <w:p w14:paraId="70953CB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发包人要求承包人提供预付款担保的，承包人应在发包人支付预付款</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天前提供预付款担保，专用合同条款另有约定除外。预付款担保可采用银行保函、担保公司担保等形式，具体由合同当事人在专用合同条款中约定。在预付款完全扣回之前，承包人应保证预付款担保持续有效。</w:t>
      </w:r>
    </w:p>
    <w:p w14:paraId="6F257B7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发包人在工程款中逐期扣回预付款后，预付款担保额度应相应减少，但剩余的预付款担保金额不得低于未被扣回的预付款金额。</w:t>
      </w:r>
    </w:p>
    <w:p w14:paraId="2CC6D47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96" w:name="_Toc351203583"/>
      <w:bookmarkStart w:id="397" w:name="_Toc337558802"/>
      <w:r>
        <w:rPr>
          <w:rFonts w:ascii="Times New Roman" w:hAnsi="Times New Roman" w:eastAsia="Ђˎ̥" w:cs="Times New Roman"/>
          <w:color w:val="auto"/>
          <w:kern w:val="0"/>
          <w:sz w:val="24"/>
          <w:szCs w:val="24"/>
          <w:highlight w:val="none"/>
          <w:lang w:val="en-US" w:eastAsia="zh-CN" w:bidi="ar-SA"/>
        </w:rPr>
        <w:t>12.3</w:t>
      </w:r>
      <w:r>
        <w:rPr>
          <w:rFonts w:hint="eastAsia" w:ascii="Times New Roman" w:hAnsi="Times New Roman" w:eastAsia="Ђˎ̥" w:cs="宋体"/>
          <w:color w:val="auto"/>
          <w:kern w:val="0"/>
          <w:sz w:val="24"/>
          <w:szCs w:val="24"/>
          <w:highlight w:val="none"/>
          <w:lang w:val="en-US" w:eastAsia="zh-CN" w:bidi="ar-SA"/>
        </w:rPr>
        <w:t>计量</w:t>
      </w:r>
      <w:bookmarkEnd w:id="396"/>
    </w:p>
    <w:bookmarkEnd w:id="397"/>
    <w:p w14:paraId="1B63B2C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12.3.1 </w:t>
      </w:r>
      <w:r>
        <w:rPr>
          <w:rFonts w:hint="eastAsia" w:ascii="宋体" w:hAnsi="宋体" w:eastAsia="宋体" w:cs="Times New Roman"/>
          <w:color w:val="auto"/>
          <w:kern w:val="0"/>
          <w:sz w:val="24"/>
          <w:szCs w:val="24"/>
          <w:highlight w:val="none"/>
        </w:rPr>
        <w:t>计量原则</w:t>
      </w:r>
    </w:p>
    <w:p w14:paraId="019218C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工程量计量按照合同约定的工程量计算规则、图纸及变更指示等进行计量。工程量计算规则应以相关的国家标准、行业标准等为依据，由合同当事人在专用合同条款中约定。</w:t>
      </w:r>
    </w:p>
    <w:p w14:paraId="32952DF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12.3.2 </w:t>
      </w:r>
      <w:r>
        <w:rPr>
          <w:rFonts w:hint="eastAsia" w:ascii="宋体" w:hAnsi="宋体" w:eastAsia="宋体" w:cs="Times New Roman"/>
          <w:color w:val="auto"/>
          <w:kern w:val="0"/>
          <w:sz w:val="24"/>
          <w:szCs w:val="24"/>
          <w:highlight w:val="none"/>
        </w:rPr>
        <w:t>计量周期</w:t>
      </w:r>
    </w:p>
    <w:p w14:paraId="0301286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除专用合同条款另有约定外，工程量的计量按月进行。</w:t>
      </w:r>
    </w:p>
    <w:p w14:paraId="6AC0CA88">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12.3.3 </w:t>
      </w:r>
      <w:r>
        <w:rPr>
          <w:rFonts w:hint="eastAsia" w:ascii="宋体" w:hAnsi="宋体" w:eastAsia="宋体" w:cs="Times New Roman"/>
          <w:color w:val="auto"/>
          <w:kern w:val="0"/>
          <w:sz w:val="24"/>
          <w:szCs w:val="24"/>
          <w:highlight w:val="none"/>
        </w:rPr>
        <w:t>单价合同的计量</w:t>
      </w:r>
    </w:p>
    <w:p w14:paraId="1690783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除专用合同条款另有约定外，单价合同的计量按照本项约定执行：</w:t>
      </w:r>
    </w:p>
    <w:p w14:paraId="25E4A75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）承包人应于每月</w:t>
      </w:r>
      <w:r>
        <w:rPr>
          <w:rFonts w:ascii="宋体" w:hAnsi="宋体" w:eastAsia="宋体" w:cs="Times New Roman"/>
          <w:color w:val="auto"/>
          <w:kern w:val="0"/>
          <w:sz w:val="24"/>
          <w:szCs w:val="24"/>
          <w:highlight w:val="none"/>
        </w:rPr>
        <w:t>25</w:t>
      </w:r>
      <w:r>
        <w:rPr>
          <w:rFonts w:hint="eastAsia" w:ascii="宋体" w:hAnsi="宋体" w:eastAsia="宋体" w:cs="Times New Roman"/>
          <w:color w:val="auto"/>
          <w:kern w:val="0"/>
          <w:sz w:val="24"/>
          <w:szCs w:val="24"/>
          <w:highlight w:val="none"/>
        </w:rPr>
        <w:t>日向监理人报送上月</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日至当月</w:t>
      </w:r>
      <w:r>
        <w:rPr>
          <w:rFonts w:ascii="宋体" w:hAnsi="宋体" w:eastAsia="宋体" w:cs="Times New Roman"/>
          <w:color w:val="auto"/>
          <w:kern w:val="0"/>
          <w:sz w:val="24"/>
          <w:szCs w:val="24"/>
          <w:highlight w:val="none"/>
        </w:rPr>
        <w:t>19</w:t>
      </w:r>
      <w:r>
        <w:rPr>
          <w:rFonts w:hint="eastAsia" w:ascii="宋体" w:hAnsi="宋体" w:eastAsia="宋体" w:cs="Times New Roman"/>
          <w:color w:val="auto"/>
          <w:kern w:val="0"/>
          <w:sz w:val="24"/>
          <w:szCs w:val="24"/>
          <w:highlight w:val="none"/>
        </w:rPr>
        <w:t>日已完成的工程量报告，并附具进度付款申请单、已完成工程量报表和有关资料。</w:t>
      </w:r>
    </w:p>
    <w:p w14:paraId="737764C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）监理人应在收到承包人提交的工程量报告后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665CFD2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）监理人未在收到承包人提交的工程量报表后的</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天内完成审核的，承包人报送的工程量报告中的工程量视为承包人实际完成的工程量，据此计算工程价款。</w:t>
      </w:r>
    </w:p>
    <w:p w14:paraId="7EA8F444">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12.3.4 </w:t>
      </w:r>
      <w:r>
        <w:rPr>
          <w:rFonts w:hint="eastAsia" w:ascii="宋体" w:hAnsi="宋体" w:eastAsia="宋体" w:cs="Times New Roman"/>
          <w:color w:val="auto"/>
          <w:kern w:val="0"/>
          <w:sz w:val="24"/>
          <w:szCs w:val="24"/>
          <w:highlight w:val="none"/>
        </w:rPr>
        <w:t>总价合同的计量</w:t>
      </w:r>
    </w:p>
    <w:p w14:paraId="6406C36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除专用合同条款另有约定外，按月计量支付的总价合同，按照本项约定执行：</w:t>
      </w:r>
    </w:p>
    <w:p w14:paraId="328A2DD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）承包人应于每月</w:t>
      </w:r>
      <w:r>
        <w:rPr>
          <w:rFonts w:ascii="宋体" w:hAnsi="宋体" w:eastAsia="宋体" w:cs="Times New Roman"/>
          <w:color w:val="auto"/>
          <w:kern w:val="0"/>
          <w:sz w:val="24"/>
          <w:szCs w:val="24"/>
          <w:highlight w:val="none"/>
        </w:rPr>
        <w:t>25</w:t>
      </w:r>
      <w:r>
        <w:rPr>
          <w:rFonts w:hint="eastAsia" w:ascii="宋体" w:hAnsi="宋体" w:eastAsia="宋体" w:cs="Times New Roman"/>
          <w:color w:val="auto"/>
          <w:kern w:val="0"/>
          <w:sz w:val="24"/>
          <w:szCs w:val="24"/>
          <w:highlight w:val="none"/>
        </w:rPr>
        <w:t>日向监理人报送上月</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日至当月</w:t>
      </w:r>
      <w:r>
        <w:rPr>
          <w:rFonts w:ascii="宋体" w:hAnsi="宋体" w:eastAsia="宋体" w:cs="Times New Roman"/>
          <w:color w:val="auto"/>
          <w:kern w:val="0"/>
          <w:sz w:val="24"/>
          <w:szCs w:val="24"/>
          <w:highlight w:val="none"/>
        </w:rPr>
        <w:t>19</w:t>
      </w:r>
      <w:r>
        <w:rPr>
          <w:rFonts w:hint="eastAsia" w:ascii="宋体" w:hAnsi="宋体" w:eastAsia="宋体" w:cs="Times New Roman"/>
          <w:color w:val="auto"/>
          <w:kern w:val="0"/>
          <w:sz w:val="24"/>
          <w:szCs w:val="24"/>
          <w:highlight w:val="none"/>
        </w:rPr>
        <w:t>日已完成的工程量报告，并附具进度付款申请单、已完成工程量报表和有关资料。</w:t>
      </w:r>
    </w:p>
    <w:p w14:paraId="34D3557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）监理人应在收到承包人提交的工程量报告后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3B9B9A9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）监理人未在收到承包人提交的工程量报表后的</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天内完成复核的，承包人提交的工程量报告中的工程量视为承包人实际完成的工程量。</w:t>
      </w:r>
    </w:p>
    <w:p w14:paraId="12B30206">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12.3.5 </w:t>
      </w:r>
      <w:r>
        <w:rPr>
          <w:rFonts w:hint="eastAsia" w:ascii="宋体" w:hAnsi="宋体" w:eastAsia="宋体" w:cs="Times New Roman"/>
          <w:color w:val="auto"/>
          <w:kern w:val="0"/>
          <w:sz w:val="24"/>
          <w:szCs w:val="24"/>
          <w:highlight w:val="none"/>
        </w:rPr>
        <w:t>总价合同采用支付分解表计量支付的，可以按照第</w:t>
      </w:r>
      <w:r>
        <w:rPr>
          <w:rFonts w:ascii="宋体" w:hAnsi="宋体" w:eastAsia="宋体" w:cs="Times New Roman"/>
          <w:color w:val="auto"/>
          <w:kern w:val="0"/>
          <w:sz w:val="24"/>
          <w:szCs w:val="24"/>
          <w:highlight w:val="none"/>
        </w:rPr>
        <w:t>12.3.4</w:t>
      </w:r>
      <w:r>
        <w:rPr>
          <w:rFonts w:hint="eastAsia" w:ascii="宋体" w:hAnsi="宋体" w:eastAsia="宋体" w:cs="Times New Roman"/>
          <w:color w:val="auto"/>
          <w:kern w:val="0"/>
          <w:sz w:val="24"/>
          <w:szCs w:val="24"/>
          <w:highlight w:val="none"/>
        </w:rPr>
        <w:t>项〔总价合同的计量〕约定进行计量，但合同价款按照支付分解表进行支付。</w:t>
      </w:r>
    </w:p>
    <w:p w14:paraId="256245A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12.3.6 </w:t>
      </w:r>
      <w:r>
        <w:rPr>
          <w:rFonts w:hint="eastAsia" w:ascii="宋体" w:hAnsi="宋体" w:eastAsia="宋体" w:cs="Times New Roman"/>
          <w:color w:val="auto"/>
          <w:kern w:val="0"/>
          <w:sz w:val="24"/>
          <w:szCs w:val="24"/>
          <w:highlight w:val="none"/>
        </w:rPr>
        <w:t>其他价格形式合同的计量</w:t>
      </w:r>
    </w:p>
    <w:p w14:paraId="400DD06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合同当事人可在专用合同条款中约定其他价格形式合同的计量方式和程序。</w:t>
      </w:r>
    </w:p>
    <w:p w14:paraId="6F216F1E">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98" w:name="_Toc296503101"/>
      <w:bookmarkStart w:id="399" w:name="_Toc296346602"/>
      <w:bookmarkStart w:id="400" w:name="_Toc351203584"/>
      <w:bookmarkStart w:id="401" w:name="_Toc337558803"/>
      <w:r>
        <w:rPr>
          <w:rFonts w:ascii="Times New Roman" w:hAnsi="Times New Roman" w:eastAsia="Ђˎ̥" w:cs="Times New Roman"/>
          <w:color w:val="auto"/>
          <w:kern w:val="0"/>
          <w:sz w:val="24"/>
          <w:szCs w:val="24"/>
          <w:highlight w:val="none"/>
          <w:lang w:val="en-US" w:eastAsia="zh-CN" w:bidi="ar-SA"/>
        </w:rPr>
        <w:t>12.4</w:t>
      </w:r>
      <w:r>
        <w:rPr>
          <w:rFonts w:hint="eastAsia" w:ascii="Times New Roman" w:hAnsi="Times New Roman" w:eastAsia="Ђˎ̥" w:cs="Times New Roman"/>
          <w:color w:val="auto"/>
          <w:kern w:val="0"/>
          <w:sz w:val="24"/>
          <w:szCs w:val="24"/>
          <w:highlight w:val="none"/>
          <w:lang w:val="en-US" w:eastAsia="zh-CN" w:bidi="ar-SA"/>
        </w:rPr>
        <w:t>工程进度款支</w:t>
      </w:r>
      <w:bookmarkEnd w:id="398"/>
      <w:bookmarkEnd w:id="399"/>
      <w:r>
        <w:rPr>
          <w:rFonts w:hint="eastAsia" w:ascii="Times New Roman" w:hAnsi="Times New Roman" w:eastAsia="Ђˎ̥" w:cs="Times New Roman"/>
          <w:color w:val="auto"/>
          <w:kern w:val="0"/>
          <w:sz w:val="24"/>
          <w:szCs w:val="24"/>
          <w:highlight w:val="none"/>
          <w:lang w:val="en-US" w:eastAsia="zh-CN" w:bidi="ar-SA"/>
        </w:rPr>
        <w:t>付</w:t>
      </w:r>
      <w:bookmarkEnd w:id="400"/>
    </w:p>
    <w:bookmarkEnd w:id="401"/>
    <w:p w14:paraId="7852BE7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12.4</w:t>
      </w:r>
      <w:r>
        <w:rPr>
          <w:rFonts w:ascii="宋体" w:hAnsi="宋体" w:eastAsia="宋体" w:cs="Times New Roman"/>
          <w:color w:val="auto"/>
          <w:kern w:val="0"/>
          <w:sz w:val="24"/>
          <w:szCs w:val="24"/>
          <w:highlight w:val="none"/>
        </w:rPr>
        <w:t xml:space="preserve">.1 </w:t>
      </w:r>
      <w:r>
        <w:rPr>
          <w:rFonts w:hint="eastAsia" w:ascii="宋体" w:hAnsi="宋体" w:eastAsia="宋体" w:cs="Times New Roman"/>
          <w:color w:val="auto"/>
          <w:kern w:val="0"/>
          <w:sz w:val="24"/>
          <w:szCs w:val="24"/>
          <w:highlight w:val="none"/>
        </w:rPr>
        <w:t>付款周期</w:t>
      </w:r>
    </w:p>
    <w:p w14:paraId="074DE1F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除专用合同条款另有约定外，付款周期应按照第</w:t>
      </w:r>
      <w:r>
        <w:rPr>
          <w:rFonts w:ascii="宋体" w:hAnsi="宋体" w:eastAsia="宋体" w:cs="Times New Roman"/>
          <w:color w:val="auto"/>
          <w:kern w:val="0"/>
          <w:sz w:val="24"/>
          <w:szCs w:val="24"/>
          <w:highlight w:val="none"/>
        </w:rPr>
        <w:t>12.3.2</w:t>
      </w:r>
      <w:r>
        <w:rPr>
          <w:rFonts w:hint="eastAsia" w:ascii="宋体" w:hAnsi="宋体" w:eastAsia="宋体" w:cs="Times New Roman"/>
          <w:color w:val="auto"/>
          <w:kern w:val="0"/>
          <w:sz w:val="24"/>
          <w:szCs w:val="24"/>
          <w:highlight w:val="none"/>
        </w:rPr>
        <w:t>项〔计量周期〕的约定与计量周期保持一致。</w:t>
      </w:r>
    </w:p>
    <w:p w14:paraId="1F3BD76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12.4</w:t>
      </w:r>
      <w:r>
        <w:rPr>
          <w:rFonts w:ascii="宋体" w:hAnsi="宋体" w:eastAsia="宋体" w:cs="Times New Roman"/>
          <w:color w:val="auto"/>
          <w:kern w:val="0"/>
          <w:sz w:val="24"/>
          <w:szCs w:val="24"/>
          <w:highlight w:val="none"/>
        </w:rPr>
        <w:t xml:space="preserve">.2 </w:t>
      </w:r>
      <w:r>
        <w:rPr>
          <w:rFonts w:hint="eastAsia" w:ascii="宋体" w:hAnsi="宋体" w:eastAsia="宋体" w:cs="Times New Roman"/>
          <w:color w:val="auto"/>
          <w:kern w:val="0"/>
          <w:sz w:val="24"/>
          <w:szCs w:val="24"/>
          <w:highlight w:val="none"/>
        </w:rPr>
        <w:t>进度付款申请单的编制</w:t>
      </w:r>
    </w:p>
    <w:p w14:paraId="2E7A35D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除专用合同条款另有约定外，进度付款申请单应包括下列内容：</w:t>
      </w:r>
    </w:p>
    <w:p w14:paraId="17D3713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）截至本次付款周期已完成工作对应的金额；</w:t>
      </w:r>
    </w:p>
    <w:p w14:paraId="0C796FB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）根据第</w:t>
      </w:r>
      <w:r>
        <w:rPr>
          <w:rFonts w:ascii="宋体" w:hAnsi="宋体" w:eastAsia="宋体" w:cs="Times New Roman"/>
          <w:color w:val="auto"/>
          <w:kern w:val="0"/>
          <w:sz w:val="24"/>
          <w:szCs w:val="24"/>
          <w:highlight w:val="none"/>
        </w:rPr>
        <w:t>10</w:t>
      </w:r>
      <w:r>
        <w:rPr>
          <w:rFonts w:hint="eastAsia" w:ascii="宋体" w:hAnsi="宋体" w:eastAsia="宋体" w:cs="Times New Roman"/>
          <w:color w:val="auto"/>
          <w:kern w:val="0"/>
          <w:sz w:val="24"/>
          <w:szCs w:val="24"/>
          <w:highlight w:val="none"/>
        </w:rPr>
        <w:t>条〔变更〕应增加和扣减的变更金额；</w:t>
      </w:r>
    </w:p>
    <w:p w14:paraId="37627DE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）根据第</w:t>
      </w:r>
      <w:r>
        <w:rPr>
          <w:rFonts w:ascii="宋体" w:hAnsi="宋体" w:eastAsia="宋体" w:cs="Times New Roman"/>
          <w:color w:val="auto"/>
          <w:kern w:val="0"/>
          <w:sz w:val="24"/>
          <w:szCs w:val="24"/>
          <w:highlight w:val="none"/>
        </w:rPr>
        <w:t>12.2</w:t>
      </w:r>
      <w:r>
        <w:rPr>
          <w:rFonts w:hint="eastAsia" w:ascii="宋体" w:hAnsi="宋体" w:eastAsia="宋体" w:cs="Times New Roman"/>
          <w:color w:val="auto"/>
          <w:kern w:val="0"/>
          <w:sz w:val="24"/>
          <w:szCs w:val="24"/>
          <w:highlight w:val="none"/>
        </w:rPr>
        <w:t>款〔预付款〕约定应支付的预付款和扣减的返还预付款；</w:t>
      </w:r>
    </w:p>
    <w:p w14:paraId="7A38FB2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）根据第</w:t>
      </w:r>
      <w:r>
        <w:rPr>
          <w:rFonts w:ascii="宋体" w:hAnsi="宋体" w:eastAsia="宋体" w:cs="Times New Roman"/>
          <w:color w:val="auto"/>
          <w:kern w:val="0"/>
          <w:sz w:val="24"/>
          <w:szCs w:val="24"/>
          <w:highlight w:val="none"/>
        </w:rPr>
        <w:t>15.3</w:t>
      </w:r>
      <w:r>
        <w:rPr>
          <w:rFonts w:hint="eastAsia" w:ascii="宋体" w:hAnsi="宋体" w:eastAsia="宋体" w:cs="Times New Roman"/>
          <w:color w:val="auto"/>
          <w:kern w:val="0"/>
          <w:sz w:val="24"/>
          <w:szCs w:val="24"/>
          <w:highlight w:val="none"/>
        </w:rPr>
        <w:t>款〔质量保证金〕约定应扣减的质量保证金；</w:t>
      </w:r>
    </w:p>
    <w:p w14:paraId="42DF93A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）根据第</w:t>
      </w:r>
      <w:r>
        <w:rPr>
          <w:rFonts w:ascii="宋体" w:hAnsi="宋体" w:eastAsia="宋体" w:cs="Times New Roman"/>
          <w:color w:val="auto"/>
          <w:kern w:val="0"/>
          <w:sz w:val="24"/>
          <w:szCs w:val="24"/>
          <w:highlight w:val="none"/>
        </w:rPr>
        <w:t>19</w:t>
      </w:r>
      <w:r>
        <w:rPr>
          <w:rFonts w:hint="eastAsia" w:ascii="宋体" w:hAnsi="宋体" w:eastAsia="宋体" w:cs="Times New Roman"/>
          <w:color w:val="auto"/>
          <w:kern w:val="0"/>
          <w:sz w:val="24"/>
          <w:szCs w:val="24"/>
          <w:highlight w:val="none"/>
        </w:rPr>
        <w:t>条〔索赔〕应增加和扣减的索赔金额；</w:t>
      </w:r>
    </w:p>
    <w:p w14:paraId="6768B96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）对已签发的进度款支付证书中出现错误的修正，应在本次进度付款中支付或扣除的金额；</w:t>
      </w:r>
    </w:p>
    <w:p w14:paraId="4FB40AC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）根据合同约定应增加和扣减的其他金额。</w:t>
      </w:r>
    </w:p>
    <w:p w14:paraId="407BCA1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12.4.3 </w:t>
      </w:r>
      <w:r>
        <w:rPr>
          <w:rFonts w:hint="eastAsia" w:ascii="宋体" w:hAnsi="宋体" w:eastAsia="宋体" w:cs="Times New Roman"/>
          <w:color w:val="auto"/>
          <w:kern w:val="0"/>
          <w:sz w:val="24"/>
          <w:szCs w:val="24"/>
          <w:highlight w:val="none"/>
        </w:rPr>
        <w:t>进度付款申请单的提交</w:t>
      </w:r>
    </w:p>
    <w:p w14:paraId="2949074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）单价合同进度付款申请单的提交</w:t>
      </w:r>
    </w:p>
    <w:p w14:paraId="5CCD7FC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单价合同的进度付款申请单，按照第</w:t>
      </w:r>
      <w:r>
        <w:rPr>
          <w:rFonts w:ascii="宋体" w:hAnsi="宋体" w:eastAsia="宋体" w:cs="Times New Roman"/>
          <w:color w:val="auto"/>
          <w:kern w:val="0"/>
          <w:sz w:val="24"/>
          <w:szCs w:val="24"/>
          <w:highlight w:val="none"/>
        </w:rPr>
        <w:t>12.3.3</w:t>
      </w:r>
      <w:r>
        <w:rPr>
          <w:rFonts w:hint="eastAsia" w:ascii="宋体" w:hAnsi="宋体" w:eastAsia="宋体" w:cs="Times New Roman"/>
          <w:color w:val="auto"/>
          <w:kern w:val="0"/>
          <w:sz w:val="24"/>
          <w:szCs w:val="24"/>
          <w:highlight w:val="none"/>
        </w:rPr>
        <w:t>项〔单价合同的计量〕约定的时间按月向监理人提交，并附上已完成工程量报表和有关资料。单价合同中的总价项目按月进行支付分解，并汇总列入当期进度付款申请单。</w:t>
      </w:r>
    </w:p>
    <w:p w14:paraId="250B749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）总价合同进度付款申请单的提交</w:t>
      </w:r>
    </w:p>
    <w:p w14:paraId="2166D5C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总价合同按月计量支付的，承包人按照第</w:t>
      </w:r>
      <w:r>
        <w:rPr>
          <w:rFonts w:ascii="宋体" w:hAnsi="宋体" w:eastAsia="宋体" w:cs="Times New Roman"/>
          <w:color w:val="auto"/>
          <w:kern w:val="0"/>
          <w:sz w:val="24"/>
          <w:szCs w:val="24"/>
          <w:highlight w:val="none"/>
        </w:rPr>
        <w:t>12.3.4</w:t>
      </w:r>
      <w:r>
        <w:rPr>
          <w:rFonts w:hint="eastAsia" w:ascii="宋体" w:hAnsi="宋体" w:eastAsia="宋体" w:cs="Times New Roman"/>
          <w:color w:val="auto"/>
          <w:kern w:val="0"/>
          <w:sz w:val="24"/>
          <w:szCs w:val="24"/>
          <w:highlight w:val="none"/>
        </w:rPr>
        <w:t>项〔总价合同的计量〕约定的时间按月向监理人提交进度付款申请单，并附上已完成工程量报表和有关资料。</w:t>
      </w:r>
    </w:p>
    <w:p w14:paraId="2E956E4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总价合同按支付分解表支付的，承包人应按照第</w:t>
      </w:r>
      <w:r>
        <w:rPr>
          <w:rFonts w:ascii="宋体" w:hAnsi="宋体" w:eastAsia="宋体" w:cs="Times New Roman"/>
          <w:color w:val="auto"/>
          <w:kern w:val="0"/>
          <w:sz w:val="24"/>
          <w:szCs w:val="24"/>
          <w:highlight w:val="none"/>
        </w:rPr>
        <w:t>12.4.6</w:t>
      </w:r>
      <w:r>
        <w:rPr>
          <w:rFonts w:hint="eastAsia" w:ascii="宋体" w:hAnsi="宋体" w:eastAsia="宋体" w:cs="Times New Roman"/>
          <w:color w:val="auto"/>
          <w:kern w:val="0"/>
          <w:sz w:val="24"/>
          <w:szCs w:val="24"/>
          <w:highlight w:val="none"/>
        </w:rPr>
        <w:t>项〔支付分解表〕及第</w:t>
      </w:r>
      <w:r>
        <w:rPr>
          <w:rFonts w:ascii="宋体" w:hAnsi="宋体" w:eastAsia="宋体" w:cs="Times New Roman"/>
          <w:color w:val="auto"/>
          <w:kern w:val="0"/>
          <w:sz w:val="24"/>
          <w:szCs w:val="24"/>
          <w:highlight w:val="none"/>
        </w:rPr>
        <w:t>12.4.2</w:t>
      </w:r>
      <w:r>
        <w:rPr>
          <w:rFonts w:hint="eastAsia" w:ascii="宋体" w:hAnsi="宋体" w:eastAsia="宋体" w:cs="Times New Roman"/>
          <w:color w:val="auto"/>
          <w:kern w:val="0"/>
          <w:sz w:val="24"/>
          <w:szCs w:val="24"/>
          <w:highlight w:val="none"/>
        </w:rPr>
        <w:t>项〔进度付款申请单的编制〕的约定向监理人提交进度付款申请单。</w:t>
      </w:r>
    </w:p>
    <w:p w14:paraId="74D0FB6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）其他价格形式合同的进度付款申请单的提交</w:t>
      </w:r>
    </w:p>
    <w:p w14:paraId="260E1F6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合同当事人可在专用合同条款中约定其他价格形式合同的进度付款申请单的编制和提交程序。</w:t>
      </w:r>
    </w:p>
    <w:p w14:paraId="3696425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12.4</w:t>
      </w:r>
      <w:r>
        <w:rPr>
          <w:rFonts w:ascii="宋体" w:hAnsi="宋体" w:eastAsia="宋体" w:cs="Times New Roman"/>
          <w:color w:val="auto"/>
          <w:kern w:val="0"/>
          <w:sz w:val="24"/>
          <w:szCs w:val="24"/>
          <w:highlight w:val="none"/>
        </w:rPr>
        <w:t xml:space="preserve">.4 </w:t>
      </w:r>
      <w:r>
        <w:rPr>
          <w:rFonts w:hint="eastAsia" w:ascii="宋体" w:hAnsi="宋体" w:eastAsia="宋体" w:cs="Times New Roman"/>
          <w:color w:val="auto"/>
          <w:kern w:val="0"/>
          <w:sz w:val="24"/>
          <w:szCs w:val="24"/>
          <w:highlight w:val="none"/>
        </w:rPr>
        <w:t>进度款审核和支付</w:t>
      </w:r>
    </w:p>
    <w:p w14:paraId="5D3A774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）除专用合同条款另有约定外，监理人应在收到承包人进度付款申请单以及相关资料后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天内完成审查并报送发包人，发包人应在收到后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天内完成审批并签发进度款支付证书。发包人逾期未完成审批且未提出异议的，视为已签发进度款支付证书。</w:t>
      </w:r>
    </w:p>
    <w:p w14:paraId="49A8345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发包人和监理人对承包人的进度付款申请单有异议的，有权要求承包人修正和提供补充资料，承包人应提交修正后的进度付款申请单。监理人应在收到承包人修正后的进度付款申请单及相关资料后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天内完成审查并报送发包人，发包人应在收到监理人报送的进度付款申请单及相关资料后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天内，向承包人签发无异议部分的临时进度款支付证书。存在争议的部分，按照第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条〔争议解决〕的约定处理。</w:t>
      </w:r>
    </w:p>
    <w:p w14:paraId="5EDB304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）除专用合同条款另有约定外，发包人应在进度款支付证书或临时进度款支付证书签发后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天内完成支付，发包人逾期支付进度款的，应按照中国人民银行发布的同期同类贷款基准利率支付违约金。</w:t>
      </w:r>
    </w:p>
    <w:p w14:paraId="72DECDD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）发包人签发进度款支付证书或临时进度款支付证书，不表明发包人已同意、批准或接受了承包人完成的相应部分的工作。</w:t>
      </w:r>
    </w:p>
    <w:p w14:paraId="6F534C0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12.4.5 </w:t>
      </w:r>
      <w:r>
        <w:rPr>
          <w:rFonts w:hint="eastAsia" w:ascii="宋体" w:hAnsi="宋体" w:eastAsia="宋体" w:cs="Times New Roman"/>
          <w:color w:val="auto"/>
          <w:kern w:val="0"/>
          <w:sz w:val="24"/>
          <w:szCs w:val="24"/>
          <w:highlight w:val="none"/>
        </w:rPr>
        <w:t>进度付款的修正</w:t>
      </w:r>
    </w:p>
    <w:p w14:paraId="06069F7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在对已签发的进度款支付证书进行阶段汇总和复核中发现错误、遗漏或重复的，发包人和承包人均有权提出修正申请。经发包人和承包人同意的修正，应在下期进度付款中支付或扣除。</w:t>
      </w:r>
    </w:p>
    <w:p w14:paraId="42406CB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12.4.6 </w:t>
      </w:r>
      <w:r>
        <w:rPr>
          <w:rFonts w:hint="eastAsia" w:ascii="宋体" w:hAnsi="宋体" w:eastAsia="宋体" w:cs="Times New Roman"/>
          <w:color w:val="auto"/>
          <w:kern w:val="0"/>
          <w:sz w:val="24"/>
          <w:szCs w:val="24"/>
          <w:highlight w:val="none"/>
        </w:rPr>
        <w:t>支付分解表</w:t>
      </w:r>
    </w:p>
    <w:p w14:paraId="7367C7FB">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、支付分解表的编制要求</w:t>
      </w:r>
    </w:p>
    <w:p w14:paraId="79A3442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）支付分解表中所列的每期付款金额，应为第</w:t>
      </w:r>
      <w:r>
        <w:rPr>
          <w:rFonts w:ascii="宋体" w:hAnsi="宋体" w:eastAsia="宋体" w:cs="Times New Roman"/>
          <w:color w:val="auto"/>
          <w:kern w:val="0"/>
          <w:sz w:val="24"/>
          <w:szCs w:val="24"/>
          <w:highlight w:val="none"/>
        </w:rPr>
        <w:t>12.4.2</w:t>
      </w:r>
      <w:r>
        <w:rPr>
          <w:rFonts w:hint="eastAsia" w:ascii="宋体" w:hAnsi="宋体" w:eastAsia="宋体" w:cs="Times New Roman"/>
          <w:color w:val="auto"/>
          <w:kern w:val="0"/>
          <w:sz w:val="24"/>
          <w:szCs w:val="24"/>
          <w:highlight w:val="none"/>
        </w:rPr>
        <w:t>项〔进度付款申请单的编制〕第（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）目的估算金额；</w:t>
      </w:r>
    </w:p>
    <w:p w14:paraId="1173A4A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）实际进度与施工进度计划不一致的，合同当事人可按照第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款〔商定或确定〕修改支付分解表；</w:t>
      </w:r>
    </w:p>
    <w:p w14:paraId="1EBA9DC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）不采用支付分解表的，承包人应向发包人和监理人提交按季度编制的支付估算分解表，用于支付参考。</w:t>
      </w:r>
    </w:p>
    <w:p w14:paraId="5B1054E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、总价合同支付分解表的编制与审批</w:t>
      </w:r>
    </w:p>
    <w:p w14:paraId="6F79842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）除专用合同条款另有约定外，承包人应根据第</w:t>
      </w:r>
      <w:r>
        <w:rPr>
          <w:rFonts w:ascii="宋体" w:hAnsi="宋体" w:eastAsia="宋体" w:cs="Times New Roman"/>
          <w:color w:val="auto"/>
          <w:kern w:val="0"/>
          <w:sz w:val="24"/>
          <w:szCs w:val="24"/>
          <w:highlight w:val="none"/>
        </w:rPr>
        <w:t>7.2</w:t>
      </w:r>
      <w:r>
        <w:rPr>
          <w:rFonts w:hint="eastAsia" w:ascii="宋体" w:hAnsi="宋体" w:eastAsia="宋体" w:cs="Times New Roman"/>
          <w:color w:val="auto"/>
          <w:kern w:val="0"/>
          <w:sz w:val="24"/>
          <w:szCs w:val="24"/>
          <w:highlight w:val="none"/>
        </w:rPr>
        <w:t>款〔施工进度计划〕约定的施工进度计划、签约合同价和工程量等因素对总价合同按月进行分解，编制支付分解表。承包人应当在收到监理人和发包人批准的施工进度计划后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天内，将支付分解表及编制支付分解表的支持性资料报送监理人。</w:t>
      </w:r>
    </w:p>
    <w:p w14:paraId="4FFA6E1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）监理人应在收到支付分解表后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天内完成审核并报送发包人。发包人应在收到经监理人审核的支付分解表后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天内完成审批，经发包人批准的支付分解表为有约束力的支付分解表。</w:t>
      </w:r>
    </w:p>
    <w:p w14:paraId="18AF5F72">
      <w:pPr>
        <w:spacing w:line="360" w:lineRule="auto"/>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）发包人逾期未完成支付分解表审批的，也未及时要求承包人进行修正和提供补充资料的，则承包人提交的支付分解表视为已经获得发包人批准。</w:t>
      </w:r>
    </w:p>
    <w:p w14:paraId="26983877">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、单价合同的总价项目支付分解表的编制与审批</w:t>
      </w:r>
    </w:p>
    <w:p w14:paraId="75C7840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0FF163F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02" w:name="_Toc351203585"/>
      <w:r>
        <w:rPr>
          <w:rFonts w:ascii="Times New Roman" w:hAnsi="Times New Roman" w:eastAsia="Ђˎ̥" w:cs="Times New Roman"/>
          <w:color w:val="auto"/>
          <w:kern w:val="0"/>
          <w:sz w:val="24"/>
          <w:szCs w:val="24"/>
          <w:highlight w:val="none"/>
          <w:lang w:val="en-US" w:eastAsia="zh-CN" w:bidi="ar-SA"/>
        </w:rPr>
        <w:t>12.5</w:t>
      </w:r>
      <w:r>
        <w:rPr>
          <w:rFonts w:hint="eastAsia" w:ascii="Times New Roman" w:hAnsi="Times New Roman" w:eastAsia="Ђˎ̥" w:cs="宋体"/>
          <w:color w:val="auto"/>
          <w:kern w:val="0"/>
          <w:sz w:val="24"/>
          <w:szCs w:val="24"/>
          <w:highlight w:val="none"/>
          <w:lang w:val="en-US" w:eastAsia="zh-CN" w:bidi="ar-SA"/>
        </w:rPr>
        <w:t>支付账户</w:t>
      </w:r>
      <w:bookmarkEnd w:id="402"/>
    </w:p>
    <w:p w14:paraId="157E4EC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发包人应将合同价款支付至合同协议书中约定的承包人账户。</w:t>
      </w:r>
    </w:p>
    <w:p w14:paraId="184AF0C8">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03" w:name="_Toc17965082"/>
      <w:bookmarkStart w:id="404" w:name="_Toc351203586"/>
      <w:bookmarkStart w:id="405" w:name="_Toc337558804"/>
      <w:bookmarkStart w:id="406" w:name="_Toc322522574"/>
      <w:bookmarkStart w:id="407" w:name="_Toc296346607"/>
      <w:bookmarkStart w:id="408" w:name="_Toc296503106"/>
      <w:r>
        <w:rPr>
          <w:rFonts w:ascii="Times New Roman" w:hAnsi="Times New Roman" w:eastAsia="黑体" w:cs="Times New Roman"/>
          <w:b/>
          <w:bCs/>
          <w:color w:val="auto"/>
          <w:kern w:val="2"/>
          <w:sz w:val="24"/>
          <w:szCs w:val="24"/>
          <w:highlight w:val="none"/>
          <w:lang w:val="en-US" w:eastAsia="zh-CN" w:bidi="ar-SA"/>
        </w:rPr>
        <w:t>13. 验收和工程试车</w:t>
      </w:r>
      <w:bookmarkEnd w:id="403"/>
      <w:bookmarkEnd w:id="404"/>
    </w:p>
    <w:bookmarkEnd w:id="405"/>
    <w:bookmarkEnd w:id="406"/>
    <w:bookmarkEnd w:id="407"/>
    <w:bookmarkEnd w:id="408"/>
    <w:p w14:paraId="5B6686D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09" w:name="_Toc351203587"/>
      <w:bookmarkStart w:id="410" w:name="_Toc337558805"/>
      <w:bookmarkStart w:id="411" w:name="_Toc296346611"/>
      <w:bookmarkStart w:id="412" w:name="_Toc296503110"/>
      <w:r>
        <w:rPr>
          <w:rFonts w:ascii="Times New Roman" w:hAnsi="Times New Roman" w:eastAsia="Ђˎ̥" w:cs="Times New Roman"/>
          <w:color w:val="auto"/>
          <w:kern w:val="0"/>
          <w:sz w:val="24"/>
          <w:szCs w:val="24"/>
          <w:highlight w:val="none"/>
          <w:lang w:val="en-US" w:eastAsia="zh-CN" w:bidi="ar-SA"/>
        </w:rPr>
        <w:t>13.1</w:t>
      </w:r>
      <w:r>
        <w:rPr>
          <w:rFonts w:hint="eastAsia" w:ascii="Times New Roman" w:hAnsi="Times New Roman" w:eastAsia="Ђˎ̥" w:cs="Times New Roman"/>
          <w:color w:val="auto"/>
          <w:kern w:val="0"/>
          <w:sz w:val="24"/>
          <w:szCs w:val="24"/>
          <w:highlight w:val="none"/>
          <w:lang w:val="en-US" w:eastAsia="zh-CN" w:bidi="ar-SA"/>
        </w:rPr>
        <w:t>分部分项工程验收</w:t>
      </w:r>
      <w:bookmarkEnd w:id="409"/>
    </w:p>
    <w:bookmarkEnd w:id="410"/>
    <w:p w14:paraId="5FA3962A">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13.1.1 </w:t>
      </w:r>
      <w:r>
        <w:rPr>
          <w:rFonts w:hint="eastAsia" w:ascii="宋体" w:hAnsi="宋体" w:eastAsia="宋体" w:cs="Times New Roman"/>
          <w:color w:val="auto"/>
          <w:sz w:val="24"/>
          <w:szCs w:val="24"/>
          <w:highlight w:val="none"/>
        </w:rPr>
        <w:t>分部分项工程质量应符合国家有关工程施工验收规范、标准及合同约定，承包人应按照施工组织设计的要求完成分部分项工程施工。</w:t>
      </w:r>
    </w:p>
    <w:p w14:paraId="4997F7A1">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13.1.2 </w:t>
      </w:r>
      <w:r>
        <w:rPr>
          <w:rFonts w:hint="eastAsia" w:ascii="宋体" w:hAnsi="宋体" w:eastAsia="宋体" w:cs="Times New Roman"/>
          <w:color w:val="auto"/>
          <w:sz w:val="24"/>
          <w:szCs w:val="24"/>
          <w:highlight w:val="none"/>
        </w:rPr>
        <w:t>除专用合同条款另有约定外，分部分项工程经承包人自检合格并具备验收条件的，承包人应提前</w:t>
      </w:r>
      <w:r>
        <w:rPr>
          <w:rFonts w:ascii="宋体" w:hAnsi="宋体" w:eastAsia="宋体" w:cs="Times New Roman"/>
          <w:color w:val="auto"/>
          <w:sz w:val="24"/>
          <w:szCs w:val="24"/>
          <w:highlight w:val="none"/>
        </w:rPr>
        <w:t>48</w:t>
      </w:r>
      <w:r>
        <w:rPr>
          <w:rFonts w:hint="eastAsia" w:ascii="宋体" w:hAnsi="宋体" w:eastAsia="宋体" w:cs="Times New Roman"/>
          <w:color w:val="auto"/>
          <w:sz w:val="24"/>
          <w:szCs w:val="24"/>
          <w:highlight w:val="none"/>
        </w:rPr>
        <w:t>小时通知监理人进行验收。</w:t>
      </w:r>
      <w:r>
        <w:rPr>
          <w:rFonts w:hint="eastAsia" w:ascii="宋体" w:hAnsi="宋体" w:eastAsia="宋体" w:cs="Times New Roman"/>
          <w:color w:val="auto"/>
          <w:kern w:val="0"/>
          <w:sz w:val="24"/>
          <w:szCs w:val="24"/>
          <w:highlight w:val="none"/>
        </w:rPr>
        <w:t>监理人不能按时进行验收的，应在验收前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小时向承包人提交书面延期要求，但延期不能超过</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小时。监理人未按时进行验收，也未提出延期要求的，承包人有权自行验收，监理人应认可验收结果。</w:t>
      </w:r>
      <w:r>
        <w:rPr>
          <w:rFonts w:hint="eastAsia" w:ascii="宋体" w:hAnsi="宋体" w:eastAsia="宋体" w:cs="Times New Roman"/>
          <w:color w:val="auto"/>
          <w:sz w:val="24"/>
          <w:szCs w:val="24"/>
          <w:highlight w:val="none"/>
        </w:rPr>
        <w:t>分部分项工程未经验收的，不得进入下一道工序施工。</w:t>
      </w:r>
    </w:p>
    <w:p w14:paraId="28F01B3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分部分项工程的验收资料应当作为竣工资料的组成部分。</w:t>
      </w:r>
    </w:p>
    <w:p w14:paraId="122ED87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13" w:name="_Toc351203588"/>
      <w:bookmarkStart w:id="414" w:name="_Toc337558806"/>
      <w:r>
        <w:rPr>
          <w:rFonts w:ascii="Times New Roman" w:hAnsi="Times New Roman" w:eastAsia="Ђˎ̥" w:cs="Times New Roman"/>
          <w:color w:val="auto"/>
          <w:kern w:val="0"/>
          <w:sz w:val="24"/>
          <w:szCs w:val="24"/>
          <w:highlight w:val="none"/>
          <w:lang w:val="en-US" w:eastAsia="zh-CN" w:bidi="ar-SA"/>
        </w:rPr>
        <w:t>13.2</w:t>
      </w:r>
      <w:r>
        <w:rPr>
          <w:rFonts w:hint="eastAsia" w:ascii="Times New Roman" w:hAnsi="Times New Roman" w:eastAsia="Ђˎ̥" w:cs="宋体"/>
          <w:color w:val="auto"/>
          <w:kern w:val="0"/>
          <w:sz w:val="24"/>
          <w:szCs w:val="24"/>
          <w:highlight w:val="none"/>
          <w:lang w:val="en-US" w:eastAsia="zh-CN" w:bidi="ar-SA"/>
        </w:rPr>
        <w:t>竣工验收</w:t>
      </w:r>
      <w:bookmarkEnd w:id="413"/>
    </w:p>
    <w:bookmarkEnd w:id="411"/>
    <w:bookmarkEnd w:id="412"/>
    <w:bookmarkEnd w:id="414"/>
    <w:p w14:paraId="5B3C26EF">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13.2.1</w:t>
      </w:r>
      <w:r>
        <w:rPr>
          <w:rFonts w:hint="eastAsia" w:ascii="宋体" w:hAnsi="宋体" w:eastAsia="宋体" w:cs="Times New Roman"/>
          <w:color w:val="auto"/>
          <w:kern w:val="0"/>
          <w:sz w:val="24"/>
          <w:szCs w:val="24"/>
          <w:highlight w:val="none"/>
        </w:rPr>
        <w:t>竣工验收条件</w:t>
      </w:r>
    </w:p>
    <w:p w14:paraId="494DA25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工程具备以下条件的，承包人可以申请竣工验收：</w:t>
      </w:r>
    </w:p>
    <w:p w14:paraId="152D4F9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）除发包人同意的甩项工作和缺陷修补工作外，合同范围内的全部工程以及有关工作，包括合同要求的试验、试运行以及检验均已完成，并符合合同要求；</w:t>
      </w:r>
    </w:p>
    <w:p w14:paraId="766EBFF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）已按合同约定编制了甩项工作和缺陷修补工作清单以及相应的施工计划；</w:t>
      </w:r>
    </w:p>
    <w:p w14:paraId="3CF0F3A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）已按合同约定的内容和份数备齐竣工资料。</w:t>
      </w:r>
    </w:p>
    <w:p w14:paraId="57FE123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13.2.2</w:t>
      </w:r>
      <w:r>
        <w:rPr>
          <w:rFonts w:hint="eastAsia" w:ascii="宋体" w:hAnsi="宋体" w:eastAsia="宋体" w:cs="Times New Roman"/>
          <w:color w:val="auto"/>
          <w:kern w:val="0"/>
          <w:sz w:val="24"/>
          <w:szCs w:val="24"/>
          <w:highlight w:val="none"/>
        </w:rPr>
        <w:t>竣工验收程序</w:t>
      </w:r>
    </w:p>
    <w:p w14:paraId="2257799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除专用合同条款另有约定外，承包人申请竣工验收的，应当按照以下程序进行：</w:t>
      </w:r>
    </w:p>
    <w:p w14:paraId="251CE280">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）承包人向监理人报送竣工验收申请报告，监理人应在收到竣工验收申请报告后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天内完成审查并报送发包人。监理人审查后认为尚不具备验收条件的，应通知承包人在竣工验收前承包人还需完成的工作内容，承包人应在完成监理人通知的全部工作内容后，再次提交竣工验收申请报告。</w:t>
      </w:r>
    </w:p>
    <w:p w14:paraId="59F7EED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）监理人审查后认为已具备竣工验收条件的，应将竣工验收申请报告提交发包人，发包人应在收到经监理人审核的竣工验收申请报告后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天内审批完毕并组织监理人、承包人、设计人等相关单位完成竣工验收。</w:t>
      </w:r>
    </w:p>
    <w:p w14:paraId="6709F9B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）竣工验收合格的，发包人应在验收合格后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天内向承包人签发工程接收证书。发包人无正当理由逾期不颁发工程接收证书的，自验收合格后第</w:t>
      </w:r>
      <w:r>
        <w:rPr>
          <w:rFonts w:ascii="宋体" w:hAnsi="宋体" w:eastAsia="宋体" w:cs="Times New Roman"/>
          <w:color w:val="auto"/>
          <w:kern w:val="0"/>
          <w:sz w:val="24"/>
          <w:szCs w:val="24"/>
          <w:highlight w:val="none"/>
        </w:rPr>
        <w:t>15</w:t>
      </w:r>
      <w:r>
        <w:rPr>
          <w:rFonts w:hint="eastAsia" w:ascii="宋体" w:hAnsi="宋体" w:eastAsia="宋体" w:cs="Times New Roman"/>
          <w:color w:val="auto"/>
          <w:kern w:val="0"/>
          <w:sz w:val="24"/>
          <w:szCs w:val="24"/>
          <w:highlight w:val="none"/>
        </w:rPr>
        <w:t>天起视为已颁发工程接收证书。</w:t>
      </w:r>
    </w:p>
    <w:p w14:paraId="62D2945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065E93F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）工程未经验收或验收不合格，发包人擅自使用的，应在转移占有工程后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天内向承包人颁发工程接收证书；发包人无正当理由逾期不颁发工程接收证书的，自转移占有后第</w:t>
      </w:r>
      <w:r>
        <w:rPr>
          <w:rFonts w:ascii="宋体" w:hAnsi="宋体" w:eastAsia="宋体" w:cs="Times New Roman"/>
          <w:color w:val="auto"/>
          <w:kern w:val="0"/>
          <w:sz w:val="24"/>
          <w:szCs w:val="24"/>
          <w:highlight w:val="none"/>
        </w:rPr>
        <w:t>15</w:t>
      </w:r>
      <w:r>
        <w:rPr>
          <w:rFonts w:hint="eastAsia" w:ascii="宋体" w:hAnsi="宋体" w:eastAsia="宋体" w:cs="Times New Roman"/>
          <w:color w:val="auto"/>
          <w:kern w:val="0"/>
          <w:sz w:val="24"/>
          <w:szCs w:val="24"/>
          <w:highlight w:val="none"/>
        </w:rPr>
        <w:t>天起视为已颁发工程接收证书。</w:t>
      </w:r>
    </w:p>
    <w:p w14:paraId="6D7DE74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6128EB8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13.2.3</w:t>
      </w:r>
      <w:r>
        <w:rPr>
          <w:rFonts w:hint="eastAsia" w:ascii="宋体" w:hAnsi="宋体" w:eastAsia="宋体" w:cs="Times New Roman"/>
          <w:color w:val="auto"/>
          <w:kern w:val="0"/>
          <w:sz w:val="24"/>
          <w:szCs w:val="24"/>
          <w:highlight w:val="none"/>
        </w:rPr>
        <w:t>竣工日期</w:t>
      </w:r>
    </w:p>
    <w:p w14:paraId="4770431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工程经竣工验收合格的，以承包人提交竣工验收申请报告之日为实际竣工日期，并在工程接收证书中载明；因发包人原因，未在监理人收到承包人提交的竣工验收申请报告</w:t>
      </w:r>
      <w:r>
        <w:rPr>
          <w:rFonts w:ascii="宋体" w:hAnsi="宋体" w:eastAsia="宋体" w:cs="Times New Roman"/>
          <w:color w:val="auto"/>
          <w:kern w:val="0"/>
          <w:sz w:val="24"/>
          <w:szCs w:val="24"/>
          <w:highlight w:val="none"/>
        </w:rPr>
        <w:t>42</w:t>
      </w:r>
      <w:r>
        <w:rPr>
          <w:rFonts w:hint="eastAsia" w:ascii="宋体" w:hAnsi="宋体" w:eastAsia="宋体" w:cs="Times New Roman"/>
          <w:color w:val="auto"/>
          <w:kern w:val="0"/>
          <w:sz w:val="24"/>
          <w:szCs w:val="24"/>
          <w:highlight w:val="none"/>
        </w:rPr>
        <w:t>天内完成竣工验收，或完成竣工验收不予签发工程接收证书的，以提交竣工验</w:t>
      </w:r>
      <w:bookmarkStart w:id="415" w:name="#go14"/>
      <w:bookmarkEnd w:id="415"/>
      <w:r>
        <w:rPr>
          <w:rFonts w:hint="eastAsia" w:ascii="宋体" w:hAnsi="宋体" w:eastAsia="宋体" w:cs="Times New Roman"/>
          <w:color w:val="auto"/>
          <w:kern w:val="0"/>
          <w:sz w:val="24"/>
          <w:szCs w:val="24"/>
          <w:highlight w:val="none"/>
        </w:rPr>
        <w:t>收申请报告的日期为实际竣工日期；工程未经竣工验收，发包人擅自使用的，以转移占有工程之日为实际竣工日期。</w:t>
      </w:r>
    </w:p>
    <w:p w14:paraId="2979B21E">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13.2.4 </w:t>
      </w:r>
      <w:r>
        <w:rPr>
          <w:rFonts w:hint="eastAsia" w:ascii="宋体" w:hAnsi="宋体" w:eastAsia="宋体" w:cs="Times New Roman"/>
          <w:color w:val="auto"/>
          <w:kern w:val="0"/>
          <w:sz w:val="24"/>
          <w:szCs w:val="24"/>
          <w:highlight w:val="none"/>
        </w:rPr>
        <w:t>拒绝接收全部或部分工程</w:t>
      </w:r>
    </w:p>
    <w:p w14:paraId="0DB302C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0D32EA1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13.2.5 </w:t>
      </w:r>
      <w:r>
        <w:rPr>
          <w:rFonts w:hint="eastAsia" w:ascii="宋体" w:hAnsi="宋体" w:eastAsia="宋体" w:cs="Times New Roman"/>
          <w:color w:val="auto"/>
          <w:kern w:val="0"/>
          <w:sz w:val="24"/>
          <w:szCs w:val="24"/>
          <w:highlight w:val="none"/>
        </w:rPr>
        <w:t>移交、接收全部与部分工程</w:t>
      </w:r>
    </w:p>
    <w:p w14:paraId="28724EB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除专用合同条款另有约定外，合同当事人应当在颁发工程接收证书后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天内完成工程的移交。</w:t>
      </w:r>
    </w:p>
    <w:p w14:paraId="3100B3B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5C572D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7BE1BD7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16" w:name="_Toc351203589"/>
      <w:bookmarkStart w:id="417" w:name="_Toc337558807"/>
      <w:bookmarkStart w:id="418" w:name="_Toc296346612"/>
      <w:bookmarkStart w:id="419" w:name="_Toc296503111"/>
      <w:r>
        <w:rPr>
          <w:rFonts w:ascii="Times New Roman" w:hAnsi="Times New Roman" w:eastAsia="Ђˎ̥" w:cs="Times New Roman"/>
          <w:color w:val="auto"/>
          <w:kern w:val="0"/>
          <w:sz w:val="24"/>
          <w:szCs w:val="24"/>
          <w:highlight w:val="none"/>
          <w:lang w:val="en-US" w:eastAsia="zh-CN" w:bidi="ar-SA"/>
        </w:rPr>
        <w:t>13.3</w:t>
      </w:r>
      <w:r>
        <w:rPr>
          <w:rFonts w:hint="eastAsia" w:ascii="Times New Roman" w:hAnsi="Times New Roman" w:eastAsia="Ђˎ̥" w:cs="宋体"/>
          <w:color w:val="auto"/>
          <w:kern w:val="0"/>
          <w:sz w:val="24"/>
          <w:szCs w:val="24"/>
          <w:highlight w:val="none"/>
          <w:lang w:val="en-US" w:eastAsia="zh-CN" w:bidi="ar-SA"/>
        </w:rPr>
        <w:t>工程试车</w:t>
      </w:r>
      <w:bookmarkEnd w:id="416"/>
    </w:p>
    <w:bookmarkEnd w:id="417"/>
    <w:bookmarkEnd w:id="418"/>
    <w:bookmarkEnd w:id="419"/>
    <w:p w14:paraId="24B07D98">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13.3.1</w:t>
      </w:r>
      <w:r>
        <w:rPr>
          <w:rFonts w:hint="eastAsia" w:ascii="宋体" w:hAnsi="宋体" w:eastAsia="宋体" w:cs="Times New Roman"/>
          <w:color w:val="auto"/>
          <w:kern w:val="0"/>
          <w:sz w:val="24"/>
          <w:szCs w:val="24"/>
          <w:highlight w:val="none"/>
        </w:rPr>
        <w:t>试车程序</w:t>
      </w:r>
    </w:p>
    <w:p w14:paraId="6EEE6C9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工程需要试车的，除专用合同条款另有约定外，试车内容应与承包人承包范围相一致，试车费用由承包人承担。工程试车应按如下程序进行：</w:t>
      </w:r>
    </w:p>
    <w:p w14:paraId="1D9F50C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）具备单机无负荷试车条件，承包人组织试车，并在试车前</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书面通知监理人，通知中应载明试车内容、时间、地点。承包人准备试车记录，发包人根据承包人要求为试车提供必要条件。试车合格的，监理人在试车记录上签字。监理人在试车合格后不在试车记录上签字，自试车结束满</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小时后视为监理人已经认可试车记录，承包人可继续施工或办理竣工验收手续。</w:t>
      </w:r>
    </w:p>
    <w:p w14:paraId="17C0BC4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监理人不能按时参加试车，应在试车前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小时以书面形式向承包人提出延期要求，但延期不能超过</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小时，由此导致工期延误的，工期应予以顺延。监理人未能在前述期限内提出延期要求，又不参加试车的，视为认可试车记录。</w:t>
      </w:r>
    </w:p>
    <w:p w14:paraId="647B3D7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）具备无负荷联动试车条件，发包人组织试车，并在试车前</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以书面形式通知承包人。通知中应载明试车内容、时间、地点和对承包人的要求，承包人按要求做好准备工作。试车合格，合同当事人在试车记录上签字。承包人无正当理由不参加试车的，视为认可试车记录。</w:t>
      </w:r>
    </w:p>
    <w:p w14:paraId="520BD8E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13.3.2 </w:t>
      </w:r>
      <w:r>
        <w:rPr>
          <w:rFonts w:hint="eastAsia" w:ascii="宋体" w:hAnsi="宋体" w:eastAsia="宋体" w:cs="Times New Roman"/>
          <w:color w:val="auto"/>
          <w:kern w:val="0"/>
          <w:sz w:val="24"/>
          <w:szCs w:val="24"/>
          <w:highlight w:val="none"/>
        </w:rPr>
        <w:t>试车中的责任</w:t>
      </w:r>
    </w:p>
    <w:p w14:paraId="381CB53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5AAAF58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0C7CE151">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13.3.3 </w:t>
      </w:r>
      <w:r>
        <w:rPr>
          <w:rFonts w:hint="eastAsia" w:ascii="宋体" w:hAnsi="宋体" w:eastAsia="宋体" w:cs="Times New Roman"/>
          <w:color w:val="auto"/>
          <w:kern w:val="0"/>
          <w:sz w:val="24"/>
          <w:szCs w:val="24"/>
          <w:highlight w:val="none"/>
        </w:rPr>
        <w:t>投料试车</w:t>
      </w:r>
    </w:p>
    <w:p w14:paraId="3E1F837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如需进行投料试车的，发包人应在工程竣工验收后组织投料试车。发包人要求在工程竣工验收前进行或需要承包人配合时，应征得承包人同意，并在专用合同条款中约定有关事项。</w:t>
      </w:r>
    </w:p>
    <w:p w14:paraId="0916679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7D98778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20" w:name="_Toc351203590"/>
      <w:bookmarkStart w:id="421" w:name="_Toc337558808"/>
      <w:r>
        <w:rPr>
          <w:rFonts w:ascii="Times New Roman" w:hAnsi="Times New Roman" w:eastAsia="Ђˎ̥" w:cs="Times New Roman"/>
          <w:color w:val="auto"/>
          <w:kern w:val="0"/>
          <w:sz w:val="24"/>
          <w:szCs w:val="24"/>
          <w:highlight w:val="none"/>
          <w:lang w:val="en-US" w:eastAsia="zh-CN" w:bidi="ar-SA"/>
        </w:rPr>
        <w:t>13.4</w:t>
      </w:r>
      <w:r>
        <w:rPr>
          <w:rFonts w:hint="eastAsia" w:ascii="Times New Roman" w:hAnsi="Times New Roman" w:eastAsia="Ђˎ̥" w:cs="Times New Roman"/>
          <w:color w:val="auto"/>
          <w:kern w:val="0"/>
          <w:sz w:val="24"/>
          <w:szCs w:val="24"/>
          <w:highlight w:val="none"/>
          <w:lang w:val="en-US" w:eastAsia="zh-CN" w:bidi="ar-SA"/>
        </w:rPr>
        <w:t>提前交付单位工程的验收</w:t>
      </w:r>
      <w:bookmarkEnd w:id="420"/>
    </w:p>
    <w:bookmarkEnd w:id="421"/>
    <w:p w14:paraId="6272DABF">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13.4.1 </w:t>
      </w:r>
      <w:r>
        <w:rPr>
          <w:rFonts w:hint="eastAsia" w:ascii="宋体" w:hAnsi="宋体" w:eastAsia="宋体" w:cs="Times New Roman"/>
          <w:color w:val="auto"/>
          <w:kern w:val="0"/>
          <w:sz w:val="24"/>
          <w:szCs w:val="24"/>
          <w:highlight w:val="none"/>
        </w:rPr>
        <w:t>发包人需要在工程竣工前使用单位工程的，或承包人提出提前交付已经竣工的单位工程且经发包人同意的，可进行单位工程验收，验收的程序按照第</w:t>
      </w:r>
      <w:r>
        <w:rPr>
          <w:rFonts w:ascii="宋体" w:hAnsi="宋体" w:eastAsia="宋体" w:cs="Times New Roman"/>
          <w:color w:val="auto"/>
          <w:kern w:val="0"/>
          <w:sz w:val="24"/>
          <w:szCs w:val="24"/>
          <w:highlight w:val="none"/>
        </w:rPr>
        <w:t>13.2</w:t>
      </w:r>
      <w:r>
        <w:rPr>
          <w:rFonts w:hint="eastAsia" w:ascii="宋体" w:hAnsi="宋体" w:eastAsia="宋体" w:cs="Times New Roman"/>
          <w:color w:val="auto"/>
          <w:kern w:val="0"/>
          <w:sz w:val="24"/>
          <w:szCs w:val="24"/>
          <w:highlight w:val="none"/>
        </w:rPr>
        <w:t>款〔竣工验收〕的约定进行。</w:t>
      </w:r>
    </w:p>
    <w:p w14:paraId="6C023D1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3735CCC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13.4.2 </w:t>
      </w:r>
      <w:r>
        <w:rPr>
          <w:rFonts w:hint="eastAsia" w:ascii="宋体" w:hAnsi="宋体" w:eastAsia="宋体" w:cs="Times New Roman"/>
          <w:color w:val="auto"/>
          <w:kern w:val="0"/>
          <w:sz w:val="24"/>
          <w:szCs w:val="24"/>
          <w:highlight w:val="none"/>
        </w:rPr>
        <w:t>发包人要求在工程竣工前交付单位工程，由此导致承包人费用增加和（或）工期延误的，由发包人承担由此增加的费用和（或）延误的工期，并支付承包人合理的利润。</w:t>
      </w:r>
    </w:p>
    <w:p w14:paraId="28C6E18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22" w:name="_Toc351203591"/>
      <w:r>
        <w:rPr>
          <w:rFonts w:ascii="Times New Roman" w:hAnsi="Times New Roman" w:eastAsia="Ђˎ̥" w:cs="Times New Roman"/>
          <w:color w:val="auto"/>
          <w:kern w:val="0"/>
          <w:sz w:val="24"/>
          <w:szCs w:val="24"/>
          <w:highlight w:val="none"/>
          <w:lang w:val="en-US" w:eastAsia="zh-CN" w:bidi="ar-SA"/>
        </w:rPr>
        <w:t xml:space="preserve">13.5 </w:t>
      </w:r>
      <w:r>
        <w:rPr>
          <w:rFonts w:hint="eastAsia" w:ascii="Times New Roman" w:hAnsi="Times New Roman" w:eastAsia="Ђˎ̥" w:cs="宋体"/>
          <w:color w:val="auto"/>
          <w:kern w:val="0"/>
          <w:sz w:val="24"/>
          <w:szCs w:val="24"/>
          <w:highlight w:val="none"/>
          <w:lang w:val="en-US" w:eastAsia="zh-CN" w:bidi="ar-SA"/>
        </w:rPr>
        <w:t>施工期运行</w:t>
      </w:r>
      <w:bookmarkEnd w:id="422"/>
    </w:p>
    <w:p w14:paraId="36E2857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13.5.1 </w:t>
      </w:r>
      <w:r>
        <w:rPr>
          <w:rFonts w:hint="eastAsia" w:ascii="宋体" w:hAnsi="宋体" w:eastAsia="宋体" w:cs="Times New Roman"/>
          <w:color w:val="auto"/>
          <w:kern w:val="0"/>
          <w:sz w:val="24"/>
          <w:szCs w:val="24"/>
          <w:highlight w:val="none"/>
        </w:rPr>
        <w:t>施工期运行是指合同工程尚未全部竣工，其中某项或某几项单位工程或工程设备安装已竣工，根据专用合同条款约定，需要投入施工期运行的，经发包人按第</w:t>
      </w:r>
      <w:r>
        <w:rPr>
          <w:rFonts w:ascii="宋体" w:hAnsi="宋体" w:eastAsia="宋体" w:cs="Times New Roman"/>
          <w:color w:val="auto"/>
          <w:kern w:val="0"/>
          <w:sz w:val="24"/>
          <w:szCs w:val="24"/>
          <w:highlight w:val="none"/>
        </w:rPr>
        <w:t>13.4</w:t>
      </w:r>
      <w:r>
        <w:rPr>
          <w:rFonts w:hint="eastAsia" w:ascii="宋体" w:hAnsi="宋体" w:eastAsia="宋体" w:cs="Times New Roman"/>
          <w:color w:val="auto"/>
          <w:kern w:val="0"/>
          <w:sz w:val="24"/>
          <w:szCs w:val="24"/>
          <w:highlight w:val="none"/>
        </w:rPr>
        <w:t>款〔提前交付单位工程的验收〕的约定验收合格，证明能确保安全后，才能在施工期投入运行。</w:t>
      </w:r>
    </w:p>
    <w:p w14:paraId="6322BF58">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13.5.2 </w:t>
      </w:r>
      <w:r>
        <w:rPr>
          <w:rFonts w:hint="eastAsia" w:ascii="宋体" w:hAnsi="宋体" w:eastAsia="宋体" w:cs="Times New Roman"/>
          <w:color w:val="auto"/>
          <w:kern w:val="0"/>
          <w:sz w:val="24"/>
          <w:szCs w:val="24"/>
          <w:highlight w:val="none"/>
        </w:rPr>
        <w:t>在施工期运行中发现工程或工程设备损坏或存在缺陷的，由承包人按第</w:t>
      </w:r>
      <w:r>
        <w:rPr>
          <w:rFonts w:ascii="宋体" w:hAnsi="宋体" w:eastAsia="宋体" w:cs="Times New Roman"/>
          <w:color w:val="auto"/>
          <w:kern w:val="0"/>
          <w:sz w:val="24"/>
          <w:szCs w:val="24"/>
          <w:highlight w:val="none"/>
        </w:rPr>
        <w:t>15.2</w:t>
      </w:r>
      <w:r>
        <w:rPr>
          <w:rFonts w:hint="eastAsia" w:ascii="宋体" w:hAnsi="宋体" w:eastAsia="宋体" w:cs="Times New Roman"/>
          <w:color w:val="auto"/>
          <w:kern w:val="0"/>
          <w:sz w:val="24"/>
          <w:szCs w:val="24"/>
          <w:highlight w:val="none"/>
        </w:rPr>
        <w:t>款〔缺陷责任期〕约定进行修复。</w:t>
      </w:r>
    </w:p>
    <w:p w14:paraId="13855D8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23" w:name="_Toc296346613"/>
      <w:bookmarkStart w:id="424" w:name="_Toc296503112"/>
      <w:bookmarkStart w:id="425" w:name="_Toc351203592"/>
      <w:bookmarkStart w:id="426" w:name="_Toc337558809"/>
      <w:r>
        <w:rPr>
          <w:rFonts w:ascii="Times New Roman" w:hAnsi="Times New Roman" w:eastAsia="Ђˎ̥" w:cs="Times New Roman"/>
          <w:color w:val="auto"/>
          <w:kern w:val="0"/>
          <w:sz w:val="24"/>
          <w:szCs w:val="24"/>
          <w:highlight w:val="none"/>
          <w:lang w:val="en-US" w:eastAsia="zh-CN" w:bidi="ar-SA"/>
        </w:rPr>
        <w:t xml:space="preserve">13.6 </w:t>
      </w:r>
      <w:r>
        <w:rPr>
          <w:rFonts w:hint="eastAsia" w:ascii="Times New Roman" w:hAnsi="Times New Roman" w:eastAsia="Ђˎ̥" w:cs="宋体"/>
          <w:color w:val="auto"/>
          <w:kern w:val="0"/>
          <w:sz w:val="24"/>
          <w:szCs w:val="24"/>
          <w:highlight w:val="none"/>
          <w:lang w:val="en-US" w:eastAsia="zh-CN" w:bidi="ar-SA"/>
        </w:rPr>
        <w:t>竣工退</w:t>
      </w:r>
      <w:bookmarkEnd w:id="423"/>
      <w:bookmarkEnd w:id="424"/>
      <w:r>
        <w:rPr>
          <w:rFonts w:hint="eastAsia" w:ascii="Times New Roman" w:hAnsi="Times New Roman" w:eastAsia="Ђˎ̥" w:cs="宋体"/>
          <w:color w:val="auto"/>
          <w:kern w:val="0"/>
          <w:sz w:val="24"/>
          <w:szCs w:val="24"/>
          <w:highlight w:val="none"/>
          <w:lang w:val="en-US" w:eastAsia="zh-CN" w:bidi="ar-SA"/>
        </w:rPr>
        <w:t>场</w:t>
      </w:r>
      <w:bookmarkEnd w:id="425"/>
    </w:p>
    <w:bookmarkEnd w:id="426"/>
    <w:p w14:paraId="1019DD2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13.6.1 </w:t>
      </w:r>
      <w:r>
        <w:rPr>
          <w:rFonts w:hint="eastAsia" w:ascii="宋体" w:hAnsi="宋体" w:eastAsia="宋体" w:cs="Times New Roman"/>
          <w:color w:val="auto"/>
          <w:kern w:val="0"/>
          <w:sz w:val="24"/>
          <w:szCs w:val="24"/>
          <w:highlight w:val="none"/>
        </w:rPr>
        <w:t>竣工退场</w:t>
      </w:r>
    </w:p>
    <w:p w14:paraId="0393012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颁发工程接收证书后，承包人应按以下要求对施工现场进行清理：</w:t>
      </w:r>
    </w:p>
    <w:p w14:paraId="2C9716D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）施工现场内残留的垃圾已全部清除出场；</w:t>
      </w:r>
    </w:p>
    <w:p w14:paraId="24C5C7F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）临时工程已拆除，场地已进行清理、平整或复原；</w:t>
      </w:r>
    </w:p>
    <w:p w14:paraId="556B519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）按合同约定应撤离的人员、承包人施工设备和剩余的材料，包括废弃的施工设备和材料，已按计划撤离施工现场；</w:t>
      </w:r>
    </w:p>
    <w:p w14:paraId="6A5E8FF0">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）施工现场周边及其附近道路、河道的施工堆积物，已全部清理；</w:t>
      </w:r>
    </w:p>
    <w:p w14:paraId="090B192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）施工现场其他场地清理工作已全部完成。</w:t>
      </w:r>
    </w:p>
    <w:p w14:paraId="3490E44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104100A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13.6.2 </w:t>
      </w:r>
      <w:r>
        <w:rPr>
          <w:rFonts w:hint="eastAsia" w:ascii="宋体" w:hAnsi="宋体" w:eastAsia="宋体" w:cs="Times New Roman"/>
          <w:color w:val="auto"/>
          <w:kern w:val="0"/>
          <w:sz w:val="24"/>
          <w:szCs w:val="24"/>
          <w:highlight w:val="none"/>
        </w:rPr>
        <w:t>地表还原</w:t>
      </w:r>
    </w:p>
    <w:p w14:paraId="669F858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36366C45">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27" w:name="_Toc17965083"/>
      <w:bookmarkStart w:id="428" w:name="_Toc351203593"/>
      <w:bookmarkStart w:id="429" w:name="_Toc337558810"/>
      <w:bookmarkStart w:id="430" w:name="_Toc296503113"/>
      <w:bookmarkStart w:id="431" w:name="_Toc296346614"/>
      <w:r>
        <w:rPr>
          <w:rFonts w:ascii="Times New Roman" w:hAnsi="Times New Roman" w:eastAsia="黑体" w:cs="Times New Roman"/>
          <w:b/>
          <w:bCs/>
          <w:color w:val="auto"/>
          <w:kern w:val="2"/>
          <w:sz w:val="24"/>
          <w:szCs w:val="24"/>
          <w:highlight w:val="none"/>
          <w:lang w:val="en-US" w:eastAsia="zh-CN" w:bidi="ar-SA"/>
        </w:rPr>
        <w:t xml:space="preserve">14. </w:t>
      </w:r>
      <w:r>
        <w:rPr>
          <w:rFonts w:ascii="Times New Roman" w:hAnsi="Times New Roman" w:eastAsia="黑体" w:cs="宋体"/>
          <w:b/>
          <w:bCs/>
          <w:color w:val="auto"/>
          <w:kern w:val="2"/>
          <w:sz w:val="24"/>
          <w:szCs w:val="24"/>
          <w:highlight w:val="none"/>
          <w:lang w:val="en-US" w:eastAsia="zh-CN" w:bidi="ar-SA"/>
        </w:rPr>
        <w:t>竣工结算</w:t>
      </w:r>
      <w:bookmarkEnd w:id="427"/>
      <w:bookmarkEnd w:id="428"/>
    </w:p>
    <w:bookmarkEnd w:id="429"/>
    <w:p w14:paraId="71AA89B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32" w:name="_Toc351203594"/>
      <w:bookmarkStart w:id="433" w:name="_Toc337558811"/>
      <w:r>
        <w:rPr>
          <w:rFonts w:ascii="Times New Roman" w:hAnsi="Times New Roman" w:eastAsia="Ђˎ̥" w:cs="Times New Roman"/>
          <w:color w:val="auto"/>
          <w:kern w:val="0"/>
          <w:sz w:val="24"/>
          <w:szCs w:val="24"/>
          <w:highlight w:val="none"/>
          <w:lang w:val="en-US" w:eastAsia="zh-CN" w:bidi="ar-SA"/>
        </w:rPr>
        <w:t xml:space="preserve">14.1 </w:t>
      </w:r>
      <w:r>
        <w:rPr>
          <w:rFonts w:hint="eastAsia" w:ascii="Times New Roman" w:hAnsi="Times New Roman" w:eastAsia="Ђˎ̥" w:cs="宋体"/>
          <w:color w:val="auto"/>
          <w:kern w:val="0"/>
          <w:sz w:val="24"/>
          <w:szCs w:val="24"/>
          <w:highlight w:val="none"/>
          <w:lang w:val="en-US" w:eastAsia="zh-CN" w:bidi="ar-SA"/>
        </w:rPr>
        <w:t>竣工结算申请</w:t>
      </w:r>
      <w:bookmarkEnd w:id="432"/>
    </w:p>
    <w:bookmarkEnd w:id="433"/>
    <w:p w14:paraId="018EA57B">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除专用合同条款另有约定外，</w:t>
      </w:r>
      <w:r>
        <w:rPr>
          <w:rFonts w:hint="eastAsia" w:ascii="宋体" w:hAnsi="宋体" w:eastAsia="宋体" w:cs="Times New Roman"/>
          <w:color w:val="auto"/>
          <w:sz w:val="24"/>
          <w:szCs w:val="24"/>
          <w:highlight w:val="none"/>
        </w:rPr>
        <w:t>承包人应在工程竣工验收合格后</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天内向发包人和监理人提交竣工结算申请单，并提交完整的结算资料，有关竣工结算申请单的资料清单和份数等要求由合同当事人在专用合同条款中约定。</w:t>
      </w:r>
    </w:p>
    <w:p w14:paraId="62A60457">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除专用合同条款另有约定外，竣工结算申请单应包括以下内容：</w:t>
      </w:r>
    </w:p>
    <w:p w14:paraId="4B8824FB">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）竣工结算合同价格；</w:t>
      </w:r>
    </w:p>
    <w:p w14:paraId="1F5059E0">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）发包人已支付承包人的款项；</w:t>
      </w:r>
    </w:p>
    <w:p w14:paraId="397C192F">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）应扣留的质量保证金；</w:t>
      </w:r>
      <w:r>
        <w:rPr>
          <w:rFonts w:ascii="宋体" w:hAnsi="宋体" w:eastAsia="宋体" w:cs="Times New Roman"/>
          <w:color w:val="auto"/>
          <w:sz w:val="24"/>
          <w:szCs w:val="24"/>
          <w:highlight w:val="none"/>
        </w:rPr>
        <w:t xml:space="preserve"> </w:t>
      </w:r>
    </w:p>
    <w:p w14:paraId="6E02CC52">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）发包人应支付承包人的合同价款。</w:t>
      </w:r>
    </w:p>
    <w:p w14:paraId="0E07F7F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34" w:name="_Toc351203595"/>
      <w:bookmarkStart w:id="435" w:name="_Toc337558812"/>
      <w:r>
        <w:rPr>
          <w:rFonts w:ascii="Times New Roman" w:hAnsi="Times New Roman" w:eastAsia="Ђˎ̥" w:cs="Times New Roman"/>
          <w:color w:val="auto"/>
          <w:kern w:val="0"/>
          <w:sz w:val="24"/>
          <w:szCs w:val="24"/>
          <w:highlight w:val="none"/>
          <w:lang w:val="en-US" w:eastAsia="zh-CN" w:bidi="ar-SA"/>
        </w:rPr>
        <w:t xml:space="preserve">14.2 </w:t>
      </w:r>
      <w:r>
        <w:rPr>
          <w:rFonts w:hint="eastAsia" w:ascii="Times New Roman" w:hAnsi="Times New Roman" w:eastAsia="Ђˎ̥" w:cs="宋体"/>
          <w:color w:val="auto"/>
          <w:kern w:val="0"/>
          <w:sz w:val="24"/>
          <w:szCs w:val="24"/>
          <w:highlight w:val="none"/>
          <w:lang w:val="en-US" w:eastAsia="zh-CN" w:bidi="ar-SA"/>
        </w:rPr>
        <w:t>竣工结算审核</w:t>
      </w:r>
      <w:bookmarkEnd w:id="434"/>
    </w:p>
    <w:bookmarkEnd w:id="435"/>
    <w:p w14:paraId="75E69EB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）除专用合同条款另有约定外，监理人应在收到竣工结算申请单后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天内完成核查并报送发包人。发包人应在收到监理人提交的经审核的竣工结算申请单后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天内完成审批，并由监理人向承包人签发经发包人签认的竣工付款证书。监理人或</w:t>
      </w:r>
      <w:r>
        <w:rPr>
          <w:rFonts w:hint="eastAsia" w:ascii="宋体" w:hAnsi="宋体" w:eastAsia="宋体" w:cs="Times New Roman"/>
          <w:color w:val="auto"/>
          <w:sz w:val="24"/>
          <w:szCs w:val="24"/>
          <w:highlight w:val="none"/>
        </w:rPr>
        <w:t>发包人对竣工</w:t>
      </w:r>
      <w:r>
        <w:rPr>
          <w:rFonts w:hint="eastAsia" w:ascii="宋体" w:hAnsi="宋体" w:eastAsia="宋体" w:cs="Times New Roman"/>
          <w:color w:val="auto"/>
          <w:kern w:val="0"/>
          <w:sz w:val="24"/>
          <w:szCs w:val="24"/>
          <w:highlight w:val="none"/>
        </w:rPr>
        <w:t>结算</w:t>
      </w:r>
      <w:r>
        <w:rPr>
          <w:rFonts w:hint="eastAsia" w:ascii="宋体" w:hAnsi="宋体" w:eastAsia="宋体" w:cs="Times New Roman"/>
          <w:color w:val="auto"/>
          <w:sz w:val="24"/>
          <w:szCs w:val="24"/>
          <w:highlight w:val="none"/>
        </w:rPr>
        <w:t>申请单有异议的，有权要求承包人进行修正和提供补充资料，承包人应提交修正后的竣工</w:t>
      </w:r>
      <w:r>
        <w:rPr>
          <w:rFonts w:hint="eastAsia" w:ascii="宋体" w:hAnsi="宋体" w:eastAsia="宋体" w:cs="Times New Roman"/>
          <w:color w:val="auto"/>
          <w:kern w:val="0"/>
          <w:sz w:val="24"/>
          <w:szCs w:val="24"/>
          <w:highlight w:val="none"/>
        </w:rPr>
        <w:t>结算</w:t>
      </w:r>
      <w:r>
        <w:rPr>
          <w:rFonts w:hint="eastAsia" w:ascii="宋体" w:hAnsi="宋体" w:eastAsia="宋体" w:cs="Times New Roman"/>
          <w:color w:val="auto"/>
          <w:sz w:val="24"/>
          <w:szCs w:val="24"/>
          <w:highlight w:val="none"/>
        </w:rPr>
        <w:t>申请单。</w:t>
      </w:r>
    </w:p>
    <w:p w14:paraId="2E6D66C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发包人在收到承包人提交竣工结算申请书后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天内未完成审批且未提出异议的，视为发包人认可承包人提交的竣工结算申请单，并自发包人收到承包人提交的竣工结算申请单后第</w:t>
      </w:r>
      <w:r>
        <w:rPr>
          <w:rFonts w:ascii="宋体" w:hAnsi="宋体" w:eastAsia="宋体" w:cs="Times New Roman"/>
          <w:color w:val="auto"/>
          <w:kern w:val="0"/>
          <w:sz w:val="24"/>
          <w:szCs w:val="24"/>
          <w:highlight w:val="none"/>
        </w:rPr>
        <w:t>29</w:t>
      </w:r>
      <w:r>
        <w:rPr>
          <w:rFonts w:hint="eastAsia" w:ascii="宋体" w:hAnsi="宋体" w:eastAsia="宋体" w:cs="Times New Roman"/>
          <w:color w:val="auto"/>
          <w:kern w:val="0"/>
          <w:sz w:val="24"/>
          <w:szCs w:val="24"/>
          <w:highlight w:val="none"/>
        </w:rPr>
        <w:t>天起视为已签发竣工付款证书。</w:t>
      </w:r>
    </w:p>
    <w:p w14:paraId="714893E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）除专用合同条款另有约定外，发包人应在签发竣工付款证书后的</w:t>
      </w:r>
      <w:r>
        <w:rPr>
          <w:rFonts w:ascii="宋体" w:hAnsi="宋体" w:eastAsia="宋体" w:cs="Times New Roman"/>
          <w:color w:val="auto"/>
          <w:kern w:val="0"/>
          <w:sz w:val="24"/>
          <w:szCs w:val="24"/>
          <w:highlight w:val="none"/>
        </w:rPr>
        <w:t xml:space="preserve">14 </w:t>
      </w:r>
      <w:r>
        <w:rPr>
          <w:rFonts w:hint="eastAsia" w:ascii="宋体" w:hAnsi="宋体" w:eastAsia="宋体" w:cs="Times New Roman"/>
          <w:color w:val="auto"/>
          <w:kern w:val="0"/>
          <w:sz w:val="24"/>
          <w:szCs w:val="24"/>
          <w:highlight w:val="none"/>
        </w:rPr>
        <w:t>天内，完成对承包人的竣工付款。发包人逾期支付的，按照中国人民银行发布的同期同类贷款基准利率支付违约金；逾期支付超过</w:t>
      </w:r>
      <w:r>
        <w:rPr>
          <w:rFonts w:ascii="宋体" w:hAnsi="宋体" w:eastAsia="宋体" w:cs="Times New Roman"/>
          <w:color w:val="auto"/>
          <w:kern w:val="0"/>
          <w:sz w:val="24"/>
          <w:szCs w:val="24"/>
          <w:highlight w:val="none"/>
        </w:rPr>
        <w:t>56</w:t>
      </w:r>
      <w:r>
        <w:rPr>
          <w:rFonts w:hint="eastAsia" w:ascii="宋体" w:hAnsi="宋体" w:eastAsia="宋体" w:cs="Times New Roman"/>
          <w:color w:val="auto"/>
          <w:kern w:val="0"/>
          <w:sz w:val="24"/>
          <w:szCs w:val="24"/>
          <w:highlight w:val="none"/>
        </w:rPr>
        <w:t>天的，按照中国人民银行发布的同期同类贷款基准利率的两倍支付违约金。</w:t>
      </w:r>
    </w:p>
    <w:p w14:paraId="79737FB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）承包人对发包人签认的竣工付款证书有异议的，对于有异议部分应在收到发包人签认的竣工付款证书后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天内提出异议，并由合同当事人按照专用合同条款约定的方式和程序进行复核，或按照第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条〔争议解决〕约定处理。对于无异议部分，发包人应签发临时竣工付款证书，并按本款第（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）项完成付款。承包人逾期未提出异议的，视为认可发包人的审批结果。</w:t>
      </w:r>
    </w:p>
    <w:p w14:paraId="3D2017AE">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36" w:name="_Toc351203596"/>
      <w:bookmarkStart w:id="437" w:name="_Toc337558813"/>
      <w:r>
        <w:rPr>
          <w:rFonts w:ascii="Times New Roman" w:hAnsi="Times New Roman" w:eastAsia="Ђˎ̥" w:cs="Times New Roman"/>
          <w:color w:val="auto"/>
          <w:kern w:val="0"/>
          <w:sz w:val="24"/>
          <w:szCs w:val="24"/>
          <w:highlight w:val="none"/>
          <w:lang w:val="en-US" w:eastAsia="zh-CN" w:bidi="ar-SA"/>
        </w:rPr>
        <w:t xml:space="preserve">14.3 </w:t>
      </w:r>
      <w:r>
        <w:rPr>
          <w:rFonts w:hint="eastAsia" w:ascii="Times New Roman" w:hAnsi="Times New Roman" w:eastAsia="Ђˎ̥" w:cs="宋体"/>
          <w:color w:val="auto"/>
          <w:kern w:val="0"/>
          <w:sz w:val="24"/>
          <w:szCs w:val="24"/>
          <w:highlight w:val="none"/>
          <w:lang w:val="en-US" w:eastAsia="zh-CN" w:bidi="ar-SA"/>
        </w:rPr>
        <w:t>甩项竣工协议</w:t>
      </w:r>
      <w:bookmarkEnd w:id="436"/>
    </w:p>
    <w:bookmarkEnd w:id="437"/>
    <w:p w14:paraId="7649507F">
      <w:pPr>
        <w:autoSpaceDE w:val="0"/>
        <w:autoSpaceDN w:val="0"/>
        <w:adjustRightInd w:val="0"/>
        <w:spacing w:line="360" w:lineRule="auto"/>
        <w:ind w:firstLine="470" w:firstLineChars="196"/>
        <w:jc w:val="left"/>
        <w:rPr>
          <w:rFonts w:ascii="宋体" w:hAnsi="宋体" w:eastAsia="宋体" w:cs="Times New Roman"/>
          <w:color w:val="auto"/>
          <w:kern w:val="0"/>
          <w:sz w:val="24"/>
          <w:szCs w:val="24"/>
          <w:highlight w:val="none"/>
        </w:rPr>
      </w:pPr>
      <w:r>
        <w:rPr>
          <w:rFonts w:hint="eastAsia" w:ascii="宋体" w:hAnsi="宋体" w:eastAsia="宋体" w:cs="Times New Roman"/>
          <w:color w:val="auto"/>
          <w:sz w:val="24"/>
          <w:szCs w:val="24"/>
          <w:highlight w:val="none"/>
        </w:rPr>
        <w:t>发包人要求甩项竣工的，合同当事人应签订甩项竣工协议。在甩项竣工协议中应明确，合同当事人按照第</w:t>
      </w:r>
      <w:r>
        <w:rPr>
          <w:rFonts w:ascii="宋体" w:hAnsi="宋体" w:eastAsia="宋体" w:cs="Times New Roman"/>
          <w:color w:val="auto"/>
          <w:sz w:val="24"/>
          <w:szCs w:val="24"/>
          <w:highlight w:val="none"/>
        </w:rPr>
        <w:t>14.1</w:t>
      </w:r>
      <w:r>
        <w:rPr>
          <w:rFonts w:hint="eastAsia" w:ascii="宋体" w:hAnsi="宋体" w:eastAsia="宋体" w:cs="Times New Roman"/>
          <w:color w:val="auto"/>
          <w:sz w:val="24"/>
          <w:szCs w:val="24"/>
          <w:highlight w:val="none"/>
        </w:rPr>
        <w:t>款〔竣工结算申请〕及</w:t>
      </w:r>
      <w:r>
        <w:rPr>
          <w:rFonts w:ascii="宋体" w:hAnsi="宋体" w:eastAsia="宋体" w:cs="Times New Roman"/>
          <w:color w:val="auto"/>
          <w:sz w:val="24"/>
          <w:szCs w:val="24"/>
          <w:highlight w:val="none"/>
        </w:rPr>
        <w:t>14.2</w:t>
      </w:r>
      <w:r>
        <w:rPr>
          <w:rFonts w:hint="eastAsia" w:ascii="宋体" w:hAnsi="宋体" w:eastAsia="宋体" w:cs="Times New Roman"/>
          <w:color w:val="auto"/>
          <w:sz w:val="24"/>
          <w:szCs w:val="24"/>
          <w:highlight w:val="none"/>
        </w:rPr>
        <w:t>款〔竣工结算审核〕的约定，对已完合格工程进行结算，并支付相应合同价款。</w:t>
      </w:r>
    </w:p>
    <w:p w14:paraId="0DA2AD9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38" w:name="_Toc351203597"/>
      <w:bookmarkStart w:id="439" w:name="_Toc337558814"/>
      <w:r>
        <w:rPr>
          <w:rFonts w:ascii="Times New Roman" w:hAnsi="Times New Roman" w:eastAsia="Ђˎ̥" w:cs="Times New Roman"/>
          <w:color w:val="auto"/>
          <w:kern w:val="0"/>
          <w:sz w:val="24"/>
          <w:szCs w:val="24"/>
          <w:highlight w:val="none"/>
          <w:lang w:val="en-US" w:eastAsia="zh-CN" w:bidi="ar-SA"/>
        </w:rPr>
        <w:t xml:space="preserve">14.4 </w:t>
      </w:r>
      <w:r>
        <w:rPr>
          <w:rFonts w:hint="eastAsia" w:ascii="Times New Roman" w:hAnsi="Times New Roman" w:eastAsia="Ђˎ̥" w:cs="宋体"/>
          <w:color w:val="auto"/>
          <w:kern w:val="0"/>
          <w:sz w:val="24"/>
          <w:szCs w:val="24"/>
          <w:highlight w:val="none"/>
          <w:lang w:val="en-US" w:eastAsia="zh-CN" w:bidi="ar-SA"/>
        </w:rPr>
        <w:t>最终结清</w:t>
      </w:r>
      <w:bookmarkEnd w:id="438"/>
    </w:p>
    <w:bookmarkEnd w:id="439"/>
    <w:p w14:paraId="210435B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14.4.1 </w:t>
      </w:r>
      <w:r>
        <w:rPr>
          <w:rFonts w:hint="eastAsia" w:ascii="宋体" w:hAnsi="宋体" w:eastAsia="宋体" w:cs="Times New Roman"/>
          <w:color w:val="auto"/>
          <w:kern w:val="0"/>
          <w:sz w:val="24"/>
          <w:szCs w:val="24"/>
          <w:highlight w:val="none"/>
        </w:rPr>
        <w:t>最终结清申请单</w:t>
      </w:r>
    </w:p>
    <w:p w14:paraId="765A217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）除专用合同条款另有约定外，承包人应在缺陷责任期终止证书颁发后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天内，按专用合同条款约定的份数向发包人提交最终结清申请单，并提供相关证明材料。</w:t>
      </w:r>
    </w:p>
    <w:p w14:paraId="1F4203E7">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w:t>
      </w:r>
      <w:r>
        <w:rPr>
          <w:rFonts w:hint="eastAsia" w:ascii="宋体" w:hAnsi="宋体" w:eastAsia="宋体" w:cs="Times New Roman"/>
          <w:color w:val="auto"/>
          <w:kern w:val="0"/>
          <w:sz w:val="24"/>
          <w:szCs w:val="24"/>
          <w:highlight w:val="none"/>
        </w:rPr>
        <w:t>最终结清申请单</w:t>
      </w:r>
      <w:r>
        <w:rPr>
          <w:rFonts w:hint="eastAsia" w:ascii="宋体" w:hAnsi="宋体" w:eastAsia="宋体" w:cs="Times New Roman"/>
          <w:color w:val="auto"/>
          <w:sz w:val="24"/>
          <w:szCs w:val="24"/>
          <w:highlight w:val="none"/>
        </w:rPr>
        <w:t>应列明质量保证金、应扣除的质量保证金、缺陷责任期内发生的增减费用。</w:t>
      </w:r>
    </w:p>
    <w:p w14:paraId="3795B26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）发包人对最终结清申请单内容有异议的，有权要求承包人进行修正和提供补充资料，承包人应向发包人提交修正后的最终结清申请单。</w:t>
      </w:r>
    </w:p>
    <w:p w14:paraId="6FC23BC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14.4.2 </w:t>
      </w:r>
      <w:r>
        <w:rPr>
          <w:rFonts w:hint="eastAsia" w:ascii="宋体" w:hAnsi="宋体" w:eastAsia="宋体" w:cs="Times New Roman"/>
          <w:color w:val="auto"/>
          <w:kern w:val="0"/>
          <w:sz w:val="24"/>
          <w:szCs w:val="24"/>
          <w:highlight w:val="none"/>
        </w:rPr>
        <w:t>最终结清证书和支付</w:t>
      </w:r>
    </w:p>
    <w:p w14:paraId="720E546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）除专用合同条款另有约定外，发包人应在收到承包人提交的最终结清申请单后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天内完成审批并向承包人颁发最终结清证书。发包人逾期未完成审批，又未提出修改意见的，视为发包人同意承包人提交的最终结清申请单，且自发包人收到承包人提交的最终结清申请单后</w:t>
      </w:r>
      <w:r>
        <w:rPr>
          <w:rFonts w:ascii="宋体" w:hAnsi="宋体" w:eastAsia="宋体" w:cs="Times New Roman"/>
          <w:color w:val="auto"/>
          <w:kern w:val="0"/>
          <w:sz w:val="24"/>
          <w:szCs w:val="24"/>
          <w:highlight w:val="none"/>
        </w:rPr>
        <w:t>15</w:t>
      </w:r>
      <w:r>
        <w:rPr>
          <w:rFonts w:hint="eastAsia" w:ascii="宋体" w:hAnsi="宋体" w:eastAsia="宋体" w:cs="Times New Roman"/>
          <w:color w:val="auto"/>
          <w:kern w:val="0"/>
          <w:sz w:val="24"/>
          <w:szCs w:val="24"/>
          <w:highlight w:val="none"/>
        </w:rPr>
        <w:t>天起视为已颁发最终结清证书。</w:t>
      </w:r>
    </w:p>
    <w:p w14:paraId="36343F9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）除专用合同条款另有约定外，发包人应在颁发最终结清证书后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天内完成支付。发包人逾期支付的，按照中国人民银行发布的同期同类贷款基准利率支付违约金；逾期支付超过</w:t>
      </w:r>
      <w:r>
        <w:rPr>
          <w:rFonts w:ascii="宋体" w:hAnsi="宋体" w:eastAsia="宋体" w:cs="Times New Roman"/>
          <w:color w:val="auto"/>
          <w:kern w:val="0"/>
          <w:sz w:val="24"/>
          <w:szCs w:val="24"/>
          <w:highlight w:val="none"/>
        </w:rPr>
        <w:t>56</w:t>
      </w:r>
      <w:r>
        <w:rPr>
          <w:rFonts w:hint="eastAsia" w:ascii="宋体" w:hAnsi="宋体" w:eastAsia="宋体" w:cs="Times New Roman"/>
          <w:color w:val="auto"/>
          <w:kern w:val="0"/>
          <w:sz w:val="24"/>
          <w:szCs w:val="24"/>
          <w:highlight w:val="none"/>
        </w:rPr>
        <w:t>天的，按照中国人民银行发布的同期同类贷款基准利率的两倍支付违约金。</w:t>
      </w:r>
    </w:p>
    <w:p w14:paraId="661C546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）承包人对发包人颁发的最终结清证书有异议的，按第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条〔争议解决〕的约定办理。</w:t>
      </w:r>
    </w:p>
    <w:p w14:paraId="3E46E240">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40" w:name="_Toc17965084"/>
      <w:bookmarkStart w:id="441" w:name="_Toc351203598"/>
      <w:bookmarkStart w:id="442" w:name="_Toc337558815"/>
      <w:r>
        <w:rPr>
          <w:rFonts w:ascii="Times New Roman" w:hAnsi="Times New Roman" w:eastAsia="黑体" w:cs="Times New Roman"/>
          <w:b/>
          <w:bCs/>
          <w:color w:val="auto"/>
          <w:kern w:val="2"/>
          <w:sz w:val="24"/>
          <w:szCs w:val="24"/>
          <w:highlight w:val="none"/>
          <w:lang w:val="en-US" w:eastAsia="zh-CN" w:bidi="ar-SA"/>
        </w:rPr>
        <w:t>15. 缺陷责任与保修</w:t>
      </w:r>
      <w:bookmarkEnd w:id="440"/>
      <w:bookmarkEnd w:id="441"/>
    </w:p>
    <w:bookmarkEnd w:id="430"/>
    <w:bookmarkEnd w:id="431"/>
    <w:bookmarkEnd w:id="442"/>
    <w:p w14:paraId="32E7D24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43" w:name="_Toc351203599"/>
      <w:bookmarkStart w:id="444" w:name="_Toc337558816"/>
      <w:bookmarkStart w:id="445" w:name="_Toc296346615"/>
      <w:bookmarkStart w:id="446" w:name="_Toc296503114"/>
      <w:r>
        <w:rPr>
          <w:rFonts w:ascii="Times New Roman" w:hAnsi="Times New Roman" w:eastAsia="Ђˎ̥" w:cs="Times New Roman"/>
          <w:color w:val="auto"/>
          <w:kern w:val="0"/>
          <w:sz w:val="24"/>
          <w:szCs w:val="24"/>
          <w:highlight w:val="none"/>
          <w:lang w:val="en-US" w:eastAsia="zh-CN" w:bidi="ar-SA"/>
        </w:rPr>
        <w:t xml:space="preserve">15.1 </w:t>
      </w:r>
      <w:r>
        <w:rPr>
          <w:rFonts w:hint="eastAsia" w:ascii="Times New Roman" w:hAnsi="Times New Roman" w:eastAsia="Ђˎ̥" w:cs="Times New Roman"/>
          <w:color w:val="auto"/>
          <w:kern w:val="0"/>
          <w:sz w:val="24"/>
          <w:szCs w:val="24"/>
          <w:highlight w:val="none"/>
          <w:lang w:val="en-US" w:eastAsia="zh-CN" w:bidi="ar-SA"/>
        </w:rPr>
        <w:t>工程保修的原则</w:t>
      </w:r>
      <w:bookmarkEnd w:id="443"/>
    </w:p>
    <w:bookmarkEnd w:id="444"/>
    <w:p w14:paraId="2CE3C0B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在工程移交发包人后，因承包人原因产生的质量缺陷，承包人应承担质量缺陷责任和保修义务。缺陷责任期届满，承包人仍应按合同约定的工程各部位保修年限承担保修义务。</w:t>
      </w:r>
    </w:p>
    <w:p w14:paraId="1C454248">
      <w:pPr>
        <w:keepNext/>
        <w:keepLines/>
        <w:widowControl/>
        <w:spacing w:before="120" w:after="120" w:line="360" w:lineRule="auto"/>
        <w:jc w:val="center"/>
        <w:outlineLvl w:val="3"/>
        <w:rPr>
          <w:rFonts w:hint="eastAsia" w:ascii="Times New Roman" w:hAnsi="Times New Roman" w:eastAsia="宋体" w:cs="Times New Roman"/>
          <w:color w:val="auto"/>
          <w:kern w:val="0"/>
          <w:sz w:val="24"/>
          <w:szCs w:val="24"/>
          <w:highlight w:val="none"/>
          <w:lang w:val="en-US" w:eastAsia="zh-CN" w:bidi="ar-SA"/>
        </w:rPr>
      </w:pPr>
      <w:bookmarkStart w:id="447" w:name="_Toc351203600"/>
      <w:bookmarkStart w:id="448" w:name="_Toc337558817"/>
      <w:r>
        <w:rPr>
          <w:rFonts w:ascii="Times New Roman" w:hAnsi="Times New Roman" w:eastAsia="Ђˎ̥" w:cs="Times New Roman"/>
          <w:color w:val="auto"/>
          <w:kern w:val="0"/>
          <w:sz w:val="24"/>
          <w:szCs w:val="24"/>
          <w:highlight w:val="none"/>
          <w:lang w:val="en-US" w:eastAsia="zh-CN" w:bidi="ar-SA"/>
        </w:rPr>
        <w:t xml:space="preserve">15.2 </w:t>
      </w:r>
      <w:r>
        <w:rPr>
          <w:rFonts w:hint="eastAsia" w:ascii="Times New Roman" w:hAnsi="Times New Roman" w:eastAsia="Ђˎ̥" w:cs="宋体"/>
          <w:color w:val="auto"/>
          <w:kern w:val="0"/>
          <w:sz w:val="24"/>
          <w:szCs w:val="24"/>
          <w:highlight w:val="none"/>
          <w:lang w:val="en-US" w:eastAsia="zh-CN" w:bidi="ar-SA"/>
        </w:rPr>
        <w:t>缺陷责任期</w:t>
      </w:r>
      <w:bookmarkEnd w:id="445"/>
      <w:bookmarkEnd w:id="446"/>
      <w:bookmarkEnd w:id="447"/>
      <w:r>
        <w:rPr>
          <w:rFonts w:hint="eastAsia" w:ascii="Times New Roman" w:hAnsi="Times New Roman" w:eastAsia="宋体" w:cs="宋体"/>
          <w:color w:val="auto"/>
          <w:kern w:val="0"/>
          <w:sz w:val="24"/>
          <w:szCs w:val="24"/>
          <w:highlight w:val="none"/>
          <w:lang w:val="en-US" w:eastAsia="zh-CN" w:bidi="ar-SA"/>
        </w:rPr>
        <w:t>（如有）</w:t>
      </w:r>
    </w:p>
    <w:bookmarkEnd w:id="448"/>
    <w:p w14:paraId="732E7E5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15.2.1 </w:t>
      </w:r>
      <w:r>
        <w:rPr>
          <w:rFonts w:hint="eastAsia" w:ascii="宋体" w:hAnsi="宋体" w:eastAsia="宋体" w:cs="Times New Roman"/>
          <w:color w:val="auto"/>
          <w:kern w:val="0"/>
          <w:sz w:val="24"/>
          <w:szCs w:val="24"/>
          <w:highlight w:val="none"/>
        </w:rPr>
        <w:t>缺陷责任期自实际竣工日期起计算，合同当事人应在专用合同条款约定缺陷责任期的具体期限，但该期限最长不超过</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个月。</w:t>
      </w:r>
    </w:p>
    <w:p w14:paraId="22EAAF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单位工程先于全部工程进行验收，经验收合格并交付使用的，该单位工程缺陷责任期自单位工程验收合格之日起算。因发包人原因导致工程无法按合同约定期限进行竣工验收的，缺陷责任期自承包人提交竣工验收申请报告之日起开始计算；发包人未经竣工验收擅自使用工程的，缺陷责任期自工程转移占有之日起开始计算。</w:t>
      </w:r>
    </w:p>
    <w:p w14:paraId="0710102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15.2.2 </w:t>
      </w:r>
      <w:r>
        <w:rPr>
          <w:rFonts w:hint="eastAsia" w:ascii="宋体" w:hAnsi="宋体" w:eastAsia="宋体" w:cs="Times New Roman"/>
          <w:color w:val="auto"/>
          <w:kern w:val="0"/>
          <w:sz w:val="24"/>
          <w:szCs w:val="24"/>
          <w:highlight w:val="none"/>
        </w:rPr>
        <w:t>工程竣工验收合格后，因承包人原因导致的缺陷或损坏致使工程、单位工程或某项主要设备不能按原定目的使用的，则发包人有权要求承</w:t>
      </w:r>
      <w:r>
        <w:rPr>
          <w:rFonts w:hint="eastAsia" w:ascii="宋体" w:hAnsi="宋体" w:eastAsia="宋体" w:cs="Times New Roman"/>
          <w:bCs/>
          <w:color w:val="auto"/>
          <w:sz w:val="24"/>
          <w:szCs w:val="24"/>
          <w:highlight w:val="none"/>
        </w:rPr>
        <w:t>包人延长缺陷责任期，</w:t>
      </w:r>
      <w:r>
        <w:rPr>
          <w:rFonts w:hint="eastAsia" w:ascii="宋体" w:hAnsi="宋体" w:eastAsia="宋体" w:cs="Times New Roman"/>
          <w:color w:val="auto"/>
          <w:kern w:val="0"/>
          <w:sz w:val="24"/>
          <w:szCs w:val="24"/>
          <w:highlight w:val="none"/>
        </w:rPr>
        <w:t>并应在原缺陷责任期届满前发出延长通知，</w:t>
      </w:r>
      <w:r>
        <w:rPr>
          <w:rFonts w:hint="eastAsia" w:ascii="宋体" w:hAnsi="宋体" w:eastAsia="宋体" w:cs="Times New Roman"/>
          <w:bCs/>
          <w:color w:val="auto"/>
          <w:sz w:val="24"/>
          <w:szCs w:val="24"/>
          <w:highlight w:val="none"/>
        </w:rPr>
        <w:t>但缺陷责任期最长</w:t>
      </w:r>
      <w:r>
        <w:rPr>
          <w:rFonts w:hint="eastAsia" w:ascii="宋体" w:hAnsi="宋体" w:eastAsia="宋体" w:cs="Times New Roman"/>
          <w:color w:val="auto"/>
          <w:kern w:val="0"/>
          <w:sz w:val="24"/>
          <w:szCs w:val="24"/>
          <w:highlight w:val="none"/>
        </w:rPr>
        <w:t>不能超过</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个月。</w:t>
      </w:r>
    </w:p>
    <w:p w14:paraId="49344E1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15.2.3 </w:t>
      </w:r>
      <w:r>
        <w:rPr>
          <w:rFonts w:hint="eastAsia" w:ascii="宋体" w:hAnsi="宋体" w:eastAsia="宋体" w:cs="Times New Roman"/>
          <w:color w:val="auto"/>
          <w:kern w:val="0"/>
          <w:sz w:val="24"/>
          <w:szCs w:val="24"/>
          <w:highlight w:val="none"/>
        </w:rPr>
        <w:t>任何一项缺陷或损坏修复后，经检查证明其影响了工程或工程设备的使用性能，承包人应重新进行合同约定的试验和试运行，试验和试运行的全部费用应由责任方承担。</w:t>
      </w:r>
    </w:p>
    <w:p w14:paraId="2798B8F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15.2.4 </w:t>
      </w:r>
      <w:r>
        <w:rPr>
          <w:rFonts w:hint="eastAsia" w:ascii="宋体" w:hAnsi="宋体" w:eastAsia="宋体" w:cs="Times New Roman"/>
          <w:color w:val="auto"/>
          <w:kern w:val="0"/>
          <w:sz w:val="24"/>
          <w:szCs w:val="24"/>
          <w:highlight w:val="none"/>
        </w:rPr>
        <w:t>除专用合同条款另有约定外，承包人应于缺陷责任期届满后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天内向发包人发出缺陷责任期届满通知，发包人应在收到缺陷责任期满通知后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天内核实承包人是否履行缺陷修复义务，承包人未能履行缺陷修复义务的，发包人有权扣除相应金额的维修费用。发包人应在收到缺陷责任期届满通知后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天内，向承包人颁发缺陷责任期终止证书。</w:t>
      </w:r>
    </w:p>
    <w:p w14:paraId="42BE1B9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49" w:name="_Toc351203601"/>
      <w:bookmarkStart w:id="450" w:name="_Toc337558818"/>
      <w:bookmarkStart w:id="451" w:name="_Toc296503115"/>
      <w:bookmarkStart w:id="452" w:name="_Toc296346616"/>
      <w:r>
        <w:rPr>
          <w:rFonts w:ascii="Times New Roman" w:hAnsi="Times New Roman" w:eastAsia="Ђˎ̥" w:cs="Times New Roman"/>
          <w:color w:val="auto"/>
          <w:kern w:val="0"/>
          <w:sz w:val="24"/>
          <w:szCs w:val="24"/>
          <w:highlight w:val="none"/>
          <w:lang w:val="en-US" w:eastAsia="zh-CN" w:bidi="ar-SA"/>
        </w:rPr>
        <w:t xml:space="preserve">15.3 </w:t>
      </w:r>
      <w:r>
        <w:rPr>
          <w:rFonts w:hint="eastAsia" w:ascii="Times New Roman" w:hAnsi="Times New Roman" w:eastAsia="Ђˎ̥" w:cs="宋体"/>
          <w:color w:val="auto"/>
          <w:kern w:val="0"/>
          <w:sz w:val="24"/>
          <w:szCs w:val="24"/>
          <w:highlight w:val="none"/>
          <w:lang w:val="en-US" w:eastAsia="zh-CN" w:bidi="ar-SA"/>
        </w:rPr>
        <w:t>质量保证金</w:t>
      </w:r>
      <w:bookmarkEnd w:id="449"/>
    </w:p>
    <w:bookmarkEnd w:id="450"/>
    <w:p w14:paraId="32C04DA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经合同当事人协商一致扣留质量保证金的，应在专用合同条款中予以明确。</w:t>
      </w:r>
    </w:p>
    <w:p w14:paraId="5EAF2D3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15.3.1 </w:t>
      </w:r>
      <w:r>
        <w:rPr>
          <w:rFonts w:hint="eastAsia" w:ascii="宋体" w:hAnsi="宋体" w:eastAsia="宋体" w:cs="Times New Roman"/>
          <w:color w:val="auto"/>
          <w:kern w:val="0"/>
          <w:sz w:val="24"/>
          <w:szCs w:val="24"/>
          <w:highlight w:val="none"/>
        </w:rPr>
        <w:t>承包人提供质量保证金的方式</w:t>
      </w:r>
    </w:p>
    <w:p w14:paraId="72456E0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承包人提供质量保证金有以下三种方式：</w:t>
      </w:r>
    </w:p>
    <w:p w14:paraId="7C2B60B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）质量保证金保函；</w:t>
      </w:r>
      <w:r>
        <w:rPr>
          <w:rFonts w:ascii="宋体" w:hAnsi="宋体" w:eastAsia="宋体" w:cs="Times New Roman"/>
          <w:color w:val="auto"/>
          <w:kern w:val="0"/>
          <w:sz w:val="24"/>
          <w:szCs w:val="24"/>
          <w:highlight w:val="none"/>
        </w:rPr>
        <w:t xml:space="preserve"> </w:t>
      </w:r>
    </w:p>
    <w:p w14:paraId="3022572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）相应比例的工程款；</w:t>
      </w:r>
    </w:p>
    <w:p w14:paraId="5CACE56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）双方约定的其他方式。</w:t>
      </w:r>
    </w:p>
    <w:p w14:paraId="79B799E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除专用合同条款另有约定外，质量保证金原则上采用上述第（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w:t>
      </w:r>
    </w:p>
    <w:p w14:paraId="2C0CF56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15.3.2 </w:t>
      </w:r>
      <w:r>
        <w:rPr>
          <w:rFonts w:hint="eastAsia" w:ascii="宋体" w:hAnsi="宋体" w:eastAsia="宋体" w:cs="Times New Roman"/>
          <w:color w:val="auto"/>
          <w:kern w:val="0"/>
          <w:sz w:val="24"/>
          <w:szCs w:val="24"/>
          <w:highlight w:val="none"/>
        </w:rPr>
        <w:t>质量保证金的扣留</w:t>
      </w:r>
    </w:p>
    <w:p w14:paraId="3260B71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质量保证金的扣留有以下三种方式：</w:t>
      </w:r>
    </w:p>
    <w:p w14:paraId="02F0DF2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）在支付工程进度款时逐次扣留，在此情形下，质量保证金的计算基数不包括预付款的支付、扣回以及价格调整的金额；</w:t>
      </w:r>
    </w:p>
    <w:p w14:paraId="7C1A3B7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）工</w:t>
      </w:r>
      <w:bookmarkStart w:id="453" w:name="#go6"/>
      <w:bookmarkEnd w:id="453"/>
      <w:r>
        <w:rPr>
          <w:rFonts w:hint="eastAsia" w:ascii="宋体" w:hAnsi="宋体" w:eastAsia="宋体" w:cs="Times New Roman"/>
          <w:color w:val="auto"/>
          <w:kern w:val="0"/>
          <w:sz w:val="24"/>
          <w:szCs w:val="24"/>
          <w:highlight w:val="none"/>
        </w:rPr>
        <w:t>程竣工结算时一次性扣留质量保证金；</w:t>
      </w:r>
    </w:p>
    <w:p w14:paraId="5A7F8A7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）双方约定的其他扣留方式。</w:t>
      </w:r>
    </w:p>
    <w:p w14:paraId="1C28614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除专用合同条款另有约定外，质量保证金的扣留原则上采用上述第（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w:t>
      </w:r>
    </w:p>
    <w:p w14:paraId="51C52A4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w:t>
      </w:r>
      <w:bookmarkStart w:id="454" w:name="#go4"/>
      <w:bookmarkEnd w:id="454"/>
      <w:r>
        <w:rPr>
          <w:rFonts w:hint="eastAsia" w:ascii="宋体" w:hAnsi="宋体" w:eastAsia="宋体" w:cs="Times New Roman"/>
          <w:color w:val="auto"/>
          <w:kern w:val="0"/>
          <w:sz w:val="24"/>
          <w:szCs w:val="24"/>
          <w:highlight w:val="none"/>
        </w:rPr>
        <w:t>包人累计扣留的质量保证金不得超过结算合同价格的</w:t>
      </w:r>
      <w:r>
        <w:rPr>
          <w:rFonts w:hint="eastAsia" w:ascii="宋体" w:hAnsi="宋体" w:eastAsia="宋体" w:cs="Times New Roman"/>
          <w:color w:val="auto"/>
          <w:kern w:val="0"/>
          <w:sz w:val="24"/>
          <w:szCs w:val="24"/>
          <w:highlight w:val="none"/>
          <w:u w:val="single"/>
          <w:lang w:val="en-US" w:eastAsia="zh-CN"/>
        </w:rPr>
        <w:t xml:space="preserve"> </w:t>
      </w:r>
      <w:r>
        <w:rPr>
          <w:rFonts w:hint="eastAsia" w:ascii="宋体" w:hAnsi="宋体" w:eastAsia="宋体" w:cs="Times New Roman"/>
          <w:color w:val="auto"/>
          <w:sz w:val="24"/>
          <w:szCs w:val="24"/>
          <w:highlight w:val="none"/>
          <w:u w:val="single"/>
        </w:rPr>
        <w:t>/</w:t>
      </w:r>
      <w:r>
        <w:rPr>
          <w:rFonts w:hint="eastAsia" w:ascii="宋体" w:hAnsi="宋体" w:eastAsia="宋体" w:cs="Times New Roman"/>
          <w:color w:val="auto"/>
          <w:kern w:val="0"/>
          <w:sz w:val="24"/>
          <w:szCs w:val="24"/>
          <w:highlight w:val="none"/>
          <w:u w:val="single"/>
          <w:lang w:val="en-US" w:eastAsia="zh-CN"/>
        </w:rPr>
        <w:t xml:space="preserve"> </w:t>
      </w:r>
      <w:r>
        <w:rPr>
          <w:rFonts w:ascii="宋体" w:hAnsi="宋体" w:eastAsia="宋体" w:cs="Times New Roman"/>
          <w:color w:val="auto"/>
          <w:kern w:val="0"/>
          <w:sz w:val="24"/>
          <w:szCs w:val="24"/>
          <w:highlight w:val="none"/>
          <w:u w:val="none"/>
        </w:rPr>
        <w:t>%</w:t>
      </w:r>
      <w:r>
        <w:rPr>
          <w:rFonts w:hint="eastAsia" w:ascii="宋体" w:hAnsi="宋体" w:eastAsia="宋体" w:cs="Times New Roman"/>
          <w:color w:val="auto"/>
          <w:kern w:val="0"/>
          <w:sz w:val="24"/>
          <w:szCs w:val="24"/>
          <w:highlight w:val="none"/>
        </w:rPr>
        <w:t>，如承包人在发包人签发竣工付款证书后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天内提交质量保证金保函，发包人应同时退还扣留的作为质量保证金的工程价款。</w:t>
      </w:r>
    </w:p>
    <w:p w14:paraId="19EE3BA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15.3.3 </w:t>
      </w:r>
      <w:r>
        <w:rPr>
          <w:rFonts w:hint="eastAsia" w:ascii="宋体" w:hAnsi="宋体" w:eastAsia="宋体" w:cs="Times New Roman"/>
          <w:color w:val="auto"/>
          <w:sz w:val="24"/>
          <w:szCs w:val="24"/>
          <w:highlight w:val="none"/>
        </w:rPr>
        <w:t>质量保证金</w:t>
      </w:r>
      <w:r>
        <w:rPr>
          <w:rFonts w:hint="eastAsia" w:ascii="宋体" w:hAnsi="宋体" w:eastAsia="宋体" w:cs="Times New Roman"/>
          <w:color w:val="auto"/>
          <w:kern w:val="0"/>
          <w:sz w:val="24"/>
          <w:szCs w:val="24"/>
          <w:highlight w:val="none"/>
        </w:rPr>
        <w:t>的退还</w:t>
      </w:r>
    </w:p>
    <w:p w14:paraId="40F88E7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w:t>
      </w:r>
      <w:r>
        <w:rPr>
          <w:rFonts w:ascii="宋体" w:hAnsi="宋体" w:eastAsia="宋体" w:cs="Times New Roman"/>
          <w:color w:val="auto"/>
          <w:kern w:val="0"/>
          <w:sz w:val="24"/>
          <w:szCs w:val="24"/>
          <w:highlight w:val="none"/>
        </w:rPr>
        <w:t>14.4</w:t>
      </w:r>
      <w:r>
        <w:rPr>
          <w:rFonts w:hint="eastAsia" w:ascii="宋体" w:hAnsi="宋体" w:eastAsia="宋体" w:cs="Times New Roman"/>
          <w:color w:val="auto"/>
          <w:kern w:val="0"/>
          <w:sz w:val="24"/>
          <w:szCs w:val="24"/>
          <w:highlight w:val="none"/>
        </w:rPr>
        <w:t>款〔最终结清〕的约定退还质量保证金。</w:t>
      </w:r>
    </w:p>
    <w:p w14:paraId="46B762B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55" w:name="_Toc351203602"/>
      <w:bookmarkStart w:id="456" w:name="_Toc337558819"/>
      <w:r>
        <w:rPr>
          <w:rFonts w:ascii="Times New Roman" w:hAnsi="Times New Roman" w:eastAsia="Ђˎ̥" w:cs="Times New Roman"/>
          <w:color w:val="auto"/>
          <w:kern w:val="0"/>
          <w:sz w:val="24"/>
          <w:szCs w:val="24"/>
          <w:highlight w:val="none"/>
          <w:lang w:val="en-US" w:eastAsia="zh-CN" w:bidi="ar-SA"/>
        </w:rPr>
        <w:t xml:space="preserve">15.4 </w:t>
      </w:r>
      <w:r>
        <w:rPr>
          <w:rFonts w:hint="eastAsia" w:ascii="Times New Roman" w:hAnsi="Times New Roman" w:eastAsia="Ђˎ̥" w:cs="宋体"/>
          <w:color w:val="auto"/>
          <w:kern w:val="0"/>
          <w:sz w:val="24"/>
          <w:szCs w:val="24"/>
          <w:highlight w:val="none"/>
          <w:lang w:val="en-US" w:eastAsia="zh-CN" w:bidi="ar-SA"/>
        </w:rPr>
        <w:t>保修</w:t>
      </w:r>
      <w:bookmarkEnd w:id="455"/>
    </w:p>
    <w:bookmarkEnd w:id="451"/>
    <w:bookmarkEnd w:id="452"/>
    <w:bookmarkEnd w:id="456"/>
    <w:p w14:paraId="226E35BE">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15.4.1</w:t>
      </w:r>
      <w:r>
        <w:rPr>
          <w:rFonts w:hint="eastAsia" w:ascii="宋体" w:hAnsi="宋体" w:eastAsia="宋体" w:cs="Times New Roman"/>
          <w:color w:val="auto"/>
          <w:kern w:val="0"/>
          <w:sz w:val="24"/>
          <w:szCs w:val="24"/>
          <w:highlight w:val="none"/>
        </w:rPr>
        <w:t>保修责任</w:t>
      </w:r>
    </w:p>
    <w:p w14:paraId="6F23E39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7FA3F798">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发包人未经竣工验收擅自使用工程的，保修期自</w:t>
      </w:r>
      <w:r>
        <w:rPr>
          <w:rFonts w:hint="eastAsia" w:ascii="宋体" w:hAnsi="宋体" w:eastAsia="宋体" w:cs="Times New Roman"/>
          <w:color w:val="auto"/>
          <w:kern w:val="0"/>
          <w:sz w:val="24"/>
          <w:szCs w:val="24"/>
          <w:highlight w:val="none"/>
        </w:rPr>
        <w:t>转移占有之日起算</w:t>
      </w:r>
      <w:r>
        <w:rPr>
          <w:rFonts w:hint="eastAsia" w:ascii="宋体" w:hAnsi="宋体" w:eastAsia="宋体" w:cs="Times New Roman"/>
          <w:color w:val="auto"/>
          <w:sz w:val="24"/>
          <w:szCs w:val="24"/>
          <w:highlight w:val="none"/>
        </w:rPr>
        <w:t>。</w:t>
      </w:r>
    </w:p>
    <w:p w14:paraId="32A67A9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15.4.2 </w:t>
      </w:r>
      <w:r>
        <w:rPr>
          <w:rFonts w:hint="eastAsia" w:ascii="宋体" w:hAnsi="宋体" w:eastAsia="宋体" w:cs="Times New Roman"/>
          <w:color w:val="auto"/>
          <w:kern w:val="0"/>
          <w:sz w:val="24"/>
          <w:szCs w:val="24"/>
          <w:highlight w:val="none"/>
        </w:rPr>
        <w:t>修复费用</w:t>
      </w:r>
    </w:p>
    <w:p w14:paraId="2C39BC0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保修期内，修复的费用按照以下约定处理：</w:t>
      </w:r>
    </w:p>
    <w:p w14:paraId="12F0E1E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）保修期内，因承包人原因造成工程的缺陷、损坏，承包人应负责修复，并承担修复的费用以及因工程的缺陷、损坏造成的人身伤害和财产损失；</w:t>
      </w:r>
    </w:p>
    <w:p w14:paraId="317913C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）保修期内，因发包人使用不当造成工程的缺陷、损坏，可以委托承包人修复，但发包人应承担修复的费用，并支付承包人合理利润；</w:t>
      </w:r>
    </w:p>
    <w:p w14:paraId="2179259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）因其他原因造成工程的缺陷、损坏，可以委托承包人修复，发包人应承担修复的费用，并支付承包人合理的利润，因工程的缺陷、损坏造成的人身伤害和财产损失由责任方承担。</w:t>
      </w:r>
    </w:p>
    <w:p w14:paraId="68D63210">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15.4.3 </w:t>
      </w:r>
      <w:r>
        <w:rPr>
          <w:rFonts w:hint="eastAsia" w:ascii="宋体" w:hAnsi="宋体" w:eastAsia="宋体" w:cs="Times New Roman"/>
          <w:color w:val="auto"/>
          <w:kern w:val="0"/>
          <w:sz w:val="24"/>
          <w:szCs w:val="24"/>
          <w:highlight w:val="none"/>
        </w:rPr>
        <w:t>修复通知</w:t>
      </w:r>
    </w:p>
    <w:p w14:paraId="31E26530">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在保修期内，发包人在使用过程中，发现已接收的工程存在缺陷或损坏的，应书面通知承包人予以修复，但情况紧急必须立即修复缺陷或损坏的，发包人可以口头通知承包人并在口头通知后</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小时内书面确认，承包人应在专用合同条款约定的合理期限内到达工程现场并修复缺陷或损坏。</w:t>
      </w:r>
    </w:p>
    <w:p w14:paraId="3DE9816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15.4.4 </w:t>
      </w:r>
      <w:r>
        <w:rPr>
          <w:rFonts w:hint="eastAsia" w:ascii="宋体" w:hAnsi="宋体" w:eastAsia="宋体" w:cs="Times New Roman"/>
          <w:color w:val="auto"/>
          <w:kern w:val="0"/>
          <w:sz w:val="24"/>
          <w:szCs w:val="24"/>
          <w:highlight w:val="none"/>
        </w:rPr>
        <w:t>未能修复</w:t>
      </w:r>
    </w:p>
    <w:p w14:paraId="12319AF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9206911">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15.4.5 </w:t>
      </w:r>
      <w:r>
        <w:rPr>
          <w:rFonts w:hint="eastAsia" w:ascii="宋体" w:hAnsi="宋体" w:eastAsia="宋体" w:cs="Times New Roman"/>
          <w:color w:val="auto"/>
          <w:kern w:val="0"/>
          <w:sz w:val="24"/>
          <w:szCs w:val="24"/>
          <w:highlight w:val="none"/>
        </w:rPr>
        <w:t>承包人出入权</w:t>
      </w:r>
    </w:p>
    <w:p w14:paraId="4531483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在保修期内，为了修复缺陷或损坏，承包人有权出入工程现场，除情况紧急必须立即修复缺陷或损坏外，承包人应提前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小时通知发包人进场修复的时间。承包人进入工程现场前应获得发包人同意，且不应影响发包人正常的生产经营，并应遵守发包人有关保安和保密等规定。</w:t>
      </w:r>
    </w:p>
    <w:p w14:paraId="6C4C78AF">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57" w:name="_Toc351203603"/>
      <w:bookmarkStart w:id="458" w:name="_Toc17965085"/>
      <w:bookmarkStart w:id="459" w:name="_Toc337558820"/>
      <w:r>
        <w:rPr>
          <w:rFonts w:ascii="Times New Roman" w:hAnsi="Times New Roman" w:eastAsia="黑体" w:cs="Times New Roman"/>
          <w:b/>
          <w:bCs/>
          <w:color w:val="auto"/>
          <w:kern w:val="2"/>
          <w:sz w:val="24"/>
          <w:szCs w:val="24"/>
          <w:highlight w:val="none"/>
          <w:lang w:val="en-US" w:eastAsia="zh-CN" w:bidi="ar-SA"/>
        </w:rPr>
        <w:t xml:space="preserve">16. </w:t>
      </w:r>
      <w:r>
        <w:rPr>
          <w:rFonts w:ascii="Times New Roman" w:hAnsi="Times New Roman" w:eastAsia="黑体" w:cs="宋体"/>
          <w:b/>
          <w:bCs/>
          <w:color w:val="auto"/>
          <w:kern w:val="2"/>
          <w:sz w:val="24"/>
          <w:szCs w:val="24"/>
          <w:highlight w:val="none"/>
          <w:lang w:val="en-US" w:eastAsia="zh-CN" w:bidi="ar-SA"/>
        </w:rPr>
        <w:t>违约</w:t>
      </w:r>
      <w:bookmarkEnd w:id="457"/>
      <w:bookmarkEnd w:id="458"/>
    </w:p>
    <w:bookmarkEnd w:id="459"/>
    <w:p w14:paraId="0618D9A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60" w:name="_Toc296503129"/>
      <w:bookmarkStart w:id="461" w:name="_Toc296346630"/>
      <w:bookmarkStart w:id="462" w:name="_Toc351203604"/>
      <w:bookmarkStart w:id="463" w:name="_Toc337558821"/>
      <w:r>
        <w:rPr>
          <w:rFonts w:ascii="Times New Roman" w:hAnsi="Times New Roman" w:eastAsia="Ђˎ̥" w:cs="Times New Roman"/>
          <w:color w:val="auto"/>
          <w:kern w:val="0"/>
          <w:sz w:val="24"/>
          <w:szCs w:val="24"/>
          <w:highlight w:val="none"/>
          <w:lang w:val="en-US" w:eastAsia="zh-CN" w:bidi="ar-SA"/>
        </w:rPr>
        <w:t xml:space="preserve">16.1 </w:t>
      </w:r>
      <w:r>
        <w:rPr>
          <w:rFonts w:hint="eastAsia" w:ascii="Times New Roman" w:hAnsi="Times New Roman" w:eastAsia="Ђˎ̥" w:cs="宋体"/>
          <w:color w:val="auto"/>
          <w:kern w:val="0"/>
          <w:sz w:val="24"/>
          <w:szCs w:val="24"/>
          <w:highlight w:val="none"/>
          <w:lang w:val="en-US" w:eastAsia="zh-CN" w:bidi="ar-SA"/>
        </w:rPr>
        <w:t>发</w:t>
      </w:r>
      <w:bookmarkEnd w:id="460"/>
      <w:bookmarkEnd w:id="461"/>
      <w:r>
        <w:rPr>
          <w:rFonts w:hint="eastAsia" w:ascii="Times New Roman" w:hAnsi="Times New Roman" w:eastAsia="Ђˎ̥" w:cs="宋体"/>
          <w:color w:val="auto"/>
          <w:kern w:val="0"/>
          <w:sz w:val="24"/>
          <w:szCs w:val="24"/>
          <w:highlight w:val="none"/>
          <w:lang w:val="en-US" w:eastAsia="zh-CN" w:bidi="ar-SA"/>
        </w:rPr>
        <w:t>包人违约</w:t>
      </w:r>
      <w:bookmarkEnd w:id="462"/>
    </w:p>
    <w:bookmarkEnd w:id="463"/>
    <w:p w14:paraId="69A4437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16.1.1 </w:t>
      </w:r>
      <w:r>
        <w:rPr>
          <w:rFonts w:hint="eastAsia" w:ascii="宋体" w:hAnsi="宋体" w:eastAsia="宋体" w:cs="Times New Roman"/>
          <w:color w:val="auto"/>
          <w:kern w:val="0"/>
          <w:sz w:val="24"/>
          <w:szCs w:val="24"/>
          <w:highlight w:val="none"/>
        </w:rPr>
        <w:t>发包人违约的情形</w:t>
      </w:r>
    </w:p>
    <w:p w14:paraId="142890F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在合同履行过程中发生的下列情形，属于发包人违约：</w:t>
      </w:r>
    </w:p>
    <w:p w14:paraId="11D0875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）因发包人原因未能在计划开工日期前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天内下达开工通知的；</w:t>
      </w:r>
    </w:p>
    <w:p w14:paraId="61086B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）因发包人原因未能按合同约定支付合同价款的；</w:t>
      </w:r>
    </w:p>
    <w:p w14:paraId="5C320DF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）发包人违反第</w:t>
      </w:r>
      <w:r>
        <w:rPr>
          <w:rFonts w:ascii="宋体" w:hAnsi="宋体" w:eastAsia="宋体" w:cs="Times New Roman"/>
          <w:color w:val="auto"/>
          <w:kern w:val="0"/>
          <w:sz w:val="24"/>
          <w:szCs w:val="24"/>
          <w:highlight w:val="none"/>
        </w:rPr>
        <w:t>10.1</w:t>
      </w:r>
      <w:r>
        <w:rPr>
          <w:rFonts w:hint="eastAsia" w:ascii="宋体" w:hAnsi="宋体" w:eastAsia="宋体" w:cs="Times New Roman"/>
          <w:color w:val="auto"/>
          <w:kern w:val="0"/>
          <w:sz w:val="24"/>
          <w:szCs w:val="24"/>
          <w:highlight w:val="none"/>
        </w:rPr>
        <w:t>款〔变更的范围〕第（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）项约定，自行实施被取消的工作或转由他人实施的；</w:t>
      </w:r>
    </w:p>
    <w:p w14:paraId="19072FC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）发包人提供的材料、工程设备的规格、数量或质量不符合合同约定，或因发包人原因导致交货日期延误或交货地点变更等情况的；</w:t>
      </w:r>
    </w:p>
    <w:p w14:paraId="01B2E6D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）因发包人违反合同约定造成暂停施工的；</w:t>
      </w:r>
    </w:p>
    <w:p w14:paraId="5238D8D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）发包人无正当理由没有在约定期限内发出复工指示，导致承包人无法复工的；</w:t>
      </w:r>
    </w:p>
    <w:p w14:paraId="6894CBE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）发包人明确表示或者以其行为表明不履行合同主要义务的；</w:t>
      </w:r>
    </w:p>
    <w:p w14:paraId="3496A47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8</w:t>
      </w:r>
      <w:r>
        <w:rPr>
          <w:rFonts w:hint="eastAsia" w:ascii="宋体" w:hAnsi="宋体" w:eastAsia="宋体" w:cs="Times New Roman"/>
          <w:color w:val="auto"/>
          <w:kern w:val="0"/>
          <w:sz w:val="24"/>
          <w:szCs w:val="24"/>
          <w:highlight w:val="none"/>
        </w:rPr>
        <w:t>）发包人未能按照合同约定履行其他义务的。</w:t>
      </w:r>
    </w:p>
    <w:p w14:paraId="64642B1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发包人发生除本项第（</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）目以外的违约情况时，承包人可向发包人发出通知，要求发包人采取有效措施纠正违约行为。发包人收到承包人通知后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天内仍不纠正违约行为的，承包人有权暂停相应部位工程施工，并通知监理人。</w:t>
      </w:r>
    </w:p>
    <w:p w14:paraId="207669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16.1.2 </w:t>
      </w:r>
      <w:r>
        <w:rPr>
          <w:rFonts w:hint="eastAsia" w:ascii="宋体" w:hAnsi="宋体" w:eastAsia="宋体" w:cs="Times New Roman"/>
          <w:color w:val="auto"/>
          <w:kern w:val="0"/>
          <w:sz w:val="24"/>
          <w:szCs w:val="24"/>
          <w:highlight w:val="none"/>
        </w:rPr>
        <w:t>发包人违约的责任</w:t>
      </w:r>
    </w:p>
    <w:p w14:paraId="2DAE6EB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发包人应承担因其违约给承包人增加的费用和（或）延误的工期，并支付承包人合理的利润。此外，合同当事人可在专用合同条款中另行约定发包人违约责任的承担方式和计算方法。</w:t>
      </w:r>
    </w:p>
    <w:p w14:paraId="5B482C8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16.1.3 </w:t>
      </w:r>
      <w:r>
        <w:rPr>
          <w:rFonts w:hint="eastAsia" w:ascii="宋体" w:hAnsi="宋体" w:eastAsia="宋体" w:cs="Times New Roman"/>
          <w:color w:val="auto"/>
          <w:kern w:val="0"/>
          <w:sz w:val="24"/>
          <w:szCs w:val="24"/>
          <w:highlight w:val="none"/>
        </w:rPr>
        <w:t>因发包人违约解除合同</w:t>
      </w:r>
    </w:p>
    <w:p w14:paraId="2B0DB10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除专用合同条款另有约定外，承包人按第</w:t>
      </w:r>
      <w:r>
        <w:rPr>
          <w:rFonts w:ascii="宋体" w:hAnsi="宋体" w:eastAsia="宋体" w:cs="Times New Roman"/>
          <w:color w:val="auto"/>
          <w:kern w:val="0"/>
          <w:sz w:val="24"/>
          <w:szCs w:val="24"/>
          <w:highlight w:val="none"/>
        </w:rPr>
        <w:t>16.1.1</w:t>
      </w:r>
      <w:r>
        <w:rPr>
          <w:rFonts w:hint="eastAsia" w:ascii="宋体" w:hAnsi="宋体" w:eastAsia="宋体" w:cs="Times New Roman"/>
          <w:color w:val="auto"/>
          <w:kern w:val="0"/>
          <w:sz w:val="24"/>
          <w:szCs w:val="24"/>
          <w:highlight w:val="none"/>
        </w:rPr>
        <w:t>项〔发包人违约的情形〕约定暂停施工满</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天后，发包人仍不纠正其违约行为并致使合同目的不能实现的，或出现第</w:t>
      </w:r>
      <w:r>
        <w:rPr>
          <w:rFonts w:ascii="宋体" w:hAnsi="宋体" w:eastAsia="宋体" w:cs="Times New Roman"/>
          <w:color w:val="auto"/>
          <w:kern w:val="0"/>
          <w:sz w:val="24"/>
          <w:szCs w:val="24"/>
          <w:highlight w:val="none"/>
        </w:rPr>
        <w:t>16.1.1</w:t>
      </w:r>
      <w:r>
        <w:rPr>
          <w:rFonts w:hint="eastAsia" w:ascii="宋体" w:hAnsi="宋体" w:eastAsia="宋体" w:cs="Times New Roman"/>
          <w:color w:val="auto"/>
          <w:kern w:val="0"/>
          <w:sz w:val="24"/>
          <w:szCs w:val="24"/>
          <w:highlight w:val="none"/>
        </w:rPr>
        <w:t>项〔发包人违约的情形〕第（</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）目约定的违约情况，承包人有权解除合同，发包人应承担由此增加的费用，并支付承包人合理的利润。</w:t>
      </w:r>
    </w:p>
    <w:p w14:paraId="72C7331C">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16.1.4 </w:t>
      </w:r>
      <w:r>
        <w:rPr>
          <w:rFonts w:hint="eastAsia" w:ascii="宋体" w:hAnsi="宋体" w:eastAsia="宋体" w:cs="Times New Roman"/>
          <w:color w:val="auto"/>
          <w:kern w:val="0"/>
          <w:sz w:val="24"/>
          <w:szCs w:val="24"/>
          <w:highlight w:val="none"/>
        </w:rPr>
        <w:t>因发包人违约解除合同后的付款</w:t>
      </w:r>
    </w:p>
    <w:p w14:paraId="79E7C9E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承包人按照本款约定解除合同的，发包人应在解除合同后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天内支付下列款项，并解除履约担保：</w:t>
      </w:r>
    </w:p>
    <w:p w14:paraId="0555B35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）合同解除前所完成工作的价款；</w:t>
      </w:r>
    </w:p>
    <w:p w14:paraId="1F82FB7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）承包人为工程施工订购并已付款的材料、工程设备和其他物品的价款；</w:t>
      </w:r>
    </w:p>
    <w:p w14:paraId="3AB0576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）承包人撤离施工现场以及遣散承包人人员的款项；</w:t>
      </w:r>
    </w:p>
    <w:p w14:paraId="4024465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）按照合同约定在合同解除前应支付的违约金；</w:t>
      </w:r>
    </w:p>
    <w:p w14:paraId="2D848DA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）按照合同约定应当支付给承包人的其他款项；</w:t>
      </w:r>
    </w:p>
    <w:p w14:paraId="362AF60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）按照合同约定应退还的质量保证金；</w:t>
      </w:r>
    </w:p>
    <w:p w14:paraId="1AB15A3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）因解除合同给承包人造成的损失。</w:t>
      </w:r>
    </w:p>
    <w:p w14:paraId="3ACCB3E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合同当事人未能就解除合同后的结清达成一致的，按照第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条〔争议解决〕的约定处理。</w:t>
      </w:r>
    </w:p>
    <w:p w14:paraId="05CD54B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承包人应妥善做好已完工程和与工程有关的已购材料、工程设备的保护和移交工作，并将施工设备和人员撤出施工现场，发包人应为承包人撤出提供必要条件。</w:t>
      </w:r>
    </w:p>
    <w:p w14:paraId="6CDCF26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64" w:name="_Toc351203605"/>
      <w:bookmarkStart w:id="465" w:name="_Toc337558822"/>
      <w:bookmarkStart w:id="466" w:name="_Toc296503131"/>
      <w:bookmarkStart w:id="467" w:name="_Toc296346632"/>
      <w:r>
        <w:rPr>
          <w:rFonts w:ascii="Times New Roman" w:hAnsi="Times New Roman" w:eastAsia="Ђˎ̥" w:cs="Times New Roman"/>
          <w:color w:val="auto"/>
          <w:kern w:val="0"/>
          <w:sz w:val="24"/>
          <w:szCs w:val="24"/>
          <w:highlight w:val="none"/>
          <w:lang w:val="en-US" w:eastAsia="zh-CN" w:bidi="ar-SA"/>
        </w:rPr>
        <w:t xml:space="preserve">16.2 </w:t>
      </w:r>
      <w:r>
        <w:rPr>
          <w:rFonts w:hint="eastAsia" w:ascii="Times New Roman" w:hAnsi="Times New Roman" w:eastAsia="Ђˎ̥" w:cs="宋体"/>
          <w:color w:val="auto"/>
          <w:kern w:val="0"/>
          <w:sz w:val="24"/>
          <w:szCs w:val="24"/>
          <w:highlight w:val="none"/>
          <w:lang w:val="en-US" w:eastAsia="zh-CN" w:bidi="ar-SA"/>
        </w:rPr>
        <w:t>承包人违约</w:t>
      </w:r>
      <w:bookmarkEnd w:id="464"/>
    </w:p>
    <w:bookmarkEnd w:id="465"/>
    <w:bookmarkEnd w:id="466"/>
    <w:bookmarkEnd w:id="467"/>
    <w:p w14:paraId="11F2EA2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16.2.1 </w:t>
      </w:r>
      <w:r>
        <w:rPr>
          <w:rFonts w:hint="eastAsia" w:ascii="宋体" w:hAnsi="宋体" w:eastAsia="宋体" w:cs="Times New Roman"/>
          <w:color w:val="auto"/>
          <w:kern w:val="0"/>
          <w:sz w:val="24"/>
          <w:szCs w:val="24"/>
          <w:highlight w:val="none"/>
        </w:rPr>
        <w:t>承包人违约的情形</w:t>
      </w:r>
    </w:p>
    <w:p w14:paraId="37E8D52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在合同履行过程中发生的下列情形，属于承包人违约：</w:t>
      </w:r>
    </w:p>
    <w:p w14:paraId="3263B78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）承包人违反合同约定进行转包或违法分包的；</w:t>
      </w:r>
    </w:p>
    <w:p w14:paraId="1EC270B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）承包人违反合同约定采购和使用不合格的材料和工程设备的；</w:t>
      </w:r>
    </w:p>
    <w:p w14:paraId="198D85D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）因承包人原因导致工程质量不符合合同要求的；</w:t>
      </w:r>
      <w:r>
        <w:rPr>
          <w:rFonts w:ascii="宋体" w:hAnsi="宋体" w:eastAsia="宋体" w:cs="Times New Roman"/>
          <w:color w:val="auto"/>
          <w:kern w:val="0"/>
          <w:sz w:val="24"/>
          <w:szCs w:val="24"/>
          <w:highlight w:val="none"/>
        </w:rPr>
        <w:t xml:space="preserve"> </w:t>
      </w:r>
    </w:p>
    <w:p w14:paraId="72700BA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）承包人违反第</w:t>
      </w:r>
      <w:r>
        <w:rPr>
          <w:rFonts w:ascii="宋体" w:hAnsi="宋体" w:eastAsia="宋体" w:cs="Times New Roman"/>
          <w:color w:val="auto"/>
          <w:kern w:val="0"/>
          <w:sz w:val="24"/>
          <w:szCs w:val="24"/>
          <w:highlight w:val="none"/>
        </w:rPr>
        <w:t>8.9</w:t>
      </w:r>
      <w:r>
        <w:rPr>
          <w:rFonts w:hint="eastAsia" w:ascii="宋体" w:hAnsi="宋体" w:eastAsia="宋体" w:cs="Times New Roman"/>
          <w:color w:val="auto"/>
          <w:kern w:val="0"/>
          <w:sz w:val="24"/>
          <w:szCs w:val="24"/>
          <w:highlight w:val="none"/>
        </w:rPr>
        <w:t>款〔材料与设备专用要求〕的约定，未经批准，私自将已按照合同约定进入施工现场的材料或设备撤离施工现场的；</w:t>
      </w:r>
    </w:p>
    <w:p w14:paraId="4C7F152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）承包人未能按施工进度计划及时完成合同约定的工作，造成工期延误的；</w:t>
      </w:r>
    </w:p>
    <w:p w14:paraId="5660203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）承包人在缺陷责任期及保修期内，未能在合理期限对工程缺陷进行修复，或拒绝按发包人要求进行修复的；</w:t>
      </w:r>
    </w:p>
    <w:p w14:paraId="2288BA6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）承包人明确表示或者以其行为表明不履行合同主要义务的；</w:t>
      </w:r>
    </w:p>
    <w:p w14:paraId="5CA89B2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8</w:t>
      </w:r>
      <w:r>
        <w:rPr>
          <w:rFonts w:hint="eastAsia" w:ascii="宋体" w:hAnsi="宋体" w:eastAsia="宋体" w:cs="Times New Roman"/>
          <w:color w:val="auto"/>
          <w:kern w:val="0"/>
          <w:sz w:val="24"/>
          <w:szCs w:val="24"/>
          <w:highlight w:val="none"/>
        </w:rPr>
        <w:t>）承包人未能按照合同约定履行其他义务的。</w:t>
      </w:r>
    </w:p>
    <w:p w14:paraId="1B66546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承包人发生除本项第（</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）目约定以外的其他违约情况时，监理人可向承包人发出整改通知，要求其在指定的期限内改正。</w:t>
      </w:r>
    </w:p>
    <w:p w14:paraId="730BEDE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16.2.2 </w:t>
      </w:r>
      <w:r>
        <w:rPr>
          <w:rFonts w:hint="eastAsia" w:ascii="宋体" w:hAnsi="宋体" w:eastAsia="宋体" w:cs="Times New Roman"/>
          <w:color w:val="auto"/>
          <w:kern w:val="0"/>
          <w:sz w:val="24"/>
          <w:szCs w:val="24"/>
          <w:highlight w:val="none"/>
        </w:rPr>
        <w:t>承包人违约的责任</w:t>
      </w:r>
    </w:p>
    <w:p w14:paraId="75B0162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承包人应承担因其违约行为而增加的费用和（或）延误的工期。此外，合同当事人可在专用合同条款中另行约定承包人违约责任的承担方式和计算方法。</w:t>
      </w:r>
    </w:p>
    <w:p w14:paraId="06A6E52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16.2.3 </w:t>
      </w:r>
      <w:r>
        <w:rPr>
          <w:rFonts w:hint="eastAsia" w:ascii="宋体" w:hAnsi="宋体" w:eastAsia="宋体" w:cs="Times New Roman"/>
          <w:color w:val="auto"/>
          <w:kern w:val="0"/>
          <w:sz w:val="24"/>
          <w:szCs w:val="24"/>
          <w:highlight w:val="none"/>
        </w:rPr>
        <w:t>因承包人违约解除合同</w:t>
      </w:r>
    </w:p>
    <w:p w14:paraId="7069B7D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除专用合同条款另有约定外，出现第</w:t>
      </w:r>
      <w:r>
        <w:rPr>
          <w:rFonts w:ascii="宋体" w:hAnsi="宋体" w:eastAsia="宋体" w:cs="Times New Roman"/>
          <w:color w:val="auto"/>
          <w:kern w:val="0"/>
          <w:sz w:val="24"/>
          <w:szCs w:val="24"/>
          <w:highlight w:val="none"/>
        </w:rPr>
        <w:t>16.2.1</w:t>
      </w:r>
      <w:r>
        <w:rPr>
          <w:rFonts w:hint="eastAsia" w:ascii="宋体" w:hAnsi="宋体" w:eastAsia="宋体" w:cs="Times New Roman"/>
          <w:color w:val="auto"/>
          <w:kern w:val="0"/>
          <w:sz w:val="24"/>
          <w:szCs w:val="24"/>
          <w:highlight w:val="none"/>
        </w:rPr>
        <w:t>项〔承包人违约的情形〕第（</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3D9F267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16.2.4</w:t>
      </w:r>
      <w:r>
        <w:rPr>
          <w:rFonts w:hint="eastAsia" w:ascii="宋体" w:hAnsi="宋体" w:eastAsia="宋体" w:cs="Times New Roman"/>
          <w:color w:val="auto"/>
          <w:kern w:val="0"/>
          <w:sz w:val="24"/>
          <w:szCs w:val="24"/>
          <w:highlight w:val="none"/>
        </w:rPr>
        <w:t>因承包人违约解除合同后的处理</w:t>
      </w:r>
    </w:p>
    <w:p w14:paraId="141BC2B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因承包人原因导致合同解除的，则合同当事人应在合同解除后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天内完成估价、付款和清算，并按以下约定执行：</w:t>
      </w:r>
    </w:p>
    <w:p w14:paraId="5CB7248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）合同解除后，按第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款〔商定或确定〕商定或确定承包人实际完成工作对应的合同价款，以及承包人已提供的材料、工程设备、施工设备和临时工程等的价值；</w:t>
      </w:r>
    </w:p>
    <w:p w14:paraId="72963B0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）合同解除后，承包人应支付的违约金；</w:t>
      </w:r>
    </w:p>
    <w:p w14:paraId="1858BCB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）合同解除后，因解除合同给发包人造成的损失；</w:t>
      </w:r>
    </w:p>
    <w:p w14:paraId="70A914A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）合同解除后，承包人应按照发包人要求和监理人的指示完成现场的清理和撤离；</w:t>
      </w:r>
    </w:p>
    <w:p w14:paraId="4F73759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）发包人和承包人应在合同解除后进行清算，出具最终结清付款证书，结清全部款项。</w:t>
      </w:r>
    </w:p>
    <w:p w14:paraId="21F2E20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因承包人违约解除合同的，发包人有权暂停对承包人的付款，查清各项付款和已扣款项。发包人和承包人未能就合同解除后的清算和款项支付达成一致的，按照第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条〔争议解决〕的约定处理。</w:t>
      </w:r>
    </w:p>
    <w:p w14:paraId="6CAFB890">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16.2.5</w:t>
      </w:r>
      <w:r>
        <w:rPr>
          <w:rFonts w:hint="eastAsia" w:ascii="宋体" w:hAnsi="宋体" w:eastAsia="宋体" w:cs="Times New Roman"/>
          <w:color w:val="auto"/>
          <w:kern w:val="0"/>
          <w:sz w:val="24"/>
          <w:szCs w:val="24"/>
          <w:highlight w:val="none"/>
        </w:rPr>
        <w:t>采购合同权益转让</w:t>
      </w:r>
    </w:p>
    <w:p w14:paraId="364D0A0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因承包人违约解除合同的，发包人有权要求承包人将其为实施合同而签订的材料和设备的采购合同的权益转让给发包人，承包人应在收到解除合同通知后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天内，协助发包人与采购合同的供应商达成相关的转让协议。</w:t>
      </w:r>
    </w:p>
    <w:p w14:paraId="0D040F5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68" w:name="_Toc351203606"/>
      <w:r>
        <w:rPr>
          <w:rFonts w:ascii="Times New Roman" w:hAnsi="Times New Roman" w:eastAsia="Ђˎ̥" w:cs="Times New Roman"/>
          <w:color w:val="auto"/>
          <w:kern w:val="0"/>
          <w:sz w:val="24"/>
          <w:szCs w:val="24"/>
          <w:highlight w:val="none"/>
          <w:lang w:val="en-US" w:eastAsia="zh-CN" w:bidi="ar-SA"/>
        </w:rPr>
        <w:t xml:space="preserve">16.3 </w:t>
      </w:r>
      <w:r>
        <w:rPr>
          <w:rFonts w:hint="eastAsia" w:ascii="Times New Roman" w:hAnsi="Times New Roman" w:eastAsia="Ђˎ̥" w:cs="Times New Roman"/>
          <w:color w:val="auto"/>
          <w:kern w:val="0"/>
          <w:sz w:val="24"/>
          <w:szCs w:val="24"/>
          <w:highlight w:val="none"/>
          <w:lang w:val="en-US" w:eastAsia="zh-CN" w:bidi="ar-SA"/>
        </w:rPr>
        <w:t>第三人造成的违约</w:t>
      </w:r>
      <w:bookmarkEnd w:id="468"/>
    </w:p>
    <w:p w14:paraId="6E0CBD6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在履行合同过程中，一方当事人因第三人的原因造成违约的，应当向对方当事人承担违约责任。一方当事人和第三人之间的纠纷，依照法律规定或者按照约定解决。</w:t>
      </w:r>
    </w:p>
    <w:p w14:paraId="6AD6C4D2">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69" w:name="_Toc17965086"/>
      <w:bookmarkStart w:id="470" w:name="_Toc351203607"/>
      <w:bookmarkStart w:id="471" w:name="_Toc296503116"/>
      <w:bookmarkStart w:id="472" w:name="_Toc296346617"/>
      <w:bookmarkStart w:id="473" w:name="_Toc337558823"/>
      <w:r>
        <w:rPr>
          <w:rFonts w:ascii="Times New Roman" w:hAnsi="Times New Roman" w:eastAsia="黑体" w:cs="Times New Roman"/>
          <w:b/>
          <w:bCs/>
          <w:color w:val="auto"/>
          <w:kern w:val="2"/>
          <w:sz w:val="24"/>
          <w:szCs w:val="24"/>
          <w:highlight w:val="none"/>
          <w:lang w:val="en-US" w:eastAsia="zh-CN" w:bidi="ar-SA"/>
        </w:rPr>
        <w:t xml:space="preserve">17. </w:t>
      </w:r>
      <w:r>
        <w:rPr>
          <w:rFonts w:ascii="Times New Roman" w:hAnsi="Times New Roman" w:eastAsia="黑体" w:cs="宋体"/>
          <w:b/>
          <w:bCs/>
          <w:color w:val="auto"/>
          <w:kern w:val="2"/>
          <w:sz w:val="24"/>
          <w:szCs w:val="24"/>
          <w:highlight w:val="none"/>
          <w:lang w:val="en-US" w:eastAsia="zh-CN" w:bidi="ar-SA"/>
        </w:rPr>
        <w:t>不可抗力</w:t>
      </w:r>
      <w:bookmarkEnd w:id="469"/>
      <w:bookmarkEnd w:id="470"/>
      <w:r>
        <w:rPr>
          <w:rFonts w:ascii="Times New Roman" w:hAnsi="Times New Roman" w:eastAsia="黑体" w:cs="Times New Roman"/>
          <w:b/>
          <w:bCs/>
          <w:color w:val="auto"/>
          <w:kern w:val="2"/>
          <w:sz w:val="24"/>
          <w:szCs w:val="24"/>
          <w:highlight w:val="none"/>
          <w:lang w:val="en-US" w:eastAsia="zh-CN" w:bidi="ar-SA"/>
        </w:rPr>
        <w:t xml:space="preserve"> </w:t>
      </w:r>
      <w:bookmarkEnd w:id="471"/>
      <w:bookmarkEnd w:id="472"/>
      <w:bookmarkEnd w:id="473"/>
    </w:p>
    <w:p w14:paraId="4646196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74" w:name="_Toc351203608"/>
      <w:bookmarkStart w:id="475" w:name="_Toc296346618"/>
      <w:bookmarkStart w:id="476" w:name="_Toc296503117"/>
      <w:bookmarkStart w:id="477" w:name="_Toc337558824"/>
      <w:r>
        <w:rPr>
          <w:rFonts w:ascii="Times New Roman" w:hAnsi="Times New Roman" w:eastAsia="Ђˎ̥" w:cs="Times New Roman"/>
          <w:color w:val="auto"/>
          <w:kern w:val="0"/>
          <w:sz w:val="24"/>
          <w:szCs w:val="24"/>
          <w:highlight w:val="none"/>
          <w:lang w:val="en-US" w:eastAsia="zh-CN" w:bidi="ar-SA"/>
        </w:rPr>
        <w:t xml:space="preserve">17.1 </w:t>
      </w:r>
      <w:r>
        <w:rPr>
          <w:rFonts w:hint="eastAsia" w:ascii="Times New Roman" w:hAnsi="Times New Roman" w:eastAsia="Ђˎ̥" w:cs="Times New Roman"/>
          <w:color w:val="auto"/>
          <w:kern w:val="0"/>
          <w:sz w:val="24"/>
          <w:szCs w:val="24"/>
          <w:highlight w:val="none"/>
          <w:lang w:val="en-US" w:eastAsia="zh-CN" w:bidi="ar-SA"/>
        </w:rPr>
        <w:t>不可抗力的确认</w:t>
      </w:r>
      <w:bookmarkEnd w:id="474"/>
    </w:p>
    <w:bookmarkEnd w:id="475"/>
    <w:bookmarkEnd w:id="476"/>
    <w:bookmarkEnd w:id="477"/>
    <w:p w14:paraId="5D12386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7F5D9CC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不可抗力发生后，发包人和承包人应收集证明不可抗力发生及不可抗力造成损失的证据，并及时认真统计所造成的损失。合同当事人对是否属于不可抗力或其损失的意见不一致的，由监理人按第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款〔商定或确定〕的约定处理。发生争议时，按第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条〔争议解决〕的约定处理。</w:t>
      </w:r>
    </w:p>
    <w:p w14:paraId="5620CC58">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78" w:name="_Toc351203609"/>
      <w:bookmarkStart w:id="479" w:name="_Toc296346619"/>
      <w:bookmarkStart w:id="480" w:name="_Toc337558825"/>
      <w:bookmarkStart w:id="481" w:name="_Toc296503118"/>
      <w:r>
        <w:rPr>
          <w:rFonts w:ascii="Times New Roman" w:hAnsi="Times New Roman" w:eastAsia="Ђˎ̥" w:cs="Times New Roman"/>
          <w:color w:val="auto"/>
          <w:kern w:val="0"/>
          <w:sz w:val="24"/>
          <w:szCs w:val="24"/>
          <w:highlight w:val="none"/>
          <w:lang w:val="en-US" w:eastAsia="zh-CN" w:bidi="ar-SA"/>
        </w:rPr>
        <w:t xml:space="preserve">17.2 </w:t>
      </w:r>
      <w:r>
        <w:rPr>
          <w:rFonts w:hint="eastAsia" w:ascii="Times New Roman" w:hAnsi="Times New Roman" w:eastAsia="Ђˎ̥" w:cs="Times New Roman"/>
          <w:color w:val="auto"/>
          <w:kern w:val="0"/>
          <w:sz w:val="24"/>
          <w:szCs w:val="24"/>
          <w:highlight w:val="none"/>
          <w:lang w:val="en-US" w:eastAsia="zh-CN" w:bidi="ar-SA"/>
        </w:rPr>
        <w:t>不可抗力的通知</w:t>
      </w:r>
      <w:bookmarkEnd w:id="478"/>
    </w:p>
    <w:bookmarkEnd w:id="479"/>
    <w:bookmarkEnd w:id="480"/>
    <w:bookmarkEnd w:id="481"/>
    <w:p w14:paraId="48A02DB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合同一方当事人遇到不可抗力事件，使其履行合同义务受到阻碍时，应立即通知合同另一方当事人和监理人，书面说明不可抗力和受阻碍的详细情况，并提供必要的证明。</w:t>
      </w:r>
    </w:p>
    <w:p w14:paraId="22874FD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不可抗力持续发生的，合同一方当事人应及时向合同另一方当事人和监理人提交中间报告，说明不可抗力和履行合同受阻的情况，并于不可抗力事件结束后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天内提交最终报告及有关资料。</w:t>
      </w:r>
    </w:p>
    <w:p w14:paraId="0915ABB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82" w:name="_Toc351203610"/>
      <w:bookmarkStart w:id="483" w:name="_Toc337558826"/>
      <w:bookmarkStart w:id="484" w:name="_Toc296346620"/>
      <w:bookmarkStart w:id="485" w:name="_Toc296503119"/>
      <w:r>
        <w:rPr>
          <w:rFonts w:ascii="Times New Roman" w:hAnsi="Times New Roman" w:eastAsia="Ђˎ̥" w:cs="Times New Roman"/>
          <w:color w:val="auto"/>
          <w:kern w:val="0"/>
          <w:sz w:val="24"/>
          <w:szCs w:val="24"/>
          <w:highlight w:val="none"/>
          <w:lang w:val="en-US" w:eastAsia="zh-CN" w:bidi="ar-SA"/>
        </w:rPr>
        <w:t xml:space="preserve">17.3 </w:t>
      </w:r>
      <w:r>
        <w:rPr>
          <w:rFonts w:hint="eastAsia" w:ascii="Times New Roman" w:hAnsi="Times New Roman" w:eastAsia="Ђˎ̥" w:cs="Times New Roman"/>
          <w:color w:val="auto"/>
          <w:kern w:val="0"/>
          <w:sz w:val="24"/>
          <w:szCs w:val="24"/>
          <w:highlight w:val="none"/>
          <w:lang w:val="en-US" w:eastAsia="zh-CN" w:bidi="ar-SA"/>
        </w:rPr>
        <w:t>不可抗力后果的承担</w:t>
      </w:r>
      <w:bookmarkEnd w:id="482"/>
    </w:p>
    <w:bookmarkEnd w:id="483"/>
    <w:bookmarkEnd w:id="484"/>
    <w:bookmarkEnd w:id="485"/>
    <w:p w14:paraId="159CB5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17.3.1 </w:t>
      </w:r>
      <w:r>
        <w:rPr>
          <w:rFonts w:hint="eastAsia" w:ascii="宋体" w:hAnsi="宋体" w:eastAsia="宋体" w:cs="Times New Roman"/>
          <w:color w:val="auto"/>
          <w:kern w:val="0"/>
          <w:sz w:val="24"/>
          <w:szCs w:val="24"/>
          <w:highlight w:val="none"/>
        </w:rPr>
        <w:t>不可抗力引起的后果及造成的损失由合同当事人按照法律规定及合同约定各自承担。不可抗力发生前已完成的工程应当按照合同约定进行计量支付。</w:t>
      </w:r>
    </w:p>
    <w:p w14:paraId="366C223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17.3.2 </w:t>
      </w:r>
      <w:r>
        <w:rPr>
          <w:rFonts w:hint="eastAsia" w:ascii="宋体" w:hAnsi="宋体" w:eastAsia="宋体" w:cs="Times New Roman"/>
          <w:color w:val="auto"/>
          <w:kern w:val="0"/>
          <w:sz w:val="24"/>
          <w:szCs w:val="24"/>
          <w:highlight w:val="none"/>
        </w:rPr>
        <w:t>不可抗力导致的人员伤亡、财产损失、费用增加和（或）工期延误等后果，由合同当事人按以下原则承担：</w:t>
      </w:r>
    </w:p>
    <w:p w14:paraId="636FEE2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）永久工程、已运至施工现场的材料和工程设备的损坏，以及因工程损坏造成的第三人人员伤亡和财产损失由发包人承担；</w:t>
      </w:r>
    </w:p>
    <w:p w14:paraId="7DD8E16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）承包人施工设备的损坏由承包人承担；</w:t>
      </w:r>
    </w:p>
    <w:p w14:paraId="39D6960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）发包人和承包人承担各自人员伤亡和财产的损失；</w:t>
      </w:r>
    </w:p>
    <w:p w14:paraId="238274B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）因不可抗力影响承包人履行合同约定的义务，已经引起或将引起工期延误的，应当顺延工期，由此导致承包人停工的费用损失由发包人和承包人合理分担，停工期间必须支付的工人工资由发包人承担；</w:t>
      </w:r>
    </w:p>
    <w:p w14:paraId="61455B8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）因不可抗力引起或将引起工期延误，发包人要求赶工的，由此增加的赶工费用由发包人承担；</w:t>
      </w:r>
    </w:p>
    <w:p w14:paraId="5DB73CA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）承包人在停工期间按照发包人要求照管、清理和修复工程的费用由发包人承担。</w:t>
      </w:r>
    </w:p>
    <w:p w14:paraId="63B66E4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不可抗力发生后，合同当事人均应采取措施尽量避免和减少损失的扩大，任何一方当事人没有采取有效措施导致损失扩大的，应对扩大的损失承担责任。</w:t>
      </w:r>
    </w:p>
    <w:p w14:paraId="2F8BD47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因合同一方迟延履行合同义务，在迟延履行期间遭遇不可抗力的，不免除其违约责任。</w:t>
      </w:r>
    </w:p>
    <w:p w14:paraId="3AA49E1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86" w:name="_Toc351203611"/>
      <w:bookmarkStart w:id="487" w:name="_Toc337558827"/>
      <w:r>
        <w:rPr>
          <w:rFonts w:ascii="Times New Roman" w:hAnsi="Times New Roman" w:eastAsia="Ђˎ̥" w:cs="Times New Roman"/>
          <w:color w:val="auto"/>
          <w:kern w:val="0"/>
          <w:sz w:val="24"/>
          <w:szCs w:val="24"/>
          <w:highlight w:val="none"/>
          <w:lang w:val="en-US" w:eastAsia="zh-CN" w:bidi="ar-SA"/>
        </w:rPr>
        <w:t xml:space="preserve">17.4 </w:t>
      </w:r>
      <w:r>
        <w:rPr>
          <w:rFonts w:hint="eastAsia" w:ascii="Times New Roman" w:hAnsi="Times New Roman" w:eastAsia="Ђˎ̥" w:cs="Times New Roman"/>
          <w:color w:val="auto"/>
          <w:kern w:val="0"/>
          <w:sz w:val="24"/>
          <w:szCs w:val="24"/>
          <w:highlight w:val="none"/>
          <w:lang w:val="en-US" w:eastAsia="zh-CN" w:bidi="ar-SA"/>
        </w:rPr>
        <w:t>因不可抗力解除合同</w:t>
      </w:r>
      <w:bookmarkEnd w:id="486"/>
    </w:p>
    <w:bookmarkEnd w:id="487"/>
    <w:p w14:paraId="1A14B7D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因不可抗力导致合同无法履行连续超过</w:t>
      </w:r>
      <w:r>
        <w:rPr>
          <w:rFonts w:ascii="宋体" w:hAnsi="宋体" w:eastAsia="宋体" w:cs="Times New Roman"/>
          <w:color w:val="auto"/>
          <w:kern w:val="0"/>
          <w:sz w:val="24"/>
          <w:szCs w:val="24"/>
          <w:highlight w:val="none"/>
        </w:rPr>
        <w:t>84</w:t>
      </w:r>
      <w:r>
        <w:rPr>
          <w:rFonts w:hint="eastAsia" w:ascii="宋体" w:hAnsi="宋体" w:eastAsia="宋体" w:cs="Times New Roman"/>
          <w:color w:val="auto"/>
          <w:kern w:val="0"/>
          <w:sz w:val="24"/>
          <w:szCs w:val="24"/>
          <w:highlight w:val="none"/>
        </w:rPr>
        <w:t>天或累计超过</w:t>
      </w:r>
      <w:r>
        <w:rPr>
          <w:rFonts w:ascii="宋体" w:hAnsi="宋体" w:eastAsia="宋体" w:cs="Times New Roman"/>
          <w:color w:val="auto"/>
          <w:kern w:val="0"/>
          <w:sz w:val="24"/>
          <w:szCs w:val="24"/>
          <w:highlight w:val="none"/>
        </w:rPr>
        <w:t>140</w:t>
      </w:r>
      <w:r>
        <w:rPr>
          <w:rFonts w:hint="eastAsia" w:ascii="宋体" w:hAnsi="宋体" w:eastAsia="宋体" w:cs="Times New Roman"/>
          <w:color w:val="auto"/>
          <w:kern w:val="0"/>
          <w:sz w:val="24"/>
          <w:szCs w:val="24"/>
          <w:highlight w:val="none"/>
        </w:rPr>
        <w:t>天的，发包人和承包人均有权解除合同。合同解除后，由双方当事人按照第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款〔商定或确定〕商定或确定发包人应支付的款项，该款项包括：</w:t>
      </w:r>
    </w:p>
    <w:p w14:paraId="77548B4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）合同解除前承包人已完成工作的价款；</w:t>
      </w:r>
    </w:p>
    <w:p w14:paraId="1B95DE5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）承包人为工程订购的并已交付给承包人，或承包人有责任接受交付的材料、工程设备和其他物品的价款；</w:t>
      </w:r>
    </w:p>
    <w:p w14:paraId="3532147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）发包人要求承包人退货或解除订货合同而产生的费用，或因不能退货或解除合同而产生的损失；</w:t>
      </w:r>
    </w:p>
    <w:p w14:paraId="61A19A9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）承包人撤离施工现场以及遣散承包人人员的费用；</w:t>
      </w:r>
    </w:p>
    <w:p w14:paraId="328C8FE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）按照合同约定在合同解除前应支付给承包人的其他款项；</w:t>
      </w:r>
    </w:p>
    <w:p w14:paraId="6EF5A0A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）扣减承包人按照合同约定应向发包人支付的款项；</w:t>
      </w:r>
    </w:p>
    <w:p w14:paraId="21C3827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）双方商定或确定的其他款项。</w:t>
      </w:r>
    </w:p>
    <w:p w14:paraId="6D789BC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除专用合同条款另有约定外，合同解除后，发包人应在商定或确定上述款项后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天内完成上述款项的支付。</w:t>
      </w:r>
    </w:p>
    <w:p w14:paraId="7A4EF033">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88" w:name="_Toc351203612"/>
      <w:bookmarkStart w:id="489" w:name="_Toc17965087"/>
      <w:bookmarkStart w:id="490" w:name="_Toc337558828"/>
      <w:bookmarkStart w:id="491" w:name="_Toc296346621"/>
      <w:bookmarkStart w:id="492" w:name="_Toc296503120"/>
      <w:r>
        <w:rPr>
          <w:rFonts w:ascii="Times New Roman" w:hAnsi="Times New Roman" w:eastAsia="黑体" w:cs="Times New Roman"/>
          <w:b/>
          <w:bCs/>
          <w:color w:val="auto"/>
          <w:kern w:val="2"/>
          <w:sz w:val="24"/>
          <w:szCs w:val="24"/>
          <w:highlight w:val="none"/>
          <w:lang w:val="en-US" w:eastAsia="zh-CN" w:bidi="ar-SA"/>
        </w:rPr>
        <w:t xml:space="preserve">18. </w:t>
      </w:r>
      <w:r>
        <w:rPr>
          <w:rFonts w:ascii="Times New Roman" w:hAnsi="Times New Roman" w:eastAsia="黑体" w:cs="宋体"/>
          <w:b/>
          <w:bCs/>
          <w:color w:val="auto"/>
          <w:kern w:val="2"/>
          <w:sz w:val="24"/>
          <w:szCs w:val="24"/>
          <w:highlight w:val="none"/>
          <w:lang w:val="en-US" w:eastAsia="zh-CN" w:bidi="ar-SA"/>
        </w:rPr>
        <w:t>保险</w:t>
      </w:r>
      <w:bookmarkEnd w:id="488"/>
      <w:bookmarkEnd w:id="489"/>
    </w:p>
    <w:bookmarkEnd w:id="490"/>
    <w:bookmarkEnd w:id="491"/>
    <w:bookmarkEnd w:id="492"/>
    <w:p w14:paraId="5A70AF0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93" w:name="_Toc351203613"/>
      <w:bookmarkStart w:id="494" w:name="_Toc296346622"/>
      <w:bookmarkStart w:id="495" w:name="_Toc337558829"/>
      <w:bookmarkStart w:id="496" w:name="_Toc296503121"/>
      <w:r>
        <w:rPr>
          <w:rFonts w:ascii="Times New Roman" w:hAnsi="Times New Roman" w:eastAsia="Ђˎ̥" w:cs="Times New Roman"/>
          <w:color w:val="auto"/>
          <w:kern w:val="0"/>
          <w:sz w:val="24"/>
          <w:szCs w:val="24"/>
          <w:highlight w:val="none"/>
          <w:lang w:val="en-US" w:eastAsia="zh-CN" w:bidi="ar-SA"/>
        </w:rPr>
        <w:t xml:space="preserve">18.1 </w:t>
      </w:r>
      <w:r>
        <w:rPr>
          <w:rFonts w:hint="eastAsia" w:ascii="Times New Roman" w:hAnsi="Times New Roman" w:eastAsia="Ђˎ̥" w:cs="宋体"/>
          <w:color w:val="auto"/>
          <w:kern w:val="0"/>
          <w:sz w:val="24"/>
          <w:szCs w:val="24"/>
          <w:highlight w:val="none"/>
          <w:lang w:val="en-US" w:eastAsia="zh-CN" w:bidi="ar-SA"/>
        </w:rPr>
        <w:t>工程保险</w:t>
      </w:r>
      <w:bookmarkEnd w:id="493"/>
    </w:p>
    <w:bookmarkEnd w:id="494"/>
    <w:bookmarkEnd w:id="495"/>
    <w:bookmarkEnd w:id="496"/>
    <w:p w14:paraId="3BB314B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除专用合同条款另有约定外，发包人应投保建筑工程一切险或安装工程一切险；发包人委托承包人投保的，因投保产生的保险费和其他相关费用由发包人承担。</w:t>
      </w:r>
    </w:p>
    <w:p w14:paraId="63B47227">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97" w:name="_Toc351203614"/>
      <w:bookmarkStart w:id="498" w:name="_Toc296346623"/>
      <w:bookmarkStart w:id="499" w:name="_Toc337558830"/>
      <w:bookmarkStart w:id="500" w:name="_Toc296503122"/>
      <w:r>
        <w:rPr>
          <w:rFonts w:ascii="Times New Roman" w:hAnsi="Times New Roman" w:eastAsia="Ђˎ̥" w:cs="Times New Roman"/>
          <w:color w:val="auto"/>
          <w:kern w:val="0"/>
          <w:sz w:val="24"/>
          <w:szCs w:val="24"/>
          <w:highlight w:val="none"/>
          <w:lang w:val="en-US" w:eastAsia="zh-CN" w:bidi="ar-SA"/>
        </w:rPr>
        <w:t xml:space="preserve">18.2 </w:t>
      </w:r>
      <w:r>
        <w:rPr>
          <w:rFonts w:hint="eastAsia" w:ascii="Times New Roman" w:hAnsi="Times New Roman" w:eastAsia="Ђˎ̥" w:cs="宋体"/>
          <w:color w:val="auto"/>
          <w:kern w:val="0"/>
          <w:sz w:val="24"/>
          <w:szCs w:val="24"/>
          <w:highlight w:val="none"/>
          <w:lang w:val="en-US" w:eastAsia="zh-CN" w:bidi="ar-SA"/>
        </w:rPr>
        <w:t>工伤保险</w:t>
      </w:r>
      <w:bookmarkEnd w:id="497"/>
    </w:p>
    <w:bookmarkEnd w:id="498"/>
    <w:bookmarkEnd w:id="499"/>
    <w:bookmarkEnd w:id="500"/>
    <w:p w14:paraId="6DE1D06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18.2.1 </w:t>
      </w:r>
      <w:r>
        <w:rPr>
          <w:rFonts w:hint="eastAsia" w:ascii="宋体" w:hAnsi="宋体" w:eastAsia="宋体" w:cs="Times New Roman"/>
          <w:color w:val="auto"/>
          <w:kern w:val="0"/>
          <w:sz w:val="24"/>
          <w:szCs w:val="24"/>
          <w:highlight w:val="none"/>
        </w:rPr>
        <w:t>发包人应依照法律规定参加工伤保险，并为在施工现场的全部员工办理工伤保险，缴纳工伤保险费，并要求监理人及由发包人为履行合同聘请的第三方依法参加工伤保险。</w:t>
      </w:r>
    </w:p>
    <w:p w14:paraId="1139749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18.2.2 </w:t>
      </w:r>
      <w:r>
        <w:rPr>
          <w:rFonts w:hint="eastAsia" w:ascii="宋体" w:hAnsi="宋体" w:eastAsia="宋体" w:cs="Times New Roman"/>
          <w:color w:val="auto"/>
          <w:kern w:val="0"/>
          <w:sz w:val="24"/>
          <w:szCs w:val="24"/>
          <w:highlight w:val="none"/>
        </w:rPr>
        <w:t>承包人应依照法律规定参加工伤保险，并为其履行合同的全部员工办理工伤保险，缴纳工伤保险费，并要求分包人及由承包人为履行合同聘请的第三方依法参加工伤保险。</w:t>
      </w:r>
    </w:p>
    <w:p w14:paraId="5A4B683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01" w:name="_Toc351203615"/>
      <w:bookmarkStart w:id="502" w:name="_Toc296346626"/>
      <w:bookmarkStart w:id="503" w:name="_Toc337558831"/>
      <w:bookmarkStart w:id="504" w:name="_Toc296503125"/>
      <w:r>
        <w:rPr>
          <w:rFonts w:ascii="Times New Roman" w:hAnsi="Times New Roman" w:eastAsia="Ђˎ̥" w:cs="Times New Roman"/>
          <w:color w:val="auto"/>
          <w:kern w:val="0"/>
          <w:sz w:val="24"/>
          <w:szCs w:val="24"/>
          <w:highlight w:val="none"/>
          <w:lang w:val="en-US" w:eastAsia="zh-CN" w:bidi="ar-SA"/>
        </w:rPr>
        <w:t>18.3</w:t>
      </w:r>
      <w:r>
        <w:rPr>
          <w:rFonts w:hint="eastAsia" w:ascii="Times New Roman" w:hAnsi="Times New Roman" w:eastAsia="Ђˎ̥" w:cs="宋体"/>
          <w:color w:val="auto"/>
          <w:kern w:val="0"/>
          <w:sz w:val="24"/>
          <w:szCs w:val="24"/>
          <w:highlight w:val="none"/>
          <w:lang w:val="en-US" w:eastAsia="zh-CN" w:bidi="ar-SA"/>
        </w:rPr>
        <w:t>其他保险</w:t>
      </w:r>
      <w:bookmarkEnd w:id="501"/>
    </w:p>
    <w:bookmarkEnd w:id="502"/>
    <w:bookmarkEnd w:id="503"/>
    <w:bookmarkEnd w:id="504"/>
    <w:p w14:paraId="6A4F495A">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发包人和承包人可以为其施工现场的全部人员办理意外伤害保险并支付保险费，包括其员工及为履行合同聘请的第三方的人员，具体事项由合同当事人在专用合同条款约定。</w:t>
      </w:r>
    </w:p>
    <w:p w14:paraId="3CE5D1AB">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除专用合同条款另有约定外，承包人应为其施工设备等办理财产保险。</w:t>
      </w:r>
    </w:p>
    <w:p w14:paraId="78F6561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05" w:name="_Toc351203616"/>
      <w:r>
        <w:rPr>
          <w:rFonts w:ascii="Times New Roman" w:hAnsi="Times New Roman" w:eastAsia="Ђˎ̥" w:cs="Times New Roman"/>
          <w:color w:val="auto"/>
          <w:kern w:val="0"/>
          <w:sz w:val="24"/>
          <w:szCs w:val="24"/>
          <w:highlight w:val="none"/>
          <w:lang w:val="en-US" w:eastAsia="zh-CN" w:bidi="ar-SA"/>
        </w:rPr>
        <w:t>18.4</w:t>
      </w:r>
      <w:r>
        <w:rPr>
          <w:rFonts w:hint="eastAsia" w:ascii="Times New Roman" w:hAnsi="Times New Roman" w:eastAsia="Ђˎ̥" w:cs="宋体"/>
          <w:color w:val="auto"/>
          <w:kern w:val="0"/>
          <w:sz w:val="24"/>
          <w:szCs w:val="24"/>
          <w:highlight w:val="none"/>
          <w:lang w:val="en-US" w:eastAsia="zh-CN" w:bidi="ar-SA"/>
        </w:rPr>
        <w:t>持续保险</w:t>
      </w:r>
      <w:bookmarkEnd w:id="505"/>
    </w:p>
    <w:p w14:paraId="119E52BE">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合同当事人应与保险人保持联系，使保险人能够随时了解工程实施中的变动，并确保按保险合同条款要求持续保险。</w:t>
      </w:r>
    </w:p>
    <w:p w14:paraId="6700E38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06" w:name="_Toc351203617"/>
      <w:bookmarkStart w:id="507" w:name="_Toc337558832"/>
      <w:bookmarkStart w:id="508" w:name="_Toc296346627"/>
      <w:bookmarkStart w:id="509" w:name="_Toc296503126"/>
      <w:r>
        <w:rPr>
          <w:rFonts w:ascii="Times New Roman" w:hAnsi="Times New Roman" w:eastAsia="Ђˎ̥" w:cs="Times New Roman"/>
          <w:color w:val="auto"/>
          <w:kern w:val="0"/>
          <w:sz w:val="24"/>
          <w:szCs w:val="24"/>
          <w:highlight w:val="none"/>
          <w:lang w:val="en-US" w:eastAsia="zh-CN" w:bidi="ar-SA"/>
        </w:rPr>
        <w:t xml:space="preserve">18.5 </w:t>
      </w:r>
      <w:r>
        <w:rPr>
          <w:rFonts w:hint="eastAsia" w:ascii="Times New Roman" w:hAnsi="Times New Roman" w:eastAsia="Ђˎ̥" w:cs="宋体"/>
          <w:color w:val="auto"/>
          <w:kern w:val="0"/>
          <w:sz w:val="24"/>
          <w:szCs w:val="24"/>
          <w:highlight w:val="none"/>
          <w:lang w:val="en-US" w:eastAsia="zh-CN" w:bidi="ar-SA"/>
        </w:rPr>
        <w:t>保险凭证</w:t>
      </w:r>
      <w:bookmarkEnd w:id="506"/>
    </w:p>
    <w:bookmarkEnd w:id="507"/>
    <w:bookmarkEnd w:id="508"/>
    <w:bookmarkEnd w:id="509"/>
    <w:p w14:paraId="2BF85599">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合同当事人应及时向另一方当事人提交其已投保的各项保险的凭证和保险单复印件。</w:t>
      </w:r>
    </w:p>
    <w:p w14:paraId="621E4FC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10" w:name="_Toc351203618"/>
      <w:bookmarkStart w:id="511" w:name="_Toc337558833"/>
      <w:bookmarkStart w:id="512" w:name="_Toc296503127"/>
      <w:bookmarkStart w:id="513" w:name="_Toc296346628"/>
      <w:r>
        <w:rPr>
          <w:rFonts w:ascii="Times New Roman" w:hAnsi="Times New Roman" w:eastAsia="Ђˎ̥" w:cs="Times New Roman"/>
          <w:color w:val="auto"/>
          <w:kern w:val="0"/>
          <w:sz w:val="24"/>
          <w:szCs w:val="24"/>
          <w:highlight w:val="none"/>
          <w:lang w:val="en-US" w:eastAsia="zh-CN" w:bidi="ar-SA"/>
        </w:rPr>
        <w:t xml:space="preserve">18.6 </w:t>
      </w:r>
      <w:r>
        <w:rPr>
          <w:rFonts w:hint="eastAsia" w:ascii="Times New Roman" w:hAnsi="Times New Roman" w:eastAsia="Ђˎ̥" w:cs="Times New Roman"/>
          <w:color w:val="auto"/>
          <w:kern w:val="0"/>
          <w:sz w:val="24"/>
          <w:szCs w:val="24"/>
          <w:highlight w:val="none"/>
          <w:lang w:val="en-US" w:eastAsia="zh-CN" w:bidi="ar-SA"/>
        </w:rPr>
        <w:t>未按约定投保的补救</w:t>
      </w:r>
      <w:bookmarkEnd w:id="510"/>
    </w:p>
    <w:bookmarkEnd w:id="511"/>
    <w:bookmarkEnd w:id="512"/>
    <w:bookmarkEnd w:id="513"/>
    <w:p w14:paraId="7822DEB0">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18.6.1</w:t>
      </w:r>
      <w:r>
        <w:rPr>
          <w:rFonts w:hint="eastAsia" w:ascii="宋体" w:hAnsi="宋体" w:eastAsia="宋体" w:cs="Times New Roman"/>
          <w:color w:val="auto"/>
          <w:sz w:val="24"/>
          <w:szCs w:val="24"/>
          <w:highlight w:val="none"/>
        </w:rPr>
        <w:t>发包人未按合同约定办理保险，或未能使保险持续有效的，则承包人可代为办理，所需费用由发包人承担。发包人未按合同约定办理保险，导致未能得到足额赔偿的，由发包人负责补足。</w:t>
      </w:r>
    </w:p>
    <w:p w14:paraId="2ACE4503">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18.6.2</w:t>
      </w:r>
      <w:r>
        <w:rPr>
          <w:rFonts w:hint="eastAsia" w:ascii="宋体" w:hAnsi="宋体" w:eastAsia="宋体" w:cs="Times New Roman"/>
          <w:color w:val="auto"/>
          <w:sz w:val="24"/>
          <w:szCs w:val="24"/>
          <w:highlight w:val="none"/>
        </w:rPr>
        <w:t>承包人未按合同约定办理保险，或未能使保险持续有效的，则发包人可代为办理，所需费用由承包人承担。承包人未按合同约定办理保险，导致未能得到足额赔偿的，由承包人负责补足。</w:t>
      </w:r>
    </w:p>
    <w:p w14:paraId="16355FA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14" w:name="_Toc351203619"/>
      <w:bookmarkStart w:id="515" w:name="_Toc337558834"/>
      <w:r>
        <w:rPr>
          <w:rFonts w:ascii="Times New Roman" w:hAnsi="Times New Roman" w:eastAsia="Ђˎ̥" w:cs="Times New Roman"/>
          <w:color w:val="auto"/>
          <w:kern w:val="0"/>
          <w:sz w:val="24"/>
          <w:szCs w:val="24"/>
          <w:highlight w:val="none"/>
          <w:lang w:val="en-US" w:eastAsia="zh-CN" w:bidi="ar-SA"/>
        </w:rPr>
        <w:t xml:space="preserve">18.7 </w:t>
      </w:r>
      <w:r>
        <w:rPr>
          <w:rFonts w:hint="eastAsia" w:ascii="Times New Roman" w:hAnsi="Times New Roman" w:eastAsia="Ђˎ̥" w:cs="宋体"/>
          <w:color w:val="auto"/>
          <w:kern w:val="0"/>
          <w:sz w:val="24"/>
          <w:szCs w:val="24"/>
          <w:highlight w:val="none"/>
          <w:lang w:val="en-US" w:eastAsia="zh-CN" w:bidi="ar-SA"/>
        </w:rPr>
        <w:t>通知义务</w:t>
      </w:r>
      <w:bookmarkEnd w:id="514"/>
    </w:p>
    <w:bookmarkEnd w:id="515"/>
    <w:p w14:paraId="734DE2F4">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0C061C1E">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保险事故发生时，投保人应按照保险合同规定的条件和期限及时向保险人报告。发包人和承包人应当在知道保险事故发生后及时通知对方。</w:t>
      </w:r>
    </w:p>
    <w:p w14:paraId="4E911325">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516" w:name="_Toc17965088"/>
      <w:bookmarkStart w:id="517" w:name="_Toc351203620"/>
      <w:bookmarkStart w:id="518" w:name="_Toc337558835"/>
      <w:bookmarkStart w:id="519" w:name="_Toc296346641"/>
      <w:bookmarkStart w:id="520" w:name="_Toc296503140"/>
      <w:r>
        <w:rPr>
          <w:rFonts w:ascii="Times New Roman" w:hAnsi="Times New Roman" w:eastAsia="黑体" w:cs="Times New Roman"/>
          <w:b/>
          <w:bCs/>
          <w:color w:val="auto"/>
          <w:kern w:val="2"/>
          <w:sz w:val="24"/>
          <w:szCs w:val="24"/>
          <w:highlight w:val="none"/>
          <w:lang w:val="en-US" w:eastAsia="zh-CN" w:bidi="ar-SA"/>
        </w:rPr>
        <w:t xml:space="preserve">19. </w:t>
      </w:r>
      <w:r>
        <w:rPr>
          <w:rFonts w:ascii="Times New Roman" w:hAnsi="Times New Roman" w:eastAsia="黑体" w:cs="宋体"/>
          <w:b/>
          <w:bCs/>
          <w:color w:val="auto"/>
          <w:kern w:val="2"/>
          <w:sz w:val="24"/>
          <w:szCs w:val="24"/>
          <w:highlight w:val="none"/>
          <w:lang w:val="en-US" w:eastAsia="zh-CN" w:bidi="ar-SA"/>
        </w:rPr>
        <w:t>索赔</w:t>
      </w:r>
      <w:bookmarkEnd w:id="516"/>
      <w:bookmarkEnd w:id="517"/>
    </w:p>
    <w:bookmarkEnd w:id="518"/>
    <w:bookmarkEnd w:id="519"/>
    <w:bookmarkEnd w:id="520"/>
    <w:p w14:paraId="7651721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21" w:name="_Toc351203621"/>
      <w:bookmarkStart w:id="522" w:name="_Toc296503141"/>
      <w:bookmarkStart w:id="523" w:name="_Toc337558836"/>
      <w:bookmarkStart w:id="524" w:name="_Toc296346642"/>
      <w:r>
        <w:rPr>
          <w:rFonts w:ascii="Times New Roman" w:hAnsi="Times New Roman" w:eastAsia="Ђˎ̥" w:cs="Times New Roman"/>
          <w:color w:val="auto"/>
          <w:kern w:val="0"/>
          <w:sz w:val="24"/>
          <w:szCs w:val="24"/>
          <w:highlight w:val="none"/>
          <w:lang w:val="en-US" w:eastAsia="zh-CN" w:bidi="ar-SA"/>
        </w:rPr>
        <w:t>19.1</w:t>
      </w:r>
      <w:r>
        <w:rPr>
          <w:rFonts w:hint="eastAsia" w:ascii="Times New Roman" w:hAnsi="Times New Roman" w:eastAsia="Ђˎ̥" w:cs="Times New Roman"/>
          <w:color w:val="auto"/>
          <w:kern w:val="0"/>
          <w:sz w:val="24"/>
          <w:szCs w:val="24"/>
          <w:highlight w:val="none"/>
          <w:lang w:val="en-US" w:eastAsia="zh-CN" w:bidi="ar-SA"/>
        </w:rPr>
        <w:t>承包人的索赔</w:t>
      </w:r>
      <w:bookmarkEnd w:id="521"/>
    </w:p>
    <w:bookmarkEnd w:id="522"/>
    <w:bookmarkEnd w:id="523"/>
    <w:bookmarkEnd w:id="524"/>
    <w:p w14:paraId="4453774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根据合同约定，承包人认为有权得到追加付款和（或）延长工期的，应按以下程序向发包人提出索赔：</w:t>
      </w:r>
    </w:p>
    <w:p w14:paraId="7CFC0B7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）承包人应在知道或应当知道索赔事件发生后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天内，向监理人递交索赔意向通知书，并说明发生索赔事件的事由；承包人未在前述</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天内发出索赔意向通知书的，丧失要求追加付款和（或）延长工期的权利；</w:t>
      </w:r>
    </w:p>
    <w:p w14:paraId="39C2D08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）承包人应在发出索赔意向通知书后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天内，向监理人正式递交索赔报告；索赔报告应详细说明索赔理由以及要求追加的付款金额和（或）延长的工期，并附必要的记录和证明材料；</w:t>
      </w:r>
    </w:p>
    <w:p w14:paraId="36A31B6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）索赔事件具有持续影响的，承包人应按合理时间间隔继续递交延续索赔通知，说明持续影响的实际情况和记录，列出累计的追加付款金额和（或）工期延长天数；</w:t>
      </w:r>
    </w:p>
    <w:p w14:paraId="352922D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）在索赔事件影响结束后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天内，承包人应向监理人递交最终索赔报告，说明最终要求索赔的追加付款金额和（或）延长的工期，并附必要的记录和证明材料。</w:t>
      </w:r>
    </w:p>
    <w:p w14:paraId="774DFB0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25" w:name="_Toc351203622"/>
      <w:bookmarkStart w:id="526" w:name="_Toc296503142"/>
      <w:bookmarkStart w:id="527" w:name="_Toc337558837"/>
      <w:bookmarkStart w:id="528" w:name="_Toc296346643"/>
      <w:r>
        <w:rPr>
          <w:rFonts w:ascii="Times New Roman" w:hAnsi="Times New Roman" w:eastAsia="Ђˎ̥" w:cs="Times New Roman"/>
          <w:color w:val="auto"/>
          <w:kern w:val="0"/>
          <w:sz w:val="24"/>
          <w:szCs w:val="24"/>
          <w:highlight w:val="none"/>
          <w:lang w:val="en-US" w:eastAsia="zh-CN" w:bidi="ar-SA"/>
        </w:rPr>
        <w:t xml:space="preserve">19.2 </w:t>
      </w:r>
      <w:r>
        <w:rPr>
          <w:rFonts w:hint="eastAsia" w:ascii="Times New Roman" w:hAnsi="Times New Roman" w:eastAsia="Ђˎ̥" w:cs="Times New Roman"/>
          <w:color w:val="auto"/>
          <w:kern w:val="0"/>
          <w:sz w:val="24"/>
          <w:szCs w:val="24"/>
          <w:highlight w:val="none"/>
          <w:lang w:val="en-US" w:eastAsia="zh-CN" w:bidi="ar-SA"/>
        </w:rPr>
        <w:t>对承包人索赔的处理</w:t>
      </w:r>
      <w:bookmarkEnd w:id="525"/>
    </w:p>
    <w:bookmarkEnd w:id="526"/>
    <w:bookmarkEnd w:id="527"/>
    <w:bookmarkEnd w:id="528"/>
    <w:p w14:paraId="3F7D6CF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对承包人索赔的处理如下：</w:t>
      </w:r>
    </w:p>
    <w:p w14:paraId="6B949B0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）监理人应在收到索赔报告后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天内完成审查并报送发包人。监理人对索赔报告存在异议的，有权要求承包人提交全部原始记录副本；</w:t>
      </w:r>
    </w:p>
    <w:p w14:paraId="13A4D3F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）发包人应在监理人收到索赔报告或有关索赔的进一步证明材料后的</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天内，由监理人向承包人出具经发包人签认的索赔处理结果。发包人逾期答复的，则视为认可承包人的索赔要求；</w:t>
      </w:r>
    </w:p>
    <w:p w14:paraId="7E9AD49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）承包人接受索赔处理结果的，索赔款项在当期进度款中进行支付；承包人不接受索赔处理结果的，按照第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条〔争议解决〕约定处理。</w:t>
      </w:r>
    </w:p>
    <w:p w14:paraId="1D284FD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29" w:name="_Toc351203623"/>
      <w:bookmarkStart w:id="530" w:name="_Toc296346644"/>
      <w:bookmarkStart w:id="531" w:name="_Toc337558838"/>
      <w:bookmarkStart w:id="532" w:name="_Toc296503143"/>
      <w:r>
        <w:rPr>
          <w:rFonts w:ascii="Times New Roman" w:hAnsi="Times New Roman" w:eastAsia="Ђˎ̥" w:cs="Times New Roman"/>
          <w:color w:val="auto"/>
          <w:kern w:val="0"/>
          <w:sz w:val="24"/>
          <w:szCs w:val="24"/>
          <w:highlight w:val="none"/>
          <w:lang w:val="en-US" w:eastAsia="zh-CN" w:bidi="ar-SA"/>
        </w:rPr>
        <w:t>19.3</w:t>
      </w:r>
      <w:r>
        <w:rPr>
          <w:rFonts w:hint="eastAsia" w:ascii="Times New Roman" w:hAnsi="Times New Roman" w:eastAsia="Ђˎ̥" w:cs="Times New Roman"/>
          <w:color w:val="auto"/>
          <w:kern w:val="0"/>
          <w:sz w:val="24"/>
          <w:szCs w:val="24"/>
          <w:highlight w:val="none"/>
          <w:lang w:val="en-US" w:eastAsia="zh-CN" w:bidi="ar-SA"/>
        </w:rPr>
        <w:t>发包人的索赔</w:t>
      </w:r>
      <w:bookmarkEnd w:id="529"/>
    </w:p>
    <w:bookmarkEnd w:id="530"/>
    <w:bookmarkEnd w:id="531"/>
    <w:bookmarkEnd w:id="532"/>
    <w:p w14:paraId="7C419B2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根据合同约定，发包人认为有权得到赔付金额和（或）延长缺陷责任期的，监理人应向承包人发出通知并附有详细的证明。</w:t>
      </w:r>
    </w:p>
    <w:p w14:paraId="461A605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发包人应在知道或应当知道索赔事件发生后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天内通过监理人向承包人提出索赔意向通知书，发包人未在前述</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天内发出索赔意向通知书的，丧失要求赔付金额和（或）延长缺陷责任期的权利。发包人应在发出索赔意向通知书后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天内，通过监理人向承包人正式递交索赔报告。</w:t>
      </w:r>
    </w:p>
    <w:p w14:paraId="59FF233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33" w:name="_Toc351203624"/>
      <w:bookmarkStart w:id="534" w:name="_Toc296503144"/>
      <w:bookmarkStart w:id="535" w:name="_Toc296346645"/>
      <w:bookmarkStart w:id="536" w:name="_Toc337558839"/>
      <w:r>
        <w:rPr>
          <w:rFonts w:ascii="Times New Roman" w:hAnsi="Times New Roman" w:eastAsia="Ђˎ̥" w:cs="Times New Roman"/>
          <w:color w:val="auto"/>
          <w:kern w:val="0"/>
          <w:sz w:val="24"/>
          <w:szCs w:val="24"/>
          <w:highlight w:val="none"/>
          <w:lang w:val="en-US" w:eastAsia="zh-CN" w:bidi="ar-SA"/>
        </w:rPr>
        <w:t xml:space="preserve">19.4 </w:t>
      </w:r>
      <w:r>
        <w:rPr>
          <w:rFonts w:hint="eastAsia" w:ascii="Times New Roman" w:hAnsi="Times New Roman" w:eastAsia="Ђˎ̥" w:cs="Times New Roman"/>
          <w:color w:val="auto"/>
          <w:kern w:val="0"/>
          <w:sz w:val="24"/>
          <w:szCs w:val="24"/>
          <w:highlight w:val="none"/>
          <w:lang w:val="en-US" w:eastAsia="zh-CN" w:bidi="ar-SA"/>
        </w:rPr>
        <w:t>对发包人索赔的处理</w:t>
      </w:r>
      <w:bookmarkEnd w:id="533"/>
    </w:p>
    <w:bookmarkEnd w:id="534"/>
    <w:bookmarkEnd w:id="535"/>
    <w:bookmarkEnd w:id="536"/>
    <w:p w14:paraId="680E2E9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对发包人索赔的处理如下：</w:t>
      </w:r>
    </w:p>
    <w:p w14:paraId="761F210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）承包人收到发包人提交的索赔报告后，应及时审查索赔报告的内容、查验发包人证明材料；</w:t>
      </w:r>
    </w:p>
    <w:p w14:paraId="211536F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）承包人应在收到索赔报告或有关索赔的进一步证明材料后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天内，将索赔处理结果答复发包人。如果承包人未在上述期限内作出答复的，则视为对发包人索赔要求的认可；</w:t>
      </w:r>
    </w:p>
    <w:p w14:paraId="3BEDDB4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）承包人接受索赔处理结果的，发包人可从应支付给承包人的合同价款中扣除赔付的金额或延长缺陷责任期；发包人不接受索赔处理结果的，按第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条〔争议解决〕约定处理。</w:t>
      </w:r>
    </w:p>
    <w:p w14:paraId="28E91D2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37" w:name="_Toc351203625"/>
      <w:r>
        <w:rPr>
          <w:rFonts w:ascii="Times New Roman" w:hAnsi="Times New Roman" w:eastAsia="Ђˎ̥" w:cs="Times New Roman"/>
          <w:color w:val="auto"/>
          <w:kern w:val="0"/>
          <w:sz w:val="24"/>
          <w:szCs w:val="24"/>
          <w:highlight w:val="none"/>
          <w:lang w:val="en-US" w:eastAsia="zh-CN" w:bidi="ar-SA"/>
        </w:rPr>
        <w:t xml:space="preserve">19.5 </w:t>
      </w:r>
      <w:r>
        <w:rPr>
          <w:rFonts w:hint="eastAsia" w:ascii="Times New Roman" w:hAnsi="Times New Roman" w:eastAsia="Ђˎ̥" w:cs="Times New Roman"/>
          <w:color w:val="auto"/>
          <w:kern w:val="0"/>
          <w:sz w:val="24"/>
          <w:szCs w:val="24"/>
          <w:highlight w:val="none"/>
          <w:lang w:val="en-US" w:eastAsia="zh-CN" w:bidi="ar-SA"/>
        </w:rPr>
        <w:t>提出索赔的期限</w:t>
      </w:r>
      <w:bookmarkEnd w:id="537"/>
    </w:p>
    <w:p w14:paraId="786824CF">
      <w:pPr>
        <w:spacing w:line="360" w:lineRule="auto"/>
        <w:ind w:firstLine="480" w:firstLineChars="200"/>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）承包人按第</w:t>
      </w:r>
      <w:r>
        <w:rPr>
          <w:rFonts w:ascii="宋体" w:hAnsi="宋体" w:eastAsia="宋体" w:cs="Times New Roman"/>
          <w:color w:val="auto"/>
          <w:kern w:val="0"/>
          <w:sz w:val="24"/>
          <w:szCs w:val="24"/>
          <w:highlight w:val="none"/>
        </w:rPr>
        <w:t>14.2</w:t>
      </w:r>
      <w:r>
        <w:rPr>
          <w:rFonts w:hint="eastAsia" w:ascii="宋体" w:hAnsi="宋体" w:eastAsia="宋体" w:cs="Times New Roman"/>
          <w:color w:val="auto"/>
          <w:kern w:val="0"/>
          <w:sz w:val="24"/>
          <w:szCs w:val="24"/>
          <w:highlight w:val="none"/>
        </w:rPr>
        <w:t>款〔竣工结算审核〕约定接收竣工付款证书后，应被视为已无权再提出在工程接收证书颁发前所发生的任何索赔。</w:t>
      </w:r>
    </w:p>
    <w:p w14:paraId="5EFB78B4">
      <w:pPr>
        <w:spacing w:line="360" w:lineRule="auto"/>
        <w:ind w:firstLine="480" w:firstLineChars="200"/>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）承包人按第</w:t>
      </w:r>
      <w:r>
        <w:rPr>
          <w:rFonts w:ascii="宋体" w:hAnsi="宋体" w:eastAsia="宋体" w:cs="Times New Roman"/>
          <w:color w:val="auto"/>
          <w:kern w:val="0"/>
          <w:sz w:val="24"/>
          <w:szCs w:val="24"/>
          <w:highlight w:val="none"/>
        </w:rPr>
        <w:t>14.4</w:t>
      </w:r>
      <w:r>
        <w:rPr>
          <w:rFonts w:hint="eastAsia" w:ascii="宋体" w:hAnsi="宋体" w:eastAsia="宋体" w:cs="Times New Roman"/>
          <w:color w:val="auto"/>
          <w:kern w:val="0"/>
          <w:sz w:val="24"/>
          <w:szCs w:val="24"/>
          <w:highlight w:val="none"/>
        </w:rPr>
        <w:t>款〔最终结清〕提交的最终结清申请单中，只限于提出工程接收证书颁发后发生的索赔。提出索赔的期限自接受最终结清证书时终止。</w:t>
      </w:r>
    </w:p>
    <w:p w14:paraId="28008F23">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538" w:name="_Toc351203626"/>
      <w:bookmarkStart w:id="539" w:name="_Toc17965089"/>
      <w:r>
        <w:rPr>
          <w:rFonts w:ascii="Times New Roman" w:hAnsi="Times New Roman" w:eastAsia="黑体" w:cs="Times New Roman"/>
          <w:b/>
          <w:bCs/>
          <w:color w:val="auto"/>
          <w:kern w:val="2"/>
          <w:sz w:val="24"/>
          <w:szCs w:val="24"/>
          <w:highlight w:val="none"/>
          <w:lang w:val="en-US" w:eastAsia="zh-CN" w:bidi="ar-SA"/>
        </w:rPr>
        <w:t>20</w:t>
      </w:r>
      <w:bookmarkStart w:id="540" w:name="_Toc337558840"/>
      <w:bookmarkStart w:id="541" w:name="_Toc296346647"/>
      <w:bookmarkStart w:id="542" w:name="_Toc296503146"/>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争议解决</w:t>
      </w:r>
      <w:bookmarkEnd w:id="538"/>
      <w:bookmarkEnd w:id="539"/>
    </w:p>
    <w:bookmarkEnd w:id="540"/>
    <w:bookmarkEnd w:id="541"/>
    <w:bookmarkEnd w:id="542"/>
    <w:p w14:paraId="1441674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43" w:name="_Toc351203627"/>
      <w:bookmarkStart w:id="544" w:name="_Toc337558841"/>
      <w:bookmarkStart w:id="545" w:name="_Toc296346648"/>
      <w:bookmarkStart w:id="546" w:name="_Toc296503147"/>
      <w:r>
        <w:rPr>
          <w:rFonts w:ascii="Times New Roman" w:hAnsi="Times New Roman" w:eastAsia="Ђˎ̥" w:cs="Times New Roman"/>
          <w:color w:val="auto"/>
          <w:kern w:val="0"/>
          <w:sz w:val="24"/>
          <w:szCs w:val="24"/>
          <w:highlight w:val="none"/>
          <w:lang w:val="en-US" w:eastAsia="zh-CN" w:bidi="ar-SA"/>
        </w:rPr>
        <w:t>20.1</w:t>
      </w:r>
      <w:r>
        <w:rPr>
          <w:rFonts w:hint="eastAsia" w:ascii="Times New Roman" w:hAnsi="Times New Roman" w:eastAsia="Ђˎ̥" w:cs="宋体"/>
          <w:color w:val="auto"/>
          <w:kern w:val="0"/>
          <w:sz w:val="24"/>
          <w:szCs w:val="24"/>
          <w:highlight w:val="none"/>
          <w:lang w:val="en-US" w:eastAsia="zh-CN" w:bidi="ar-SA"/>
        </w:rPr>
        <w:t>和解</w:t>
      </w:r>
      <w:bookmarkEnd w:id="543"/>
    </w:p>
    <w:bookmarkEnd w:id="544"/>
    <w:bookmarkEnd w:id="545"/>
    <w:bookmarkEnd w:id="546"/>
    <w:p w14:paraId="618D77E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合同当事人可以就争议自行和解，自行和解达成协议的经双方签字并盖章后作为合同补充文件，双方均应遵照执行。</w:t>
      </w:r>
    </w:p>
    <w:p w14:paraId="5CF15AE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47" w:name="_Toc351203628"/>
      <w:r>
        <w:rPr>
          <w:rFonts w:ascii="Times New Roman" w:hAnsi="Times New Roman" w:eastAsia="Ђˎ̥" w:cs="Times New Roman"/>
          <w:color w:val="auto"/>
          <w:kern w:val="0"/>
          <w:sz w:val="24"/>
          <w:szCs w:val="24"/>
          <w:highlight w:val="none"/>
          <w:lang w:val="en-US" w:eastAsia="zh-CN" w:bidi="ar-SA"/>
        </w:rPr>
        <w:t>20</w:t>
      </w:r>
      <w:bookmarkStart w:id="548" w:name="_Toc296503148"/>
      <w:bookmarkStart w:id="549" w:name="_Toc337558842"/>
      <w:bookmarkStart w:id="550" w:name="_Toc296346649"/>
      <w:r>
        <w:rPr>
          <w:rFonts w:ascii="Times New Roman" w:hAnsi="Times New Roman" w:eastAsia="Ђˎ̥" w:cs="Times New Roman"/>
          <w:color w:val="auto"/>
          <w:kern w:val="0"/>
          <w:sz w:val="24"/>
          <w:szCs w:val="24"/>
          <w:highlight w:val="none"/>
          <w:lang w:val="en-US" w:eastAsia="zh-CN" w:bidi="ar-SA"/>
        </w:rPr>
        <w:t>.2</w:t>
      </w:r>
      <w:r>
        <w:rPr>
          <w:rFonts w:hint="eastAsia" w:ascii="Times New Roman" w:hAnsi="Times New Roman" w:eastAsia="Ђˎ̥" w:cs="宋体"/>
          <w:color w:val="auto"/>
          <w:kern w:val="0"/>
          <w:sz w:val="24"/>
          <w:szCs w:val="24"/>
          <w:highlight w:val="none"/>
          <w:lang w:val="en-US" w:eastAsia="zh-CN" w:bidi="ar-SA"/>
        </w:rPr>
        <w:t>调解</w:t>
      </w:r>
      <w:bookmarkEnd w:id="547"/>
    </w:p>
    <w:bookmarkEnd w:id="548"/>
    <w:bookmarkEnd w:id="549"/>
    <w:bookmarkEnd w:id="550"/>
    <w:p w14:paraId="59B6303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合同当事人可以就争议请求建设行政主管部门、行业协会或其他第三方进行调解，调解达成协议的，经双方签字并盖章后作为合同补充文件，双方均应遵照执行。</w:t>
      </w:r>
    </w:p>
    <w:p w14:paraId="1C7F079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51" w:name="_Toc351203629"/>
      <w:bookmarkStart w:id="552" w:name="_Toc337558843"/>
      <w:bookmarkStart w:id="553" w:name="_Toc296346650"/>
      <w:bookmarkStart w:id="554" w:name="_Toc296503149"/>
      <w:r>
        <w:rPr>
          <w:rFonts w:ascii="Times New Roman" w:hAnsi="Times New Roman" w:eastAsia="Ђˎ̥" w:cs="Times New Roman"/>
          <w:color w:val="auto"/>
          <w:kern w:val="0"/>
          <w:sz w:val="24"/>
          <w:szCs w:val="24"/>
          <w:highlight w:val="none"/>
          <w:lang w:val="en-US" w:eastAsia="zh-CN" w:bidi="ar-SA"/>
        </w:rPr>
        <w:t>20.3</w:t>
      </w:r>
      <w:r>
        <w:rPr>
          <w:rFonts w:hint="eastAsia" w:ascii="Times New Roman" w:hAnsi="Times New Roman" w:eastAsia="Ђˎ̥" w:cs="宋体"/>
          <w:color w:val="auto"/>
          <w:kern w:val="0"/>
          <w:sz w:val="24"/>
          <w:szCs w:val="24"/>
          <w:highlight w:val="none"/>
          <w:lang w:val="en-US" w:eastAsia="zh-CN" w:bidi="ar-SA"/>
        </w:rPr>
        <w:t>争议评审</w:t>
      </w:r>
      <w:bookmarkEnd w:id="551"/>
    </w:p>
    <w:bookmarkEnd w:id="552"/>
    <w:bookmarkEnd w:id="553"/>
    <w:bookmarkEnd w:id="554"/>
    <w:p w14:paraId="2C7F60E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合同当事人在专用合同条款中约定采取争议评审方式解决争议以及评审规则，并按下列约定执行：</w:t>
      </w:r>
      <w:r>
        <w:rPr>
          <w:rFonts w:ascii="宋体" w:hAnsi="宋体" w:eastAsia="宋体" w:cs="Times New Roman"/>
          <w:color w:val="auto"/>
          <w:kern w:val="0"/>
          <w:sz w:val="24"/>
          <w:szCs w:val="24"/>
          <w:highlight w:val="none"/>
        </w:rPr>
        <w:t xml:space="preserve"> </w:t>
      </w:r>
    </w:p>
    <w:p w14:paraId="6A77F53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20.3.1 </w:t>
      </w:r>
      <w:r>
        <w:rPr>
          <w:rFonts w:hint="eastAsia" w:ascii="宋体" w:hAnsi="宋体" w:eastAsia="宋体" w:cs="Times New Roman"/>
          <w:color w:val="auto"/>
          <w:kern w:val="0"/>
          <w:sz w:val="24"/>
          <w:szCs w:val="24"/>
          <w:highlight w:val="none"/>
        </w:rPr>
        <w:t>争议评审小组的确定</w:t>
      </w:r>
    </w:p>
    <w:p w14:paraId="7463067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合同当事人可以共同选择一名或三名争议评审员，组成争议评审小组。除专用合同条款另有约定外，合同当事人应当自合同签订后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天内，或者争议发生后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天内，选定争议评审员。</w:t>
      </w:r>
    </w:p>
    <w:p w14:paraId="3C5F22E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w:t>
      </w:r>
      <w:r>
        <w:rPr>
          <w:rFonts w:ascii="宋体" w:hAnsi="宋体" w:eastAsia="宋体" w:cs="Times New Roman"/>
          <w:color w:val="auto"/>
          <w:kern w:val="0"/>
          <w:sz w:val="24"/>
          <w:szCs w:val="24"/>
          <w:highlight w:val="none"/>
        </w:rPr>
        <w:t xml:space="preserve"> </w:t>
      </w:r>
    </w:p>
    <w:p w14:paraId="24ADDE6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除专用合同条款另有约定外，评审员报酬由发包人和承包人各承担一半。</w:t>
      </w:r>
    </w:p>
    <w:p w14:paraId="49C6211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20.3.2 </w:t>
      </w:r>
      <w:r>
        <w:rPr>
          <w:rFonts w:hint="eastAsia" w:ascii="宋体" w:hAnsi="宋体" w:eastAsia="宋体" w:cs="Times New Roman"/>
          <w:color w:val="auto"/>
          <w:kern w:val="0"/>
          <w:sz w:val="24"/>
          <w:szCs w:val="24"/>
          <w:highlight w:val="none"/>
        </w:rPr>
        <w:t>争议评审小组的决定</w:t>
      </w:r>
    </w:p>
    <w:p w14:paraId="4A21991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天内作出书面决定，并说明理由。合同当事人可以在专用合同条款中对本项事项另行约定。</w:t>
      </w:r>
    </w:p>
    <w:p w14:paraId="419AB23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20.3.3 </w:t>
      </w:r>
      <w:r>
        <w:rPr>
          <w:rFonts w:hint="eastAsia" w:ascii="宋体" w:hAnsi="宋体" w:eastAsia="宋体" w:cs="Times New Roman"/>
          <w:color w:val="auto"/>
          <w:kern w:val="0"/>
          <w:sz w:val="24"/>
          <w:szCs w:val="24"/>
          <w:highlight w:val="none"/>
        </w:rPr>
        <w:t>争议评审小组决定的效力</w:t>
      </w:r>
    </w:p>
    <w:p w14:paraId="7A077B2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争议评审小组作出的书面决定经合同当事人签字确认后，对双方具有约束力，双方应遵照执行。</w:t>
      </w:r>
    </w:p>
    <w:p w14:paraId="1F9F0C6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任何一方当事人不接受争议评审小组决定或不履行争议评审小组决定的，双方可选择采用其他争议解决方式。</w:t>
      </w:r>
    </w:p>
    <w:p w14:paraId="6E894D2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55" w:name="_Toc351203630"/>
      <w:bookmarkStart w:id="556" w:name="_Toc296503150"/>
      <w:bookmarkStart w:id="557" w:name="_Toc296346651"/>
      <w:bookmarkStart w:id="558" w:name="_Toc337558844"/>
      <w:r>
        <w:rPr>
          <w:rFonts w:ascii="Times New Roman" w:hAnsi="Times New Roman" w:eastAsia="Ђˎ̥" w:cs="Times New Roman"/>
          <w:color w:val="auto"/>
          <w:kern w:val="0"/>
          <w:sz w:val="24"/>
          <w:szCs w:val="24"/>
          <w:highlight w:val="none"/>
          <w:lang w:val="en-US" w:eastAsia="zh-CN" w:bidi="ar-SA"/>
        </w:rPr>
        <w:t>20.4</w:t>
      </w:r>
      <w:r>
        <w:rPr>
          <w:rFonts w:hint="eastAsia" w:ascii="Times New Roman" w:hAnsi="Times New Roman" w:eastAsia="Ђˎ̥" w:cs="宋体"/>
          <w:color w:val="auto"/>
          <w:kern w:val="0"/>
          <w:sz w:val="24"/>
          <w:szCs w:val="24"/>
          <w:highlight w:val="none"/>
          <w:lang w:val="en-US" w:eastAsia="zh-CN" w:bidi="ar-SA"/>
        </w:rPr>
        <w:t>仲裁或诉讼</w:t>
      </w:r>
      <w:bookmarkEnd w:id="555"/>
    </w:p>
    <w:bookmarkEnd w:id="556"/>
    <w:bookmarkEnd w:id="557"/>
    <w:bookmarkEnd w:id="558"/>
    <w:p w14:paraId="76872BA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因合同及合同有关事项产生的争议，合同当事人可以在专用合同条款中约定以下一种方式解决争议：</w:t>
      </w:r>
    </w:p>
    <w:p w14:paraId="354C9FD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）向约定的仲裁委员会申请仲裁；</w:t>
      </w:r>
    </w:p>
    <w:p w14:paraId="59172FE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）向有管辖权的人民法院起诉。</w:t>
      </w:r>
    </w:p>
    <w:p w14:paraId="37B2010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59" w:name="_Toc351203631"/>
      <w:bookmarkStart w:id="560" w:name="_Toc337558845"/>
      <w:bookmarkStart w:id="561" w:name="_Toc296346653"/>
      <w:bookmarkStart w:id="562" w:name="_Toc296503152"/>
      <w:r>
        <w:rPr>
          <w:rFonts w:ascii="Times New Roman" w:hAnsi="Times New Roman" w:eastAsia="Ђˎ̥" w:cs="Times New Roman"/>
          <w:color w:val="auto"/>
          <w:kern w:val="0"/>
          <w:sz w:val="24"/>
          <w:szCs w:val="24"/>
          <w:highlight w:val="none"/>
          <w:lang w:val="en-US" w:eastAsia="zh-CN" w:bidi="ar-SA"/>
        </w:rPr>
        <w:t>20.5</w:t>
      </w:r>
      <w:r>
        <w:rPr>
          <w:rFonts w:hint="eastAsia" w:ascii="Times New Roman" w:hAnsi="Times New Roman" w:eastAsia="Ђˎ̥" w:cs="Times New Roman"/>
          <w:color w:val="auto"/>
          <w:kern w:val="0"/>
          <w:sz w:val="24"/>
          <w:szCs w:val="24"/>
          <w:highlight w:val="none"/>
          <w:lang w:val="en-US" w:eastAsia="zh-CN" w:bidi="ar-SA"/>
        </w:rPr>
        <w:t>争议解决条款效力</w:t>
      </w:r>
      <w:bookmarkEnd w:id="559"/>
    </w:p>
    <w:bookmarkEnd w:id="560"/>
    <w:bookmarkEnd w:id="561"/>
    <w:bookmarkEnd w:id="562"/>
    <w:p w14:paraId="6CBD0879">
      <w:pPr>
        <w:spacing w:line="360" w:lineRule="auto"/>
        <w:ind w:left="-420" w:leftChars="-200" w:right="-512" w:rightChars="-244"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合同有关争议解决的条款独立存在，合同的变更、解除、终止、无效或者被撤销均不影响其效力。</w:t>
      </w:r>
    </w:p>
    <w:p w14:paraId="2CEBB128">
      <w:pPr>
        <w:pageBreakBefore w:val="0"/>
        <w:widowControl w:val="0"/>
        <w:kinsoku/>
        <w:wordWrap/>
        <w:overflowPunct/>
        <w:topLinePunct w:val="0"/>
        <w:bidi w:val="0"/>
        <w:spacing w:after="120" w:line="380" w:lineRule="exact"/>
        <w:jc w:val="both"/>
        <w:textAlignment w:val="auto"/>
        <w:rPr>
          <w:rFonts w:ascii="宋体" w:hAnsi="宋体" w:eastAsia="宋体" w:cs="宋体"/>
          <w:color w:val="auto"/>
          <w:kern w:val="0"/>
          <w:sz w:val="24"/>
          <w:szCs w:val="24"/>
          <w:lang w:val="en-US" w:eastAsia="zh-CN" w:bidi="ar-SA"/>
        </w:rPr>
      </w:pPr>
    </w:p>
    <w:p w14:paraId="3AEFD544">
      <w:pPr>
        <w:pageBreakBefore w:val="0"/>
        <w:widowControl w:val="0"/>
        <w:kinsoku/>
        <w:wordWrap/>
        <w:overflowPunct/>
        <w:topLinePunct w:val="0"/>
        <w:bidi w:val="0"/>
        <w:spacing w:after="120" w:line="380" w:lineRule="exact"/>
        <w:ind w:left="420" w:leftChars="200" w:firstLine="480"/>
        <w:jc w:val="both"/>
        <w:textAlignment w:val="auto"/>
        <w:rPr>
          <w:rFonts w:ascii="宋体" w:hAnsi="宋体" w:eastAsia="宋体" w:cs="宋体"/>
          <w:color w:val="auto"/>
          <w:kern w:val="0"/>
          <w:sz w:val="24"/>
          <w:szCs w:val="24"/>
          <w:lang w:val="en-US" w:eastAsia="zh-CN" w:bidi="ar-SA"/>
        </w:rPr>
      </w:pPr>
    </w:p>
    <w:p w14:paraId="70998A06">
      <w:pPr>
        <w:rPr>
          <w:rFonts w:hint="eastAsia" w:ascii="宋体" w:hAnsi="宋体" w:eastAsia="宋体" w:cs="宋体"/>
          <w:b/>
          <w:bCs/>
          <w:color w:val="auto"/>
          <w:spacing w:val="20"/>
          <w:kern w:val="44"/>
          <w:sz w:val="30"/>
          <w:szCs w:val="30"/>
          <w:lang w:val="en-US" w:eastAsia="zh-CN" w:bidi="ar-SA"/>
        </w:rPr>
      </w:pPr>
      <w:r>
        <w:rPr>
          <w:rFonts w:hint="eastAsia" w:ascii="宋体" w:hAnsi="宋体" w:eastAsia="宋体" w:cs="宋体"/>
          <w:b/>
          <w:bCs/>
          <w:color w:val="auto"/>
          <w:spacing w:val="20"/>
          <w:kern w:val="44"/>
          <w:sz w:val="30"/>
          <w:szCs w:val="30"/>
          <w:lang w:val="en-US" w:eastAsia="zh-CN" w:bidi="ar-SA"/>
        </w:rPr>
        <w:br w:type="page"/>
      </w:r>
    </w:p>
    <w:bookmarkEnd w:id="106"/>
    <w:bookmarkEnd w:id="107"/>
    <w:bookmarkEnd w:id="108"/>
    <w:bookmarkEnd w:id="112"/>
    <w:bookmarkEnd w:id="113"/>
    <w:bookmarkEnd w:id="114"/>
    <w:bookmarkEnd w:id="115"/>
    <w:bookmarkEnd w:id="116"/>
    <w:bookmarkEnd w:id="117"/>
    <w:p w14:paraId="003FA9AF">
      <w:pPr>
        <w:pStyle w:val="90"/>
        <w:keepNext w:val="0"/>
        <w:keepLines w:val="0"/>
        <w:jc w:val="center"/>
        <w:rPr>
          <w:rFonts w:hAnsi="宋体"/>
          <w:color w:val="auto"/>
          <w:sz w:val="30"/>
          <w:szCs w:val="30"/>
          <w:highlight w:val="none"/>
        </w:rPr>
      </w:pPr>
      <w:r>
        <w:rPr>
          <w:rFonts w:hAnsi="宋体"/>
          <w:color w:val="auto"/>
          <w:sz w:val="30"/>
          <w:szCs w:val="30"/>
          <w:highlight w:val="none"/>
        </w:rPr>
        <w:t>第</w:t>
      </w:r>
      <w:r>
        <w:rPr>
          <w:rFonts w:hint="eastAsia" w:hAnsi="宋体"/>
          <w:color w:val="auto"/>
          <w:sz w:val="30"/>
          <w:szCs w:val="30"/>
          <w:highlight w:val="none"/>
        </w:rPr>
        <w:t>三</w:t>
      </w:r>
      <w:r>
        <w:rPr>
          <w:rFonts w:hAnsi="宋体"/>
          <w:color w:val="auto"/>
          <w:sz w:val="30"/>
          <w:szCs w:val="30"/>
          <w:highlight w:val="none"/>
        </w:rPr>
        <w:t>部分</w:t>
      </w:r>
      <w:r>
        <w:rPr>
          <w:color w:val="auto"/>
          <w:sz w:val="30"/>
          <w:szCs w:val="30"/>
          <w:highlight w:val="none"/>
        </w:rPr>
        <w:t xml:space="preserve"> </w:t>
      </w:r>
      <w:r>
        <w:rPr>
          <w:rFonts w:hAnsi="宋体"/>
          <w:color w:val="auto"/>
          <w:sz w:val="30"/>
          <w:szCs w:val="30"/>
          <w:highlight w:val="none"/>
        </w:rPr>
        <w:t>专用合同条款</w:t>
      </w:r>
    </w:p>
    <w:p w14:paraId="5F6105F4">
      <w:pPr>
        <w:pStyle w:val="69"/>
        <w:spacing w:line="360" w:lineRule="auto"/>
        <w:jc w:val="center"/>
        <w:rPr>
          <w:rFonts w:hAnsi="宋体"/>
          <w:b/>
          <w:color w:val="auto"/>
          <w:kern w:val="0"/>
          <w:szCs w:val="21"/>
          <w:highlight w:val="none"/>
        </w:rPr>
      </w:pPr>
    </w:p>
    <w:p w14:paraId="4B1DAE86">
      <w:pPr>
        <w:pStyle w:val="91"/>
        <w:spacing w:before="120" w:after="120" w:line="440" w:lineRule="exact"/>
        <w:outlineLvl w:val="0"/>
        <w:rPr>
          <w:rFonts w:ascii="宋体" w:hAnsi="宋体"/>
          <w:color w:val="auto"/>
          <w:szCs w:val="21"/>
          <w:highlight w:val="none"/>
        </w:rPr>
      </w:pPr>
      <w:r>
        <w:rPr>
          <w:rFonts w:hint="eastAsia" w:ascii="宋体" w:hAnsi="宋体"/>
          <w:color w:val="auto"/>
          <w:highlight w:val="none"/>
        </w:rPr>
        <w:t>1. 一般约定</w:t>
      </w:r>
    </w:p>
    <w:p w14:paraId="419772BA">
      <w:pPr>
        <w:pStyle w:val="91"/>
        <w:spacing w:before="120" w:after="120" w:line="440" w:lineRule="exact"/>
        <w:outlineLvl w:val="0"/>
        <w:rPr>
          <w:rFonts w:ascii="宋体" w:hAnsi="宋体"/>
          <w:color w:val="auto"/>
          <w:highlight w:val="none"/>
        </w:rPr>
      </w:pPr>
      <w:r>
        <w:rPr>
          <w:rFonts w:hint="eastAsia" w:ascii="宋体" w:hAnsi="宋体"/>
          <w:color w:val="auto"/>
          <w:highlight w:val="none"/>
        </w:rPr>
        <w:t>1.1 词语定义</w:t>
      </w:r>
    </w:p>
    <w:p w14:paraId="6716335A">
      <w:pPr>
        <w:pStyle w:val="77"/>
        <w:spacing w:line="440" w:lineRule="exact"/>
        <w:rPr>
          <w:rFonts w:ascii="宋体" w:hAnsi="宋体"/>
          <w:b/>
          <w:bCs/>
          <w:color w:val="auto"/>
          <w:kern w:val="0"/>
          <w:highlight w:val="none"/>
        </w:rPr>
      </w:pPr>
      <w:r>
        <w:rPr>
          <w:rFonts w:hint="eastAsia" w:ascii="宋体" w:hAnsi="宋体"/>
          <w:b/>
          <w:bCs/>
          <w:color w:val="auto"/>
          <w:kern w:val="0"/>
          <w:highlight w:val="none"/>
        </w:rPr>
        <w:t>1.1.1合同</w:t>
      </w:r>
    </w:p>
    <w:p w14:paraId="5BCFDCB7">
      <w:pPr>
        <w:pStyle w:val="77"/>
        <w:spacing w:line="440" w:lineRule="exact"/>
        <w:ind w:firstLine="480" w:firstLineChars="200"/>
        <w:rPr>
          <w:rFonts w:ascii="宋体" w:hAnsi="宋体"/>
          <w:color w:val="auto"/>
          <w:kern w:val="0"/>
          <w:highlight w:val="none"/>
        </w:rPr>
      </w:pPr>
      <w:r>
        <w:rPr>
          <w:rFonts w:hint="eastAsia" w:ascii="宋体" w:hAnsi="宋体"/>
          <w:color w:val="auto"/>
          <w:kern w:val="0"/>
          <w:highlight w:val="none"/>
        </w:rPr>
        <w:t>1.1.1.10其他合同文件包括：</w:t>
      </w:r>
      <w:r>
        <w:rPr>
          <w:rFonts w:hint="eastAsia" w:ascii="宋体" w:hAnsi="宋体"/>
          <w:b/>
          <w:bCs/>
          <w:color w:val="auto"/>
          <w:highlight w:val="none"/>
          <w:u w:val="single"/>
        </w:rPr>
        <w:t>双方</w:t>
      </w:r>
      <w:r>
        <w:rPr>
          <w:rFonts w:hint="eastAsia" w:ascii="宋体" w:hAnsi="宋体"/>
          <w:b/>
          <w:bCs/>
          <w:color w:val="auto"/>
          <w:kern w:val="0"/>
          <w:highlight w:val="none"/>
          <w:u w:val="single"/>
        </w:rPr>
        <w:t>约定的与工程施工有关的具有合同约束力的文件或书面协议（如工程变更、招标文件、施工组织设计、其他投标文件等）</w:t>
      </w:r>
      <w:r>
        <w:rPr>
          <w:rFonts w:hint="eastAsia" w:ascii="宋体" w:hAnsi="宋体"/>
          <w:color w:val="auto"/>
          <w:highlight w:val="none"/>
        </w:rPr>
        <w:t>。</w:t>
      </w:r>
    </w:p>
    <w:p w14:paraId="441EC657">
      <w:pPr>
        <w:pStyle w:val="77"/>
        <w:spacing w:line="440" w:lineRule="exact"/>
        <w:rPr>
          <w:rFonts w:ascii="宋体" w:hAnsi="宋体"/>
          <w:b/>
          <w:bCs/>
          <w:color w:val="auto"/>
          <w:highlight w:val="none"/>
        </w:rPr>
      </w:pPr>
      <w:r>
        <w:rPr>
          <w:rFonts w:hint="eastAsia" w:ascii="宋体" w:hAnsi="宋体"/>
          <w:b/>
          <w:bCs/>
          <w:color w:val="auto"/>
          <w:highlight w:val="none"/>
        </w:rPr>
        <w:t>1.1.2  合同当事人及其他相关</w:t>
      </w:r>
    </w:p>
    <w:p w14:paraId="002F5367">
      <w:pPr>
        <w:pStyle w:val="77"/>
        <w:spacing w:line="440" w:lineRule="exact"/>
        <w:ind w:firstLine="484" w:firstLineChars="202"/>
        <w:rPr>
          <w:rFonts w:ascii="宋体" w:hAnsi="宋体"/>
          <w:color w:val="auto"/>
          <w:highlight w:val="none"/>
        </w:rPr>
      </w:pPr>
      <w:r>
        <w:rPr>
          <w:rFonts w:hint="eastAsia" w:ascii="宋体" w:hAnsi="宋体"/>
          <w:color w:val="auto"/>
          <w:highlight w:val="none"/>
        </w:rPr>
        <w:t>1.1.2.4  监理人：</w:t>
      </w:r>
    </w:p>
    <w:p w14:paraId="3ACECC02">
      <w:pPr>
        <w:pStyle w:val="77"/>
        <w:spacing w:line="440" w:lineRule="exact"/>
        <w:ind w:firstLine="480" w:firstLineChars="200"/>
        <w:rPr>
          <w:rFonts w:ascii="宋体" w:hAnsi="宋体"/>
          <w:color w:val="auto"/>
          <w:highlight w:val="none"/>
        </w:rPr>
      </w:pPr>
      <w:r>
        <w:rPr>
          <w:rFonts w:hint="eastAsia" w:ascii="宋体" w:hAnsi="宋体"/>
          <w:color w:val="auto"/>
          <w:highlight w:val="none"/>
        </w:rPr>
        <w:t>名    称：</w:t>
      </w:r>
      <w:r>
        <w:rPr>
          <w:rFonts w:hint="eastAsia" w:ascii="宋体" w:hAnsi="宋体"/>
          <w:color w:val="auto"/>
          <w:highlight w:val="none"/>
          <w:u w:val="single"/>
        </w:rPr>
        <w:t xml:space="preserve">                                                    </w:t>
      </w:r>
      <w:r>
        <w:rPr>
          <w:rFonts w:hint="eastAsia" w:ascii="宋体" w:hAnsi="宋体"/>
          <w:color w:val="auto"/>
          <w:highlight w:val="none"/>
        </w:rPr>
        <w:t>；</w:t>
      </w:r>
    </w:p>
    <w:p w14:paraId="645AFB28">
      <w:pPr>
        <w:pStyle w:val="77"/>
        <w:spacing w:line="440" w:lineRule="exact"/>
        <w:ind w:firstLine="480" w:firstLineChars="200"/>
        <w:rPr>
          <w:rFonts w:ascii="宋体" w:hAnsi="宋体"/>
          <w:color w:val="auto"/>
          <w:highlight w:val="none"/>
        </w:rPr>
      </w:pPr>
      <w:r>
        <w:rPr>
          <w:rFonts w:hint="eastAsia" w:ascii="宋体" w:hAnsi="宋体"/>
          <w:color w:val="auto"/>
          <w:highlight w:val="none"/>
        </w:rPr>
        <w:t>资质类别和等级：</w:t>
      </w:r>
      <w:r>
        <w:rPr>
          <w:rFonts w:hint="eastAsia" w:ascii="宋体" w:hAnsi="宋体"/>
          <w:color w:val="auto"/>
          <w:highlight w:val="none"/>
          <w:u w:val="single"/>
        </w:rPr>
        <w:t xml:space="preserve">                                                 </w:t>
      </w:r>
      <w:r>
        <w:rPr>
          <w:rFonts w:hint="eastAsia" w:ascii="宋体" w:hAnsi="宋体"/>
          <w:color w:val="auto"/>
          <w:highlight w:val="none"/>
        </w:rPr>
        <w:t>；</w:t>
      </w:r>
    </w:p>
    <w:p w14:paraId="72686C53">
      <w:pPr>
        <w:pStyle w:val="77"/>
        <w:spacing w:line="440" w:lineRule="exact"/>
        <w:ind w:firstLine="480" w:firstLineChars="2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rPr>
        <w:t>；</w:t>
      </w:r>
    </w:p>
    <w:p w14:paraId="7DC49FCC">
      <w:pPr>
        <w:pStyle w:val="77"/>
        <w:spacing w:line="440" w:lineRule="exact"/>
        <w:ind w:firstLine="480" w:firstLineChars="200"/>
        <w:rPr>
          <w:rFonts w:ascii="宋体" w:hAnsi="宋体"/>
          <w:color w:val="auto"/>
          <w:highlight w:val="none"/>
        </w:rPr>
      </w:pPr>
      <w:r>
        <w:rPr>
          <w:rFonts w:hint="eastAsia" w:ascii="宋体" w:hAnsi="宋体"/>
          <w:color w:val="auto"/>
          <w:highlight w:val="none"/>
        </w:rPr>
        <w:t>电子信箱：</w:t>
      </w:r>
      <w:r>
        <w:rPr>
          <w:rFonts w:hint="eastAsia" w:ascii="宋体" w:hAnsi="宋体"/>
          <w:color w:val="auto"/>
          <w:highlight w:val="none"/>
          <w:u w:val="single"/>
        </w:rPr>
        <w:t xml:space="preserve">                                                      </w:t>
      </w:r>
      <w:r>
        <w:rPr>
          <w:rFonts w:hint="eastAsia" w:ascii="宋体" w:hAnsi="宋体"/>
          <w:color w:val="auto"/>
          <w:highlight w:val="none"/>
        </w:rPr>
        <w:t>；</w:t>
      </w:r>
    </w:p>
    <w:p w14:paraId="1674EC25">
      <w:pPr>
        <w:pStyle w:val="77"/>
        <w:spacing w:line="440" w:lineRule="exact"/>
        <w:ind w:firstLine="480" w:firstLineChars="200"/>
        <w:rPr>
          <w:rFonts w:ascii="宋体" w:hAnsi="宋体"/>
          <w:color w:val="auto"/>
          <w:highlight w:val="none"/>
        </w:rPr>
      </w:pPr>
      <w:r>
        <w:rPr>
          <w:rFonts w:hint="eastAsia" w:ascii="宋体" w:hAnsi="宋体"/>
          <w:color w:val="auto"/>
          <w:highlight w:val="none"/>
        </w:rPr>
        <w:t>通信地址：</w:t>
      </w:r>
      <w:r>
        <w:rPr>
          <w:rFonts w:hint="eastAsia" w:ascii="宋体" w:hAnsi="宋体"/>
          <w:color w:val="auto"/>
          <w:highlight w:val="none"/>
          <w:u w:val="single"/>
        </w:rPr>
        <w:t xml:space="preserve">                                                      </w:t>
      </w:r>
      <w:r>
        <w:rPr>
          <w:rFonts w:hint="eastAsia" w:ascii="宋体" w:hAnsi="宋体"/>
          <w:color w:val="auto"/>
          <w:highlight w:val="none"/>
        </w:rPr>
        <w:t>。</w:t>
      </w:r>
    </w:p>
    <w:p w14:paraId="7289B114">
      <w:pPr>
        <w:pStyle w:val="77"/>
        <w:spacing w:line="440" w:lineRule="exact"/>
        <w:ind w:firstLine="484" w:firstLineChars="202"/>
        <w:rPr>
          <w:rFonts w:ascii="宋体" w:hAnsi="宋体"/>
          <w:color w:val="auto"/>
          <w:highlight w:val="none"/>
        </w:rPr>
      </w:pPr>
      <w:r>
        <w:rPr>
          <w:rFonts w:hint="eastAsia" w:ascii="宋体" w:hAnsi="宋体"/>
          <w:color w:val="auto"/>
          <w:highlight w:val="none"/>
        </w:rPr>
        <w:t>1.1.2.5  设计人：</w:t>
      </w:r>
    </w:p>
    <w:p w14:paraId="64E0AEEB">
      <w:pPr>
        <w:pStyle w:val="77"/>
        <w:spacing w:line="440" w:lineRule="exact"/>
        <w:ind w:firstLine="480" w:firstLineChars="200"/>
        <w:rPr>
          <w:rFonts w:ascii="宋体" w:hAnsi="宋体"/>
          <w:color w:val="auto"/>
          <w:highlight w:val="none"/>
        </w:rPr>
      </w:pPr>
      <w:r>
        <w:rPr>
          <w:rFonts w:hint="eastAsia" w:ascii="宋体" w:hAnsi="宋体"/>
          <w:color w:val="auto"/>
          <w:highlight w:val="none"/>
        </w:rPr>
        <w:t>名    称：</w:t>
      </w:r>
      <w:r>
        <w:rPr>
          <w:rFonts w:hint="eastAsia" w:ascii="宋体" w:hAnsi="宋体"/>
          <w:color w:val="auto"/>
          <w:highlight w:val="none"/>
          <w:u w:val="single"/>
        </w:rPr>
        <w:t xml:space="preserve">                                                       </w:t>
      </w:r>
      <w:r>
        <w:rPr>
          <w:rFonts w:hint="eastAsia" w:ascii="宋体" w:hAnsi="宋体"/>
          <w:color w:val="auto"/>
          <w:highlight w:val="none"/>
        </w:rPr>
        <w:t>；</w:t>
      </w:r>
    </w:p>
    <w:p w14:paraId="40C2E233">
      <w:pPr>
        <w:pStyle w:val="77"/>
        <w:spacing w:line="440" w:lineRule="exact"/>
        <w:ind w:firstLine="480" w:firstLineChars="200"/>
        <w:rPr>
          <w:rFonts w:ascii="宋体" w:hAnsi="宋体"/>
          <w:color w:val="auto"/>
          <w:highlight w:val="none"/>
        </w:rPr>
      </w:pPr>
      <w:r>
        <w:rPr>
          <w:rFonts w:hint="eastAsia" w:ascii="宋体" w:hAnsi="宋体"/>
          <w:color w:val="auto"/>
          <w:highlight w:val="none"/>
        </w:rPr>
        <w:t>资质类别和等级：</w:t>
      </w:r>
      <w:r>
        <w:rPr>
          <w:rFonts w:hint="eastAsia" w:ascii="宋体" w:hAnsi="宋体"/>
          <w:color w:val="auto"/>
          <w:highlight w:val="none"/>
          <w:u w:val="single"/>
        </w:rPr>
        <w:t xml:space="preserve">                                                 </w:t>
      </w:r>
      <w:r>
        <w:rPr>
          <w:rFonts w:hint="eastAsia" w:ascii="宋体" w:hAnsi="宋体"/>
          <w:color w:val="auto"/>
          <w:highlight w:val="none"/>
        </w:rPr>
        <w:t>；</w:t>
      </w:r>
    </w:p>
    <w:p w14:paraId="0B7757A2">
      <w:pPr>
        <w:pStyle w:val="77"/>
        <w:spacing w:line="440" w:lineRule="exact"/>
        <w:ind w:firstLine="480" w:firstLineChars="2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rPr>
        <w:t>；</w:t>
      </w:r>
    </w:p>
    <w:p w14:paraId="586A0FA0">
      <w:pPr>
        <w:pStyle w:val="77"/>
        <w:spacing w:line="440" w:lineRule="exact"/>
        <w:ind w:firstLine="480" w:firstLineChars="200"/>
        <w:rPr>
          <w:rFonts w:ascii="宋体" w:hAnsi="宋体"/>
          <w:color w:val="auto"/>
          <w:highlight w:val="none"/>
        </w:rPr>
      </w:pPr>
      <w:r>
        <w:rPr>
          <w:rFonts w:hint="eastAsia" w:ascii="宋体" w:hAnsi="宋体"/>
          <w:color w:val="auto"/>
          <w:highlight w:val="none"/>
        </w:rPr>
        <w:t>电子信箱：</w:t>
      </w:r>
      <w:r>
        <w:rPr>
          <w:rFonts w:hint="eastAsia" w:ascii="宋体" w:hAnsi="宋体"/>
          <w:color w:val="auto"/>
          <w:highlight w:val="none"/>
          <w:u w:val="single"/>
        </w:rPr>
        <w:t xml:space="preserve">                                                       </w:t>
      </w:r>
      <w:r>
        <w:rPr>
          <w:rFonts w:hint="eastAsia" w:ascii="宋体" w:hAnsi="宋体"/>
          <w:color w:val="auto"/>
          <w:highlight w:val="none"/>
        </w:rPr>
        <w:t>；</w:t>
      </w:r>
    </w:p>
    <w:p w14:paraId="0E019456">
      <w:pPr>
        <w:pStyle w:val="77"/>
        <w:spacing w:line="400" w:lineRule="exact"/>
        <w:ind w:firstLine="480" w:firstLineChars="200"/>
        <w:rPr>
          <w:rFonts w:ascii="宋体" w:hAnsi="宋体"/>
          <w:color w:val="auto"/>
          <w:highlight w:val="none"/>
        </w:rPr>
      </w:pPr>
      <w:r>
        <w:rPr>
          <w:rFonts w:hint="eastAsia" w:ascii="宋体" w:hAnsi="宋体"/>
          <w:color w:val="auto"/>
          <w:highlight w:val="none"/>
        </w:rPr>
        <w:t>通信地址：</w:t>
      </w:r>
      <w:r>
        <w:rPr>
          <w:rFonts w:hint="eastAsia" w:ascii="宋体" w:hAnsi="宋体"/>
          <w:color w:val="auto"/>
          <w:highlight w:val="none"/>
          <w:u w:val="single"/>
        </w:rPr>
        <w:t xml:space="preserve">                                                      </w:t>
      </w:r>
      <w:r>
        <w:rPr>
          <w:rFonts w:hint="eastAsia" w:ascii="宋体" w:hAnsi="宋体"/>
          <w:color w:val="auto"/>
          <w:highlight w:val="none"/>
        </w:rPr>
        <w:t>。</w:t>
      </w:r>
    </w:p>
    <w:p w14:paraId="54EA35E1">
      <w:pPr>
        <w:pStyle w:val="77"/>
        <w:spacing w:line="440" w:lineRule="exact"/>
        <w:ind w:firstLine="484" w:firstLineChars="202"/>
        <w:rPr>
          <w:rFonts w:ascii="宋体" w:hAnsi="宋体"/>
          <w:color w:val="auto"/>
          <w:highlight w:val="none"/>
        </w:rPr>
      </w:pPr>
      <w:r>
        <w:rPr>
          <w:rFonts w:hint="eastAsia" w:ascii="宋体" w:hAnsi="宋体"/>
          <w:color w:val="auto"/>
          <w:highlight w:val="none"/>
        </w:rPr>
        <w:t>1.1.3  工程和设备</w:t>
      </w:r>
    </w:p>
    <w:p w14:paraId="56AC6631">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1.1.3.7 作为施工现场组成部分的其他场所包括：</w:t>
      </w:r>
      <w:r>
        <w:rPr>
          <w:rFonts w:hint="eastAsia" w:ascii="宋体" w:hAnsi="宋体"/>
          <w:color w:val="auto"/>
          <w:highlight w:val="none"/>
          <w:u w:val="single"/>
        </w:rPr>
        <w:t xml:space="preserve">  无  </w:t>
      </w:r>
      <w:r>
        <w:rPr>
          <w:rFonts w:hint="eastAsia" w:ascii="宋体" w:hAnsi="宋体"/>
          <w:color w:val="auto"/>
          <w:highlight w:val="none"/>
        </w:rPr>
        <w:t>。</w:t>
      </w:r>
    </w:p>
    <w:p w14:paraId="1CAA427C">
      <w:pPr>
        <w:pStyle w:val="77"/>
        <w:spacing w:line="440" w:lineRule="exact"/>
        <w:ind w:firstLine="484" w:firstLineChars="202"/>
        <w:jc w:val="left"/>
        <w:rPr>
          <w:rFonts w:ascii="宋体" w:hAnsi="宋体"/>
          <w:color w:val="auto"/>
          <w:kern w:val="0"/>
          <w:highlight w:val="none"/>
        </w:rPr>
      </w:pPr>
      <w:r>
        <w:rPr>
          <w:rFonts w:hint="eastAsia" w:ascii="宋体" w:hAnsi="宋体"/>
          <w:color w:val="auto"/>
          <w:kern w:val="0"/>
          <w:highlight w:val="none"/>
        </w:rPr>
        <w:t>1.1.3.9  永久占地包括：</w:t>
      </w:r>
      <w:r>
        <w:rPr>
          <w:rFonts w:hint="eastAsia" w:ascii="宋体" w:hAnsi="宋体"/>
          <w:color w:val="auto"/>
          <w:highlight w:val="none"/>
          <w:u w:val="single"/>
        </w:rPr>
        <w:t>实施工程需永久占用的土地</w:t>
      </w:r>
      <w:r>
        <w:rPr>
          <w:rFonts w:hint="eastAsia" w:ascii="宋体" w:hAnsi="宋体"/>
          <w:color w:val="auto"/>
          <w:kern w:val="0"/>
          <w:highlight w:val="none"/>
        </w:rPr>
        <w:t>。</w:t>
      </w:r>
    </w:p>
    <w:p w14:paraId="0D1A4115">
      <w:pPr>
        <w:pStyle w:val="77"/>
        <w:spacing w:line="440" w:lineRule="exact"/>
        <w:ind w:firstLine="484" w:firstLineChars="202"/>
        <w:jc w:val="left"/>
        <w:rPr>
          <w:rFonts w:ascii="宋体" w:hAnsi="宋体"/>
          <w:color w:val="auto"/>
          <w:highlight w:val="none"/>
        </w:rPr>
      </w:pPr>
      <w:r>
        <w:rPr>
          <w:rFonts w:hint="eastAsia" w:ascii="宋体" w:hAnsi="宋体"/>
          <w:color w:val="auto"/>
          <w:kern w:val="0"/>
          <w:highlight w:val="none"/>
        </w:rPr>
        <w:t>1.1.3.10 临时占地包括：</w:t>
      </w:r>
      <w:r>
        <w:rPr>
          <w:rStyle w:val="32"/>
          <w:rFonts w:hint="eastAsia" w:ascii="宋体" w:hAnsi="宋体" w:eastAsia="宋体" w:cs="Times New Roman"/>
          <w:color w:val="auto"/>
          <w:sz w:val="24"/>
          <w:szCs w:val="24"/>
          <w:u w:val="single"/>
        </w:rPr>
        <w:t>实施工程承包人因施工和生活需要临时占用的土地；承包人需要的临时占地由承包人自行解决</w:t>
      </w:r>
      <w:r>
        <w:rPr>
          <w:rFonts w:hint="eastAsia" w:ascii="宋体" w:hAnsi="宋体"/>
          <w:color w:val="auto"/>
          <w:kern w:val="0"/>
          <w:highlight w:val="none"/>
        </w:rPr>
        <w:t>。</w:t>
      </w:r>
    </w:p>
    <w:p w14:paraId="1CF6FF69">
      <w:pPr>
        <w:pStyle w:val="91"/>
        <w:spacing w:before="120" w:after="120" w:line="440" w:lineRule="exact"/>
        <w:outlineLvl w:val="0"/>
        <w:rPr>
          <w:rFonts w:ascii="宋体" w:hAnsi="宋体"/>
          <w:color w:val="auto"/>
          <w:highlight w:val="none"/>
        </w:rPr>
      </w:pPr>
      <w:r>
        <w:rPr>
          <w:rFonts w:hint="eastAsia" w:ascii="宋体" w:hAnsi="宋体"/>
          <w:color w:val="auto"/>
          <w:highlight w:val="none"/>
        </w:rPr>
        <w:t xml:space="preserve">1.3  法律 </w:t>
      </w:r>
    </w:p>
    <w:p w14:paraId="623DE971">
      <w:pPr>
        <w:pStyle w:val="77"/>
        <w:autoSpaceDE w:val="0"/>
        <w:autoSpaceDN w:val="0"/>
        <w:adjustRightInd w:val="0"/>
        <w:spacing w:line="440" w:lineRule="exact"/>
        <w:ind w:left="596" w:leftChars="284"/>
        <w:jc w:val="left"/>
        <w:rPr>
          <w:rFonts w:ascii="宋体" w:hAnsi="宋体"/>
          <w:color w:val="auto"/>
          <w:highlight w:val="none"/>
          <w:u w:val="single"/>
        </w:rPr>
      </w:pPr>
      <w:r>
        <w:rPr>
          <w:rFonts w:hint="eastAsia" w:ascii="宋体" w:hAnsi="宋体"/>
          <w:color w:val="auto"/>
          <w:highlight w:val="none"/>
        </w:rPr>
        <w:t>适用于合同的其他规范性文件：</w:t>
      </w:r>
      <w:r>
        <w:rPr>
          <w:rFonts w:hint="eastAsia" w:ascii="宋体" w:hAnsi="宋体"/>
          <w:color w:val="auto"/>
          <w:highlight w:val="none"/>
          <w:u w:val="single"/>
        </w:rPr>
        <w:t>中华人民共和国现行的法律、行政法规及规章</w:t>
      </w:r>
      <w:r>
        <w:rPr>
          <w:rFonts w:hint="eastAsia" w:ascii="宋体" w:hAnsi="宋体"/>
          <w:color w:val="auto"/>
          <w:highlight w:val="none"/>
        </w:rPr>
        <w:t>。</w:t>
      </w:r>
    </w:p>
    <w:p w14:paraId="69FDD5D1">
      <w:pPr>
        <w:pStyle w:val="91"/>
        <w:spacing w:before="120" w:after="120" w:line="440" w:lineRule="exact"/>
        <w:outlineLvl w:val="0"/>
        <w:rPr>
          <w:rFonts w:ascii="宋体" w:hAnsi="宋体"/>
          <w:color w:val="auto"/>
          <w:highlight w:val="none"/>
        </w:rPr>
      </w:pPr>
      <w:r>
        <w:rPr>
          <w:rFonts w:hint="eastAsia" w:ascii="宋体" w:hAnsi="宋体"/>
          <w:color w:val="auto"/>
          <w:highlight w:val="none"/>
        </w:rPr>
        <w:t>1.4  标准和规范</w:t>
      </w:r>
    </w:p>
    <w:p w14:paraId="47C93F97">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1.4.1 适用于工程的标准规范包括：</w:t>
      </w:r>
      <w:r>
        <w:rPr>
          <w:rFonts w:hint="eastAsia" w:ascii="宋体" w:hAnsi="宋体" w:cs="宋体"/>
          <w:color w:val="auto"/>
          <w:highlight w:val="none"/>
          <w:u w:val="single"/>
        </w:rPr>
        <w:t>国家现行的行业标准及相关规范、行业标准、工程所在地的地方性标准及相关规范、规程</w:t>
      </w:r>
      <w:r>
        <w:rPr>
          <w:rFonts w:hint="eastAsia" w:ascii="宋体" w:hAnsi="宋体"/>
          <w:color w:val="auto"/>
          <w:highlight w:val="none"/>
        </w:rPr>
        <w:t>。</w:t>
      </w:r>
    </w:p>
    <w:p w14:paraId="16E2A0FA">
      <w:pPr>
        <w:pStyle w:val="77"/>
        <w:spacing w:line="440" w:lineRule="exact"/>
        <w:ind w:firstLine="484" w:firstLineChars="202"/>
        <w:rPr>
          <w:rFonts w:ascii="宋体" w:hAnsi="宋体"/>
          <w:color w:val="auto"/>
          <w:kern w:val="0"/>
          <w:highlight w:val="none"/>
          <w:u w:val="single"/>
        </w:rPr>
      </w:pPr>
      <w:r>
        <w:rPr>
          <w:rFonts w:hint="eastAsia" w:ascii="宋体" w:hAnsi="宋体"/>
          <w:color w:val="auto"/>
          <w:kern w:val="0"/>
          <w:highlight w:val="none"/>
        </w:rPr>
        <w:t>1.4.2 发包人提供国外标准、规范的名称：</w:t>
      </w:r>
      <w:r>
        <w:rPr>
          <w:rFonts w:hint="eastAsia" w:ascii="宋体" w:hAnsi="宋体"/>
          <w:color w:val="auto"/>
          <w:kern w:val="0"/>
          <w:highlight w:val="none"/>
          <w:u w:val="single"/>
        </w:rPr>
        <w:t xml:space="preserve">无 </w:t>
      </w:r>
      <w:r>
        <w:rPr>
          <w:rFonts w:hint="eastAsia" w:ascii="宋体" w:hAnsi="宋体"/>
          <w:color w:val="auto"/>
          <w:kern w:val="0"/>
          <w:highlight w:val="none"/>
        </w:rPr>
        <w:t>；</w:t>
      </w:r>
    </w:p>
    <w:p w14:paraId="1605CE9A">
      <w:pPr>
        <w:pStyle w:val="77"/>
        <w:spacing w:line="440" w:lineRule="exact"/>
        <w:ind w:firstLine="480" w:firstLineChars="200"/>
        <w:rPr>
          <w:rFonts w:ascii="宋体" w:hAnsi="宋体"/>
          <w:color w:val="auto"/>
          <w:kern w:val="0"/>
          <w:highlight w:val="none"/>
        </w:rPr>
      </w:pPr>
      <w:r>
        <w:rPr>
          <w:rFonts w:hint="eastAsia" w:ascii="宋体" w:hAnsi="宋体"/>
          <w:color w:val="auto"/>
          <w:kern w:val="0"/>
          <w:highlight w:val="none"/>
        </w:rPr>
        <w:t xml:space="preserve">发包人提供国外标准、规范的份数：  </w:t>
      </w:r>
      <w:r>
        <w:rPr>
          <w:rFonts w:hint="eastAsia" w:ascii="宋体" w:hAnsi="宋体"/>
          <w:color w:val="auto"/>
          <w:kern w:val="0"/>
          <w:highlight w:val="none"/>
          <w:u w:val="single"/>
        </w:rPr>
        <w:t xml:space="preserve">无 </w:t>
      </w:r>
      <w:r>
        <w:rPr>
          <w:rFonts w:hint="eastAsia" w:ascii="宋体" w:hAnsi="宋体"/>
          <w:color w:val="auto"/>
          <w:kern w:val="0"/>
          <w:highlight w:val="none"/>
        </w:rPr>
        <w:t>；</w:t>
      </w:r>
    </w:p>
    <w:p w14:paraId="6470C83E">
      <w:pPr>
        <w:pStyle w:val="77"/>
        <w:spacing w:line="440" w:lineRule="exact"/>
        <w:ind w:firstLine="480" w:firstLineChars="200"/>
        <w:rPr>
          <w:rFonts w:ascii="宋体" w:hAnsi="宋体"/>
          <w:color w:val="auto"/>
          <w:highlight w:val="none"/>
        </w:rPr>
      </w:pPr>
      <w:r>
        <w:rPr>
          <w:rFonts w:hint="eastAsia" w:ascii="宋体" w:hAnsi="宋体"/>
          <w:color w:val="auto"/>
          <w:kern w:val="0"/>
          <w:highlight w:val="none"/>
        </w:rPr>
        <w:t xml:space="preserve">发包人提供国外标准、规范的名称：  </w:t>
      </w:r>
      <w:r>
        <w:rPr>
          <w:rFonts w:hint="eastAsia" w:ascii="宋体" w:hAnsi="宋体"/>
          <w:color w:val="auto"/>
          <w:kern w:val="0"/>
          <w:highlight w:val="none"/>
          <w:u w:val="single"/>
        </w:rPr>
        <w:t xml:space="preserve">无 </w:t>
      </w:r>
      <w:r>
        <w:rPr>
          <w:rFonts w:hint="eastAsia" w:ascii="宋体" w:hAnsi="宋体"/>
          <w:color w:val="auto"/>
          <w:kern w:val="0"/>
          <w:highlight w:val="none"/>
        </w:rPr>
        <w:t>。</w:t>
      </w:r>
    </w:p>
    <w:p w14:paraId="5CE46B6F">
      <w:pPr>
        <w:pStyle w:val="77"/>
        <w:spacing w:line="440" w:lineRule="exact"/>
        <w:ind w:firstLine="484" w:firstLineChars="202"/>
        <w:rPr>
          <w:rFonts w:ascii="宋体" w:hAnsi="宋体"/>
          <w:color w:val="auto"/>
          <w:highlight w:val="none"/>
        </w:rPr>
      </w:pPr>
      <w:r>
        <w:rPr>
          <w:rFonts w:hint="eastAsia" w:ascii="宋体" w:hAnsi="宋体"/>
          <w:color w:val="auto"/>
          <w:highlight w:val="none"/>
        </w:rPr>
        <w:t>1.4.3发包人对工程的技术标准和功能要求的特殊要求：</w:t>
      </w:r>
    </w:p>
    <w:p w14:paraId="4D203FE2">
      <w:pPr>
        <w:pStyle w:val="77"/>
        <w:spacing w:line="440" w:lineRule="exact"/>
        <w:ind w:left="479" w:leftChars="228"/>
        <w:rPr>
          <w:rFonts w:ascii="宋体" w:hAnsi="宋体"/>
          <w:color w:val="auto"/>
          <w:highlight w:val="none"/>
        </w:rPr>
      </w:pPr>
      <w:r>
        <w:rPr>
          <w:rFonts w:hint="eastAsia" w:ascii="宋体" w:hAnsi="宋体"/>
          <w:color w:val="auto"/>
          <w:highlight w:val="none"/>
          <w:u w:val="single"/>
        </w:rPr>
        <w:t>按中华人民共和国现行的标准、行业标准或地方标准执行</w:t>
      </w:r>
      <w:r>
        <w:rPr>
          <w:rFonts w:hint="eastAsia" w:ascii="宋体" w:hAnsi="宋体"/>
          <w:color w:val="auto"/>
          <w:highlight w:val="none"/>
        </w:rPr>
        <w:t>。</w:t>
      </w:r>
    </w:p>
    <w:p w14:paraId="29CDFE8C">
      <w:pPr>
        <w:pStyle w:val="91"/>
        <w:spacing w:before="120" w:after="120" w:line="440" w:lineRule="exact"/>
        <w:outlineLvl w:val="0"/>
        <w:rPr>
          <w:rFonts w:ascii="宋体" w:hAnsi="宋体"/>
          <w:color w:val="auto"/>
          <w:highlight w:val="none"/>
        </w:rPr>
      </w:pPr>
      <w:r>
        <w:rPr>
          <w:rFonts w:hint="eastAsia" w:ascii="宋体" w:hAnsi="宋体"/>
          <w:color w:val="auto"/>
          <w:highlight w:val="none"/>
        </w:rPr>
        <w:t>1.5  合同文件的优先顺序</w:t>
      </w:r>
    </w:p>
    <w:p w14:paraId="0937503F">
      <w:pPr>
        <w:pStyle w:val="77"/>
        <w:spacing w:line="440" w:lineRule="exact"/>
        <w:ind w:left="479" w:leftChars="228"/>
        <w:rPr>
          <w:rFonts w:ascii="宋体" w:hAnsi="宋体"/>
          <w:color w:val="auto"/>
          <w:highlight w:val="none"/>
        </w:rPr>
      </w:pPr>
      <w:r>
        <w:rPr>
          <w:rFonts w:hint="eastAsia" w:ascii="宋体" w:hAnsi="宋体"/>
          <w:color w:val="auto"/>
          <w:highlight w:val="none"/>
        </w:rPr>
        <w:t>合同文件组成及优先顺序为：</w:t>
      </w:r>
    </w:p>
    <w:p w14:paraId="0900401D">
      <w:pPr>
        <w:pStyle w:val="77"/>
        <w:autoSpaceDE w:val="0"/>
        <w:autoSpaceDN w:val="0"/>
        <w:adjustRightInd w:val="0"/>
        <w:spacing w:line="440" w:lineRule="exact"/>
        <w:ind w:firstLine="480" w:firstLineChars="200"/>
        <w:jc w:val="left"/>
        <w:rPr>
          <w:rFonts w:ascii="宋体" w:hAnsi="宋体"/>
          <w:color w:val="auto"/>
          <w:highlight w:val="none"/>
        </w:rPr>
      </w:pPr>
      <w:r>
        <w:rPr>
          <w:rFonts w:hint="eastAsia" w:ascii="宋体" w:hAnsi="宋体"/>
          <w:color w:val="auto"/>
          <w:highlight w:val="none"/>
        </w:rPr>
        <w:t>（1）合同协议书；</w:t>
      </w:r>
    </w:p>
    <w:p w14:paraId="4D19E3EC">
      <w:pPr>
        <w:pStyle w:val="77"/>
        <w:autoSpaceDE w:val="0"/>
        <w:autoSpaceDN w:val="0"/>
        <w:adjustRightInd w:val="0"/>
        <w:spacing w:line="440" w:lineRule="exact"/>
        <w:ind w:firstLine="480" w:firstLineChars="200"/>
        <w:jc w:val="left"/>
        <w:rPr>
          <w:rFonts w:ascii="宋体" w:hAnsi="宋体"/>
          <w:color w:val="auto"/>
          <w:highlight w:val="none"/>
        </w:rPr>
      </w:pPr>
      <w:r>
        <w:rPr>
          <w:rFonts w:hint="eastAsia" w:ascii="宋体" w:hAnsi="宋体"/>
          <w:color w:val="auto"/>
          <w:highlight w:val="none"/>
        </w:rPr>
        <w:t>（2）</w:t>
      </w:r>
      <w:r>
        <w:rPr>
          <w:rFonts w:hint="eastAsia" w:ascii="宋体" w:hAnsi="宋体"/>
          <w:color w:val="auto"/>
          <w:highlight w:val="none"/>
          <w:lang w:eastAsia="zh-CN"/>
        </w:rPr>
        <w:t>成交</w:t>
      </w:r>
      <w:r>
        <w:rPr>
          <w:rFonts w:hint="eastAsia" w:ascii="宋体" w:hAnsi="宋体"/>
          <w:color w:val="auto"/>
          <w:highlight w:val="none"/>
        </w:rPr>
        <w:t>通知书（如果有）；</w:t>
      </w:r>
    </w:p>
    <w:p w14:paraId="7F6E0856">
      <w:pPr>
        <w:pStyle w:val="77"/>
        <w:autoSpaceDE w:val="0"/>
        <w:autoSpaceDN w:val="0"/>
        <w:adjustRightInd w:val="0"/>
        <w:spacing w:line="440" w:lineRule="exact"/>
        <w:ind w:firstLine="480" w:firstLineChars="200"/>
        <w:jc w:val="left"/>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）专用合同条款及其附件；</w:t>
      </w:r>
    </w:p>
    <w:p w14:paraId="592550EE">
      <w:pPr>
        <w:pStyle w:val="77"/>
        <w:autoSpaceDE w:val="0"/>
        <w:autoSpaceDN w:val="0"/>
        <w:adjustRightInd w:val="0"/>
        <w:spacing w:line="440" w:lineRule="exact"/>
        <w:ind w:firstLine="480" w:firstLineChars="200"/>
        <w:jc w:val="left"/>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4</w:t>
      </w:r>
      <w:r>
        <w:rPr>
          <w:rFonts w:hint="eastAsia" w:ascii="宋体" w:hAnsi="宋体"/>
          <w:color w:val="auto"/>
          <w:highlight w:val="none"/>
        </w:rPr>
        <w:t>）通用合同条款；</w:t>
      </w:r>
    </w:p>
    <w:p w14:paraId="3DB1516D">
      <w:pPr>
        <w:pageBreakBefore w:val="0"/>
        <w:widowControl w:val="0"/>
        <w:kinsoku/>
        <w:wordWrap/>
        <w:overflowPunct/>
        <w:topLinePunct w:val="0"/>
        <w:bidi w:val="0"/>
        <w:adjustRightInd w:val="0"/>
        <w:snapToGrid w:val="0"/>
        <w:spacing w:line="380" w:lineRule="exact"/>
        <w:ind w:firstLine="560" w:firstLineChars="200"/>
        <w:textAlignment w:val="auto"/>
        <w:rPr>
          <w:rFonts w:ascii="宋体" w:hAnsi="宋体" w:eastAsia="宋体" w:cs="宋体"/>
          <w:color w:val="auto"/>
          <w:spacing w:val="20"/>
          <w:kern w:val="0"/>
          <w:sz w:val="24"/>
          <w:u w:val="none"/>
        </w:rPr>
      </w:pPr>
      <w:r>
        <w:rPr>
          <w:rFonts w:hint="eastAsia" w:ascii="宋体" w:hAnsi="宋体" w:eastAsia="宋体" w:cs="宋体"/>
          <w:color w:val="auto"/>
          <w:spacing w:val="20"/>
          <w:kern w:val="0"/>
          <w:sz w:val="24"/>
          <w:u w:val="none"/>
        </w:rPr>
        <w:t>（5）技术标准和要求；</w:t>
      </w:r>
    </w:p>
    <w:p w14:paraId="4B76D12B">
      <w:pPr>
        <w:pageBreakBefore w:val="0"/>
        <w:widowControl w:val="0"/>
        <w:kinsoku/>
        <w:wordWrap/>
        <w:overflowPunct/>
        <w:topLinePunct w:val="0"/>
        <w:bidi w:val="0"/>
        <w:adjustRightInd w:val="0"/>
        <w:snapToGrid w:val="0"/>
        <w:spacing w:line="380" w:lineRule="exact"/>
        <w:ind w:firstLine="560" w:firstLineChars="200"/>
        <w:textAlignment w:val="auto"/>
        <w:rPr>
          <w:rFonts w:ascii="宋体" w:hAnsi="宋体" w:eastAsia="宋体" w:cs="宋体"/>
          <w:color w:val="auto"/>
          <w:spacing w:val="20"/>
          <w:kern w:val="0"/>
          <w:sz w:val="24"/>
          <w:u w:val="none"/>
        </w:rPr>
      </w:pPr>
      <w:r>
        <w:rPr>
          <w:rFonts w:hint="eastAsia" w:ascii="宋体" w:hAnsi="宋体" w:eastAsia="宋体" w:cs="宋体"/>
          <w:color w:val="auto"/>
          <w:spacing w:val="20"/>
          <w:kern w:val="0"/>
          <w:sz w:val="24"/>
          <w:u w:val="none"/>
        </w:rPr>
        <w:t>（6）施工图纸；</w:t>
      </w:r>
    </w:p>
    <w:p w14:paraId="14AB22CC">
      <w:pPr>
        <w:pageBreakBefore w:val="0"/>
        <w:widowControl w:val="0"/>
        <w:kinsoku/>
        <w:wordWrap/>
        <w:overflowPunct/>
        <w:topLinePunct w:val="0"/>
        <w:bidi w:val="0"/>
        <w:adjustRightInd w:val="0"/>
        <w:snapToGrid w:val="0"/>
        <w:spacing w:line="380" w:lineRule="exact"/>
        <w:ind w:firstLine="560" w:firstLineChars="200"/>
        <w:textAlignment w:val="auto"/>
        <w:rPr>
          <w:rFonts w:ascii="宋体" w:hAnsi="宋体" w:eastAsia="宋体" w:cs="宋体"/>
          <w:color w:val="auto"/>
          <w:spacing w:val="20"/>
          <w:kern w:val="0"/>
          <w:sz w:val="24"/>
          <w:u w:val="none"/>
        </w:rPr>
      </w:pPr>
      <w:r>
        <w:rPr>
          <w:rFonts w:hint="eastAsia" w:ascii="宋体" w:hAnsi="宋体" w:eastAsia="宋体" w:cs="宋体"/>
          <w:color w:val="auto"/>
          <w:spacing w:val="20"/>
          <w:kern w:val="0"/>
          <w:sz w:val="24"/>
          <w:u w:val="none"/>
        </w:rPr>
        <w:t>（7）已标价的工程量清单（投标文件）；</w:t>
      </w:r>
    </w:p>
    <w:p w14:paraId="59C1F72A">
      <w:pPr>
        <w:pageBreakBefore w:val="0"/>
        <w:widowControl w:val="0"/>
        <w:kinsoku/>
        <w:wordWrap/>
        <w:overflowPunct/>
        <w:topLinePunct w:val="0"/>
        <w:bidi w:val="0"/>
        <w:adjustRightInd w:val="0"/>
        <w:snapToGrid w:val="0"/>
        <w:spacing w:line="380" w:lineRule="exact"/>
        <w:ind w:firstLine="560" w:firstLineChars="200"/>
        <w:textAlignment w:val="auto"/>
        <w:rPr>
          <w:rFonts w:ascii="宋体" w:hAnsi="宋体" w:eastAsia="宋体" w:cs="宋体"/>
          <w:color w:val="auto"/>
          <w:spacing w:val="20"/>
          <w:kern w:val="0"/>
          <w:sz w:val="24"/>
          <w:u w:val="none"/>
        </w:rPr>
      </w:pPr>
      <w:r>
        <w:rPr>
          <w:rFonts w:hint="eastAsia" w:ascii="宋体" w:hAnsi="宋体" w:eastAsia="宋体" w:cs="宋体"/>
          <w:color w:val="auto"/>
          <w:spacing w:val="20"/>
          <w:kern w:val="0"/>
          <w:sz w:val="24"/>
          <w:u w:val="none"/>
        </w:rPr>
        <w:t>（8）其他合同文件、设计变更等文件  。</w:t>
      </w:r>
    </w:p>
    <w:p w14:paraId="23213A88">
      <w:pPr>
        <w:pageBreakBefore w:val="0"/>
        <w:widowControl w:val="0"/>
        <w:kinsoku/>
        <w:wordWrap/>
        <w:overflowPunct/>
        <w:topLinePunct w:val="0"/>
        <w:bidi w:val="0"/>
        <w:adjustRightInd w:val="0"/>
        <w:snapToGrid w:val="0"/>
        <w:spacing w:line="380" w:lineRule="exact"/>
        <w:ind w:firstLine="560" w:firstLineChars="200"/>
        <w:textAlignment w:val="auto"/>
        <w:rPr>
          <w:rFonts w:hint="eastAsia" w:ascii="宋体" w:hAnsi="宋体" w:eastAsia="宋体" w:cs="宋体"/>
          <w:color w:val="auto"/>
          <w:spacing w:val="20"/>
          <w:kern w:val="0"/>
          <w:sz w:val="24"/>
          <w:u w:val="none"/>
        </w:rPr>
      </w:pPr>
      <w:r>
        <w:rPr>
          <w:rFonts w:hint="eastAsia" w:ascii="宋体" w:hAnsi="宋体" w:eastAsia="宋体" w:cs="宋体"/>
          <w:color w:val="auto"/>
          <w:spacing w:val="20"/>
          <w:kern w:val="0"/>
          <w:sz w:val="24"/>
          <w:u w:val="none"/>
        </w:rPr>
        <w:t>（9）其他合同文件：</w:t>
      </w:r>
    </w:p>
    <w:p w14:paraId="379B73E3">
      <w:pPr>
        <w:pageBreakBefore w:val="0"/>
        <w:widowControl w:val="0"/>
        <w:kinsoku/>
        <w:wordWrap/>
        <w:overflowPunct/>
        <w:topLinePunct w:val="0"/>
        <w:bidi w:val="0"/>
        <w:adjustRightInd w:val="0"/>
        <w:snapToGrid w:val="0"/>
        <w:spacing w:line="380" w:lineRule="exact"/>
        <w:ind w:firstLine="560" w:firstLineChars="200"/>
        <w:textAlignment w:val="auto"/>
        <w:rPr>
          <w:rFonts w:hint="eastAsia" w:ascii="宋体" w:hAnsi="宋体" w:eastAsia="宋体" w:cs="宋体"/>
          <w:color w:val="auto"/>
          <w:spacing w:val="20"/>
          <w:kern w:val="0"/>
          <w:sz w:val="24"/>
        </w:rPr>
      </w:pPr>
      <w:r>
        <w:rPr>
          <w:rFonts w:hint="eastAsia" w:ascii="宋体" w:hAnsi="宋体" w:eastAsia="宋体" w:cs="宋体"/>
          <w:color w:val="auto"/>
          <w:spacing w:val="20"/>
          <w:kern w:val="0"/>
          <w:sz w:val="24"/>
        </w:rPr>
        <w:t>上述各项合同文件包括合同当事人就该项合同文件所作出的补充和修改，属于同一类内容的文件，应以最新签署的为准（违反招标文件实质性内容的约定除外）。专用合同条款及其附件须经合同当事人签字或盖章。</w:t>
      </w:r>
    </w:p>
    <w:p w14:paraId="1CBEED1B">
      <w:pPr>
        <w:pageBreakBefore w:val="0"/>
        <w:widowControl w:val="0"/>
        <w:kinsoku/>
        <w:wordWrap/>
        <w:overflowPunct/>
        <w:topLinePunct w:val="0"/>
        <w:bidi w:val="0"/>
        <w:adjustRightInd w:val="0"/>
        <w:snapToGrid w:val="0"/>
        <w:spacing w:line="380" w:lineRule="exact"/>
        <w:ind w:firstLine="560" w:firstLineChars="200"/>
        <w:textAlignment w:val="auto"/>
        <w:rPr>
          <w:rFonts w:ascii="宋体" w:hAnsi="宋体" w:eastAsia="宋体" w:cs="宋体"/>
          <w:color w:val="auto"/>
          <w:spacing w:val="20"/>
          <w:sz w:val="24"/>
        </w:rPr>
      </w:pPr>
      <w:r>
        <w:rPr>
          <w:rFonts w:hint="eastAsia" w:ascii="宋体" w:hAnsi="宋体" w:eastAsia="宋体" w:cs="宋体"/>
          <w:color w:val="auto"/>
          <w:spacing w:val="20"/>
          <w:kern w:val="0"/>
          <w:sz w:val="24"/>
        </w:rPr>
        <w:t>说明：（6）、（7）、（8）填空内容分别限于技术标准和要求、图纸、已标价工程量清单或预算书、其他合同文件四者之一，其优先顺序可根据采取的不同合同方式由双方约定。</w:t>
      </w:r>
    </w:p>
    <w:p w14:paraId="32668C7C">
      <w:pPr>
        <w:pStyle w:val="91"/>
        <w:spacing w:before="120" w:after="120" w:line="440" w:lineRule="exact"/>
        <w:outlineLvl w:val="0"/>
        <w:rPr>
          <w:rFonts w:ascii="宋体" w:hAnsi="宋体"/>
          <w:color w:val="auto"/>
          <w:highlight w:val="none"/>
        </w:rPr>
      </w:pPr>
      <w:r>
        <w:rPr>
          <w:rFonts w:hint="eastAsia" w:ascii="宋体" w:hAnsi="宋体"/>
          <w:color w:val="auto"/>
          <w:highlight w:val="none"/>
        </w:rPr>
        <w:t>1.6 图纸和承包人文件</w:t>
      </w:r>
      <w:r>
        <w:rPr>
          <w:rFonts w:hint="eastAsia" w:ascii="宋体" w:hAnsi="宋体"/>
          <w:color w:val="auto"/>
          <w:highlight w:val="none"/>
        </w:rPr>
        <w:tab/>
      </w:r>
    </w:p>
    <w:p w14:paraId="7B9A6B16">
      <w:pPr>
        <w:pStyle w:val="77"/>
        <w:spacing w:line="440" w:lineRule="exact"/>
        <w:outlineLvl w:val="0"/>
        <w:rPr>
          <w:rFonts w:ascii="宋体" w:hAnsi="宋体"/>
          <w:b/>
          <w:bCs/>
          <w:color w:val="auto"/>
          <w:highlight w:val="none"/>
        </w:rPr>
      </w:pPr>
      <w:r>
        <w:rPr>
          <w:rFonts w:hint="eastAsia" w:ascii="宋体" w:hAnsi="宋体"/>
          <w:b/>
          <w:bCs/>
          <w:color w:val="auto"/>
          <w:highlight w:val="none"/>
        </w:rPr>
        <w:t>1.6.1 图纸的提供</w:t>
      </w:r>
    </w:p>
    <w:p w14:paraId="3082D523">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发包人向承包人提供图纸的期限：</w:t>
      </w:r>
      <w:r>
        <w:rPr>
          <w:rFonts w:hint="eastAsia" w:ascii="宋体" w:hAnsi="宋体"/>
          <w:color w:val="auto"/>
          <w:highlight w:val="none"/>
          <w:u w:val="single"/>
        </w:rPr>
        <w:t>合同签订后7天内（且不迟于开工通知载明的开工日期前14天）提供</w:t>
      </w:r>
      <w:r>
        <w:rPr>
          <w:rFonts w:hint="eastAsia" w:ascii="宋体" w:hAnsi="宋体"/>
          <w:color w:val="auto"/>
          <w:highlight w:val="none"/>
        </w:rPr>
        <w:t>；</w:t>
      </w:r>
    </w:p>
    <w:p w14:paraId="763A441A">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发包人向承包人提供图纸的数量：</w:t>
      </w:r>
      <w:r>
        <w:rPr>
          <w:rFonts w:hint="eastAsia" w:ascii="宋体" w:hAnsi="宋体"/>
          <w:color w:val="auto"/>
          <w:highlight w:val="none"/>
          <w:lang w:eastAsia="zh-CN"/>
        </w:rPr>
        <w:t>壹</w:t>
      </w:r>
      <w:r>
        <w:rPr>
          <w:rFonts w:hint="eastAsia" w:ascii="宋体" w:hAnsi="宋体"/>
          <w:color w:val="auto"/>
          <w:highlight w:val="none"/>
          <w:u w:val="single"/>
        </w:rPr>
        <w:t>套</w:t>
      </w:r>
      <w:r>
        <w:rPr>
          <w:rFonts w:hint="eastAsia" w:ascii="宋体" w:hAnsi="宋体"/>
          <w:color w:val="auto"/>
          <w:highlight w:val="none"/>
          <w:u w:val="single"/>
          <w:lang w:val="en-US" w:eastAsia="zh-CN"/>
        </w:rPr>
        <w:t xml:space="preserve">  </w:t>
      </w:r>
      <w:r>
        <w:rPr>
          <w:rFonts w:hint="eastAsia" w:ascii="宋体" w:hAnsi="宋体"/>
          <w:color w:val="auto"/>
          <w:highlight w:val="none"/>
        </w:rPr>
        <w:t>；</w:t>
      </w:r>
    </w:p>
    <w:p w14:paraId="60ACBEAE">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发包人向承包人提供图纸的内容：</w:t>
      </w:r>
      <w:r>
        <w:rPr>
          <w:rFonts w:hint="eastAsia" w:ascii="宋体" w:hAnsi="宋体"/>
          <w:color w:val="auto"/>
          <w:highlight w:val="none"/>
          <w:u w:val="single"/>
          <w:lang w:eastAsia="zh-CN"/>
        </w:rPr>
        <w:t>施工图</w:t>
      </w:r>
      <w:r>
        <w:rPr>
          <w:rFonts w:hint="eastAsia" w:ascii="宋体" w:hAnsi="宋体"/>
          <w:color w:val="auto"/>
          <w:highlight w:val="none"/>
          <w:u w:val="single"/>
          <w:lang w:val="en-US" w:eastAsia="zh-CN"/>
        </w:rPr>
        <w:t xml:space="preserve">  </w:t>
      </w:r>
      <w:r>
        <w:rPr>
          <w:rFonts w:hint="eastAsia" w:ascii="宋体" w:hAnsi="宋体"/>
          <w:color w:val="auto"/>
          <w:highlight w:val="none"/>
        </w:rPr>
        <w:t>。</w:t>
      </w:r>
    </w:p>
    <w:p w14:paraId="4B9042C6">
      <w:pPr>
        <w:pStyle w:val="77"/>
        <w:spacing w:line="440" w:lineRule="exact"/>
        <w:rPr>
          <w:rFonts w:ascii="宋体" w:hAnsi="宋体"/>
          <w:b/>
          <w:bCs/>
          <w:color w:val="auto"/>
          <w:highlight w:val="none"/>
        </w:rPr>
      </w:pPr>
      <w:r>
        <w:rPr>
          <w:rFonts w:hint="eastAsia" w:ascii="宋体" w:hAnsi="宋体"/>
          <w:b/>
          <w:bCs/>
          <w:color w:val="auto"/>
          <w:highlight w:val="none"/>
        </w:rPr>
        <w:t>1.6.4  承包人文件</w:t>
      </w:r>
    </w:p>
    <w:p w14:paraId="6A26C49D">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需要由承包人提供的文件，包括：</w:t>
      </w:r>
      <w:r>
        <w:rPr>
          <w:rFonts w:hint="eastAsia" w:ascii="宋体" w:hAnsi="宋体"/>
          <w:color w:val="auto"/>
          <w:highlight w:val="none"/>
          <w:u w:val="single"/>
          <w:lang w:eastAsia="zh-CN"/>
        </w:rPr>
        <w:t>工程竣工验收资料</w:t>
      </w:r>
      <w:r>
        <w:rPr>
          <w:rFonts w:hint="eastAsia" w:ascii="宋体" w:hAnsi="宋体"/>
          <w:color w:val="auto"/>
          <w:highlight w:val="none"/>
          <w:u w:val="single"/>
        </w:rPr>
        <w:t xml:space="preserve"> ；</w:t>
      </w:r>
    </w:p>
    <w:p w14:paraId="75352C12">
      <w:pPr>
        <w:pStyle w:val="77"/>
        <w:spacing w:line="440" w:lineRule="exact"/>
        <w:ind w:firstLine="480" w:firstLineChars="200"/>
        <w:rPr>
          <w:rFonts w:ascii="宋体" w:hAnsi="宋体"/>
          <w:color w:val="auto"/>
          <w:highlight w:val="none"/>
        </w:rPr>
      </w:pPr>
      <w:r>
        <w:rPr>
          <w:rFonts w:hint="eastAsia" w:ascii="宋体" w:hAnsi="宋体"/>
          <w:color w:val="auto"/>
          <w:highlight w:val="none"/>
        </w:rPr>
        <w:t>承包人提供的文件的期限为：</w:t>
      </w:r>
      <w:r>
        <w:rPr>
          <w:rFonts w:hint="eastAsia" w:ascii="宋体" w:hAnsi="宋体" w:eastAsia="宋体" w:cs="宋体"/>
          <w:sz w:val="21"/>
          <w:szCs w:val="21"/>
          <w:u w:val="single"/>
        </w:rPr>
        <w:t>竣工验收合格后</w:t>
      </w:r>
      <w:r>
        <w:rPr>
          <w:rFonts w:hint="eastAsia" w:ascii="宋体" w:hAnsi="宋体" w:eastAsia="宋体" w:cs="宋体"/>
          <w:sz w:val="21"/>
          <w:szCs w:val="21"/>
          <w:u w:val="single"/>
          <w:lang w:val="en-US" w:eastAsia="zh-CN"/>
        </w:rPr>
        <w:t>20天内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635D3C5">
      <w:pPr>
        <w:pStyle w:val="77"/>
        <w:spacing w:line="440" w:lineRule="exact"/>
        <w:ind w:firstLine="480" w:firstLineChars="200"/>
        <w:rPr>
          <w:rFonts w:ascii="宋体" w:hAnsi="宋体"/>
          <w:color w:val="auto"/>
          <w:highlight w:val="none"/>
        </w:rPr>
      </w:pPr>
      <w:r>
        <w:rPr>
          <w:rFonts w:hint="eastAsia" w:ascii="宋体" w:hAnsi="宋体"/>
          <w:color w:val="auto"/>
          <w:highlight w:val="none"/>
        </w:rPr>
        <w:t>承包人提供的文件的数量为：</w:t>
      </w:r>
      <w:r>
        <w:rPr>
          <w:rFonts w:hint="eastAsia" w:ascii="宋体" w:hAnsi="宋体"/>
          <w:color w:val="auto"/>
          <w:highlight w:val="non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rPr>
        <w:t>；</w:t>
      </w:r>
    </w:p>
    <w:p w14:paraId="08E5FC27">
      <w:pPr>
        <w:pStyle w:val="77"/>
        <w:spacing w:line="440" w:lineRule="exact"/>
        <w:ind w:firstLine="480" w:firstLineChars="200"/>
        <w:rPr>
          <w:rFonts w:hint="eastAsia" w:ascii="宋体" w:hAnsi="宋体" w:eastAsia="宋体" w:cs="宋体"/>
          <w:color w:val="auto"/>
          <w:sz w:val="21"/>
          <w:szCs w:val="21"/>
          <w:highlight w:val="none"/>
        </w:rPr>
      </w:pPr>
      <w:r>
        <w:rPr>
          <w:rFonts w:hint="eastAsia" w:ascii="宋体" w:hAnsi="宋体"/>
          <w:color w:val="auto"/>
          <w:highlight w:val="none"/>
        </w:rPr>
        <w:t>承包人提供的文件的形式为：</w:t>
      </w:r>
      <w:r>
        <w:rPr>
          <w:rFonts w:hint="eastAsia" w:ascii="宋体" w:hAnsi="宋体" w:eastAsia="宋体" w:cs="宋体"/>
          <w:sz w:val="21"/>
          <w:szCs w:val="21"/>
          <w:u w:val="single"/>
        </w:rPr>
        <w:t>纸质及电子文档</w:t>
      </w:r>
      <w:r>
        <w:rPr>
          <w:rFonts w:hint="eastAsia" w:ascii="宋体" w:hAnsi="宋体" w:eastAsia="宋体" w:cs="宋体"/>
          <w:color w:val="auto"/>
          <w:sz w:val="21"/>
          <w:szCs w:val="21"/>
          <w:highlight w:val="none"/>
        </w:rPr>
        <w:t>；</w:t>
      </w:r>
    </w:p>
    <w:p w14:paraId="014825C9">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发包人审批承包人文件的期限：</w:t>
      </w:r>
      <w:r>
        <w:rPr>
          <w:rFonts w:hint="eastAsia" w:ascii="宋体" w:hAnsi="宋体"/>
          <w:color w:val="auto"/>
          <w:highlight w:val="none"/>
          <w:u w:val="single"/>
        </w:rPr>
        <w:t xml:space="preserve"> 14天 </w:t>
      </w:r>
      <w:r>
        <w:rPr>
          <w:rFonts w:hint="eastAsia" w:ascii="宋体" w:hAnsi="宋体"/>
          <w:color w:val="auto"/>
          <w:highlight w:val="none"/>
        </w:rPr>
        <w:t>。</w:t>
      </w:r>
    </w:p>
    <w:p w14:paraId="64C0413B">
      <w:pPr>
        <w:pStyle w:val="77"/>
        <w:spacing w:line="440" w:lineRule="exact"/>
        <w:rPr>
          <w:rFonts w:ascii="宋体" w:hAnsi="宋体"/>
          <w:b/>
          <w:bCs/>
          <w:color w:val="auto"/>
          <w:highlight w:val="none"/>
        </w:rPr>
      </w:pPr>
      <w:r>
        <w:rPr>
          <w:rFonts w:hint="eastAsia" w:ascii="宋体" w:hAnsi="宋体"/>
          <w:b/>
          <w:bCs/>
          <w:color w:val="auto"/>
          <w:highlight w:val="none"/>
        </w:rPr>
        <w:t>1.6.5  现场图纸准备</w:t>
      </w:r>
    </w:p>
    <w:p w14:paraId="72A25DB7">
      <w:pPr>
        <w:pStyle w:val="77"/>
        <w:spacing w:line="440" w:lineRule="exact"/>
        <w:ind w:firstLine="480" w:firstLineChars="200"/>
        <w:rPr>
          <w:rFonts w:ascii="宋体" w:hAnsi="宋体"/>
          <w:color w:val="auto"/>
          <w:highlight w:val="none"/>
        </w:rPr>
      </w:pPr>
      <w:r>
        <w:rPr>
          <w:rFonts w:hint="eastAsia" w:ascii="宋体" w:hAnsi="宋体"/>
          <w:color w:val="auto"/>
          <w:highlight w:val="none"/>
        </w:rPr>
        <w:t>关于现场图纸准备的约定：</w:t>
      </w:r>
      <w:r>
        <w:rPr>
          <w:rFonts w:hint="eastAsia" w:ascii="宋体" w:hAnsi="宋体"/>
          <w:color w:val="auto"/>
          <w:highlight w:val="none"/>
          <w:u w:val="single"/>
        </w:rPr>
        <w:t>按《通用合同条款》执行</w:t>
      </w:r>
      <w:r>
        <w:rPr>
          <w:rFonts w:hint="eastAsia" w:ascii="宋体" w:hAnsi="宋体"/>
          <w:color w:val="auto"/>
          <w:highlight w:val="none"/>
        </w:rPr>
        <w:t>。</w:t>
      </w:r>
    </w:p>
    <w:p w14:paraId="6ACA55AA">
      <w:pPr>
        <w:pStyle w:val="91"/>
        <w:spacing w:before="120" w:after="120" w:line="440" w:lineRule="exact"/>
        <w:outlineLvl w:val="0"/>
        <w:rPr>
          <w:rFonts w:ascii="宋体" w:hAnsi="宋体"/>
          <w:color w:val="auto"/>
          <w:highlight w:val="none"/>
        </w:rPr>
      </w:pPr>
      <w:r>
        <w:rPr>
          <w:rFonts w:hint="eastAsia" w:ascii="宋体" w:hAnsi="宋体"/>
          <w:color w:val="auto"/>
          <w:highlight w:val="none"/>
        </w:rPr>
        <w:t>1.7  联络</w:t>
      </w:r>
    </w:p>
    <w:p w14:paraId="095BA83E">
      <w:pPr>
        <w:pStyle w:val="77"/>
        <w:spacing w:line="440" w:lineRule="exact"/>
        <w:ind w:firstLine="484" w:firstLineChars="202"/>
        <w:rPr>
          <w:rFonts w:ascii="宋体" w:hAnsi="宋体"/>
          <w:color w:val="auto"/>
          <w:kern w:val="0"/>
          <w:highlight w:val="none"/>
        </w:rPr>
      </w:pPr>
      <w:r>
        <w:rPr>
          <w:rFonts w:hint="eastAsia" w:ascii="宋体" w:hAnsi="宋体"/>
          <w:color w:val="auto"/>
          <w:kern w:val="0"/>
          <w:highlight w:val="none"/>
        </w:rPr>
        <w:t>1.7.1 发包人和承包人应当在</w:t>
      </w:r>
      <w:r>
        <w:rPr>
          <w:rFonts w:hint="eastAsia" w:ascii="宋体" w:hAnsi="宋体"/>
          <w:color w:val="auto"/>
          <w:highlight w:val="none"/>
          <w:u w:val="single"/>
        </w:rPr>
        <w:t xml:space="preserve">3  </w:t>
      </w:r>
      <w:r>
        <w:rPr>
          <w:rFonts w:hint="eastAsia" w:ascii="宋体" w:hAnsi="宋体"/>
          <w:color w:val="auto"/>
          <w:kern w:val="0"/>
          <w:highlight w:val="none"/>
        </w:rPr>
        <w:t>天内将与合同有关的通知、批准、证明、证书、指示、指令、要求、请求、同意、意见、确定和决定等书面函件送达对方当事人。</w:t>
      </w:r>
    </w:p>
    <w:p w14:paraId="59BAFC3D">
      <w:pPr>
        <w:pStyle w:val="77"/>
        <w:spacing w:line="440" w:lineRule="exact"/>
        <w:ind w:firstLine="484" w:firstLineChars="202"/>
        <w:rPr>
          <w:rFonts w:ascii="宋体" w:hAnsi="宋体"/>
          <w:color w:val="auto"/>
          <w:kern w:val="0"/>
          <w:highlight w:val="none"/>
        </w:rPr>
      </w:pPr>
      <w:r>
        <w:rPr>
          <w:rFonts w:hint="eastAsia" w:ascii="宋体" w:hAnsi="宋体"/>
          <w:color w:val="auto"/>
          <w:kern w:val="0"/>
          <w:highlight w:val="none"/>
        </w:rPr>
        <w:t>1.7.2 发包人接收文件的地点：</w:t>
      </w:r>
      <w:r>
        <w:rPr>
          <w:rFonts w:hint="eastAsia" w:ascii="宋体" w:hAnsi="宋体"/>
          <w:color w:val="auto"/>
          <w:kern w:val="0"/>
          <w:highlight w:val="none"/>
          <w:u w:val="single"/>
        </w:rPr>
        <w:t xml:space="preserve">                                  </w:t>
      </w:r>
      <w:r>
        <w:rPr>
          <w:rFonts w:hint="eastAsia" w:ascii="宋体" w:hAnsi="宋体"/>
          <w:color w:val="auto"/>
          <w:kern w:val="0"/>
          <w:highlight w:val="none"/>
        </w:rPr>
        <w:t>；</w:t>
      </w:r>
    </w:p>
    <w:p w14:paraId="5C6461C3">
      <w:pPr>
        <w:pStyle w:val="77"/>
        <w:spacing w:line="440" w:lineRule="exact"/>
        <w:ind w:firstLine="1233" w:firstLineChars="514"/>
        <w:rPr>
          <w:rFonts w:ascii="宋体" w:hAnsi="宋体"/>
          <w:color w:val="auto"/>
          <w:kern w:val="0"/>
          <w:highlight w:val="none"/>
        </w:rPr>
      </w:pPr>
      <w:r>
        <w:rPr>
          <w:rFonts w:hint="eastAsia" w:ascii="宋体" w:hAnsi="宋体"/>
          <w:color w:val="auto"/>
          <w:kern w:val="0"/>
          <w:highlight w:val="none"/>
        </w:rPr>
        <w:t>发包人指定的接收人为：</w:t>
      </w:r>
      <w:r>
        <w:rPr>
          <w:rFonts w:hint="eastAsia" w:ascii="宋体" w:hAnsi="宋体"/>
          <w:color w:val="auto"/>
          <w:kern w:val="0"/>
          <w:highlight w:val="none"/>
          <w:u w:val="single"/>
        </w:rPr>
        <w:t xml:space="preserve">                                  </w:t>
      </w:r>
      <w:r>
        <w:rPr>
          <w:rFonts w:hint="eastAsia" w:ascii="宋体" w:hAnsi="宋体"/>
          <w:color w:val="auto"/>
          <w:kern w:val="0"/>
          <w:highlight w:val="none"/>
        </w:rPr>
        <w:t xml:space="preserve">。     </w:t>
      </w:r>
    </w:p>
    <w:p w14:paraId="246CAD4C">
      <w:pPr>
        <w:pStyle w:val="77"/>
        <w:spacing w:line="440" w:lineRule="exact"/>
        <w:ind w:firstLine="1233" w:firstLineChars="514"/>
        <w:rPr>
          <w:rFonts w:ascii="宋体" w:hAnsi="宋体"/>
          <w:color w:val="auto"/>
          <w:kern w:val="0"/>
          <w:highlight w:val="none"/>
        </w:rPr>
      </w:pPr>
      <w:r>
        <w:rPr>
          <w:rFonts w:hint="eastAsia" w:ascii="宋体" w:hAnsi="宋体"/>
          <w:color w:val="auto"/>
          <w:kern w:val="0"/>
          <w:highlight w:val="none"/>
        </w:rPr>
        <w:t>承包人接收文件的地点：</w:t>
      </w:r>
      <w:r>
        <w:rPr>
          <w:rFonts w:hint="eastAsia" w:ascii="宋体" w:hAnsi="宋体"/>
          <w:color w:val="auto"/>
          <w:kern w:val="0"/>
          <w:highlight w:val="none"/>
          <w:u w:val="single"/>
        </w:rPr>
        <w:t xml:space="preserve">                                  </w:t>
      </w:r>
      <w:r>
        <w:rPr>
          <w:rFonts w:hint="eastAsia" w:ascii="宋体" w:hAnsi="宋体"/>
          <w:color w:val="auto"/>
          <w:kern w:val="0"/>
          <w:highlight w:val="none"/>
        </w:rPr>
        <w:t>；</w:t>
      </w:r>
    </w:p>
    <w:p w14:paraId="483707FD">
      <w:pPr>
        <w:pStyle w:val="77"/>
        <w:spacing w:line="440" w:lineRule="exact"/>
        <w:ind w:firstLine="1233" w:firstLineChars="514"/>
        <w:rPr>
          <w:rFonts w:ascii="宋体" w:hAnsi="宋体"/>
          <w:color w:val="auto"/>
          <w:kern w:val="0"/>
          <w:highlight w:val="none"/>
        </w:rPr>
      </w:pPr>
      <w:r>
        <w:rPr>
          <w:rFonts w:hint="eastAsia" w:ascii="宋体" w:hAnsi="宋体"/>
          <w:color w:val="auto"/>
          <w:kern w:val="0"/>
          <w:highlight w:val="none"/>
        </w:rPr>
        <w:t>承包人指定的接收人为：</w:t>
      </w:r>
      <w:r>
        <w:rPr>
          <w:rFonts w:hint="eastAsia" w:ascii="宋体" w:hAnsi="宋体"/>
          <w:color w:val="auto"/>
          <w:kern w:val="0"/>
          <w:highlight w:val="none"/>
          <w:u w:val="single"/>
        </w:rPr>
        <w:t xml:space="preserve">                                  </w:t>
      </w:r>
      <w:r>
        <w:rPr>
          <w:rFonts w:hint="eastAsia" w:ascii="宋体" w:hAnsi="宋体"/>
          <w:color w:val="auto"/>
          <w:kern w:val="0"/>
          <w:highlight w:val="none"/>
        </w:rPr>
        <w:t xml:space="preserve">。       </w:t>
      </w:r>
    </w:p>
    <w:p w14:paraId="63B45BAB">
      <w:pPr>
        <w:pStyle w:val="77"/>
        <w:spacing w:line="440" w:lineRule="exact"/>
        <w:ind w:firstLine="1233" w:firstLineChars="514"/>
        <w:rPr>
          <w:rFonts w:ascii="宋体" w:hAnsi="宋体"/>
          <w:color w:val="auto"/>
          <w:kern w:val="0"/>
          <w:highlight w:val="none"/>
        </w:rPr>
      </w:pPr>
      <w:r>
        <w:rPr>
          <w:rFonts w:hint="eastAsia" w:ascii="宋体" w:hAnsi="宋体"/>
          <w:color w:val="auto"/>
          <w:kern w:val="0"/>
          <w:highlight w:val="none"/>
        </w:rPr>
        <w:t>监理人接收文件的地点：</w:t>
      </w:r>
      <w:r>
        <w:rPr>
          <w:rFonts w:hint="eastAsia" w:ascii="宋体" w:hAnsi="宋体"/>
          <w:color w:val="auto"/>
          <w:kern w:val="0"/>
          <w:highlight w:val="none"/>
          <w:u w:val="single"/>
        </w:rPr>
        <w:t xml:space="preserve">                                  </w:t>
      </w:r>
      <w:r>
        <w:rPr>
          <w:rFonts w:hint="eastAsia" w:ascii="宋体" w:hAnsi="宋体"/>
          <w:color w:val="auto"/>
          <w:kern w:val="0"/>
          <w:highlight w:val="none"/>
        </w:rPr>
        <w:t>；</w:t>
      </w:r>
    </w:p>
    <w:p w14:paraId="5E5C4F58">
      <w:pPr>
        <w:pStyle w:val="77"/>
        <w:spacing w:line="440" w:lineRule="exact"/>
        <w:ind w:firstLine="1233" w:firstLineChars="514"/>
        <w:rPr>
          <w:rFonts w:ascii="宋体" w:hAnsi="宋体"/>
          <w:color w:val="auto"/>
          <w:kern w:val="0"/>
          <w:highlight w:val="none"/>
        </w:rPr>
      </w:pPr>
      <w:r>
        <w:rPr>
          <w:rFonts w:hint="eastAsia" w:ascii="宋体" w:hAnsi="宋体"/>
          <w:color w:val="auto"/>
          <w:kern w:val="0"/>
          <w:highlight w:val="none"/>
        </w:rPr>
        <w:t>监理人指定的接收人为：</w:t>
      </w:r>
      <w:r>
        <w:rPr>
          <w:rFonts w:hint="eastAsia" w:ascii="宋体" w:hAnsi="宋体"/>
          <w:color w:val="auto"/>
          <w:kern w:val="0"/>
          <w:highlight w:val="none"/>
          <w:u w:val="single"/>
        </w:rPr>
        <w:t xml:space="preserve">                                  </w:t>
      </w:r>
      <w:r>
        <w:rPr>
          <w:rFonts w:hint="eastAsia" w:ascii="宋体" w:hAnsi="宋体"/>
          <w:color w:val="auto"/>
          <w:kern w:val="0"/>
          <w:highlight w:val="none"/>
        </w:rPr>
        <w:t xml:space="preserve">。     </w:t>
      </w:r>
    </w:p>
    <w:p w14:paraId="459A84EC">
      <w:pPr>
        <w:pStyle w:val="91"/>
        <w:spacing w:before="120" w:after="120" w:line="440" w:lineRule="exact"/>
        <w:rPr>
          <w:rFonts w:ascii="宋体" w:hAnsi="宋体"/>
          <w:color w:val="auto"/>
          <w:highlight w:val="none"/>
        </w:rPr>
      </w:pPr>
      <w:r>
        <w:rPr>
          <w:rFonts w:hint="eastAsia" w:ascii="宋体" w:hAnsi="宋体"/>
          <w:color w:val="auto"/>
          <w:highlight w:val="none"/>
        </w:rPr>
        <w:t>1.10  交通运输</w:t>
      </w:r>
    </w:p>
    <w:p w14:paraId="0BBC696C">
      <w:pPr>
        <w:pStyle w:val="77"/>
        <w:spacing w:line="440" w:lineRule="exact"/>
        <w:outlineLvl w:val="0"/>
        <w:rPr>
          <w:rFonts w:ascii="宋体" w:hAnsi="宋体"/>
          <w:b/>
          <w:bCs/>
          <w:color w:val="auto"/>
          <w:highlight w:val="none"/>
        </w:rPr>
      </w:pPr>
      <w:r>
        <w:rPr>
          <w:rFonts w:hint="eastAsia" w:ascii="宋体" w:hAnsi="宋体"/>
          <w:b/>
          <w:bCs/>
          <w:color w:val="auto"/>
          <w:highlight w:val="none"/>
        </w:rPr>
        <w:t>1.10.1  出入现场的权利</w:t>
      </w:r>
    </w:p>
    <w:p w14:paraId="056ABDC1">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关于出入现场的权利的约定：</w:t>
      </w:r>
      <w:r>
        <w:rPr>
          <w:rFonts w:hint="eastAsia" w:ascii="宋体" w:hAnsi="宋体"/>
          <w:color w:val="auto"/>
          <w:highlight w:val="none"/>
          <w:u w:val="single"/>
        </w:rPr>
        <w:t>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17E7E705">
      <w:pPr>
        <w:pStyle w:val="77"/>
        <w:spacing w:line="440" w:lineRule="exact"/>
        <w:ind w:firstLine="480" w:firstLineChars="200"/>
        <w:jc w:val="left"/>
        <w:rPr>
          <w:rFonts w:ascii="宋体" w:hAnsi="宋体"/>
          <w:b/>
          <w:bCs/>
          <w:color w:val="auto"/>
          <w:highlight w:val="none"/>
        </w:rPr>
      </w:pPr>
      <w:r>
        <w:rPr>
          <w:rFonts w:hint="eastAsia" w:ascii="宋体" w:hAnsi="宋体"/>
          <w:color w:val="auto"/>
          <w:highlight w:val="none"/>
          <w:u w:val="single"/>
        </w:rPr>
        <w:t>承包人应在订立合同前查勘施工现场，并根据工程规模及技术参数合理预见工程施工所需的进出施工现场的方式、手段、路径等。因承包人未合理预见所增加的费用和（或）延误的工期由承包人承担。</w:t>
      </w:r>
    </w:p>
    <w:p w14:paraId="10837B91">
      <w:pPr>
        <w:pStyle w:val="77"/>
        <w:spacing w:line="440" w:lineRule="exact"/>
        <w:jc w:val="left"/>
        <w:outlineLvl w:val="0"/>
        <w:rPr>
          <w:rFonts w:ascii="宋体" w:hAnsi="宋体"/>
          <w:color w:val="auto"/>
          <w:highlight w:val="none"/>
        </w:rPr>
      </w:pPr>
      <w:r>
        <w:rPr>
          <w:rFonts w:hint="eastAsia" w:ascii="宋体" w:hAnsi="宋体"/>
          <w:b/>
          <w:bCs/>
          <w:color w:val="auto"/>
          <w:highlight w:val="none"/>
        </w:rPr>
        <w:t>1.10.3  场内交通</w:t>
      </w:r>
    </w:p>
    <w:p w14:paraId="6F2CCF98">
      <w:pPr>
        <w:pStyle w:val="77"/>
        <w:spacing w:line="440" w:lineRule="exact"/>
        <w:ind w:firstLine="484" w:firstLineChars="202"/>
        <w:jc w:val="left"/>
        <w:rPr>
          <w:rFonts w:ascii="宋体" w:hAnsi="宋体"/>
          <w:color w:val="auto"/>
          <w:highlight w:val="none"/>
          <w:u w:val="single"/>
        </w:rPr>
      </w:pPr>
      <w:r>
        <w:rPr>
          <w:rFonts w:hint="eastAsia" w:ascii="宋体" w:hAnsi="宋体"/>
          <w:color w:val="auto"/>
          <w:kern w:val="0"/>
          <w:highlight w:val="none"/>
        </w:rPr>
        <w:t>关于场外交通和场内交通的边界的约定：</w:t>
      </w:r>
      <w:r>
        <w:rPr>
          <w:rFonts w:hint="eastAsia" w:ascii="宋体" w:hAnsi="宋体"/>
          <w:color w:val="auto"/>
          <w:highlight w:val="none"/>
          <w:u w:val="single"/>
        </w:rPr>
        <w:t>建筑征地红线范围内的为场内交通，建筑征地红线范围外的为场外交通。</w:t>
      </w:r>
    </w:p>
    <w:p w14:paraId="7F06868D">
      <w:pPr>
        <w:pStyle w:val="77"/>
        <w:spacing w:line="440" w:lineRule="exact"/>
        <w:ind w:firstLine="480" w:firstLineChars="200"/>
        <w:jc w:val="left"/>
        <w:rPr>
          <w:rFonts w:ascii="宋体" w:hAnsi="宋体"/>
          <w:color w:val="auto"/>
          <w:kern w:val="0"/>
          <w:highlight w:val="none"/>
          <w:u w:val="single"/>
        </w:rPr>
      </w:pPr>
      <w:r>
        <w:rPr>
          <w:rFonts w:hint="eastAsia" w:ascii="宋体" w:hAnsi="宋体"/>
          <w:color w:val="auto"/>
          <w:highlight w:val="none"/>
          <w:u w:val="single"/>
        </w:rPr>
        <w:t>场外交通设施无法满足工程施工需要的，由发包人负责完善并承担相关费用。场外交通如主要供本工程的承包人使用，则因承包人原因造成该道路或交通设施损坏的，承包人应负责修复并承担由此产生的费用。</w:t>
      </w:r>
    </w:p>
    <w:p w14:paraId="1929E89C">
      <w:pPr>
        <w:pStyle w:val="77"/>
        <w:spacing w:line="440" w:lineRule="exact"/>
        <w:ind w:firstLine="547" w:firstLineChars="228"/>
        <w:jc w:val="left"/>
        <w:rPr>
          <w:rFonts w:ascii="宋体" w:hAnsi="宋体"/>
          <w:color w:val="auto"/>
          <w:highlight w:val="none"/>
        </w:rPr>
      </w:pPr>
      <w:r>
        <w:rPr>
          <w:rFonts w:hint="eastAsia" w:ascii="宋体" w:hAnsi="宋体"/>
          <w:color w:val="auto"/>
          <w:highlight w:val="none"/>
        </w:rPr>
        <w:t>关于发包人向承包人免费提供满足工程施工需要的场内道路和交通设施的约定：</w:t>
      </w:r>
      <w:r>
        <w:rPr>
          <w:rFonts w:hint="eastAsia" w:ascii="宋体" w:hAnsi="宋体"/>
          <w:color w:val="auto"/>
          <w:highlight w:val="none"/>
          <w:u w:val="single"/>
        </w:rPr>
        <w:t>由承包人负责修建、维修、养护和管理施工所需的其他场内道路和交通设施</w:t>
      </w:r>
      <w:r>
        <w:rPr>
          <w:rFonts w:hint="eastAsia" w:ascii="宋体" w:hAnsi="宋体"/>
          <w:color w:val="auto"/>
          <w:highlight w:val="none"/>
        </w:rPr>
        <w:t xml:space="preserve">。 </w:t>
      </w:r>
    </w:p>
    <w:p w14:paraId="70D15EBA">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1.10.4 超大件和超重件的运输</w:t>
      </w:r>
    </w:p>
    <w:p w14:paraId="6B9B0BDA">
      <w:pPr>
        <w:pStyle w:val="77"/>
        <w:spacing w:line="440" w:lineRule="exact"/>
        <w:ind w:left="120" w:leftChars="57" w:firstLine="360" w:firstLineChars="150"/>
        <w:jc w:val="left"/>
        <w:rPr>
          <w:rFonts w:ascii="宋体" w:hAnsi="宋体"/>
          <w:color w:val="auto"/>
          <w:highlight w:val="none"/>
        </w:rPr>
      </w:pPr>
      <w:r>
        <w:rPr>
          <w:rFonts w:hint="eastAsia" w:ascii="宋体" w:hAnsi="宋体"/>
          <w:color w:val="auto"/>
          <w:highlight w:val="none"/>
        </w:rPr>
        <w:t>运输超大件或超重件所需的道路和桥梁临时加固改造费用和其他有关费用应由</w:t>
      </w:r>
      <w:r>
        <w:rPr>
          <w:rFonts w:hint="eastAsia" w:ascii="宋体" w:hAnsi="宋体"/>
          <w:color w:val="auto"/>
          <w:highlight w:val="none"/>
          <w:u w:val="single"/>
        </w:rPr>
        <w:t xml:space="preserve">承包人  </w:t>
      </w:r>
      <w:r>
        <w:rPr>
          <w:rFonts w:hint="eastAsia" w:ascii="宋体" w:hAnsi="宋体"/>
          <w:color w:val="auto"/>
          <w:highlight w:val="none"/>
        </w:rPr>
        <w:t>承担。</w:t>
      </w:r>
    </w:p>
    <w:p w14:paraId="1D758B09">
      <w:pPr>
        <w:pStyle w:val="91"/>
        <w:spacing w:before="120" w:after="120" w:line="440" w:lineRule="exact"/>
        <w:outlineLvl w:val="0"/>
        <w:rPr>
          <w:rFonts w:ascii="宋体" w:hAnsi="宋体"/>
          <w:color w:val="auto"/>
          <w:highlight w:val="none"/>
        </w:rPr>
      </w:pPr>
      <w:r>
        <w:rPr>
          <w:rFonts w:hint="eastAsia" w:ascii="宋体" w:hAnsi="宋体"/>
          <w:color w:val="auto"/>
          <w:highlight w:val="none"/>
        </w:rPr>
        <w:t>1.11  知识产权</w:t>
      </w:r>
    </w:p>
    <w:p w14:paraId="71208427">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1.11.1 关于发包人提供给承包人的图纸、发包人为实施工程自行编制或委托编制的技术规范以及反映发包人关于合同要求或其他类似性质的文件的著作权的归属</w:t>
      </w:r>
      <w:r>
        <w:rPr>
          <w:rFonts w:hint="eastAsia" w:ascii="宋体" w:hAnsi="宋体"/>
          <w:color w:val="auto"/>
          <w:highlight w:val="none"/>
          <w:u w:val="single"/>
        </w:rPr>
        <w:t xml:space="preserve">  发包人  </w:t>
      </w:r>
      <w:r>
        <w:rPr>
          <w:rFonts w:hint="eastAsia" w:ascii="宋体" w:hAnsi="宋体"/>
          <w:color w:val="auto"/>
          <w:highlight w:val="none"/>
        </w:rPr>
        <w:t>。</w:t>
      </w:r>
    </w:p>
    <w:p w14:paraId="6A7710A6">
      <w:pPr>
        <w:pStyle w:val="77"/>
        <w:spacing w:line="440" w:lineRule="exact"/>
        <w:ind w:firstLine="484" w:firstLineChars="202"/>
        <w:rPr>
          <w:rFonts w:ascii="宋体" w:hAnsi="宋体"/>
          <w:color w:val="auto"/>
          <w:highlight w:val="none"/>
        </w:rPr>
      </w:pPr>
      <w:r>
        <w:rPr>
          <w:rFonts w:hint="eastAsia" w:ascii="宋体" w:hAnsi="宋体"/>
          <w:color w:val="auto"/>
          <w:highlight w:val="none"/>
        </w:rPr>
        <w:t>关于发包人提供的上述文件的使用限制的要求：</w:t>
      </w:r>
      <w:r>
        <w:rPr>
          <w:rFonts w:hint="eastAsia" w:ascii="宋体" w:hAnsi="宋体"/>
          <w:color w:val="auto"/>
          <w:highlight w:val="none"/>
          <w:u w:val="single"/>
        </w:rPr>
        <w:t>按《通用合同条款》执行</w:t>
      </w:r>
      <w:r>
        <w:rPr>
          <w:rFonts w:hint="eastAsia" w:ascii="宋体" w:hAnsi="宋体"/>
          <w:color w:val="auto"/>
          <w:highlight w:val="none"/>
        </w:rPr>
        <w:t>。</w:t>
      </w:r>
    </w:p>
    <w:p w14:paraId="0F046AAF">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1.11.2  关于承包人为实施工程所编制文件的著作权的归属</w:t>
      </w:r>
      <w:r>
        <w:rPr>
          <w:rFonts w:hint="eastAsia" w:ascii="宋体" w:hAnsi="宋体"/>
          <w:color w:val="auto"/>
          <w:highlight w:val="none"/>
          <w:u w:val="single"/>
        </w:rPr>
        <w:t xml:space="preserve">  发包人  （承包人的署名权除外）。</w:t>
      </w:r>
    </w:p>
    <w:p w14:paraId="2EECC1FA">
      <w:pPr>
        <w:pStyle w:val="77"/>
        <w:spacing w:line="440" w:lineRule="exact"/>
        <w:rPr>
          <w:rFonts w:ascii="宋体" w:hAnsi="宋体"/>
          <w:color w:val="auto"/>
          <w:highlight w:val="none"/>
        </w:rPr>
      </w:pPr>
      <w:r>
        <w:rPr>
          <w:rFonts w:hint="eastAsia" w:ascii="宋体" w:hAnsi="宋体"/>
          <w:color w:val="auto"/>
          <w:highlight w:val="none"/>
        </w:rPr>
        <w:t>关于承包人提供的上述文件的使用限制的要求：</w:t>
      </w:r>
      <w:r>
        <w:rPr>
          <w:rFonts w:hint="eastAsia" w:ascii="宋体" w:hAnsi="宋体"/>
          <w:color w:val="auto"/>
          <w:highlight w:val="none"/>
          <w:u w:val="single"/>
        </w:rPr>
        <w:t>按《通用合同条款》执行</w:t>
      </w:r>
      <w:r>
        <w:rPr>
          <w:rFonts w:ascii="MingLiU_HKSCS" w:hAnsi="MingLiU_HKSCS" w:eastAsia="MingLiU_HKSCS" w:cs="MingLiU_HKSCS"/>
          <w:color w:val="auto"/>
          <w:highlight w:val="none"/>
          <w:u w:val="single"/>
        </w:rPr>
        <w:t></w:t>
      </w:r>
      <w:r>
        <w:rPr>
          <w:rFonts w:hint="eastAsia" w:ascii="宋体" w:hAnsi="宋体"/>
          <w:color w:val="auto"/>
          <w:highlight w:val="none"/>
        </w:rPr>
        <w:t>。</w:t>
      </w:r>
    </w:p>
    <w:p w14:paraId="1590F08C">
      <w:pPr>
        <w:pStyle w:val="77"/>
        <w:spacing w:line="440" w:lineRule="exact"/>
        <w:ind w:firstLine="484" w:firstLineChars="202"/>
        <w:rPr>
          <w:rFonts w:ascii="宋体" w:hAnsi="宋体"/>
          <w:color w:val="auto"/>
          <w:kern w:val="0"/>
          <w:highlight w:val="none"/>
        </w:rPr>
      </w:pPr>
      <w:r>
        <w:rPr>
          <w:rFonts w:hint="eastAsia" w:ascii="宋体" w:hAnsi="宋体"/>
          <w:color w:val="auto"/>
          <w:highlight w:val="none"/>
        </w:rPr>
        <w:t>1.11.4  承包人在施工过程中所采用的专利、专有技术、技术秘密的使用费的承担方式：</w:t>
      </w:r>
      <w:r>
        <w:rPr>
          <w:rFonts w:hint="eastAsia" w:ascii="宋体" w:hAnsi="宋体"/>
          <w:color w:val="auto"/>
          <w:highlight w:val="none"/>
          <w:u w:val="single"/>
        </w:rPr>
        <w:t>已包含在签约合同价中</w:t>
      </w:r>
      <w:r>
        <w:rPr>
          <w:rFonts w:hint="eastAsia" w:ascii="宋体" w:hAnsi="宋体"/>
          <w:color w:val="auto"/>
          <w:kern w:val="0"/>
          <w:highlight w:val="none"/>
        </w:rPr>
        <w:t>。</w:t>
      </w:r>
    </w:p>
    <w:p w14:paraId="3232AF14">
      <w:pPr>
        <w:pStyle w:val="91"/>
        <w:spacing w:before="120" w:after="120" w:line="440" w:lineRule="exact"/>
        <w:outlineLvl w:val="0"/>
        <w:rPr>
          <w:rFonts w:ascii="宋体" w:hAnsi="宋体"/>
          <w:color w:val="auto"/>
          <w:highlight w:val="none"/>
        </w:rPr>
      </w:pPr>
      <w:r>
        <w:rPr>
          <w:rFonts w:hint="eastAsia" w:ascii="宋体" w:hAnsi="宋体"/>
          <w:color w:val="auto"/>
          <w:highlight w:val="none"/>
        </w:rPr>
        <w:t>1.13  工程量清单错误的修正</w:t>
      </w:r>
    </w:p>
    <w:p w14:paraId="2F4DB3C2">
      <w:pPr>
        <w:pStyle w:val="77"/>
        <w:spacing w:line="440" w:lineRule="exact"/>
        <w:ind w:firstLine="480" w:firstLineChars="200"/>
        <w:rPr>
          <w:rFonts w:ascii="宋体" w:hAnsi="宋体"/>
          <w:color w:val="auto"/>
          <w:highlight w:val="none"/>
        </w:rPr>
      </w:pPr>
      <w:r>
        <w:rPr>
          <w:rFonts w:hint="eastAsia" w:ascii="宋体" w:hAnsi="宋体"/>
          <w:color w:val="auto"/>
          <w:highlight w:val="none"/>
        </w:rPr>
        <w:t>出现工程量清单错误时，是否调整合同价格：</w:t>
      </w:r>
      <w:r>
        <w:rPr>
          <w:rFonts w:hint="eastAsia" w:ascii="宋体" w:hAnsi="宋体"/>
          <w:color w:val="auto"/>
          <w:highlight w:val="none"/>
          <w:u w:val="single"/>
        </w:rPr>
        <w:t>可调整合同价格</w:t>
      </w:r>
      <w:r>
        <w:rPr>
          <w:rFonts w:hint="eastAsia" w:ascii="宋体" w:hAnsi="宋体"/>
          <w:color w:val="auto"/>
          <w:kern w:val="0"/>
          <w:highlight w:val="none"/>
        </w:rPr>
        <w:t>。</w:t>
      </w:r>
    </w:p>
    <w:p w14:paraId="1790CD9E">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允许调整合同价格的工程量偏差范围：</w:t>
      </w:r>
    </w:p>
    <w:p w14:paraId="757BAB5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u w:val="single"/>
        </w:rPr>
        <w:t>（1）工程量清单存在缺项、漏项的；</w:t>
      </w:r>
    </w:p>
    <w:p w14:paraId="52CBAD0C">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u w:val="single"/>
        </w:rPr>
        <w:t>（2）实际完成合格并经发包人签认的工程量超出或减少合同工程量清单工程量的。</w:t>
      </w:r>
    </w:p>
    <w:p w14:paraId="27690C9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u w:val="single"/>
        </w:rPr>
        <w:t>发包人、承包人应按《钦州市政府投资工程造价监督管理办法》（钦州市人民政府令第10号）（下称第10号令）有关规定确认的工程量作为调整依据。</w:t>
      </w:r>
    </w:p>
    <w:p w14:paraId="52A5D778">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u w:val="single"/>
        </w:rPr>
        <w:t>(3)未按照国家现行计量规范强制性规定计量的。</w:t>
      </w:r>
    </w:p>
    <w:p w14:paraId="51A74557">
      <w:pPr>
        <w:pStyle w:val="91"/>
        <w:spacing w:before="120" w:after="120" w:line="440" w:lineRule="exact"/>
        <w:outlineLvl w:val="0"/>
        <w:rPr>
          <w:rFonts w:ascii="宋体" w:hAnsi="宋体"/>
          <w:color w:val="auto"/>
          <w:highlight w:val="none"/>
        </w:rPr>
      </w:pPr>
      <w:r>
        <w:rPr>
          <w:rFonts w:hint="eastAsia" w:ascii="宋体" w:hAnsi="宋体"/>
          <w:color w:val="auto"/>
          <w:highlight w:val="none"/>
        </w:rPr>
        <w:t>2.  发包人</w:t>
      </w:r>
    </w:p>
    <w:p w14:paraId="521A7FCE">
      <w:pPr>
        <w:pStyle w:val="91"/>
        <w:spacing w:before="120" w:after="120" w:line="440" w:lineRule="exact"/>
        <w:outlineLvl w:val="0"/>
        <w:rPr>
          <w:rFonts w:ascii="宋体" w:hAnsi="宋体"/>
          <w:color w:val="auto"/>
          <w:highlight w:val="none"/>
        </w:rPr>
      </w:pPr>
      <w:r>
        <w:rPr>
          <w:rFonts w:hint="eastAsia" w:ascii="宋体" w:hAnsi="宋体"/>
          <w:color w:val="auto"/>
          <w:highlight w:val="none"/>
        </w:rPr>
        <w:t>2.2  发包人代表</w:t>
      </w:r>
    </w:p>
    <w:p w14:paraId="61432401">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发包人代表：</w:t>
      </w:r>
    </w:p>
    <w:p w14:paraId="6B2D245A">
      <w:pPr>
        <w:pStyle w:val="77"/>
        <w:spacing w:line="440" w:lineRule="exact"/>
        <w:ind w:firstLine="480" w:firstLineChars="200"/>
        <w:rPr>
          <w:rFonts w:ascii="宋体" w:hAnsi="宋体"/>
          <w:color w:val="auto"/>
          <w:highlight w:val="none"/>
        </w:rPr>
      </w:pPr>
      <w:r>
        <w:rPr>
          <w:rFonts w:hint="eastAsia" w:ascii="宋体" w:hAnsi="宋体"/>
          <w:color w:val="auto"/>
          <w:highlight w:val="none"/>
        </w:rPr>
        <w:t>姓    名：</w:t>
      </w:r>
      <w:r>
        <w:rPr>
          <w:rFonts w:hint="eastAsia" w:ascii="宋体" w:hAnsi="宋体"/>
          <w:color w:val="auto"/>
          <w:highlight w:val="none"/>
          <w:u w:val="single"/>
        </w:rPr>
        <w:t xml:space="preserve">                                 </w:t>
      </w:r>
      <w:r>
        <w:rPr>
          <w:rFonts w:hint="eastAsia" w:ascii="宋体" w:hAnsi="宋体"/>
          <w:color w:val="auto"/>
          <w:highlight w:val="none"/>
        </w:rPr>
        <w:t>；</w:t>
      </w:r>
    </w:p>
    <w:p w14:paraId="52FE85ED">
      <w:pPr>
        <w:pStyle w:val="77"/>
        <w:spacing w:line="440" w:lineRule="exact"/>
        <w:ind w:firstLine="480" w:firstLineChars="200"/>
        <w:rPr>
          <w:rFonts w:ascii="宋体" w:hAnsi="宋体"/>
          <w:color w:val="auto"/>
          <w:highlight w:val="none"/>
        </w:rPr>
      </w:pPr>
      <w:r>
        <w:rPr>
          <w:rFonts w:hint="eastAsia" w:ascii="宋体" w:hAnsi="宋体"/>
          <w:color w:val="auto"/>
          <w:highlight w:val="none"/>
        </w:rPr>
        <w:t>身份证号：</w:t>
      </w:r>
      <w:r>
        <w:rPr>
          <w:rFonts w:hint="eastAsia" w:ascii="宋体" w:hAnsi="宋体"/>
          <w:color w:val="auto"/>
          <w:highlight w:val="none"/>
          <w:u w:val="single"/>
        </w:rPr>
        <w:t xml:space="preserve">                                 </w:t>
      </w:r>
      <w:r>
        <w:rPr>
          <w:rFonts w:hint="eastAsia" w:ascii="宋体" w:hAnsi="宋体"/>
          <w:color w:val="auto"/>
          <w:highlight w:val="none"/>
        </w:rPr>
        <w:t>；</w:t>
      </w:r>
    </w:p>
    <w:p w14:paraId="31BD611B">
      <w:pPr>
        <w:pStyle w:val="77"/>
        <w:spacing w:line="440" w:lineRule="exact"/>
        <w:ind w:firstLine="480" w:firstLineChars="200"/>
        <w:rPr>
          <w:rFonts w:ascii="宋体" w:hAnsi="宋体"/>
          <w:color w:val="auto"/>
          <w:highlight w:val="none"/>
        </w:rPr>
      </w:pPr>
      <w:r>
        <w:rPr>
          <w:rFonts w:hint="eastAsia" w:ascii="宋体" w:hAnsi="宋体"/>
          <w:color w:val="auto"/>
          <w:highlight w:val="none"/>
        </w:rPr>
        <w:t>职    务：</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530605FF">
      <w:pPr>
        <w:pStyle w:val="77"/>
        <w:spacing w:line="440" w:lineRule="exact"/>
        <w:ind w:firstLine="480" w:firstLineChars="2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rPr>
        <w:t>；</w:t>
      </w:r>
    </w:p>
    <w:p w14:paraId="10ACC779">
      <w:pPr>
        <w:pStyle w:val="77"/>
        <w:spacing w:line="440" w:lineRule="exact"/>
        <w:ind w:firstLine="480" w:firstLineChars="200"/>
        <w:rPr>
          <w:rFonts w:ascii="宋体" w:hAnsi="宋体"/>
          <w:color w:val="auto"/>
          <w:highlight w:val="none"/>
        </w:rPr>
      </w:pPr>
      <w:r>
        <w:rPr>
          <w:rFonts w:hint="eastAsia" w:ascii="宋体" w:hAnsi="宋体"/>
          <w:color w:val="auto"/>
          <w:highlight w:val="none"/>
        </w:rPr>
        <w:t>电子信箱：</w:t>
      </w:r>
      <w:r>
        <w:rPr>
          <w:rFonts w:hint="eastAsia" w:ascii="宋体" w:hAnsi="宋体"/>
          <w:color w:val="auto"/>
          <w:highlight w:val="none"/>
          <w:u w:val="single"/>
        </w:rPr>
        <w:t xml:space="preserve">                               </w:t>
      </w:r>
      <w:r>
        <w:rPr>
          <w:rFonts w:hint="eastAsia" w:ascii="宋体" w:hAnsi="宋体"/>
          <w:color w:val="auto"/>
          <w:highlight w:val="none"/>
        </w:rPr>
        <w:t>；</w:t>
      </w:r>
    </w:p>
    <w:p w14:paraId="7D58750E">
      <w:pPr>
        <w:pStyle w:val="77"/>
        <w:spacing w:line="440" w:lineRule="exact"/>
        <w:ind w:firstLine="480" w:firstLineChars="200"/>
        <w:rPr>
          <w:rFonts w:ascii="宋体" w:hAnsi="宋体"/>
          <w:color w:val="auto"/>
          <w:highlight w:val="none"/>
        </w:rPr>
      </w:pPr>
      <w:r>
        <w:rPr>
          <w:rFonts w:hint="eastAsia" w:ascii="宋体" w:hAnsi="宋体"/>
          <w:color w:val="auto"/>
          <w:highlight w:val="none"/>
        </w:rPr>
        <w:t>通信地址：</w:t>
      </w:r>
      <w:r>
        <w:rPr>
          <w:rFonts w:hint="eastAsia" w:ascii="宋体" w:hAnsi="宋体"/>
          <w:color w:val="auto"/>
          <w:highlight w:val="none"/>
          <w:u w:val="single"/>
        </w:rPr>
        <w:t xml:space="preserve">                                </w:t>
      </w:r>
      <w:r>
        <w:rPr>
          <w:rFonts w:hint="eastAsia" w:ascii="宋体" w:hAnsi="宋体"/>
          <w:color w:val="auto"/>
          <w:highlight w:val="none"/>
        </w:rPr>
        <w:t>。</w:t>
      </w:r>
    </w:p>
    <w:p w14:paraId="05ACDB42">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发包人对发包人代表的授权范围如下：</w:t>
      </w:r>
    </w:p>
    <w:p w14:paraId="523F837E">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w:t>
      </w:r>
      <w:r>
        <w:rPr>
          <w:rFonts w:hint="eastAsia" w:ascii="宋体" w:hAnsi="宋体"/>
          <w:color w:val="auto"/>
          <w:highlight w:val="none"/>
          <w:u w:val="single"/>
        </w:rPr>
        <w:t>负责工程施工现场的管理；</w:t>
      </w:r>
    </w:p>
    <w:p w14:paraId="13F15A83">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（2）</w:t>
      </w:r>
      <w:r>
        <w:rPr>
          <w:rFonts w:hint="eastAsia" w:ascii="宋体" w:hAnsi="宋体"/>
          <w:color w:val="auto"/>
          <w:highlight w:val="none"/>
          <w:u w:val="single"/>
        </w:rPr>
        <w:t>负责协调与工程项目有关的事项；</w:t>
      </w:r>
    </w:p>
    <w:p w14:paraId="35079AD7">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（3）</w:t>
      </w:r>
      <w:r>
        <w:rPr>
          <w:rFonts w:hint="eastAsia" w:ascii="宋体" w:hAnsi="宋体"/>
          <w:color w:val="auto"/>
          <w:highlight w:val="none"/>
          <w:u w:val="single"/>
        </w:rPr>
        <w:t>工程量确认；</w:t>
      </w:r>
    </w:p>
    <w:p w14:paraId="5F7669AA">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（4）</w:t>
      </w:r>
      <w:r>
        <w:rPr>
          <w:rFonts w:hint="eastAsia" w:ascii="宋体" w:hAnsi="宋体" w:eastAsia="宋体" w:cs="宋体"/>
          <w:color w:val="auto"/>
          <w:spacing w:val="20"/>
          <w:sz w:val="24"/>
          <w:szCs w:val="32"/>
          <w:u w:val="single"/>
          <w:lang w:val="en-US" w:eastAsia="zh-CN"/>
        </w:rPr>
        <w:t>同意监理工程师</w:t>
      </w:r>
      <w:r>
        <w:rPr>
          <w:rFonts w:hint="eastAsia" w:ascii="宋体" w:hAnsi="宋体"/>
          <w:color w:val="auto"/>
          <w:highlight w:val="none"/>
          <w:u w:val="single"/>
        </w:rPr>
        <w:t>发布开工令、停工令及复工令；</w:t>
      </w:r>
    </w:p>
    <w:p w14:paraId="4AEA0C6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（5）</w:t>
      </w:r>
      <w:r>
        <w:rPr>
          <w:rFonts w:hint="eastAsia" w:ascii="宋体" w:hAnsi="宋体"/>
          <w:color w:val="auto"/>
          <w:highlight w:val="none"/>
          <w:u w:val="single"/>
        </w:rPr>
        <w:t>确认或修改承包人的施工组织设计和工程进度计划；</w:t>
      </w:r>
    </w:p>
    <w:p w14:paraId="5E86744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（6）</w:t>
      </w:r>
      <w:r>
        <w:rPr>
          <w:rFonts w:hint="eastAsia" w:ascii="宋体" w:hAnsi="宋体"/>
          <w:color w:val="auto"/>
          <w:highlight w:val="none"/>
          <w:u w:val="single"/>
        </w:rPr>
        <w:t>对进度的检查、监督和提出改进措施；</w:t>
      </w:r>
    </w:p>
    <w:p w14:paraId="2EE46AC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（7）</w:t>
      </w:r>
      <w:r>
        <w:rPr>
          <w:rFonts w:hint="eastAsia" w:ascii="宋体" w:hAnsi="宋体"/>
          <w:color w:val="auto"/>
          <w:highlight w:val="none"/>
          <w:u w:val="single"/>
        </w:rPr>
        <w:t>对承包人延期开工要求进行答复；</w:t>
      </w:r>
    </w:p>
    <w:p w14:paraId="447AF8BA">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（8）</w:t>
      </w:r>
      <w:r>
        <w:rPr>
          <w:rFonts w:hint="eastAsia" w:ascii="宋体" w:hAnsi="宋体"/>
          <w:color w:val="auto"/>
          <w:highlight w:val="none"/>
          <w:u w:val="single"/>
        </w:rPr>
        <w:t>以通知方式推迟开工日期；</w:t>
      </w:r>
    </w:p>
    <w:p w14:paraId="667C0BE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（9）</w:t>
      </w:r>
      <w:r>
        <w:rPr>
          <w:rFonts w:hint="eastAsia" w:ascii="宋体" w:hAnsi="宋体"/>
          <w:color w:val="auto"/>
          <w:highlight w:val="none"/>
          <w:u w:val="single"/>
        </w:rPr>
        <w:t>暂停施工并提出处理意见，对承包人复工要求进行答复；</w:t>
      </w:r>
    </w:p>
    <w:p w14:paraId="724C5BBB">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（10）</w:t>
      </w:r>
      <w:r>
        <w:rPr>
          <w:rFonts w:hint="eastAsia" w:ascii="宋体" w:hAnsi="宋体"/>
          <w:color w:val="auto"/>
          <w:highlight w:val="none"/>
          <w:u w:val="single"/>
        </w:rPr>
        <w:t>确认工期顺延；</w:t>
      </w:r>
    </w:p>
    <w:p w14:paraId="479B1A0F">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（11）</w:t>
      </w:r>
      <w:r>
        <w:rPr>
          <w:rFonts w:hint="eastAsia" w:ascii="宋体" w:hAnsi="宋体"/>
          <w:color w:val="auto"/>
          <w:highlight w:val="none"/>
          <w:u w:val="single"/>
        </w:rPr>
        <w:t>对承包人工程质量检查检验；</w:t>
      </w:r>
    </w:p>
    <w:p w14:paraId="1C743773">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（12）</w:t>
      </w:r>
      <w:r>
        <w:rPr>
          <w:rFonts w:hint="eastAsia" w:ascii="宋体" w:hAnsi="宋体"/>
          <w:color w:val="auto"/>
          <w:highlight w:val="none"/>
          <w:u w:val="single"/>
        </w:rPr>
        <w:t>工程质量达不到约定标准的部分，要求承包人拆除和重新施工。</w:t>
      </w:r>
    </w:p>
    <w:p w14:paraId="17B44462">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（13）</w:t>
      </w:r>
      <w:r>
        <w:rPr>
          <w:rFonts w:hint="eastAsia" w:ascii="宋体" w:hAnsi="宋体"/>
          <w:color w:val="auto"/>
          <w:highlight w:val="none"/>
          <w:u w:val="single"/>
        </w:rPr>
        <w:t>隐蔽工程验收；</w:t>
      </w:r>
    </w:p>
    <w:p w14:paraId="27971F79">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（14）</w:t>
      </w:r>
      <w:r>
        <w:rPr>
          <w:rFonts w:hint="eastAsia" w:ascii="宋体" w:hAnsi="宋体"/>
          <w:color w:val="auto"/>
          <w:highlight w:val="none"/>
          <w:u w:val="single"/>
        </w:rPr>
        <w:t>隐蔽工程重新检验；</w:t>
      </w:r>
    </w:p>
    <w:p w14:paraId="23C17CDA">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（15）</w:t>
      </w:r>
      <w:r>
        <w:rPr>
          <w:rFonts w:hint="eastAsia" w:ascii="宋体" w:hAnsi="宋体"/>
          <w:color w:val="auto"/>
          <w:highlight w:val="none"/>
          <w:u w:val="single"/>
        </w:rPr>
        <w:t>根据本款（17）项确认或修改承包人提出的调整金额；</w:t>
      </w:r>
    </w:p>
    <w:p w14:paraId="4AFBF94A">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（16）</w:t>
      </w:r>
      <w:r>
        <w:rPr>
          <w:rFonts w:hint="eastAsia" w:ascii="宋体" w:hAnsi="宋体"/>
          <w:color w:val="auto"/>
          <w:highlight w:val="none"/>
          <w:u w:val="single"/>
        </w:rPr>
        <w:t>核实承包人已完工程量；</w:t>
      </w:r>
    </w:p>
    <w:p w14:paraId="75B456E8">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（17）</w:t>
      </w:r>
      <w:r>
        <w:rPr>
          <w:rFonts w:hint="eastAsia" w:ascii="宋体" w:hAnsi="宋体"/>
          <w:color w:val="auto"/>
          <w:highlight w:val="none"/>
          <w:u w:val="single"/>
        </w:rPr>
        <w:t>要求更换承包人采购的不符合要求的材料设备；</w:t>
      </w:r>
    </w:p>
    <w:p w14:paraId="2C7A5901">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（18）</w:t>
      </w:r>
      <w:r>
        <w:rPr>
          <w:rFonts w:hint="eastAsia" w:ascii="宋体" w:hAnsi="宋体"/>
          <w:color w:val="auto"/>
          <w:highlight w:val="none"/>
          <w:u w:val="single"/>
        </w:rPr>
        <w:t>要求承包人对采购的材料设备在使用前进行检验或试验；</w:t>
      </w:r>
    </w:p>
    <w:p w14:paraId="618ACBCE">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（19）</w:t>
      </w:r>
      <w:r>
        <w:rPr>
          <w:rFonts w:hint="eastAsia" w:ascii="宋体" w:hAnsi="宋体"/>
          <w:color w:val="auto"/>
          <w:highlight w:val="none"/>
          <w:u w:val="single"/>
        </w:rPr>
        <w:t>批准承包人使用替代材料；</w:t>
      </w:r>
    </w:p>
    <w:p w14:paraId="6CC975A9">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（20）</w:t>
      </w:r>
      <w:r>
        <w:rPr>
          <w:rFonts w:hint="eastAsia" w:ascii="宋体" w:hAnsi="宋体"/>
          <w:color w:val="auto"/>
          <w:highlight w:val="none"/>
          <w:u w:val="single"/>
        </w:rPr>
        <w:t>同意承包人提出的合理化建议；</w:t>
      </w:r>
    </w:p>
    <w:p w14:paraId="3E590F1B">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（21）</w:t>
      </w:r>
      <w:r>
        <w:rPr>
          <w:rFonts w:hint="eastAsia" w:ascii="宋体" w:hAnsi="宋体"/>
          <w:color w:val="auto"/>
          <w:highlight w:val="none"/>
          <w:u w:val="single"/>
        </w:rPr>
        <w:t>确认变更价款；</w:t>
      </w:r>
    </w:p>
    <w:p w14:paraId="30F9F98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（22）</w:t>
      </w:r>
      <w:r>
        <w:rPr>
          <w:rFonts w:hint="eastAsia" w:ascii="宋体" w:hAnsi="宋体"/>
          <w:color w:val="auto"/>
          <w:highlight w:val="none"/>
          <w:u w:val="single"/>
        </w:rPr>
        <w:t>答复索赔。</w:t>
      </w:r>
    </w:p>
    <w:p w14:paraId="477997AD">
      <w:pPr>
        <w:pStyle w:val="91"/>
        <w:spacing w:before="120" w:after="120" w:line="440" w:lineRule="exact"/>
        <w:outlineLvl w:val="0"/>
        <w:rPr>
          <w:rFonts w:ascii="宋体" w:hAnsi="宋体"/>
          <w:color w:val="auto"/>
          <w:highlight w:val="none"/>
        </w:rPr>
      </w:pPr>
      <w:r>
        <w:rPr>
          <w:rFonts w:hint="eastAsia" w:ascii="宋体" w:hAnsi="宋体"/>
          <w:color w:val="auto"/>
          <w:highlight w:val="none"/>
        </w:rPr>
        <w:t>2.4  施工现场、施工条件和基础资料的提供</w:t>
      </w:r>
    </w:p>
    <w:p w14:paraId="2864A7B1">
      <w:pPr>
        <w:pStyle w:val="77"/>
        <w:spacing w:line="440" w:lineRule="exact"/>
        <w:outlineLvl w:val="0"/>
        <w:rPr>
          <w:rFonts w:ascii="宋体" w:hAnsi="宋体"/>
          <w:b/>
          <w:bCs/>
          <w:color w:val="auto"/>
          <w:highlight w:val="none"/>
        </w:rPr>
      </w:pPr>
      <w:r>
        <w:rPr>
          <w:rFonts w:hint="eastAsia" w:ascii="宋体" w:hAnsi="宋体"/>
          <w:b/>
          <w:bCs/>
          <w:color w:val="auto"/>
          <w:highlight w:val="none"/>
        </w:rPr>
        <w:t>2.4.1  提供施工现场</w:t>
      </w:r>
    </w:p>
    <w:p w14:paraId="2AF0D89B">
      <w:pPr>
        <w:pStyle w:val="77"/>
        <w:spacing w:line="440" w:lineRule="exact"/>
        <w:ind w:left="599" w:leftChars="228" w:hanging="120" w:hangingChars="50"/>
        <w:jc w:val="left"/>
        <w:rPr>
          <w:rFonts w:ascii="宋体" w:hAnsi="宋体"/>
          <w:color w:val="auto"/>
          <w:highlight w:val="none"/>
        </w:rPr>
      </w:pPr>
      <w:r>
        <w:rPr>
          <w:rFonts w:hint="eastAsia" w:ascii="宋体" w:hAnsi="宋体"/>
          <w:color w:val="auto"/>
          <w:highlight w:val="none"/>
        </w:rPr>
        <w:t>关于发包人移交施工现场的期限要求：</w:t>
      </w:r>
      <w:r>
        <w:rPr>
          <w:rFonts w:hint="eastAsia" w:ascii="宋体" w:hAnsi="宋体"/>
          <w:color w:val="auto"/>
          <w:highlight w:val="none"/>
          <w:u w:val="single"/>
        </w:rPr>
        <w:t>计划开工日前7天</w:t>
      </w:r>
      <w:r>
        <w:rPr>
          <w:rFonts w:hint="eastAsia" w:ascii="宋体" w:hAnsi="宋体"/>
          <w:color w:val="auto"/>
          <w:highlight w:val="none"/>
        </w:rPr>
        <w:t>。</w:t>
      </w:r>
    </w:p>
    <w:p w14:paraId="155CB332">
      <w:pPr>
        <w:pStyle w:val="77"/>
        <w:spacing w:line="440" w:lineRule="exact"/>
        <w:outlineLvl w:val="0"/>
        <w:rPr>
          <w:rFonts w:ascii="宋体" w:hAnsi="宋体"/>
          <w:b/>
          <w:bCs/>
          <w:color w:val="auto"/>
          <w:highlight w:val="none"/>
        </w:rPr>
      </w:pPr>
      <w:r>
        <w:rPr>
          <w:rFonts w:hint="eastAsia" w:ascii="宋体" w:hAnsi="宋体"/>
          <w:b/>
          <w:bCs/>
          <w:color w:val="auto"/>
          <w:highlight w:val="none"/>
        </w:rPr>
        <w:t>2.4.2  提供施工条件</w:t>
      </w:r>
    </w:p>
    <w:p w14:paraId="20D9D2AF">
      <w:pPr>
        <w:pStyle w:val="77"/>
        <w:spacing w:line="440" w:lineRule="exact"/>
        <w:ind w:firstLine="480" w:firstLineChars="200"/>
        <w:rPr>
          <w:rFonts w:ascii="宋体" w:hAnsi="宋体"/>
          <w:color w:val="auto"/>
          <w:highlight w:val="none"/>
        </w:rPr>
      </w:pPr>
      <w:r>
        <w:rPr>
          <w:rFonts w:hint="eastAsia" w:ascii="宋体" w:hAnsi="宋体"/>
          <w:color w:val="auto"/>
          <w:highlight w:val="none"/>
        </w:rPr>
        <w:t>关于发包人应负责提供施工所需要的条件，包括：</w:t>
      </w:r>
    </w:p>
    <w:p w14:paraId="40502916">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（1）</w:t>
      </w:r>
      <w:r>
        <w:rPr>
          <w:rFonts w:hint="eastAsia" w:ascii="宋体" w:hAnsi="宋体"/>
          <w:color w:val="auto"/>
          <w:highlight w:val="none"/>
          <w:u w:val="single"/>
        </w:rPr>
        <w:t>将施工用水、电力等施工所必需的条件接至施工现场内；</w:t>
      </w:r>
    </w:p>
    <w:p w14:paraId="39918981">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（2）</w:t>
      </w:r>
      <w:r>
        <w:rPr>
          <w:rFonts w:hint="eastAsia" w:ascii="宋体" w:hAnsi="宋体"/>
          <w:color w:val="auto"/>
          <w:highlight w:val="none"/>
          <w:u w:val="single"/>
        </w:rPr>
        <w:t>保证向承包人提供正常施工所需要的进入施工现场的交通条件；</w:t>
      </w:r>
    </w:p>
    <w:p w14:paraId="0383B580">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（3）</w:t>
      </w:r>
      <w:r>
        <w:rPr>
          <w:rFonts w:hint="eastAsia" w:ascii="宋体" w:hAnsi="宋体"/>
          <w:color w:val="auto"/>
          <w:highlight w:val="none"/>
          <w:u w:val="single"/>
        </w:rPr>
        <w:t>协调处理施工现场周围地下管线和邻近建筑物、构筑物、古树名木的保护工作，并承担相关费用；</w:t>
      </w:r>
    </w:p>
    <w:p w14:paraId="5E01FAE5">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（4）</w:t>
      </w:r>
      <w:r>
        <w:rPr>
          <w:rFonts w:hint="eastAsia" w:ascii="宋体" w:hAnsi="宋体"/>
          <w:color w:val="auto"/>
          <w:highlight w:val="none"/>
          <w:u w:val="singl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53586297">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u w:val="single"/>
        </w:rPr>
        <w:t>承包人应在充分考虑施工现场管线调查的基础上进行编制施工组织设计。承包人有义务与其他承包人之间、与管线建设、拆迁单位之间相互配合施工，共同完成施工任务。承包人尤其应优先安排配合管线建设、拆迁单位的测量放线及实施工作，上述费用承包人应在相应的单价报价中考虑。</w:t>
      </w:r>
    </w:p>
    <w:p w14:paraId="2683C8A5">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承包人在发包人提供的管线调查资料基础上，须对所有管线进行查验、刨验、核实和在隐蔽工程开工前进行刨验，承包人进行此项工作所产生的费用包含在报价中。承包人未进行此项工作造成城市基础设施外力破坏的，由此产生的责任由承包人自行承担。</w:t>
      </w:r>
    </w:p>
    <w:p w14:paraId="4CAEA798">
      <w:pPr>
        <w:pStyle w:val="91"/>
        <w:spacing w:before="120" w:after="120" w:line="440" w:lineRule="exact"/>
        <w:outlineLvl w:val="0"/>
        <w:rPr>
          <w:rFonts w:ascii="宋体" w:hAnsi="宋体"/>
          <w:color w:val="auto"/>
          <w:highlight w:val="none"/>
        </w:rPr>
      </w:pPr>
      <w:r>
        <w:rPr>
          <w:rFonts w:hint="eastAsia" w:ascii="宋体" w:hAnsi="宋体"/>
          <w:color w:val="auto"/>
          <w:highlight w:val="none"/>
        </w:rPr>
        <w:t>2.5  资金来源证明及支付担保</w:t>
      </w:r>
    </w:p>
    <w:p w14:paraId="787F69F4">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发包人提供资金来源证明的期限要求：</w:t>
      </w:r>
      <w:r>
        <w:rPr>
          <w:rFonts w:hint="eastAsia" w:ascii="宋体" w:hAnsi="宋体"/>
          <w:color w:val="auto"/>
          <w:highlight w:val="none"/>
          <w:u w:val="single"/>
        </w:rPr>
        <w:t xml:space="preserve">无   </w:t>
      </w:r>
      <w:r>
        <w:rPr>
          <w:rFonts w:hint="eastAsia" w:ascii="宋体" w:hAnsi="宋体"/>
          <w:color w:val="auto"/>
          <w:highlight w:val="none"/>
        </w:rPr>
        <w:t>。</w:t>
      </w:r>
    </w:p>
    <w:p w14:paraId="4D7C5CD7">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发包人是否提供支付担保：</w:t>
      </w:r>
      <w:r>
        <w:rPr>
          <w:rFonts w:hint="eastAsia" w:ascii="宋体" w:hAnsi="宋体"/>
          <w:color w:val="auto"/>
          <w:highlight w:val="none"/>
          <w:u w:val="single"/>
        </w:rPr>
        <w:t xml:space="preserve">不提供   </w:t>
      </w:r>
      <w:r>
        <w:rPr>
          <w:rFonts w:hint="eastAsia" w:ascii="宋体" w:hAnsi="宋体"/>
          <w:color w:val="auto"/>
          <w:highlight w:val="none"/>
        </w:rPr>
        <w:t>。</w:t>
      </w:r>
    </w:p>
    <w:p w14:paraId="7DC63603">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发包人提供支付担保的形式：</w:t>
      </w:r>
      <w:r>
        <w:rPr>
          <w:rFonts w:hint="eastAsia" w:ascii="宋体" w:hAnsi="宋体"/>
          <w:color w:val="auto"/>
          <w:highlight w:val="none"/>
          <w:u w:val="single"/>
        </w:rPr>
        <w:t xml:space="preserve">无    </w:t>
      </w:r>
      <w:r>
        <w:rPr>
          <w:rFonts w:hint="eastAsia" w:ascii="宋体" w:hAnsi="宋体"/>
          <w:color w:val="auto"/>
          <w:highlight w:val="none"/>
        </w:rPr>
        <w:t>。</w:t>
      </w:r>
    </w:p>
    <w:p w14:paraId="7C3321F5">
      <w:pPr>
        <w:pStyle w:val="91"/>
        <w:spacing w:before="120" w:after="120" w:line="440" w:lineRule="exact"/>
        <w:outlineLvl w:val="0"/>
        <w:rPr>
          <w:rFonts w:ascii="宋体" w:hAnsi="宋体"/>
          <w:color w:val="auto"/>
          <w:highlight w:val="none"/>
        </w:rPr>
      </w:pPr>
      <w:r>
        <w:rPr>
          <w:rFonts w:hint="eastAsia" w:ascii="宋体" w:hAnsi="宋体"/>
          <w:color w:val="auto"/>
          <w:highlight w:val="none"/>
        </w:rPr>
        <w:t>3.  承包人</w:t>
      </w:r>
    </w:p>
    <w:p w14:paraId="2102D6FB">
      <w:pPr>
        <w:pStyle w:val="91"/>
        <w:spacing w:before="120" w:after="120" w:line="440" w:lineRule="exact"/>
        <w:outlineLvl w:val="0"/>
        <w:rPr>
          <w:rFonts w:ascii="宋体" w:hAnsi="宋体"/>
          <w:color w:val="auto"/>
          <w:highlight w:val="none"/>
        </w:rPr>
      </w:pPr>
      <w:r>
        <w:rPr>
          <w:rFonts w:hint="eastAsia" w:ascii="宋体" w:hAnsi="宋体"/>
          <w:color w:val="auto"/>
          <w:highlight w:val="none"/>
        </w:rPr>
        <w:t>3.1  承包人的一般义务</w:t>
      </w:r>
    </w:p>
    <w:p w14:paraId="58F68E92">
      <w:pPr>
        <w:pStyle w:val="77"/>
        <w:spacing w:line="440" w:lineRule="exact"/>
        <w:ind w:firstLine="480" w:firstLineChars="200"/>
        <w:jc w:val="left"/>
        <w:rPr>
          <w:rFonts w:ascii="宋体" w:hAnsi="宋体"/>
          <w:color w:val="auto"/>
          <w:highlight w:val="none"/>
        </w:rPr>
      </w:pPr>
      <w:r>
        <w:rPr>
          <w:rFonts w:hint="eastAsia" w:ascii="宋体" w:hAnsi="宋体"/>
          <w:color w:val="auto"/>
          <w:kern w:val="0"/>
          <w:highlight w:val="none"/>
        </w:rPr>
        <w:t>（9）</w:t>
      </w:r>
      <w:r>
        <w:rPr>
          <w:rFonts w:hint="eastAsia" w:ascii="宋体" w:hAnsi="宋体"/>
          <w:color w:val="auto"/>
          <w:highlight w:val="none"/>
        </w:rPr>
        <w:t>承包人按照法律规定和合同约定编制竣工资料，完成竣工资料立卷及归档，并按时向发包人提交竣工资料。</w:t>
      </w:r>
    </w:p>
    <w:p w14:paraId="4A6BC91F">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承包人需要提交的竣工资料套数：</w:t>
      </w:r>
      <w:r>
        <w:rPr>
          <w:rFonts w:hint="eastAsia" w:ascii="宋体" w:hAnsi="宋体"/>
          <w:color w:val="auto"/>
          <w:highlight w:val="none"/>
          <w:u w:val="single"/>
        </w:rPr>
        <w:t>一式</w:t>
      </w:r>
      <w:r>
        <w:rPr>
          <w:rFonts w:hint="eastAsia" w:ascii="宋体" w:hAnsi="宋体"/>
          <w:color w:val="auto"/>
          <w:kern w:val="0"/>
          <w:highlight w:val="none"/>
          <w:u w:val="single"/>
          <w:lang w:eastAsia="zh-CN"/>
        </w:rPr>
        <w:t>叁</w:t>
      </w:r>
      <w:r>
        <w:rPr>
          <w:rFonts w:hint="eastAsia" w:ascii="宋体" w:hAnsi="宋体"/>
          <w:color w:val="auto"/>
          <w:kern w:val="0"/>
          <w:highlight w:val="none"/>
          <w:u w:val="single"/>
        </w:rPr>
        <w:t>套</w:t>
      </w:r>
      <w:r>
        <w:rPr>
          <w:rFonts w:hint="eastAsia" w:ascii="宋体" w:hAnsi="宋体"/>
          <w:color w:val="auto"/>
          <w:kern w:val="0"/>
          <w:highlight w:val="none"/>
          <w:u w:val="single"/>
          <w:lang w:val="en-US" w:eastAsia="zh-CN"/>
        </w:rPr>
        <w:t xml:space="preserve">   </w:t>
      </w:r>
      <w:r>
        <w:rPr>
          <w:rFonts w:hint="eastAsia" w:ascii="宋体" w:hAnsi="宋体"/>
          <w:color w:val="auto"/>
          <w:highlight w:val="none"/>
        </w:rPr>
        <w:t>。</w:t>
      </w:r>
    </w:p>
    <w:p w14:paraId="145AC8D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承包人提交的竣工资料的费用承担：</w:t>
      </w:r>
      <w:r>
        <w:rPr>
          <w:rFonts w:hint="eastAsia" w:ascii="宋体" w:hAnsi="宋体"/>
          <w:color w:val="auto"/>
          <w:kern w:val="0"/>
          <w:highlight w:val="none"/>
          <w:u w:val="single"/>
        </w:rPr>
        <w:t>由承包人承担</w:t>
      </w:r>
      <w:r>
        <w:rPr>
          <w:rFonts w:hint="eastAsia" w:ascii="宋体" w:hAnsi="宋体"/>
          <w:color w:val="auto"/>
          <w:kern w:val="0"/>
          <w:highlight w:val="none"/>
          <w:u w:val="single"/>
          <w:lang w:val="en-US" w:eastAsia="zh-CN"/>
        </w:rPr>
        <w:t xml:space="preserve">  </w:t>
      </w:r>
      <w:r>
        <w:rPr>
          <w:rFonts w:hint="eastAsia" w:ascii="宋体" w:hAnsi="宋体"/>
          <w:color w:val="auto"/>
          <w:highlight w:val="none"/>
        </w:rPr>
        <w:t>。</w:t>
      </w:r>
    </w:p>
    <w:p w14:paraId="207CA440">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承包人提交的竣工资料移交时间：</w:t>
      </w:r>
      <w:r>
        <w:rPr>
          <w:rFonts w:hint="eastAsia" w:ascii="宋体" w:hAnsi="宋体"/>
          <w:color w:val="auto"/>
          <w:kern w:val="0"/>
          <w:highlight w:val="none"/>
          <w:u w:val="single"/>
        </w:rPr>
        <w:t>工程竣工验收合格后28天内</w:t>
      </w:r>
      <w:r>
        <w:rPr>
          <w:rFonts w:hint="eastAsia" w:ascii="宋体" w:hAnsi="宋体"/>
          <w:color w:val="auto"/>
          <w:highlight w:val="none"/>
        </w:rPr>
        <w:t>。</w:t>
      </w:r>
    </w:p>
    <w:p w14:paraId="2540CB51">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承包人提交的竣工资料形式要求：</w:t>
      </w:r>
      <w:r>
        <w:rPr>
          <w:rFonts w:hint="eastAsia" w:ascii="宋体" w:hAnsi="宋体"/>
          <w:color w:val="auto"/>
          <w:highlight w:val="none"/>
          <w:u w:val="single"/>
        </w:rPr>
        <w:t>纸质文件</w:t>
      </w:r>
      <w:r>
        <w:rPr>
          <w:rFonts w:hint="eastAsia" w:ascii="宋体" w:hAnsi="宋体"/>
          <w:color w:val="auto"/>
          <w:highlight w:val="none"/>
          <w:u w:val="single"/>
          <w:lang w:val="en-US" w:eastAsia="zh-CN"/>
        </w:rPr>
        <w:t xml:space="preserve"> </w:t>
      </w:r>
      <w:r>
        <w:rPr>
          <w:rFonts w:hint="eastAsia" w:ascii="宋体" w:hAnsi="宋体"/>
          <w:color w:val="auto"/>
          <w:highlight w:val="none"/>
        </w:rPr>
        <w:t>。</w:t>
      </w:r>
    </w:p>
    <w:p w14:paraId="7F38DB98">
      <w:pPr>
        <w:pStyle w:val="77"/>
        <w:spacing w:line="440" w:lineRule="exact"/>
        <w:ind w:left="719" w:leftChars="228" w:hanging="240" w:hangingChars="100"/>
        <w:rPr>
          <w:rFonts w:hint="default" w:ascii="宋体" w:hAnsi="宋体" w:eastAsia="宋体"/>
          <w:color w:val="auto"/>
          <w:kern w:val="0"/>
          <w:highlight w:val="none"/>
          <w:u w:val="single"/>
          <w:lang w:val="en-US" w:eastAsia="zh-CN"/>
        </w:rPr>
      </w:pPr>
      <w:r>
        <w:rPr>
          <w:rFonts w:hint="eastAsia" w:ascii="宋体" w:hAnsi="宋体"/>
          <w:color w:val="auto"/>
          <w:kern w:val="0"/>
          <w:highlight w:val="none"/>
        </w:rPr>
        <w:t>（10）承包人应履行的其他义务：</w:t>
      </w:r>
      <w:r>
        <w:rPr>
          <w:rFonts w:hint="eastAsia" w:ascii="宋体" w:hAnsi="宋体"/>
          <w:color w:val="auto"/>
          <w:kern w:val="0"/>
          <w:highlight w:val="none"/>
          <w:u w:val="single"/>
        </w:rPr>
        <w:t>承包人应在开工前协助发包人做好土地及青苗</w:t>
      </w:r>
      <w:r>
        <w:rPr>
          <w:rFonts w:hint="eastAsia" w:ascii="宋体" w:hAnsi="宋体"/>
          <w:color w:val="auto"/>
          <w:kern w:val="0"/>
          <w:highlight w:val="none"/>
          <w:u w:val="single"/>
          <w:lang w:val="en-US" w:eastAsia="zh-CN"/>
        </w:rPr>
        <w:t xml:space="preserve">  </w:t>
      </w:r>
    </w:p>
    <w:p w14:paraId="401E0043">
      <w:pPr>
        <w:pStyle w:val="77"/>
        <w:spacing w:line="440" w:lineRule="exact"/>
        <w:rPr>
          <w:rFonts w:ascii="宋体" w:hAnsi="宋体"/>
          <w:color w:val="auto"/>
          <w:kern w:val="0"/>
          <w:highlight w:val="none"/>
          <w:u w:val="single"/>
        </w:rPr>
      </w:pPr>
      <w:r>
        <w:rPr>
          <w:rFonts w:hint="eastAsia" w:ascii="宋体" w:hAnsi="宋体"/>
          <w:color w:val="auto"/>
          <w:kern w:val="0"/>
          <w:highlight w:val="none"/>
          <w:u w:val="single"/>
        </w:rPr>
        <w:t>树木补偿、房屋拆迁、清除地面、架空和障碍等，并自行负责水、电、电讯网从施工场地边线接至施工现场，保证施工期间需要，施工期间的水电费、电话</w:t>
      </w:r>
      <w:r>
        <w:rPr>
          <w:rFonts w:hint="eastAsia" w:ascii="宋体" w:hAnsi="宋体"/>
          <w:color w:val="auto"/>
          <w:kern w:val="0"/>
          <w:highlight w:val="none"/>
          <w:u w:val="single"/>
          <w:lang w:eastAsia="zh-CN"/>
        </w:rPr>
        <w:t>等以一切</w:t>
      </w:r>
      <w:r>
        <w:rPr>
          <w:rFonts w:hint="eastAsia" w:ascii="宋体" w:hAnsi="宋体"/>
          <w:color w:val="auto"/>
          <w:kern w:val="0"/>
          <w:highlight w:val="none"/>
          <w:u w:val="single"/>
        </w:rPr>
        <w:t xml:space="preserve">费用由承包人承担。 </w:t>
      </w:r>
    </w:p>
    <w:p w14:paraId="1DA53849">
      <w:pPr>
        <w:pStyle w:val="91"/>
        <w:spacing w:before="120" w:after="120" w:line="440" w:lineRule="exact"/>
        <w:outlineLvl w:val="0"/>
        <w:rPr>
          <w:rFonts w:ascii="宋体" w:hAnsi="宋体"/>
          <w:color w:val="auto"/>
          <w:highlight w:val="none"/>
        </w:rPr>
      </w:pPr>
      <w:r>
        <w:rPr>
          <w:rFonts w:hint="eastAsia" w:ascii="宋体" w:hAnsi="宋体"/>
          <w:color w:val="auto"/>
          <w:highlight w:val="none"/>
        </w:rPr>
        <w:t>3.2  项目经理</w:t>
      </w:r>
    </w:p>
    <w:p w14:paraId="5EB5EB59">
      <w:pPr>
        <w:pStyle w:val="77"/>
        <w:spacing w:line="360" w:lineRule="auto"/>
        <w:outlineLvl w:val="0"/>
        <w:rPr>
          <w:rFonts w:ascii="宋体" w:hAnsi="宋体"/>
          <w:b/>
          <w:bCs/>
          <w:color w:val="auto"/>
          <w:highlight w:val="none"/>
        </w:rPr>
      </w:pPr>
      <w:r>
        <w:rPr>
          <w:rFonts w:hint="eastAsia" w:ascii="宋体" w:hAnsi="宋体"/>
          <w:b/>
          <w:bCs/>
          <w:color w:val="auto"/>
          <w:kern w:val="0"/>
          <w:highlight w:val="none"/>
        </w:rPr>
        <w:t xml:space="preserve">3.2.1  </w:t>
      </w:r>
      <w:r>
        <w:rPr>
          <w:rFonts w:hint="eastAsia" w:ascii="宋体" w:hAnsi="宋体"/>
          <w:b/>
          <w:bCs/>
          <w:color w:val="auto"/>
          <w:highlight w:val="none"/>
        </w:rPr>
        <w:t>项目经理：</w:t>
      </w:r>
    </w:p>
    <w:p w14:paraId="43F26DB7">
      <w:pPr>
        <w:pStyle w:val="7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393F81E">
      <w:pPr>
        <w:pStyle w:val="7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5CA297C">
      <w:pPr>
        <w:pStyle w:val="7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建造师执业资格等级：</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5A2E383">
      <w:pPr>
        <w:adjustRightInd w:val="0"/>
        <w:spacing w:line="32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建造师注册证书编号</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30B82776">
      <w:pPr>
        <w:pStyle w:val="7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建造师执业印章号：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9E53231">
      <w:pPr>
        <w:pStyle w:val="7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8E77145">
      <w:pPr>
        <w:pStyle w:val="77"/>
        <w:spacing w:line="360" w:lineRule="auto"/>
        <w:ind w:firstLine="480" w:firstLineChars="2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3F602E57">
      <w:pPr>
        <w:pStyle w:val="77"/>
        <w:spacing w:line="360" w:lineRule="auto"/>
        <w:ind w:firstLine="480" w:firstLineChars="200"/>
        <w:rPr>
          <w:rFonts w:ascii="宋体" w:hAnsi="宋体"/>
          <w:color w:val="auto"/>
          <w:highlight w:val="none"/>
        </w:rPr>
      </w:pPr>
      <w:r>
        <w:rPr>
          <w:rFonts w:hint="eastAsia" w:ascii="宋体" w:hAnsi="宋体"/>
          <w:color w:val="auto"/>
          <w:highlight w:val="none"/>
        </w:rPr>
        <w:t>电子信箱：</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3B3C7C8F">
      <w:pPr>
        <w:shd w:val="clear" w:color="auto" w:fill="FFFFFF"/>
        <w:spacing w:line="500" w:lineRule="exact"/>
        <w:ind w:firstLine="420" w:firstLineChars="200"/>
        <w:jc w:val="left"/>
        <w:rPr>
          <w:rFonts w:ascii="宋体" w:hAnsi="宋体"/>
          <w:color w:val="auto"/>
          <w:highlight w:val="none"/>
        </w:rPr>
      </w:pPr>
      <w:r>
        <w:rPr>
          <w:rFonts w:hint="eastAsia" w:ascii="宋体" w:hAnsi="宋体"/>
          <w:color w:val="auto"/>
          <w:highlight w:val="none"/>
        </w:rPr>
        <w:t>通信地址：</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w:t>
      </w:r>
    </w:p>
    <w:p w14:paraId="721262D7">
      <w:pPr>
        <w:pStyle w:val="77"/>
        <w:spacing w:line="360" w:lineRule="auto"/>
        <w:ind w:firstLine="480" w:firstLineChars="200"/>
        <w:rPr>
          <w:rFonts w:ascii="宋体" w:hAnsi="宋体"/>
          <w:color w:val="auto"/>
          <w:highlight w:val="none"/>
        </w:rPr>
      </w:pPr>
      <w:r>
        <w:rPr>
          <w:rFonts w:hint="eastAsia" w:ascii="宋体" w:hAnsi="宋体"/>
          <w:color w:val="auto"/>
          <w:highlight w:val="none"/>
        </w:rPr>
        <w:t>承包人对项目经理的授权范围如下：</w:t>
      </w:r>
    </w:p>
    <w:p w14:paraId="77E05D8A">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（1）</w:t>
      </w:r>
      <w:r>
        <w:rPr>
          <w:rFonts w:hint="eastAsia" w:ascii="宋体" w:hAnsi="宋体"/>
          <w:color w:val="auto"/>
          <w:kern w:val="0"/>
          <w:highlight w:val="none"/>
          <w:u w:val="single"/>
        </w:rPr>
        <w:t>对本工程的施工进行全面管理，包括对工程质量、进度、安全、成本等进行管理，行使施工合同约定的权利，履行施工合同约定的义务；</w:t>
      </w:r>
    </w:p>
    <w:p w14:paraId="255DBCE1">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（2）</w:t>
      </w:r>
      <w:r>
        <w:rPr>
          <w:rFonts w:hint="eastAsia" w:ascii="宋体" w:hAnsi="宋体"/>
          <w:color w:val="auto"/>
          <w:kern w:val="0"/>
          <w:highlight w:val="none"/>
          <w:u w:val="single"/>
        </w:rPr>
        <w:t>经发包人同意分包的专业工程，项目经理参与选择并使用具有相应资质的分包人（由发包人指定分包的除外）；</w:t>
      </w:r>
    </w:p>
    <w:p w14:paraId="45E1A28B">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（3）</w:t>
      </w:r>
      <w:r>
        <w:rPr>
          <w:rFonts w:hint="eastAsia" w:ascii="宋体" w:hAnsi="宋体"/>
          <w:color w:val="auto"/>
          <w:kern w:val="0"/>
          <w:highlight w:val="none"/>
          <w:u w:val="single"/>
        </w:rPr>
        <w:t>施工合同约定由承包人采购的材料、工程设备，项目经理参与选择物资供应单位；</w:t>
      </w:r>
    </w:p>
    <w:p w14:paraId="7EF5A649">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（4）</w:t>
      </w:r>
      <w:r>
        <w:rPr>
          <w:rFonts w:hint="eastAsia" w:ascii="宋体" w:hAnsi="宋体"/>
          <w:color w:val="auto"/>
          <w:kern w:val="0"/>
          <w:highlight w:val="none"/>
          <w:u w:val="single"/>
        </w:rPr>
        <w:t>代表承包人对工程施工中的相关事务（本授权第一项约定的事务）进行协商，代表承包人参加发包人组织的与工本工程有关的会议；</w:t>
      </w:r>
    </w:p>
    <w:p w14:paraId="0EB0DA43">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（5）</w:t>
      </w:r>
      <w:r>
        <w:rPr>
          <w:rFonts w:hint="eastAsia" w:ascii="宋体" w:hAnsi="宋体"/>
          <w:color w:val="auto"/>
          <w:kern w:val="0"/>
          <w:highlight w:val="none"/>
          <w:u w:val="single"/>
        </w:rPr>
        <w:t>负责与发包人、监理人办理设计变更、现场签证等手续，及时办理本工程相关索赔；</w:t>
      </w:r>
    </w:p>
    <w:p w14:paraId="6A18BF5A">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（6）</w:t>
      </w:r>
      <w:r>
        <w:rPr>
          <w:rFonts w:hint="eastAsia" w:ascii="宋体" w:hAnsi="宋体"/>
          <w:color w:val="auto"/>
          <w:kern w:val="0"/>
          <w:highlight w:val="none"/>
          <w:u w:val="single"/>
        </w:rPr>
        <w:t>负责签收发包人、监理人往来函件，承包人的要求、通知均应以书面形式由承包人项目经理签字并加盖承包人公司公章后递交发包人；</w:t>
      </w:r>
    </w:p>
    <w:p w14:paraId="3106C4CE">
      <w:pPr>
        <w:pStyle w:val="77"/>
        <w:spacing w:line="360" w:lineRule="auto"/>
        <w:ind w:firstLine="480" w:firstLineChars="200"/>
        <w:rPr>
          <w:rFonts w:ascii="宋体" w:hAnsi="宋体"/>
          <w:color w:val="auto"/>
          <w:highlight w:val="none"/>
          <w:u w:val="single"/>
        </w:rPr>
      </w:pPr>
      <w:r>
        <w:rPr>
          <w:rFonts w:hint="eastAsia" w:ascii="宋体" w:hAnsi="宋体"/>
          <w:color w:val="auto"/>
          <w:kern w:val="0"/>
          <w:highlight w:val="none"/>
        </w:rPr>
        <w:t>（7）</w:t>
      </w:r>
      <w:r>
        <w:rPr>
          <w:rFonts w:hint="eastAsia" w:ascii="宋体" w:hAnsi="宋体"/>
          <w:color w:val="auto"/>
          <w:kern w:val="0"/>
          <w:highlight w:val="none"/>
          <w:u w:val="single"/>
        </w:rPr>
        <w:t>代表承包人接受监理工程师或发包人现场代表发出的指示和指令</w:t>
      </w:r>
      <w:r>
        <w:rPr>
          <w:rFonts w:hint="eastAsia" w:ascii="宋体" w:hAnsi="宋体"/>
          <w:color w:val="auto"/>
          <w:highlight w:val="none"/>
          <w:u w:val="single"/>
        </w:rPr>
        <w:t>。</w:t>
      </w:r>
    </w:p>
    <w:p w14:paraId="32FA4596">
      <w:pPr>
        <w:pStyle w:val="77"/>
        <w:spacing w:line="360" w:lineRule="auto"/>
        <w:ind w:firstLine="480" w:firstLineChars="200"/>
        <w:rPr>
          <w:rFonts w:ascii="宋体" w:hAnsi="宋体"/>
          <w:color w:val="auto"/>
          <w:highlight w:val="none"/>
        </w:rPr>
      </w:pPr>
      <w:r>
        <w:rPr>
          <w:rFonts w:hint="eastAsia" w:ascii="宋体" w:hAnsi="宋体"/>
          <w:color w:val="auto"/>
          <w:highlight w:val="none"/>
          <w:u w:val="single"/>
        </w:rPr>
        <w:t>但未经承包人盖章同意不得以承包人和（或本工程项目部）名义向外融资、采购材料设备、租用建筑周转材料、雇佣劳动力、签订分包合同等从事一切为承包人设立义务或责任的行为。</w:t>
      </w:r>
    </w:p>
    <w:p w14:paraId="0BE6410D">
      <w:pPr>
        <w:pStyle w:val="77"/>
        <w:spacing w:line="360" w:lineRule="auto"/>
        <w:ind w:firstLine="480" w:firstLineChars="200"/>
        <w:jc w:val="left"/>
        <w:rPr>
          <w:rFonts w:ascii="宋体" w:hAnsi="宋体"/>
          <w:color w:val="auto"/>
          <w:kern w:val="0"/>
          <w:highlight w:val="none"/>
        </w:rPr>
      </w:pPr>
      <w:r>
        <w:rPr>
          <w:rFonts w:hint="eastAsia" w:ascii="宋体" w:hAnsi="宋体"/>
          <w:color w:val="auto"/>
          <w:kern w:val="0"/>
          <w:highlight w:val="none"/>
        </w:rPr>
        <w:t>关于项目经理每月在施工现场的时间要求：</w:t>
      </w:r>
      <w:r>
        <w:rPr>
          <w:rFonts w:hint="eastAsia" w:ascii="宋体" w:hAnsi="宋体"/>
          <w:color w:val="auto"/>
          <w:kern w:val="0"/>
          <w:highlight w:val="none"/>
          <w:u w:val="single"/>
        </w:rPr>
        <w:t>不少于</w:t>
      </w:r>
      <w:r>
        <w:rPr>
          <w:rFonts w:hint="eastAsia" w:ascii="宋体" w:hAnsi="宋体"/>
          <w:color w:val="auto"/>
          <w:highlight w:val="none"/>
          <w:u w:val="single"/>
        </w:rPr>
        <w:t xml:space="preserve"> 22天，且项目经理离开施工现场时，不得影响工程进度。 </w:t>
      </w:r>
    </w:p>
    <w:p w14:paraId="7DED78D5">
      <w:pPr>
        <w:pStyle w:val="77"/>
        <w:spacing w:line="360" w:lineRule="auto"/>
        <w:ind w:firstLine="480" w:firstLineChars="200"/>
        <w:rPr>
          <w:rFonts w:ascii="宋体" w:hAnsi="宋体"/>
          <w:color w:val="auto"/>
          <w:kern w:val="0"/>
          <w:highlight w:val="none"/>
        </w:rPr>
      </w:pPr>
      <w:r>
        <w:rPr>
          <w:rFonts w:hint="eastAsia" w:ascii="宋体" w:hAnsi="宋体"/>
          <w:color w:val="auto"/>
          <w:kern w:val="0"/>
          <w:highlight w:val="none"/>
        </w:rPr>
        <w:t>承包人未提交劳动合同，以及没有为项目经理缴纳社会保险证明的违约责任：</w:t>
      </w:r>
      <w:r>
        <w:rPr>
          <w:rFonts w:hint="eastAsia" w:ascii="宋体" w:hAnsi="宋体"/>
          <w:color w:val="auto"/>
          <w:highlight w:val="none"/>
          <w:u w:val="single"/>
        </w:rPr>
        <w:t>发包人有权按承包人项目经理不到位或不委派项目经理处理。</w:t>
      </w:r>
    </w:p>
    <w:p w14:paraId="1F232338">
      <w:pPr>
        <w:pStyle w:val="77"/>
        <w:spacing w:line="360" w:lineRule="auto"/>
        <w:ind w:firstLine="480" w:firstLineChars="200"/>
        <w:rPr>
          <w:rFonts w:hint="eastAsia" w:ascii="宋体" w:hAnsi="宋体" w:eastAsia="宋体"/>
          <w:color w:val="auto"/>
          <w:highlight w:val="none"/>
          <w:u w:val="single"/>
          <w:lang w:eastAsia="zh-CN"/>
        </w:rPr>
      </w:pPr>
      <w:r>
        <w:rPr>
          <w:rFonts w:hint="eastAsia" w:ascii="宋体" w:hAnsi="宋体"/>
          <w:color w:val="auto"/>
          <w:kern w:val="0"/>
          <w:highlight w:val="none"/>
        </w:rPr>
        <w:t>项目经理未经批准，擅自离开施工现场的违约责任：</w:t>
      </w:r>
      <w:r>
        <w:rPr>
          <w:rFonts w:hint="eastAsia" w:ascii="宋体" w:hAnsi="宋体"/>
          <w:color w:val="auto"/>
          <w:highlight w:val="none"/>
          <w:u w:val="single"/>
        </w:rPr>
        <w:t>向发包人支付违约金</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元/人·日 </w:t>
      </w:r>
      <w:r>
        <w:rPr>
          <w:rFonts w:hint="eastAsia" w:ascii="宋体" w:hAnsi="宋体"/>
          <w:color w:val="auto"/>
          <w:highlight w:val="none"/>
          <w:u w:val="single"/>
          <w:lang w:eastAsia="zh-CN"/>
        </w:rPr>
        <w:t>。</w:t>
      </w:r>
    </w:p>
    <w:p w14:paraId="262E3CEE">
      <w:pPr>
        <w:pStyle w:val="77"/>
        <w:spacing w:line="360" w:lineRule="auto"/>
        <w:ind w:firstLine="484" w:firstLineChars="202"/>
        <w:rPr>
          <w:rFonts w:ascii="宋体" w:hAnsi="宋体"/>
          <w:color w:val="auto"/>
          <w:highlight w:val="none"/>
          <w:u w:val="single"/>
        </w:rPr>
      </w:pPr>
      <w:r>
        <w:rPr>
          <w:rFonts w:hint="eastAsia" w:ascii="宋体" w:hAnsi="宋体"/>
          <w:color w:val="auto"/>
          <w:highlight w:val="none"/>
        </w:rPr>
        <w:t>3.2.3  承包人擅自更换项目经理的违约责任：</w:t>
      </w:r>
      <w:r>
        <w:rPr>
          <w:rFonts w:hint="eastAsia" w:ascii="宋体" w:hAnsi="宋体"/>
          <w:color w:val="auto"/>
          <w:highlight w:val="none"/>
          <w:u w:val="single"/>
        </w:rPr>
        <w:t>向发包人支付合同额</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%的违约金/人·次。</w:t>
      </w:r>
    </w:p>
    <w:p w14:paraId="1E30F808">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3.2.4  承包人无正当理由拒绝更换项目经理的违约责任：</w:t>
      </w:r>
      <w:r>
        <w:rPr>
          <w:rFonts w:hint="eastAsia" w:ascii="宋体" w:hAnsi="宋体"/>
          <w:color w:val="auto"/>
          <w:highlight w:val="none"/>
          <w:u w:val="single"/>
        </w:rPr>
        <w:t xml:space="preserve">发包人有权拒绝支付本期工程进度款直至承包人按要求更换令总监理工程师和发包人满意的项目经理为止。  </w:t>
      </w:r>
    </w:p>
    <w:p w14:paraId="0319EC8F">
      <w:pPr>
        <w:pStyle w:val="77"/>
        <w:spacing w:after="120" w:line="440" w:lineRule="exact"/>
        <w:ind w:firstLine="484" w:firstLineChars="202"/>
        <w:rPr>
          <w:rFonts w:ascii="宋体" w:hAnsi="宋体"/>
          <w:color w:val="auto"/>
          <w:highlight w:val="none"/>
          <w:u w:val="single"/>
        </w:rPr>
      </w:pPr>
      <w:r>
        <w:rPr>
          <w:rFonts w:hint="eastAsia" w:ascii="宋体" w:hAnsi="宋体"/>
          <w:color w:val="auto"/>
          <w:highlight w:val="none"/>
        </w:rPr>
        <w:t>3.2.6承包人项目经理不到位或不委派项目经理的违约责任：承包人需</w:t>
      </w:r>
      <w:r>
        <w:rPr>
          <w:rFonts w:hint="eastAsia" w:ascii="宋体" w:hAnsi="宋体"/>
          <w:color w:val="auto"/>
          <w:highlight w:val="none"/>
          <w:u w:val="single"/>
        </w:rPr>
        <w:t>向发包人支付违约金</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万元/人·次，并在14天内向工程委派与投标文件约定一致的项目经理。</w:t>
      </w:r>
    </w:p>
    <w:p w14:paraId="5522DBCE">
      <w:pPr>
        <w:pStyle w:val="77"/>
        <w:spacing w:after="120" w:line="440" w:lineRule="exact"/>
        <w:ind w:firstLine="484" w:firstLineChars="202"/>
        <w:rPr>
          <w:rFonts w:ascii="宋体" w:hAnsi="宋体"/>
          <w:color w:val="auto"/>
          <w:highlight w:val="none"/>
        </w:rPr>
      </w:pPr>
      <w:r>
        <w:rPr>
          <w:rFonts w:hint="eastAsia" w:ascii="宋体" w:hAnsi="宋体"/>
          <w:color w:val="auto"/>
          <w:highlight w:val="none"/>
        </w:rPr>
        <w:t>3.2.7承包人申请更换项目经理的违约责任：</w:t>
      </w:r>
      <w:r>
        <w:rPr>
          <w:rFonts w:hint="eastAsia" w:ascii="宋体" w:hAnsi="宋体"/>
          <w:color w:val="auto"/>
          <w:highlight w:val="none"/>
          <w:u w:val="single"/>
        </w:rPr>
        <w:t>在施工期间承包人申请更换项目经理必须得到总监理工程师和发包人同意，并向发包人支付合同额</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%的违约金/人·次。</w:t>
      </w:r>
    </w:p>
    <w:p w14:paraId="04FEF3FA">
      <w:pPr>
        <w:pStyle w:val="91"/>
        <w:spacing w:before="120" w:after="120" w:line="440" w:lineRule="exact"/>
        <w:outlineLvl w:val="0"/>
        <w:rPr>
          <w:rFonts w:ascii="宋体" w:hAnsi="宋体"/>
          <w:color w:val="auto"/>
          <w:highlight w:val="none"/>
        </w:rPr>
      </w:pPr>
      <w:r>
        <w:rPr>
          <w:rFonts w:hint="eastAsia" w:ascii="宋体" w:hAnsi="宋体"/>
          <w:color w:val="auto"/>
          <w:highlight w:val="none"/>
        </w:rPr>
        <w:t>3.3  承包人人员</w:t>
      </w:r>
    </w:p>
    <w:p w14:paraId="55EFDDB2">
      <w:pPr>
        <w:pStyle w:val="77"/>
        <w:spacing w:line="440" w:lineRule="exact"/>
        <w:ind w:firstLine="484" w:firstLineChars="202"/>
        <w:rPr>
          <w:rFonts w:hint="eastAsia" w:ascii="宋体" w:hAnsi="宋体"/>
          <w:color w:val="auto"/>
          <w:highlight w:val="none"/>
          <w:u w:val="single"/>
        </w:rPr>
      </w:pPr>
      <w:r>
        <w:rPr>
          <w:rFonts w:hint="eastAsia" w:ascii="宋体" w:hAnsi="宋体"/>
          <w:color w:val="auto"/>
          <w:highlight w:val="none"/>
        </w:rPr>
        <w:t>3.3.1  承包人提交项目管理机构及施工现场管理人员安排报告的期限：</w:t>
      </w:r>
      <w:r>
        <w:rPr>
          <w:rFonts w:hint="eastAsia" w:ascii="宋体" w:hAnsi="宋体"/>
          <w:color w:val="auto"/>
          <w:highlight w:val="none"/>
          <w:u w:val="single"/>
        </w:rPr>
        <w:t>应在接到开工通知后7天内，向监理人提交承包人项目管理机构及施工现场人员安排的报告。</w:t>
      </w:r>
    </w:p>
    <w:p w14:paraId="0675C70F">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3.3.3  承包人无正当理由拒绝撤换主要施工管理人员（不含项目经理、技术负责人、安全员）的违约责任：</w:t>
      </w:r>
      <w:r>
        <w:rPr>
          <w:rFonts w:hint="eastAsia" w:ascii="宋体" w:hAnsi="宋体"/>
          <w:color w:val="auto"/>
          <w:highlight w:val="none"/>
          <w:u w:val="single"/>
        </w:rPr>
        <w:t xml:space="preserve">监理工程师有权拒绝进行相关工程验收直至按要求更换令监理工程师和发包人满意的施工管理人员为止 </w:t>
      </w:r>
      <w:r>
        <w:rPr>
          <w:rFonts w:hint="eastAsia" w:ascii="宋体" w:hAnsi="宋体"/>
          <w:color w:val="auto"/>
          <w:highlight w:val="none"/>
          <w:u w:val="none"/>
        </w:rPr>
        <w:t xml:space="preserve">。 </w:t>
      </w:r>
    </w:p>
    <w:p w14:paraId="33477950">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3.3.4  承包人主要施工管理人员离开施工现场的批准要求：</w:t>
      </w:r>
      <w:r>
        <w:rPr>
          <w:rFonts w:hint="eastAsia" w:ascii="宋体" w:hAnsi="宋体"/>
          <w:color w:val="auto"/>
          <w:highlight w:val="none"/>
          <w:u w:val="single"/>
        </w:rPr>
        <w:t xml:space="preserve">按《通用合同条款》第3.3.4条执行。 </w:t>
      </w:r>
    </w:p>
    <w:p w14:paraId="2A01847E">
      <w:pPr>
        <w:pStyle w:val="77"/>
        <w:spacing w:line="440" w:lineRule="exact"/>
        <w:ind w:firstLine="484" w:firstLineChars="202"/>
        <w:rPr>
          <w:rFonts w:ascii="宋体" w:hAnsi="宋体"/>
          <w:color w:val="auto"/>
          <w:highlight w:val="none"/>
        </w:rPr>
      </w:pPr>
      <w:r>
        <w:rPr>
          <w:rFonts w:hint="eastAsia" w:ascii="宋体" w:hAnsi="宋体"/>
          <w:color w:val="auto"/>
          <w:highlight w:val="none"/>
        </w:rPr>
        <w:t>3.3.5承包人擅自更换主要施工管理人员的违约责任：</w:t>
      </w:r>
      <w:r>
        <w:rPr>
          <w:rFonts w:hint="eastAsia" w:ascii="宋体" w:hAnsi="宋体"/>
          <w:color w:val="auto"/>
          <w:kern w:val="0"/>
          <w:highlight w:val="none"/>
          <w:u w:val="single"/>
        </w:rPr>
        <w:t>向发包人支付违约金，技术负责人每变更一次，支付合同额的</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u w:val="single"/>
        </w:rPr>
        <w:t>%违约金</w:t>
      </w:r>
      <w:r>
        <w:rPr>
          <w:rFonts w:hint="eastAsia" w:ascii="宋体" w:hAnsi="宋体"/>
          <w:color w:val="auto"/>
          <w:highlight w:val="none"/>
          <w:u w:val="single"/>
        </w:rPr>
        <w:t>/人·次</w:t>
      </w:r>
      <w:r>
        <w:rPr>
          <w:rFonts w:hint="eastAsia" w:ascii="宋体" w:hAnsi="宋体"/>
          <w:color w:val="auto"/>
          <w:kern w:val="0"/>
          <w:highlight w:val="none"/>
          <w:u w:val="single"/>
        </w:rPr>
        <w:t>，施工员、安全员每变更一次，支付合同额的</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u w:val="single"/>
        </w:rPr>
        <w:t>%违约金</w:t>
      </w:r>
      <w:r>
        <w:rPr>
          <w:rFonts w:hint="eastAsia" w:ascii="宋体" w:hAnsi="宋体"/>
          <w:color w:val="auto"/>
          <w:highlight w:val="none"/>
          <w:u w:val="single"/>
        </w:rPr>
        <w:t>/人·次</w:t>
      </w:r>
      <w:r>
        <w:rPr>
          <w:rFonts w:hint="eastAsia" w:ascii="宋体" w:hAnsi="宋体"/>
          <w:color w:val="auto"/>
          <w:kern w:val="0"/>
          <w:highlight w:val="none"/>
          <w:u w:val="single"/>
        </w:rPr>
        <w:t xml:space="preserve">。  </w:t>
      </w:r>
    </w:p>
    <w:p w14:paraId="7B213CF1">
      <w:pPr>
        <w:pStyle w:val="77"/>
        <w:spacing w:line="440" w:lineRule="exact"/>
        <w:ind w:firstLine="480" w:firstLineChars="200"/>
        <w:rPr>
          <w:rFonts w:ascii="宋体" w:hAnsi="宋体"/>
          <w:color w:val="auto"/>
          <w:kern w:val="0"/>
          <w:highlight w:val="none"/>
          <w:u w:val="single"/>
        </w:rPr>
      </w:pPr>
      <w:r>
        <w:rPr>
          <w:rFonts w:hint="eastAsia" w:ascii="宋体" w:hAnsi="宋体"/>
          <w:color w:val="auto"/>
          <w:highlight w:val="none"/>
        </w:rPr>
        <w:t>承包人主要施工管理人员擅自离开施工现场的违约责任：</w:t>
      </w:r>
      <w:r>
        <w:rPr>
          <w:rFonts w:hint="eastAsia" w:ascii="宋体" w:hAnsi="宋体"/>
          <w:color w:val="auto"/>
          <w:kern w:val="0"/>
          <w:highlight w:val="none"/>
          <w:u w:val="single"/>
        </w:rPr>
        <w:t>向发包人支付违约金</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u w:val="single"/>
        </w:rPr>
        <w:t xml:space="preserve">元/人·日。 </w:t>
      </w:r>
    </w:p>
    <w:p w14:paraId="6E8B6709">
      <w:pPr>
        <w:pStyle w:val="91"/>
        <w:spacing w:before="120" w:after="120" w:line="440" w:lineRule="exact"/>
        <w:outlineLvl w:val="0"/>
        <w:rPr>
          <w:rFonts w:ascii="宋体" w:hAnsi="宋体"/>
          <w:color w:val="auto"/>
          <w:highlight w:val="none"/>
        </w:rPr>
      </w:pPr>
      <w:r>
        <w:rPr>
          <w:rFonts w:hint="eastAsia" w:ascii="宋体" w:hAnsi="宋体"/>
          <w:color w:val="auto"/>
          <w:highlight w:val="none"/>
        </w:rPr>
        <w:t>3.5 分包</w:t>
      </w:r>
    </w:p>
    <w:p w14:paraId="38C4ACFE">
      <w:pPr>
        <w:pStyle w:val="77"/>
        <w:spacing w:line="440" w:lineRule="exact"/>
        <w:ind w:firstLine="468" w:firstLineChars="195"/>
        <w:rPr>
          <w:rFonts w:ascii="宋体" w:hAnsi="宋体"/>
          <w:color w:val="auto"/>
          <w:highlight w:val="none"/>
        </w:rPr>
      </w:pPr>
      <w:r>
        <w:rPr>
          <w:rFonts w:hint="eastAsia" w:ascii="宋体" w:hAnsi="宋体"/>
          <w:color w:val="auto"/>
          <w:highlight w:val="none"/>
        </w:rPr>
        <w:t>本工程不允许分包。</w:t>
      </w:r>
    </w:p>
    <w:p w14:paraId="57534265">
      <w:pPr>
        <w:pStyle w:val="91"/>
        <w:spacing w:before="120" w:after="120" w:line="440" w:lineRule="exact"/>
        <w:outlineLvl w:val="0"/>
        <w:rPr>
          <w:rFonts w:ascii="宋体" w:hAnsi="宋体"/>
          <w:color w:val="auto"/>
          <w:highlight w:val="none"/>
        </w:rPr>
      </w:pPr>
      <w:r>
        <w:rPr>
          <w:rFonts w:hint="eastAsia" w:ascii="宋体" w:hAnsi="宋体"/>
          <w:color w:val="auto"/>
          <w:highlight w:val="none"/>
        </w:rPr>
        <w:t xml:space="preserve">3.6  工程照管与成品、半成品保护 </w:t>
      </w:r>
    </w:p>
    <w:p w14:paraId="1FA04334">
      <w:pPr>
        <w:pStyle w:val="77"/>
        <w:spacing w:before="120" w:after="120" w:line="440" w:lineRule="exact"/>
        <w:ind w:firstLine="480" w:firstLineChars="200"/>
        <w:rPr>
          <w:rFonts w:ascii="宋体" w:hAnsi="宋体"/>
          <w:color w:val="auto"/>
          <w:kern w:val="0"/>
          <w:highlight w:val="none"/>
          <w:u w:val="single"/>
        </w:rPr>
      </w:pPr>
      <w:r>
        <w:rPr>
          <w:rFonts w:hint="eastAsia" w:ascii="宋体" w:hAnsi="宋体"/>
          <w:color w:val="auto"/>
          <w:kern w:val="0"/>
          <w:highlight w:val="none"/>
        </w:rPr>
        <w:t>承包人负责照管工程及工程相关的材料、工程设备的起始时间：</w:t>
      </w:r>
      <w:r>
        <w:rPr>
          <w:rFonts w:hint="eastAsia" w:ascii="宋体" w:hAnsi="宋体"/>
          <w:color w:val="auto"/>
          <w:kern w:val="0"/>
          <w:highlight w:val="none"/>
          <w:u w:val="single"/>
        </w:rPr>
        <w:t xml:space="preserve">自发包人向承包人移交施工现场之日起至颁发工程接收证书之日止。  </w:t>
      </w:r>
    </w:p>
    <w:p w14:paraId="76427E76">
      <w:pPr>
        <w:pStyle w:val="91"/>
        <w:spacing w:before="120" w:after="120" w:line="440" w:lineRule="exact"/>
        <w:outlineLvl w:val="0"/>
        <w:rPr>
          <w:rFonts w:ascii="宋体" w:hAnsi="宋体"/>
          <w:color w:val="auto"/>
          <w:highlight w:val="none"/>
        </w:rPr>
      </w:pPr>
      <w:r>
        <w:rPr>
          <w:rFonts w:hint="eastAsia" w:ascii="宋体" w:hAnsi="宋体"/>
          <w:color w:val="auto"/>
          <w:highlight w:val="none"/>
        </w:rPr>
        <w:t>3.7  履约担保</w:t>
      </w:r>
    </w:p>
    <w:p w14:paraId="217BAFED">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承包人是否提供履约担保：</w:t>
      </w:r>
      <w:r>
        <w:rPr>
          <w:rFonts w:hint="eastAsia" w:ascii="宋体" w:hAnsi="宋体"/>
          <w:color w:val="auto"/>
          <w:highlight w:val="none"/>
          <w:u w:val="single"/>
          <w:lang w:val="en-US" w:eastAsia="zh-CN"/>
        </w:rPr>
        <w:t>否</w:t>
      </w:r>
      <w:r>
        <w:rPr>
          <w:rFonts w:hint="eastAsia" w:ascii="宋体" w:hAnsi="宋体"/>
          <w:color w:val="auto"/>
          <w:highlight w:val="none"/>
          <w:u w:val="single"/>
        </w:rPr>
        <w:t xml:space="preserve"> </w:t>
      </w:r>
      <w:r>
        <w:rPr>
          <w:rFonts w:hint="eastAsia" w:ascii="宋体" w:hAnsi="宋体"/>
          <w:color w:val="auto"/>
          <w:highlight w:val="none"/>
        </w:rPr>
        <w:t>。</w:t>
      </w:r>
    </w:p>
    <w:p w14:paraId="17A2B74D">
      <w:pPr>
        <w:spacing w:line="400" w:lineRule="exact"/>
        <w:ind w:firstLine="434" w:firstLineChars="181"/>
        <w:rPr>
          <w:rFonts w:hint="eastAsia" w:ascii="宋体" w:hAnsi="宋体" w:eastAsia="宋体" w:cs="宋体"/>
          <w:b w:val="0"/>
          <w:bCs w:val="0"/>
          <w:color w:val="auto"/>
          <w:kern w:val="0"/>
          <w:sz w:val="24"/>
          <w:szCs w:val="24"/>
          <w:u w:val="single"/>
          <w:lang w:eastAsia="zh-CN"/>
        </w:rPr>
      </w:pPr>
      <w:r>
        <w:rPr>
          <w:rFonts w:hint="eastAsia" w:ascii="宋体" w:hAnsi="宋体"/>
          <w:color w:val="auto"/>
          <w:sz w:val="24"/>
          <w:szCs w:val="24"/>
          <w:highlight w:val="none"/>
        </w:rPr>
        <w:t>承包人提供履约担保的形式、金额及期限的：</w:t>
      </w:r>
      <w:r>
        <w:rPr>
          <w:rFonts w:hint="eastAsia" w:ascii="宋体" w:hAnsi="宋体"/>
          <w:color w:val="auto"/>
          <w:sz w:val="24"/>
          <w:szCs w:val="24"/>
          <w:highlight w:val="none"/>
          <w:u w:val="single"/>
          <w:lang w:eastAsia="zh-CN"/>
        </w:rPr>
        <w:t>在签订合同时向发包人缴交</w:t>
      </w:r>
      <w:r>
        <w:rPr>
          <w:rFonts w:hint="eastAsia" w:ascii="宋体" w:hAnsi="宋体"/>
          <w:color w:val="auto"/>
          <w:sz w:val="24"/>
          <w:szCs w:val="24"/>
          <w:highlight w:val="none"/>
          <w:u w:val="single"/>
          <w:lang w:val="en-US" w:eastAsia="zh-CN"/>
        </w:rPr>
        <w:t>中标合同价的2%</w:t>
      </w:r>
      <w:r>
        <w:rPr>
          <w:rFonts w:hint="eastAsia" w:ascii="宋体" w:hAnsi="宋体"/>
          <w:color w:val="auto"/>
          <w:sz w:val="24"/>
          <w:szCs w:val="24"/>
          <w:highlight w:val="none"/>
          <w:u w:val="single"/>
        </w:rPr>
        <w:t xml:space="preserve"> </w:t>
      </w:r>
      <w:r>
        <w:rPr>
          <w:rFonts w:hint="eastAsia" w:ascii="宋体" w:hAnsi="宋体" w:eastAsia="宋体" w:cs="宋体"/>
          <w:color w:val="auto"/>
          <w:spacing w:val="20"/>
          <w:sz w:val="24"/>
          <w:szCs w:val="24"/>
          <w:highlight w:val="none"/>
          <w:u w:val="single"/>
        </w:rPr>
        <w:t>履约保证金</w:t>
      </w:r>
      <w:r>
        <w:rPr>
          <w:rFonts w:hint="eastAsia" w:ascii="宋体" w:hAnsi="宋体" w:eastAsia="宋体" w:cs="宋体"/>
          <w:b w:val="0"/>
          <w:bCs w:val="0"/>
          <w:color w:val="auto"/>
          <w:sz w:val="24"/>
          <w:szCs w:val="24"/>
          <w:u w:val="single"/>
        </w:rPr>
        <w:t>，承包人可采用现金、银行保函、工程担保或保证保险等形式支付</w:t>
      </w:r>
      <w:r>
        <w:rPr>
          <w:rFonts w:hint="eastAsia" w:ascii="宋体" w:hAnsi="宋体" w:eastAsia="宋体" w:cs="宋体"/>
          <w:b w:val="0"/>
          <w:bCs w:val="0"/>
          <w:color w:val="auto"/>
          <w:kern w:val="0"/>
          <w:sz w:val="24"/>
          <w:szCs w:val="24"/>
          <w:u w:val="single"/>
        </w:rPr>
        <w:t>履约担保金。履约保证金在施工合同按约定履行完毕后无息退回。</w:t>
      </w:r>
    </w:p>
    <w:p w14:paraId="06014464">
      <w:pPr>
        <w:pStyle w:val="91"/>
        <w:spacing w:before="120" w:after="120" w:line="440" w:lineRule="exact"/>
        <w:outlineLvl w:val="0"/>
        <w:rPr>
          <w:rFonts w:ascii="宋体" w:hAnsi="宋体"/>
          <w:color w:val="auto"/>
          <w:highlight w:val="none"/>
        </w:rPr>
      </w:pPr>
      <w:r>
        <w:rPr>
          <w:rFonts w:hint="eastAsia" w:ascii="宋体" w:hAnsi="宋体"/>
          <w:color w:val="auto"/>
          <w:highlight w:val="none"/>
        </w:rPr>
        <w:t>3.8  联合体</w:t>
      </w:r>
    </w:p>
    <w:p w14:paraId="00246ECC">
      <w:pPr>
        <w:pStyle w:val="77"/>
        <w:spacing w:line="440" w:lineRule="exact"/>
        <w:ind w:firstLine="470" w:firstLineChars="196"/>
        <w:jc w:val="left"/>
        <w:rPr>
          <w:rFonts w:ascii="宋体" w:hAnsi="宋体"/>
          <w:color w:val="auto"/>
          <w:highlight w:val="none"/>
        </w:rPr>
      </w:pPr>
      <w:r>
        <w:rPr>
          <w:rFonts w:hint="eastAsia" w:ascii="宋体" w:hAnsi="宋体"/>
          <w:color w:val="auto"/>
          <w:highlight w:val="none"/>
        </w:rPr>
        <w:t>本工程不接受联合体投标。</w:t>
      </w:r>
    </w:p>
    <w:p w14:paraId="27B254B8">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3.9  工程价款应专款专用</w:t>
      </w:r>
    </w:p>
    <w:p w14:paraId="0D883CB8">
      <w:pPr>
        <w:pStyle w:val="77"/>
        <w:spacing w:line="440" w:lineRule="exact"/>
        <w:ind w:firstLine="480" w:firstLineChars="200"/>
        <w:rPr>
          <w:rFonts w:ascii="宋体" w:hAnsi="宋体"/>
          <w:color w:val="auto"/>
          <w:highlight w:val="none"/>
        </w:rPr>
      </w:pPr>
      <w:r>
        <w:rPr>
          <w:rFonts w:hint="eastAsia" w:ascii="宋体" w:hAnsi="宋体"/>
          <w:color w:val="auto"/>
          <w:highlight w:val="none"/>
        </w:rPr>
        <w:t>3.9.1承包人应向发包人授权进行本合同工程开户银行工程资金的查询。发包人支付的工程进度款应为本工程的专款专用资金，不得转移或用于其他工程。发包人的期中支付款将转入承包人指定并经发包人同意的银行所设的专门账户，发包人及其派出机构有权不定期对承包人工程资金使用情况进行检查，发现问题及时责令承包人限期改正，否则，将中止月支付，直至承包人改正为止，承包人不得以中止月支付为由而停工及索赔。</w:t>
      </w:r>
    </w:p>
    <w:p w14:paraId="0360E5D0">
      <w:pPr>
        <w:pStyle w:val="77"/>
        <w:spacing w:line="440" w:lineRule="exact"/>
        <w:ind w:firstLine="480" w:firstLineChars="200"/>
        <w:rPr>
          <w:rFonts w:ascii="宋体" w:hAnsi="宋体"/>
          <w:color w:val="auto"/>
          <w:highlight w:val="none"/>
        </w:rPr>
      </w:pPr>
      <w:r>
        <w:rPr>
          <w:rFonts w:hint="eastAsia" w:ascii="宋体" w:hAnsi="宋体"/>
          <w:color w:val="auto"/>
          <w:highlight w:val="none"/>
        </w:rPr>
        <w:t>3.9.2承包人应根据钦州市建管规定【2017】49号文以及《钦州市建设领域农民工工资支付监管暂行办法》等相关规定，承包人对建设项目的工程款中的工人工资与其他款项实行分开银行账户管理，在当地银行设立“农民工工资支付专用账户”用于支付工人工资。农民工工资支付专用账户内的资金除发放工人工资外，不得用于其它用途。农民工工资支付专用户的开立、使用和管理应按照银行相关规定执行。</w:t>
      </w:r>
    </w:p>
    <w:p w14:paraId="17490EA2">
      <w:pPr>
        <w:pStyle w:val="77"/>
        <w:spacing w:line="440" w:lineRule="exact"/>
        <w:ind w:firstLine="480" w:firstLineChars="200"/>
        <w:rPr>
          <w:rFonts w:ascii="宋体" w:hAnsi="宋体"/>
          <w:color w:val="auto"/>
          <w:highlight w:val="none"/>
        </w:rPr>
      </w:pPr>
      <w:r>
        <w:rPr>
          <w:rFonts w:hint="eastAsia" w:ascii="宋体" w:hAnsi="宋体"/>
          <w:color w:val="auto"/>
          <w:highlight w:val="none"/>
        </w:rPr>
        <w:t>3.9.3发包人拨付的工程进度款中工人工资所占进比例为工程进度款应付金额乘以（承包人投标报价中人工费/投标总价），从进度款中单独拨付到承包人开设的农民工工资专用账户。</w:t>
      </w:r>
    </w:p>
    <w:p w14:paraId="3981C79E">
      <w:pPr>
        <w:pStyle w:val="77"/>
        <w:spacing w:line="440" w:lineRule="exact"/>
        <w:ind w:firstLine="480" w:firstLineChars="200"/>
        <w:rPr>
          <w:rFonts w:ascii="宋体" w:hAnsi="宋体"/>
          <w:color w:val="auto"/>
          <w:highlight w:val="none"/>
        </w:rPr>
      </w:pPr>
      <w:r>
        <w:rPr>
          <w:rFonts w:hint="eastAsia" w:ascii="宋体" w:hAnsi="宋体"/>
          <w:color w:val="auto"/>
          <w:highlight w:val="none"/>
        </w:rPr>
        <w:t xml:space="preserve">（1）必须在用工之日起15日内为每一位工人办理银行卡，用于发放工资； </w:t>
      </w:r>
    </w:p>
    <w:p w14:paraId="26ADC6EF">
      <w:pPr>
        <w:pStyle w:val="77"/>
        <w:spacing w:line="440" w:lineRule="exact"/>
        <w:ind w:firstLine="480" w:firstLineChars="200"/>
        <w:rPr>
          <w:rFonts w:ascii="宋体" w:hAnsi="宋体"/>
          <w:color w:val="auto"/>
          <w:highlight w:val="none"/>
        </w:rPr>
      </w:pPr>
      <w:r>
        <w:rPr>
          <w:rFonts w:hint="eastAsia" w:ascii="宋体" w:hAnsi="宋体"/>
          <w:color w:val="auto"/>
          <w:highlight w:val="none"/>
        </w:rPr>
        <w:t>（2）承包人必须通过农民工工资支付专用户，依法按时足额将工人工资直接支付到工人的工资个人账户，并按月及时将工人工资支付明细表报发包人、施工总承包单位和当地劳动保障监督部门备案；</w:t>
      </w:r>
    </w:p>
    <w:p w14:paraId="708B4A49">
      <w:pPr>
        <w:pStyle w:val="77"/>
        <w:spacing w:line="440" w:lineRule="exact"/>
        <w:ind w:firstLine="480" w:firstLineChars="200"/>
        <w:rPr>
          <w:rFonts w:ascii="宋体" w:hAnsi="宋体"/>
          <w:color w:val="auto"/>
          <w:highlight w:val="none"/>
        </w:rPr>
      </w:pPr>
      <w:r>
        <w:rPr>
          <w:rFonts w:hint="eastAsia" w:ascii="宋体" w:hAnsi="宋体"/>
          <w:color w:val="auto"/>
          <w:highlight w:val="none"/>
        </w:rPr>
        <w:t>（3）承包人要指定专人负责建设项目施工现场台账管理，真实、准确记录工人名册、劳务合同、劳动合同、工程进度、工时台账、劳务承包款和工人工资支付等信息，并保存两年以上备查。</w:t>
      </w:r>
    </w:p>
    <w:p w14:paraId="34DE0AE9">
      <w:pPr>
        <w:pStyle w:val="77"/>
        <w:spacing w:line="440" w:lineRule="exact"/>
        <w:ind w:firstLine="480" w:firstLineChars="200"/>
        <w:rPr>
          <w:rFonts w:ascii="宋体" w:hAnsi="宋体"/>
          <w:color w:val="auto"/>
          <w:highlight w:val="none"/>
        </w:rPr>
      </w:pPr>
      <w:r>
        <w:rPr>
          <w:rFonts w:hint="eastAsia" w:ascii="宋体" w:hAnsi="宋体"/>
          <w:color w:val="auto"/>
          <w:highlight w:val="none"/>
        </w:rPr>
        <w:t xml:space="preserve"> 承包人未按照合同约定或国家规定及时足额支付工人工资的，由人社部门责令其限期支付，逾期不支付的，依法作出行政处理（处罚）决定。</w:t>
      </w:r>
    </w:p>
    <w:p w14:paraId="5E1D9E45">
      <w:pPr>
        <w:pStyle w:val="91"/>
        <w:spacing w:before="120" w:after="120" w:line="440" w:lineRule="exact"/>
        <w:outlineLvl w:val="0"/>
        <w:rPr>
          <w:rFonts w:ascii="宋体" w:hAnsi="宋体"/>
          <w:color w:val="auto"/>
          <w:highlight w:val="none"/>
        </w:rPr>
      </w:pPr>
      <w:r>
        <w:rPr>
          <w:rFonts w:hint="eastAsia" w:ascii="宋体" w:hAnsi="宋体"/>
          <w:color w:val="auto"/>
          <w:highlight w:val="none"/>
        </w:rPr>
        <w:t>4.   监理人</w:t>
      </w:r>
    </w:p>
    <w:p w14:paraId="7EE3C6BC">
      <w:pPr>
        <w:pStyle w:val="91"/>
        <w:spacing w:before="120" w:after="120" w:line="440" w:lineRule="exact"/>
        <w:outlineLvl w:val="0"/>
        <w:rPr>
          <w:rFonts w:ascii="宋体" w:hAnsi="宋体"/>
          <w:color w:val="auto"/>
          <w:highlight w:val="none"/>
        </w:rPr>
      </w:pPr>
      <w:r>
        <w:rPr>
          <w:rFonts w:hint="eastAsia" w:ascii="宋体" w:hAnsi="宋体"/>
          <w:color w:val="auto"/>
          <w:highlight w:val="none"/>
        </w:rPr>
        <w:t>4.1 监理人的一般规定</w:t>
      </w:r>
    </w:p>
    <w:p w14:paraId="378382CD">
      <w:pPr>
        <w:widowControl w:val="0"/>
        <w:spacing w:line="360" w:lineRule="auto"/>
        <w:ind w:firstLine="480" w:firstLineChars="200"/>
        <w:jc w:val="left"/>
        <w:rPr>
          <w:rStyle w:val="32"/>
          <w:rFonts w:ascii="Calibri" w:hAnsi="Calibri" w:eastAsia="宋体" w:cs="Times New Roman"/>
          <w:color w:val="auto"/>
          <w:kern w:val="2"/>
          <w:sz w:val="24"/>
          <w:szCs w:val="24"/>
          <w:lang w:val="en-US" w:eastAsia="zh-CN" w:bidi="ar-SA"/>
        </w:rPr>
      </w:pPr>
      <w:r>
        <w:rPr>
          <w:rStyle w:val="32"/>
          <w:rFonts w:hint="eastAsia" w:ascii="Calibri" w:hAnsi="宋体" w:eastAsia="宋体" w:cs="宋体"/>
          <w:color w:val="auto"/>
          <w:kern w:val="2"/>
          <w:sz w:val="24"/>
          <w:szCs w:val="24"/>
          <w:lang w:val="en-US" w:eastAsia="zh-CN" w:bidi="ar-SA"/>
        </w:rPr>
        <w:t>关于监理人的监理内容：</w:t>
      </w:r>
      <w:r>
        <w:rPr>
          <w:rStyle w:val="32"/>
          <w:rFonts w:ascii="Calibri" w:hAnsi="Calibri" w:eastAsia="宋体" w:cs="Times New Roman"/>
          <w:color w:val="auto"/>
          <w:kern w:val="2"/>
          <w:sz w:val="24"/>
          <w:szCs w:val="24"/>
          <w:u w:val="single"/>
          <w:lang w:val="en-US" w:eastAsia="zh-CN" w:bidi="ar-SA"/>
        </w:rPr>
        <w:t xml:space="preserve"> </w:t>
      </w:r>
      <w:r>
        <w:rPr>
          <w:rStyle w:val="32"/>
          <w:rFonts w:hint="eastAsia" w:ascii="宋体" w:hAnsi="宋体" w:eastAsia="宋体" w:cs="Times New Roman"/>
          <w:color w:val="auto"/>
          <w:kern w:val="2"/>
          <w:sz w:val="24"/>
          <w:szCs w:val="24"/>
          <w:u w:val="single"/>
          <w:lang w:val="en-US" w:eastAsia="zh-CN" w:bidi="ar-SA"/>
        </w:rPr>
        <w:t>工程施工准备、工程施工、工程竣工及结算审核等工作</w:t>
      </w:r>
      <w:r>
        <w:rPr>
          <w:rStyle w:val="32"/>
          <w:rFonts w:ascii="Calibri" w:hAnsi="Calibri" w:eastAsia="宋体" w:cs="Times New Roman"/>
          <w:color w:val="auto"/>
          <w:kern w:val="2"/>
          <w:sz w:val="24"/>
          <w:szCs w:val="24"/>
          <w:u w:val="single"/>
          <w:lang w:val="en-US" w:eastAsia="zh-CN" w:bidi="ar-SA"/>
        </w:rPr>
        <w:t xml:space="preserve"> </w:t>
      </w:r>
      <w:r>
        <w:rPr>
          <w:rStyle w:val="32"/>
          <w:rFonts w:hint="eastAsia" w:ascii="Calibri" w:hAnsi="宋体" w:eastAsia="宋体" w:cs="宋体"/>
          <w:color w:val="auto"/>
          <w:kern w:val="2"/>
          <w:sz w:val="24"/>
          <w:szCs w:val="24"/>
          <w:lang w:val="en-US" w:eastAsia="zh-CN" w:bidi="ar-SA"/>
        </w:rPr>
        <w:t>。</w:t>
      </w:r>
    </w:p>
    <w:p w14:paraId="733F9482">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Calibri" w:hAnsi="宋体" w:eastAsia="宋体" w:cs="宋体"/>
          <w:color w:val="auto"/>
          <w:kern w:val="2"/>
          <w:sz w:val="24"/>
          <w:szCs w:val="24"/>
          <w:lang w:val="en-US" w:eastAsia="zh-CN" w:bidi="ar-SA"/>
        </w:rPr>
        <w:t>关于监理人的监理权限：</w:t>
      </w:r>
      <w:r>
        <w:rPr>
          <w:rStyle w:val="32"/>
          <w:rFonts w:hint="eastAsia" w:ascii="宋体" w:hAnsi="宋体" w:eastAsia="宋体" w:cs="Times New Roman"/>
          <w:color w:val="auto"/>
          <w:kern w:val="2"/>
          <w:sz w:val="24"/>
          <w:szCs w:val="24"/>
          <w:lang w:val="en-US" w:eastAsia="zh-CN" w:bidi="ar-SA"/>
        </w:rPr>
        <w:t>（1）</w:t>
      </w:r>
      <w:r>
        <w:rPr>
          <w:rStyle w:val="32"/>
          <w:rFonts w:hint="eastAsia" w:ascii="宋体" w:hAnsi="宋体" w:eastAsia="宋体" w:cs="Times New Roman"/>
          <w:color w:val="auto"/>
          <w:kern w:val="2"/>
          <w:sz w:val="24"/>
          <w:szCs w:val="24"/>
          <w:u w:val="single"/>
          <w:lang w:val="en-US" w:eastAsia="zh-CN" w:bidi="ar-SA"/>
        </w:rPr>
        <w:t>在施工承包合同实施过程中，全面负责对工程的监督、管理和检查，协调发包人与承包人之间的关系，负责对合同文件作出解释和说明，处理矛盾，以确保合同圆满执行，但无权修改合同。</w:t>
      </w:r>
    </w:p>
    <w:p w14:paraId="731C3526">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 xml:space="preserve"> （2）</w:t>
      </w:r>
      <w:r>
        <w:rPr>
          <w:rStyle w:val="32"/>
          <w:rFonts w:hint="eastAsia" w:ascii="宋体" w:hAnsi="宋体" w:eastAsia="宋体" w:cs="Times New Roman"/>
          <w:color w:val="auto"/>
          <w:kern w:val="2"/>
          <w:sz w:val="24"/>
          <w:szCs w:val="24"/>
          <w:u w:val="single"/>
          <w:lang w:val="en-US" w:eastAsia="zh-CN" w:bidi="ar-SA"/>
        </w:rPr>
        <w:t>施工阶段设计变更需经监理工程师签认后方可下发。承包人的工程变更请求需经监理工程师签认后，由承包人提请发包人和设计单位审查批准。监理工程师的签认不影响设计单位所承担的技术责任。</w:t>
      </w:r>
    </w:p>
    <w:p w14:paraId="6FDF3C08">
      <w:pPr>
        <w:widowControl w:val="0"/>
        <w:spacing w:line="440" w:lineRule="exact"/>
        <w:ind w:firstLine="360" w:firstLineChars="150"/>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 xml:space="preserve"> （3）</w:t>
      </w:r>
      <w:r>
        <w:rPr>
          <w:rStyle w:val="32"/>
          <w:rFonts w:hint="eastAsia" w:ascii="宋体" w:hAnsi="宋体" w:eastAsia="宋体" w:cs="Times New Roman"/>
          <w:color w:val="auto"/>
          <w:kern w:val="2"/>
          <w:sz w:val="24"/>
          <w:szCs w:val="24"/>
          <w:u w:val="single"/>
          <w:lang w:val="en-US" w:eastAsia="zh-CN" w:bidi="ar-SA"/>
        </w:rPr>
        <w:t>当发现工程进度比计划拖期时，有权指令承包人采取措施，尽快纠正。在施工进度严重延误，并经多次警告仍未纠正的情况下，有权提出补救方案或终止合同的建议。</w:t>
      </w:r>
    </w:p>
    <w:p w14:paraId="3DADBFA8">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（4）</w:t>
      </w:r>
      <w:r>
        <w:rPr>
          <w:rStyle w:val="32"/>
          <w:rFonts w:hint="eastAsia" w:ascii="宋体" w:hAnsi="宋体" w:eastAsia="宋体" w:cs="Times New Roman"/>
          <w:color w:val="auto"/>
          <w:kern w:val="2"/>
          <w:sz w:val="24"/>
          <w:szCs w:val="24"/>
          <w:u w:val="single"/>
          <w:lang w:val="en-US" w:eastAsia="zh-CN" w:bidi="ar-SA"/>
        </w:rPr>
        <w:t>当监理工程师认为工程质量或安全没有足够保障时，有权下达停工令，并提出处理意见。审查承包人复工报告，发布复工令。没有监理工程师的复工令，不得复工。</w:t>
      </w:r>
    </w:p>
    <w:p w14:paraId="53790E6F">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（5）</w:t>
      </w:r>
      <w:r>
        <w:rPr>
          <w:rStyle w:val="32"/>
          <w:rFonts w:hint="eastAsia" w:ascii="宋体" w:hAnsi="宋体" w:eastAsia="宋体" w:cs="Times New Roman"/>
          <w:color w:val="auto"/>
          <w:kern w:val="2"/>
          <w:sz w:val="24"/>
          <w:szCs w:val="24"/>
          <w:u w:val="single"/>
          <w:lang w:val="en-US" w:eastAsia="zh-CN" w:bidi="ar-SA"/>
        </w:rPr>
        <w:t>对不符合质量要求或无法证明质量符合要求的工程（含未经签证的隐蔽工程）有权要求承包人返工、复查、撤换人员。必要时可建议发包人更换承包人。</w:t>
      </w:r>
    </w:p>
    <w:p w14:paraId="2AC99539">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（6）</w:t>
      </w:r>
      <w:r>
        <w:rPr>
          <w:rStyle w:val="32"/>
          <w:rFonts w:hint="eastAsia" w:ascii="宋体" w:hAnsi="宋体" w:eastAsia="宋体" w:cs="Times New Roman"/>
          <w:color w:val="auto"/>
          <w:kern w:val="2"/>
          <w:sz w:val="24"/>
          <w:szCs w:val="24"/>
          <w:u w:val="single"/>
          <w:lang w:val="en-US" w:eastAsia="zh-CN" w:bidi="ar-SA"/>
        </w:rPr>
        <w:t>指定试验单位或批准承包人提出的试验单位，核查试验结果。对试验结果有怀疑时，有权要求复试。</w:t>
      </w:r>
    </w:p>
    <w:p w14:paraId="55FC2826">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（7）</w:t>
      </w:r>
      <w:r>
        <w:rPr>
          <w:rStyle w:val="32"/>
          <w:rFonts w:hint="eastAsia" w:ascii="宋体" w:hAnsi="宋体" w:eastAsia="宋体" w:cs="Times New Roman"/>
          <w:color w:val="auto"/>
          <w:kern w:val="2"/>
          <w:sz w:val="24"/>
          <w:szCs w:val="24"/>
          <w:u w:val="single"/>
          <w:lang w:val="en-US" w:eastAsia="zh-CN" w:bidi="ar-SA"/>
        </w:rPr>
        <w:t>签证付款凭证（含临时付款及最终付款）。未经监理工程师签证，一律不付款。</w:t>
      </w:r>
    </w:p>
    <w:p w14:paraId="492DC159">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（8）</w:t>
      </w:r>
      <w:r>
        <w:rPr>
          <w:rStyle w:val="32"/>
          <w:rFonts w:hint="eastAsia" w:ascii="宋体" w:hAnsi="宋体" w:eastAsia="宋体" w:cs="Times New Roman"/>
          <w:color w:val="auto"/>
          <w:kern w:val="2"/>
          <w:sz w:val="24"/>
          <w:szCs w:val="24"/>
          <w:u w:val="single"/>
          <w:lang w:val="en-US" w:eastAsia="zh-CN" w:bidi="ar-SA"/>
        </w:rPr>
        <w:t>有权拒绝不合格的或未经证明合格的设备和材料运入现场。对已运入现场的，经查不合格的设备和材料，有权指令承包人在规定时间内运出现场。</w:t>
      </w:r>
    </w:p>
    <w:p w14:paraId="4E02AD64">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（9）</w:t>
      </w:r>
      <w:r>
        <w:rPr>
          <w:rStyle w:val="32"/>
          <w:rFonts w:hint="eastAsia" w:ascii="宋体" w:hAnsi="宋体" w:eastAsia="宋体" w:cs="Times New Roman"/>
          <w:color w:val="auto"/>
          <w:kern w:val="2"/>
          <w:sz w:val="24"/>
          <w:szCs w:val="24"/>
          <w:u w:val="single"/>
          <w:lang w:val="en-US" w:eastAsia="zh-CN" w:bidi="ar-SA"/>
        </w:rPr>
        <w:t>考察承包人的进场人员素质，包括技术水平、工作能力、工作态度，可以随时要求承包人撤换不称职的项目经理、技术负责人和不听从管理的施工班组和人员。</w:t>
      </w:r>
    </w:p>
    <w:p w14:paraId="797241A6">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（10）</w:t>
      </w:r>
      <w:r>
        <w:rPr>
          <w:rStyle w:val="32"/>
          <w:rFonts w:hint="eastAsia" w:ascii="宋体" w:hAnsi="宋体" w:eastAsia="宋体" w:cs="Times New Roman"/>
          <w:color w:val="auto"/>
          <w:kern w:val="2"/>
          <w:sz w:val="24"/>
          <w:szCs w:val="24"/>
          <w:u w:val="single"/>
          <w:lang w:val="en-US" w:eastAsia="zh-CN" w:bidi="ar-SA"/>
        </w:rPr>
        <w:t>检查违约事件。代表发包人向承包人索赔，同时处理承包人提出的各种索赔。经与发包人、承包人协商后决定处理意见。任何一方如不同意监理工程师的决定，可以提交有关部门仲裁。</w:t>
      </w:r>
    </w:p>
    <w:p w14:paraId="4787D7A9">
      <w:pPr>
        <w:widowControl w:val="0"/>
        <w:spacing w:line="360" w:lineRule="auto"/>
        <w:ind w:firstLine="480" w:firstLineChars="200"/>
        <w:jc w:val="left"/>
        <w:rPr>
          <w:rStyle w:val="32"/>
          <w:rFonts w:ascii="Times New Roman" w:hAnsi="Times New Roman" w:eastAsia="宋体" w:cs="Times New Roman"/>
          <w:color w:val="auto"/>
          <w:kern w:val="2"/>
          <w:sz w:val="24"/>
          <w:szCs w:val="24"/>
          <w:lang w:val="en-US" w:eastAsia="zh-CN" w:bidi="ar-SA"/>
        </w:rPr>
      </w:pPr>
      <w:r>
        <w:rPr>
          <w:rStyle w:val="32"/>
          <w:rFonts w:hint="eastAsia" w:ascii="宋体" w:hAnsi="宋体" w:eastAsia="宋体" w:cs="Times New Roman"/>
          <w:color w:val="auto"/>
          <w:kern w:val="2"/>
          <w:sz w:val="24"/>
          <w:szCs w:val="24"/>
          <w:lang w:val="en-US" w:eastAsia="zh-CN" w:bidi="ar-SA"/>
        </w:rPr>
        <w:t>（11）</w:t>
      </w:r>
      <w:r>
        <w:rPr>
          <w:rStyle w:val="32"/>
          <w:rFonts w:hint="eastAsia" w:ascii="宋体" w:hAnsi="宋体" w:eastAsia="宋体" w:cs="Times New Roman"/>
          <w:color w:val="auto"/>
          <w:kern w:val="2"/>
          <w:sz w:val="24"/>
          <w:szCs w:val="24"/>
          <w:u w:val="single"/>
          <w:lang w:val="en-US" w:eastAsia="zh-CN" w:bidi="ar-SA"/>
        </w:rPr>
        <w:t>监理工程师在现场监督工作中，发现工程质量和安全管理、环境保护和文明施工存在问题并发出整改通知，承包人在整改期限内没有整改合格的，监理单位可视情节轻重，对承包人下发每次100-5000元不等的违约金通知单，承包人应按违约金通知单金额支付违约金</w:t>
      </w:r>
      <w:r>
        <w:rPr>
          <w:rStyle w:val="32"/>
          <w:rFonts w:ascii="Times New Roman" w:hAnsi="Times New Roman" w:eastAsia="宋体" w:cs="Times New Roman"/>
          <w:color w:val="auto"/>
          <w:kern w:val="2"/>
          <w:sz w:val="24"/>
          <w:szCs w:val="24"/>
          <w:u w:val="single"/>
          <w:lang w:val="en-US" w:eastAsia="zh-CN" w:bidi="ar-SA"/>
        </w:rPr>
        <w:t xml:space="preserve">  </w:t>
      </w:r>
      <w:r>
        <w:rPr>
          <w:rStyle w:val="32"/>
          <w:rFonts w:hint="eastAsia" w:ascii="Times New Roman" w:hAnsi="宋体" w:eastAsia="宋体" w:cs="宋体"/>
          <w:color w:val="auto"/>
          <w:kern w:val="2"/>
          <w:sz w:val="24"/>
          <w:szCs w:val="24"/>
          <w:lang w:val="en-US" w:eastAsia="zh-CN" w:bidi="ar-SA"/>
        </w:rPr>
        <w:t>。</w:t>
      </w:r>
      <w:r>
        <w:rPr>
          <w:rStyle w:val="32"/>
          <w:rFonts w:ascii="Times New Roman" w:hAnsi="Times New Roman" w:eastAsia="宋体" w:cs="Times New Roman"/>
          <w:color w:val="auto"/>
          <w:kern w:val="2"/>
          <w:sz w:val="24"/>
          <w:szCs w:val="24"/>
          <w:lang w:val="en-US" w:eastAsia="zh-CN" w:bidi="ar-SA"/>
        </w:rPr>
        <w:t xml:space="preserve"> </w:t>
      </w:r>
    </w:p>
    <w:p w14:paraId="74720148">
      <w:pPr>
        <w:pStyle w:val="91"/>
        <w:spacing w:before="120" w:after="120" w:line="440" w:lineRule="exact"/>
        <w:outlineLvl w:val="0"/>
        <w:rPr>
          <w:rFonts w:ascii="宋体" w:hAnsi="宋体"/>
          <w:color w:val="auto"/>
          <w:highlight w:val="none"/>
        </w:rPr>
      </w:pPr>
      <w:r>
        <w:rPr>
          <w:rStyle w:val="32"/>
          <w:rFonts w:hint="eastAsia" w:ascii="Times New Roman" w:hAnsi="宋体" w:eastAsia="宋体" w:cs="宋体"/>
          <w:color w:val="auto"/>
          <w:kern w:val="2"/>
          <w:sz w:val="24"/>
          <w:szCs w:val="24"/>
          <w:lang w:val="en-US" w:eastAsia="zh-CN" w:bidi="ar-SA"/>
        </w:rPr>
        <w:t>关于监理人在施工现场的办公场所、生活场所的提供和费用承担的约定：</w:t>
      </w:r>
      <w:r>
        <w:rPr>
          <w:rStyle w:val="32"/>
          <w:rFonts w:ascii="Times New Roman" w:hAnsi="Times New Roman" w:eastAsia="宋体" w:cs="Times New Roman"/>
          <w:color w:val="auto"/>
          <w:kern w:val="2"/>
          <w:sz w:val="24"/>
          <w:szCs w:val="24"/>
          <w:u w:val="single"/>
          <w:lang w:val="en-US" w:eastAsia="zh-CN" w:bidi="ar-SA"/>
        </w:rPr>
        <w:t xml:space="preserve">  </w:t>
      </w:r>
      <w:r>
        <w:rPr>
          <w:rStyle w:val="32"/>
          <w:rFonts w:hint="eastAsia" w:ascii="Times New Roman" w:hAnsi="Times New Roman" w:eastAsia="宋体" w:cs="Times New Roman"/>
          <w:color w:val="auto"/>
          <w:kern w:val="2"/>
          <w:sz w:val="24"/>
          <w:szCs w:val="24"/>
          <w:u w:val="single"/>
          <w:lang w:val="en-US" w:eastAsia="zh-CN" w:bidi="ar-SA"/>
        </w:rPr>
        <w:t>无</w:t>
      </w:r>
      <w:r>
        <w:rPr>
          <w:rStyle w:val="32"/>
          <w:rFonts w:ascii="Times New Roman" w:hAnsi="Times New Roman" w:eastAsia="宋体" w:cs="Times New Roman"/>
          <w:color w:val="auto"/>
          <w:kern w:val="2"/>
          <w:sz w:val="24"/>
          <w:szCs w:val="24"/>
          <w:u w:val="single"/>
          <w:lang w:val="en-US" w:eastAsia="zh-CN" w:bidi="ar-SA"/>
        </w:rPr>
        <w:t xml:space="preserve">      </w:t>
      </w:r>
      <w:r>
        <w:rPr>
          <w:rStyle w:val="32"/>
          <w:rFonts w:hint="eastAsia" w:ascii="Times New Roman" w:hAnsi="宋体" w:eastAsia="宋体" w:cs="宋体"/>
          <w:color w:val="auto"/>
          <w:kern w:val="2"/>
          <w:sz w:val="24"/>
          <w:szCs w:val="24"/>
          <w:lang w:val="en-US" w:eastAsia="zh-CN" w:bidi="ar-SA"/>
        </w:rPr>
        <w:t>。</w:t>
      </w:r>
      <w:r>
        <w:rPr>
          <w:rFonts w:hint="eastAsia" w:ascii="宋体" w:hAnsi="宋体"/>
          <w:color w:val="auto"/>
          <w:highlight w:val="none"/>
        </w:rPr>
        <w:t>4.2  监理人员</w:t>
      </w:r>
    </w:p>
    <w:p w14:paraId="6B307A51">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总监理工程师：</w:t>
      </w:r>
      <w:r>
        <w:rPr>
          <w:rFonts w:hint="eastAsia" w:ascii="宋体" w:hAnsi="宋体"/>
          <w:color w:val="auto"/>
          <w:highlight w:val="none"/>
          <w:u w:val="single"/>
        </w:rPr>
        <w:t xml:space="preserve">                                                  </w:t>
      </w:r>
      <w:r>
        <w:rPr>
          <w:rFonts w:hint="eastAsia" w:ascii="宋体" w:hAnsi="宋体"/>
          <w:color w:val="auto"/>
          <w:highlight w:val="none"/>
        </w:rPr>
        <w:t>；</w:t>
      </w:r>
    </w:p>
    <w:p w14:paraId="21A764A4">
      <w:pPr>
        <w:pStyle w:val="77"/>
        <w:spacing w:line="440" w:lineRule="exact"/>
        <w:ind w:firstLine="480" w:firstLineChars="200"/>
        <w:rPr>
          <w:rFonts w:ascii="宋体" w:hAnsi="宋体"/>
          <w:color w:val="auto"/>
          <w:highlight w:val="none"/>
        </w:rPr>
      </w:pPr>
      <w:r>
        <w:rPr>
          <w:rFonts w:hint="eastAsia" w:ascii="宋体" w:hAnsi="宋体"/>
          <w:color w:val="auto"/>
          <w:highlight w:val="none"/>
        </w:rPr>
        <w:t>姓    名：</w:t>
      </w:r>
      <w:r>
        <w:rPr>
          <w:rFonts w:hint="eastAsia" w:ascii="宋体" w:hAnsi="宋体"/>
          <w:color w:val="auto"/>
          <w:highlight w:val="none"/>
          <w:u w:val="single"/>
        </w:rPr>
        <w:t xml:space="preserve">                                                      </w:t>
      </w:r>
      <w:r>
        <w:rPr>
          <w:rFonts w:hint="eastAsia" w:ascii="宋体" w:hAnsi="宋体"/>
          <w:color w:val="auto"/>
          <w:highlight w:val="none"/>
        </w:rPr>
        <w:t>；</w:t>
      </w:r>
    </w:p>
    <w:p w14:paraId="5CA0A6ED">
      <w:pPr>
        <w:pStyle w:val="77"/>
        <w:spacing w:line="440" w:lineRule="exact"/>
        <w:ind w:firstLine="480" w:firstLineChars="200"/>
        <w:rPr>
          <w:rFonts w:ascii="宋体" w:hAnsi="宋体"/>
          <w:color w:val="auto"/>
          <w:highlight w:val="none"/>
        </w:rPr>
      </w:pPr>
      <w:r>
        <w:rPr>
          <w:rFonts w:hint="eastAsia" w:ascii="宋体" w:hAnsi="宋体"/>
          <w:color w:val="auto"/>
          <w:highlight w:val="none"/>
        </w:rPr>
        <w:t>职    务：</w:t>
      </w:r>
      <w:r>
        <w:rPr>
          <w:rFonts w:hint="eastAsia" w:ascii="宋体" w:hAnsi="宋体"/>
          <w:color w:val="auto"/>
          <w:highlight w:val="none"/>
          <w:u w:val="single"/>
        </w:rPr>
        <w:t xml:space="preserve">                                                      </w:t>
      </w:r>
      <w:r>
        <w:rPr>
          <w:rFonts w:hint="eastAsia" w:ascii="宋体" w:hAnsi="宋体"/>
          <w:color w:val="auto"/>
          <w:highlight w:val="none"/>
        </w:rPr>
        <w:t>；</w:t>
      </w:r>
    </w:p>
    <w:p w14:paraId="46C8A941">
      <w:pPr>
        <w:pStyle w:val="77"/>
        <w:spacing w:line="440" w:lineRule="exact"/>
        <w:ind w:firstLine="480" w:firstLineChars="200"/>
        <w:rPr>
          <w:rFonts w:ascii="宋体" w:hAnsi="宋体"/>
          <w:color w:val="auto"/>
          <w:highlight w:val="none"/>
        </w:rPr>
      </w:pPr>
      <w:r>
        <w:rPr>
          <w:rFonts w:hint="eastAsia" w:ascii="宋体" w:hAnsi="宋体"/>
          <w:color w:val="auto"/>
          <w:highlight w:val="none"/>
        </w:rPr>
        <w:t>监理工程师执业资格证书号：</w:t>
      </w:r>
      <w:r>
        <w:rPr>
          <w:rFonts w:hint="eastAsia" w:ascii="宋体" w:hAnsi="宋体"/>
          <w:color w:val="auto"/>
          <w:highlight w:val="none"/>
          <w:u w:val="single"/>
        </w:rPr>
        <w:t xml:space="preserve">                                       </w:t>
      </w:r>
      <w:r>
        <w:rPr>
          <w:rFonts w:hint="eastAsia" w:ascii="宋体" w:hAnsi="宋体"/>
          <w:color w:val="auto"/>
          <w:highlight w:val="none"/>
        </w:rPr>
        <w:t>；</w:t>
      </w:r>
    </w:p>
    <w:p w14:paraId="7F599229">
      <w:pPr>
        <w:pStyle w:val="77"/>
        <w:spacing w:line="440" w:lineRule="exact"/>
        <w:ind w:firstLine="480" w:firstLineChars="2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rPr>
        <w:t>；</w:t>
      </w:r>
    </w:p>
    <w:p w14:paraId="05971BEC">
      <w:pPr>
        <w:pStyle w:val="77"/>
        <w:spacing w:line="440" w:lineRule="exact"/>
        <w:ind w:firstLine="480" w:firstLineChars="200"/>
        <w:rPr>
          <w:rFonts w:ascii="宋体" w:hAnsi="宋体"/>
          <w:color w:val="auto"/>
          <w:highlight w:val="none"/>
        </w:rPr>
      </w:pPr>
      <w:r>
        <w:rPr>
          <w:rFonts w:hint="eastAsia" w:ascii="宋体" w:hAnsi="宋体"/>
          <w:color w:val="auto"/>
          <w:highlight w:val="none"/>
        </w:rPr>
        <w:t>电子信箱：</w:t>
      </w:r>
      <w:r>
        <w:rPr>
          <w:rFonts w:hint="eastAsia" w:ascii="宋体" w:hAnsi="宋体"/>
          <w:color w:val="auto"/>
          <w:highlight w:val="none"/>
          <w:u w:val="single"/>
        </w:rPr>
        <w:t xml:space="preserve">                                                      </w:t>
      </w:r>
      <w:r>
        <w:rPr>
          <w:rFonts w:hint="eastAsia" w:ascii="宋体" w:hAnsi="宋体"/>
          <w:color w:val="auto"/>
          <w:highlight w:val="none"/>
        </w:rPr>
        <w:t>；</w:t>
      </w:r>
    </w:p>
    <w:p w14:paraId="4DED3046">
      <w:pPr>
        <w:pStyle w:val="77"/>
        <w:spacing w:line="440" w:lineRule="exact"/>
        <w:ind w:firstLine="480" w:firstLineChars="200"/>
        <w:rPr>
          <w:rFonts w:ascii="宋体" w:hAnsi="宋体"/>
          <w:color w:val="auto"/>
          <w:highlight w:val="none"/>
        </w:rPr>
      </w:pPr>
      <w:r>
        <w:rPr>
          <w:rFonts w:hint="eastAsia" w:ascii="宋体" w:hAnsi="宋体"/>
          <w:color w:val="auto"/>
          <w:highlight w:val="none"/>
        </w:rPr>
        <w:t>通信地址：</w:t>
      </w:r>
      <w:r>
        <w:rPr>
          <w:rFonts w:hint="eastAsia" w:ascii="宋体" w:hAnsi="宋体"/>
          <w:color w:val="auto"/>
          <w:highlight w:val="none"/>
          <w:u w:val="single"/>
        </w:rPr>
        <w:t xml:space="preserve">                                                      </w:t>
      </w:r>
      <w:r>
        <w:rPr>
          <w:rFonts w:hint="eastAsia" w:ascii="宋体" w:hAnsi="宋体"/>
          <w:color w:val="auto"/>
          <w:highlight w:val="none"/>
        </w:rPr>
        <w:t>；</w:t>
      </w:r>
    </w:p>
    <w:p w14:paraId="3EC4B1D3">
      <w:pPr>
        <w:pStyle w:val="77"/>
        <w:spacing w:line="440" w:lineRule="exact"/>
        <w:ind w:firstLine="480" w:firstLineChars="200"/>
        <w:rPr>
          <w:rFonts w:ascii="宋体" w:hAnsi="宋体"/>
          <w:color w:val="auto"/>
          <w:highlight w:val="none"/>
        </w:rPr>
      </w:pPr>
      <w:r>
        <w:rPr>
          <w:rFonts w:hint="eastAsia" w:ascii="宋体" w:hAnsi="宋体"/>
          <w:color w:val="auto"/>
          <w:highlight w:val="none"/>
        </w:rPr>
        <w:t>关于监理人的其他约定：</w:t>
      </w:r>
      <w:r>
        <w:rPr>
          <w:rFonts w:hint="eastAsia" w:ascii="宋体" w:hAnsi="宋体"/>
          <w:color w:val="auto"/>
          <w:highlight w:val="none"/>
          <w:u w:val="single"/>
        </w:rPr>
        <w:t xml:space="preserve">                                           </w:t>
      </w:r>
      <w:r>
        <w:rPr>
          <w:rFonts w:hint="eastAsia" w:ascii="宋体" w:hAnsi="宋体"/>
          <w:color w:val="auto"/>
          <w:highlight w:val="none"/>
        </w:rPr>
        <w:t>。</w:t>
      </w:r>
    </w:p>
    <w:p w14:paraId="10267175">
      <w:pPr>
        <w:pStyle w:val="91"/>
        <w:spacing w:before="120" w:after="120" w:line="440" w:lineRule="exact"/>
        <w:outlineLvl w:val="0"/>
        <w:rPr>
          <w:rFonts w:ascii="宋体" w:hAnsi="宋体"/>
          <w:color w:val="auto"/>
          <w:highlight w:val="none"/>
        </w:rPr>
      </w:pPr>
      <w:r>
        <w:rPr>
          <w:rFonts w:hint="eastAsia" w:ascii="宋体" w:hAnsi="宋体"/>
          <w:color w:val="auto"/>
          <w:highlight w:val="none"/>
        </w:rPr>
        <w:t>4.3  监理人的指示</w:t>
      </w:r>
    </w:p>
    <w:p w14:paraId="234DFAF7">
      <w:pPr>
        <w:pStyle w:val="77"/>
        <w:spacing w:after="120" w:line="440" w:lineRule="exact"/>
        <w:ind w:firstLine="480" w:firstLineChars="200"/>
        <w:rPr>
          <w:rFonts w:ascii="宋体" w:hAnsi="宋体"/>
          <w:b/>
          <w:bCs/>
          <w:color w:val="auto"/>
          <w:highlight w:val="none"/>
        </w:rPr>
      </w:pPr>
      <w:r>
        <w:rPr>
          <w:rFonts w:hint="eastAsia" w:ascii="宋体" w:hAnsi="宋体"/>
          <w:color w:val="auto"/>
          <w:highlight w:val="none"/>
        </w:rPr>
        <w:t>监理人应按《通用合同条款》第4.3 款的约定向承包人发出指示，监理人的指示应盖有监理人授权的施工场地机构章，并由总监理工程师按约定授权的监理人员签字。总监理工程师不应将《通用合同条款》第4.4条款[商定或确定]约定由总监理工程师作出确定的权力授权或委托给其他监理人员。如影响到合同价款的指示，还须经发包人现场代表签字确认并加盖发包人公章，否则视同不影响合同价款。</w:t>
      </w:r>
    </w:p>
    <w:p w14:paraId="4AB2A25D">
      <w:pPr>
        <w:pStyle w:val="91"/>
        <w:spacing w:before="120" w:after="120" w:line="440" w:lineRule="exact"/>
        <w:outlineLvl w:val="0"/>
        <w:rPr>
          <w:rFonts w:ascii="宋体" w:hAnsi="宋体"/>
          <w:color w:val="auto"/>
          <w:highlight w:val="none"/>
        </w:rPr>
      </w:pPr>
      <w:r>
        <w:rPr>
          <w:rFonts w:hint="eastAsia" w:ascii="宋体" w:hAnsi="宋体"/>
          <w:color w:val="auto"/>
          <w:highlight w:val="none"/>
        </w:rPr>
        <w:t>5.  工程质量</w:t>
      </w:r>
    </w:p>
    <w:p w14:paraId="5600D1F7">
      <w:pPr>
        <w:pStyle w:val="91"/>
        <w:spacing w:before="120" w:after="120" w:line="440" w:lineRule="exact"/>
        <w:outlineLvl w:val="0"/>
        <w:rPr>
          <w:rFonts w:ascii="宋体" w:hAnsi="宋体"/>
          <w:color w:val="auto"/>
          <w:highlight w:val="none"/>
        </w:rPr>
      </w:pPr>
      <w:r>
        <w:rPr>
          <w:rFonts w:hint="eastAsia" w:ascii="宋体" w:hAnsi="宋体"/>
          <w:color w:val="auto"/>
          <w:highlight w:val="none"/>
        </w:rPr>
        <w:t>5.1  质量要求</w:t>
      </w:r>
    </w:p>
    <w:p w14:paraId="081568CB">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5.1.1质量合格</w:t>
      </w:r>
    </w:p>
    <w:p w14:paraId="281667D5">
      <w:pPr>
        <w:pStyle w:val="77"/>
        <w:spacing w:line="440" w:lineRule="exact"/>
        <w:ind w:firstLine="484" w:firstLineChars="202"/>
        <w:jc w:val="left"/>
        <w:rPr>
          <w:rFonts w:ascii="宋体" w:hAnsi="宋体"/>
          <w:color w:val="auto"/>
          <w:highlight w:val="none"/>
          <w:u w:val="single"/>
        </w:rPr>
      </w:pPr>
      <w:r>
        <w:rPr>
          <w:rFonts w:hint="eastAsia" w:ascii="宋体" w:hAnsi="宋体"/>
          <w:color w:val="auto"/>
          <w:highlight w:val="none"/>
        </w:rPr>
        <w:t>5.1.2 特殊质量标准和要求：</w:t>
      </w:r>
      <w:r>
        <w:rPr>
          <w:rFonts w:hint="eastAsia" w:ascii="宋体" w:hAnsi="宋体"/>
          <w:color w:val="auto"/>
          <w:highlight w:val="none"/>
          <w:u w:val="single"/>
        </w:rPr>
        <w:t>无</w:t>
      </w:r>
      <w:r>
        <w:rPr>
          <w:rFonts w:hint="eastAsia" w:ascii="宋体" w:hAnsi="宋体"/>
          <w:color w:val="auto"/>
          <w:highlight w:val="none"/>
        </w:rPr>
        <w:t>。</w:t>
      </w:r>
    </w:p>
    <w:p w14:paraId="67A95EB8">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关于工程奖项的约定：</w:t>
      </w:r>
      <w:r>
        <w:rPr>
          <w:rFonts w:hint="eastAsia" w:ascii="宋体" w:hAnsi="宋体"/>
          <w:color w:val="auto"/>
          <w:highlight w:val="none"/>
          <w:u w:val="single"/>
        </w:rPr>
        <w:t xml:space="preserve">无 </w:t>
      </w:r>
      <w:r>
        <w:rPr>
          <w:rFonts w:hint="eastAsia" w:ascii="宋体" w:hAnsi="宋体"/>
          <w:color w:val="auto"/>
          <w:highlight w:val="none"/>
        </w:rPr>
        <w:t>。</w:t>
      </w:r>
    </w:p>
    <w:p w14:paraId="291EA8B6">
      <w:pPr>
        <w:pStyle w:val="91"/>
        <w:spacing w:before="120" w:after="120" w:line="440" w:lineRule="exact"/>
        <w:outlineLvl w:val="0"/>
        <w:rPr>
          <w:rFonts w:ascii="宋体" w:hAnsi="宋体"/>
          <w:color w:val="auto"/>
          <w:highlight w:val="none"/>
        </w:rPr>
      </w:pPr>
      <w:r>
        <w:rPr>
          <w:rFonts w:hint="eastAsia" w:ascii="宋体" w:hAnsi="宋体"/>
          <w:color w:val="auto"/>
          <w:highlight w:val="none"/>
        </w:rPr>
        <w:t>5.3  隐蔽工程检查</w:t>
      </w:r>
    </w:p>
    <w:p w14:paraId="48E5DCD8">
      <w:pPr>
        <w:pStyle w:val="77"/>
        <w:spacing w:line="440" w:lineRule="exact"/>
        <w:ind w:firstLine="484" w:firstLineChars="202"/>
        <w:jc w:val="left"/>
        <w:rPr>
          <w:rFonts w:hint="eastAsia" w:ascii="宋体" w:hAnsi="宋体" w:eastAsia="宋体"/>
          <w:color w:val="auto"/>
          <w:highlight w:val="none"/>
          <w:u w:val="single"/>
          <w:lang w:eastAsia="zh-CN"/>
        </w:rPr>
      </w:pPr>
      <w:r>
        <w:rPr>
          <w:rFonts w:hint="eastAsia" w:ascii="宋体" w:hAnsi="宋体"/>
          <w:color w:val="auto"/>
          <w:highlight w:val="none"/>
        </w:rPr>
        <w:t>5.3.2  承包人提前通知监理人隐蔽工程检查的期限的约定：</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none"/>
          <w:lang w:eastAsia="zh-CN"/>
        </w:rPr>
        <w:t>。</w:t>
      </w:r>
    </w:p>
    <w:p w14:paraId="31D6E2DB">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监理人不能按时进行检查时，应提前</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小时提交书面延期要求。</w:t>
      </w:r>
    </w:p>
    <w:p w14:paraId="38609CAB">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关于延期最长不得超过：</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rPr>
        <w:t>小时。</w:t>
      </w:r>
    </w:p>
    <w:p w14:paraId="11710E69">
      <w:pPr>
        <w:pStyle w:val="91"/>
        <w:spacing w:before="120" w:after="120" w:line="440" w:lineRule="exact"/>
        <w:outlineLvl w:val="0"/>
        <w:rPr>
          <w:rFonts w:ascii="宋体" w:hAnsi="宋体"/>
          <w:color w:val="auto"/>
          <w:highlight w:val="none"/>
        </w:rPr>
      </w:pPr>
      <w:r>
        <w:rPr>
          <w:rFonts w:hint="eastAsia" w:ascii="宋体" w:hAnsi="宋体"/>
          <w:color w:val="auto"/>
          <w:highlight w:val="none"/>
        </w:rPr>
        <w:t>6.  安全文明施工与环境保护</w:t>
      </w:r>
    </w:p>
    <w:p w14:paraId="679A93C0">
      <w:pPr>
        <w:pStyle w:val="91"/>
        <w:spacing w:before="120" w:after="120" w:line="440" w:lineRule="exact"/>
        <w:outlineLvl w:val="0"/>
        <w:rPr>
          <w:rFonts w:ascii="宋体" w:hAnsi="宋体"/>
          <w:color w:val="auto"/>
          <w:highlight w:val="none"/>
        </w:rPr>
      </w:pPr>
      <w:r>
        <w:rPr>
          <w:rFonts w:hint="eastAsia" w:ascii="宋体" w:hAnsi="宋体"/>
          <w:color w:val="auto"/>
          <w:highlight w:val="none"/>
        </w:rPr>
        <w:t>6.1 安全文明施工</w:t>
      </w:r>
    </w:p>
    <w:p w14:paraId="23D2AA86">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6.1.1  项目安全生产的达标目标及相应事项的约定：</w:t>
      </w:r>
      <w:r>
        <w:rPr>
          <w:rFonts w:hint="eastAsia" w:ascii="宋体" w:hAnsi="宋体"/>
          <w:color w:val="auto"/>
          <w:highlight w:val="none"/>
          <w:u w:val="single"/>
        </w:rPr>
        <w:t xml:space="preserve"> 无安全事故发生。 </w:t>
      </w:r>
    </w:p>
    <w:p w14:paraId="5A9141F2">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6.1.4  关于治安保卫的特别约定：</w:t>
      </w:r>
      <w:r>
        <w:rPr>
          <w:rFonts w:hint="eastAsia" w:ascii="宋体" w:hAnsi="宋体"/>
          <w:color w:val="auto"/>
          <w:highlight w:val="none"/>
          <w:u w:val="single"/>
        </w:rPr>
        <w:t xml:space="preserve">承包人应与当地公安部门协商，在现场建立治安管理机构或联防组织，统一管理施工场地的治安保卫事项，履行合同工程的治安保卫职责 </w:t>
      </w:r>
      <w:r>
        <w:rPr>
          <w:rFonts w:hint="eastAsia" w:ascii="宋体" w:hAnsi="宋体"/>
          <w:color w:val="auto"/>
          <w:highlight w:val="none"/>
        </w:rPr>
        <w:t>。</w:t>
      </w:r>
    </w:p>
    <w:p w14:paraId="5BECDCCA">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关于编制施工场地治安管理计划的约定：</w:t>
      </w:r>
      <w:r>
        <w:rPr>
          <w:rFonts w:hint="eastAsia" w:ascii="宋体" w:hAnsi="宋体"/>
          <w:color w:val="auto"/>
          <w:highlight w:val="none"/>
          <w:u w:val="single"/>
        </w:rPr>
        <w:t>承包人应在开工后7天内编制施工场地治安管理计划，并制定应对突发治安事件的紧急预案。</w:t>
      </w:r>
    </w:p>
    <w:p w14:paraId="55288A8A">
      <w:pPr>
        <w:pStyle w:val="77"/>
        <w:spacing w:line="440" w:lineRule="exact"/>
        <w:ind w:firstLine="537" w:firstLineChars="224"/>
        <w:jc w:val="left"/>
        <w:rPr>
          <w:rFonts w:ascii="宋体" w:hAnsi="宋体"/>
          <w:color w:val="auto"/>
          <w:highlight w:val="none"/>
        </w:rPr>
      </w:pPr>
      <w:r>
        <w:rPr>
          <w:rFonts w:hint="eastAsia" w:ascii="宋体" w:hAnsi="宋体"/>
          <w:color w:val="auto"/>
          <w:highlight w:val="none"/>
        </w:rPr>
        <w:t>6.1.5  文明施工</w:t>
      </w:r>
    </w:p>
    <w:p w14:paraId="4E9E70E3">
      <w:pPr>
        <w:pStyle w:val="77"/>
        <w:spacing w:line="440" w:lineRule="exact"/>
        <w:ind w:firstLine="600" w:firstLineChars="250"/>
        <w:jc w:val="left"/>
        <w:rPr>
          <w:rFonts w:ascii="宋体" w:hAnsi="宋体"/>
          <w:color w:val="auto"/>
          <w:highlight w:val="none"/>
        </w:rPr>
      </w:pPr>
      <w:r>
        <w:rPr>
          <w:rFonts w:hint="eastAsia" w:ascii="宋体" w:hAnsi="宋体"/>
          <w:color w:val="auto"/>
          <w:highlight w:val="none"/>
        </w:rPr>
        <w:t>合同当事人对文明施工的要求：</w:t>
      </w:r>
      <w:r>
        <w:rPr>
          <w:rFonts w:hint="eastAsia" w:ascii="宋体" w:hAnsi="宋体"/>
          <w:color w:val="auto"/>
          <w:highlight w:val="none"/>
          <w:u w:val="single"/>
        </w:rPr>
        <w:t>承包人应按《钦州市市政工程质量和安全管理规定》（钦市建字［2009］55号）及有关规定做好工程质量和安全管理、环境保护和文明施工的工作，建立完善的工程质量和安全管理、环境保护和文明施工体系，严格遵照实施，并接受发包人及相关职能部门的监督检查。</w:t>
      </w:r>
    </w:p>
    <w:p w14:paraId="525D6DCF">
      <w:pPr>
        <w:pStyle w:val="77"/>
        <w:spacing w:line="440" w:lineRule="exact"/>
        <w:ind w:firstLine="484" w:firstLineChars="202"/>
        <w:rPr>
          <w:rFonts w:hint="default" w:ascii="宋体" w:hAnsi="宋体" w:eastAsia="宋体"/>
          <w:color w:val="auto"/>
          <w:kern w:val="0"/>
          <w:highlight w:val="none"/>
          <w:u w:val="single"/>
          <w:lang w:val="en-US" w:eastAsia="zh-CN"/>
        </w:rPr>
      </w:pPr>
      <w:r>
        <w:rPr>
          <w:rFonts w:hint="eastAsia" w:ascii="宋体" w:hAnsi="宋体"/>
          <w:color w:val="auto"/>
          <w:highlight w:val="none"/>
        </w:rPr>
        <w:t>6.1.6 关于安全文明施工费支付比例和支付期限的约定：</w:t>
      </w:r>
      <w:r>
        <w:rPr>
          <w:rFonts w:hint="eastAsia" w:ascii="宋体" w:hAnsi="宋体"/>
          <w:color w:val="auto"/>
          <w:highlight w:val="none"/>
          <w:u w:val="single"/>
          <w:lang w:val="en-US" w:eastAsia="zh-CN"/>
        </w:rPr>
        <w:t xml:space="preserve">        </w:t>
      </w:r>
      <w:r>
        <w:rPr>
          <w:rFonts w:hint="eastAsia" w:ascii="宋体" w:hAnsi="宋体"/>
          <w:color w:val="auto"/>
          <w:kern w:val="0"/>
          <w:highlight w:val="none"/>
          <w:u w:val="none"/>
          <w:lang w:val="en-US" w:eastAsia="zh-CN"/>
        </w:rPr>
        <w:t>。</w:t>
      </w:r>
    </w:p>
    <w:p w14:paraId="1BA981E7">
      <w:pPr>
        <w:pStyle w:val="77"/>
        <w:spacing w:line="440" w:lineRule="exact"/>
        <w:ind w:firstLine="537" w:firstLineChars="224"/>
        <w:jc w:val="left"/>
        <w:rPr>
          <w:rFonts w:ascii="宋体" w:hAnsi="宋体"/>
          <w:color w:val="auto"/>
          <w:kern w:val="0"/>
          <w:highlight w:val="none"/>
        </w:rPr>
      </w:pPr>
      <w:r>
        <w:rPr>
          <w:rFonts w:hint="eastAsia" w:ascii="宋体" w:hAnsi="宋体"/>
          <w:color w:val="auto"/>
          <w:kern w:val="0"/>
          <w:highlight w:val="none"/>
        </w:rPr>
        <w:t>6.1.9安全生产责任</w:t>
      </w:r>
    </w:p>
    <w:p w14:paraId="79E71094">
      <w:pPr>
        <w:pStyle w:val="77"/>
        <w:spacing w:line="440" w:lineRule="exact"/>
        <w:ind w:firstLine="484" w:firstLineChars="202"/>
        <w:jc w:val="left"/>
        <w:outlineLvl w:val="0"/>
        <w:rPr>
          <w:rFonts w:ascii="宋体" w:hAnsi="宋体"/>
          <w:color w:val="auto"/>
          <w:kern w:val="0"/>
          <w:highlight w:val="none"/>
        </w:rPr>
      </w:pPr>
      <w:r>
        <w:rPr>
          <w:rFonts w:hint="eastAsia" w:ascii="宋体" w:hAnsi="宋体"/>
          <w:color w:val="auto"/>
          <w:kern w:val="0"/>
          <w:highlight w:val="none"/>
        </w:rPr>
        <w:t>6.1.9.2 承包人的安全责任</w:t>
      </w:r>
    </w:p>
    <w:p w14:paraId="503255AA">
      <w:pPr>
        <w:pStyle w:val="77"/>
        <w:spacing w:line="440" w:lineRule="exact"/>
        <w:ind w:firstLine="484" w:firstLineChars="202"/>
        <w:rPr>
          <w:rFonts w:ascii="宋体" w:hAnsi="宋体"/>
          <w:color w:val="auto"/>
          <w:highlight w:val="none"/>
        </w:rPr>
      </w:pPr>
      <w:r>
        <w:rPr>
          <w:rFonts w:hint="eastAsia" w:ascii="宋体" w:hAnsi="宋体"/>
          <w:color w:val="auto"/>
          <w:kern w:val="0"/>
          <w:highlight w:val="none"/>
        </w:rPr>
        <w:t>6.1.9.2.</w:t>
      </w:r>
      <w:r>
        <w:rPr>
          <w:rFonts w:hint="eastAsia" w:ascii="宋体" w:hAnsi="宋体"/>
          <w:color w:val="auto"/>
          <w:kern w:val="0"/>
          <w:highlight w:val="none"/>
          <w:lang w:val="en-US" w:eastAsia="zh-CN"/>
        </w:rPr>
        <w:t>1</w:t>
      </w:r>
      <w:r>
        <w:rPr>
          <w:rFonts w:hint="eastAsia" w:ascii="宋体" w:hAnsi="宋体"/>
          <w:color w:val="auto"/>
          <w:kern w:val="0"/>
          <w:highlight w:val="none"/>
        </w:rPr>
        <w:t xml:space="preserve"> </w:t>
      </w:r>
      <w:r>
        <w:rPr>
          <w:rFonts w:hint="eastAsia" w:ascii="宋体" w:hAnsi="宋体"/>
          <w:color w:val="auto"/>
          <w:highlight w:val="none"/>
        </w:rPr>
        <w:t>在实施和完成本合同工程及其缺陷修复的整个过程中，承包人应该：</w:t>
      </w:r>
    </w:p>
    <w:p w14:paraId="46DE52CD">
      <w:pPr>
        <w:pStyle w:val="77"/>
        <w:spacing w:line="440" w:lineRule="exact"/>
        <w:ind w:firstLine="360" w:firstLineChars="150"/>
        <w:rPr>
          <w:rFonts w:ascii="宋体" w:hAnsi="宋体"/>
          <w:color w:val="auto"/>
          <w:highlight w:val="none"/>
        </w:rPr>
      </w:pPr>
      <w:r>
        <w:rPr>
          <w:rFonts w:hint="eastAsia" w:ascii="宋体" w:hAnsi="宋体"/>
          <w:color w:val="auto"/>
          <w:highlight w:val="none"/>
        </w:rPr>
        <w:t>（1）特殊工种（电工、电梯工、起重工、电焊工、车船驾驶员、爆破工、潜水工、瓦斯检验员等）要经过专业培训，并持有专业主管部门签发的合格证上岗；</w:t>
      </w:r>
    </w:p>
    <w:p w14:paraId="7CFA683C">
      <w:pPr>
        <w:pStyle w:val="77"/>
        <w:spacing w:line="440" w:lineRule="exact"/>
        <w:ind w:firstLine="360" w:firstLineChars="150"/>
        <w:rPr>
          <w:rFonts w:ascii="宋体" w:hAnsi="宋体"/>
          <w:color w:val="auto"/>
          <w:highlight w:val="none"/>
        </w:rPr>
      </w:pPr>
      <w:r>
        <w:rPr>
          <w:rFonts w:hint="eastAsia" w:ascii="宋体" w:hAnsi="宋体"/>
          <w:color w:val="auto"/>
          <w:highlight w:val="none"/>
        </w:rPr>
        <w:t>（2）对于易燃易爆的材料除应专门保管之外，还应配备有足够的消防设备，所有施工人员都应熟悉消防设备的性能和使用方法；</w:t>
      </w:r>
    </w:p>
    <w:p w14:paraId="253170D0">
      <w:pPr>
        <w:pStyle w:val="77"/>
        <w:spacing w:line="440" w:lineRule="exact"/>
        <w:ind w:firstLine="360" w:firstLineChars="150"/>
        <w:rPr>
          <w:rFonts w:ascii="宋体" w:hAnsi="宋体"/>
          <w:color w:val="auto"/>
          <w:highlight w:val="none"/>
        </w:rPr>
      </w:pPr>
      <w:r>
        <w:rPr>
          <w:rFonts w:hint="eastAsia" w:ascii="宋体" w:hAnsi="宋体"/>
          <w:color w:val="auto"/>
          <w:highlight w:val="none"/>
        </w:rPr>
        <w:t>（3）所有施工机具设备和高空作业的设备均应定期检查，并有安全员的签字记录；</w:t>
      </w:r>
    </w:p>
    <w:p w14:paraId="01E5C484">
      <w:pPr>
        <w:pStyle w:val="77"/>
        <w:spacing w:line="440" w:lineRule="exact"/>
        <w:ind w:firstLine="484" w:firstLineChars="202"/>
        <w:rPr>
          <w:rFonts w:ascii="宋体" w:hAnsi="宋体"/>
          <w:color w:val="auto"/>
          <w:highlight w:val="none"/>
        </w:rPr>
      </w:pPr>
      <w:r>
        <w:rPr>
          <w:rFonts w:hint="eastAsia" w:ascii="宋体" w:hAnsi="宋体"/>
          <w:color w:val="auto"/>
          <w:kern w:val="0"/>
          <w:highlight w:val="none"/>
        </w:rPr>
        <w:t>6.1.9.2.</w:t>
      </w:r>
      <w:r>
        <w:rPr>
          <w:rFonts w:hint="eastAsia" w:ascii="宋体" w:hAnsi="宋体"/>
          <w:color w:val="auto"/>
          <w:highlight w:val="none"/>
          <w:lang w:val="en-US" w:eastAsia="zh-CN"/>
        </w:rPr>
        <w:t>2</w:t>
      </w:r>
      <w:r>
        <w:rPr>
          <w:rFonts w:hint="eastAsia" w:ascii="宋体" w:hAnsi="宋体"/>
          <w:color w:val="auto"/>
          <w:highlight w:val="none"/>
        </w:rPr>
        <w:t>为了保护本合同工程免遭损坏，或为了现场附近和过往群众的安全与方便，在确有必要的时候和地方，或当有关主管部门要求时，承包人应自费提供照明、警卫、护栅、警告标志等安全防护设施；</w:t>
      </w:r>
    </w:p>
    <w:p w14:paraId="74C4E79A">
      <w:pPr>
        <w:pStyle w:val="91"/>
        <w:spacing w:before="120" w:after="120" w:line="440" w:lineRule="exact"/>
        <w:outlineLvl w:val="0"/>
        <w:rPr>
          <w:rFonts w:ascii="宋体" w:hAnsi="宋体"/>
          <w:color w:val="auto"/>
          <w:highlight w:val="none"/>
        </w:rPr>
      </w:pPr>
      <w:r>
        <w:rPr>
          <w:rFonts w:hint="eastAsia" w:ascii="宋体" w:hAnsi="宋体"/>
          <w:color w:val="auto"/>
          <w:highlight w:val="none"/>
        </w:rPr>
        <w:t>7.  工期和进度</w:t>
      </w:r>
    </w:p>
    <w:p w14:paraId="799B8D56">
      <w:pPr>
        <w:pStyle w:val="91"/>
        <w:spacing w:before="120" w:after="120" w:line="440" w:lineRule="exact"/>
        <w:outlineLvl w:val="0"/>
        <w:rPr>
          <w:rFonts w:ascii="宋体" w:hAnsi="宋体"/>
          <w:color w:val="auto"/>
          <w:highlight w:val="none"/>
        </w:rPr>
      </w:pPr>
      <w:r>
        <w:rPr>
          <w:rFonts w:hint="eastAsia" w:ascii="宋体" w:hAnsi="宋体"/>
          <w:color w:val="auto"/>
          <w:highlight w:val="none"/>
        </w:rPr>
        <w:t>7.1 施工组织设计</w:t>
      </w:r>
    </w:p>
    <w:p w14:paraId="42D4E8AC">
      <w:pPr>
        <w:pStyle w:val="77"/>
        <w:autoSpaceDE w:val="0"/>
        <w:autoSpaceDN w:val="0"/>
        <w:adjustRightInd w:val="0"/>
        <w:spacing w:line="440" w:lineRule="exact"/>
        <w:ind w:firstLine="484" w:firstLineChars="202"/>
        <w:jc w:val="left"/>
        <w:rPr>
          <w:rFonts w:ascii="宋体" w:hAnsi="宋体"/>
          <w:color w:val="auto"/>
          <w:kern w:val="0"/>
          <w:sz w:val="21"/>
          <w:szCs w:val="21"/>
          <w:highlight w:val="none"/>
          <w:u w:val="single"/>
        </w:rPr>
      </w:pPr>
      <w:r>
        <w:rPr>
          <w:rFonts w:hint="eastAsia" w:ascii="宋体" w:hAnsi="宋体"/>
          <w:color w:val="auto"/>
          <w:highlight w:val="none"/>
        </w:rPr>
        <w:t>7.1.1  合</w:t>
      </w:r>
      <w:r>
        <w:rPr>
          <w:rFonts w:hint="eastAsia" w:ascii="宋体" w:hAnsi="宋体"/>
          <w:color w:val="auto"/>
          <w:kern w:val="0"/>
          <w:highlight w:val="none"/>
        </w:rPr>
        <w:t>同当事人约定的施工组织设计应包括的其他内容：</w:t>
      </w:r>
      <w:r>
        <w:rPr>
          <w:rFonts w:hint="eastAsia" w:ascii="宋体" w:hAnsi="宋体" w:cs="宋体"/>
          <w:color w:val="auto"/>
          <w:sz w:val="28"/>
          <w:szCs w:val="28"/>
          <w:u w:val="single"/>
        </w:rPr>
        <w:t xml:space="preserve"> </w:t>
      </w:r>
      <w:r>
        <w:rPr>
          <w:rFonts w:hint="eastAsia" w:ascii="宋体" w:hAnsi="宋体" w:cs="宋体"/>
          <w:color w:val="auto"/>
          <w:sz w:val="21"/>
          <w:szCs w:val="21"/>
          <w:u w:val="single"/>
        </w:rPr>
        <w:t>按</w:t>
      </w:r>
      <w:r>
        <w:rPr>
          <w:rFonts w:hint="eastAsia" w:ascii="宋体" w:hAnsi="宋体" w:cs="宋体"/>
          <w:color w:val="auto"/>
          <w:sz w:val="21"/>
          <w:szCs w:val="21"/>
          <w:u w:val="single"/>
          <w:lang w:eastAsia="zh-CN"/>
        </w:rPr>
        <w:t>竞争性蹉商公告</w:t>
      </w:r>
      <w:r>
        <w:rPr>
          <w:rFonts w:hint="eastAsia" w:ascii="宋体" w:hAnsi="宋体" w:cs="宋体"/>
          <w:color w:val="auto"/>
          <w:sz w:val="21"/>
          <w:szCs w:val="21"/>
          <w:u w:val="single"/>
        </w:rPr>
        <w:t>文件约定，</w:t>
      </w:r>
      <w:r>
        <w:rPr>
          <w:rFonts w:hint="eastAsia" w:ascii="宋体" w:hAnsi="宋体" w:cs="宋体"/>
          <w:color w:val="auto"/>
          <w:sz w:val="21"/>
          <w:szCs w:val="21"/>
          <w:u w:val="single"/>
          <w:lang w:eastAsia="zh-CN"/>
        </w:rPr>
        <w:t>竞争性蹉商公告</w:t>
      </w:r>
      <w:r>
        <w:rPr>
          <w:rFonts w:hint="eastAsia" w:ascii="宋体" w:hAnsi="宋体" w:cs="宋体"/>
          <w:color w:val="auto"/>
          <w:sz w:val="21"/>
          <w:szCs w:val="21"/>
          <w:u w:val="single"/>
        </w:rPr>
        <w:t>文件无约定的按通用条款或双方另行约定</w:t>
      </w:r>
      <w:r>
        <w:rPr>
          <w:rFonts w:hint="eastAsia" w:ascii="宋体" w:hAnsi="宋体"/>
          <w:color w:val="auto"/>
          <w:sz w:val="21"/>
          <w:szCs w:val="21"/>
          <w:highlight w:val="none"/>
          <w:u w:val="single"/>
        </w:rPr>
        <w:t>。</w:t>
      </w:r>
    </w:p>
    <w:p w14:paraId="674FB044">
      <w:pPr>
        <w:pStyle w:val="77"/>
        <w:autoSpaceDE w:val="0"/>
        <w:autoSpaceDN w:val="0"/>
        <w:adjustRightInd w:val="0"/>
        <w:spacing w:line="440" w:lineRule="exact"/>
        <w:ind w:firstLine="484" w:firstLineChars="202"/>
        <w:jc w:val="left"/>
        <w:rPr>
          <w:rFonts w:ascii="宋体" w:hAnsi="宋体"/>
          <w:color w:val="auto"/>
          <w:kern w:val="0"/>
          <w:highlight w:val="none"/>
        </w:rPr>
      </w:pPr>
      <w:r>
        <w:rPr>
          <w:rFonts w:hint="eastAsia" w:ascii="宋体" w:hAnsi="宋体"/>
          <w:color w:val="auto"/>
          <w:highlight w:val="none"/>
        </w:rPr>
        <w:t xml:space="preserve">7.1.2  </w:t>
      </w:r>
      <w:r>
        <w:rPr>
          <w:rFonts w:hint="eastAsia" w:ascii="宋体" w:hAnsi="宋体"/>
          <w:color w:val="auto"/>
          <w:kern w:val="0"/>
          <w:highlight w:val="none"/>
        </w:rPr>
        <w:t>施工组织设计的提交和修改</w:t>
      </w:r>
    </w:p>
    <w:p w14:paraId="3E1957DE">
      <w:pPr>
        <w:pStyle w:val="77"/>
        <w:spacing w:line="440" w:lineRule="exact"/>
        <w:ind w:firstLine="468" w:firstLineChars="195"/>
        <w:rPr>
          <w:rFonts w:ascii="宋体" w:hAnsi="宋体"/>
          <w:color w:val="auto"/>
          <w:kern w:val="0"/>
          <w:highlight w:val="none"/>
          <w:u w:val="single"/>
        </w:rPr>
      </w:pPr>
      <w:r>
        <w:rPr>
          <w:rFonts w:hint="eastAsia" w:ascii="宋体" w:hAnsi="宋体"/>
          <w:color w:val="auto"/>
          <w:kern w:val="0"/>
          <w:highlight w:val="none"/>
        </w:rPr>
        <w:t>承包人提交详细施工组织设计的期限的约定：</w:t>
      </w:r>
      <w:r>
        <w:rPr>
          <w:rFonts w:hint="eastAsia" w:ascii="宋体" w:hAnsi="宋体"/>
          <w:color w:val="auto"/>
          <w:kern w:val="0"/>
          <w:highlight w:val="none"/>
          <w:u w:val="single"/>
        </w:rPr>
        <w:t xml:space="preserve">承包人在与发包人签订合同协议后的14天内提交给监理人，但至迟不得晚于专用合同条款7.3.2项[开工通知]载明的开工日期前7天。 </w:t>
      </w:r>
    </w:p>
    <w:p w14:paraId="5CD81E44">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发包人和监理人在收到详细的施工组织设计后确认或提出修改意见的期限：</w:t>
      </w:r>
      <w:r>
        <w:rPr>
          <w:rFonts w:hint="eastAsia" w:ascii="宋体" w:hAnsi="宋体"/>
          <w:color w:val="auto"/>
          <w:highlight w:val="none"/>
          <w:u w:val="single"/>
        </w:rPr>
        <w:t>7天</w:t>
      </w:r>
      <w:r>
        <w:rPr>
          <w:rFonts w:hint="eastAsia" w:ascii="宋体" w:hAnsi="宋体"/>
          <w:color w:val="auto"/>
          <w:highlight w:val="none"/>
        </w:rPr>
        <w:t>。</w:t>
      </w:r>
    </w:p>
    <w:p w14:paraId="7FBA0254">
      <w:pPr>
        <w:pStyle w:val="91"/>
        <w:spacing w:before="120" w:after="120" w:line="440" w:lineRule="exact"/>
        <w:outlineLvl w:val="0"/>
        <w:rPr>
          <w:rFonts w:ascii="宋体" w:hAnsi="宋体"/>
          <w:color w:val="auto"/>
          <w:highlight w:val="none"/>
        </w:rPr>
      </w:pPr>
      <w:r>
        <w:rPr>
          <w:rFonts w:hint="eastAsia" w:ascii="宋体" w:hAnsi="宋体"/>
          <w:color w:val="auto"/>
          <w:highlight w:val="none"/>
        </w:rPr>
        <w:t>7.2  施工进度计划</w:t>
      </w:r>
    </w:p>
    <w:p w14:paraId="4404F3B3">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7.2.2 施工进度计划的修订</w:t>
      </w:r>
    </w:p>
    <w:p w14:paraId="55510C4B">
      <w:pPr>
        <w:pStyle w:val="77"/>
        <w:spacing w:line="440" w:lineRule="exact"/>
        <w:ind w:left="479" w:leftChars="228"/>
        <w:jc w:val="left"/>
        <w:rPr>
          <w:rFonts w:ascii="宋体" w:hAnsi="宋体"/>
          <w:color w:val="auto"/>
          <w:highlight w:val="none"/>
        </w:rPr>
      </w:pPr>
      <w:r>
        <w:rPr>
          <w:rFonts w:hint="eastAsia" w:ascii="宋体" w:hAnsi="宋体"/>
          <w:color w:val="auto"/>
          <w:highlight w:val="none"/>
        </w:rPr>
        <w:t>发包人在收到修订的施工进度计划后确认或提出修改意见的期限：</w:t>
      </w:r>
      <w:r>
        <w:rPr>
          <w:rFonts w:hint="eastAsia" w:ascii="宋体" w:hAnsi="宋体"/>
          <w:color w:val="auto"/>
          <w:highlight w:val="none"/>
          <w:u w:val="single"/>
        </w:rPr>
        <w:t>7天</w:t>
      </w:r>
      <w:r>
        <w:rPr>
          <w:rFonts w:hint="eastAsia" w:ascii="宋体" w:hAnsi="宋体"/>
          <w:color w:val="auto"/>
          <w:highlight w:val="none"/>
        </w:rPr>
        <w:t>。</w:t>
      </w:r>
    </w:p>
    <w:p w14:paraId="65CA8981">
      <w:pPr>
        <w:pStyle w:val="91"/>
        <w:spacing w:before="120" w:after="120" w:line="440" w:lineRule="exact"/>
        <w:outlineLvl w:val="0"/>
        <w:rPr>
          <w:rFonts w:ascii="宋体" w:hAnsi="宋体"/>
          <w:color w:val="auto"/>
          <w:highlight w:val="none"/>
        </w:rPr>
      </w:pPr>
      <w:r>
        <w:rPr>
          <w:rFonts w:hint="eastAsia" w:ascii="宋体" w:hAnsi="宋体"/>
          <w:color w:val="auto"/>
          <w:highlight w:val="none"/>
        </w:rPr>
        <w:t>7.3  开工</w:t>
      </w:r>
    </w:p>
    <w:p w14:paraId="44DC5983">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7.3.1  开工准备</w:t>
      </w:r>
    </w:p>
    <w:p w14:paraId="3A004FCF">
      <w:pPr>
        <w:pStyle w:val="77"/>
        <w:spacing w:line="440" w:lineRule="exact"/>
        <w:ind w:firstLine="426"/>
        <w:jc w:val="left"/>
        <w:rPr>
          <w:rFonts w:ascii="宋体" w:hAnsi="宋体"/>
          <w:color w:val="auto"/>
          <w:highlight w:val="none"/>
          <w:u w:val="single"/>
        </w:rPr>
      </w:pPr>
      <w:r>
        <w:rPr>
          <w:rFonts w:hint="eastAsia" w:ascii="宋体" w:hAnsi="宋体"/>
          <w:color w:val="auto"/>
          <w:highlight w:val="none"/>
        </w:rPr>
        <w:t>发出开工令的期限：</w:t>
      </w:r>
      <w:r>
        <w:rPr>
          <w:rFonts w:hint="eastAsia" w:ascii="宋体" w:hAnsi="宋体"/>
          <w:color w:val="auto"/>
          <w:highlight w:val="none"/>
          <w:u w:val="single"/>
        </w:rPr>
        <w:t>签订合同协议之日后14天内。</w:t>
      </w:r>
    </w:p>
    <w:p w14:paraId="2894AC7A">
      <w:pPr>
        <w:pStyle w:val="77"/>
        <w:spacing w:line="440" w:lineRule="exact"/>
        <w:ind w:firstLine="426"/>
        <w:jc w:val="left"/>
        <w:rPr>
          <w:rFonts w:ascii="宋体" w:hAnsi="宋体"/>
          <w:color w:val="auto"/>
          <w:kern w:val="0"/>
          <w:highlight w:val="none"/>
          <w:u w:val="single"/>
        </w:rPr>
      </w:pPr>
      <w:r>
        <w:rPr>
          <w:rFonts w:hint="eastAsia" w:ascii="宋体" w:hAnsi="宋体"/>
          <w:color w:val="auto"/>
          <w:highlight w:val="none"/>
        </w:rPr>
        <w:t>关于承包人提交</w:t>
      </w:r>
      <w:r>
        <w:rPr>
          <w:rFonts w:hint="eastAsia" w:ascii="宋体" w:hAnsi="宋体"/>
          <w:color w:val="auto"/>
          <w:kern w:val="0"/>
          <w:highlight w:val="none"/>
        </w:rPr>
        <w:t>工程开工报审表的期限：</w:t>
      </w:r>
      <w:r>
        <w:rPr>
          <w:rFonts w:hint="eastAsia" w:ascii="宋体" w:hAnsi="宋体"/>
          <w:color w:val="auto"/>
          <w:kern w:val="0"/>
          <w:highlight w:val="none"/>
          <w:u w:val="single"/>
        </w:rPr>
        <w:t>承包人在与发包人签订合同协议后的14天内提交，但至迟不得晚于专用合同条款7.3.2项[开工通知]载明的开工日期前7天。</w:t>
      </w:r>
    </w:p>
    <w:p w14:paraId="7DAA00BE">
      <w:pPr>
        <w:pStyle w:val="77"/>
        <w:spacing w:line="440" w:lineRule="exact"/>
        <w:ind w:firstLine="426"/>
        <w:jc w:val="left"/>
        <w:rPr>
          <w:rFonts w:ascii="宋体" w:hAnsi="宋体"/>
          <w:color w:val="auto"/>
          <w:highlight w:val="none"/>
          <w:u w:val="single"/>
        </w:rPr>
      </w:pPr>
      <w:r>
        <w:rPr>
          <w:rFonts w:hint="eastAsia" w:ascii="宋体" w:hAnsi="宋体"/>
          <w:color w:val="auto"/>
          <w:highlight w:val="none"/>
        </w:rPr>
        <w:t>关于发包人应完成的其他开工准备工作及期限：</w:t>
      </w:r>
      <w:r>
        <w:rPr>
          <w:rFonts w:hint="eastAsia" w:ascii="宋体" w:hAnsi="宋体"/>
          <w:color w:val="auto"/>
          <w:highlight w:val="none"/>
          <w:u w:val="single"/>
        </w:rPr>
        <w:t>开工日期7天前移交施工现场</w:t>
      </w:r>
      <w:r>
        <w:rPr>
          <w:rFonts w:hint="eastAsia" w:ascii="宋体" w:hAnsi="宋体"/>
          <w:color w:val="auto"/>
          <w:highlight w:val="none"/>
        </w:rPr>
        <w:t>。</w:t>
      </w:r>
    </w:p>
    <w:p w14:paraId="78355837">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关于承包人应完成的其他开工准备工作及期限：</w:t>
      </w:r>
      <w:r>
        <w:rPr>
          <w:rFonts w:hint="eastAsia" w:ascii="宋体" w:hAnsi="宋体"/>
          <w:color w:val="auto"/>
          <w:kern w:val="0"/>
          <w:highlight w:val="none"/>
          <w:u w:val="single"/>
        </w:rPr>
        <w:t>承包人在与发包人签订合同协议后的14天内，但至迟不得晚于专用合同条款7.3.2</w:t>
      </w:r>
      <w:r>
        <w:rPr>
          <w:rFonts w:hint="eastAsia" w:ascii="宋体" w:hAnsi="宋体"/>
          <w:color w:val="auto"/>
          <w:highlight w:val="none"/>
          <w:u w:val="single"/>
        </w:rPr>
        <w:t xml:space="preserve"> [开工通知]载明的开工日期前2天。</w:t>
      </w:r>
    </w:p>
    <w:p w14:paraId="2448934E">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7.3.2 开工通知</w:t>
      </w:r>
    </w:p>
    <w:p w14:paraId="3DC6C76F">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因发包人原因造成监理人未能在计划开工日期之日起</w:t>
      </w:r>
      <w:r>
        <w:rPr>
          <w:rFonts w:hint="eastAsia" w:ascii="宋体" w:hAnsi="宋体"/>
          <w:color w:val="auto"/>
          <w:highlight w:val="none"/>
          <w:u w:val="single"/>
        </w:rPr>
        <w:t>90</w:t>
      </w:r>
      <w:r>
        <w:rPr>
          <w:rFonts w:hint="eastAsia" w:ascii="宋体" w:hAnsi="宋体"/>
          <w:color w:val="auto"/>
          <w:highlight w:val="none"/>
        </w:rPr>
        <w:t>天内发出开工通知的，</w:t>
      </w:r>
      <w:r>
        <w:rPr>
          <w:rFonts w:hint="eastAsia" w:ascii="宋体" w:hAnsi="宋体"/>
          <w:color w:val="auto"/>
          <w:highlight w:val="none"/>
          <w:u w:val="single"/>
        </w:rPr>
        <w:t>发包人应当承担由此延误的工期，但不承担由此增加的费用。</w:t>
      </w:r>
    </w:p>
    <w:p w14:paraId="706C48EB">
      <w:pPr>
        <w:pStyle w:val="91"/>
        <w:spacing w:before="120" w:after="120" w:line="440" w:lineRule="exact"/>
        <w:outlineLvl w:val="0"/>
        <w:rPr>
          <w:rFonts w:ascii="宋体" w:hAnsi="宋体"/>
          <w:color w:val="auto"/>
          <w:highlight w:val="none"/>
        </w:rPr>
      </w:pPr>
      <w:r>
        <w:rPr>
          <w:rFonts w:hint="eastAsia" w:ascii="宋体" w:hAnsi="宋体"/>
          <w:color w:val="auto"/>
          <w:highlight w:val="none"/>
        </w:rPr>
        <w:t>7.4  测量放线</w:t>
      </w:r>
    </w:p>
    <w:p w14:paraId="4306A987">
      <w:pPr>
        <w:pStyle w:val="77"/>
        <w:spacing w:line="440" w:lineRule="exact"/>
        <w:ind w:firstLine="484" w:firstLineChars="202"/>
        <w:jc w:val="left"/>
        <w:rPr>
          <w:rFonts w:ascii="宋体" w:hAnsi="宋体"/>
          <w:color w:val="auto"/>
          <w:highlight w:val="none"/>
          <w:u w:val="single"/>
        </w:rPr>
      </w:pPr>
      <w:r>
        <w:rPr>
          <w:rFonts w:hint="eastAsia" w:ascii="宋体" w:hAnsi="宋体"/>
          <w:color w:val="auto"/>
          <w:highlight w:val="none"/>
        </w:rPr>
        <w:t>7.4.1  发包人向承包人提供测量基准点、基准线和水准点及其书面资料的期限：</w:t>
      </w:r>
      <w:r>
        <w:rPr>
          <w:rFonts w:hint="eastAsia" w:ascii="宋体" w:hAnsi="宋体"/>
          <w:color w:val="auto"/>
          <w:highlight w:val="none"/>
          <w:u w:val="single"/>
        </w:rPr>
        <w:t xml:space="preserve">发包人应在至迟不得晚于开工通知载明的开工日期前7天向承包人提供测量基准点、基准线和水准点及其书面资料。 </w:t>
      </w:r>
      <w:r>
        <w:rPr>
          <w:rFonts w:hint="eastAsia" w:ascii="宋体" w:hAnsi="宋体"/>
          <w:color w:val="auto"/>
          <w:highlight w:val="none"/>
          <w:u w:val="none"/>
        </w:rPr>
        <w:t xml:space="preserve">          </w:t>
      </w:r>
    </w:p>
    <w:p w14:paraId="0A3CA863">
      <w:pPr>
        <w:pStyle w:val="91"/>
        <w:spacing w:before="120" w:after="120" w:line="440" w:lineRule="exact"/>
        <w:outlineLvl w:val="0"/>
        <w:rPr>
          <w:rFonts w:ascii="宋体" w:hAnsi="宋体"/>
          <w:color w:val="auto"/>
          <w:highlight w:val="none"/>
        </w:rPr>
      </w:pPr>
      <w:r>
        <w:rPr>
          <w:rFonts w:hint="eastAsia" w:ascii="宋体" w:hAnsi="宋体"/>
          <w:color w:val="auto"/>
          <w:highlight w:val="none"/>
        </w:rPr>
        <w:t>7.5  工期延误</w:t>
      </w:r>
    </w:p>
    <w:p w14:paraId="3AB0F81B">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7.5.1  因发包人原因导致工期延误</w:t>
      </w:r>
    </w:p>
    <w:p w14:paraId="3B959ACB">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（1）发包人未能按合同约定提供图纸或所提供图纸不符合合同约定的；</w:t>
      </w:r>
    </w:p>
    <w:p w14:paraId="518924E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（2）发包人未能按合同约定提供施工现场、施工条件、基础资料、许可、批准等开工条件的；</w:t>
      </w:r>
    </w:p>
    <w:p w14:paraId="625BD1E4">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（3）发包人提供的测量基准点、基准线和水准点及其书面资料存在错误或疏漏的；</w:t>
      </w:r>
    </w:p>
    <w:p w14:paraId="7E15757C">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（4）发包人未能在计划开工日期之日起7天内同意下达开工通知的；</w:t>
      </w:r>
    </w:p>
    <w:p w14:paraId="7E1C3213">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 xml:space="preserve">（5）发包人未能按合同约定日期支付进度款或竣工结算款的；     </w:t>
      </w:r>
    </w:p>
    <w:p w14:paraId="2232743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在合同履行过程中，因通用合同条款第7.5.1款第（1）至（</w:t>
      </w:r>
      <w:r>
        <w:rPr>
          <w:rFonts w:hint="eastAsia" w:ascii="宋体" w:hAnsi="宋体"/>
          <w:color w:val="auto"/>
          <w:highlight w:val="none"/>
          <w:lang w:val="en-US" w:eastAsia="zh-CN"/>
        </w:rPr>
        <w:t>5</w:t>
      </w:r>
      <w:r>
        <w:rPr>
          <w:rFonts w:hint="eastAsia" w:ascii="宋体" w:hAnsi="宋体"/>
          <w:color w:val="auto"/>
          <w:highlight w:val="none"/>
        </w:rPr>
        <w:t xml:space="preserve">）项情况导致工期延误的，由发包人承担由此延误的工期，但发包人不支付承包人因延期增加的费用及合理的利润。 </w:t>
      </w:r>
    </w:p>
    <w:p w14:paraId="7EE6093C">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7.5.2  因承包人原因导致工期延误</w:t>
      </w:r>
    </w:p>
    <w:p w14:paraId="092634B1">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因承包人原因造成工期延误，逾期竣工违约金的计算方法为：</w:t>
      </w:r>
      <w:r>
        <w:rPr>
          <w:rFonts w:hint="eastAsia" w:ascii="宋体" w:hAnsi="宋体"/>
          <w:color w:val="auto"/>
          <w:highlight w:val="none"/>
          <w:u w:val="single"/>
        </w:rPr>
        <w:t xml:space="preserve"> 合同额的万分之四/天。</w:t>
      </w:r>
      <w:r>
        <w:rPr>
          <w:rFonts w:hint="eastAsia" w:ascii="宋体" w:hAnsi="宋体"/>
          <w:color w:val="auto"/>
          <w:highlight w:val="none"/>
        </w:rPr>
        <w:t>逾期竣工违约金限额为合同额的2%。</w:t>
      </w:r>
    </w:p>
    <w:p w14:paraId="2C7E2EF0">
      <w:pPr>
        <w:pStyle w:val="91"/>
        <w:spacing w:before="120" w:after="120" w:line="440" w:lineRule="exact"/>
        <w:outlineLvl w:val="0"/>
        <w:rPr>
          <w:rFonts w:ascii="宋体" w:hAnsi="宋体"/>
          <w:color w:val="auto"/>
          <w:highlight w:val="none"/>
        </w:rPr>
      </w:pPr>
      <w:r>
        <w:rPr>
          <w:rFonts w:hint="eastAsia" w:ascii="宋体" w:hAnsi="宋体"/>
          <w:color w:val="auto"/>
          <w:highlight w:val="none"/>
        </w:rPr>
        <w:t>7.6  不利物质条件</w:t>
      </w:r>
    </w:p>
    <w:p w14:paraId="3050E538">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不利物质条件的其他情形和有关约定：</w:t>
      </w:r>
      <w:r>
        <w:rPr>
          <w:rFonts w:hint="eastAsia" w:ascii="宋体" w:hAnsi="宋体"/>
          <w:color w:val="auto"/>
          <w:highlight w:val="none"/>
          <w:u w:val="single"/>
        </w:rPr>
        <w:t>承包人遇到不利物质条件时，应采取适应不利物质条件的合理措施继续施工，承包人应在发生后48小时内及时</w:t>
      </w:r>
      <w:r>
        <w:rPr>
          <w:rFonts w:hint="eastAsia" w:ascii="宋体" w:hAnsi="宋体"/>
          <w:color w:val="auto"/>
          <w:highlight w:val="none"/>
          <w:u w:val="single"/>
          <w:lang w:eastAsia="zh-CN"/>
        </w:rPr>
        <w:t>通知发包人</w:t>
      </w:r>
      <w:r>
        <w:rPr>
          <w:rFonts w:hint="eastAsia" w:ascii="宋体" w:hAnsi="宋体"/>
          <w:color w:val="auto"/>
          <w:highlight w:val="none"/>
          <w:u w:val="single"/>
        </w:rPr>
        <w:t>。</w:t>
      </w:r>
    </w:p>
    <w:p w14:paraId="7D052CB2">
      <w:pPr>
        <w:pStyle w:val="91"/>
        <w:spacing w:before="120" w:after="120" w:line="440" w:lineRule="exact"/>
        <w:outlineLvl w:val="0"/>
        <w:rPr>
          <w:rFonts w:ascii="宋体" w:hAnsi="宋体"/>
          <w:color w:val="auto"/>
          <w:highlight w:val="none"/>
        </w:rPr>
      </w:pPr>
      <w:r>
        <w:rPr>
          <w:rFonts w:hint="eastAsia" w:ascii="宋体" w:hAnsi="宋体"/>
          <w:color w:val="auto"/>
          <w:highlight w:val="none"/>
        </w:rPr>
        <w:t>7.7 异常恶劣的气候条件</w:t>
      </w:r>
    </w:p>
    <w:p w14:paraId="47425A05">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发包人和承包人同意以下情形视为异常恶劣的气候条件：</w:t>
      </w:r>
    </w:p>
    <w:p w14:paraId="112B640A">
      <w:pPr>
        <w:pStyle w:val="77"/>
        <w:numPr>
          <w:ilvl w:val="0"/>
          <w:numId w:val="6"/>
        </w:numPr>
        <w:spacing w:line="440" w:lineRule="exact"/>
        <w:jc w:val="left"/>
        <w:rPr>
          <w:rFonts w:ascii="宋体" w:hAnsi="宋体"/>
          <w:color w:val="auto"/>
          <w:highlight w:val="none"/>
          <w:u w:val="single"/>
        </w:rPr>
      </w:pPr>
      <w:r>
        <w:rPr>
          <w:rFonts w:hint="eastAsia" w:ascii="宋体" w:hAnsi="宋体"/>
          <w:color w:val="auto"/>
          <w:highlight w:val="none"/>
          <w:u w:val="single"/>
        </w:rPr>
        <w:t xml:space="preserve">六级及其以上台风。 </w:t>
      </w:r>
    </w:p>
    <w:p w14:paraId="291A38F7">
      <w:pPr>
        <w:pStyle w:val="77"/>
        <w:numPr>
          <w:ilvl w:val="0"/>
          <w:numId w:val="6"/>
        </w:numPr>
        <w:spacing w:line="440" w:lineRule="exact"/>
        <w:jc w:val="left"/>
        <w:outlineLvl w:val="0"/>
        <w:rPr>
          <w:rFonts w:ascii="宋体" w:hAnsi="宋体"/>
          <w:color w:val="auto"/>
          <w:highlight w:val="none"/>
          <w:u w:val="single"/>
        </w:rPr>
      </w:pPr>
      <w:r>
        <w:rPr>
          <w:rFonts w:hint="eastAsia" w:ascii="宋体" w:hAnsi="宋体"/>
          <w:color w:val="auto"/>
          <w:highlight w:val="none"/>
          <w:u w:val="single"/>
        </w:rPr>
        <w:t>连续两天暴雨。</w:t>
      </w:r>
    </w:p>
    <w:p w14:paraId="6AB57287">
      <w:pPr>
        <w:pStyle w:val="77"/>
        <w:widowControl/>
        <w:snapToGrid w:val="0"/>
        <w:spacing w:line="440" w:lineRule="exact"/>
        <w:ind w:firstLine="360" w:firstLineChars="150"/>
        <w:rPr>
          <w:rFonts w:ascii="宋体" w:hAnsi="宋体"/>
          <w:color w:val="auto"/>
          <w:highlight w:val="none"/>
          <w:u w:val="single"/>
        </w:rPr>
      </w:pPr>
      <w:r>
        <w:rPr>
          <w:rFonts w:hint="eastAsia" w:ascii="宋体" w:hAnsi="宋体"/>
          <w:color w:val="auto"/>
          <w:highlight w:val="none"/>
        </w:rPr>
        <w:t>（3）</w:t>
      </w:r>
      <w:r>
        <w:rPr>
          <w:rFonts w:hint="eastAsia" w:ascii="宋体" w:hAnsi="宋体"/>
          <w:color w:val="auto"/>
          <w:highlight w:val="none"/>
          <w:u w:val="single"/>
        </w:rPr>
        <w:t>异常恶劣的气候条件引起的工程延误，由监理工程师根据承包人提交的证明予以评定，但在进行上述评定时，还将考虑按同等标准以同期或其它月份异常良好的气候予以抵补，异常气候在每月对工程进度影响的评定，应在整个合同内予以累计。</w:t>
      </w:r>
    </w:p>
    <w:p w14:paraId="3489FB7F">
      <w:pPr>
        <w:pStyle w:val="77"/>
        <w:autoSpaceDE w:val="0"/>
        <w:autoSpaceDN w:val="0"/>
        <w:adjustRightInd w:val="0"/>
        <w:spacing w:line="440" w:lineRule="exact"/>
        <w:ind w:firstLine="360" w:firstLineChars="150"/>
        <w:jc w:val="left"/>
        <w:rPr>
          <w:rFonts w:ascii="宋体" w:hAnsi="宋体"/>
          <w:color w:val="auto"/>
          <w:highlight w:val="none"/>
          <w:u w:val="single"/>
        </w:rPr>
      </w:pPr>
      <w:r>
        <w:rPr>
          <w:rFonts w:hint="eastAsia" w:ascii="宋体" w:hAnsi="宋体"/>
          <w:color w:val="auto"/>
          <w:highlight w:val="none"/>
        </w:rPr>
        <w:t>（4）</w:t>
      </w:r>
      <w:r>
        <w:rPr>
          <w:rFonts w:hint="eastAsia" w:ascii="宋体" w:hAnsi="宋体"/>
          <w:color w:val="auto"/>
          <w:highlight w:val="none"/>
          <w:u w:val="single"/>
        </w:rPr>
        <w:t>承包人应采取克服异常恶劣的气候条件的合理措施继续施工，并在发生后48小时内及时通知发包人</w:t>
      </w:r>
      <w:r>
        <w:rPr>
          <w:rFonts w:hint="eastAsia" w:ascii="宋体" w:hAnsi="宋体"/>
          <w:color w:val="auto"/>
          <w:highlight w:val="none"/>
          <w:u w:val="single"/>
          <w:lang w:eastAsia="zh-CN"/>
        </w:rPr>
        <w:t>，</w:t>
      </w:r>
      <w:r>
        <w:rPr>
          <w:rFonts w:hint="eastAsia" w:ascii="宋体" w:hAnsi="宋体"/>
          <w:color w:val="auto"/>
          <w:highlight w:val="none"/>
          <w:u w:val="single"/>
        </w:rPr>
        <w:t>报发包人同意后</w:t>
      </w:r>
      <w:r>
        <w:rPr>
          <w:rFonts w:hint="eastAsia" w:ascii="宋体" w:hAnsi="宋体"/>
          <w:color w:val="auto"/>
          <w:highlight w:val="none"/>
          <w:u w:val="single"/>
          <w:lang w:eastAsia="zh-CN"/>
        </w:rPr>
        <w:t>，</w:t>
      </w:r>
      <w:r>
        <w:rPr>
          <w:rFonts w:hint="eastAsia" w:ascii="宋体" w:hAnsi="宋体"/>
          <w:color w:val="auto"/>
          <w:highlight w:val="none"/>
          <w:u w:val="single"/>
        </w:rPr>
        <w:t>承包人因采取合理措施而延误的工期由发包人承担，但发包人不承担增加的费用。</w:t>
      </w:r>
    </w:p>
    <w:p w14:paraId="122FBF11">
      <w:pPr>
        <w:pStyle w:val="91"/>
        <w:spacing w:before="120" w:after="120" w:line="440" w:lineRule="exact"/>
        <w:rPr>
          <w:rFonts w:ascii="宋体" w:hAnsi="宋体"/>
          <w:color w:val="auto"/>
          <w:highlight w:val="none"/>
        </w:rPr>
      </w:pPr>
      <w:r>
        <w:rPr>
          <w:rFonts w:hint="eastAsia" w:ascii="宋体" w:hAnsi="宋体"/>
          <w:color w:val="auto"/>
          <w:highlight w:val="none"/>
        </w:rPr>
        <w:t>7.9  提前竣工的奖励</w:t>
      </w:r>
    </w:p>
    <w:p w14:paraId="4AF4EC74">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7.9.2 提前竣工的奖励：</w:t>
      </w:r>
      <w:r>
        <w:rPr>
          <w:rFonts w:hint="eastAsia" w:ascii="宋体" w:hAnsi="宋体"/>
          <w:color w:val="auto"/>
          <w:highlight w:val="none"/>
          <w:u w:val="single"/>
        </w:rPr>
        <w:t xml:space="preserve">   无  </w:t>
      </w:r>
      <w:r>
        <w:rPr>
          <w:rFonts w:hint="eastAsia" w:ascii="宋体" w:hAnsi="宋体"/>
          <w:color w:val="auto"/>
          <w:highlight w:val="none"/>
        </w:rPr>
        <w:t>。</w:t>
      </w:r>
    </w:p>
    <w:p w14:paraId="5BFFD896">
      <w:pPr>
        <w:pStyle w:val="91"/>
        <w:spacing w:before="120" w:after="120" w:line="440" w:lineRule="exact"/>
        <w:outlineLvl w:val="0"/>
        <w:rPr>
          <w:rFonts w:ascii="宋体" w:hAnsi="宋体"/>
          <w:color w:val="auto"/>
          <w:highlight w:val="none"/>
        </w:rPr>
      </w:pPr>
      <w:r>
        <w:rPr>
          <w:rFonts w:hint="eastAsia" w:ascii="宋体" w:hAnsi="宋体"/>
          <w:color w:val="auto"/>
          <w:highlight w:val="none"/>
        </w:rPr>
        <w:t>8.  材料与设备</w:t>
      </w:r>
    </w:p>
    <w:p w14:paraId="250AD46F">
      <w:pPr>
        <w:pStyle w:val="91"/>
        <w:spacing w:before="120" w:after="120" w:line="440" w:lineRule="exact"/>
        <w:outlineLvl w:val="0"/>
        <w:rPr>
          <w:rFonts w:ascii="宋体" w:hAnsi="宋体"/>
          <w:color w:val="auto"/>
          <w:highlight w:val="none"/>
        </w:rPr>
      </w:pPr>
      <w:r>
        <w:rPr>
          <w:rFonts w:hint="eastAsia" w:ascii="宋体" w:hAnsi="宋体"/>
          <w:color w:val="auto"/>
          <w:highlight w:val="none"/>
        </w:rPr>
        <w:t>8.4 材料与工程设备的保管与使用</w:t>
      </w:r>
    </w:p>
    <w:p w14:paraId="547285E9">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8.4.1 发包人供应的材料设备的保管费用的承担：</w:t>
      </w:r>
      <w:r>
        <w:rPr>
          <w:rFonts w:hint="eastAsia" w:ascii="宋体" w:hAnsi="宋体"/>
          <w:color w:val="auto"/>
          <w:highlight w:val="none"/>
          <w:u w:val="single"/>
        </w:rPr>
        <w:t>无</w:t>
      </w:r>
      <w:r>
        <w:rPr>
          <w:rFonts w:hint="eastAsia" w:ascii="宋体" w:hAnsi="宋体"/>
          <w:color w:val="auto"/>
          <w:highlight w:val="none"/>
        </w:rPr>
        <w:t>。</w:t>
      </w:r>
    </w:p>
    <w:p w14:paraId="09D52634">
      <w:pPr>
        <w:pStyle w:val="91"/>
        <w:spacing w:before="120" w:after="120" w:line="440" w:lineRule="exact"/>
        <w:outlineLvl w:val="0"/>
        <w:rPr>
          <w:rFonts w:ascii="宋体" w:hAnsi="宋体"/>
          <w:color w:val="auto"/>
          <w:highlight w:val="none"/>
        </w:rPr>
      </w:pPr>
      <w:r>
        <w:rPr>
          <w:rFonts w:hint="eastAsia" w:ascii="宋体" w:hAnsi="宋体"/>
          <w:color w:val="auto"/>
          <w:highlight w:val="none"/>
        </w:rPr>
        <w:t>8.6  样品</w:t>
      </w:r>
    </w:p>
    <w:p w14:paraId="443AE757">
      <w:pPr>
        <w:pStyle w:val="77"/>
        <w:autoSpaceDE w:val="0"/>
        <w:autoSpaceDN w:val="0"/>
        <w:adjustRightInd w:val="0"/>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8.6.1</w:t>
      </w:r>
      <w:r>
        <w:rPr>
          <w:rFonts w:hint="eastAsia" w:ascii="宋体" w:hAnsi="宋体"/>
          <w:b/>
          <w:bCs/>
          <w:color w:val="auto"/>
          <w:kern w:val="0"/>
          <w:highlight w:val="none"/>
        </w:rPr>
        <w:tab/>
      </w:r>
      <w:r>
        <w:rPr>
          <w:rFonts w:hint="eastAsia" w:ascii="宋体" w:hAnsi="宋体"/>
          <w:b/>
          <w:bCs/>
          <w:color w:val="auto"/>
          <w:kern w:val="0"/>
          <w:highlight w:val="none"/>
        </w:rPr>
        <w:t>样品的报送与封存</w:t>
      </w:r>
    </w:p>
    <w:p w14:paraId="64C4F12B">
      <w:pPr>
        <w:pStyle w:val="77"/>
        <w:autoSpaceDE w:val="0"/>
        <w:autoSpaceDN w:val="0"/>
        <w:adjustRightInd w:val="0"/>
        <w:spacing w:line="440" w:lineRule="exact"/>
        <w:ind w:firstLine="540" w:firstLineChars="225"/>
        <w:jc w:val="left"/>
        <w:rPr>
          <w:rFonts w:ascii="宋体" w:hAnsi="宋体"/>
          <w:color w:val="auto"/>
          <w:kern w:val="0"/>
          <w:highlight w:val="none"/>
          <w:u w:val="single"/>
        </w:rPr>
      </w:pPr>
      <w:r>
        <w:rPr>
          <w:rFonts w:hint="eastAsia" w:ascii="宋体" w:hAnsi="宋体"/>
          <w:color w:val="auto"/>
          <w:kern w:val="0"/>
          <w:highlight w:val="none"/>
        </w:rPr>
        <w:t>需要承包人报送样品的材料或工程设备，样品的种类、名称、规格、数量要求：</w:t>
      </w:r>
      <w:r>
        <w:rPr>
          <w:rFonts w:hint="eastAsia" w:ascii="宋体" w:hAnsi="宋体"/>
          <w:color w:val="auto"/>
          <w:kern w:val="0"/>
          <w:highlight w:val="none"/>
          <w:u w:val="single"/>
        </w:rPr>
        <w:t xml:space="preserve">按相关规定办理。 </w:t>
      </w:r>
    </w:p>
    <w:p w14:paraId="75BBA5A8">
      <w:pPr>
        <w:pStyle w:val="77"/>
        <w:spacing w:after="120" w:line="440" w:lineRule="exact"/>
        <w:outlineLvl w:val="0"/>
        <w:rPr>
          <w:rFonts w:ascii="宋体" w:hAnsi="宋体"/>
          <w:b/>
          <w:bCs/>
          <w:color w:val="auto"/>
          <w:highlight w:val="none"/>
        </w:rPr>
      </w:pPr>
      <w:r>
        <w:rPr>
          <w:rFonts w:hint="eastAsia" w:ascii="宋体" w:hAnsi="宋体"/>
          <w:b/>
          <w:bCs/>
          <w:color w:val="auto"/>
          <w:highlight w:val="none"/>
        </w:rPr>
        <w:t>8.8  施工设备和临时设施</w:t>
      </w:r>
    </w:p>
    <w:p w14:paraId="607C3270">
      <w:pPr>
        <w:pStyle w:val="77"/>
        <w:autoSpaceDE w:val="0"/>
        <w:autoSpaceDN w:val="0"/>
        <w:adjustRightInd w:val="0"/>
        <w:spacing w:line="440" w:lineRule="exact"/>
        <w:jc w:val="left"/>
        <w:outlineLvl w:val="0"/>
        <w:rPr>
          <w:rFonts w:ascii="宋体" w:hAnsi="宋体"/>
          <w:b/>
          <w:bCs/>
          <w:color w:val="auto"/>
          <w:highlight w:val="none"/>
        </w:rPr>
      </w:pPr>
      <w:r>
        <w:rPr>
          <w:rFonts w:hint="eastAsia" w:ascii="宋体" w:hAnsi="宋体"/>
          <w:b/>
          <w:bCs/>
          <w:color w:val="auto"/>
          <w:highlight w:val="none"/>
        </w:rPr>
        <w:t>8.8.1  承包人提供的施工设备和临时设施</w:t>
      </w:r>
    </w:p>
    <w:p w14:paraId="6B7697BF">
      <w:pPr>
        <w:pStyle w:val="77"/>
        <w:autoSpaceDE w:val="0"/>
        <w:autoSpaceDN w:val="0"/>
        <w:adjustRightInd w:val="0"/>
        <w:spacing w:line="440" w:lineRule="exact"/>
        <w:ind w:firstLine="600" w:firstLineChars="250"/>
        <w:jc w:val="left"/>
        <w:rPr>
          <w:rFonts w:hint="eastAsia" w:ascii="宋体" w:hAnsi="宋体"/>
          <w:color w:val="auto"/>
          <w:highlight w:val="none"/>
        </w:rPr>
      </w:pPr>
      <w:r>
        <w:rPr>
          <w:rFonts w:hint="eastAsia" w:ascii="宋体" w:hAnsi="宋体"/>
          <w:color w:val="auto"/>
          <w:highlight w:val="none"/>
        </w:rPr>
        <w:t>关于修建临时设施费用承担的约定：</w:t>
      </w:r>
      <w:r>
        <w:rPr>
          <w:rFonts w:hint="eastAsia" w:ascii="宋体" w:hAnsi="宋体"/>
          <w:color w:val="auto"/>
          <w:highlight w:val="none"/>
          <w:u w:val="single"/>
        </w:rPr>
        <w:t xml:space="preserve"> 由承包人自行承担</w:t>
      </w:r>
      <w:r>
        <w:rPr>
          <w:rFonts w:hint="eastAsia" w:ascii="宋体" w:hAnsi="宋体"/>
          <w:color w:val="auto"/>
          <w:highlight w:val="none"/>
        </w:rPr>
        <w:t>。</w:t>
      </w:r>
    </w:p>
    <w:p w14:paraId="04994B95">
      <w:pPr>
        <w:pStyle w:val="77"/>
        <w:autoSpaceDE w:val="0"/>
        <w:autoSpaceDN w:val="0"/>
        <w:adjustRightInd w:val="0"/>
        <w:spacing w:line="440" w:lineRule="exact"/>
        <w:jc w:val="left"/>
        <w:rPr>
          <w:rFonts w:hint="eastAsia" w:ascii="宋体" w:hAnsi="宋体"/>
          <w:b/>
          <w:bCs/>
          <w:color w:val="auto"/>
          <w:highlight w:val="none"/>
        </w:rPr>
      </w:pPr>
      <w:r>
        <w:rPr>
          <w:rFonts w:hint="eastAsia" w:ascii="宋体" w:hAnsi="宋体"/>
          <w:b/>
          <w:bCs/>
          <w:color w:val="auto"/>
          <w:highlight w:val="none"/>
        </w:rPr>
        <w:t>9.  试验与检验</w:t>
      </w:r>
    </w:p>
    <w:p w14:paraId="515F1828">
      <w:pPr>
        <w:pStyle w:val="77"/>
        <w:autoSpaceDE w:val="0"/>
        <w:autoSpaceDN w:val="0"/>
        <w:adjustRightInd w:val="0"/>
        <w:spacing w:line="440" w:lineRule="exact"/>
        <w:jc w:val="left"/>
        <w:rPr>
          <w:rFonts w:ascii="宋体" w:hAnsi="宋体"/>
          <w:color w:val="auto"/>
          <w:highlight w:val="none"/>
        </w:rPr>
      </w:pPr>
      <w:r>
        <w:rPr>
          <w:rFonts w:hint="eastAsia" w:ascii="宋体" w:hAnsi="宋体"/>
          <w:b/>
          <w:bCs/>
          <w:color w:val="auto"/>
          <w:highlight w:val="none"/>
        </w:rPr>
        <w:t>9.1 试验设备与试验人员</w:t>
      </w:r>
    </w:p>
    <w:p w14:paraId="1A3B1FBD">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9.1.2  试验设备</w:t>
      </w:r>
    </w:p>
    <w:p w14:paraId="5B1FDD08">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施工现场需要配置的试验场所：</w:t>
      </w:r>
      <w:r>
        <w:rPr>
          <w:rFonts w:hint="eastAsia" w:ascii="宋体" w:hAnsi="宋体"/>
          <w:color w:val="auto"/>
          <w:highlight w:val="none"/>
          <w:u w:val="single"/>
        </w:rPr>
        <w:t xml:space="preserve">  </w:t>
      </w:r>
      <w:r>
        <w:rPr>
          <w:rFonts w:hint="eastAsia" w:ascii="宋体" w:hAnsi="宋体"/>
          <w:color w:val="auto"/>
          <w:highlight w:val="none"/>
          <w:u w:val="single"/>
          <w:lang w:eastAsia="zh-CN"/>
        </w:rPr>
        <w:t>无</w:t>
      </w:r>
      <w:r>
        <w:rPr>
          <w:rFonts w:hint="eastAsia" w:ascii="宋体" w:hAnsi="宋体"/>
          <w:color w:val="auto"/>
          <w:highlight w:val="none"/>
        </w:rPr>
        <w:t xml:space="preserve">。 </w:t>
      </w:r>
    </w:p>
    <w:p w14:paraId="15A235BE">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施工现场需要配备的试验设备：</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w:t>
      </w:r>
    </w:p>
    <w:p w14:paraId="70DB6E2C">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施工现场需要具备的其他试验条件：</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w:t>
      </w:r>
    </w:p>
    <w:p w14:paraId="5AB62A94">
      <w:pPr>
        <w:pStyle w:val="91"/>
        <w:spacing w:before="120" w:after="120" w:line="440" w:lineRule="exact"/>
        <w:outlineLvl w:val="0"/>
        <w:rPr>
          <w:rFonts w:ascii="宋体" w:hAnsi="宋体"/>
          <w:color w:val="auto"/>
          <w:highlight w:val="none"/>
        </w:rPr>
      </w:pPr>
      <w:r>
        <w:rPr>
          <w:rFonts w:hint="eastAsia" w:ascii="宋体" w:hAnsi="宋体"/>
          <w:color w:val="auto"/>
          <w:highlight w:val="none"/>
        </w:rPr>
        <w:t xml:space="preserve">9.4  现场工艺试验 </w:t>
      </w:r>
    </w:p>
    <w:p w14:paraId="59B1C40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现场工艺试验的有关约定：</w:t>
      </w:r>
      <w:r>
        <w:rPr>
          <w:rFonts w:hint="eastAsia" w:ascii="宋体" w:hAnsi="宋体"/>
          <w:color w:val="auto"/>
          <w:highlight w:val="none"/>
          <w:u w:val="single"/>
        </w:rPr>
        <w:t xml:space="preserve">  </w:t>
      </w:r>
      <w:r>
        <w:rPr>
          <w:rFonts w:hint="eastAsia" w:ascii="宋体" w:hAnsi="宋体"/>
          <w:color w:val="auto"/>
          <w:highlight w:val="none"/>
          <w:u w:val="single"/>
          <w:lang w:eastAsia="zh-CN"/>
        </w:rPr>
        <w:t>无</w:t>
      </w:r>
      <w:r>
        <w:rPr>
          <w:rFonts w:hint="eastAsia" w:ascii="宋体" w:hAnsi="宋体"/>
          <w:color w:val="auto"/>
          <w:highlight w:val="none"/>
          <w:u w:val="single"/>
          <w:lang w:val="en-US" w:eastAsia="zh-CN"/>
        </w:rPr>
        <w:t xml:space="preserve">  </w:t>
      </w:r>
      <w:r>
        <w:rPr>
          <w:rFonts w:hint="eastAsia" w:ascii="宋体" w:hAnsi="宋体"/>
          <w:color w:val="auto"/>
          <w:highlight w:val="none"/>
        </w:rPr>
        <w:t>。</w:t>
      </w:r>
    </w:p>
    <w:p w14:paraId="7CB78870">
      <w:pPr>
        <w:pStyle w:val="91"/>
        <w:spacing w:before="120" w:after="120" w:line="440" w:lineRule="exact"/>
        <w:outlineLvl w:val="0"/>
        <w:rPr>
          <w:rFonts w:ascii="宋体" w:hAnsi="宋体"/>
          <w:color w:val="auto"/>
          <w:highlight w:val="none"/>
        </w:rPr>
      </w:pPr>
      <w:r>
        <w:rPr>
          <w:rFonts w:hint="eastAsia" w:ascii="宋体" w:hAnsi="宋体"/>
          <w:color w:val="auto"/>
          <w:highlight w:val="none"/>
        </w:rPr>
        <w:t>10.  变更</w:t>
      </w:r>
    </w:p>
    <w:p w14:paraId="5551E3CE">
      <w:pPr>
        <w:pStyle w:val="91"/>
        <w:spacing w:before="120" w:after="120" w:line="440" w:lineRule="exact"/>
        <w:outlineLvl w:val="0"/>
        <w:rPr>
          <w:rFonts w:ascii="宋体" w:hAnsi="宋体"/>
          <w:color w:val="auto"/>
          <w:highlight w:val="none"/>
        </w:rPr>
      </w:pPr>
      <w:r>
        <w:rPr>
          <w:rFonts w:hint="eastAsia" w:ascii="宋体" w:hAnsi="宋体"/>
          <w:color w:val="auto"/>
          <w:highlight w:val="none"/>
        </w:rPr>
        <w:t>10.1 变更的范围</w:t>
      </w:r>
    </w:p>
    <w:p w14:paraId="10D60056">
      <w:pPr>
        <w:pStyle w:val="77"/>
        <w:spacing w:line="440" w:lineRule="exact"/>
        <w:ind w:left="120" w:leftChars="57" w:firstLine="480" w:firstLineChars="200"/>
        <w:jc w:val="left"/>
        <w:rPr>
          <w:rFonts w:ascii="宋体" w:hAnsi="宋体"/>
          <w:color w:val="auto"/>
          <w:highlight w:val="none"/>
          <w:u w:val="single"/>
        </w:rPr>
      </w:pPr>
      <w:r>
        <w:rPr>
          <w:rFonts w:hint="eastAsia" w:ascii="宋体" w:hAnsi="宋体"/>
          <w:color w:val="auto"/>
          <w:highlight w:val="none"/>
        </w:rPr>
        <w:t>合同履行过程中发生以下情形的，应按照本条约定进行变更，关于变更的范围的约定：</w:t>
      </w:r>
    </w:p>
    <w:p w14:paraId="7646B0CA">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w:t>
      </w:r>
      <w:r>
        <w:rPr>
          <w:rFonts w:hint="eastAsia" w:ascii="宋体" w:hAnsi="宋体"/>
          <w:color w:val="auto"/>
          <w:highlight w:val="none"/>
          <w:u w:val="single"/>
        </w:rPr>
        <w:t>1）增加或减少合同中任何工作，或追加额外的工作；</w:t>
      </w:r>
    </w:p>
    <w:p w14:paraId="076821EE">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（2）取消合同中任何工作，但转由他人实施的工作除外；</w:t>
      </w:r>
    </w:p>
    <w:p w14:paraId="5911E76C">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（3）改变合同中任何工作的质量标准或其他特性；</w:t>
      </w:r>
    </w:p>
    <w:p w14:paraId="6858B7C7">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（4）改变工程的基线、标高、位置和尺寸；</w:t>
      </w:r>
    </w:p>
    <w:p w14:paraId="569E8821">
      <w:pPr>
        <w:pStyle w:val="77"/>
        <w:autoSpaceDE w:val="0"/>
        <w:autoSpaceDN w:val="0"/>
        <w:adjustRightInd w:val="0"/>
        <w:spacing w:line="440" w:lineRule="exact"/>
        <w:ind w:firstLine="480" w:firstLineChars="200"/>
        <w:jc w:val="left"/>
        <w:rPr>
          <w:rFonts w:ascii="宋体" w:hAnsi="宋体"/>
          <w:b/>
          <w:bCs/>
          <w:color w:val="auto"/>
          <w:highlight w:val="none"/>
        </w:rPr>
      </w:pPr>
      <w:r>
        <w:rPr>
          <w:rFonts w:hint="eastAsia" w:ascii="宋体" w:hAnsi="宋体"/>
          <w:color w:val="auto"/>
          <w:highlight w:val="none"/>
          <w:u w:val="single"/>
        </w:rPr>
        <w:t>（5）改变工程的时间安排或实施顺序</w:t>
      </w:r>
      <w:r>
        <w:rPr>
          <w:rFonts w:hint="eastAsia" w:ascii="宋体" w:hAnsi="宋体"/>
          <w:color w:val="auto"/>
          <w:highlight w:val="none"/>
        </w:rPr>
        <w:t>。</w:t>
      </w:r>
    </w:p>
    <w:p w14:paraId="71E1084F">
      <w:pPr>
        <w:pStyle w:val="91"/>
        <w:spacing w:before="120" w:after="120" w:line="440" w:lineRule="exact"/>
        <w:rPr>
          <w:rFonts w:ascii="宋体" w:hAnsi="宋体"/>
          <w:color w:val="auto"/>
          <w:highlight w:val="none"/>
        </w:rPr>
      </w:pPr>
      <w:r>
        <w:rPr>
          <w:rFonts w:hint="eastAsia" w:ascii="宋体" w:hAnsi="宋体"/>
          <w:color w:val="auto"/>
          <w:highlight w:val="none"/>
        </w:rPr>
        <w:t>10.2变更权</w:t>
      </w:r>
    </w:p>
    <w:p w14:paraId="7866D971">
      <w:pPr>
        <w:pStyle w:val="77"/>
        <w:spacing w:after="120" w:line="440" w:lineRule="exact"/>
        <w:ind w:firstLine="480" w:firstLineChars="200"/>
        <w:rPr>
          <w:rFonts w:ascii="宋体" w:hAnsi="宋体"/>
          <w:color w:val="auto"/>
          <w:highlight w:val="none"/>
        </w:rPr>
      </w:pPr>
      <w:r>
        <w:rPr>
          <w:rFonts w:hint="eastAsia" w:ascii="宋体" w:hAnsi="宋体"/>
          <w:color w:val="auto"/>
          <w:highlight w:val="none"/>
        </w:rPr>
        <w:t>工程设计变更文件须经发包人派驻工地现场代表</w:t>
      </w:r>
      <w:r>
        <w:rPr>
          <w:rFonts w:hint="eastAsia" w:ascii="宋体" w:hAnsi="宋体"/>
          <w:color w:val="auto"/>
          <w:highlight w:val="none"/>
          <w:lang w:eastAsia="zh-CN"/>
        </w:rPr>
        <w:t>、设计单位和监理单位</w:t>
      </w:r>
      <w:r>
        <w:rPr>
          <w:rFonts w:hint="eastAsia" w:ascii="宋体" w:hAnsi="宋体"/>
          <w:color w:val="auto"/>
          <w:highlight w:val="none"/>
        </w:rPr>
        <w:t>签字确认并加盖发包人的公章后方可变更，且工程设计变更签证文件需备一式</w:t>
      </w:r>
      <w:r>
        <w:rPr>
          <w:rFonts w:hint="eastAsia" w:ascii="宋体" w:hAnsi="宋体"/>
          <w:color w:val="auto"/>
          <w:highlight w:val="none"/>
          <w:lang w:eastAsia="zh-CN"/>
        </w:rPr>
        <w:t>六</w:t>
      </w:r>
      <w:r>
        <w:rPr>
          <w:rFonts w:hint="eastAsia" w:ascii="宋体" w:hAnsi="宋体"/>
          <w:color w:val="auto"/>
          <w:highlight w:val="none"/>
        </w:rPr>
        <w:t>份，完善各方签字盖章手续后，发包人持一份，余下</w:t>
      </w:r>
      <w:r>
        <w:rPr>
          <w:rFonts w:hint="eastAsia" w:ascii="宋体" w:hAnsi="宋体"/>
          <w:color w:val="auto"/>
          <w:highlight w:val="none"/>
          <w:lang w:eastAsia="zh-CN"/>
        </w:rPr>
        <w:t>五</w:t>
      </w:r>
      <w:r>
        <w:rPr>
          <w:rFonts w:hint="eastAsia" w:ascii="宋体" w:hAnsi="宋体"/>
          <w:color w:val="auto"/>
          <w:highlight w:val="none"/>
        </w:rPr>
        <w:t>份由承包人存。</w:t>
      </w:r>
    </w:p>
    <w:p w14:paraId="7F255607">
      <w:pPr>
        <w:pStyle w:val="91"/>
        <w:spacing w:before="120" w:after="120" w:line="440" w:lineRule="exact"/>
        <w:outlineLvl w:val="0"/>
        <w:rPr>
          <w:rFonts w:ascii="宋体" w:hAnsi="宋体"/>
          <w:color w:val="auto"/>
          <w:highlight w:val="none"/>
        </w:rPr>
      </w:pPr>
      <w:r>
        <w:rPr>
          <w:rFonts w:hint="eastAsia" w:ascii="宋体" w:hAnsi="宋体"/>
          <w:color w:val="auto"/>
          <w:highlight w:val="none"/>
        </w:rPr>
        <w:t>10.4  变更估价</w:t>
      </w:r>
    </w:p>
    <w:p w14:paraId="3F99AEF1">
      <w:pPr>
        <w:pStyle w:val="77"/>
        <w:autoSpaceDE w:val="0"/>
        <w:autoSpaceDN w:val="0"/>
        <w:adjustRightInd w:val="0"/>
        <w:spacing w:line="440" w:lineRule="exact"/>
        <w:ind w:firstLine="482" w:firstLineChars="200"/>
        <w:jc w:val="left"/>
        <w:rPr>
          <w:rFonts w:ascii="宋体" w:hAnsi="宋体"/>
          <w:b/>
          <w:bCs/>
          <w:color w:val="auto"/>
          <w:highlight w:val="none"/>
        </w:rPr>
      </w:pPr>
      <w:r>
        <w:rPr>
          <w:rFonts w:hint="eastAsia" w:ascii="宋体" w:hAnsi="宋体"/>
          <w:b/>
          <w:bCs/>
          <w:color w:val="auto"/>
          <w:highlight w:val="none"/>
        </w:rPr>
        <w:t>10.4.1  变更估价原则</w:t>
      </w:r>
    </w:p>
    <w:p w14:paraId="1F8652D4">
      <w:pPr>
        <w:pStyle w:val="77"/>
        <w:autoSpaceDE w:val="0"/>
        <w:autoSpaceDN w:val="0"/>
        <w:adjustRightInd w:val="0"/>
        <w:spacing w:line="440" w:lineRule="exact"/>
        <w:ind w:firstLine="480" w:firstLineChars="200"/>
        <w:jc w:val="left"/>
        <w:rPr>
          <w:rFonts w:ascii="宋体" w:hAnsi="宋体"/>
          <w:color w:val="auto"/>
          <w:highlight w:val="none"/>
        </w:rPr>
      </w:pPr>
      <w:r>
        <w:rPr>
          <w:rFonts w:hint="eastAsia" w:ascii="宋体" w:hAnsi="宋体"/>
          <w:color w:val="auto"/>
          <w:highlight w:val="none"/>
        </w:rPr>
        <w:t>关于变更估价的约定: 按专用合同条款第11.3项的规定执行。</w:t>
      </w:r>
    </w:p>
    <w:p w14:paraId="4FCFD780">
      <w:pPr>
        <w:pStyle w:val="91"/>
        <w:spacing w:before="120" w:after="120" w:line="440" w:lineRule="exact"/>
        <w:outlineLvl w:val="0"/>
        <w:rPr>
          <w:rFonts w:ascii="宋体" w:hAnsi="宋体"/>
          <w:color w:val="auto"/>
          <w:highlight w:val="none"/>
        </w:rPr>
      </w:pPr>
      <w:r>
        <w:rPr>
          <w:rFonts w:hint="eastAsia" w:ascii="宋体" w:hAnsi="宋体"/>
          <w:color w:val="auto"/>
          <w:highlight w:val="none"/>
        </w:rPr>
        <w:t>10.5 承包人的合理化建议</w:t>
      </w:r>
    </w:p>
    <w:p w14:paraId="067AB9E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监理人审查承包人合理化建议的期限：</w:t>
      </w:r>
      <w:r>
        <w:rPr>
          <w:rFonts w:hint="eastAsia" w:ascii="宋体" w:hAnsi="宋体"/>
          <w:color w:val="auto"/>
          <w:highlight w:val="none"/>
          <w:u w:val="single"/>
          <w:lang w:val="en-US" w:eastAsia="zh-CN"/>
        </w:rPr>
        <w:t>/</w:t>
      </w:r>
      <w:r>
        <w:rPr>
          <w:rFonts w:hint="eastAsia" w:ascii="宋体" w:hAnsi="宋体"/>
          <w:color w:val="auto"/>
          <w:highlight w:val="none"/>
          <w:u w:val="single"/>
        </w:rPr>
        <w:t>。</w:t>
      </w:r>
    </w:p>
    <w:p w14:paraId="03A67028">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发包人审批承包人合理化建议的期限：</w:t>
      </w:r>
      <w:r>
        <w:rPr>
          <w:rFonts w:hint="eastAsia" w:ascii="宋体" w:hAnsi="宋体"/>
          <w:color w:val="auto"/>
          <w:highlight w:val="none"/>
          <w:u w:val="single"/>
          <w:lang w:val="en-US" w:eastAsia="zh-CN"/>
        </w:rPr>
        <w:t>/</w:t>
      </w:r>
      <w:r>
        <w:rPr>
          <w:rFonts w:hint="eastAsia" w:ascii="宋体" w:hAnsi="宋体"/>
          <w:color w:val="auto"/>
          <w:highlight w:val="none"/>
          <w:u w:val="single"/>
        </w:rPr>
        <w:t>。</w:t>
      </w:r>
    </w:p>
    <w:p w14:paraId="422C7799">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承包人提出的合理化建议降低了合同价格或者提高了工程经济效益的奖励的方法和金额为：</w:t>
      </w:r>
      <w:r>
        <w:rPr>
          <w:rFonts w:hint="eastAsia" w:ascii="宋体" w:hAnsi="宋体"/>
          <w:color w:val="auto"/>
          <w:highlight w:val="none"/>
          <w:u w:val="single"/>
        </w:rPr>
        <w:t>无</w:t>
      </w:r>
      <w:r>
        <w:rPr>
          <w:rFonts w:hint="eastAsia" w:ascii="宋体" w:hAnsi="宋体"/>
          <w:color w:val="auto"/>
          <w:highlight w:val="none"/>
        </w:rPr>
        <w:t>。</w:t>
      </w:r>
    </w:p>
    <w:p w14:paraId="78898E5D">
      <w:pPr>
        <w:pStyle w:val="91"/>
        <w:spacing w:before="120" w:after="120" w:line="440" w:lineRule="exact"/>
        <w:outlineLvl w:val="0"/>
        <w:rPr>
          <w:rFonts w:ascii="宋体" w:hAnsi="宋体"/>
          <w:color w:val="auto"/>
          <w:highlight w:val="none"/>
        </w:rPr>
      </w:pPr>
      <w:r>
        <w:rPr>
          <w:rFonts w:hint="eastAsia" w:ascii="宋体" w:hAnsi="宋体"/>
          <w:color w:val="auto"/>
          <w:highlight w:val="none"/>
        </w:rPr>
        <w:t>10.7  暂估价</w:t>
      </w:r>
    </w:p>
    <w:p w14:paraId="6DA71005">
      <w:pPr>
        <w:pStyle w:val="77"/>
        <w:spacing w:line="440" w:lineRule="exact"/>
        <w:ind w:firstLine="480" w:firstLineChars="200"/>
        <w:jc w:val="left"/>
        <w:rPr>
          <w:rFonts w:ascii="宋体" w:hAnsi="宋体"/>
          <w:color w:val="auto"/>
          <w:highlight w:val="none"/>
        </w:rPr>
      </w:pPr>
      <w:r>
        <w:rPr>
          <w:rFonts w:hint="eastAsia" w:ascii="宋体" w:hAnsi="宋体"/>
          <w:color w:val="auto"/>
          <w:kern w:val="0"/>
          <w:highlight w:val="none"/>
        </w:rPr>
        <w:t>暂估价材料和工程设备的明细详见附件：《</w:t>
      </w:r>
      <w:r>
        <w:rPr>
          <w:rFonts w:hint="eastAsia" w:ascii="宋体" w:hAnsi="宋体"/>
          <w:color w:val="auto"/>
          <w:highlight w:val="none"/>
        </w:rPr>
        <w:t>暂估价一览表》</w:t>
      </w:r>
      <w:r>
        <w:rPr>
          <w:rFonts w:hint="eastAsia" w:ascii="宋体" w:hAnsi="宋体"/>
          <w:color w:val="auto"/>
          <w:kern w:val="0"/>
          <w:highlight w:val="none"/>
        </w:rPr>
        <w:t>。</w:t>
      </w:r>
    </w:p>
    <w:p w14:paraId="7D8E82D5">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10.7.1  依法必须招标的暂估价项目</w:t>
      </w:r>
    </w:p>
    <w:p w14:paraId="612013FA">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对于依法必须招标的暂估价项目的确认和批准采取第</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种方式确定。</w:t>
      </w:r>
    </w:p>
    <w:p w14:paraId="3710CAB4">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第2种方式：</w:t>
      </w:r>
      <w:r>
        <w:rPr>
          <w:rFonts w:hint="eastAsia" w:ascii="宋体" w:hAnsi="宋体"/>
          <w:color w:val="auto"/>
          <w:kern w:val="0"/>
          <w:highlight w:val="none"/>
          <w:u w:val="single"/>
        </w:rPr>
        <w:t>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r>
        <w:rPr>
          <w:rFonts w:hint="eastAsia" w:ascii="宋体" w:hAnsi="宋体"/>
          <w:color w:val="auto"/>
          <w:kern w:val="0"/>
          <w:highlight w:val="none"/>
        </w:rPr>
        <w:t>。</w:t>
      </w:r>
    </w:p>
    <w:p w14:paraId="7A33ADE1">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10.7.2  不属于依法必须招标的暂估价项目</w:t>
      </w:r>
    </w:p>
    <w:p w14:paraId="24B38576">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对于不属于依法必须招标的暂估价项目的确认和批准采取第</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 xml:space="preserve"> 种方式确定。</w:t>
      </w:r>
    </w:p>
    <w:p w14:paraId="51E6C914">
      <w:pPr>
        <w:pStyle w:val="77"/>
        <w:spacing w:line="440" w:lineRule="exact"/>
        <w:ind w:firstLine="480" w:firstLineChars="200"/>
        <w:jc w:val="left"/>
        <w:rPr>
          <w:rFonts w:ascii="宋体" w:hAnsi="宋体"/>
          <w:color w:val="auto"/>
          <w:kern w:val="0"/>
          <w:highlight w:val="none"/>
        </w:rPr>
      </w:pPr>
      <w:r>
        <w:rPr>
          <w:rFonts w:hint="eastAsia" w:ascii="宋体" w:hAnsi="宋体"/>
          <w:color w:val="auto"/>
          <w:highlight w:val="none"/>
        </w:rPr>
        <w:t>第3种方式：</w:t>
      </w:r>
      <w:r>
        <w:rPr>
          <w:rFonts w:hint="eastAsia" w:ascii="宋体" w:hAnsi="宋体"/>
          <w:color w:val="auto"/>
          <w:kern w:val="0"/>
          <w:highlight w:val="none"/>
        </w:rPr>
        <w:t>承包人直接实施的暂估价项目</w:t>
      </w:r>
    </w:p>
    <w:p w14:paraId="370F2102">
      <w:pPr>
        <w:pStyle w:val="91"/>
        <w:spacing w:before="120" w:after="120" w:line="440" w:lineRule="exact"/>
        <w:outlineLvl w:val="0"/>
        <w:rPr>
          <w:rFonts w:ascii="宋体" w:hAnsi="宋体"/>
          <w:color w:val="auto"/>
          <w:highlight w:val="none"/>
        </w:rPr>
      </w:pPr>
      <w:r>
        <w:rPr>
          <w:rFonts w:hint="eastAsia" w:ascii="宋体" w:hAnsi="宋体"/>
          <w:color w:val="auto"/>
          <w:highlight w:val="none"/>
        </w:rPr>
        <w:t>10.8  暂列金额</w:t>
      </w:r>
    </w:p>
    <w:p w14:paraId="46721B62">
      <w:pPr>
        <w:pStyle w:val="77"/>
        <w:spacing w:line="440" w:lineRule="exact"/>
        <w:ind w:firstLine="468" w:firstLineChars="195"/>
        <w:rPr>
          <w:rFonts w:hint="default" w:ascii="宋体" w:hAnsi="宋体" w:eastAsia="宋体"/>
          <w:color w:val="auto"/>
          <w:kern w:val="0"/>
          <w:highlight w:val="none"/>
          <w:u w:val="single"/>
          <w:lang w:val="en-US" w:eastAsia="zh-CN"/>
        </w:rPr>
      </w:pPr>
      <w:r>
        <w:rPr>
          <w:rFonts w:hint="eastAsia" w:ascii="宋体" w:hAnsi="宋体"/>
          <w:color w:val="auto"/>
          <w:kern w:val="0"/>
          <w:highlight w:val="none"/>
        </w:rPr>
        <w:t>合同当事人关于暂列金额使用的约定：</w:t>
      </w:r>
      <w:r>
        <w:rPr>
          <w:rFonts w:hint="eastAsia" w:ascii="宋体" w:hAnsi="宋体"/>
          <w:color w:val="auto"/>
          <w:kern w:val="0"/>
          <w:highlight w:val="none"/>
          <w:u w:val="single"/>
          <w:lang w:val="en-US" w:eastAsia="zh-CN"/>
        </w:rPr>
        <w:t xml:space="preserve">  / </w:t>
      </w:r>
      <w:r>
        <w:rPr>
          <w:rFonts w:hint="eastAsia" w:ascii="宋体" w:hAnsi="宋体"/>
          <w:color w:val="auto"/>
          <w:kern w:val="0"/>
          <w:highlight w:val="none"/>
          <w:u w:val="none"/>
          <w:lang w:val="en-US" w:eastAsia="zh-CN"/>
        </w:rPr>
        <w:t>。</w:t>
      </w:r>
    </w:p>
    <w:p w14:paraId="76F97E69">
      <w:pPr>
        <w:pStyle w:val="91"/>
        <w:spacing w:before="120" w:after="120" w:line="440" w:lineRule="exact"/>
        <w:outlineLvl w:val="0"/>
        <w:rPr>
          <w:rFonts w:ascii="宋体" w:hAnsi="宋体"/>
          <w:color w:val="auto"/>
          <w:highlight w:val="none"/>
        </w:rPr>
      </w:pPr>
      <w:r>
        <w:rPr>
          <w:rFonts w:hint="eastAsia" w:ascii="宋体" w:hAnsi="宋体"/>
          <w:color w:val="auto"/>
          <w:highlight w:val="none"/>
        </w:rPr>
        <w:t>11.  价格调整</w:t>
      </w:r>
    </w:p>
    <w:p w14:paraId="0DF60A66">
      <w:pPr>
        <w:pStyle w:val="91"/>
        <w:spacing w:before="120" w:after="120" w:line="440" w:lineRule="exact"/>
        <w:outlineLvl w:val="0"/>
        <w:rPr>
          <w:rFonts w:ascii="宋体" w:hAnsi="宋体"/>
          <w:color w:val="auto"/>
          <w:highlight w:val="none"/>
        </w:rPr>
      </w:pPr>
      <w:r>
        <w:rPr>
          <w:rFonts w:hint="eastAsia" w:ascii="宋体" w:hAnsi="宋体"/>
          <w:color w:val="auto"/>
          <w:highlight w:val="none"/>
        </w:rPr>
        <w:t>11.1  市场价格波动引起的调整</w:t>
      </w:r>
    </w:p>
    <w:p w14:paraId="3FDDBCFD">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市场价格波动是否调整合同价格的约定：</w:t>
      </w:r>
      <w:r>
        <w:rPr>
          <w:rFonts w:hint="eastAsia" w:ascii="宋体" w:hAnsi="宋体"/>
          <w:color w:val="auto"/>
          <w:kern w:val="0"/>
          <w:highlight w:val="none"/>
          <w:u w:val="single"/>
          <w:lang w:eastAsia="zh-CN"/>
        </w:rPr>
        <w:t>否</w:t>
      </w:r>
      <w:r>
        <w:rPr>
          <w:rFonts w:hint="eastAsia" w:ascii="宋体" w:hAnsi="宋体"/>
          <w:color w:val="auto"/>
          <w:kern w:val="0"/>
          <w:highlight w:val="none"/>
          <w:u w:val="single"/>
        </w:rPr>
        <w:t>。</w:t>
      </w:r>
    </w:p>
    <w:p w14:paraId="715DC662">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因市场价格波动调整合同价格，采用以下第</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种方式对合同价格进行调整：</w:t>
      </w:r>
    </w:p>
    <w:p w14:paraId="549EFB82">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第1种方式：</w:t>
      </w:r>
      <w:r>
        <w:rPr>
          <w:rFonts w:hint="eastAsia" w:ascii="宋体" w:hAnsi="宋体"/>
          <w:color w:val="auto"/>
          <w:highlight w:val="none"/>
          <w:u w:val="single"/>
        </w:rPr>
        <w:t>采用价格指数进行价格调整</w:t>
      </w:r>
      <w:r>
        <w:rPr>
          <w:rFonts w:hint="eastAsia" w:ascii="宋体" w:hAnsi="宋体"/>
          <w:color w:val="auto"/>
          <w:highlight w:val="none"/>
        </w:rPr>
        <w:t>。</w:t>
      </w:r>
    </w:p>
    <w:p w14:paraId="1B2D96BA">
      <w:pPr>
        <w:pStyle w:val="77"/>
        <w:spacing w:line="440" w:lineRule="exact"/>
        <w:ind w:left="479" w:leftChars="228"/>
        <w:jc w:val="left"/>
        <w:rPr>
          <w:rFonts w:ascii="宋体" w:hAnsi="宋体"/>
          <w:color w:val="auto"/>
          <w:highlight w:val="none"/>
        </w:rPr>
      </w:pPr>
      <w:r>
        <w:rPr>
          <w:rFonts w:hint="eastAsia" w:ascii="宋体" w:hAnsi="宋体"/>
          <w:color w:val="auto"/>
          <w:highlight w:val="none"/>
        </w:rPr>
        <w:t>关于各可调因子、定值和变值权重，以及基本价格指数及其来源的约定：</w:t>
      </w:r>
      <w:r>
        <w:rPr>
          <w:rFonts w:hint="eastAsia" w:ascii="宋体" w:hAnsi="宋体"/>
          <w:color w:val="auto"/>
          <w:highlight w:val="none"/>
          <w:u w:val="single"/>
        </w:rPr>
        <w:t xml:space="preserve"> / </w:t>
      </w:r>
      <w:r>
        <w:rPr>
          <w:rFonts w:hint="eastAsia" w:ascii="宋体" w:hAnsi="宋体"/>
          <w:color w:val="auto"/>
          <w:highlight w:val="none"/>
        </w:rPr>
        <w:t xml:space="preserve">；  </w:t>
      </w:r>
    </w:p>
    <w:p w14:paraId="10B9BF6A">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第2种方式：</w:t>
      </w:r>
      <w:r>
        <w:rPr>
          <w:rFonts w:hint="eastAsia" w:ascii="宋体" w:hAnsi="宋体"/>
          <w:color w:val="auto"/>
          <w:highlight w:val="none"/>
          <w:u w:val="single"/>
        </w:rPr>
        <w:t>根据《关于加强建筑材料价格风险控制的指导意见》（钦州市住房和城乡建设委员会2010年9月21日文件）规定采用造价信息按算术平均差价进行价格调整</w:t>
      </w:r>
      <w:r>
        <w:rPr>
          <w:rFonts w:hint="eastAsia" w:ascii="宋体" w:hAnsi="宋体"/>
          <w:color w:val="auto"/>
          <w:highlight w:val="none"/>
        </w:rPr>
        <w:t>。</w:t>
      </w:r>
    </w:p>
    <w:p w14:paraId="7EA561F8">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（2）关于基准价格的约定：</w:t>
      </w:r>
      <w:r>
        <w:rPr>
          <w:rFonts w:hint="eastAsia" w:ascii="宋体" w:hAnsi="宋体"/>
          <w:color w:val="auto"/>
          <w:highlight w:val="none"/>
          <w:u w:val="single"/>
        </w:rPr>
        <w:t xml:space="preserve">1、招标发包的工程，材料基准价格为招标当期《钦州市建设工程造价信息》发布的材料信息价；招标当期《钦州市建设工程造价信息》没有发布信息价的材料，其基准价为经评审的招标控制价中的材料价格；2、直接发包的工程，主要材料按签订合同当期的《钦州市建设工程造价信息》发布的材料价格为基准价格。签订合同当期《钦州市建设工程造价信息》没有发布信息价的材料，其基准价为经评审的工程预算书中的材料价格。                              </w:t>
      </w:r>
    </w:p>
    <w:p w14:paraId="4663CACD">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合同履行期间经审核材料单价涨跌幅以基准单价为基础，超过± 5 %时，其超过± 5 %部分据实调整（具体调整办法按钦州市住房和城乡建设委员会文件《关于加强建筑材料价格风险控制的指导意见》[2010年9月21日]的规定执行）。</w:t>
      </w:r>
    </w:p>
    <w:p w14:paraId="7E59C061">
      <w:pPr>
        <w:pStyle w:val="77"/>
        <w:spacing w:line="440" w:lineRule="exact"/>
        <w:ind w:firstLine="600" w:firstLineChars="250"/>
        <w:jc w:val="left"/>
        <w:rPr>
          <w:rFonts w:ascii="宋体" w:hAnsi="宋体"/>
          <w:color w:val="auto"/>
          <w:highlight w:val="none"/>
        </w:rPr>
      </w:pPr>
      <w:r>
        <w:rPr>
          <w:rFonts w:hint="eastAsia" w:ascii="宋体" w:hAnsi="宋体"/>
          <w:color w:val="auto"/>
          <w:highlight w:val="none"/>
        </w:rPr>
        <w:t>第3种方式：其他价格调整方式：</w:t>
      </w:r>
      <w:r>
        <w:rPr>
          <w:rFonts w:hint="eastAsia" w:ascii="宋体" w:hAnsi="宋体"/>
          <w:color w:val="auto"/>
          <w:highlight w:val="none"/>
          <w:u w:val="single"/>
        </w:rPr>
        <w:t xml:space="preserve">  无  </w:t>
      </w:r>
      <w:r>
        <w:rPr>
          <w:rFonts w:hint="eastAsia" w:ascii="宋体" w:hAnsi="宋体"/>
          <w:color w:val="auto"/>
          <w:highlight w:val="none"/>
        </w:rPr>
        <w:t>。</w:t>
      </w:r>
    </w:p>
    <w:p w14:paraId="17155F12">
      <w:pPr>
        <w:pStyle w:val="91"/>
        <w:spacing w:before="120" w:after="120" w:line="440" w:lineRule="exact"/>
        <w:outlineLvl w:val="0"/>
        <w:rPr>
          <w:rFonts w:ascii="宋体" w:hAnsi="宋体"/>
          <w:color w:val="auto"/>
          <w:highlight w:val="none"/>
        </w:rPr>
      </w:pPr>
      <w:r>
        <w:rPr>
          <w:rFonts w:hint="eastAsia" w:ascii="宋体" w:hAnsi="宋体"/>
          <w:color w:val="auto"/>
          <w:highlight w:val="none"/>
        </w:rPr>
        <w:t>12.  合同价格、计量与支付</w:t>
      </w:r>
    </w:p>
    <w:p w14:paraId="5CB0E7FA">
      <w:pPr>
        <w:pStyle w:val="91"/>
        <w:spacing w:before="120" w:after="120" w:line="440" w:lineRule="exact"/>
        <w:outlineLvl w:val="0"/>
        <w:rPr>
          <w:rFonts w:ascii="宋体" w:hAnsi="宋体"/>
          <w:color w:val="auto"/>
          <w:highlight w:val="none"/>
        </w:rPr>
      </w:pPr>
      <w:r>
        <w:rPr>
          <w:rFonts w:hint="eastAsia" w:ascii="宋体" w:hAnsi="宋体"/>
          <w:color w:val="auto"/>
          <w:highlight w:val="none"/>
        </w:rPr>
        <w:t>12.1  合同价格形式</w:t>
      </w:r>
    </w:p>
    <w:p w14:paraId="56DA7219">
      <w:pPr>
        <w:pStyle w:val="77"/>
        <w:adjustRightInd w:val="0"/>
        <w:snapToGrid w:val="0"/>
        <w:spacing w:line="440" w:lineRule="exact"/>
        <w:ind w:firstLine="540" w:firstLineChars="225"/>
        <w:jc w:val="left"/>
        <w:rPr>
          <w:rFonts w:ascii="宋体" w:hAnsi="宋体"/>
          <w:color w:val="auto"/>
          <w:highlight w:val="none"/>
          <w:u w:val="single"/>
        </w:rPr>
      </w:pPr>
      <w:r>
        <w:rPr>
          <w:rFonts w:hint="eastAsia" w:ascii="宋体" w:hAnsi="宋体"/>
          <w:color w:val="auto"/>
          <w:highlight w:val="none"/>
          <w:u w:val="single"/>
        </w:rPr>
        <w:t>1、综合单价合同。</w:t>
      </w:r>
    </w:p>
    <w:p w14:paraId="32D483A7">
      <w:pPr>
        <w:spacing w:line="46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综合单价包含的风险范围：</w:t>
      </w:r>
      <w:r>
        <w:rPr>
          <w:rFonts w:hint="eastAsia" w:ascii="宋体" w:hAnsi="宋体" w:eastAsia="宋体" w:cs="宋体"/>
          <w:sz w:val="21"/>
          <w:szCs w:val="21"/>
          <w:u w:val="single"/>
        </w:rPr>
        <w:t xml:space="preserve">  除发包人原因造成的设计变更及国家、自治区政策性文件变化；不可抗拒力造成损失以外的各种风险   </w:t>
      </w:r>
      <w:r>
        <w:rPr>
          <w:rFonts w:hint="eastAsia" w:ascii="宋体" w:hAnsi="宋体" w:eastAsia="宋体" w:cs="宋体"/>
          <w:sz w:val="21"/>
          <w:szCs w:val="21"/>
        </w:rPr>
        <w:t>。</w:t>
      </w:r>
    </w:p>
    <w:p w14:paraId="602FC96C">
      <w:pPr>
        <w:spacing w:line="46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风险费用的计算方法：</w:t>
      </w:r>
      <w:r>
        <w:rPr>
          <w:rFonts w:hint="eastAsia" w:ascii="宋体" w:hAnsi="宋体" w:eastAsia="宋体" w:cs="宋体"/>
          <w:sz w:val="21"/>
          <w:szCs w:val="21"/>
          <w:u w:val="single"/>
        </w:rPr>
        <w:t xml:space="preserve">   如因发包人原因（不可抗拒力除外）合同工期外完成的分项工程量清单和措施清单乘以零的预算包干费   </w:t>
      </w:r>
      <w:r>
        <w:rPr>
          <w:rFonts w:hint="eastAsia" w:ascii="宋体" w:hAnsi="宋体" w:eastAsia="宋体" w:cs="宋体"/>
          <w:sz w:val="21"/>
          <w:szCs w:val="21"/>
        </w:rPr>
        <w:t>。</w:t>
      </w:r>
    </w:p>
    <w:p w14:paraId="38433591">
      <w:pPr>
        <w:spacing w:line="46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风险范围以外合同价格的调整方法：</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45C58B7E">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2、总价合同。</w:t>
      </w:r>
    </w:p>
    <w:p w14:paraId="46096A87">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总价包含的风险范围：</w:t>
      </w:r>
      <w:r>
        <w:rPr>
          <w:rFonts w:hint="eastAsia" w:ascii="宋体" w:hAnsi="宋体"/>
          <w:color w:val="auto"/>
          <w:highlight w:val="none"/>
          <w:u w:val="single"/>
        </w:rPr>
        <w:t xml:space="preserve">  /                                             </w:t>
      </w:r>
      <w:r>
        <w:rPr>
          <w:rFonts w:hint="eastAsia" w:ascii="宋体" w:hAnsi="宋体"/>
          <w:color w:val="auto"/>
          <w:highlight w:val="none"/>
        </w:rPr>
        <w:t>。</w:t>
      </w:r>
    </w:p>
    <w:p w14:paraId="47C65DB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风险费用的计算方法：</w:t>
      </w:r>
      <w:r>
        <w:rPr>
          <w:rFonts w:hint="eastAsia" w:ascii="宋体" w:hAnsi="宋体"/>
          <w:color w:val="auto"/>
          <w:highlight w:val="none"/>
          <w:u w:val="single"/>
        </w:rPr>
        <w:t xml:space="preserve">  /                                             </w:t>
      </w:r>
      <w:r>
        <w:rPr>
          <w:rFonts w:hint="eastAsia" w:ascii="宋体" w:hAnsi="宋体"/>
          <w:color w:val="auto"/>
          <w:highlight w:val="none"/>
        </w:rPr>
        <w:t>。</w:t>
      </w:r>
    </w:p>
    <w:p w14:paraId="6F91EE5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风险范围以外合同价格的调整方法：</w:t>
      </w:r>
      <w:r>
        <w:rPr>
          <w:rFonts w:hint="eastAsia" w:ascii="宋体" w:hAnsi="宋体"/>
          <w:color w:val="auto"/>
          <w:highlight w:val="none"/>
          <w:u w:val="single"/>
        </w:rPr>
        <w:t xml:space="preserve">   /                               </w:t>
      </w:r>
      <w:r>
        <w:rPr>
          <w:rFonts w:hint="eastAsia" w:ascii="宋体" w:hAnsi="宋体"/>
          <w:color w:val="auto"/>
          <w:highlight w:val="none"/>
        </w:rPr>
        <w:t xml:space="preserve"> 。</w:t>
      </w:r>
    </w:p>
    <w:p w14:paraId="0E768FB7">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3、其他价格方式：</w:t>
      </w:r>
      <w:r>
        <w:rPr>
          <w:rFonts w:hint="eastAsia" w:ascii="宋体" w:hAnsi="宋体"/>
          <w:color w:val="auto"/>
          <w:highlight w:val="none"/>
          <w:u w:val="single"/>
        </w:rPr>
        <w:t xml:space="preserve">    /                                              </w:t>
      </w:r>
      <w:r>
        <w:rPr>
          <w:rFonts w:hint="eastAsia" w:ascii="宋体" w:hAnsi="宋体"/>
          <w:color w:val="auto"/>
          <w:highlight w:val="none"/>
        </w:rPr>
        <w:t>。</w:t>
      </w:r>
    </w:p>
    <w:p w14:paraId="630200B6">
      <w:pPr>
        <w:pStyle w:val="91"/>
        <w:spacing w:before="120" w:after="120" w:line="440" w:lineRule="exact"/>
        <w:outlineLvl w:val="0"/>
        <w:rPr>
          <w:rFonts w:ascii="宋体" w:hAnsi="宋体"/>
          <w:color w:val="auto"/>
          <w:highlight w:val="none"/>
        </w:rPr>
      </w:pPr>
      <w:r>
        <w:rPr>
          <w:rFonts w:hint="eastAsia" w:ascii="宋体" w:hAnsi="宋体"/>
          <w:color w:val="auto"/>
          <w:highlight w:val="none"/>
        </w:rPr>
        <w:t>12.2 预付款</w:t>
      </w:r>
    </w:p>
    <w:p w14:paraId="749EF23F">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12.2.1 预付款的支付</w:t>
      </w:r>
    </w:p>
    <w:p w14:paraId="6E995CCD">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预付款支付比例或金额：</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63DD143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预付款支付期限：</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2B1DD290">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预付款扣回的方式：</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76A85BA1">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12.2.2 预付款担保</w:t>
      </w:r>
    </w:p>
    <w:p w14:paraId="20C0DE63">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承包人提交预付款担保的期限：</w:t>
      </w:r>
      <w:r>
        <w:rPr>
          <w:rFonts w:hint="eastAsia" w:ascii="宋体" w:hAnsi="宋体"/>
          <w:color w:val="auto"/>
          <w:highlight w:val="none"/>
          <w:u w:val="single"/>
        </w:rPr>
        <w:t xml:space="preserve">无   </w:t>
      </w:r>
      <w:r>
        <w:rPr>
          <w:rFonts w:hint="eastAsia" w:ascii="宋体" w:hAnsi="宋体"/>
          <w:color w:val="auto"/>
          <w:highlight w:val="none"/>
        </w:rPr>
        <w:t>。</w:t>
      </w:r>
    </w:p>
    <w:p w14:paraId="3ED46F94">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预付款担保的形式为：</w:t>
      </w:r>
      <w:r>
        <w:rPr>
          <w:rFonts w:hint="eastAsia" w:ascii="宋体" w:hAnsi="宋体"/>
          <w:color w:val="auto"/>
          <w:highlight w:val="none"/>
          <w:u w:val="single"/>
        </w:rPr>
        <w:t>无</w:t>
      </w:r>
      <w:r>
        <w:rPr>
          <w:rFonts w:hint="eastAsia" w:ascii="宋体" w:hAnsi="宋体"/>
          <w:color w:val="auto"/>
          <w:highlight w:val="none"/>
        </w:rPr>
        <w:t>。</w:t>
      </w:r>
    </w:p>
    <w:p w14:paraId="5E6376DC">
      <w:pPr>
        <w:pStyle w:val="91"/>
        <w:spacing w:before="120" w:after="120" w:line="440" w:lineRule="exact"/>
        <w:outlineLvl w:val="0"/>
        <w:rPr>
          <w:rFonts w:ascii="宋体" w:hAnsi="宋体"/>
          <w:color w:val="auto"/>
          <w:highlight w:val="none"/>
        </w:rPr>
      </w:pPr>
      <w:r>
        <w:rPr>
          <w:rFonts w:hint="eastAsia" w:ascii="宋体" w:hAnsi="宋体"/>
          <w:color w:val="auto"/>
          <w:highlight w:val="none"/>
        </w:rPr>
        <w:t>12.3 计量</w:t>
      </w:r>
    </w:p>
    <w:p w14:paraId="5AFE3260">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12.3.1 计量原则</w:t>
      </w:r>
    </w:p>
    <w:p w14:paraId="0835CAB0">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工程量计算规则：按《&lt;建设工程工程量清单计价规范&gt;（GB50500-20013）广西壮族自治区实施细则》、《&lt;建设工程工程量计算规&gt;GB50854～50862-20013）广西壮族自治区实施细则》（修订本）及《关于建筑业实施营业税改征增值税后广西壮族自治区建设工程计价依据调整的通知》。</w:t>
      </w:r>
    </w:p>
    <w:p w14:paraId="11A85002">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12.3.2 计量周期</w:t>
      </w:r>
    </w:p>
    <w:p w14:paraId="283BCCDF">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关于计量周期的约定：</w:t>
      </w:r>
      <w:r>
        <w:rPr>
          <w:rFonts w:hint="eastAsia" w:ascii="宋体" w:hAnsi="宋体"/>
          <w:color w:val="auto"/>
          <w:highlight w:val="none"/>
          <w:u w:val="single"/>
        </w:rPr>
        <w:t xml:space="preserve">  </w:t>
      </w:r>
      <w:r>
        <w:rPr>
          <w:rFonts w:hint="eastAsia" w:ascii="宋体" w:hAnsi="宋体"/>
          <w:color w:val="auto"/>
          <w:highlight w:val="none"/>
          <w:u w:val="single"/>
          <w:lang w:eastAsia="zh-CN"/>
        </w:rPr>
        <w:t>按工程进度</w:t>
      </w:r>
      <w:r>
        <w:rPr>
          <w:rFonts w:hint="eastAsia" w:ascii="宋体" w:hAnsi="宋体"/>
          <w:color w:val="auto"/>
          <w:highlight w:val="none"/>
          <w:u w:val="single"/>
        </w:rPr>
        <w:t xml:space="preserve">计量  </w:t>
      </w:r>
      <w:r>
        <w:rPr>
          <w:rFonts w:hint="eastAsia" w:ascii="宋体" w:hAnsi="宋体"/>
          <w:color w:val="auto"/>
          <w:highlight w:val="none"/>
        </w:rPr>
        <w:t>。</w:t>
      </w:r>
    </w:p>
    <w:p w14:paraId="40DE003F">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12.3.3 单价合同的计量</w:t>
      </w:r>
    </w:p>
    <w:p w14:paraId="368ADCD0">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 xml:space="preserve">关于单价合同计量的约定：按《通用合同条款》执行。 </w:t>
      </w:r>
    </w:p>
    <w:p w14:paraId="31CB16CB">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12.3.4 总价合同的计量</w:t>
      </w:r>
    </w:p>
    <w:p w14:paraId="23A6A5F2">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关于总价合同计量的约定：</w:t>
      </w:r>
      <w:r>
        <w:rPr>
          <w:rFonts w:hint="eastAsia" w:ascii="宋体" w:hAnsi="宋体"/>
          <w:color w:val="auto"/>
          <w:highlight w:val="none"/>
          <w:u w:val="single"/>
        </w:rPr>
        <w:t xml:space="preserve">  /                          </w:t>
      </w:r>
      <w:r>
        <w:rPr>
          <w:rFonts w:hint="eastAsia" w:ascii="宋体" w:hAnsi="宋体"/>
          <w:color w:val="auto"/>
          <w:highlight w:val="none"/>
        </w:rPr>
        <w:t>。</w:t>
      </w:r>
    </w:p>
    <w:p w14:paraId="014B99D2">
      <w:pPr>
        <w:pStyle w:val="77"/>
        <w:spacing w:line="440" w:lineRule="exact"/>
        <w:jc w:val="left"/>
        <w:rPr>
          <w:rFonts w:ascii="宋体" w:hAnsi="宋体"/>
          <w:color w:val="auto"/>
          <w:highlight w:val="none"/>
        </w:rPr>
      </w:pPr>
      <w:r>
        <w:rPr>
          <w:rFonts w:hint="eastAsia" w:ascii="宋体" w:hAnsi="宋体"/>
          <w:color w:val="auto"/>
          <w:highlight w:val="none"/>
        </w:rPr>
        <w:t>12.3.5总价合同采用支付分解表计量支付的，是否适用第</w:t>
      </w:r>
      <w:r>
        <w:rPr>
          <w:rFonts w:hint="eastAsia" w:ascii="宋体" w:hAnsi="宋体"/>
          <w:color w:val="auto"/>
          <w:kern w:val="0"/>
          <w:highlight w:val="none"/>
        </w:rPr>
        <w:t xml:space="preserve">12.3.4 </w:t>
      </w:r>
      <w:r>
        <w:rPr>
          <w:rFonts w:hint="eastAsia" w:ascii="宋体" w:hAnsi="宋体"/>
          <w:color w:val="auto"/>
          <w:highlight w:val="none"/>
        </w:rPr>
        <w:t>项</w:t>
      </w:r>
      <w:r>
        <w:rPr>
          <w:rFonts w:hint="eastAsia" w:ascii="宋体" w:hAnsi="宋体"/>
          <w:color w:val="auto"/>
          <w:kern w:val="0"/>
          <w:highlight w:val="none"/>
        </w:rPr>
        <w:t>〔总价合同的计量〕</w:t>
      </w:r>
      <w:r>
        <w:rPr>
          <w:rFonts w:hint="eastAsia" w:ascii="宋体" w:hAnsi="宋体"/>
          <w:color w:val="auto"/>
          <w:highlight w:val="none"/>
        </w:rPr>
        <w:t>约定进行计量：</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w:t>
      </w:r>
    </w:p>
    <w:p w14:paraId="776ECFD1">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12.3.6 其他价格形式合同的计量</w:t>
      </w:r>
    </w:p>
    <w:p w14:paraId="342B3F90">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其他价格形式的计量方式和程序：</w:t>
      </w:r>
      <w:r>
        <w:rPr>
          <w:rFonts w:hint="eastAsia" w:ascii="宋体" w:hAnsi="宋体"/>
          <w:color w:val="auto"/>
          <w:highlight w:val="none"/>
          <w:u w:val="single"/>
        </w:rPr>
        <w:t xml:space="preserve">    /          </w:t>
      </w:r>
      <w:r>
        <w:rPr>
          <w:rFonts w:hint="eastAsia" w:ascii="宋体" w:hAnsi="宋体"/>
          <w:color w:val="auto"/>
          <w:highlight w:val="none"/>
        </w:rPr>
        <w:t>。</w:t>
      </w:r>
    </w:p>
    <w:p w14:paraId="39F39948">
      <w:pPr>
        <w:pStyle w:val="91"/>
        <w:spacing w:before="120" w:after="120" w:line="440" w:lineRule="exact"/>
        <w:outlineLvl w:val="0"/>
        <w:rPr>
          <w:rFonts w:ascii="宋体" w:hAnsi="宋体"/>
          <w:color w:val="auto"/>
          <w:highlight w:val="none"/>
        </w:rPr>
      </w:pPr>
      <w:r>
        <w:rPr>
          <w:rFonts w:hint="eastAsia" w:ascii="宋体" w:hAnsi="宋体"/>
          <w:color w:val="auto"/>
          <w:highlight w:val="none"/>
        </w:rPr>
        <w:t>12.4 工程进度款支付</w:t>
      </w:r>
    </w:p>
    <w:p w14:paraId="41BC77E7">
      <w:pPr>
        <w:pStyle w:val="77"/>
        <w:spacing w:line="440" w:lineRule="exact"/>
        <w:jc w:val="left"/>
        <w:outlineLvl w:val="0"/>
      </w:pPr>
      <w:r>
        <w:rPr>
          <w:rFonts w:hint="eastAsia" w:ascii="宋体" w:hAnsi="宋体"/>
          <w:b/>
          <w:bCs/>
          <w:color w:val="auto"/>
          <w:highlight w:val="none"/>
        </w:rPr>
        <w:t>12.4.1 付款周期</w:t>
      </w:r>
    </w:p>
    <w:p w14:paraId="44D09EB0">
      <w:pPr>
        <w:pStyle w:val="77"/>
        <w:spacing w:line="440" w:lineRule="exact"/>
        <w:jc w:val="left"/>
        <w:outlineLvl w:val="0"/>
        <w:rPr>
          <w:rFonts w:ascii="宋体" w:hAnsi="宋体"/>
          <w:color w:val="auto"/>
          <w:sz w:val="21"/>
          <w:szCs w:val="21"/>
          <w:highlight w:val="none"/>
          <w:u w:val="single"/>
        </w:rPr>
      </w:pPr>
      <w:r>
        <w:rPr>
          <w:rFonts w:hint="eastAsia" w:ascii="宋体" w:hAnsi="宋体"/>
          <w:b/>
          <w:bCs/>
          <w:color w:val="auto"/>
          <w:highlight w:val="none"/>
        </w:rPr>
        <w:t>12.4.2 进度付款申请单的编制</w:t>
      </w:r>
      <w:r>
        <w:rPr>
          <w:rFonts w:hint="eastAsia" w:ascii="宋体" w:hAnsi="宋体"/>
          <w:color w:val="auto"/>
          <w:highlight w:val="none"/>
          <w:u w:val="single"/>
        </w:rPr>
        <w:t>：</w:t>
      </w:r>
      <w:r>
        <w:rPr>
          <w:rFonts w:hint="eastAsia" w:ascii="宋体" w:hAnsi="宋体" w:cs="宋体"/>
          <w:sz w:val="24"/>
          <w:szCs w:val="24"/>
          <w:u w:val="single"/>
        </w:rPr>
        <w:t xml:space="preserve">按实际完成工程量进度及合同条款    </w:t>
      </w:r>
      <w:r>
        <w:rPr>
          <w:rFonts w:hint="eastAsia" w:ascii="宋体" w:hAnsi="宋体" w:cs="宋体"/>
          <w:sz w:val="24"/>
          <w:szCs w:val="24"/>
        </w:rPr>
        <w:t>。</w:t>
      </w:r>
    </w:p>
    <w:p w14:paraId="56BE2059">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12.4.3 进度付款申请单的提交</w:t>
      </w:r>
    </w:p>
    <w:p w14:paraId="29674E75">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（1）单价合同进度付款申请单提交的约定：</w:t>
      </w:r>
      <w:r>
        <w:rPr>
          <w:rFonts w:hint="eastAsia" w:ascii="宋体" w:hAnsi="宋体"/>
          <w:color w:val="auto"/>
          <w:kern w:val="0"/>
          <w:highlight w:val="none"/>
          <w:u w:val="single"/>
        </w:rPr>
        <w:t>按《通用合同条款》执行</w:t>
      </w:r>
      <w:r>
        <w:rPr>
          <w:rFonts w:hint="eastAsia" w:ascii="宋体" w:hAnsi="宋体"/>
          <w:color w:val="auto"/>
          <w:highlight w:val="none"/>
        </w:rPr>
        <w:t>。</w:t>
      </w:r>
    </w:p>
    <w:p w14:paraId="754BC259">
      <w:pPr>
        <w:pStyle w:val="77"/>
        <w:spacing w:line="440" w:lineRule="exact"/>
        <w:ind w:left="479" w:leftChars="228"/>
        <w:jc w:val="left"/>
        <w:rPr>
          <w:rFonts w:ascii="宋体" w:hAnsi="宋体"/>
          <w:color w:val="auto"/>
          <w:highlight w:val="none"/>
        </w:rPr>
      </w:pPr>
      <w:r>
        <w:rPr>
          <w:rFonts w:hint="eastAsia" w:ascii="宋体" w:hAnsi="宋体"/>
          <w:color w:val="auto"/>
          <w:highlight w:val="none"/>
        </w:rPr>
        <w:t>（2）总价合同进度付款申请单提交的约定：</w:t>
      </w:r>
      <w:r>
        <w:rPr>
          <w:rFonts w:hint="eastAsia" w:ascii="宋体" w:hAnsi="宋体"/>
          <w:color w:val="auto"/>
          <w:highlight w:val="none"/>
          <w:u w:val="single"/>
        </w:rPr>
        <w:t xml:space="preserve">   /                         </w:t>
      </w:r>
      <w:r>
        <w:rPr>
          <w:rFonts w:hint="eastAsia" w:ascii="宋体" w:hAnsi="宋体"/>
          <w:color w:val="auto"/>
          <w:highlight w:val="none"/>
        </w:rPr>
        <w:t>。</w:t>
      </w:r>
    </w:p>
    <w:p w14:paraId="000EA29C">
      <w:pPr>
        <w:pStyle w:val="77"/>
        <w:spacing w:line="440" w:lineRule="exact"/>
        <w:ind w:left="479" w:leftChars="228"/>
        <w:jc w:val="left"/>
        <w:rPr>
          <w:rFonts w:ascii="宋体" w:hAnsi="宋体"/>
          <w:color w:val="auto"/>
          <w:highlight w:val="none"/>
        </w:rPr>
      </w:pPr>
      <w:r>
        <w:rPr>
          <w:rFonts w:hint="eastAsia" w:ascii="宋体" w:hAnsi="宋体"/>
          <w:color w:val="auto"/>
          <w:highlight w:val="none"/>
        </w:rPr>
        <w:t>（3）其他价格形式合同进度付款申请单提交的约定：</w:t>
      </w:r>
      <w:r>
        <w:rPr>
          <w:rFonts w:hint="eastAsia" w:ascii="宋体" w:hAnsi="宋体"/>
          <w:color w:val="auto"/>
          <w:highlight w:val="none"/>
          <w:u w:val="single"/>
        </w:rPr>
        <w:t xml:space="preserve">   /                </w:t>
      </w:r>
      <w:r>
        <w:rPr>
          <w:rFonts w:hint="eastAsia" w:ascii="宋体" w:hAnsi="宋体"/>
          <w:color w:val="auto"/>
          <w:highlight w:val="none"/>
        </w:rPr>
        <w:t>。</w:t>
      </w:r>
    </w:p>
    <w:p w14:paraId="50C52398">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12.4.4 进度款审核和支付</w:t>
      </w:r>
    </w:p>
    <w:p w14:paraId="1F4457E7">
      <w:pPr>
        <w:keepNext w:val="0"/>
        <w:keepLines w:val="0"/>
        <w:pageBreakBefore w:val="0"/>
        <w:widowControl w:val="0"/>
        <w:shd w:val="clear" w:color="auto" w:fill="auto"/>
        <w:kinsoku/>
        <w:wordWrap/>
        <w:overflowPunct/>
        <w:topLinePunct w:val="0"/>
        <w:autoSpaceDE/>
        <w:autoSpaceDN/>
        <w:bidi w:val="0"/>
        <w:adjustRightInd/>
        <w:snapToGrid/>
        <w:spacing w:line="336" w:lineRule="auto"/>
        <w:ind w:firstLine="480" w:firstLineChars="200"/>
        <w:jc w:val="both"/>
        <w:textAlignment w:val="auto"/>
        <w:rPr>
          <w:rFonts w:hint="eastAsia" w:ascii="宋体" w:hAnsi="宋体" w:eastAsia="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项目实质性开工</w:t>
      </w:r>
      <w:r>
        <w:rPr>
          <w:rFonts w:hint="eastAsia" w:ascii="宋体" w:hAnsi="宋体" w:eastAsia="宋体" w:cs="宋体"/>
          <w:b w:val="0"/>
          <w:bCs w:val="0"/>
          <w:color w:val="auto"/>
          <w:sz w:val="24"/>
          <w:szCs w:val="24"/>
          <w:highlight w:val="none"/>
          <w:lang w:val="en-US" w:eastAsia="zh-CN"/>
        </w:rPr>
        <w:t>7天</w:t>
      </w:r>
      <w:r>
        <w:rPr>
          <w:rFonts w:hint="eastAsia" w:ascii="宋体" w:hAnsi="宋体" w:eastAsia="宋体" w:cs="宋体"/>
          <w:b w:val="0"/>
          <w:bCs w:val="0"/>
          <w:color w:val="auto"/>
          <w:sz w:val="24"/>
          <w:szCs w:val="24"/>
          <w:highlight w:val="none"/>
          <w:lang w:eastAsia="zh-CN"/>
        </w:rPr>
        <w:t>后，可以向财政</w:t>
      </w:r>
      <w:r>
        <w:rPr>
          <w:rFonts w:hint="eastAsia" w:ascii="宋体" w:hAnsi="宋体" w:eastAsia="宋体" w:cs="宋体"/>
          <w:b w:val="0"/>
          <w:bCs w:val="0"/>
          <w:color w:val="auto"/>
          <w:sz w:val="24"/>
          <w:szCs w:val="24"/>
          <w:highlight w:val="none"/>
          <w:lang w:val="en-US" w:eastAsia="zh-CN"/>
        </w:rPr>
        <w:t>部门</w:t>
      </w:r>
      <w:r>
        <w:rPr>
          <w:rFonts w:hint="eastAsia" w:ascii="宋体" w:hAnsi="宋体" w:eastAsia="宋体" w:cs="宋体"/>
          <w:b w:val="0"/>
          <w:bCs w:val="0"/>
          <w:color w:val="auto"/>
          <w:sz w:val="24"/>
          <w:szCs w:val="24"/>
          <w:highlight w:val="none"/>
          <w:lang w:eastAsia="zh-CN"/>
        </w:rPr>
        <w:t>申请不高于合同价</w:t>
      </w:r>
      <w:r>
        <w:rPr>
          <w:rFonts w:hint="eastAsia" w:ascii="宋体" w:hAnsi="宋体" w:eastAsia="宋体" w:cs="宋体"/>
          <w:b w:val="0"/>
          <w:bCs w:val="0"/>
          <w:color w:val="auto"/>
          <w:sz w:val="24"/>
          <w:szCs w:val="24"/>
          <w:highlight w:val="none"/>
          <w:lang w:val="en-US" w:eastAsia="zh-CN"/>
        </w:rPr>
        <w:t>30%项目</w:t>
      </w:r>
      <w:r>
        <w:rPr>
          <w:rFonts w:hint="eastAsia" w:ascii="宋体" w:hAnsi="宋体" w:eastAsia="宋体" w:cs="宋体"/>
          <w:b w:val="0"/>
          <w:bCs w:val="0"/>
          <w:color w:val="auto"/>
          <w:sz w:val="24"/>
          <w:szCs w:val="24"/>
          <w:highlight w:val="none"/>
          <w:lang w:eastAsia="zh-CN"/>
        </w:rPr>
        <w:t>预付款，预付款应当用于材料、工程设备、施工设备的采购及修建临时工程、组织施工队伍进场等。预付款在第一次进度付款中扣回。</w:t>
      </w:r>
    </w:p>
    <w:p w14:paraId="191A4C2D">
      <w:pPr>
        <w:keepNext w:val="0"/>
        <w:keepLines w:val="0"/>
        <w:pageBreakBefore w:val="0"/>
        <w:widowControl w:val="0"/>
        <w:shd w:val="clear" w:color="auto" w:fill="auto"/>
        <w:kinsoku/>
        <w:wordWrap/>
        <w:overflowPunct/>
        <w:topLinePunct w:val="0"/>
        <w:autoSpaceDE/>
        <w:autoSpaceDN/>
        <w:bidi w:val="0"/>
        <w:adjustRightInd/>
        <w:snapToGrid/>
        <w:spacing w:line="336" w:lineRule="auto"/>
        <w:ind w:firstLine="480" w:firstLineChars="200"/>
        <w:jc w:val="both"/>
        <w:textAlignment w:val="auto"/>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eastAsia="zh-CN"/>
        </w:rPr>
        <w:t>按实际完成合同价内包含的工程量的90%支付工程进度款(因设计变更和工程签证增加的工程量按实际增加工程量计算)，在竣工验收结算审计前，支付工程款总额不得超过合同金额的90%，待工程审计结束后支付至审计结算金额100%。</w:t>
      </w:r>
    </w:p>
    <w:p w14:paraId="4F47BFD4">
      <w:pPr>
        <w:pStyle w:val="77"/>
        <w:spacing w:line="440" w:lineRule="exact"/>
        <w:jc w:val="left"/>
        <w:outlineLvl w:val="0"/>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双方约定该项目工人工资占工程款的比例是</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0%。</w:t>
      </w:r>
    </w:p>
    <w:p w14:paraId="6DEB3784">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12.4.5 工程进度付款的修正</w:t>
      </w:r>
    </w:p>
    <w:p w14:paraId="527E85A6">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 xml:space="preserve">在对已签发的进度款支付证书进行阶段汇总和复核中发现错误、遗漏或重复的，发包人和承包人均有权提出修正申请，且发包人有权以审计单位对工程审计结果修正已签发的进度付款证书。经发包人和承包人同意的修正，应在下一期进度支付证书中支付或扣除。   </w:t>
      </w:r>
    </w:p>
    <w:p w14:paraId="686F473B">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12.4.6 支付分解表的编制</w:t>
      </w:r>
    </w:p>
    <w:p w14:paraId="4619F8C8">
      <w:pPr>
        <w:pStyle w:val="77"/>
        <w:spacing w:line="440" w:lineRule="exact"/>
        <w:ind w:left="4799" w:leftChars="228" w:hanging="4320" w:hangingChars="1800"/>
        <w:jc w:val="left"/>
        <w:rPr>
          <w:rFonts w:ascii="宋体" w:hAnsi="宋体"/>
          <w:color w:val="auto"/>
          <w:highlight w:val="none"/>
        </w:rPr>
      </w:pPr>
      <w:r>
        <w:rPr>
          <w:rFonts w:hint="eastAsia" w:ascii="宋体" w:hAnsi="宋体"/>
          <w:color w:val="auto"/>
          <w:highlight w:val="none"/>
        </w:rPr>
        <w:t>2、总价合同支付分解表的编制与审批</w:t>
      </w:r>
      <w:r>
        <w:rPr>
          <w:rFonts w:hint="eastAsia" w:ascii="宋体" w:hAnsi="宋体"/>
          <w:color w:val="auto"/>
          <w:highlight w:val="none"/>
          <w:u w:val="single"/>
        </w:rPr>
        <w:t>：按《通用合同条款》 执行。</w:t>
      </w:r>
    </w:p>
    <w:p w14:paraId="3D02ADA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3、单价合同的总价项目支付分解表的编制与审批：</w:t>
      </w:r>
      <w:r>
        <w:rPr>
          <w:rFonts w:hint="eastAsia" w:ascii="宋体" w:hAnsi="宋体"/>
          <w:color w:val="auto"/>
          <w:highlight w:val="none"/>
          <w:u w:val="single"/>
        </w:rPr>
        <w:t>按《通用合同条款》 执行</w:t>
      </w:r>
      <w:r>
        <w:rPr>
          <w:rFonts w:hint="eastAsia" w:ascii="宋体" w:hAnsi="宋体"/>
          <w:color w:val="auto"/>
          <w:highlight w:val="none"/>
        </w:rPr>
        <w:t>。</w:t>
      </w:r>
    </w:p>
    <w:p w14:paraId="7964C629">
      <w:pPr>
        <w:pStyle w:val="91"/>
        <w:spacing w:before="120" w:after="120" w:line="440" w:lineRule="exact"/>
        <w:outlineLvl w:val="0"/>
        <w:rPr>
          <w:rFonts w:ascii="宋体" w:hAnsi="宋体"/>
          <w:color w:val="auto"/>
          <w:highlight w:val="none"/>
        </w:rPr>
      </w:pPr>
      <w:r>
        <w:rPr>
          <w:rFonts w:hint="eastAsia" w:ascii="宋体" w:hAnsi="宋体"/>
          <w:color w:val="auto"/>
          <w:highlight w:val="none"/>
        </w:rPr>
        <w:t>13. 验收和工程试车</w:t>
      </w:r>
    </w:p>
    <w:p w14:paraId="12265120">
      <w:pPr>
        <w:pStyle w:val="91"/>
        <w:spacing w:before="120" w:after="120" w:line="440" w:lineRule="exact"/>
        <w:outlineLvl w:val="0"/>
        <w:rPr>
          <w:rFonts w:ascii="宋体" w:hAnsi="宋体"/>
          <w:color w:val="auto"/>
          <w:highlight w:val="none"/>
        </w:rPr>
      </w:pPr>
      <w:r>
        <w:rPr>
          <w:rFonts w:hint="eastAsia" w:ascii="宋体" w:hAnsi="宋体"/>
          <w:color w:val="auto"/>
          <w:highlight w:val="none"/>
        </w:rPr>
        <w:t>13.1 分部分项工程验收</w:t>
      </w:r>
    </w:p>
    <w:p w14:paraId="6A936E3A">
      <w:pPr>
        <w:pStyle w:val="77"/>
        <w:spacing w:line="440" w:lineRule="exact"/>
        <w:jc w:val="left"/>
        <w:rPr>
          <w:rFonts w:ascii="宋体" w:hAnsi="宋体"/>
          <w:color w:val="auto"/>
          <w:highlight w:val="none"/>
        </w:rPr>
      </w:pPr>
      <w:r>
        <w:rPr>
          <w:rFonts w:hint="eastAsia" w:ascii="宋体" w:hAnsi="宋体"/>
          <w:color w:val="auto"/>
          <w:highlight w:val="none"/>
        </w:rPr>
        <w:t>13.1.2监理人不能按时进行验收时，应提前</w:t>
      </w:r>
      <w:r>
        <w:rPr>
          <w:rFonts w:hint="eastAsia" w:ascii="宋体" w:hAnsi="宋体"/>
          <w:color w:val="auto"/>
          <w:highlight w:val="none"/>
          <w:u w:val="single"/>
        </w:rPr>
        <w:t xml:space="preserve">  24  </w:t>
      </w:r>
      <w:r>
        <w:rPr>
          <w:rFonts w:hint="eastAsia" w:ascii="宋体" w:hAnsi="宋体"/>
          <w:color w:val="auto"/>
          <w:highlight w:val="none"/>
        </w:rPr>
        <w:t>小时提交书面延期要求。</w:t>
      </w:r>
    </w:p>
    <w:p w14:paraId="3EF2E8F7">
      <w:pPr>
        <w:pStyle w:val="77"/>
        <w:spacing w:line="440" w:lineRule="exact"/>
        <w:ind w:firstLine="480" w:firstLineChars="200"/>
        <w:jc w:val="left"/>
        <w:rPr>
          <w:rFonts w:ascii="宋体" w:hAnsi="宋体"/>
          <w:b/>
          <w:bCs/>
          <w:color w:val="auto"/>
          <w:highlight w:val="none"/>
        </w:rPr>
      </w:pPr>
      <w:r>
        <w:rPr>
          <w:rFonts w:hint="eastAsia" w:ascii="宋体" w:hAnsi="宋体"/>
          <w:color w:val="auto"/>
          <w:highlight w:val="none"/>
        </w:rPr>
        <w:t>关于延期最长不得超过：</w:t>
      </w:r>
      <w:r>
        <w:rPr>
          <w:rFonts w:hint="eastAsia" w:ascii="宋体" w:hAnsi="宋体"/>
          <w:color w:val="auto"/>
          <w:highlight w:val="none"/>
          <w:u w:val="single"/>
        </w:rPr>
        <w:t xml:space="preserve">48  </w:t>
      </w:r>
      <w:r>
        <w:rPr>
          <w:rFonts w:hint="eastAsia" w:ascii="宋体" w:hAnsi="宋体"/>
          <w:color w:val="auto"/>
          <w:highlight w:val="none"/>
        </w:rPr>
        <w:t>小时。</w:t>
      </w:r>
    </w:p>
    <w:p w14:paraId="38A016C7">
      <w:pPr>
        <w:pStyle w:val="91"/>
        <w:spacing w:before="120" w:after="120" w:line="440" w:lineRule="exact"/>
        <w:outlineLvl w:val="0"/>
        <w:rPr>
          <w:rFonts w:ascii="宋体" w:hAnsi="宋体"/>
          <w:color w:val="auto"/>
          <w:highlight w:val="none"/>
        </w:rPr>
      </w:pPr>
      <w:r>
        <w:rPr>
          <w:rFonts w:hint="eastAsia" w:ascii="宋体" w:hAnsi="宋体"/>
          <w:color w:val="auto"/>
          <w:highlight w:val="none"/>
        </w:rPr>
        <w:t>13.2 竣工验收</w:t>
      </w:r>
    </w:p>
    <w:p w14:paraId="7142ED9F">
      <w:pPr>
        <w:pStyle w:val="77"/>
        <w:spacing w:line="440" w:lineRule="exact"/>
        <w:jc w:val="left"/>
        <w:rPr>
          <w:rFonts w:ascii="宋体" w:hAnsi="宋体"/>
          <w:b/>
          <w:bCs/>
          <w:color w:val="auto"/>
          <w:highlight w:val="none"/>
        </w:rPr>
      </w:pPr>
      <w:r>
        <w:rPr>
          <w:rFonts w:hint="eastAsia" w:ascii="宋体" w:hAnsi="宋体"/>
          <w:b/>
          <w:bCs/>
          <w:color w:val="auto"/>
          <w:highlight w:val="none"/>
        </w:rPr>
        <w:t>13.2.2竣工验收程序</w:t>
      </w:r>
    </w:p>
    <w:p w14:paraId="209C4DB7">
      <w:pPr>
        <w:pStyle w:val="77"/>
        <w:spacing w:line="440" w:lineRule="exact"/>
        <w:ind w:firstLine="420"/>
        <w:rPr>
          <w:rFonts w:ascii="宋体" w:hAnsi="宋体"/>
          <w:color w:val="auto"/>
          <w:highlight w:val="none"/>
          <w:u w:val="single"/>
        </w:rPr>
      </w:pPr>
      <w:r>
        <w:rPr>
          <w:rFonts w:hint="eastAsia" w:ascii="宋体" w:hAnsi="宋体"/>
          <w:color w:val="auto"/>
          <w:kern w:val="0"/>
          <w:highlight w:val="none"/>
        </w:rPr>
        <w:t>关于竣工验收程序的约定：</w:t>
      </w:r>
      <w:r>
        <w:rPr>
          <w:rFonts w:hint="eastAsia" w:ascii="宋体" w:hAnsi="宋体"/>
          <w:color w:val="auto"/>
          <w:kern w:val="0"/>
          <w:highlight w:val="none"/>
          <w:u w:val="single"/>
        </w:rPr>
        <w:t>按《通用合同条款》执行</w:t>
      </w:r>
      <w:r>
        <w:rPr>
          <w:rFonts w:hint="eastAsia" w:ascii="宋体" w:hAnsi="宋体"/>
          <w:color w:val="auto"/>
          <w:highlight w:val="none"/>
          <w:u w:val="single"/>
        </w:rPr>
        <w:t xml:space="preserve">； </w:t>
      </w:r>
    </w:p>
    <w:p w14:paraId="6FB23B05">
      <w:pPr>
        <w:pStyle w:val="77"/>
        <w:spacing w:line="440" w:lineRule="exact"/>
        <w:ind w:firstLine="480" w:firstLineChars="200"/>
        <w:jc w:val="left"/>
        <w:rPr>
          <w:rFonts w:ascii="宋体" w:hAnsi="宋体"/>
          <w:b/>
          <w:bCs/>
          <w:color w:val="auto"/>
          <w:highlight w:val="none"/>
        </w:rPr>
      </w:pPr>
      <w:r>
        <w:rPr>
          <w:rFonts w:hint="eastAsia" w:ascii="宋体" w:hAnsi="宋体"/>
          <w:color w:val="auto"/>
          <w:kern w:val="0"/>
          <w:highlight w:val="none"/>
        </w:rPr>
        <w:t>发包人不按照本项约定组织竣工验收、颁发工程接收证书的违约金的计算方法：</w:t>
      </w:r>
      <w:r>
        <w:rPr>
          <w:rFonts w:hint="eastAsia" w:ascii="宋体" w:hAnsi="宋体"/>
          <w:color w:val="auto"/>
          <w:highlight w:val="none"/>
          <w:u w:val="single"/>
        </w:rPr>
        <w:t xml:space="preserve">  无 。</w:t>
      </w:r>
      <w:r>
        <w:rPr>
          <w:rFonts w:hint="eastAsia" w:ascii="宋体" w:hAnsi="宋体"/>
          <w:b/>
          <w:bCs/>
          <w:color w:val="auto"/>
          <w:highlight w:val="none"/>
          <w:u w:val="single"/>
        </w:rPr>
        <w:t xml:space="preserve"> </w:t>
      </w:r>
    </w:p>
    <w:p w14:paraId="247D8D7D">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13.2.3 竣工日期</w:t>
      </w:r>
    </w:p>
    <w:p w14:paraId="3E66803B">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工程竣工验收合格之日为工程竣工日期。</w:t>
      </w:r>
    </w:p>
    <w:p w14:paraId="6414DE4C">
      <w:pPr>
        <w:pStyle w:val="77"/>
        <w:spacing w:line="440" w:lineRule="exact"/>
        <w:jc w:val="left"/>
        <w:rPr>
          <w:rFonts w:ascii="宋体" w:hAnsi="宋体"/>
          <w:b/>
          <w:bCs/>
          <w:color w:val="auto"/>
          <w:highlight w:val="none"/>
        </w:rPr>
      </w:pPr>
      <w:r>
        <w:rPr>
          <w:rFonts w:hint="eastAsia" w:ascii="宋体" w:hAnsi="宋体"/>
          <w:b/>
          <w:bCs/>
          <w:color w:val="auto"/>
          <w:highlight w:val="none"/>
        </w:rPr>
        <w:t>13.2.5移交、接收全部与部分工程</w:t>
      </w:r>
    </w:p>
    <w:p w14:paraId="149EF1F3">
      <w:pPr>
        <w:pStyle w:val="77"/>
        <w:spacing w:line="440" w:lineRule="exact"/>
        <w:ind w:firstLine="480" w:firstLineChars="200"/>
        <w:jc w:val="left"/>
        <w:rPr>
          <w:rFonts w:ascii="宋体" w:hAnsi="宋体"/>
          <w:color w:val="auto"/>
          <w:kern w:val="0"/>
          <w:highlight w:val="none"/>
          <w:u w:val="single"/>
        </w:rPr>
      </w:pPr>
      <w:r>
        <w:rPr>
          <w:rFonts w:hint="eastAsia" w:ascii="宋体" w:hAnsi="宋体"/>
          <w:color w:val="auto"/>
          <w:kern w:val="0"/>
          <w:highlight w:val="none"/>
        </w:rPr>
        <w:t>承包人向发包人移交工程的期限：</w:t>
      </w:r>
      <w:r>
        <w:rPr>
          <w:rFonts w:hint="eastAsia" w:ascii="宋体" w:hAnsi="宋体"/>
          <w:color w:val="auto"/>
          <w:kern w:val="0"/>
          <w:highlight w:val="none"/>
          <w:u w:val="single"/>
        </w:rPr>
        <w:t>按《通用合同条款》执行</w:t>
      </w:r>
      <w:r>
        <w:rPr>
          <w:rFonts w:hint="eastAsia" w:ascii="宋体" w:hAnsi="宋体"/>
          <w:color w:val="auto"/>
          <w:highlight w:val="none"/>
          <w:u w:val="single"/>
        </w:rPr>
        <w:t xml:space="preserve">  。</w:t>
      </w:r>
    </w:p>
    <w:p w14:paraId="595BE2F8">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承包人未按时移交工程的，违约金的计算方法为：</w:t>
      </w:r>
      <w:r>
        <w:rPr>
          <w:rFonts w:hint="eastAsia" w:ascii="宋体" w:hAnsi="宋体"/>
          <w:color w:val="auto"/>
          <w:highlight w:val="none"/>
          <w:u w:val="single"/>
        </w:rPr>
        <w:t>承担发包人不能按接收期投入使用所造成全部的损失。</w:t>
      </w:r>
    </w:p>
    <w:p w14:paraId="2BC4C748">
      <w:pPr>
        <w:pStyle w:val="91"/>
        <w:spacing w:before="120" w:after="120" w:line="440" w:lineRule="exact"/>
        <w:outlineLvl w:val="0"/>
        <w:rPr>
          <w:rFonts w:ascii="宋体" w:hAnsi="宋体"/>
          <w:color w:val="auto"/>
          <w:highlight w:val="none"/>
        </w:rPr>
      </w:pPr>
      <w:r>
        <w:rPr>
          <w:rFonts w:hint="eastAsia" w:ascii="宋体" w:hAnsi="宋体"/>
          <w:color w:val="auto"/>
          <w:highlight w:val="none"/>
        </w:rPr>
        <w:t>13.3 工程试车</w:t>
      </w:r>
    </w:p>
    <w:p w14:paraId="22F343C0">
      <w:pPr>
        <w:pStyle w:val="77"/>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13.3.1 试车程序</w:t>
      </w:r>
    </w:p>
    <w:p w14:paraId="0DB18FC0">
      <w:pPr>
        <w:pStyle w:val="77"/>
        <w:spacing w:line="440" w:lineRule="exact"/>
        <w:ind w:firstLine="484" w:firstLineChars="202"/>
        <w:jc w:val="left"/>
        <w:rPr>
          <w:rFonts w:ascii="宋体" w:hAnsi="宋体"/>
          <w:color w:val="auto"/>
          <w:kern w:val="0"/>
          <w:highlight w:val="none"/>
        </w:rPr>
      </w:pPr>
      <w:r>
        <w:rPr>
          <w:rFonts w:hint="eastAsia" w:ascii="宋体" w:hAnsi="宋体"/>
          <w:color w:val="auto"/>
          <w:kern w:val="0"/>
          <w:highlight w:val="none"/>
        </w:rPr>
        <w:t>工程试车内容：</w:t>
      </w:r>
      <w:r>
        <w:rPr>
          <w:rFonts w:hint="eastAsia" w:ascii="宋体" w:hAnsi="宋体"/>
          <w:color w:val="auto"/>
          <w:highlight w:val="none"/>
          <w:u w:val="single"/>
        </w:rPr>
        <w:t>按《通用合同条款》执行</w:t>
      </w:r>
      <w:r>
        <w:rPr>
          <w:rFonts w:hint="eastAsia" w:ascii="宋体" w:hAnsi="宋体"/>
          <w:color w:val="auto"/>
          <w:highlight w:val="none"/>
        </w:rPr>
        <w:t>。</w:t>
      </w:r>
    </w:p>
    <w:p w14:paraId="3FC70468">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（1）单机无负荷试车费用由</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kern w:val="0"/>
          <w:highlight w:val="none"/>
        </w:rPr>
        <w:t>承担；</w:t>
      </w:r>
    </w:p>
    <w:p w14:paraId="575D6013">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（2）无负荷联动试车费用由</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kern w:val="0"/>
          <w:highlight w:val="none"/>
        </w:rPr>
        <w:t>承担。</w:t>
      </w:r>
    </w:p>
    <w:p w14:paraId="60B095C2">
      <w:pPr>
        <w:pStyle w:val="77"/>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13.3.3 投料试车</w:t>
      </w:r>
    </w:p>
    <w:p w14:paraId="637F570B">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关于投料试车相关事项的约定：</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w:t>
      </w:r>
    </w:p>
    <w:p w14:paraId="34B17AC1">
      <w:pPr>
        <w:pStyle w:val="91"/>
        <w:spacing w:before="120" w:after="120" w:line="440" w:lineRule="exact"/>
        <w:outlineLvl w:val="0"/>
        <w:rPr>
          <w:rFonts w:ascii="宋体" w:hAnsi="宋体"/>
          <w:color w:val="auto"/>
          <w:highlight w:val="none"/>
        </w:rPr>
      </w:pPr>
      <w:r>
        <w:rPr>
          <w:rFonts w:hint="eastAsia" w:ascii="宋体" w:hAnsi="宋体"/>
          <w:color w:val="auto"/>
          <w:highlight w:val="none"/>
        </w:rPr>
        <w:t>13.6 竣工退场</w:t>
      </w:r>
    </w:p>
    <w:p w14:paraId="264CFDD1">
      <w:pPr>
        <w:pStyle w:val="77"/>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13.6.1 竣工退场</w:t>
      </w:r>
    </w:p>
    <w:p w14:paraId="6EDF96CB">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承包人完成竣工退场的期限：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kern w:val="0"/>
          <w:sz w:val="21"/>
          <w:szCs w:val="21"/>
          <w:u w:val="single"/>
        </w:rPr>
        <w:t>竣工验收合格交付使用后7天内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4FB47DED">
      <w:pPr>
        <w:pStyle w:val="91"/>
        <w:spacing w:before="120" w:after="120" w:line="440" w:lineRule="exact"/>
        <w:outlineLvl w:val="0"/>
        <w:rPr>
          <w:rFonts w:ascii="宋体" w:hAnsi="宋体"/>
          <w:color w:val="auto"/>
          <w:highlight w:val="none"/>
        </w:rPr>
      </w:pPr>
      <w:r>
        <w:rPr>
          <w:rFonts w:hint="eastAsia" w:ascii="宋体" w:hAnsi="宋体"/>
          <w:color w:val="auto"/>
          <w:highlight w:val="none"/>
        </w:rPr>
        <w:t xml:space="preserve">13.7 工程竣工验收资料 </w:t>
      </w:r>
    </w:p>
    <w:p w14:paraId="3A36D3A1">
      <w:pPr>
        <w:pStyle w:val="77"/>
        <w:spacing w:line="440" w:lineRule="exact"/>
        <w:ind w:firstLine="480" w:firstLineChars="200"/>
        <w:jc w:val="left"/>
        <w:rPr>
          <w:rFonts w:ascii="宋体" w:hAnsi="宋体"/>
          <w:color w:val="auto"/>
          <w:kern w:val="0"/>
          <w:highlight w:val="none"/>
          <w:u w:val="single"/>
        </w:rPr>
      </w:pPr>
      <w:r>
        <w:rPr>
          <w:rFonts w:hint="eastAsia" w:ascii="宋体" w:hAnsi="宋体"/>
          <w:color w:val="auto"/>
          <w:kern w:val="0"/>
          <w:highlight w:val="none"/>
          <w:u w:val="single"/>
        </w:rPr>
        <w:t>承包人须在竣工验收后2</w:t>
      </w:r>
      <w:r>
        <w:rPr>
          <w:rFonts w:hint="eastAsia" w:ascii="宋体" w:hAnsi="宋体"/>
          <w:color w:val="auto"/>
          <w:kern w:val="0"/>
          <w:highlight w:val="none"/>
          <w:u w:val="single"/>
          <w:lang w:val="en-US" w:eastAsia="zh-CN"/>
        </w:rPr>
        <w:t>0</w:t>
      </w:r>
      <w:r>
        <w:rPr>
          <w:rFonts w:hint="eastAsia" w:ascii="宋体" w:hAnsi="宋体"/>
          <w:color w:val="auto"/>
          <w:kern w:val="0"/>
          <w:highlight w:val="none"/>
          <w:u w:val="single"/>
        </w:rPr>
        <w:t>天内提交完整竣工资料。</w:t>
      </w:r>
    </w:p>
    <w:p w14:paraId="31408860">
      <w:pPr>
        <w:pStyle w:val="91"/>
        <w:spacing w:before="120" w:after="120" w:line="440" w:lineRule="exact"/>
        <w:outlineLvl w:val="0"/>
        <w:rPr>
          <w:rFonts w:ascii="宋体" w:hAnsi="宋体"/>
          <w:color w:val="auto"/>
          <w:highlight w:val="none"/>
        </w:rPr>
      </w:pPr>
      <w:r>
        <w:rPr>
          <w:rFonts w:hint="eastAsia" w:ascii="宋体" w:hAnsi="宋体"/>
          <w:color w:val="auto"/>
          <w:highlight w:val="none"/>
        </w:rPr>
        <w:t>14. 竣工结算</w:t>
      </w:r>
    </w:p>
    <w:p w14:paraId="7E9ABACE">
      <w:pPr>
        <w:pStyle w:val="91"/>
        <w:spacing w:before="120" w:after="120" w:line="440" w:lineRule="exact"/>
        <w:outlineLvl w:val="0"/>
        <w:rPr>
          <w:rFonts w:ascii="宋体" w:hAnsi="宋体"/>
          <w:color w:val="auto"/>
          <w:highlight w:val="none"/>
        </w:rPr>
      </w:pPr>
      <w:r>
        <w:rPr>
          <w:rFonts w:hint="eastAsia" w:ascii="宋体" w:hAnsi="宋体"/>
          <w:color w:val="auto"/>
          <w:highlight w:val="none"/>
        </w:rPr>
        <w:t>14.1 竣工结算申请</w:t>
      </w:r>
    </w:p>
    <w:p w14:paraId="69308196">
      <w:pPr>
        <w:pStyle w:val="77"/>
        <w:spacing w:line="440" w:lineRule="exact"/>
        <w:ind w:firstLine="480" w:firstLineChars="200"/>
        <w:jc w:val="left"/>
        <w:rPr>
          <w:rFonts w:hint="eastAsia" w:ascii="宋体" w:hAnsi="宋体" w:eastAsia="宋体"/>
          <w:color w:val="auto"/>
          <w:highlight w:val="none"/>
          <w:u w:val="single"/>
          <w:lang w:eastAsia="zh-CN"/>
        </w:rPr>
      </w:pPr>
      <w:r>
        <w:rPr>
          <w:rFonts w:hint="eastAsia" w:ascii="宋体" w:hAnsi="宋体"/>
          <w:color w:val="auto"/>
          <w:highlight w:val="none"/>
        </w:rPr>
        <w:t>承包人提交竣工付款申请单的期限：</w:t>
      </w:r>
      <w:r>
        <w:rPr>
          <w:rFonts w:hint="eastAsia" w:ascii="宋体" w:hAnsi="宋体"/>
          <w:color w:val="auto"/>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kern w:val="0"/>
          <w:sz w:val="21"/>
          <w:szCs w:val="21"/>
          <w:u w:val="single"/>
        </w:rPr>
        <w:t xml:space="preserve">20天内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none"/>
          <w:lang w:eastAsia="zh-CN"/>
        </w:rPr>
        <w:t>。</w:t>
      </w:r>
    </w:p>
    <w:p w14:paraId="27090484">
      <w:pPr>
        <w:spacing w:line="460" w:lineRule="exact"/>
        <w:ind w:firstLine="420" w:firstLineChars="200"/>
        <w:jc w:val="left"/>
        <w:rPr>
          <w:rFonts w:hint="eastAsia" w:ascii="宋体" w:hAnsi="宋体" w:eastAsia="宋体" w:cs="宋体"/>
          <w:color w:val="auto"/>
          <w:sz w:val="21"/>
          <w:szCs w:val="21"/>
          <w:highlight w:val="none"/>
        </w:rPr>
      </w:pPr>
      <w:r>
        <w:rPr>
          <w:rFonts w:hint="eastAsia" w:ascii="宋体" w:hAnsi="宋体"/>
          <w:color w:val="auto"/>
          <w:highlight w:val="none"/>
          <w:u w:val="none"/>
        </w:rPr>
        <w:t>竣工付款申请单应包括的内容</w:t>
      </w:r>
      <w:r>
        <w:rPr>
          <w:rFonts w:hint="eastAsia" w:ascii="宋体" w:hAnsi="宋体"/>
          <w:color w:val="auto"/>
          <w:sz w:val="21"/>
          <w:szCs w:val="21"/>
          <w:highlight w:val="none"/>
          <w:u w:val="none"/>
        </w:rPr>
        <w:t>：</w:t>
      </w:r>
      <w:r>
        <w:rPr>
          <w:rFonts w:hint="eastAsia" w:ascii="宋体" w:hAnsi="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000000"/>
          <w:sz w:val="21"/>
          <w:szCs w:val="21"/>
          <w:u w:val="single"/>
        </w:rPr>
        <w:t>符合国家现行法律法规及行政主管部门的要求</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rPr>
        <w:t xml:space="preserve">。 </w:t>
      </w:r>
    </w:p>
    <w:p w14:paraId="725EF3A8">
      <w:pPr>
        <w:pStyle w:val="91"/>
        <w:spacing w:before="120" w:after="120" w:line="440" w:lineRule="exact"/>
        <w:outlineLvl w:val="0"/>
        <w:rPr>
          <w:rFonts w:ascii="宋体" w:hAnsi="宋体"/>
          <w:color w:val="auto"/>
          <w:highlight w:val="none"/>
        </w:rPr>
      </w:pPr>
      <w:r>
        <w:rPr>
          <w:rFonts w:hint="eastAsia" w:ascii="宋体" w:hAnsi="宋体"/>
          <w:color w:val="auto"/>
          <w:highlight w:val="none"/>
        </w:rPr>
        <w:t>14.2 竣工结算审核</w:t>
      </w:r>
    </w:p>
    <w:p w14:paraId="30D54435">
      <w:pPr>
        <w:pStyle w:val="77"/>
        <w:tabs>
          <w:tab w:val="left" w:pos="0"/>
        </w:tabs>
        <w:spacing w:line="440" w:lineRule="exact"/>
        <w:ind w:left="19" w:leftChars="9" w:firstLine="525" w:firstLineChars="219"/>
        <w:jc w:val="left"/>
        <w:rPr>
          <w:rFonts w:ascii="宋体" w:hAnsi="宋体"/>
          <w:color w:val="auto"/>
          <w:kern w:val="0"/>
          <w:highlight w:val="none"/>
        </w:rPr>
      </w:pPr>
      <w:r>
        <w:rPr>
          <w:rFonts w:hint="eastAsia" w:ascii="宋体" w:hAnsi="宋体"/>
          <w:color w:val="auto"/>
          <w:kern w:val="0"/>
          <w:highlight w:val="none"/>
        </w:rPr>
        <w:t>发包人审批竣工付款申请单的期限：根据审计单位出具的审计报告进行核算，发包人在收到审计报告及承包人的竣工付款申请单后28天内完成审批。</w:t>
      </w:r>
    </w:p>
    <w:p w14:paraId="5477A556">
      <w:pPr>
        <w:pStyle w:val="77"/>
        <w:spacing w:line="440" w:lineRule="exact"/>
        <w:ind w:left="479" w:leftChars="228"/>
        <w:jc w:val="left"/>
        <w:rPr>
          <w:rFonts w:ascii="宋体" w:hAnsi="宋体"/>
          <w:color w:val="auto"/>
          <w:kern w:val="0"/>
          <w:highlight w:val="none"/>
        </w:rPr>
      </w:pPr>
      <w:r>
        <w:rPr>
          <w:rFonts w:hint="eastAsia" w:ascii="宋体" w:hAnsi="宋体"/>
          <w:color w:val="auto"/>
          <w:kern w:val="0"/>
          <w:highlight w:val="none"/>
        </w:rPr>
        <w:t xml:space="preserve">发包人完成竣工付款的期限： </w:t>
      </w:r>
      <w:r>
        <w:rPr>
          <w:rFonts w:hint="eastAsia" w:ascii="宋体" w:hAnsi="宋体" w:eastAsia="宋体" w:cs="宋体"/>
          <w:kern w:val="0"/>
          <w:sz w:val="21"/>
          <w:szCs w:val="21"/>
          <w:u w:val="single"/>
        </w:rPr>
        <w:t>按审批流程实际需要的时间</w:t>
      </w:r>
      <w:r>
        <w:rPr>
          <w:rFonts w:hint="eastAsia" w:ascii="宋体" w:hAnsi="宋体" w:eastAsia="宋体" w:cs="宋体"/>
          <w:kern w:val="0"/>
          <w:sz w:val="21"/>
          <w:szCs w:val="21"/>
        </w:rPr>
        <w:t>。</w:t>
      </w:r>
    </w:p>
    <w:p w14:paraId="33091714">
      <w:pPr>
        <w:pStyle w:val="77"/>
        <w:spacing w:line="440" w:lineRule="exact"/>
        <w:ind w:left="479" w:leftChars="228"/>
        <w:jc w:val="left"/>
        <w:rPr>
          <w:rFonts w:ascii="宋体" w:hAnsi="宋体"/>
          <w:color w:val="auto"/>
          <w:kern w:val="0"/>
          <w:highlight w:val="none"/>
        </w:rPr>
      </w:pPr>
      <w:r>
        <w:rPr>
          <w:rFonts w:hint="eastAsia" w:ascii="宋体" w:hAnsi="宋体"/>
          <w:color w:val="auto"/>
          <w:kern w:val="0"/>
          <w:highlight w:val="none"/>
        </w:rPr>
        <w:t>关于竣工付款证书异议部分复核的方式和程序：按《通用合同条款》。</w:t>
      </w:r>
    </w:p>
    <w:p w14:paraId="68335F12">
      <w:pPr>
        <w:pStyle w:val="91"/>
        <w:spacing w:before="120" w:after="120" w:line="440" w:lineRule="exact"/>
        <w:outlineLvl w:val="0"/>
        <w:rPr>
          <w:rFonts w:ascii="宋体" w:hAnsi="宋体"/>
          <w:color w:val="auto"/>
          <w:highlight w:val="none"/>
        </w:rPr>
      </w:pPr>
      <w:r>
        <w:rPr>
          <w:rFonts w:hint="eastAsia" w:ascii="宋体" w:hAnsi="宋体"/>
          <w:color w:val="auto"/>
          <w:highlight w:val="none"/>
        </w:rPr>
        <w:t>14.4 最终结清</w:t>
      </w:r>
    </w:p>
    <w:p w14:paraId="03FD0A41">
      <w:pPr>
        <w:pStyle w:val="77"/>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14.4.1 最终结清申请单</w:t>
      </w:r>
    </w:p>
    <w:p w14:paraId="5BA9282F">
      <w:pPr>
        <w:pStyle w:val="77"/>
        <w:spacing w:line="440" w:lineRule="exact"/>
        <w:ind w:left="479" w:leftChars="228"/>
        <w:jc w:val="left"/>
        <w:rPr>
          <w:rFonts w:ascii="宋体" w:hAnsi="宋体"/>
          <w:color w:val="auto"/>
          <w:kern w:val="0"/>
          <w:highlight w:val="none"/>
        </w:rPr>
      </w:pPr>
      <w:r>
        <w:rPr>
          <w:rFonts w:hint="eastAsia" w:ascii="宋体" w:hAnsi="宋体"/>
          <w:color w:val="auto"/>
          <w:kern w:val="0"/>
          <w:highlight w:val="none"/>
        </w:rPr>
        <w:t>承包人提交最终结清申请单的份数：</w:t>
      </w:r>
      <w:r>
        <w:rPr>
          <w:rFonts w:hint="eastAsia" w:ascii="宋体" w:hAnsi="宋体"/>
          <w:color w:val="auto"/>
          <w:kern w:val="0"/>
          <w:highlight w:val="none"/>
          <w:u w:val="single"/>
          <w:lang w:eastAsia="zh-CN"/>
        </w:rPr>
        <w:t>一式</w:t>
      </w:r>
      <w:r>
        <w:rPr>
          <w:rFonts w:hint="eastAsia" w:ascii="宋体" w:hAnsi="宋体"/>
          <w:color w:val="auto"/>
          <w:kern w:val="0"/>
          <w:highlight w:val="none"/>
          <w:u w:val="single"/>
          <w:lang w:val="en-US" w:eastAsia="zh-CN"/>
        </w:rPr>
        <w:t>3份</w:t>
      </w:r>
      <w:r>
        <w:rPr>
          <w:rFonts w:hint="eastAsia" w:ascii="宋体" w:hAnsi="宋体"/>
          <w:color w:val="auto"/>
          <w:highlight w:val="none"/>
          <w:u w:val="single"/>
        </w:rPr>
        <w:t xml:space="preserve">。 </w:t>
      </w:r>
    </w:p>
    <w:p w14:paraId="0F17A258">
      <w:pPr>
        <w:spacing w:line="460" w:lineRule="exact"/>
        <w:ind w:firstLine="420" w:firstLineChars="200"/>
        <w:jc w:val="left"/>
        <w:rPr>
          <w:rFonts w:hint="eastAsia" w:ascii="仿宋_GB2312" w:hAnsi="Times New Roman" w:eastAsia="仿宋_GB2312"/>
          <w:sz w:val="28"/>
          <w:szCs w:val="28"/>
        </w:rPr>
      </w:pPr>
      <w:r>
        <w:rPr>
          <w:rFonts w:hint="eastAsia" w:ascii="宋体" w:hAnsi="宋体"/>
          <w:color w:val="auto"/>
          <w:kern w:val="0"/>
          <w:highlight w:val="none"/>
        </w:rPr>
        <w:t>承包人提交最终结算申请单的期限：</w:t>
      </w:r>
      <w:r>
        <w:rPr>
          <w:rFonts w:hint="eastAsia" w:ascii="宋体" w:hAnsi="宋体" w:eastAsia="宋体" w:cs="宋体"/>
          <w:color w:val="000000"/>
          <w:sz w:val="21"/>
          <w:szCs w:val="21"/>
          <w:u w:val="single"/>
        </w:rPr>
        <w:t xml:space="preserve">双方签字确认工程结算造价之日起15天内 </w:t>
      </w:r>
      <w:r>
        <w:rPr>
          <w:rFonts w:hint="eastAsia" w:ascii="宋体" w:hAnsi="宋体" w:eastAsia="宋体" w:cs="宋体"/>
          <w:color w:val="000000"/>
          <w:sz w:val="21"/>
          <w:szCs w:val="21"/>
        </w:rPr>
        <w:t>。</w:t>
      </w:r>
    </w:p>
    <w:p w14:paraId="2AE46E5B">
      <w:pPr>
        <w:pStyle w:val="77"/>
        <w:spacing w:line="440" w:lineRule="exact"/>
        <w:ind w:firstLine="480" w:firstLineChars="200"/>
        <w:jc w:val="left"/>
        <w:rPr>
          <w:rFonts w:ascii="宋体" w:hAnsi="宋体"/>
          <w:color w:val="auto"/>
          <w:highlight w:val="none"/>
        </w:rPr>
      </w:pPr>
      <w:r>
        <w:rPr>
          <w:rFonts w:hint="eastAsia" w:ascii="宋体" w:hAnsi="宋体"/>
          <w:color w:val="auto"/>
          <w:kern w:val="0"/>
          <w:highlight w:val="none"/>
          <w:lang w:val="en-US" w:eastAsia="zh-CN"/>
        </w:rPr>
        <w:t xml:space="preserve"> </w:t>
      </w:r>
      <w:r>
        <w:rPr>
          <w:rFonts w:hint="eastAsia" w:ascii="宋体" w:hAnsi="宋体"/>
          <w:color w:val="auto"/>
          <w:highlight w:val="none"/>
        </w:rPr>
        <w:t xml:space="preserve">。 </w:t>
      </w:r>
    </w:p>
    <w:p w14:paraId="6785D06D">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14.4.2 最终结清证书和支付</w:t>
      </w:r>
    </w:p>
    <w:p w14:paraId="0E51AF20">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（1）发包人完成最终结清申请单的审批并颁发最终结清证书的期限：</w:t>
      </w:r>
      <w:r>
        <w:rPr>
          <w:rFonts w:hint="eastAsia" w:ascii="宋体" w:hAnsi="宋体"/>
          <w:color w:val="auto"/>
          <w:highlight w:val="none"/>
          <w:u w:val="single"/>
        </w:rPr>
        <w:t xml:space="preserve"> 28天</w:t>
      </w:r>
      <w:r>
        <w:rPr>
          <w:rFonts w:hint="eastAsia" w:ascii="宋体" w:hAnsi="宋体"/>
          <w:color w:val="auto"/>
          <w:highlight w:val="none"/>
        </w:rPr>
        <w:t>。</w:t>
      </w:r>
    </w:p>
    <w:p w14:paraId="0681A7FE">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（2）发包人完成支付的期限：</w:t>
      </w:r>
      <w:r>
        <w:rPr>
          <w:rFonts w:hint="eastAsia" w:ascii="宋体" w:hAnsi="宋体" w:eastAsia="宋体" w:cs="宋体"/>
          <w:kern w:val="0"/>
          <w:sz w:val="21"/>
          <w:szCs w:val="21"/>
          <w:u w:val="single"/>
        </w:rPr>
        <w:t>按审批流程实际需要的时间</w:t>
      </w:r>
      <w:r>
        <w:rPr>
          <w:rFonts w:hint="eastAsia" w:ascii="宋体" w:hAnsi="宋体" w:eastAsia="宋体" w:cs="宋体"/>
          <w:kern w:val="0"/>
          <w:sz w:val="21"/>
          <w:szCs w:val="21"/>
        </w:rPr>
        <w:t>。</w:t>
      </w:r>
    </w:p>
    <w:p w14:paraId="09368829">
      <w:pPr>
        <w:pStyle w:val="91"/>
        <w:spacing w:before="120" w:after="120" w:line="440" w:lineRule="exact"/>
        <w:outlineLvl w:val="0"/>
        <w:rPr>
          <w:rFonts w:ascii="宋体" w:hAnsi="宋体"/>
          <w:color w:val="auto"/>
          <w:highlight w:val="none"/>
        </w:rPr>
      </w:pPr>
      <w:r>
        <w:rPr>
          <w:rFonts w:hint="eastAsia" w:ascii="宋体" w:hAnsi="宋体"/>
          <w:color w:val="auto"/>
          <w:highlight w:val="none"/>
        </w:rPr>
        <w:t>15.  缺陷责任期与保修</w:t>
      </w:r>
    </w:p>
    <w:p w14:paraId="07DF7D6B">
      <w:pPr>
        <w:pStyle w:val="91"/>
        <w:spacing w:before="120" w:after="120" w:line="440" w:lineRule="exact"/>
        <w:outlineLvl w:val="0"/>
        <w:rPr>
          <w:rFonts w:ascii="宋体" w:hAnsi="宋体"/>
          <w:color w:val="auto"/>
          <w:highlight w:val="none"/>
        </w:rPr>
      </w:pPr>
      <w:r>
        <w:rPr>
          <w:rFonts w:hint="eastAsia" w:ascii="宋体" w:hAnsi="宋体"/>
          <w:color w:val="auto"/>
          <w:highlight w:val="none"/>
        </w:rPr>
        <w:t>15.2 缺陷责任期</w:t>
      </w:r>
    </w:p>
    <w:p w14:paraId="4A32286B">
      <w:pPr>
        <w:pStyle w:val="77"/>
        <w:autoSpaceDE w:val="0"/>
        <w:autoSpaceDN w:val="0"/>
        <w:adjustRightInd w:val="0"/>
        <w:spacing w:line="440" w:lineRule="exact"/>
        <w:ind w:firstLine="480" w:firstLineChars="200"/>
        <w:jc w:val="left"/>
        <w:rPr>
          <w:rFonts w:ascii="宋体" w:hAnsi="宋体"/>
          <w:color w:val="auto"/>
          <w:kern w:val="0"/>
          <w:highlight w:val="none"/>
          <w:u w:val="single"/>
        </w:rPr>
      </w:pPr>
      <w:r>
        <w:rPr>
          <w:rFonts w:hint="eastAsia" w:ascii="宋体" w:hAnsi="宋体"/>
          <w:color w:val="auto"/>
          <w:kern w:val="0"/>
          <w:highlight w:val="none"/>
        </w:rPr>
        <w:t>缺陷责任期的具体期限：</w:t>
      </w:r>
      <w:r>
        <w:rPr>
          <w:rFonts w:hint="eastAsia" w:ascii="宋体" w:hAnsi="宋体"/>
          <w:color w:val="auto"/>
          <w:kern w:val="0"/>
          <w:highlight w:val="none"/>
          <w:u w:val="single"/>
          <w:lang w:val="en-US" w:eastAsia="zh-CN"/>
        </w:rPr>
        <w:t xml:space="preserve">   无 </w:t>
      </w:r>
      <w:r>
        <w:rPr>
          <w:rFonts w:hint="eastAsia" w:ascii="宋体" w:hAnsi="宋体"/>
          <w:color w:val="auto"/>
          <w:kern w:val="0"/>
          <w:highlight w:val="none"/>
          <w:u w:val="none"/>
        </w:rPr>
        <w:t>。</w:t>
      </w:r>
    </w:p>
    <w:p w14:paraId="4B5FF89A">
      <w:pPr>
        <w:pStyle w:val="91"/>
        <w:spacing w:before="120" w:after="120" w:line="440" w:lineRule="exact"/>
        <w:outlineLvl w:val="0"/>
        <w:rPr>
          <w:rFonts w:ascii="宋体" w:hAnsi="宋体"/>
          <w:color w:val="auto"/>
          <w:highlight w:val="none"/>
        </w:rPr>
      </w:pPr>
      <w:r>
        <w:rPr>
          <w:rFonts w:hint="eastAsia" w:ascii="宋体" w:hAnsi="宋体"/>
          <w:color w:val="auto"/>
          <w:highlight w:val="none"/>
        </w:rPr>
        <w:t>15.3  质量保证金</w:t>
      </w:r>
    </w:p>
    <w:p w14:paraId="7521B4ED">
      <w:pPr>
        <w:pStyle w:val="77"/>
        <w:autoSpaceDE w:val="0"/>
        <w:autoSpaceDN w:val="0"/>
        <w:adjustRightInd w:val="0"/>
        <w:spacing w:line="440" w:lineRule="exact"/>
        <w:ind w:firstLine="480" w:firstLineChars="200"/>
        <w:jc w:val="left"/>
        <w:rPr>
          <w:rFonts w:hint="eastAsia" w:ascii="宋体" w:hAnsi="宋体"/>
          <w:color w:val="auto"/>
          <w:kern w:val="0"/>
          <w:highlight w:val="none"/>
          <w:u w:val="none"/>
          <w:lang w:val="en-US" w:eastAsia="zh-CN"/>
        </w:rPr>
      </w:pPr>
      <w:r>
        <w:rPr>
          <w:rFonts w:hint="eastAsia" w:ascii="宋体" w:hAnsi="宋体"/>
          <w:color w:val="auto"/>
          <w:kern w:val="0"/>
          <w:highlight w:val="none"/>
        </w:rPr>
        <w:t>关于是否扣留质量保证金的约定：</w:t>
      </w:r>
      <w:r>
        <w:rPr>
          <w:rFonts w:hint="eastAsia" w:ascii="宋体" w:hAnsi="宋体"/>
          <w:color w:val="auto"/>
          <w:kern w:val="0"/>
          <w:highlight w:val="none"/>
          <w:u w:val="single"/>
          <w:lang w:val="en-US" w:eastAsia="zh-CN"/>
        </w:rPr>
        <w:t xml:space="preserve"> 无 </w:t>
      </w:r>
      <w:r>
        <w:rPr>
          <w:rFonts w:hint="eastAsia" w:ascii="宋体" w:hAnsi="宋体"/>
          <w:color w:val="auto"/>
          <w:kern w:val="0"/>
          <w:highlight w:val="none"/>
          <w:u w:val="none"/>
          <w:lang w:val="en-US" w:eastAsia="zh-CN"/>
        </w:rPr>
        <w:t>。</w:t>
      </w:r>
    </w:p>
    <w:p w14:paraId="0007060B">
      <w:pPr>
        <w:pStyle w:val="77"/>
        <w:autoSpaceDE w:val="0"/>
        <w:autoSpaceDN w:val="0"/>
        <w:adjustRightInd w:val="0"/>
        <w:spacing w:line="440" w:lineRule="exact"/>
        <w:ind w:firstLine="482" w:firstLineChars="200"/>
        <w:jc w:val="left"/>
        <w:rPr>
          <w:rFonts w:ascii="宋体" w:hAnsi="宋体"/>
          <w:b/>
          <w:bCs/>
          <w:color w:val="auto"/>
          <w:highlight w:val="none"/>
        </w:rPr>
      </w:pPr>
      <w:r>
        <w:rPr>
          <w:rFonts w:hint="eastAsia" w:ascii="宋体" w:hAnsi="宋体"/>
          <w:b/>
          <w:bCs/>
          <w:color w:val="auto"/>
          <w:highlight w:val="none"/>
        </w:rPr>
        <w:t>15.3.1 承包人提供质量保证金的方式</w:t>
      </w:r>
    </w:p>
    <w:p w14:paraId="455524C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质量保证金采用以下第</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种方式：</w:t>
      </w:r>
    </w:p>
    <w:p w14:paraId="360E655B">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（1）质量保证金保函，保证金额为：</w:t>
      </w:r>
      <w:r>
        <w:rPr>
          <w:rFonts w:hint="eastAsia" w:ascii="宋体" w:hAnsi="宋体"/>
          <w:color w:val="auto"/>
          <w:kern w:val="0"/>
          <w:highlight w:val="none"/>
          <w:u w:val="single"/>
        </w:rPr>
        <w:t xml:space="preserve"> 无               </w:t>
      </w:r>
      <w:r>
        <w:rPr>
          <w:rFonts w:hint="eastAsia" w:ascii="宋体" w:hAnsi="宋体"/>
          <w:color w:val="auto"/>
          <w:kern w:val="0"/>
          <w:highlight w:val="none"/>
        </w:rPr>
        <w:t xml:space="preserve">； </w:t>
      </w:r>
    </w:p>
    <w:p w14:paraId="3E11B0A9">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（2）工程结算价款的</w:t>
      </w:r>
      <w:r>
        <w:rPr>
          <w:rFonts w:hint="eastAsia" w:ascii="宋体" w:hAnsi="宋体"/>
          <w:color w:val="auto"/>
          <w:kern w:val="0"/>
          <w:highlight w:val="none"/>
          <w:u w:val="single"/>
        </w:rPr>
        <w:t xml:space="preserve">   </w:t>
      </w:r>
      <w:r>
        <w:rPr>
          <w:rFonts w:hint="eastAsia" w:ascii="宋体" w:hAnsi="宋体"/>
          <w:color w:val="auto"/>
          <w:kern w:val="0"/>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kern w:val="0"/>
          <w:highlight w:val="none"/>
        </w:rPr>
        <w:t>；</w:t>
      </w:r>
    </w:p>
    <w:p w14:paraId="1CF7EB90">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（3）其他方式:</w:t>
      </w:r>
      <w:r>
        <w:rPr>
          <w:rFonts w:hint="eastAsia" w:ascii="宋体" w:hAnsi="宋体"/>
          <w:color w:val="auto"/>
          <w:kern w:val="0"/>
          <w:highlight w:val="none"/>
          <w:u w:val="single"/>
        </w:rPr>
        <w:t xml:space="preserve">             </w:t>
      </w:r>
      <w:r>
        <w:rPr>
          <w:rFonts w:hint="eastAsia" w:ascii="宋体" w:hAnsi="宋体"/>
          <w:color w:val="auto"/>
          <w:kern w:val="0"/>
          <w:highlight w:val="none"/>
        </w:rPr>
        <w:t>。</w:t>
      </w:r>
    </w:p>
    <w:p w14:paraId="7A2D8DE9">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 xml:space="preserve">15.3.2 质量保证金的扣留 </w:t>
      </w:r>
    </w:p>
    <w:p w14:paraId="0ADF3784">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质量保证金的扣留采取以下第</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种方式：</w:t>
      </w:r>
    </w:p>
    <w:p w14:paraId="19852B1C">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（1）在支付工程进度款时逐次扣留，在此情形下，质量保证金的计算基数不包括预付款的支付、扣回以及价格调整的金额；</w:t>
      </w:r>
    </w:p>
    <w:p w14:paraId="28FA8DB8">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（2）工程竣工结算时一次性扣留质量保证金；</w:t>
      </w:r>
    </w:p>
    <w:p w14:paraId="626C0E5B">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（3）其他扣留方式:</w:t>
      </w:r>
      <w:r>
        <w:rPr>
          <w:rFonts w:hint="eastAsia" w:ascii="宋体" w:hAnsi="宋体"/>
          <w:color w:val="auto"/>
          <w:kern w:val="0"/>
          <w:highlight w:val="none"/>
          <w:u w:val="single"/>
        </w:rPr>
        <w:t xml:space="preserve"> 无   。</w:t>
      </w:r>
    </w:p>
    <w:p w14:paraId="7286A7BA">
      <w:pPr>
        <w:pStyle w:val="77"/>
        <w:spacing w:line="440" w:lineRule="exact"/>
        <w:ind w:firstLine="600" w:firstLineChars="250"/>
        <w:jc w:val="left"/>
        <w:rPr>
          <w:rFonts w:ascii="宋体" w:hAnsi="宋体"/>
          <w:color w:val="auto"/>
          <w:kern w:val="0"/>
          <w:highlight w:val="none"/>
        </w:rPr>
      </w:pPr>
      <w:r>
        <w:rPr>
          <w:rFonts w:hint="eastAsia" w:ascii="宋体" w:hAnsi="宋体"/>
          <w:color w:val="auto"/>
          <w:highlight w:val="none"/>
        </w:rPr>
        <w:t>关于质量保证金的补充约定：</w:t>
      </w:r>
      <w:r>
        <w:rPr>
          <w:rFonts w:hint="eastAsia" w:ascii="宋体" w:hAnsi="宋体"/>
          <w:color w:val="auto"/>
          <w:kern w:val="0"/>
          <w:highlight w:val="none"/>
          <w:u w:val="single"/>
        </w:rPr>
        <w:t xml:space="preserve">   无  </w:t>
      </w:r>
      <w:r>
        <w:rPr>
          <w:rFonts w:hint="eastAsia" w:ascii="宋体" w:hAnsi="宋体"/>
          <w:color w:val="auto"/>
          <w:kern w:val="0"/>
          <w:highlight w:val="none"/>
        </w:rPr>
        <w:t>。</w:t>
      </w:r>
    </w:p>
    <w:p w14:paraId="3F1E6F08">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15.3.3 质量保证金的退还</w:t>
      </w:r>
    </w:p>
    <w:p w14:paraId="7B1E256E">
      <w:pPr>
        <w:pStyle w:val="77"/>
        <w:spacing w:line="440" w:lineRule="exact"/>
        <w:ind w:firstLine="600" w:firstLineChars="250"/>
        <w:jc w:val="left"/>
        <w:rPr>
          <w:rFonts w:ascii="宋体" w:hAnsi="宋体"/>
          <w:color w:val="auto"/>
          <w:highlight w:val="none"/>
        </w:rPr>
      </w:pPr>
      <w:r>
        <w:rPr>
          <w:rFonts w:hint="eastAsia" w:ascii="宋体" w:hAnsi="宋体"/>
          <w:color w:val="auto"/>
          <w:highlight w:val="none"/>
        </w:rPr>
        <w:t>质量保证金退还给承包人：</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none"/>
        </w:rPr>
        <w:t xml:space="preserve">。    </w:t>
      </w:r>
    </w:p>
    <w:p w14:paraId="7B1A2647">
      <w:pPr>
        <w:pStyle w:val="91"/>
        <w:spacing w:before="120" w:after="120" w:line="440" w:lineRule="exact"/>
        <w:rPr>
          <w:rFonts w:ascii="宋体" w:hAnsi="宋体"/>
          <w:color w:val="auto"/>
          <w:highlight w:val="none"/>
        </w:rPr>
      </w:pPr>
      <w:r>
        <w:rPr>
          <w:rFonts w:hint="eastAsia" w:ascii="宋体" w:hAnsi="宋体"/>
          <w:color w:val="auto"/>
          <w:highlight w:val="none"/>
        </w:rPr>
        <w:t>15.4保修</w:t>
      </w:r>
    </w:p>
    <w:p w14:paraId="440E0A6F">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15.4.1 保修责任</w:t>
      </w:r>
    </w:p>
    <w:p w14:paraId="1DA52896">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工程保修期为：</w:t>
      </w:r>
      <w:r>
        <w:rPr>
          <w:rFonts w:hint="eastAsia" w:ascii="宋体" w:hAnsi="宋体"/>
          <w:color w:val="auto"/>
          <w:kern w:val="0"/>
          <w:highlight w:val="none"/>
          <w:u w:val="single"/>
          <w:lang w:val="en-US" w:eastAsia="zh-CN"/>
        </w:rPr>
        <w:t xml:space="preserve">  无  </w:t>
      </w:r>
      <w:r>
        <w:rPr>
          <w:rFonts w:hint="eastAsia" w:ascii="宋体" w:hAnsi="宋体"/>
          <w:color w:val="auto"/>
          <w:kern w:val="0"/>
          <w:highlight w:val="none"/>
        </w:rPr>
        <w:t>。</w:t>
      </w:r>
    </w:p>
    <w:p w14:paraId="1C215BCC">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15.4.3 修复通知</w:t>
      </w:r>
    </w:p>
    <w:p w14:paraId="34EA2E9D">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承包人收到保修通知并到达工程现场的合理时间：</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u w:val="single"/>
        </w:rPr>
        <w:t xml:space="preserve"> </w:t>
      </w:r>
      <w:r>
        <w:rPr>
          <w:rFonts w:hint="eastAsia" w:ascii="宋体" w:hAnsi="宋体"/>
          <w:color w:val="auto"/>
          <w:kern w:val="0"/>
          <w:highlight w:val="none"/>
        </w:rPr>
        <w:t>。</w:t>
      </w:r>
    </w:p>
    <w:p w14:paraId="11F9E312">
      <w:pPr>
        <w:pStyle w:val="91"/>
        <w:spacing w:before="120" w:after="120" w:line="440" w:lineRule="exact"/>
        <w:outlineLvl w:val="0"/>
        <w:rPr>
          <w:rFonts w:ascii="宋体" w:hAnsi="宋体"/>
          <w:color w:val="auto"/>
          <w:highlight w:val="none"/>
        </w:rPr>
      </w:pPr>
      <w:r>
        <w:rPr>
          <w:rFonts w:hint="eastAsia" w:ascii="宋体" w:hAnsi="宋体"/>
          <w:color w:val="auto"/>
          <w:highlight w:val="none"/>
        </w:rPr>
        <w:t>16. 违约</w:t>
      </w:r>
    </w:p>
    <w:p w14:paraId="105E8C2D">
      <w:pPr>
        <w:pStyle w:val="91"/>
        <w:spacing w:before="120" w:after="120" w:line="440" w:lineRule="exact"/>
        <w:outlineLvl w:val="0"/>
        <w:rPr>
          <w:rFonts w:ascii="宋体" w:hAnsi="宋体"/>
          <w:color w:val="auto"/>
          <w:highlight w:val="none"/>
        </w:rPr>
      </w:pPr>
      <w:r>
        <w:rPr>
          <w:rFonts w:hint="eastAsia" w:ascii="宋体" w:hAnsi="宋体"/>
          <w:color w:val="auto"/>
          <w:highlight w:val="none"/>
        </w:rPr>
        <w:t>16.1 发包人违约</w:t>
      </w:r>
    </w:p>
    <w:p w14:paraId="5800D91B">
      <w:pPr>
        <w:pStyle w:val="77"/>
        <w:spacing w:line="440" w:lineRule="exact"/>
        <w:jc w:val="left"/>
        <w:rPr>
          <w:rFonts w:ascii="宋体" w:hAnsi="宋体"/>
          <w:b/>
          <w:bCs/>
          <w:color w:val="auto"/>
          <w:highlight w:val="none"/>
        </w:rPr>
      </w:pPr>
      <w:r>
        <w:rPr>
          <w:rFonts w:hint="eastAsia" w:ascii="宋体" w:hAnsi="宋体"/>
          <w:b/>
          <w:bCs/>
          <w:color w:val="auto"/>
          <w:highlight w:val="none"/>
        </w:rPr>
        <w:t>16.1.1发包人违约的情形</w:t>
      </w:r>
    </w:p>
    <w:p w14:paraId="30817B3E">
      <w:pPr>
        <w:pStyle w:val="77"/>
        <w:spacing w:line="440" w:lineRule="exact"/>
        <w:ind w:firstLine="480" w:firstLineChars="200"/>
        <w:jc w:val="left"/>
        <w:rPr>
          <w:rFonts w:ascii="宋体" w:hAnsi="宋体"/>
          <w:color w:val="auto"/>
          <w:kern w:val="0"/>
          <w:highlight w:val="none"/>
          <w:u w:val="single"/>
        </w:rPr>
      </w:pPr>
      <w:r>
        <w:rPr>
          <w:rFonts w:hint="eastAsia" w:ascii="宋体" w:hAnsi="宋体"/>
          <w:color w:val="auto"/>
          <w:kern w:val="0"/>
          <w:highlight w:val="none"/>
        </w:rPr>
        <w:t>发包人违约的其他情形：</w:t>
      </w:r>
      <w:r>
        <w:rPr>
          <w:rFonts w:hint="eastAsia" w:ascii="宋体" w:hAnsi="宋体"/>
          <w:color w:val="auto"/>
          <w:kern w:val="0"/>
          <w:highlight w:val="none"/>
          <w:u w:val="single"/>
        </w:rPr>
        <w:t xml:space="preserve"> 无</w:t>
      </w:r>
      <w:r>
        <w:rPr>
          <w:rFonts w:hint="eastAsia" w:ascii="宋体" w:hAnsi="宋体"/>
          <w:color w:val="auto"/>
          <w:kern w:val="0"/>
          <w:highlight w:val="none"/>
        </w:rPr>
        <w:t>。</w:t>
      </w:r>
    </w:p>
    <w:p w14:paraId="46BE5D16">
      <w:pPr>
        <w:pStyle w:val="77"/>
        <w:spacing w:line="440" w:lineRule="exact"/>
        <w:ind w:left="1054" w:hanging="1205" w:hangingChars="500"/>
        <w:jc w:val="left"/>
        <w:outlineLvl w:val="0"/>
        <w:rPr>
          <w:rFonts w:ascii="宋体" w:hAnsi="宋体"/>
          <w:b/>
          <w:bCs/>
          <w:color w:val="auto"/>
          <w:kern w:val="0"/>
          <w:highlight w:val="none"/>
        </w:rPr>
      </w:pPr>
      <w:r>
        <w:rPr>
          <w:rFonts w:hint="eastAsia" w:ascii="宋体" w:hAnsi="宋体"/>
          <w:b/>
          <w:bCs/>
          <w:color w:val="auto"/>
          <w:kern w:val="0"/>
          <w:highlight w:val="none"/>
        </w:rPr>
        <w:t>16.1.2 发包人违约的责任</w:t>
      </w:r>
    </w:p>
    <w:p w14:paraId="090A570A">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发包人违约责任的承担方式和计算方法：</w:t>
      </w:r>
    </w:p>
    <w:p w14:paraId="79BFCE22">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（1）因发包人原因未能在计划开工日期前7天内下达开工通知的违约责任</w:t>
      </w:r>
      <w:r>
        <w:rPr>
          <w:rFonts w:hint="eastAsia" w:ascii="宋体" w:hAnsi="宋体"/>
          <w:color w:val="auto"/>
          <w:kern w:val="0"/>
          <w:highlight w:val="none"/>
          <w:u w:val="single"/>
        </w:rPr>
        <w:t xml:space="preserve">：开工时间相应顺延 </w:t>
      </w:r>
      <w:r>
        <w:rPr>
          <w:rFonts w:hint="eastAsia" w:ascii="宋体" w:hAnsi="宋体"/>
          <w:color w:val="auto"/>
          <w:kern w:val="0"/>
          <w:highlight w:val="none"/>
        </w:rPr>
        <w:t>。</w:t>
      </w:r>
    </w:p>
    <w:p w14:paraId="6DEC9DE9">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（2）因发包人原因未能按专用合同条款第14.2条约定支付合同价款的违约责任：</w:t>
      </w:r>
      <w:r>
        <w:rPr>
          <w:rFonts w:hint="eastAsia" w:ascii="宋体" w:hAnsi="宋体"/>
          <w:color w:val="auto"/>
          <w:kern w:val="0"/>
          <w:highlight w:val="none"/>
          <w:u w:val="single"/>
          <w:lang w:eastAsia="zh-CN"/>
        </w:rPr>
        <w:t>无</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rPr>
        <w:t>。</w:t>
      </w:r>
    </w:p>
    <w:p w14:paraId="18B507CD">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（3）发包人违反专用合同条款第10.1款〔变更的范围〕第（2）项约定，自行实施被取消的工作或转由他人实施的违约责任：</w:t>
      </w:r>
      <w:r>
        <w:rPr>
          <w:rFonts w:hint="eastAsia" w:ascii="宋体" w:hAnsi="宋体"/>
          <w:color w:val="auto"/>
          <w:kern w:val="0"/>
          <w:highlight w:val="none"/>
          <w:u w:val="single"/>
        </w:rPr>
        <w:t>双方另行商定，如承包人不同意实施的除外</w:t>
      </w:r>
      <w:r>
        <w:rPr>
          <w:rFonts w:hint="eastAsia" w:ascii="宋体" w:hAnsi="宋体"/>
          <w:color w:val="auto"/>
          <w:kern w:val="0"/>
          <w:highlight w:val="none"/>
        </w:rPr>
        <w:t>。</w:t>
      </w:r>
    </w:p>
    <w:p w14:paraId="71842408">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（4）发包人提供的材料、工程设备的规格、数量或质量不符合合同约定，或因发包人原因导致交货日期延误或交货地点变更等情况的违约责任：</w:t>
      </w:r>
      <w:r>
        <w:rPr>
          <w:rFonts w:hint="eastAsia" w:ascii="宋体" w:hAnsi="宋体"/>
          <w:color w:val="auto"/>
          <w:kern w:val="0"/>
          <w:highlight w:val="none"/>
          <w:u w:val="single"/>
        </w:rPr>
        <w:t xml:space="preserve"> </w:t>
      </w:r>
      <w:r>
        <w:rPr>
          <w:rFonts w:hint="eastAsia" w:ascii="宋体" w:hAnsi="宋体"/>
          <w:color w:val="auto"/>
          <w:kern w:val="0"/>
          <w:highlight w:val="none"/>
          <w:u w:val="single"/>
          <w:lang w:eastAsia="zh-CN"/>
        </w:rPr>
        <w:t>无</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rPr>
        <w:t>。</w:t>
      </w:r>
    </w:p>
    <w:p w14:paraId="6BD77DDC">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（5）因发包人违反合同约定造成暂停施工的违约责任：</w:t>
      </w:r>
      <w:r>
        <w:rPr>
          <w:rFonts w:hint="eastAsia" w:ascii="宋体" w:hAnsi="宋体"/>
          <w:color w:val="auto"/>
          <w:kern w:val="0"/>
          <w:highlight w:val="none"/>
          <w:u w:val="single"/>
        </w:rPr>
        <w:t>工期顺延</w:t>
      </w:r>
      <w:r>
        <w:rPr>
          <w:rFonts w:hint="eastAsia" w:ascii="宋体" w:hAnsi="宋体"/>
          <w:color w:val="auto"/>
          <w:kern w:val="0"/>
          <w:highlight w:val="none"/>
        </w:rPr>
        <w:t xml:space="preserve"> 。</w:t>
      </w:r>
    </w:p>
    <w:p w14:paraId="7362F838">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（6）发包人无正当理由没有在约定期限内发出复工指示，导致承包人无法复工的违约责任：</w:t>
      </w:r>
      <w:r>
        <w:rPr>
          <w:rFonts w:hint="eastAsia" w:ascii="宋体" w:hAnsi="宋体"/>
          <w:color w:val="auto"/>
          <w:kern w:val="0"/>
          <w:highlight w:val="none"/>
          <w:u w:val="single"/>
        </w:rPr>
        <w:t>工期顺延</w:t>
      </w:r>
      <w:r>
        <w:rPr>
          <w:rFonts w:hint="eastAsia" w:ascii="宋体" w:hAnsi="宋体"/>
          <w:color w:val="auto"/>
          <w:kern w:val="0"/>
          <w:highlight w:val="none"/>
        </w:rPr>
        <w:t xml:space="preserve"> 。</w:t>
      </w:r>
    </w:p>
    <w:p w14:paraId="2456A4E9">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 xml:space="preserve">（7）其他： </w:t>
      </w:r>
      <w:r>
        <w:rPr>
          <w:rFonts w:hint="eastAsia" w:ascii="宋体" w:hAnsi="宋体"/>
          <w:color w:val="auto"/>
          <w:kern w:val="0"/>
          <w:highlight w:val="none"/>
          <w:u w:val="single"/>
        </w:rPr>
        <w:t xml:space="preserve"> 无  </w:t>
      </w:r>
      <w:r>
        <w:rPr>
          <w:rFonts w:hint="eastAsia" w:ascii="宋体" w:hAnsi="宋体"/>
          <w:color w:val="auto"/>
          <w:kern w:val="0"/>
          <w:highlight w:val="none"/>
        </w:rPr>
        <w:t>。</w:t>
      </w:r>
    </w:p>
    <w:p w14:paraId="7FEC8381">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16.1.3 因发包人违约解除合同</w:t>
      </w:r>
    </w:p>
    <w:p w14:paraId="1119A8CE">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承包人按专用合同条款16.1.1项〔发包人违约的情形〕约定暂停施工满</w:t>
      </w:r>
      <w:r>
        <w:rPr>
          <w:rFonts w:hint="eastAsia" w:ascii="宋体" w:hAnsi="宋体"/>
          <w:color w:val="auto"/>
          <w:kern w:val="0"/>
          <w:highlight w:val="none"/>
          <w:u w:val="single"/>
        </w:rPr>
        <w:t xml:space="preserve"> 90 </w:t>
      </w:r>
      <w:r>
        <w:rPr>
          <w:rFonts w:hint="eastAsia" w:ascii="宋体" w:hAnsi="宋体"/>
          <w:color w:val="auto"/>
          <w:kern w:val="0"/>
          <w:highlight w:val="none"/>
        </w:rPr>
        <w:t>天后发包人仍不纠正其违约行为并致使合同目的不能实现的，承包人有权解除合同。</w:t>
      </w:r>
    </w:p>
    <w:p w14:paraId="15C577D5">
      <w:pPr>
        <w:pStyle w:val="91"/>
        <w:spacing w:before="120" w:after="120" w:line="440" w:lineRule="exact"/>
        <w:outlineLvl w:val="0"/>
        <w:rPr>
          <w:rFonts w:ascii="宋体" w:hAnsi="宋体"/>
          <w:color w:val="auto"/>
          <w:highlight w:val="none"/>
        </w:rPr>
      </w:pPr>
      <w:r>
        <w:rPr>
          <w:rFonts w:hint="eastAsia" w:ascii="宋体" w:hAnsi="宋体"/>
          <w:color w:val="auto"/>
          <w:highlight w:val="none"/>
        </w:rPr>
        <w:t>16.2 承包人违约</w:t>
      </w:r>
    </w:p>
    <w:p w14:paraId="38B53D72">
      <w:pPr>
        <w:pStyle w:val="77"/>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16.2.1 承包人违约的情形</w:t>
      </w:r>
    </w:p>
    <w:p w14:paraId="608F4803">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 xml:space="preserve">承包人违约的其他情形： </w:t>
      </w:r>
    </w:p>
    <w:p w14:paraId="22410F1D">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（8）承包人未在约定的时间内提供完整的工程竣工结算资料，经发包人书面催促后</w:t>
      </w:r>
      <w:r>
        <w:rPr>
          <w:rFonts w:hint="eastAsia" w:ascii="宋体" w:hAnsi="宋体"/>
          <w:color w:val="auto"/>
          <w:kern w:val="0"/>
          <w:highlight w:val="none"/>
          <w:u w:val="single"/>
        </w:rPr>
        <w:t xml:space="preserve"> 28 </w:t>
      </w:r>
      <w:r>
        <w:rPr>
          <w:rFonts w:hint="eastAsia" w:ascii="宋体" w:hAnsi="宋体"/>
          <w:color w:val="auto"/>
          <w:kern w:val="0"/>
          <w:highlight w:val="none"/>
        </w:rPr>
        <w:t>天内仍未提交。</w:t>
      </w:r>
    </w:p>
    <w:p w14:paraId="60103BA6">
      <w:pPr>
        <w:pStyle w:val="77"/>
        <w:autoSpaceDE w:val="0"/>
        <w:autoSpaceDN w:val="0"/>
        <w:adjustRightInd w:val="0"/>
        <w:spacing w:line="440" w:lineRule="exact"/>
        <w:jc w:val="left"/>
        <w:rPr>
          <w:rFonts w:ascii="宋体" w:hAnsi="宋体"/>
          <w:color w:val="auto"/>
          <w:kern w:val="0"/>
          <w:highlight w:val="none"/>
        </w:rPr>
      </w:pPr>
      <w:r>
        <w:rPr>
          <w:rFonts w:hint="eastAsia" w:ascii="宋体" w:hAnsi="宋体"/>
          <w:color w:val="auto"/>
          <w:kern w:val="0"/>
          <w:highlight w:val="none"/>
        </w:rPr>
        <w:t>16.2.2承包人违约的责任</w:t>
      </w:r>
    </w:p>
    <w:p w14:paraId="3E7DDE2E">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 xml:space="preserve">承包人违约责任的承担方式和计算方法： </w:t>
      </w:r>
    </w:p>
    <w:p w14:paraId="30A0E1FF">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（1）承包人违反合同约定进行转包或违法分包的，</w:t>
      </w:r>
      <w:r>
        <w:rPr>
          <w:rFonts w:hint="eastAsia" w:ascii="宋体" w:hAnsi="宋体"/>
          <w:color w:val="auto"/>
          <w:kern w:val="0"/>
          <w:highlight w:val="none"/>
          <w:lang w:eastAsia="zh-CN"/>
        </w:rPr>
        <w:t>发</w:t>
      </w:r>
      <w:r>
        <w:rPr>
          <w:rFonts w:hint="eastAsia" w:ascii="宋体" w:hAnsi="宋体"/>
          <w:color w:val="auto"/>
          <w:kern w:val="0"/>
          <w:highlight w:val="none"/>
        </w:rPr>
        <w:t>包人要求其在指定的期限内改正，并且承包人应按合同价款20%向发包人支付违约金；</w:t>
      </w:r>
    </w:p>
    <w:p w14:paraId="723BA758">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（2）承包人违反合同约定采购和使用不合格的材料和工程设备的，承包人应将不合格的材料和工程设备的限期清理出施工场地，并负责承担返工及造成损失的费用；</w:t>
      </w:r>
    </w:p>
    <w:p w14:paraId="24C44C00">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 xml:space="preserve">（3）因承包人原因导致工程质量不符合合同要求的，承包人应负责返工或修整，并负责由此产生的费用和损失； </w:t>
      </w:r>
    </w:p>
    <w:p w14:paraId="3E8CE6AD">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（4）承包人违反通用合同条款第8.9款〔材料与设备专用要求〕的约定，未经批准，私自将已按照合同约定进入施工现场的材料或设备撤离施工现场的，承包人应负责承担由此产生的费用和损失；</w:t>
      </w:r>
    </w:p>
    <w:p w14:paraId="16698844">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（5）承包人未能按施工进度计划及时完成合同约定的工作，造成工期延误的，承包人应进行施工进度计划调整并按时完成合同约定的工作，并承担赶工所产生的费用；</w:t>
      </w:r>
    </w:p>
    <w:p w14:paraId="606DC54E">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w:t>
      </w:r>
      <w:r>
        <w:rPr>
          <w:rFonts w:hint="eastAsia" w:ascii="宋体" w:hAnsi="宋体"/>
          <w:color w:val="auto"/>
          <w:kern w:val="0"/>
          <w:highlight w:val="none"/>
          <w:lang w:val="en-US" w:eastAsia="zh-CN"/>
        </w:rPr>
        <w:t>6</w:t>
      </w:r>
      <w:r>
        <w:rPr>
          <w:rFonts w:hint="eastAsia" w:ascii="宋体" w:hAnsi="宋体"/>
          <w:color w:val="auto"/>
          <w:kern w:val="0"/>
          <w:highlight w:val="none"/>
        </w:rPr>
        <w:t>）承包人明确表示或者以其行为表明不履行合同主要义务的，发包人有权解除合同，并承担发包人不能按期投入使用所造成全部的损失。</w:t>
      </w:r>
    </w:p>
    <w:p w14:paraId="6190A768">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w:t>
      </w:r>
      <w:r>
        <w:rPr>
          <w:rFonts w:hint="eastAsia" w:ascii="宋体" w:hAnsi="宋体"/>
          <w:color w:val="auto"/>
          <w:kern w:val="0"/>
          <w:highlight w:val="none"/>
          <w:lang w:val="en-US" w:eastAsia="zh-CN"/>
        </w:rPr>
        <w:t>7</w:t>
      </w:r>
      <w:r>
        <w:rPr>
          <w:rFonts w:hint="eastAsia" w:ascii="宋体" w:hAnsi="宋体"/>
          <w:color w:val="auto"/>
          <w:kern w:val="0"/>
          <w:highlight w:val="none"/>
        </w:rPr>
        <w:t>）承包人未按合同约定工期竣工延误工期的，每延期一天，承包人应按合同额的万分之四/天向发包人支付违约金，违约金上限为合同额的2%。</w:t>
      </w:r>
    </w:p>
    <w:p w14:paraId="36BF8A38">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w:t>
      </w:r>
      <w:r>
        <w:rPr>
          <w:rFonts w:hint="eastAsia" w:ascii="宋体" w:hAnsi="宋体"/>
          <w:color w:val="auto"/>
          <w:kern w:val="0"/>
          <w:highlight w:val="none"/>
          <w:lang w:val="en-US" w:eastAsia="zh-CN"/>
        </w:rPr>
        <w:t>8</w:t>
      </w:r>
      <w:r>
        <w:rPr>
          <w:rFonts w:hint="eastAsia" w:ascii="宋体" w:hAnsi="宋体"/>
          <w:color w:val="auto"/>
          <w:kern w:val="0"/>
          <w:highlight w:val="none"/>
        </w:rPr>
        <w:t>）承包人未在约定的时间内提供完整的工程竣工结算资料，经发包人书面催促后28天内仍未提交，则发包人有权将已有资料送审计单位进行结算审计，由此产生的责任由承包人自负；</w:t>
      </w:r>
    </w:p>
    <w:p w14:paraId="034EB86E">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w:t>
      </w:r>
      <w:r>
        <w:rPr>
          <w:rFonts w:hint="eastAsia" w:ascii="宋体" w:hAnsi="宋体"/>
          <w:color w:val="auto"/>
          <w:kern w:val="0"/>
          <w:highlight w:val="none"/>
          <w:lang w:val="en-US" w:eastAsia="zh-CN"/>
        </w:rPr>
        <w:t>9</w:t>
      </w:r>
      <w:r>
        <w:rPr>
          <w:rFonts w:hint="eastAsia" w:ascii="宋体" w:hAnsi="宋体"/>
          <w:color w:val="auto"/>
          <w:kern w:val="0"/>
          <w:highlight w:val="none"/>
        </w:rPr>
        <w:t>）承包人的其他违约见本合同补充条款第21条及其他条款的约定。</w:t>
      </w:r>
    </w:p>
    <w:p w14:paraId="605D7C44">
      <w:pPr>
        <w:pStyle w:val="77"/>
        <w:autoSpaceDE w:val="0"/>
        <w:autoSpaceDN w:val="0"/>
        <w:adjustRightInd w:val="0"/>
        <w:spacing w:line="440" w:lineRule="exact"/>
        <w:jc w:val="left"/>
        <w:outlineLvl w:val="0"/>
        <w:rPr>
          <w:rFonts w:ascii="宋体" w:hAnsi="宋体"/>
          <w:color w:val="auto"/>
          <w:kern w:val="0"/>
          <w:highlight w:val="none"/>
        </w:rPr>
      </w:pPr>
      <w:r>
        <w:rPr>
          <w:rFonts w:hint="eastAsia" w:ascii="宋体" w:hAnsi="宋体"/>
          <w:color w:val="auto"/>
          <w:kern w:val="0"/>
          <w:highlight w:val="none"/>
        </w:rPr>
        <w:t>16.2.3 因承包人违约解除合同</w:t>
      </w:r>
    </w:p>
    <w:p w14:paraId="40A5DEAE">
      <w:pPr>
        <w:pStyle w:val="77"/>
        <w:spacing w:before="120" w:after="120" w:line="440" w:lineRule="exact"/>
        <w:ind w:firstLine="600" w:firstLineChars="250"/>
        <w:rPr>
          <w:rFonts w:ascii="宋体" w:hAnsi="宋体"/>
          <w:color w:val="auto"/>
          <w:kern w:val="0"/>
          <w:highlight w:val="none"/>
        </w:rPr>
      </w:pPr>
      <w:r>
        <w:rPr>
          <w:rFonts w:hint="eastAsia" w:ascii="宋体" w:hAnsi="宋体"/>
          <w:color w:val="auto"/>
          <w:kern w:val="0"/>
          <w:highlight w:val="none"/>
        </w:rPr>
        <w:t>关于承包人违约解除合同的特别约定：</w:t>
      </w:r>
      <w:r>
        <w:rPr>
          <w:rFonts w:hint="eastAsia" w:ascii="宋体" w:hAnsi="宋体"/>
          <w:color w:val="auto"/>
          <w:kern w:val="0"/>
          <w:highlight w:val="none"/>
          <w:u w:val="single"/>
        </w:rPr>
        <w:t xml:space="preserve">  无   </w:t>
      </w:r>
      <w:r>
        <w:rPr>
          <w:rFonts w:hint="eastAsia" w:ascii="宋体" w:hAnsi="宋体"/>
          <w:color w:val="auto"/>
          <w:kern w:val="0"/>
          <w:highlight w:val="none"/>
        </w:rPr>
        <w:t>。</w:t>
      </w:r>
    </w:p>
    <w:p w14:paraId="5825BFCC">
      <w:pPr>
        <w:pStyle w:val="77"/>
        <w:spacing w:before="120" w:after="120" w:line="440" w:lineRule="exact"/>
        <w:ind w:firstLine="480" w:firstLineChars="200"/>
        <w:rPr>
          <w:rFonts w:ascii="宋体" w:hAnsi="宋体"/>
          <w:color w:val="auto"/>
          <w:kern w:val="0"/>
          <w:highlight w:val="none"/>
        </w:rPr>
      </w:pPr>
      <w:r>
        <w:rPr>
          <w:rFonts w:hint="eastAsia" w:ascii="宋体" w:hAnsi="宋体"/>
          <w:color w:val="auto"/>
          <w:kern w:val="0"/>
          <w:highlight w:val="none"/>
        </w:rPr>
        <w:t>发包人继续使用承包人在施工现场的材料、设备、临时工程、承包人文件和由承包人或以其名义编制的其他文件的费用承担方式：</w:t>
      </w:r>
      <w:r>
        <w:rPr>
          <w:rFonts w:hint="eastAsia" w:ascii="宋体" w:hAnsi="宋体"/>
          <w:color w:val="auto"/>
          <w:kern w:val="0"/>
          <w:highlight w:val="none"/>
          <w:u w:val="single"/>
        </w:rPr>
        <w:t xml:space="preserve"> 无</w:t>
      </w:r>
      <w:r>
        <w:rPr>
          <w:rFonts w:hint="eastAsia" w:ascii="宋体" w:hAnsi="宋体"/>
          <w:color w:val="auto"/>
          <w:kern w:val="0"/>
          <w:highlight w:val="none"/>
        </w:rPr>
        <w:t>。</w:t>
      </w:r>
    </w:p>
    <w:p w14:paraId="7A335B1A">
      <w:pPr>
        <w:pStyle w:val="91"/>
        <w:spacing w:before="120" w:after="120" w:line="440" w:lineRule="exact"/>
        <w:outlineLvl w:val="0"/>
        <w:rPr>
          <w:rFonts w:ascii="宋体" w:hAnsi="宋体"/>
          <w:color w:val="auto"/>
          <w:highlight w:val="none"/>
        </w:rPr>
      </w:pPr>
      <w:r>
        <w:rPr>
          <w:rFonts w:hint="eastAsia" w:ascii="宋体" w:hAnsi="宋体"/>
          <w:color w:val="auto"/>
          <w:highlight w:val="none"/>
        </w:rPr>
        <w:t xml:space="preserve">17. 不可抗力 </w:t>
      </w:r>
    </w:p>
    <w:p w14:paraId="382D8618">
      <w:pPr>
        <w:pStyle w:val="91"/>
        <w:spacing w:before="120" w:after="120" w:line="440" w:lineRule="exact"/>
        <w:ind w:firstLine="420"/>
        <w:rPr>
          <w:rFonts w:ascii="宋体" w:hAnsi="宋体"/>
          <w:color w:val="auto"/>
          <w:highlight w:val="none"/>
        </w:rPr>
      </w:pPr>
      <w:r>
        <w:rPr>
          <w:rFonts w:hint="eastAsia" w:ascii="宋体" w:hAnsi="宋体"/>
          <w:color w:val="auto"/>
          <w:highlight w:val="none"/>
        </w:rPr>
        <w:t>17.1 不可抗力的确认</w:t>
      </w:r>
    </w:p>
    <w:p w14:paraId="04E0F94A">
      <w:pPr>
        <w:pStyle w:val="77"/>
        <w:spacing w:line="440" w:lineRule="exact"/>
        <w:ind w:firstLine="480" w:firstLineChars="200"/>
        <w:jc w:val="left"/>
        <w:rPr>
          <w:rFonts w:ascii="宋体" w:hAnsi="宋体"/>
          <w:b/>
          <w:bCs/>
          <w:color w:val="auto"/>
          <w:kern w:val="0"/>
          <w:highlight w:val="none"/>
          <w:u w:val="single"/>
        </w:rPr>
      </w:pPr>
      <w:r>
        <w:rPr>
          <w:rFonts w:hint="eastAsia" w:ascii="宋体" w:hAnsi="宋体"/>
          <w:color w:val="auto"/>
          <w:highlight w:val="none"/>
        </w:rPr>
        <w:t>除通用合同条款约定的不可抗力事件之外，视为不可抗力的其他情形：</w:t>
      </w:r>
      <w:r>
        <w:rPr>
          <w:rFonts w:hint="eastAsia" w:ascii="宋体" w:hAnsi="宋体"/>
          <w:b/>
          <w:bCs/>
          <w:color w:val="auto"/>
          <w:highlight w:val="none"/>
          <w:u w:val="single"/>
        </w:rPr>
        <w:t xml:space="preserve"> </w:t>
      </w:r>
      <w:r>
        <w:rPr>
          <w:rFonts w:hint="eastAsia" w:ascii="宋体" w:hAnsi="宋体"/>
          <w:b/>
          <w:bCs/>
          <w:color w:val="auto"/>
          <w:kern w:val="0"/>
          <w:highlight w:val="none"/>
          <w:u w:val="single"/>
        </w:rPr>
        <w:t>十级以上的台风、连续3小时降雨达100毫米以上的暴雨。</w:t>
      </w:r>
    </w:p>
    <w:p w14:paraId="4D953481">
      <w:pPr>
        <w:pStyle w:val="91"/>
        <w:spacing w:before="120" w:after="120" w:line="440" w:lineRule="exact"/>
        <w:outlineLvl w:val="0"/>
        <w:rPr>
          <w:rFonts w:ascii="宋体" w:hAnsi="宋体"/>
          <w:color w:val="auto"/>
          <w:highlight w:val="none"/>
        </w:rPr>
      </w:pPr>
      <w:r>
        <w:rPr>
          <w:rFonts w:hint="eastAsia" w:ascii="宋体" w:hAnsi="宋体"/>
          <w:color w:val="auto"/>
          <w:highlight w:val="none"/>
        </w:rPr>
        <w:t>17.4 因不可抗力解除合同</w:t>
      </w:r>
    </w:p>
    <w:p w14:paraId="4BFF3570">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合同解除后，发包人应在商定或确定发包人应支付款项后</w:t>
      </w:r>
      <w:r>
        <w:rPr>
          <w:rFonts w:hint="eastAsia" w:ascii="宋体" w:hAnsi="宋体"/>
          <w:color w:val="auto"/>
          <w:highlight w:val="none"/>
          <w:u w:val="single"/>
        </w:rPr>
        <w:t xml:space="preserve"> </w:t>
      </w:r>
      <w:r>
        <w:rPr>
          <w:rFonts w:hint="eastAsia" w:ascii="宋体" w:hAnsi="宋体"/>
          <w:color w:val="auto"/>
          <w:highlight w:val="none"/>
          <w:u w:val="single"/>
          <w:lang w:eastAsia="zh-CN"/>
        </w:rPr>
        <w:t>按审批流程</w:t>
      </w:r>
      <w:r>
        <w:rPr>
          <w:rFonts w:hint="eastAsia" w:ascii="宋体" w:hAnsi="宋体"/>
          <w:color w:val="auto"/>
          <w:highlight w:val="none"/>
          <w:u w:val="single"/>
          <w:lang w:val="en-US" w:eastAsia="zh-CN"/>
        </w:rPr>
        <w:t xml:space="preserve"> </w:t>
      </w:r>
      <w:r>
        <w:rPr>
          <w:rFonts w:hint="eastAsia" w:ascii="宋体" w:hAnsi="宋体"/>
          <w:color w:val="auto"/>
          <w:highlight w:val="none"/>
        </w:rPr>
        <w:t>完成款项的支付。</w:t>
      </w:r>
    </w:p>
    <w:p w14:paraId="4720E198">
      <w:pPr>
        <w:pStyle w:val="91"/>
        <w:spacing w:before="120" w:after="120" w:line="440" w:lineRule="exact"/>
        <w:outlineLvl w:val="0"/>
        <w:rPr>
          <w:rFonts w:ascii="宋体" w:hAnsi="宋体"/>
          <w:color w:val="auto"/>
          <w:highlight w:val="none"/>
        </w:rPr>
      </w:pPr>
      <w:r>
        <w:rPr>
          <w:rFonts w:hint="eastAsia" w:ascii="宋体" w:hAnsi="宋体"/>
          <w:color w:val="auto"/>
          <w:highlight w:val="none"/>
        </w:rPr>
        <w:t>18. 保险</w:t>
      </w:r>
    </w:p>
    <w:p w14:paraId="7400DBD3">
      <w:pPr>
        <w:pStyle w:val="91"/>
        <w:spacing w:before="120" w:after="120" w:line="440" w:lineRule="exact"/>
        <w:outlineLvl w:val="0"/>
        <w:rPr>
          <w:rFonts w:ascii="宋体" w:hAnsi="宋体"/>
          <w:color w:val="auto"/>
          <w:highlight w:val="none"/>
        </w:rPr>
      </w:pPr>
      <w:r>
        <w:rPr>
          <w:rFonts w:hint="eastAsia" w:ascii="宋体" w:hAnsi="宋体"/>
          <w:color w:val="auto"/>
          <w:highlight w:val="none"/>
        </w:rPr>
        <w:t>18.1 工程保险</w:t>
      </w:r>
    </w:p>
    <w:p w14:paraId="0DB5C951">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关于工程保险的特别约定：</w:t>
      </w:r>
      <w:r>
        <w:rPr>
          <w:rFonts w:hint="eastAsia" w:ascii="宋体" w:hAnsi="宋体"/>
          <w:color w:val="auto"/>
          <w:highlight w:val="none"/>
          <w:u w:val="single"/>
        </w:rPr>
        <w:t xml:space="preserve">工伤保险由承包人按照规定标准为职工进行投保。 </w:t>
      </w:r>
    </w:p>
    <w:p w14:paraId="54FD55A8">
      <w:pPr>
        <w:pStyle w:val="91"/>
        <w:spacing w:before="120" w:after="120" w:line="440" w:lineRule="exact"/>
        <w:outlineLvl w:val="0"/>
        <w:rPr>
          <w:rFonts w:ascii="宋体" w:hAnsi="宋体"/>
          <w:color w:val="auto"/>
          <w:highlight w:val="none"/>
        </w:rPr>
      </w:pPr>
      <w:r>
        <w:rPr>
          <w:rFonts w:hint="eastAsia" w:ascii="宋体" w:hAnsi="宋体"/>
          <w:color w:val="auto"/>
          <w:highlight w:val="none"/>
        </w:rPr>
        <w:t>18.3 其他保险</w:t>
      </w:r>
    </w:p>
    <w:p w14:paraId="29664500">
      <w:pPr>
        <w:pStyle w:val="77"/>
        <w:widowControl/>
        <w:snapToGrid w:val="0"/>
        <w:spacing w:line="440" w:lineRule="exact"/>
        <w:ind w:firstLine="480" w:firstLineChars="200"/>
        <w:rPr>
          <w:rFonts w:ascii="宋体" w:hAnsi="宋体"/>
          <w:color w:val="auto"/>
          <w:kern w:val="0"/>
          <w:highlight w:val="none"/>
          <w:u w:val="single"/>
        </w:rPr>
      </w:pPr>
      <w:r>
        <w:rPr>
          <w:rFonts w:hint="eastAsia" w:ascii="宋体" w:hAnsi="宋体"/>
          <w:color w:val="auto"/>
          <w:highlight w:val="none"/>
        </w:rPr>
        <w:t>关于其他保险的约定：</w:t>
      </w:r>
      <w:r>
        <w:rPr>
          <w:rFonts w:hint="eastAsia" w:ascii="宋体" w:hAnsi="宋体"/>
          <w:color w:val="auto"/>
          <w:highlight w:val="none"/>
          <w:u w:val="single"/>
          <w:lang w:val="en-US" w:eastAsia="zh-CN"/>
        </w:rPr>
        <w:t>/</w:t>
      </w:r>
      <w:r>
        <w:rPr>
          <w:rFonts w:hint="eastAsia" w:ascii="宋体" w:hAnsi="宋体"/>
          <w:color w:val="auto"/>
          <w:kern w:val="0"/>
          <w:highlight w:val="none"/>
        </w:rPr>
        <w:t>。</w:t>
      </w:r>
      <w:r>
        <w:rPr>
          <w:rFonts w:hint="eastAsia" w:ascii="宋体" w:hAnsi="宋体"/>
          <w:color w:val="auto"/>
          <w:highlight w:val="none"/>
        </w:rPr>
        <w:t xml:space="preserve"> </w:t>
      </w:r>
    </w:p>
    <w:p w14:paraId="0050E8B5">
      <w:pPr>
        <w:pStyle w:val="77"/>
        <w:spacing w:line="440" w:lineRule="exact"/>
        <w:ind w:firstLine="480" w:firstLineChars="200"/>
        <w:jc w:val="left"/>
        <w:rPr>
          <w:rFonts w:ascii="宋体" w:hAnsi="宋体"/>
          <w:color w:val="auto"/>
          <w:kern w:val="0"/>
          <w:highlight w:val="none"/>
        </w:rPr>
      </w:pPr>
      <w:r>
        <w:rPr>
          <w:rFonts w:hint="eastAsia" w:ascii="宋体" w:hAnsi="宋体"/>
          <w:color w:val="auto"/>
          <w:highlight w:val="none"/>
        </w:rPr>
        <w:t>承包人是否应为其施工设备等办理财产保险：</w:t>
      </w:r>
      <w:r>
        <w:rPr>
          <w:rFonts w:hint="eastAsia" w:ascii="宋体" w:hAnsi="宋体"/>
          <w:color w:val="auto"/>
          <w:highlight w:val="none"/>
          <w:u w:val="single"/>
        </w:rPr>
        <w:t xml:space="preserve">  按《通用合同条款》执行   </w:t>
      </w:r>
      <w:r>
        <w:rPr>
          <w:rFonts w:hint="eastAsia" w:ascii="宋体" w:hAnsi="宋体"/>
          <w:color w:val="auto"/>
          <w:highlight w:val="none"/>
        </w:rPr>
        <w:t>。</w:t>
      </w:r>
    </w:p>
    <w:p w14:paraId="2FDDDA69">
      <w:pPr>
        <w:pStyle w:val="91"/>
        <w:spacing w:before="120" w:after="120" w:line="440" w:lineRule="exact"/>
        <w:outlineLvl w:val="0"/>
        <w:rPr>
          <w:rFonts w:ascii="宋体" w:hAnsi="宋体"/>
          <w:color w:val="auto"/>
          <w:highlight w:val="none"/>
        </w:rPr>
      </w:pPr>
      <w:r>
        <w:rPr>
          <w:rFonts w:hint="eastAsia" w:ascii="宋体" w:hAnsi="宋体"/>
          <w:color w:val="auto"/>
          <w:highlight w:val="none"/>
        </w:rPr>
        <w:t>18.7 通知义务</w:t>
      </w:r>
    </w:p>
    <w:p w14:paraId="28E9B274">
      <w:pPr>
        <w:pStyle w:val="77"/>
        <w:spacing w:line="440" w:lineRule="exact"/>
        <w:ind w:firstLine="480" w:firstLineChars="200"/>
        <w:jc w:val="left"/>
        <w:rPr>
          <w:rFonts w:ascii="宋体" w:hAnsi="宋体"/>
          <w:color w:val="auto"/>
          <w:highlight w:val="none"/>
        </w:rPr>
      </w:pPr>
      <w:r>
        <w:rPr>
          <w:rFonts w:hint="eastAsia" w:ascii="宋体" w:hAnsi="宋体"/>
          <w:color w:val="auto"/>
          <w:kern w:val="0"/>
          <w:highlight w:val="none"/>
        </w:rPr>
        <w:t xml:space="preserve"> 关于变更保险合同时的通知义务的约定：</w:t>
      </w:r>
      <w:r>
        <w:rPr>
          <w:rFonts w:hint="eastAsia" w:ascii="宋体" w:hAnsi="宋体"/>
          <w:color w:val="auto"/>
          <w:highlight w:val="none"/>
          <w:u w:val="single"/>
        </w:rPr>
        <w:t xml:space="preserve">按《通用合同条款》执行  </w:t>
      </w:r>
      <w:r>
        <w:rPr>
          <w:rFonts w:hint="eastAsia" w:ascii="宋体" w:hAnsi="宋体"/>
          <w:color w:val="auto"/>
          <w:highlight w:val="none"/>
        </w:rPr>
        <w:t>。</w:t>
      </w:r>
    </w:p>
    <w:p w14:paraId="6D6B9AAF">
      <w:pPr>
        <w:pStyle w:val="91"/>
        <w:spacing w:before="120" w:after="120" w:line="440" w:lineRule="exact"/>
        <w:outlineLvl w:val="0"/>
        <w:rPr>
          <w:rFonts w:ascii="宋体" w:hAnsi="宋体"/>
          <w:color w:val="auto"/>
          <w:highlight w:val="none"/>
        </w:rPr>
      </w:pPr>
      <w:r>
        <w:rPr>
          <w:rFonts w:hint="eastAsia" w:ascii="宋体" w:hAnsi="宋体"/>
          <w:color w:val="auto"/>
          <w:highlight w:val="none"/>
        </w:rPr>
        <w:t>20. 争议解决</w:t>
      </w:r>
    </w:p>
    <w:p w14:paraId="63C22F4A">
      <w:pPr>
        <w:pStyle w:val="91"/>
        <w:spacing w:before="120" w:after="120" w:line="440" w:lineRule="exact"/>
        <w:outlineLvl w:val="0"/>
        <w:rPr>
          <w:rFonts w:ascii="宋体" w:hAnsi="宋体"/>
          <w:color w:val="auto"/>
          <w:highlight w:val="none"/>
        </w:rPr>
      </w:pPr>
      <w:r>
        <w:rPr>
          <w:rFonts w:hint="eastAsia" w:ascii="宋体" w:hAnsi="宋体"/>
          <w:color w:val="auto"/>
          <w:highlight w:val="none"/>
        </w:rPr>
        <w:t>20.3 争议评审</w:t>
      </w:r>
    </w:p>
    <w:p w14:paraId="26EE59CB">
      <w:pPr>
        <w:pStyle w:val="77"/>
        <w:spacing w:line="440" w:lineRule="exact"/>
        <w:ind w:left="149" w:leftChars="71" w:firstLine="360" w:firstLineChars="150"/>
        <w:jc w:val="left"/>
        <w:rPr>
          <w:rFonts w:ascii="宋体" w:hAnsi="宋体"/>
          <w:color w:val="auto"/>
          <w:highlight w:val="none"/>
          <w:u w:val="single"/>
        </w:rPr>
      </w:pPr>
      <w:r>
        <w:rPr>
          <w:rFonts w:hint="eastAsia" w:ascii="宋体" w:hAnsi="宋体"/>
          <w:color w:val="auto"/>
          <w:highlight w:val="none"/>
        </w:rPr>
        <w:t xml:space="preserve">合同当事人是否同意将工程争议提交争议评审小组决定：  </w:t>
      </w:r>
      <w:r>
        <w:rPr>
          <w:rFonts w:hint="eastAsia" w:ascii="宋体" w:hAnsi="宋体"/>
          <w:color w:val="auto"/>
          <w:highlight w:val="none"/>
          <w:u w:val="single"/>
        </w:rPr>
        <w:t xml:space="preserve"> 否   </w:t>
      </w:r>
      <w:r>
        <w:rPr>
          <w:rFonts w:hint="eastAsia" w:ascii="宋体" w:hAnsi="宋体"/>
          <w:color w:val="auto"/>
          <w:highlight w:val="none"/>
        </w:rPr>
        <w:t xml:space="preserve">。  </w:t>
      </w:r>
    </w:p>
    <w:p w14:paraId="0EA52C89">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20.3.1 争议评审小组的确定</w:t>
      </w:r>
    </w:p>
    <w:p w14:paraId="0877B4D1">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争议评审小组成员的确定：</w:t>
      </w:r>
      <w:r>
        <w:rPr>
          <w:rFonts w:hint="eastAsia" w:ascii="宋体" w:hAnsi="宋体"/>
          <w:color w:val="auto"/>
          <w:highlight w:val="none"/>
          <w:u w:val="single"/>
        </w:rPr>
        <w:t xml:space="preserve">   /   </w:t>
      </w:r>
      <w:r>
        <w:rPr>
          <w:rFonts w:hint="eastAsia" w:ascii="宋体" w:hAnsi="宋体"/>
          <w:color w:val="auto"/>
          <w:highlight w:val="none"/>
        </w:rPr>
        <w:t>。</w:t>
      </w:r>
    </w:p>
    <w:p w14:paraId="464FA03B">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选定争议评审员的期限：</w:t>
      </w:r>
      <w:r>
        <w:rPr>
          <w:rFonts w:hint="eastAsia" w:ascii="宋体" w:hAnsi="宋体"/>
          <w:color w:val="auto"/>
          <w:highlight w:val="none"/>
          <w:u w:val="single"/>
        </w:rPr>
        <w:t xml:space="preserve">    /   </w:t>
      </w:r>
      <w:r>
        <w:rPr>
          <w:rFonts w:hint="eastAsia" w:ascii="宋体" w:hAnsi="宋体"/>
          <w:color w:val="auto"/>
          <w:highlight w:val="none"/>
        </w:rPr>
        <w:t>。</w:t>
      </w:r>
    </w:p>
    <w:p w14:paraId="45021C87">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争议评审小组成员的报酬承担方式：</w:t>
      </w:r>
      <w:r>
        <w:rPr>
          <w:rFonts w:hint="eastAsia" w:ascii="宋体" w:hAnsi="宋体"/>
          <w:color w:val="auto"/>
          <w:highlight w:val="none"/>
          <w:u w:val="single"/>
        </w:rPr>
        <w:t xml:space="preserve">   /    </w:t>
      </w:r>
      <w:r>
        <w:rPr>
          <w:rFonts w:hint="eastAsia" w:ascii="宋体" w:hAnsi="宋体"/>
          <w:color w:val="auto"/>
          <w:highlight w:val="none"/>
        </w:rPr>
        <w:t>。</w:t>
      </w:r>
    </w:p>
    <w:p w14:paraId="3974A40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其他事项的约定：</w:t>
      </w:r>
      <w:r>
        <w:rPr>
          <w:rFonts w:hint="eastAsia" w:ascii="宋体" w:hAnsi="宋体"/>
          <w:color w:val="auto"/>
          <w:highlight w:val="none"/>
          <w:u w:val="single"/>
        </w:rPr>
        <w:t xml:space="preserve">      /         </w:t>
      </w:r>
      <w:r>
        <w:rPr>
          <w:rFonts w:hint="eastAsia" w:ascii="宋体" w:hAnsi="宋体"/>
          <w:color w:val="auto"/>
          <w:highlight w:val="none"/>
        </w:rPr>
        <w:t>。</w:t>
      </w:r>
    </w:p>
    <w:p w14:paraId="41FC4EB2">
      <w:pPr>
        <w:pStyle w:val="77"/>
        <w:autoSpaceDE w:val="0"/>
        <w:autoSpaceDN w:val="0"/>
        <w:adjustRightInd w:val="0"/>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20.3.2 争议评审小组的决定</w:t>
      </w:r>
    </w:p>
    <w:p w14:paraId="54DA8B67">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合同当事人关于本项的约定：</w:t>
      </w:r>
      <w:r>
        <w:rPr>
          <w:rFonts w:hint="eastAsia" w:ascii="宋体" w:hAnsi="宋体"/>
          <w:color w:val="auto"/>
          <w:highlight w:val="none"/>
          <w:u w:val="single"/>
        </w:rPr>
        <w:t xml:space="preserve">  /    </w:t>
      </w:r>
      <w:r>
        <w:rPr>
          <w:rFonts w:hint="eastAsia" w:ascii="宋体" w:hAnsi="宋体"/>
          <w:color w:val="auto"/>
          <w:highlight w:val="none"/>
        </w:rPr>
        <w:t>。</w:t>
      </w:r>
    </w:p>
    <w:p w14:paraId="61358487">
      <w:pPr>
        <w:pStyle w:val="91"/>
        <w:spacing w:before="120" w:after="120" w:line="440" w:lineRule="exact"/>
        <w:rPr>
          <w:rFonts w:ascii="宋体" w:hAnsi="宋体"/>
          <w:color w:val="auto"/>
          <w:highlight w:val="none"/>
        </w:rPr>
      </w:pPr>
      <w:r>
        <w:rPr>
          <w:rFonts w:hint="eastAsia" w:ascii="宋体" w:hAnsi="宋体"/>
          <w:color w:val="auto"/>
          <w:highlight w:val="none"/>
        </w:rPr>
        <w:t>20.4仲裁或诉讼</w:t>
      </w:r>
    </w:p>
    <w:p w14:paraId="7AB0CAF7">
      <w:pPr>
        <w:pStyle w:val="77"/>
        <w:spacing w:after="120" w:line="440" w:lineRule="exact"/>
        <w:ind w:firstLine="480" w:firstLineChars="200"/>
        <w:rPr>
          <w:rFonts w:ascii="宋体" w:hAnsi="宋体"/>
          <w:color w:val="auto"/>
          <w:highlight w:val="none"/>
        </w:rPr>
      </w:pPr>
      <w:r>
        <w:rPr>
          <w:rFonts w:hint="eastAsia" w:ascii="宋体" w:hAnsi="宋体"/>
          <w:color w:val="auto"/>
          <w:highlight w:val="none"/>
        </w:rPr>
        <w:t>因合同及合同有关事项发生的争议，按下列第</w:t>
      </w:r>
      <w:r>
        <w:rPr>
          <w:rFonts w:hint="eastAsia" w:ascii="宋体" w:hAnsi="宋体"/>
          <w:color w:val="auto"/>
          <w:highlight w:val="none"/>
          <w:u w:val="single"/>
        </w:rPr>
        <w:t xml:space="preserve">  （2）  </w:t>
      </w:r>
      <w:r>
        <w:rPr>
          <w:rFonts w:hint="eastAsia" w:ascii="宋体" w:hAnsi="宋体"/>
          <w:color w:val="auto"/>
          <w:highlight w:val="none"/>
        </w:rPr>
        <w:t>种方式解决：</w:t>
      </w:r>
    </w:p>
    <w:p w14:paraId="779F3672">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（1）向</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 </w:t>
      </w:r>
      <w:r>
        <w:rPr>
          <w:rFonts w:hint="eastAsia" w:ascii="宋体" w:hAnsi="宋体"/>
          <w:color w:val="auto"/>
          <w:highlight w:val="none"/>
          <w:u w:val="single"/>
        </w:rPr>
        <w:t xml:space="preserve"> </w:t>
      </w:r>
      <w:r>
        <w:rPr>
          <w:rFonts w:hint="eastAsia" w:ascii="宋体" w:hAnsi="宋体"/>
          <w:color w:val="auto"/>
          <w:highlight w:val="none"/>
        </w:rPr>
        <w:t>仲裁委员会申请仲裁；</w:t>
      </w:r>
    </w:p>
    <w:p w14:paraId="148273BD">
      <w:pPr>
        <w:pStyle w:val="77"/>
        <w:spacing w:line="440" w:lineRule="exact"/>
        <w:ind w:firstLine="480" w:firstLineChars="200"/>
        <w:jc w:val="left"/>
        <w:rPr>
          <w:rFonts w:hint="eastAsia" w:ascii="宋体" w:hAnsi="宋体"/>
          <w:color w:val="auto"/>
          <w:highlight w:val="none"/>
        </w:rPr>
      </w:pPr>
      <w:r>
        <w:rPr>
          <w:rFonts w:hint="eastAsia" w:ascii="宋体" w:hAnsi="宋体"/>
          <w:color w:val="auto"/>
          <w:highlight w:val="none"/>
        </w:rPr>
        <w:t>（2）向</w:t>
      </w:r>
      <w:r>
        <w:rPr>
          <w:rFonts w:hint="eastAsia" w:ascii="宋体" w:hAnsi="宋体"/>
          <w:color w:val="auto"/>
          <w:highlight w:val="none"/>
          <w:u w:val="single"/>
        </w:rPr>
        <w:t xml:space="preserve"> </w:t>
      </w:r>
      <w:r>
        <w:rPr>
          <w:rFonts w:hint="eastAsia" w:ascii="宋体" w:hAnsi="宋体"/>
          <w:color w:val="auto"/>
          <w:highlight w:val="none"/>
          <w:u w:val="single"/>
          <w:lang w:eastAsia="zh-CN"/>
        </w:rPr>
        <w:t>浦北县</w:t>
      </w:r>
      <w:r>
        <w:rPr>
          <w:rFonts w:hint="eastAsia" w:ascii="宋体" w:hAnsi="宋体"/>
          <w:color w:val="auto"/>
          <w:highlight w:val="none"/>
          <w:lang w:val="en-US" w:eastAsia="zh-CN"/>
        </w:rPr>
        <w:t>人民法院</w:t>
      </w:r>
      <w:r>
        <w:rPr>
          <w:rFonts w:hint="eastAsia" w:ascii="宋体" w:hAnsi="宋体"/>
          <w:color w:val="auto"/>
          <w:highlight w:val="none"/>
        </w:rPr>
        <w:t>起诉。</w:t>
      </w:r>
    </w:p>
    <w:p w14:paraId="66FF6A49">
      <w:pPr>
        <w:tabs>
          <w:tab w:val="left" w:pos="463"/>
        </w:tabs>
        <w:spacing w:line="360" w:lineRule="auto"/>
        <w:ind w:firstLine="680"/>
        <w:rPr>
          <w:rFonts w:ascii="宋体" w:hAnsi="宋体" w:eastAsia="宋体" w:cs="宋体"/>
          <w:color w:val="auto"/>
          <w:spacing w:val="20"/>
          <w:sz w:val="30"/>
          <w:szCs w:val="30"/>
        </w:rPr>
      </w:pPr>
    </w:p>
    <w:p w14:paraId="12D0A6CB">
      <w:pPr>
        <w:tabs>
          <w:tab w:val="left" w:pos="463"/>
        </w:tabs>
        <w:spacing w:line="360" w:lineRule="auto"/>
        <w:ind w:firstLine="680"/>
        <w:rPr>
          <w:rFonts w:ascii="宋体" w:hAnsi="宋体" w:eastAsia="宋体" w:cs="宋体"/>
          <w:color w:val="auto"/>
          <w:spacing w:val="20"/>
          <w:sz w:val="30"/>
          <w:szCs w:val="30"/>
        </w:rPr>
      </w:pPr>
    </w:p>
    <w:p w14:paraId="73B1CE90">
      <w:pPr>
        <w:tabs>
          <w:tab w:val="left" w:pos="463"/>
        </w:tabs>
        <w:spacing w:line="360" w:lineRule="auto"/>
        <w:ind w:firstLine="680"/>
        <w:rPr>
          <w:rFonts w:ascii="宋体" w:hAnsi="宋体" w:eastAsia="宋体" w:cs="宋体"/>
          <w:color w:val="auto"/>
          <w:spacing w:val="20"/>
          <w:sz w:val="30"/>
          <w:szCs w:val="30"/>
        </w:rPr>
      </w:pPr>
    </w:p>
    <w:p w14:paraId="0DAF1466">
      <w:pPr>
        <w:rPr>
          <w:rFonts w:hint="eastAsia" w:ascii="宋体" w:hAnsi="宋体" w:eastAsia="宋体" w:cs="宋体"/>
          <w:color w:val="auto"/>
          <w:spacing w:val="20"/>
          <w:sz w:val="24"/>
          <w:highlight w:val="none"/>
        </w:rPr>
      </w:pPr>
      <w:r>
        <w:rPr>
          <w:rFonts w:hint="eastAsia" w:ascii="宋体" w:hAnsi="宋体" w:eastAsia="宋体" w:cs="宋体"/>
          <w:color w:val="auto"/>
          <w:spacing w:val="20"/>
          <w:sz w:val="24"/>
          <w:highlight w:val="none"/>
        </w:rPr>
        <w:br w:type="page"/>
      </w:r>
    </w:p>
    <w:p w14:paraId="69304D5A">
      <w:pPr>
        <w:shd w:val="clear"/>
        <w:spacing w:beforeLines="50" w:afterLines="50" w:line="360" w:lineRule="auto"/>
        <w:rPr>
          <w:rFonts w:ascii="宋体" w:hAnsi="宋体" w:eastAsia="宋体" w:cs="宋体"/>
          <w:color w:val="auto"/>
          <w:spacing w:val="20"/>
          <w:sz w:val="24"/>
          <w:highlight w:val="none"/>
        </w:rPr>
      </w:pPr>
      <w:r>
        <w:rPr>
          <w:rFonts w:hint="eastAsia" w:ascii="宋体" w:hAnsi="宋体" w:eastAsia="宋体" w:cs="宋体"/>
          <w:color w:val="auto"/>
          <w:spacing w:val="20"/>
          <w:sz w:val="24"/>
          <w:highlight w:val="none"/>
        </w:rPr>
        <w:t>附件1</w:t>
      </w:r>
    </w:p>
    <w:p w14:paraId="506DFCCB">
      <w:pPr>
        <w:shd w:val="clear"/>
        <w:spacing w:beforeLines="50" w:afterLines="50" w:line="360" w:lineRule="auto"/>
        <w:jc w:val="center"/>
        <w:rPr>
          <w:rFonts w:ascii="宋体" w:hAnsi="宋体" w:eastAsia="宋体" w:cs="宋体"/>
          <w:b/>
          <w:bCs/>
          <w:color w:val="auto"/>
          <w:spacing w:val="20"/>
          <w:sz w:val="36"/>
          <w:szCs w:val="36"/>
          <w:highlight w:val="none"/>
        </w:rPr>
      </w:pPr>
      <w:r>
        <w:rPr>
          <w:rFonts w:hint="eastAsia" w:ascii="宋体" w:hAnsi="宋体" w:eastAsia="宋体" w:cs="宋体"/>
          <w:b/>
          <w:bCs/>
          <w:color w:val="auto"/>
          <w:spacing w:val="20"/>
          <w:sz w:val="40"/>
          <w:szCs w:val="40"/>
          <w:highlight w:val="none"/>
        </w:rPr>
        <w:t>工程质量保修书</w:t>
      </w:r>
    </w:p>
    <w:p w14:paraId="69614072">
      <w:pPr>
        <w:shd w:val="clear"/>
        <w:spacing w:beforeLines="50" w:afterLines="50" w:line="360" w:lineRule="auto"/>
        <w:jc w:val="center"/>
        <w:rPr>
          <w:rFonts w:ascii="宋体" w:hAnsi="宋体" w:eastAsia="宋体" w:cs="宋体"/>
          <w:b/>
          <w:bCs/>
          <w:color w:val="auto"/>
          <w:spacing w:val="20"/>
          <w:sz w:val="36"/>
          <w:szCs w:val="36"/>
          <w:highlight w:val="none"/>
        </w:rPr>
      </w:pPr>
    </w:p>
    <w:p w14:paraId="1159300E">
      <w:pPr>
        <w:keepNext w:val="0"/>
        <w:keepLines w:val="0"/>
        <w:pageBreakBefore w:val="0"/>
        <w:widowControl w:val="0"/>
        <w:shd w:val="clear"/>
        <w:kinsoku/>
        <w:wordWrap/>
        <w:overflowPunct/>
        <w:topLinePunct w:val="0"/>
        <w:autoSpaceDE/>
        <w:autoSpaceDN/>
        <w:bidi w:val="0"/>
        <w:adjustRightInd w:val="0"/>
        <w:snapToGrid w:val="0"/>
        <w:spacing w:beforeLines="50" w:afterLines="50" w:line="380" w:lineRule="exact"/>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发包人（全称）：</w:t>
      </w:r>
      <w:r>
        <w:rPr>
          <w:rFonts w:hint="eastAsia" w:ascii="宋体" w:hAnsi="宋体" w:eastAsia="宋体" w:cs="宋体"/>
          <w:color w:val="auto"/>
          <w:spacing w:val="20"/>
          <w:sz w:val="24"/>
          <w:szCs w:val="24"/>
          <w:highlight w:val="none"/>
          <w:u w:val="single"/>
        </w:rPr>
        <w:t xml:space="preserve">   </w:t>
      </w:r>
      <w:r>
        <w:rPr>
          <w:rFonts w:hint="eastAsia" w:ascii="宋体" w:hAnsi="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w:t>
      </w:r>
    </w:p>
    <w:p w14:paraId="4BD8637C">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承包人（全称）：</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w:t>
      </w:r>
    </w:p>
    <w:p w14:paraId="61816346">
      <w:pPr>
        <w:keepNext w:val="0"/>
        <w:keepLines w:val="0"/>
        <w:pageBreakBefore w:val="0"/>
        <w:widowControl w:val="0"/>
        <w:shd w:val="clear"/>
        <w:kinsoku/>
        <w:wordWrap/>
        <w:overflowPunct/>
        <w:topLinePunct w:val="0"/>
        <w:autoSpaceDE/>
        <w:autoSpaceDN/>
        <w:bidi w:val="0"/>
        <w:adjustRightInd w:val="0"/>
        <w:snapToGrid w:val="0"/>
        <w:spacing w:line="380" w:lineRule="exact"/>
        <w:ind w:firstLine="42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发包人和承包人根据《中华人民共和国建筑法》、《建设工程质量管理条例》和《房屋建筑工程质量保修办法》，经协商一致，对</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eastAsia="zh-CN"/>
        </w:rPr>
        <w:t>（工程名称）</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签订工程质量保修书。</w:t>
      </w:r>
    </w:p>
    <w:p w14:paraId="141231E2">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outlineLvl w:val="0"/>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1、工程质量保修范围和内容</w:t>
      </w:r>
    </w:p>
    <w:p w14:paraId="4EAFD19E">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承包人在质量保修期内，按照有关法律、法规、规章的管理规定和双方约定，承担工程质量保修责任。</w:t>
      </w:r>
    </w:p>
    <w:p w14:paraId="65DA2902">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3D3CE58B">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u w:val="single"/>
        </w:rPr>
        <w:t xml:space="preserve"> 质量保修范围包括</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工程等承包人施工的项目  </w:t>
      </w:r>
      <w:r>
        <w:rPr>
          <w:rFonts w:hint="eastAsia" w:ascii="宋体" w:hAnsi="宋体" w:eastAsia="宋体" w:cs="宋体"/>
          <w:color w:val="auto"/>
          <w:spacing w:val="20"/>
          <w:sz w:val="24"/>
          <w:szCs w:val="24"/>
          <w:highlight w:val="none"/>
        </w:rPr>
        <w:t>。</w:t>
      </w:r>
    </w:p>
    <w:p w14:paraId="5C149D12">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u w:val="single"/>
        </w:rPr>
        <w:t xml:space="preserve">非承包人施工的项目或非承包人购买的材料、设备，不在保修范围内；因承包人之外的原因造成该部分材料、设备返修的经济支出，不由承包人承担。 </w:t>
      </w:r>
    </w:p>
    <w:p w14:paraId="6DF3976E">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u w:val="single"/>
        </w:rPr>
        <w:t xml:space="preserve">因使用不当或者第三方造成质量缺陷的，承包人不负担责任 。 </w:t>
      </w:r>
    </w:p>
    <w:p w14:paraId="2D694FC0">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u w:val="single"/>
        </w:rPr>
        <w:t xml:space="preserve">因不可抗力造成质量缺陷的，承包人不负担责任 。 </w:t>
      </w:r>
    </w:p>
    <w:p w14:paraId="4C34E42B">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outlineLvl w:val="0"/>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2、质量保修期</w:t>
      </w:r>
    </w:p>
    <w:p w14:paraId="3D28525E">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根据《建设工程质量管理条例》及有关规定，约定本工程的质量保修期如下：</w:t>
      </w:r>
    </w:p>
    <w:p w14:paraId="77641258">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hint="eastAsia" w:ascii="宋体" w:hAnsi="宋体" w:eastAsia="宋体" w:cs="宋体"/>
          <w:color w:val="auto"/>
          <w:spacing w:val="20"/>
          <w:sz w:val="24"/>
          <w:szCs w:val="24"/>
          <w:highlight w:val="none"/>
        </w:rPr>
      </w:pPr>
      <w:r>
        <w:rPr>
          <w:rFonts w:hint="eastAsia" w:ascii="宋体" w:hAnsi="宋体" w:cs="宋体"/>
          <w:color w:val="auto"/>
          <w:spacing w:val="20"/>
          <w:sz w:val="24"/>
          <w:szCs w:val="24"/>
          <w:highlight w:val="none"/>
          <w:lang w:val="en-US" w:eastAsia="zh-CN"/>
        </w:rPr>
        <w:t>1.</w:t>
      </w:r>
      <w:r>
        <w:rPr>
          <w:rFonts w:hint="eastAsia" w:ascii="宋体" w:hAnsi="宋体" w:eastAsia="宋体" w:cs="宋体"/>
          <w:color w:val="auto"/>
          <w:spacing w:val="20"/>
          <w:sz w:val="24"/>
          <w:szCs w:val="24"/>
          <w:highlight w:val="none"/>
        </w:rPr>
        <w:t>主本工程为设计文件规定的该工程合理使用年限。</w:t>
      </w:r>
    </w:p>
    <w:p w14:paraId="73096869">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hint="eastAsia" w:ascii="宋体" w:hAnsi="宋体" w:eastAsia="宋体" w:cs="宋体"/>
          <w:color w:val="auto"/>
          <w:spacing w:val="20"/>
          <w:sz w:val="24"/>
          <w:szCs w:val="24"/>
          <w:highlight w:val="none"/>
        </w:rPr>
      </w:pPr>
      <w:r>
        <w:rPr>
          <w:rFonts w:hint="eastAsia" w:ascii="宋体" w:hAnsi="宋体" w:cs="宋体"/>
          <w:color w:val="auto"/>
          <w:spacing w:val="20"/>
          <w:sz w:val="24"/>
          <w:szCs w:val="24"/>
          <w:highlight w:val="none"/>
          <w:lang w:val="en-US" w:eastAsia="zh-CN"/>
        </w:rPr>
        <w:t>2.</w:t>
      </w:r>
      <w:r>
        <w:rPr>
          <w:rFonts w:hint="eastAsia" w:ascii="宋体" w:hAnsi="宋体" w:eastAsia="宋体" w:cs="宋体"/>
          <w:color w:val="auto"/>
          <w:spacing w:val="20"/>
          <w:sz w:val="24"/>
          <w:szCs w:val="24"/>
          <w:highlight w:val="none"/>
        </w:rPr>
        <w:t>其他工程项目保修期  1  年。</w:t>
      </w:r>
    </w:p>
    <w:p w14:paraId="314AA9E9">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hint="eastAsia" w:ascii="宋体" w:hAnsi="宋体" w:eastAsia="宋体" w:cs="宋体"/>
          <w:color w:val="auto"/>
          <w:spacing w:val="20"/>
          <w:sz w:val="24"/>
          <w:szCs w:val="24"/>
          <w:highlight w:val="none"/>
        </w:rPr>
      </w:pPr>
      <w:r>
        <w:rPr>
          <w:rFonts w:hint="eastAsia" w:ascii="宋体" w:hAnsi="宋体" w:cs="宋体"/>
          <w:color w:val="auto"/>
          <w:spacing w:val="20"/>
          <w:sz w:val="24"/>
          <w:szCs w:val="24"/>
          <w:highlight w:val="none"/>
          <w:lang w:val="en-US" w:eastAsia="zh-CN"/>
        </w:rPr>
        <w:t>3.</w:t>
      </w:r>
      <w:r>
        <w:rPr>
          <w:rFonts w:hint="eastAsia" w:ascii="宋体" w:hAnsi="宋体" w:eastAsia="宋体" w:cs="宋体"/>
          <w:color w:val="auto"/>
          <w:spacing w:val="20"/>
          <w:sz w:val="24"/>
          <w:szCs w:val="24"/>
          <w:highlight w:val="none"/>
        </w:rPr>
        <w:t>质量保修期自工程竣工验收合格之日起计算器。</w:t>
      </w:r>
    </w:p>
    <w:p w14:paraId="5FC39386">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outlineLvl w:val="0"/>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3、质量保修责任</w:t>
      </w:r>
    </w:p>
    <w:p w14:paraId="40297395">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1．属于保修范围、内容的项目，承包人应当在接到保修通知之日起</w:t>
      </w:r>
      <w:r>
        <w:rPr>
          <w:rFonts w:hint="eastAsia" w:ascii="宋体" w:hAnsi="宋体" w:eastAsia="宋体" w:cs="宋体"/>
          <w:color w:val="auto"/>
          <w:spacing w:val="20"/>
          <w:sz w:val="24"/>
          <w:szCs w:val="24"/>
          <w:highlight w:val="none"/>
          <w:u w:val="single"/>
        </w:rPr>
        <w:t xml:space="preserve">  7    </w:t>
      </w:r>
      <w:r>
        <w:rPr>
          <w:rFonts w:hint="eastAsia" w:ascii="宋体" w:hAnsi="宋体" w:eastAsia="宋体" w:cs="宋体"/>
          <w:color w:val="auto"/>
          <w:spacing w:val="20"/>
          <w:sz w:val="24"/>
          <w:szCs w:val="24"/>
          <w:highlight w:val="none"/>
        </w:rPr>
        <w:t>天内派人保修。承包人不在约定期限内派人保修的，发包人可以委托他人修理，发生费用由承包人承担。</w:t>
      </w:r>
    </w:p>
    <w:p w14:paraId="265F2CDB">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2．发生须紧急抢修事故的，承包人在接到事故通知后，应当立即到达事故现场抢修。</w:t>
      </w:r>
    </w:p>
    <w:p w14:paraId="3087BF7D">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3．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31C293A0">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4．质量保修完成后，由发包人组织验收。</w:t>
      </w:r>
    </w:p>
    <w:p w14:paraId="45C84A6B">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outlineLvl w:val="0"/>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4、保修费用</w:t>
      </w:r>
    </w:p>
    <w:p w14:paraId="0C7C69E3">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保修费用由造成质量缺陷的责任方承担。</w:t>
      </w:r>
    </w:p>
    <w:p w14:paraId="0430D2F9">
      <w:pPr>
        <w:keepNext w:val="0"/>
        <w:keepLines w:val="0"/>
        <w:pageBreakBefore w:val="0"/>
        <w:widowControl w:val="0"/>
        <w:numPr>
          <w:ilvl w:val="0"/>
          <w:numId w:val="7"/>
        </w:numPr>
        <w:shd w:val="clear"/>
        <w:kinsoku/>
        <w:wordWrap/>
        <w:overflowPunct/>
        <w:topLinePunct w:val="0"/>
        <w:autoSpaceDE/>
        <w:autoSpaceDN/>
        <w:bidi w:val="0"/>
        <w:adjustRightInd w:val="0"/>
        <w:snapToGrid w:val="0"/>
        <w:spacing w:line="380" w:lineRule="exact"/>
        <w:jc w:val="left"/>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其他</w:t>
      </w:r>
    </w:p>
    <w:p w14:paraId="7D951202">
      <w:pPr>
        <w:keepNext w:val="0"/>
        <w:keepLines w:val="0"/>
        <w:pageBreakBefore w:val="0"/>
        <w:widowControl w:val="0"/>
        <w:shd w:val="clear"/>
        <w:kinsoku/>
        <w:wordWrap/>
        <w:overflowPunct/>
        <w:topLinePunct w:val="0"/>
        <w:autoSpaceDE/>
        <w:autoSpaceDN/>
        <w:bidi w:val="0"/>
        <w:adjustRightInd w:val="0"/>
        <w:snapToGrid w:val="0"/>
        <w:spacing w:line="380" w:lineRule="exact"/>
        <w:jc w:val="left"/>
        <w:textAlignment w:val="auto"/>
        <w:rPr>
          <w:rFonts w:hint="default" w:ascii="宋体" w:hAnsi="宋体" w:eastAsia="宋体" w:cs="宋体"/>
          <w:color w:val="auto"/>
          <w:spacing w:val="20"/>
          <w:sz w:val="24"/>
          <w:szCs w:val="24"/>
          <w:highlight w:val="none"/>
          <w:lang w:val="en-US" w:eastAsia="zh-CN"/>
        </w:rPr>
      </w:pPr>
      <w:r>
        <w:rPr>
          <w:rFonts w:hint="eastAsia" w:ascii="宋体" w:hAnsi="宋体" w:eastAsia="宋体" w:cs="宋体"/>
          <w:color w:val="auto"/>
          <w:spacing w:val="20"/>
          <w:sz w:val="24"/>
          <w:szCs w:val="24"/>
          <w:highlight w:val="none"/>
        </w:rPr>
        <w:t>双方约定的其他工程质量保修事项：</w:t>
      </w:r>
      <w:r>
        <w:rPr>
          <w:rFonts w:hint="eastAsia" w:ascii="宋体" w:hAnsi="宋体" w:cs="宋体"/>
          <w:color w:val="auto"/>
          <w:spacing w:val="20"/>
          <w:sz w:val="24"/>
          <w:szCs w:val="24"/>
          <w:highlight w:val="none"/>
          <w:u w:val="single"/>
          <w:lang w:val="en-US" w:eastAsia="zh-CN"/>
        </w:rPr>
        <w:t xml:space="preserve">                 </w:t>
      </w:r>
      <w:r>
        <w:rPr>
          <w:rFonts w:hint="eastAsia" w:ascii="宋体" w:hAnsi="宋体" w:cs="宋体"/>
          <w:color w:val="auto"/>
          <w:spacing w:val="20"/>
          <w:sz w:val="24"/>
          <w:szCs w:val="24"/>
          <w:highlight w:val="none"/>
          <w:u w:val="none"/>
          <w:lang w:val="en-US" w:eastAsia="zh-CN"/>
        </w:rPr>
        <w:t>。</w:t>
      </w:r>
    </w:p>
    <w:p w14:paraId="5EC57D38">
      <w:pPr>
        <w:keepNext w:val="0"/>
        <w:keepLines w:val="0"/>
        <w:pageBreakBefore w:val="0"/>
        <w:widowControl w:val="0"/>
        <w:shd w:val="clear"/>
        <w:kinsoku/>
        <w:wordWrap/>
        <w:overflowPunct/>
        <w:topLinePunct w:val="0"/>
        <w:autoSpaceDE/>
        <w:autoSpaceDN/>
        <w:bidi w:val="0"/>
        <w:adjustRightInd w:val="0"/>
        <w:snapToGrid w:val="0"/>
        <w:spacing w:line="380" w:lineRule="exact"/>
        <w:ind w:firstLine="532" w:firstLineChars="19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本工程质量保修书，由施工合同发包人、承包人双方在竣工验收前共同签署，作为施工合同附件，其有效期限至保修期满。</w:t>
      </w:r>
    </w:p>
    <w:p w14:paraId="58C59E1D">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rPr>
      </w:pPr>
    </w:p>
    <w:p w14:paraId="7B263C16">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rPr>
      </w:pPr>
    </w:p>
    <w:p w14:paraId="1F52E179">
      <w:pPr>
        <w:keepNext w:val="0"/>
        <w:keepLines w:val="0"/>
        <w:pageBreakBefore w:val="0"/>
        <w:widowControl w:val="0"/>
        <w:shd w:val="clear"/>
        <w:kinsoku/>
        <w:wordWrap/>
        <w:overflowPunct/>
        <w:topLinePunct w:val="0"/>
        <w:autoSpaceDE/>
        <w:autoSpaceDN/>
        <w:bidi w:val="0"/>
        <w:adjustRightInd w:val="0"/>
        <w:snapToGrid w:val="0"/>
        <w:spacing w:line="380" w:lineRule="exact"/>
        <w:ind w:firstLine="840" w:firstLineChars="3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发包人（公章）                        承包人（公章）</w:t>
      </w:r>
    </w:p>
    <w:p w14:paraId="7E1C6DD5">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u w:val="single"/>
        </w:rPr>
      </w:pPr>
    </w:p>
    <w:p w14:paraId="24256FC3">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rPr>
        <w:t>法定代表人：</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法定代表人：</w:t>
      </w:r>
      <w:r>
        <w:rPr>
          <w:rFonts w:hint="eastAsia" w:ascii="宋体" w:hAnsi="宋体" w:eastAsia="宋体" w:cs="宋体"/>
          <w:color w:val="auto"/>
          <w:spacing w:val="20"/>
          <w:sz w:val="24"/>
          <w:szCs w:val="24"/>
          <w:highlight w:val="none"/>
          <w:u w:val="single"/>
        </w:rPr>
        <w:t xml:space="preserve">         </w:t>
      </w:r>
    </w:p>
    <w:p w14:paraId="5064416D">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u w:val="single"/>
        </w:rPr>
      </w:pPr>
    </w:p>
    <w:p w14:paraId="5B175A61">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1"/>
          <w:szCs w:val="21"/>
          <w:highlight w:val="none"/>
          <w:u w:val="single"/>
        </w:rPr>
      </w:pPr>
      <w:r>
        <w:rPr>
          <w:rFonts w:hint="eastAsia" w:ascii="宋体" w:hAnsi="宋体" w:eastAsia="宋体" w:cs="宋体"/>
          <w:color w:val="auto"/>
          <w:spacing w:val="20"/>
          <w:sz w:val="24"/>
          <w:szCs w:val="24"/>
          <w:highlight w:val="none"/>
        </w:rPr>
        <w:t>电  话：</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电  话：</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1"/>
          <w:szCs w:val="21"/>
          <w:highlight w:val="none"/>
          <w:u w:val="single"/>
          <w:lang w:val="en-US" w:eastAsia="zh-CN"/>
        </w:rPr>
        <w:t xml:space="preserve">       </w:t>
      </w:r>
      <w:r>
        <w:rPr>
          <w:rFonts w:hint="eastAsia" w:ascii="宋体" w:hAnsi="宋体" w:eastAsia="宋体" w:cs="宋体"/>
          <w:color w:val="auto"/>
          <w:spacing w:val="20"/>
          <w:sz w:val="21"/>
          <w:szCs w:val="21"/>
          <w:highlight w:val="none"/>
          <w:u w:val="single"/>
        </w:rPr>
        <w:t xml:space="preserve"> </w:t>
      </w:r>
    </w:p>
    <w:p w14:paraId="2F00BF84">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1"/>
          <w:szCs w:val="21"/>
          <w:highlight w:val="none"/>
          <w:u w:val="single"/>
        </w:rPr>
      </w:pPr>
    </w:p>
    <w:p w14:paraId="153F13CF">
      <w:pPr>
        <w:shd w:val="clear"/>
        <w:adjustRightInd w:val="0"/>
        <w:snapToGrid w:val="0"/>
        <w:spacing w:line="400" w:lineRule="exact"/>
        <w:rPr>
          <w:rFonts w:ascii="宋体" w:hAnsi="宋体" w:eastAsia="宋体" w:cs="宋体"/>
          <w:color w:val="auto"/>
          <w:spacing w:val="20"/>
          <w:sz w:val="24"/>
          <w:highlight w:val="none"/>
          <w:u w:val="single"/>
        </w:rPr>
      </w:pPr>
    </w:p>
    <w:p w14:paraId="0095EE7A">
      <w:pPr>
        <w:shd w:val="clear"/>
        <w:adjustRightInd w:val="0"/>
        <w:snapToGrid w:val="0"/>
        <w:spacing w:line="400" w:lineRule="exact"/>
        <w:rPr>
          <w:rFonts w:ascii="宋体" w:hAnsi="宋体" w:eastAsia="宋体" w:cs="宋体"/>
          <w:color w:val="auto"/>
          <w:spacing w:val="20"/>
          <w:sz w:val="24"/>
          <w:highlight w:val="none"/>
          <w:u w:val="single"/>
        </w:rPr>
      </w:pPr>
    </w:p>
    <w:p w14:paraId="23DADF35">
      <w:pPr>
        <w:rPr>
          <w:rFonts w:hint="eastAsia" w:ascii="宋体" w:hAnsi="宋体" w:eastAsia="宋体" w:cs="宋体"/>
          <w:color w:val="auto"/>
          <w:spacing w:val="20"/>
          <w:sz w:val="24"/>
          <w:highlight w:val="none"/>
          <w:lang w:val="en-US" w:eastAsia="zh-CN"/>
        </w:rPr>
      </w:pPr>
      <w:r>
        <w:rPr>
          <w:rFonts w:hint="eastAsia" w:ascii="宋体" w:hAnsi="宋体" w:eastAsia="宋体" w:cs="宋体"/>
          <w:color w:val="auto"/>
          <w:spacing w:val="20"/>
          <w:sz w:val="24"/>
          <w:highlight w:val="none"/>
          <w:lang w:val="en-US" w:eastAsia="zh-CN"/>
        </w:rPr>
        <w:br w:type="page"/>
      </w:r>
    </w:p>
    <w:p w14:paraId="58C7F4F6">
      <w:pPr>
        <w:shd w:val="clear"/>
        <w:spacing w:beforeLines="50" w:afterLines="50" w:line="360" w:lineRule="auto"/>
        <w:rPr>
          <w:rFonts w:hint="default" w:ascii="宋体" w:hAnsi="宋体" w:eastAsia="宋体" w:cs="宋体"/>
          <w:color w:val="auto"/>
          <w:spacing w:val="20"/>
          <w:sz w:val="24"/>
          <w:highlight w:val="none"/>
          <w:lang w:val="en-US" w:eastAsia="zh-CN"/>
        </w:rPr>
      </w:pPr>
      <w:r>
        <w:rPr>
          <w:rFonts w:hint="eastAsia" w:ascii="宋体" w:hAnsi="宋体" w:eastAsia="宋体" w:cs="宋体"/>
          <w:color w:val="auto"/>
          <w:spacing w:val="20"/>
          <w:sz w:val="24"/>
          <w:highlight w:val="none"/>
          <w:lang w:val="en-US" w:eastAsia="zh-CN"/>
        </w:rPr>
        <w:t>附件2</w:t>
      </w:r>
    </w:p>
    <w:p w14:paraId="27F155DE">
      <w:pPr>
        <w:keepNext w:val="0"/>
        <w:keepLines w:val="0"/>
        <w:pageBreakBefore w:val="0"/>
        <w:widowControl w:val="0"/>
        <w:shd w:val="clear"/>
        <w:kinsoku/>
        <w:wordWrap/>
        <w:overflowPunct/>
        <w:topLinePunct w:val="0"/>
        <w:autoSpaceDE/>
        <w:autoSpaceDN/>
        <w:bidi w:val="0"/>
        <w:spacing w:line="380" w:lineRule="exact"/>
        <w:jc w:val="center"/>
        <w:textAlignment w:val="auto"/>
        <w:outlineLvl w:val="3"/>
        <w:rPr>
          <w:rFonts w:hint="eastAsia" w:ascii="宋体" w:hAnsi="宋体" w:eastAsia="宋体" w:cs="宋体"/>
          <w:b/>
          <w:bCs/>
          <w:color w:val="auto"/>
          <w:kern w:val="1"/>
          <w:sz w:val="24"/>
          <w:szCs w:val="24"/>
          <w:highlight w:val="none"/>
        </w:rPr>
      </w:pPr>
      <w:r>
        <w:rPr>
          <w:rFonts w:hint="eastAsia" w:ascii="宋体" w:hAnsi="宋体" w:eastAsia="宋体" w:cs="宋体"/>
          <w:b/>
          <w:bCs/>
          <w:color w:val="auto"/>
          <w:sz w:val="24"/>
          <w:szCs w:val="24"/>
          <w:highlight w:val="none"/>
        </w:rPr>
        <w:t>安全生产合同</w:t>
      </w:r>
    </w:p>
    <w:p w14:paraId="05A091F5">
      <w:pPr>
        <w:keepNext w:val="0"/>
        <w:keepLines w:val="0"/>
        <w:pageBreakBefore w:val="0"/>
        <w:widowControl w:val="0"/>
        <w:shd w:val="clear"/>
        <w:kinsoku/>
        <w:wordWrap/>
        <w:overflowPunct/>
        <w:topLinePunct w:val="0"/>
        <w:autoSpaceDE/>
        <w:autoSpaceDN/>
        <w:bidi w:val="0"/>
        <w:spacing w:line="380" w:lineRule="exact"/>
        <w:textAlignment w:val="auto"/>
        <w:rPr>
          <w:rFonts w:hint="eastAsia" w:ascii="宋体" w:hAnsi="宋体" w:eastAsia="宋体" w:cs="宋体"/>
          <w:color w:val="auto"/>
          <w:kern w:val="1"/>
          <w:sz w:val="24"/>
          <w:szCs w:val="24"/>
          <w:highlight w:val="none"/>
        </w:rPr>
      </w:pPr>
    </w:p>
    <w:p w14:paraId="4E98D9B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为在</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cs="宋体"/>
          <w:b/>
          <w:color w:val="auto"/>
          <w:sz w:val="24"/>
          <w:szCs w:val="24"/>
          <w:highlight w:val="none"/>
          <w:u w:val="single"/>
          <w:lang w:val="en-US" w:eastAsia="zh-CN"/>
        </w:rPr>
        <w:t xml:space="preserve">（工程名称）  </w:t>
      </w:r>
      <w:r>
        <w:rPr>
          <w:rFonts w:hint="eastAsia" w:ascii="宋体" w:hAnsi="宋体" w:eastAsia="宋体" w:cs="宋体"/>
          <w:color w:val="auto"/>
          <w:kern w:val="1"/>
          <w:sz w:val="24"/>
          <w:szCs w:val="24"/>
          <w:highlight w:val="none"/>
        </w:rPr>
        <w:t>的实施过程中创造安全、高效的施工环境，切实搞好本项目的安全管理工作，本项目业主</w:t>
      </w:r>
      <w:r>
        <w:rPr>
          <w:rFonts w:hint="eastAsia" w:ascii="宋体" w:hAnsi="宋体" w:eastAsia="宋体" w:cs="宋体"/>
          <w:color w:val="auto"/>
          <w:kern w:val="1"/>
          <w:sz w:val="24"/>
          <w:szCs w:val="24"/>
          <w:highlight w:val="none"/>
          <w:u w:val="single"/>
        </w:rPr>
        <w:t xml:space="preserve"> </w:t>
      </w:r>
      <w:r>
        <w:rPr>
          <w:rFonts w:hint="eastAsia" w:ascii="宋体" w:hAnsi="宋体" w:cs="宋体"/>
          <w:color w:val="auto"/>
          <w:kern w:val="1"/>
          <w:sz w:val="24"/>
          <w:szCs w:val="24"/>
          <w:highlight w:val="none"/>
          <w:u w:val="single"/>
          <w:lang w:val="en-US" w:eastAsia="zh-CN"/>
        </w:rPr>
        <w:t xml:space="preserve">           </w:t>
      </w:r>
      <w:r>
        <w:rPr>
          <w:rFonts w:hint="eastAsia" w:ascii="宋体" w:hAnsi="宋体" w:eastAsia="宋体" w:cs="宋体"/>
          <w:color w:val="auto"/>
          <w:kern w:val="1"/>
          <w:sz w:val="24"/>
          <w:szCs w:val="24"/>
          <w:highlight w:val="none"/>
          <w:u w:val="single"/>
        </w:rPr>
        <w:t xml:space="preserve"> </w:t>
      </w:r>
      <w:r>
        <w:rPr>
          <w:rFonts w:hint="eastAsia" w:ascii="宋体" w:hAnsi="宋体" w:eastAsia="宋体" w:cs="宋体"/>
          <w:color w:val="auto"/>
          <w:kern w:val="1"/>
          <w:sz w:val="24"/>
          <w:szCs w:val="24"/>
          <w:highlight w:val="none"/>
        </w:rPr>
        <w:t>（以下简称“甲方”）与承包人</w:t>
      </w:r>
      <w:r>
        <w:rPr>
          <w:rFonts w:hint="eastAsia" w:ascii="宋体" w:hAnsi="宋体" w:eastAsia="宋体" w:cs="宋体"/>
          <w:b/>
          <w:bCs/>
          <w:color w:val="auto"/>
          <w:kern w:val="1"/>
          <w:sz w:val="24"/>
          <w:szCs w:val="24"/>
          <w:highlight w:val="none"/>
          <w:u w:val="single"/>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color w:val="auto"/>
          <w:kern w:val="1"/>
          <w:sz w:val="24"/>
          <w:szCs w:val="24"/>
          <w:highlight w:val="none"/>
        </w:rPr>
        <w:t>（以下简称“乙方”）特此签订安全生产合同：</w:t>
      </w:r>
    </w:p>
    <w:p w14:paraId="0A3ED6D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b/>
          <w:color w:val="auto"/>
          <w:kern w:val="1"/>
          <w:sz w:val="24"/>
          <w:szCs w:val="24"/>
          <w:highlight w:val="none"/>
        </w:rPr>
      </w:pPr>
      <w:r>
        <w:rPr>
          <w:rFonts w:hint="eastAsia" w:ascii="宋体" w:hAnsi="宋体" w:eastAsia="宋体" w:cs="宋体"/>
          <w:color w:val="auto"/>
          <w:kern w:val="1"/>
          <w:sz w:val="24"/>
          <w:szCs w:val="24"/>
          <w:highlight w:val="none"/>
        </w:rPr>
        <w:t xml:space="preserve">    </w:t>
      </w:r>
      <w:r>
        <w:rPr>
          <w:rFonts w:hint="eastAsia" w:ascii="宋体" w:hAnsi="宋体" w:eastAsia="宋体" w:cs="宋体"/>
          <w:b/>
          <w:color w:val="auto"/>
          <w:kern w:val="1"/>
          <w:sz w:val="24"/>
          <w:szCs w:val="24"/>
          <w:highlight w:val="none"/>
        </w:rPr>
        <w:t>一、甲方职责</w:t>
      </w:r>
    </w:p>
    <w:p w14:paraId="2C5C868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1. 严格遵守国家有关安全生产的法律法规，认真执行工程承包合同中的有关安全要求。</w:t>
      </w:r>
    </w:p>
    <w:p w14:paraId="3BD1EBD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2. 按照“安全第一、预防为主”和坚持“管生产必须管安全”的原则进行安全生产管理，做到生产与安全工作同时计划、布置、检查、总结和评比。</w:t>
      </w:r>
    </w:p>
    <w:p w14:paraId="3D09BC98">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3. 重要的安全设施必须坚持与主体工程“三同时”的原则，即：同时设计、审批，同时施工，同时验收，投入使用。</w:t>
      </w:r>
    </w:p>
    <w:p w14:paraId="3B8F423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4. 定期召开安全生产调度会，及时传达中央及地方有关安全生产的精神。</w:t>
      </w:r>
    </w:p>
    <w:p w14:paraId="64603D7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5. 组织对乙方施工现场安全生产检查，监督乙方及时处理发现的各种安全隐患。</w:t>
      </w:r>
    </w:p>
    <w:p w14:paraId="16D6EB8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b/>
          <w:color w:val="auto"/>
          <w:kern w:val="1"/>
          <w:sz w:val="24"/>
          <w:szCs w:val="24"/>
          <w:highlight w:val="none"/>
        </w:rPr>
      </w:pPr>
      <w:r>
        <w:rPr>
          <w:rFonts w:hint="eastAsia" w:ascii="宋体" w:hAnsi="宋体" w:eastAsia="宋体" w:cs="宋体"/>
          <w:color w:val="auto"/>
          <w:kern w:val="1"/>
          <w:sz w:val="24"/>
          <w:szCs w:val="24"/>
          <w:highlight w:val="none"/>
        </w:rPr>
        <w:t xml:space="preserve">    </w:t>
      </w:r>
      <w:r>
        <w:rPr>
          <w:rFonts w:hint="eastAsia" w:ascii="宋体" w:hAnsi="宋体" w:eastAsia="宋体" w:cs="宋体"/>
          <w:b/>
          <w:color w:val="auto"/>
          <w:kern w:val="1"/>
          <w:sz w:val="24"/>
          <w:szCs w:val="24"/>
          <w:highlight w:val="none"/>
        </w:rPr>
        <w:t>二、乙方职责</w:t>
      </w:r>
    </w:p>
    <w:p w14:paraId="0C9F740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1. 严格遵守国家有关安全生产的法律法规、农业农村部、水利部颁发的有关安全生产的规定，认真执行工程承包合同中的有关安全要求。</w:t>
      </w:r>
    </w:p>
    <w:p w14:paraId="6CFC01B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2. 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3E019B8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3. 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479EB7D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4. 乙方在任何时候都应采取各种合理的预防措施，防止其员工发生任何违法、违禁、暴力或妨碍治安的行为。</w:t>
      </w:r>
    </w:p>
    <w:p w14:paraId="0977FA6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5. 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项目经理必须承担管理责任。</w:t>
      </w:r>
    </w:p>
    <w:p w14:paraId="2033FEE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6. 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1A1BD8B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7. 操作人员上岗，必须按规定穿戴防护用品。施工负责人和安全检查员应随时检查劳动防护用品的穿戴情况，不按规定穿戴防护用品的人员不得上岗。</w:t>
      </w:r>
    </w:p>
    <w:p w14:paraId="2FBD605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8. 所有施工机具设备和高空作业的设备均应定期检查，并有安全员的签字记录，保证其经常处于完好状态；不合格的机具、设备和劳动保护用品严禁使用。</w:t>
      </w:r>
    </w:p>
    <w:p w14:paraId="452585C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9. 施工中采用新技术、新工艺、新设备、新材料时，必须制定相应的安全技术措施，施工现场必须具有相关的安全标志牌。</w:t>
      </w:r>
    </w:p>
    <w:p w14:paraId="46B4EBD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10. 乙方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14:paraId="2811A58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b/>
          <w:color w:val="auto"/>
          <w:kern w:val="1"/>
          <w:sz w:val="24"/>
          <w:szCs w:val="24"/>
          <w:highlight w:val="none"/>
        </w:rPr>
      </w:pPr>
      <w:r>
        <w:rPr>
          <w:rFonts w:hint="eastAsia" w:ascii="宋体" w:hAnsi="宋体" w:eastAsia="宋体" w:cs="宋体"/>
          <w:color w:val="auto"/>
          <w:kern w:val="1"/>
          <w:sz w:val="24"/>
          <w:szCs w:val="24"/>
          <w:highlight w:val="none"/>
        </w:rPr>
        <w:t xml:space="preserve">    </w:t>
      </w:r>
      <w:r>
        <w:rPr>
          <w:rFonts w:hint="eastAsia" w:ascii="宋体" w:hAnsi="宋体" w:eastAsia="宋体" w:cs="宋体"/>
          <w:b/>
          <w:color w:val="auto"/>
          <w:kern w:val="1"/>
          <w:sz w:val="24"/>
          <w:szCs w:val="24"/>
          <w:highlight w:val="none"/>
        </w:rPr>
        <w:t>三、违约责任</w:t>
      </w:r>
    </w:p>
    <w:p w14:paraId="66EC692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spacing w:val="20"/>
          <w:sz w:val="24"/>
          <w:szCs w:val="24"/>
          <w:highlight w:val="none"/>
        </w:rPr>
      </w:pPr>
      <w:r>
        <w:rPr>
          <w:rFonts w:hint="eastAsia" w:ascii="宋体" w:hAnsi="宋体" w:eastAsia="宋体" w:cs="宋体"/>
          <w:color w:val="auto"/>
          <w:kern w:val="1"/>
          <w:sz w:val="24"/>
          <w:szCs w:val="24"/>
          <w:highlight w:val="none"/>
        </w:rPr>
        <w:t xml:space="preserve">    如因甲方或乙方违约造成安全事故，将依法追究责任。</w:t>
      </w:r>
    </w:p>
    <w:p w14:paraId="53B48C29">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hint="eastAsia" w:ascii="宋体" w:hAnsi="宋体" w:eastAsia="宋体" w:cs="宋体"/>
          <w:color w:val="auto"/>
          <w:spacing w:val="20"/>
          <w:sz w:val="24"/>
          <w:szCs w:val="24"/>
          <w:highlight w:val="none"/>
        </w:rPr>
      </w:pPr>
    </w:p>
    <w:p w14:paraId="027CC42E">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rPr>
        <w:t>发包人（公章）                        承包人（公章）</w:t>
      </w:r>
    </w:p>
    <w:p w14:paraId="4DC211AD">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rPr>
        <w:t>法定代表人：</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法定代表人：</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p>
    <w:p w14:paraId="0408F5C6">
      <w:pPr>
        <w:keepNext w:val="0"/>
        <w:keepLines w:val="0"/>
        <w:pageBreakBefore w:val="0"/>
        <w:widowControl w:val="0"/>
        <w:shd w:val="clear"/>
        <w:kinsoku/>
        <w:wordWrap/>
        <w:overflowPunct/>
        <w:topLinePunct w:val="0"/>
        <w:autoSpaceDE/>
        <w:autoSpaceDN/>
        <w:bidi w:val="0"/>
        <w:spacing w:line="380" w:lineRule="exac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20"/>
          <w:sz w:val="24"/>
          <w:szCs w:val="24"/>
          <w:highlight w:val="none"/>
        </w:rPr>
        <w:t>电  话：</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电  话：</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p>
    <w:p w14:paraId="7AFD308E">
      <w:pPr>
        <w:rPr>
          <w:rFonts w:hint="eastAsia" w:asciiTheme="minorEastAsia" w:hAnsiTheme="minorEastAsia" w:cstheme="minorEastAsia"/>
          <w:b/>
          <w:bCs/>
          <w:color w:val="auto"/>
          <w:sz w:val="36"/>
          <w:szCs w:val="36"/>
          <w:highlight w:val="none"/>
        </w:rPr>
      </w:pPr>
      <w:r>
        <w:rPr>
          <w:rFonts w:hint="eastAsia" w:asciiTheme="minorEastAsia" w:hAnsiTheme="minorEastAsia" w:cstheme="minorEastAsia"/>
          <w:b/>
          <w:bCs/>
          <w:color w:val="auto"/>
          <w:sz w:val="36"/>
          <w:szCs w:val="36"/>
          <w:highlight w:val="none"/>
        </w:rPr>
        <w:br w:type="page"/>
      </w:r>
    </w:p>
    <w:p w14:paraId="25A786BB">
      <w:pPr>
        <w:spacing w:line="360" w:lineRule="auto"/>
        <w:ind w:firstLine="723"/>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施工合同补充协议书</w:t>
      </w:r>
    </w:p>
    <w:p w14:paraId="6488902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14:paraId="7BF92DB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14:paraId="3C12A37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根据广西壮族自治区解决企业拖欠工资问题联席会议关于印发《广西壮族自治区工程建设领域工人工资支付专用账户管理办法》的通知（桂薪联发〔2016〕1号）的规定，经甲乙双方共同协商，达成如下补充协议：</w:t>
      </w:r>
    </w:p>
    <w:p w14:paraId="46E1482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1、乙方必须按规定到国有专业银行开设工人工资支付专用账户。</w:t>
      </w:r>
    </w:p>
    <w:p w14:paraId="3213541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2、双方约定该项目工资占工程款的比例是</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w:t>
      </w:r>
    </w:p>
    <w:p w14:paraId="37C1CB9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3、乙方按规程办理工程进度款手续后，向甲方申请工程进度款时，甲方按约定工资比例将工程款部分划入乙方提供的工人工资支付专用账户（账户名称：</w:t>
      </w:r>
      <w:r>
        <w:rPr>
          <w:rFonts w:hint="eastAsia" w:ascii="宋体" w:hAnsi="宋体" w:eastAsia="宋体" w:cs="宋体"/>
          <w:color w:val="auto"/>
          <w:sz w:val="24"/>
          <w:szCs w:val="24"/>
          <w:lang w:val="en-US" w:eastAsia="zh-CN"/>
        </w:rPr>
        <w:t>（成交供应商名称）</w:t>
      </w:r>
      <w:r>
        <w:rPr>
          <w:rFonts w:hint="eastAsia" w:ascii="宋体" w:hAnsi="宋体" w:eastAsia="宋体" w:cs="宋体"/>
          <w:color w:val="auto"/>
          <w:sz w:val="24"/>
          <w:szCs w:val="24"/>
        </w:rPr>
        <w:t>农民工工资专户，开户银行：</w:t>
      </w:r>
      <w:r>
        <w:rPr>
          <w:rFonts w:hint="eastAsia" w:ascii="宋体" w:hAnsi="宋体" w:eastAsia="宋体" w:cs="宋体"/>
          <w:color w:val="auto"/>
          <w:sz w:val="24"/>
          <w:szCs w:val="24"/>
          <w:lang w:val="en-US" w:eastAsia="zh-CN"/>
        </w:rPr>
        <w:t>（成交供应商开户银行）</w:t>
      </w:r>
      <w:r>
        <w:rPr>
          <w:rFonts w:hint="eastAsia" w:ascii="宋体" w:hAnsi="宋体" w:eastAsia="宋体" w:cs="宋体"/>
          <w:color w:val="auto"/>
          <w:sz w:val="24"/>
          <w:szCs w:val="24"/>
        </w:rPr>
        <w:t>，账号：</w:t>
      </w:r>
      <w:r>
        <w:rPr>
          <w:rFonts w:hint="eastAsia" w:ascii="宋体" w:hAnsi="宋体" w:eastAsia="宋体" w:cs="宋体"/>
          <w:color w:val="auto"/>
          <w:sz w:val="24"/>
          <w:szCs w:val="24"/>
          <w:lang w:val="en-US" w:eastAsia="zh-CN"/>
        </w:rPr>
        <w:t>（成交供应商账号）</w:t>
      </w:r>
      <w:r>
        <w:rPr>
          <w:rFonts w:hint="eastAsia" w:ascii="宋体" w:hAnsi="宋体" w:eastAsia="宋体" w:cs="宋体"/>
          <w:color w:val="auto"/>
          <w:sz w:val="24"/>
          <w:szCs w:val="24"/>
        </w:rPr>
        <w:t xml:space="preserve"> ）用于支付工人工资，余款划入乙方提供的账户（账户名称：</w:t>
      </w:r>
      <w:r>
        <w:rPr>
          <w:rFonts w:hint="eastAsia" w:ascii="宋体" w:hAnsi="宋体" w:eastAsia="宋体" w:cs="宋体"/>
          <w:color w:val="auto"/>
          <w:sz w:val="24"/>
          <w:szCs w:val="24"/>
          <w:lang w:val="en-US" w:eastAsia="zh-CN"/>
        </w:rPr>
        <w:t>（成交供应商名称）</w:t>
      </w:r>
      <w:r>
        <w:rPr>
          <w:rFonts w:hint="eastAsia" w:ascii="宋体" w:hAnsi="宋体" w:eastAsia="宋体" w:cs="宋体"/>
          <w:color w:val="auto"/>
          <w:sz w:val="24"/>
          <w:szCs w:val="24"/>
        </w:rPr>
        <w:t>农民工工资专户，开户银行：</w:t>
      </w:r>
      <w:r>
        <w:rPr>
          <w:rFonts w:hint="eastAsia" w:ascii="宋体" w:hAnsi="宋体" w:eastAsia="宋体" w:cs="宋体"/>
          <w:color w:val="auto"/>
          <w:sz w:val="24"/>
          <w:szCs w:val="24"/>
          <w:lang w:val="en-US" w:eastAsia="zh-CN"/>
        </w:rPr>
        <w:t>（成交供应商开户银行）</w:t>
      </w:r>
      <w:r>
        <w:rPr>
          <w:rFonts w:hint="eastAsia" w:ascii="宋体" w:hAnsi="宋体" w:eastAsia="宋体" w:cs="宋体"/>
          <w:color w:val="auto"/>
          <w:sz w:val="24"/>
          <w:szCs w:val="24"/>
        </w:rPr>
        <w:t>，账号：</w:t>
      </w:r>
      <w:r>
        <w:rPr>
          <w:rFonts w:hint="eastAsia" w:ascii="宋体" w:hAnsi="宋体" w:eastAsia="宋体" w:cs="宋体"/>
          <w:color w:val="auto"/>
          <w:sz w:val="24"/>
          <w:szCs w:val="24"/>
          <w:lang w:val="en-US" w:eastAsia="zh-CN"/>
        </w:rPr>
        <w:t>（成交供应商账号）</w:t>
      </w:r>
      <w:r>
        <w:rPr>
          <w:rFonts w:hint="eastAsia" w:ascii="宋体" w:hAnsi="宋体" w:eastAsia="宋体" w:cs="宋体"/>
          <w:color w:val="auto"/>
          <w:sz w:val="24"/>
          <w:szCs w:val="24"/>
        </w:rPr>
        <w:t>）用于该工程的建设费用。</w:t>
      </w:r>
    </w:p>
    <w:p w14:paraId="07A6518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4、乙方没提交工人工资支付专用账户的，甲方有权不拨付工程进度款。</w:t>
      </w:r>
    </w:p>
    <w:p w14:paraId="5C66A41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本合同一式</w:t>
      </w:r>
      <w:r>
        <w:rPr>
          <w:rFonts w:hint="eastAsia" w:ascii="宋体" w:hAnsi="宋体" w:eastAsia="宋体" w:cs="宋体"/>
          <w:color w:val="auto"/>
          <w:sz w:val="24"/>
          <w:szCs w:val="24"/>
          <w:lang w:val="en-US" w:eastAsia="zh-CN"/>
        </w:rPr>
        <w:t>肆</w:t>
      </w:r>
      <w:r>
        <w:rPr>
          <w:rFonts w:hint="eastAsia" w:ascii="宋体" w:hAnsi="宋体" w:eastAsia="宋体" w:cs="宋体"/>
          <w:color w:val="auto"/>
          <w:sz w:val="24"/>
          <w:szCs w:val="24"/>
        </w:rPr>
        <w:t>份，甲乙双方各执</w:t>
      </w:r>
      <w:r>
        <w:rPr>
          <w:rFonts w:hint="eastAsia" w:ascii="宋体" w:hAnsi="宋体" w:eastAsia="宋体" w:cs="宋体"/>
          <w:color w:val="auto"/>
          <w:sz w:val="24"/>
          <w:szCs w:val="24"/>
          <w:lang w:val="en-US" w:eastAsia="zh-CN"/>
        </w:rPr>
        <w:t>贰</w:t>
      </w:r>
      <w:r>
        <w:rPr>
          <w:rFonts w:hint="eastAsia" w:ascii="宋体" w:hAnsi="宋体" w:eastAsia="宋体" w:cs="宋体"/>
          <w:color w:val="auto"/>
          <w:sz w:val="24"/>
          <w:szCs w:val="24"/>
        </w:rPr>
        <w:t>份，并与原合同共同执行。</w:t>
      </w:r>
    </w:p>
    <w:p w14:paraId="1059550A">
      <w:pPr>
        <w:spacing w:line="360" w:lineRule="auto"/>
        <w:rPr>
          <w:rFonts w:hint="eastAsia" w:ascii="宋体" w:hAnsi="宋体" w:eastAsia="宋体" w:cs="宋体"/>
          <w:color w:val="auto"/>
          <w:sz w:val="24"/>
          <w:szCs w:val="24"/>
        </w:rPr>
      </w:pPr>
    </w:p>
    <w:p w14:paraId="05EB536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甲方：                            乙方：</w:t>
      </w:r>
    </w:p>
    <w:p w14:paraId="7C6B202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代表签名：                        代表签名：</w:t>
      </w:r>
    </w:p>
    <w:p w14:paraId="6F78104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签订日期：                        签订日期：</w:t>
      </w:r>
    </w:p>
    <w:p w14:paraId="058836D2">
      <w:pPr>
        <w:pStyle w:val="10"/>
        <w:rPr>
          <w:rFonts w:hint="eastAsia" w:ascii="宋体" w:hAnsi="宋体" w:eastAsia="宋体" w:cs="宋体"/>
          <w:color w:val="auto"/>
          <w:sz w:val="24"/>
          <w:szCs w:val="24"/>
          <w:highlight w:val="none"/>
        </w:rPr>
      </w:pPr>
    </w:p>
    <w:sectPr>
      <w:headerReference r:id="rId5" w:type="default"/>
      <w:footerReference r:id="rId6" w:type="default"/>
      <w:pgSz w:w="11906" w:h="16838"/>
      <w:pgMar w:top="1440" w:right="1080" w:bottom="1440" w:left="1080" w:header="567" w:footer="567" w:gutter="567"/>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6D5FF9B-CFFB-4EB1-AD6F-4B0B8C8A26AB}"/>
  </w:font>
  <w:font w:name="Arial">
    <w:panose1 w:val="020B0604020202020204"/>
    <w:charset w:val="01"/>
    <w:family w:val="swiss"/>
    <w:pitch w:val="default"/>
    <w:sig w:usb0="E0002EFF" w:usb1="C000785B" w:usb2="00000009" w:usb3="00000000" w:csb0="400001FF" w:csb1="FFFF0000"/>
    <w:embedRegular r:id="rId2" w:fontKey="{70534072-B0E4-4565-8F5E-70CF71D508AA}"/>
  </w:font>
  <w:font w:name="黑体">
    <w:panose1 w:val="02010609060101010101"/>
    <w:charset w:val="86"/>
    <w:family w:val="auto"/>
    <w:pitch w:val="default"/>
    <w:sig w:usb0="800002BF" w:usb1="38CF7CFA" w:usb2="00000016" w:usb3="00000000" w:csb0="00040001" w:csb1="00000000"/>
    <w:embedRegular r:id="rId3" w:fontKey="{B89EA397-F16F-47C0-AC03-BC97E3E76455}"/>
  </w:font>
  <w:font w:name="Courier New">
    <w:panose1 w:val="02070309020205020404"/>
    <w:charset w:val="01"/>
    <w:family w:val="modern"/>
    <w:pitch w:val="default"/>
    <w:sig w:usb0="E0002EFF" w:usb1="C0007843" w:usb2="00000009" w:usb3="00000000" w:csb0="400001FF" w:csb1="FFFF0000"/>
    <w:embedRegular r:id="rId4" w:fontKey="{BAAFC0E6-C0D9-4E43-A549-54A272A076E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09850EF9-8DDC-42AB-B5E2-7457A98109C0}"/>
  </w:font>
  <w:font w:name="仿宋_GB2312">
    <w:panose1 w:val="02010609030101010101"/>
    <w:charset w:val="86"/>
    <w:family w:val="modern"/>
    <w:pitch w:val="default"/>
    <w:sig w:usb0="00000001" w:usb1="080E0000" w:usb2="00000000" w:usb3="00000000" w:csb0="00040000" w:csb1="00000000"/>
    <w:embedRegular r:id="rId6" w:fontKey="{0D75018B-E1DA-41AC-9D91-789D7DD69BDF}"/>
  </w:font>
  <w:font w:name="Cambria">
    <w:panose1 w:val="02040503050406030204"/>
    <w:charset w:val="00"/>
    <w:family w:val="auto"/>
    <w:pitch w:val="default"/>
    <w:sig w:usb0="E00006FF" w:usb1="420024FF" w:usb2="02000000" w:usb3="00000000" w:csb0="2000019F" w:csb1="00000000"/>
    <w:embedRegular r:id="rId7" w:fontKey="{6AF37B9B-0527-4A46-9513-42BD771A9F21}"/>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
    <w:altName w:val="宋体"/>
    <w:panose1 w:val="00000000000000000000"/>
    <w:charset w:val="86"/>
    <w:family w:val="roman"/>
    <w:pitch w:val="default"/>
    <w:sig w:usb0="00000000" w:usb1="00000000" w:usb2="00000010" w:usb3="00000000" w:csb0="00040000" w:csb1="00000000"/>
  </w:font>
  <w:font w:name="汉仪中宋简">
    <w:altName w:val="宋体"/>
    <w:panose1 w:val="02010609000101010101"/>
    <w:charset w:val="86"/>
    <w:family w:val="modern"/>
    <w:pitch w:val="default"/>
    <w:sig w:usb0="00000000" w:usb1="00000000" w:usb2="00000012" w:usb3="00000000" w:csb0="00040000" w:csb1="00000000"/>
  </w:font>
  <w:font w:name="汉仪字典宋简">
    <w:altName w:val="宋体"/>
    <w:panose1 w:val="02010609000101010101"/>
    <w:charset w:val="86"/>
    <w:family w:val="modern"/>
    <w:pitch w:val="default"/>
    <w:sig w:usb0="00000000" w:usb1="00000000" w:usb2="00000012" w:usb3="00000000" w:csb0="00040000" w:csb1="00000000"/>
  </w:font>
  <w:font w:name="Helvetica">
    <w:altName w:val="Arial"/>
    <w:panose1 w:val="020B0504020202030204"/>
    <w:charset w:val="00"/>
    <w:family w:val="swiss"/>
    <w:pitch w:val="default"/>
    <w:sig w:usb0="00000000" w:usb1="00000000" w:usb2="00000000" w:usb3="00000000" w:csb0="00000093" w:csb1="00000000"/>
    <w:embedRegular r:id="rId8" w:fontKey="{98D19796-B61B-4DB4-BACB-1E1C3B01B704}"/>
  </w:font>
  <w:font w:name="仿宋">
    <w:panose1 w:val="02010609060101010101"/>
    <w:charset w:val="86"/>
    <w:family w:val="auto"/>
    <w:pitch w:val="default"/>
    <w:sig w:usb0="800002BF" w:usb1="38CF7CFA" w:usb2="00000016" w:usb3="00000000" w:csb0="00040001" w:csb1="00000000"/>
    <w:embedRegular r:id="rId9" w:fontKey="{D22561A5-826D-451B-90E2-0DAA7ABC779B}"/>
  </w:font>
  <w:font w:name="Tahoma">
    <w:panose1 w:val="020B0604030504040204"/>
    <w:charset w:val="00"/>
    <w:family w:val="auto"/>
    <w:pitch w:val="default"/>
    <w:sig w:usb0="E1002EFF" w:usb1="C000605B" w:usb2="00000029" w:usb3="00000000" w:csb0="200101FF" w:csb1="20280000"/>
    <w:embedRegular r:id="rId10" w:fontKey="{85602D2B-5439-4451-9B34-BAADC4E0C486}"/>
  </w:font>
  <w:font w:name="方正小标宋简体">
    <w:panose1 w:val="02000000000000000000"/>
    <w:charset w:val="86"/>
    <w:family w:val="auto"/>
    <w:pitch w:val="default"/>
    <w:sig w:usb0="00000001" w:usb1="08000000" w:usb2="00000000" w:usb3="00000000" w:csb0="00040000" w:csb1="00000000"/>
    <w:embedRegular r:id="rId11" w:fontKey="{AB7C9A1D-F1DD-4875-9DD3-2C6BC05E831B}"/>
  </w:font>
  <w:font w:name="Ђˎ̥">
    <w:altName w:val="Times New Roman"/>
    <w:panose1 w:val="00000000000000000000"/>
    <w:charset w:val="00"/>
    <w:family w:val="roman"/>
    <w:pitch w:val="default"/>
    <w:sig w:usb0="00000000" w:usb1="00000000" w:usb2="00000000" w:usb3="00000000" w:csb0="00040001" w:csb1="00000000"/>
    <w:embedRegular r:id="rId12" w:fontKey="{BEB61481-4DA3-40C0-9E1F-E337980A76D3}"/>
  </w:font>
  <w:font w:name="MingLiU_HKSCS">
    <w:altName w:val="PMingLiU-ExtB"/>
    <w:panose1 w:val="02020500000000000000"/>
    <w:charset w:val="88"/>
    <w:family w:val="roman"/>
    <w:pitch w:val="default"/>
    <w:sig w:usb0="00000000" w:usb1="00000000" w:usb2="00000016" w:usb3="00000000" w:csb0="00100001" w:csb1="00000000"/>
    <w:embedRegular r:id="rId13" w:fontKey="{1044C78D-DE6B-460B-AC80-ACA26F975656}"/>
  </w:font>
  <w:font w:name="PMingLiU-ExtB">
    <w:panose1 w:val="02020500000000000000"/>
    <w:charset w:val="88"/>
    <w:family w:val="auto"/>
    <w:pitch w:val="default"/>
    <w:sig w:usb0="8000002F" w:usb1="02000008" w:usb2="00000000" w:usb3="00000000" w:csb0="00100001" w:csb1="00000000"/>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57469">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2E048">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D52E048">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654D5">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54508">
                          <w:pPr>
                            <w:pStyle w:val="1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8054508">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4ED9D">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20BC8">
    <w:pPr>
      <w:spacing w:line="4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EA84D"/>
    <w:multiLevelType w:val="singleLevel"/>
    <w:tmpl w:val="872EA84D"/>
    <w:lvl w:ilvl="0" w:tentative="0">
      <w:start w:val="6"/>
      <w:numFmt w:val="chineseCounting"/>
      <w:suff w:val="space"/>
      <w:lvlText w:val="第%1章"/>
      <w:lvlJc w:val="left"/>
      <w:rPr>
        <w:rFonts w:hint="eastAsia"/>
      </w:rPr>
    </w:lvl>
  </w:abstractNum>
  <w:abstractNum w:abstractNumId="1">
    <w:nsid w:val="A8BB11CC"/>
    <w:multiLevelType w:val="singleLevel"/>
    <w:tmpl w:val="A8BB11CC"/>
    <w:lvl w:ilvl="0" w:tentative="0">
      <w:start w:val="5"/>
      <w:numFmt w:val="decimal"/>
      <w:suff w:val="nothing"/>
      <w:lvlText w:val="%1、"/>
      <w:lvlJc w:val="left"/>
    </w:lvl>
  </w:abstractNum>
  <w:abstractNum w:abstractNumId="2">
    <w:nsid w:val="EDA70614"/>
    <w:multiLevelType w:val="singleLevel"/>
    <w:tmpl w:val="EDA70614"/>
    <w:lvl w:ilvl="0" w:tentative="0">
      <w:start w:val="1"/>
      <w:numFmt w:val="chineseCounting"/>
      <w:suff w:val="space"/>
      <w:lvlText w:val="第%1部分"/>
      <w:lvlJc w:val="left"/>
      <w:rPr>
        <w:rFonts w:hint="eastAsia"/>
        <w:sz w:val="40"/>
        <w:szCs w:val="40"/>
      </w:rPr>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21A205B0"/>
    <w:multiLevelType w:val="singleLevel"/>
    <w:tmpl w:val="21A205B0"/>
    <w:lvl w:ilvl="0" w:tentative="0">
      <w:start w:val="2"/>
      <w:numFmt w:val="chineseCounting"/>
      <w:suff w:val="space"/>
      <w:lvlText w:val="第%1章"/>
      <w:lvlJc w:val="left"/>
      <w:rPr>
        <w:rFonts w:hint="eastAsia"/>
      </w:rPr>
    </w:lvl>
  </w:abstractNum>
  <w:abstractNum w:abstractNumId="5">
    <w:nsid w:val="56AE54E7"/>
    <w:multiLevelType w:val="singleLevel"/>
    <w:tmpl w:val="56AE54E7"/>
    <w:lvl w:ilvl="0" w:tentative="0">
      <w:start w:val="1"/>
      <w:numFmt w:val="decimal"/>
      <w:suff w:val="nothing"/>
      <w:lvlText w:val="（%1）"/>
      <w:lvlJc w:val="left"/>
    </w:lvl>
  </w:abstractNum>
  <w:abstractNum w:abstractNumId="6">
    <w:nsid w:val="6EDD6596"/>
    <w:multiLevelType w:val="multilevel"/>
    <w:tmpl w:val="6EDD6596"/>
    <w:lvl w:ilvl="0" w:tentative="0">
      <w:start w:val="1"/>
      <w:numFmt w:val="decimal"/>
      <w:lvlText w:val="（%1）"/>
      <w:lvlJc w:val="left"/>
      <w:pPr>
        <w:ind w:left="1035" w:hanging="720"/>
      </w:pPr>
      <w:rPr>
        <w:rFonts w:hint="default"/>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num w:numId="1">
    <w:abstractNumId w:val="4"/>
  </w:num>
  <w:num w:numId="2">
    <w:abstractNumId w:val="5"/>
  </w:num>
  <w:num w:numId="3">
    <w:abstractNumId w:val="0"/>
  </w:num>
  <w:num w:numId="4">
    <w:abstractNumId w:val="2"/>
  </w:num>
  <w:num w:numId="5">
    <w:abstractNumId w:val="3"/>
    <w:lvlOverride w:ilvl="0">
      <w:startOverride w:val="1"/>
    </w:lvlOverride>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hZTY4NDNiMDZlYzQ3MWFhYWQ4Yjg3YzZmZjE2MDMifQ=="/>
  </w:docVars>
  <w:rsids>
    <w:rsidRoot w:val="556F068E"/>
    <w:rsid w:val="00022272"/>
    <w:rsid w:val="00046300"/>
    <w:rsid w:val="00092EAF"/>
    <w:rsid w:val="000A365B"/>
    <w:rsid w:val="000C199D"/>
    <w:rsid w:val="000E03F8"/>
    <w:rsid w:val="001A5BFD"/>
    <w:rsid w:val="001C657D"/>
    <w:rsid w:val="002203C2"/>
    <w:rsid w:val="00222EAA"/>
    <w:rsid w:val="0028721A"/>
    <w:rsid w:val="002C2E79"/>
    <w:rsid w:val="00341A32"/>
    <w:rsid w:val="00344260"/>
    <w:rsid w:val="003479CE"/>
    <w:rsid w:val="00350E8A"/>
    <w:rsid w:val="003566F1"/>
    <w:rsid w:val="00396966"/>
    <w:rsid w:val="003B5B92"/>
    <w:rsid w:val="004302EE"/>
    <w:rsid w:val="00430665"/>
    <w:rsid w:val="00446559"/>
    <w:rsid w:val="004B25EB"/>
    <w:rsid w:val="00511007"/>
    <w:rsid w:val="0055311E"/>
    <w:rsid w:val="005F1692"/>
    <w:rsid w:val="006C03D0"/>
    <w:rsid w:val="006E49D4"/>
    <w:rsid w:val="006F4DB7"/>
    <w:rsid w:val="007051D0"/>
    <w:rsid w:val="0073092E"/>
    <w:rsid w:val="00740C23"/>
    <w:rsid w:val="00753155"/>
    <w:rsid w:val="00762457"/>
    <w:rsid w:val="0079775D"/>
    <w:rsid w:val="007B713C"/>
    <w:rsid w:val="00822614"/>
    <w:rsid w:val="0086498E"/>
    <w:rsid w:val="008A64A8"/>
    <w:rsid w:val="008D11E2"/>
    <w:rsid w:val="008D54D8"/>
    <w:rsid w:val="008E648C"/>
    <w:rsid w:val="008F25AF"/>
    <w:rsid w:val="00922F24"/>
    <w:rsid w:val="00946919"/>
    <w:rsid w:val="009564A4"/>
    <w:rsid w:val="00985A95"/>
    <w:rsid w:val="009A2CCA"/>
    <w:rsid w:val="009B2168"/>
    <w:rsid w:val="009D2098"/>
    <w:rsid w:val="009E6A77"/>
    <w:rsid w:val="00A360B5"/>
    <w:rsid w:val="00A461D0"/>
    <w:rsid w:val="00A51D4B"/>
    <w:rsid w:val="00A74461"/>
    <w:rsid w:val="00A806A3"/>
    <w:rsid w:val="00A974A6"/>
    <w:rsid w:val="00AA6128"/>
    <w:rsid w:val="00AD4031"/>
    <w:rsid w:val="00AF24A3"/>
    <w:rsid w:val="00B27491"/>
    <w:rsid w:val="00B3531B"/>
    <w:rsid w:val="00B57815"/>
    <w:rsid w:val="00BA74DD"/>
    <w:rsid w:val="00BC04D1"/>
    <w:rsid w:val="00BC2F65"/>
    <w:rsid w:val="00C720D9"/>
    <w:rsid w:val="00CD32AF"/>
    <w:rsid w:val="00CE6497"/>
    <w:rsid w:val="00D12F80"/>
    <w:rsid w:val="00D17065"/>
    <w:rsid w:val="00D676B2"/>
    <w:rsid w:val="00D7037D"/>
    <w:rsid w:val="00DA25AA"/>
    <w:rsid w:val="00DD6B5C"/>
    <w:rsid w:val="00E828D2"/>
    <w:rsid w:val="00F447E0"/>
    <w:rsid w:val="00F5573C"/>
    <w:rsid w:val="00FA5913"/>
    <w:rsid w:val="00FF0247"/>
    <w:rsid w:val="00FF6368"/>
    <w:rsid w:val="01003FCC"/>
    <w:rsid w:val="01104A24"/>
    <w:rsid w:val="013730A5"/>
    <w:rsid w:val="014C3BDB"/>
    <w:rsid w:val="016D676E"/>
    <w:rsid w:val="01813E16"/>
    <w:rsid w:val="0190392E"/>
    <w:rsid w:val="01A340D1"/>
    <w:rsid w:val="01D152A8"/>
    <w:rsid w:val="01D16F05"/>
    <w:rsid w:val="01D9471B"/>
    <w:rsid w:val="01E5765B"/>
    <w:rsid w:val="01E8610D"/>
    <w:rsid w:val="0217360F"/>
    <w:rsid w:val="02365E7D"/>
    <w:rsid w:val="02756169"/>
    <w:rsid w:val="027827AD"/>
    <w:rsid w:val="02806C74"/>
    <w:rsid w:val="02932757"/>
    <w:rsid w:val="02B62811"/>
    <w:rsid w:val="02C47A2B"/>
    <w:rsid w:val="02DC227F"/>
    <w:rsid w:val="02E80E6A"/>
    <w:rsid w:val="02E93C7C"/>
    <w:rsid w:val="02F353FE"/>
    <w:rsid w:val="02F76F90"/>
    <w:rsid w:val="032075CD"/>
    <w:rsid w:val="03244D3B"/>
    <w:rsid w:val="03361F3B"/>
    <w:rsid w:val="03A41F96"/>
    <w:rsid w:val="03BE5C4F"/>
    <w:rsid w:val="03C57F1D"/>
    <w:rsid w:val="03D3354B"/>
    <w:rsid w:val="043C2B7C"/>
    <w:rsid w:val="045D6149"/>
    <w:rsid w:val="04631E56"/>
    <w:rsid w:val="047553ED"/>
    <w:rsid w:val="04832496"/>
    <w:rsid w:val="048838BB"/>
    <w:rsid w:val="04924FE3"/>
    <w:rsid w:val="04A24CDA"/>
    <w:rsid w:val="04AF1326"/>
    <w:rsid w:val="04E771C2"/>
    <w:rsid w:val="04FD0E31"/>
    <w:rsid w:val="050637A5"/>
    <w:rsid w:val="054769B3"/>
    <w:rsid w:val="05480B39"/>
    <w:rsid w:val="05571F68"/>
    <w:rsid w:val="05A0262C"/>
    <w:rsid w:val="05BD7E8C"/>
    <w:rsid w:val="05F46366"/>
    <w:rsid w:val="06021BFE"/>
    <w:rsid w:val="061631B2"/>
    <w:rsid w:val="06191E33"/>
    <w:rsid w:val="061C3D5B"/>
    <w:rsid w:val="06352C8D"/>
    <w:rsid w:val="06376F97"/>
    <w:rsid w:val="065A3ABE"/>
    <w:rsid w:val="06836237"/>
    <w:rsid w:val="06A7419D"/>
    <w:rsid w:val="06E35353"/>
    <w:rsid w:val="06F75494"/>
    <w:rsid w:val="07245A59"/>
    <w:rsid w:val="0745028B"/>
    <w:rsid w:val="075A22F1"/>
    <w:rsid w:val="07AD2721"/>
    <w:rsid w:val="07AF6F49"/>
    <w:rsid w:val="07BB664B"/>
    <w:rsid w:val="082006F3"/>
    <w:rsid w:val="083C3003"/>
    <w:rsid w:val="08406DEA"/>
    <w:rsid w:val="086871CD"/>
    <w:rsid w:val="086E336F"/>
    <w:rsid w:val="087B43C8"/>
    <w:rsid w:val="08B531C4"/>
    <w:rsid w:val="08B74801"/>
    <w:rsid w:val="08E06F07"/>
    <w:rsid w:val="0903492F"/>
    <w:rsid w:val="090A71E9"/>
    <w:rsid w:val="0916122C"/>
    <w:rsid w:val="094B34E5"/>
    <w:rsid w:val="0950282C"/>
    <w:rsid w:val="099D12AF"/>
    <w:rsid w:val="09AD5E3C"/>
    <w:rsid w:val="09B12057"/>
    <w:rsid w:val="09C735AB"/>
    <w:rsid w:val="09D21F78"/>
    <w:rsid w:val="09D41DD9"/>
    <w:rsid w:val="09FB0360"/>
    <w:rsid w:val="0A312D88"/>
    <w:rsid w:val="0A443EE4"/>
    <w:rsid w:val="0A722F08"/>
    <w:rsid w:val="0A9C7D1B"/>
    <w:rsid w:val="0ADB0DD6"/>
    <w:rsid w:val="0AF95B2E"/>
    <w:rsid w:val="0AFA3F41"/>
    <w:rsid w:val="0B163B89"/>
    <w:rsid w:val="0B1A6F5A"/>
    <w:rsid w:val="0B311F83"/>
    <w:rsid w:val="0B5934C2"/>
    <w:rsid w:val="0B7023F3"/>
    <w:rsid w:val="0B9665C6"/>
    <w:rsid w:val="0BA12BC8"/>
    <w:rsid w:val="0BC2585F"/>
    <w:rsid w:val="0BC4602F"/>
    <w:rsid w:val="0BC50665"/>
    <w:rsid w:val="0BE0389B"/>
    <w:rsid w:val="0C03028C"/>
    <w:rsid w:val="0C3E0AA9"/>
    <w:rsid w:val="0C5636E2"/>
    <w:rsid w:val="0C770701"/>
    <w:rsid w:val="0C816B43"/>
    <w:rsid w:val="0C8353F1"/>
    <w:rsid w:val="0CB060DE"/>
    <w:rsid w:val="0CB43D56"/>
    <w:rsid w:val="0CBA47E6"/>
    <w:rsid w:val="0CBF41E0"/>
    <w:rsid w:val="0D001946"/>
    <w:rsid w:val="0D006A41"/>
    <w:rsid w:val="0D1A6DAB"/>
    <w:rsid w:val="0D236286"/>
    <w:rsid w:val="0D4357F1"/>
    <w:rsid w:val="0D66160F"/>
    <w:rsid w:val="0D98311E"/>
    <w:rsid w:val="0DAA5E4A"/>
    <w:rsid w:val="0DB92613"/>
    <w:rsid w:val="0DC3449B"/>
    <w:rsid w:val="0DF13383"/>
    <w:rsid w:val="0E1D31AF"/>
    <w:rsid w:val="0E2E5189"/>
    <w:rsid w:val="0E406D97"/>
    <w:rsid w:val="0E4531F0"/>
    <w:rsid w:val="0E5114F5"/>
    <w:rsid w:val="0E8A703D"/>
    <w:rsid w:val="0E9B6FC7"/>
    <w:rsid w:val="0EB12B04"/>
    <w:rsid w:val="0EB8284C"/>
    <w:rsid w:val="0EBF4D9D"/>
    <w:rsid w:val="0F2412D9"/>
    <w:rsid w:val="0F2E26DA"/>
    <w:rsid w:val="0F37609A"/>
    <w:rsid w:val="0F5E7FAF"/>
    <w:rsid w:val="0F666CCA"/>
    <w:rsid w:val="0F78123F"/>
    <w:rsid w:val="0F801C32"/>
    <w:rsid w:val="0FC73BE9"/>
    <w:rsid w:val="0FDD010F"/>
    <w:rsid w:val="0FEC00EE"/>
    <w:rsid w:val="0FEE6836"/>
    <w:rsid w:val="0FFB66A4"/>
    <w:rsid w:val="101A1FFE"/>
    <w:rsid w:val="10574280"/>
    <w:rsid w:val="1082606E"/>
    <w:rsid w:val="108A2DF9"/>
    <w:rsid w:val="109218D9"/>
    <w:rsid w:val="10A1515D"/>
    <w:rsid w:val="10AB7642"/>
    <w:rsid w:val="10B637C0"/>
    <w:rsid w:val="10EB474A"/>
    <w:rsid w:val="11170ED8"/>
    <w:rsid w:val="11215BE8"/>
    <w:rsid w:val="11347157"/>
    <w:rsid w:val="11467149"/>
    <w:rsid w:val="114E2AEE"/>
    <w:rsid w:val="115B567E"/>
    <w:rsid w:val="11A823B3"/>
    <w:rsid w:val="11BF6701"/>
    <w:rsid w:val="11C436DA"/>
    <w:rsid w:val="11CC3E60"/>
    <w:rsid w:val="120C4DAA"/>
    <w:rsid w:val="121E0907"/>
    <w:rsid w:val="12417917"/>
    <w:rsid w:val="12423A2C"/>
    <w:rsid w:val="125C359D"/>
    <w:rsid w:val="12972A6D"/>
    <w:rsid w:val="12A03046"/>
    <w:rsid w:val="12BB58E4"/>
    <w:rsid w:val="12F16C1F"/>
    <w:rsid w:val="137F578F"/>
    <w:rsid w:val="138A5D40"/>
    <w:rsid w:val="13B33EEB"/>
    <w:rsid w:val="13BC12BF"/>
    <w:rsid w:val="13BF768D"/>
    <w:rsid w:val="13CF3AB0"/>
    <w:rsid w:val="14034BB8"/>
    <w:rsid w:val="14236617"/>
    <w:rsid w:val="14405D22"/>
    <w:rsid w:val="1444201F"/>
    <w:rsid w:val="14990D44"/>
    <w:rsid w:val="14A17893"/>
    <w:rsid w:val="14BE5716"/>
    <w:rsid w:val="14C34F24"/>
    <w:rsid w:val="14EB19FB"/>
    <w:rsid w:val="14F670A8"/>
    <w:rsid w:val="151F00E8"/>
    <w:rsid w:val="153170A0"/>
    <w:rsid w:val="153C1486"/>
    <w:rsid w:val="1574696E"/>
    <w:rsid w:val="15BD2C4B"/>
    <w:rsid w:val="15C15585"/>
    <w:rsid w:val="15C6474A"/>
    <w:rsid w:val="15D762E2"/>
    <w:rsid w:val="15F46539"/>
    <w:rsid w:val="15F815D5"/>
    <w:rsid w:val="16326427"/>
    <w:rsid w:val="16433642"/>
    <w:rsid w:val="16441BC9"/>
    <w:rsid w:val="164A3658"/>
    <w:rsid w:val="164E4553"/>
    <w:rsid w:val="16621C8D"/>
    <w:rsid w:val="1665243A"/>
    <w:rsid w:val="16950C3B"/>
    <w:rsid w:val="169F132B"/>
    <w:rsid w:val="16A13E1C"/>
    <w:rsid w:val="16E77B3D"/>
    <w:rsid w:val="16F23CD8"/>
    <w:rsid w:val="16FA4E2C"/>
    <w:rsid w:val="171C17FB"/>
    <w:rsid w:val="171D46C2"/>
    <w:rsid w:val="171F74F7"/>
    <w:rsid w:val="17593127"/>
    <w:rsid w:val="17607065"/>
    <w:rsid w:val="176539F1"/>
    <w:rsid w:val="17863661"/>
    <w:rsid w:val="179F584D"/>
    <w:rsid w:val="17A941B6"/>
    <w:rsid w:val="17CE7AF6"/>
    <w:rsid w:val="180C7126"/>
    <w:rsid w:val="181C7503"/>
    <w:rsid w:val="18236833"/>
    <w:rsid w:val="18333BE2"/>
    <w:rsid w:val="18664E5B"/>
    <w:rsid w:val="18776039"/>
    <w:rsid w:val="188305B7"/>
    <w:rsid w:val="191C7213"/>
    <w:rsid w:val="19522F09"/>
    <w:rsid w:val="19813A83"/>
    <w:rsid w:val="19845EE9"/>
    <w:rsid w:val="199D157A"/>
    <w:rsid w:val="199D5C40"/>
    <w:rsid w:val="19A940E1"/>
    <w:rsid w:val="19BA6784"/>
    <w:rsid w:val="19C91BFF"/>
    <w:rsid w:val="19E80221"/>
    <w:rsid w:val="1A0D279E"/>
    <w:rsid w:val="1A397664"/>
    <w:rsid w:val="1A700B7C"/>
    <w:rsid w:val="1A9C70C5"/>
    <w:rsid w:val="1AB8269D"/>
    <w:rsid w:val="1AC47570"/>
    <w:rsid w:val="1AD35795"/>
    <w:rsid w:val="1AE41258"/>
    <w:rsid w:val="1B070751"/>
    <w:rsid w:val="1B090479"/>
    <w:rsid w:val="1B093739"/>
    <w:rsid w:val="1B093B1D"/>
    <w:rsid w:val="1B305F40"/>
    <w:rsid w:val="1B356C3A"/>
    <w:rsid w:val="1B3A401D"/>
    <w:rsid w:val="1B644C78"/>
    <w:rsid w:val="1B7156B8"/>
    <w:rsid w:val="1B724A8D"/>
    <w:rsid w:val="1B757C39"/>
    <w:rsid w:val="1B770817"/>
    <w:rsid w:val="1B7B7487"/>
    <w:rsid w:val="1B7E7F14"/>
    <w:rsid w:val="1BB105B3"/>
    <w:rsid w:val="1BC04FD1"/>
    <w:rsid w:val="1BD27D58"/>
    <w:rsid w:val="1BE54582"/>
    <w:rsid w:val="1BF84AF8"/>
    <w:rsid w:val="1BFB09A3"/>
    <w:rsid w:val="1C164185"/>
    <w:rsid w:val="1C194E8D"/>
    <w:rsid w:val="1C262354"/>
    <w:rsid w:val="1C32066D"/>
    <w:rsid w:val="1C4D58A1"/>
    <w:rsid w:val="1C672639"/>
    <w:rsid w:val="1C735482"/>
    <w:rsid w:val="1C75643E"/>
    <w:rsid w:val="1C93342E"/>
    <w:rsid w:val="1C986933"/>
    <w:rsid w:val="1CBD2679"/>
    <w:rsid w:val="1CC31008"/>
    <w:rsid w:val="1CCC3CBC"/>
    <w:rsid w:val="1CD566D8"/>
    <w:rsid w:val="1CD974FA"/>
    <w:rsid w:val="1CDF3B2A"/>
    <w:rsid w:val="1CE4752C"/>
    <w:rsid w:val="1CE83302"/>
    <w:rsid w:val="1D167EEA"/>
    <w:rsid w:val="1D195AE3"/>
    <w:rsid w:val="1D2F2D17"/>
    <w:rsid w:val="1D495FAC"/>
    <w:rsid w:val="1D4C4A30"/>
    <w:rsid w:val="1D503E27"/>
    <w:rsid w:val="1D8D58DE"/>
    <w:rsid w:val="1DB2375B"/>
    <w:rsid w:val="1DC05A19"/>
    <w:rsid w:val="1DC32A59"/>
    <w:rsid w:val="1DF47EFC"/>
    <w:rsid w:val="1DF71A39"/>
    <w:rsid w:val="1DFB4A45"/>
    <w:rsid w:val="1DFC6FA3"/>
    <w:rsid w:val="1E005F9D"/>
    <w:rsid w:val="1E096100"/>
    <w:rsid w:val="1E1D673B"/>
    <w:rsid w:val="1E231AEA"/>
    <w:rsid w:val="1E5C7AA3"/>
    <w:rsid w:val="1E6426A0"/>
    <w:rsid w:val="1E8500B7"/>
    <w:rsid w:val="1E8D2FC4"/>
    <w:rsid w:val="1ECA5910"/>
    <w:rsid w:val="1F5E1AA4"/>
    <w:rsid w:val="1F655403"/>
    <w:rsid w:val="1F807C45"/>
    <w:rsid w:val="1F86142A"/>
    <w:rsid w:val="1F8D47B9"/>
    <w:rsid w:val="1F8E2E26"/>
    <w:rsid w:val="1F9E53C0"/>
    <w:rsid w:val="1FAB4F33"/>
    <w:rsid w:val="1FE67D3D"/>
    <w:rsid w:val="1FE80522"/>
    <w:rsid w:val="1FE9475C"/>
    <w:rsid w:val="1FFC7D8E"/>
    <w:rsid w:val="20254C0F"/>
    <w:rsid w:val="204E5A2F"/>
    <w:rsid w:val="2051327A"/>
    <w:rsid w:val="20664963"/>
    <w:rsid w:val="20851A6A"/>
    <w:rsid w:val="20A9754C"/>
    <w:rsid w:val="20BA111E"/>
    <w:rsid w:val="20C454B5"/>
    <w:rsid w:val="20FE67E9"/>
    <w:rsid w:val="211713ED"/>
    <w:rsid w:val="21241618"/>
    <w:rsid w:val="21460B4D"/>
    <w:rsid w:val="219B7DE7"/>
    <w:rsid w:val="21BA18CA"/>
    <w:rsid w:val="21C4457A"/>
    <w:rsid w:val="21EC3353"/>
    <w:rsid w:val="21F05D61"/>
    <w:rsid w:val="21F3425F"/>
    <w:rsid w:val="22001A09"/>
    <w:rsid w:val="221E50FA"/>
    <w:rsid w:val="222D1D02"/>
    <w:rsid w:val="227B4DAD"/>
    <w:rsid w:val="22B4097F"/>
    <w:rsid w:val="22B64134"/>
    <w:rsid w:val="22D15291"/>
    <w:rsid w:val="22F22FF9"/>
    <w:rsid w:val="230F42A2"/>
    <w:rsid w:val="23141D1B"/>
    <w:rsid w:val="231470B2"/>
    <w:rsid w:val="23260413"/>
    <w:rsid w:val="235A7DCE"/>
    <w:rsid w:val="236B31BC"/>
    <w:rsid w:val="236D4D88"/>
    <w:rsid w:val="237B3D5E"/>
    <w:rsid w:val="237D3953"/>
    <w:rsid w:val="23856F77"/>
    <w:rsid w:val="239177CA"/>
    <w:rsid w:val="23CB3857"/>
    <w:rsid w:val="23F35D0C"/>
    <w:rsid w:val="23FA7E69"/>
    <w:rsid w:val="244627A5"/>
    <w:rsid w:val="245323A6"/>
    <w:rsid w:val="2460107D"/>
    <w:rsid w:val="24756BA6"/>
    <w:rsid w:val="2481156F"/>
    <w:rsid w:val="24B060A4"/>
    <w:rsid w:val="24B43F14"/>
    <w:rsid w:val="24BC7640"/>
    <w:rsid w:val="24E20219"/>
    <w:rsid w:val="24E309A7"/>
    <w:rsid w:val="24E449CE"/>
    <w:rsid w:val="25116E92"/>
    <w:rsid w:val="2532575D"/>
    <w:rsid w:val="25555D52"/>
    <w:rsid w:val="255D2553"/>
    <w:rsid w:val="25927C62"/>
    <w:rsid w:val="259A0584"/>
    <w:rsid w:val="25A247E7"/>
    <w:rsid w:val="25A87042"/>
    <w:rsid w:val="25B03EE3"/>
    <w:rsid w:val="25B111B0"/>
    <w:rsid w:val="25B92E0A"/>
    <w:rsid w:val="25BA7C53"/>
    <w:rsid w:val="25BE204F"/>
    <w:rsid w:val="26153106"/>
    <w:rsid w:val="261673CB"/>
    <w:rsid w:val="262D2DD3"/>
    <w:rsid w:val="26322B7B"/>
    <w:rsid w:val="26361BCE"/>
    <w:rsid w:val="264A53DE"/>
    <w:rsid w:val="26501172"/>
    <w:rsid w:val="265509DB"/>
    <w:rsid w:val="26616E22"/>
    <w:rsid w:val="266B1340"/>
    <w:rsid w:val="267257B3"/>
    <w:rsid w:val="267A636E"/>
    <w:rsid w:val="268D7140"/>
    <w:rsid w:val="269711B9"/>
    <w:rsid w:val="26B07978"/>
    <w:rsid w:val="26B26A7B"/>
    <w:rsid w:val="26BD6D0E"/>
    <w:rsid w:val="26D121AE"/>
    <w:rsid w:val="26E873DA"/>
    <w:rsid w:val="270933F2"/>
    <w:rsid w:val="27187560"/>
    <w:rsid w:val="272A0C68"/>
    <w:rsid w:val="27433C4E"/>
    <w:rsid w:val="27665E21"/>
    <w:rsid w:val="27736981"/>
    <w:rsid w:val="277A2D6D"/>
    <w:rsid w:val="277C2603"/>
    <w:rsid w:val="278230B3"/>
    <w:rsid w:val="279961FC"/>
    <w:rsid w:val="27AE44D5"/>
    <w:rsid w:val="27D80610"/>
    <w:rsid w:val="280944AF"/>
    <w:rsid w:val="282646EC"/>
    <w:rsid w:val="282C6E8B"/>
    <w:rsid w:val="28662581"/>
    <w:rsid w:val="28687751"/>
    <w:rsid w:val="286B4291"/>
    <w:rsid w:val="289A528E"/>
    <w:rsid w:val="289F315B"/>
    <w:rsid w:val="28A8460E"/>
    <w:rsid w:val="28C24CA3"/>
    <w:rsid w:val="28F63507"/>
    <w:rsid w:val="28FC1E02"/>
    <w:rsid w:val="290E23D9"/>
    <w:rsid w:val="29157609"/>
    <w:rsid w:val="291D6FAC"/>
    <w:rsid w:val="29267D5D"/>
    <w:rsid w:val="292C56FA"/>
    <w:rsid w:val="29311834"/>
    <w:rsid w:val="29347D47"/>
    <w:rsid w:val="29611F8B"/>
    <w:rsid w:val="296C7C2C"/>
    <w:rsid w:val="299F4685"/>
    <w:rsid w:val="29AD67F7"/>
    <w:rsid w:val="29DC62F2"/>
    <w:rsid w:val="29E057D9"/>
    <w:rsid w:val="29E5641B"/>
    <w:rsid w:val="2A021B3E"/>
    <w:rsid w:val="2A290BDC"/>
    <w:rsid w:val="2A351F7B"/>
    <w:rsid w:val="2A3E35AD"/>
    <w:rsid w:val="2A4D42B6"/>
    <w:rsid w:val="2A4D76CB"/>
    <w:rsid w:val="2A652BD4"/>
    <w:rsid w:val="2A6C420C"/>
    <w:rsid w:val="2A7201A4"/>
    <w:rsid w:val="2AB26607"/>
    <w:rsid w:val="2ACE4FC6"/>
    <w:rsid w:val="2AD94755"/>
    <w:rsid w:val="2AF77367"/>
    <w:rsid w:val="2AFA0B1C"/>
    <w:rsid w:val="2B0A326E"/>
    <w:rsid w:val="2B411857"/>
    <w:rsid w:val="2B54148E"/>
    <w:rsid w:val="2B5E61B8"/>
    <w:rsid w:val="2B7118BF"/>
    <w:rsid w:val="2B724E22"/>
    <w:rsid w:val="2B8818D0"/>
    <w:rsid w:val="2B8A1EA0"/>
    <w:rsid w:val="2BC96E4E"/>
    <w:rsid w:val="2BE13188"/>
    <w:rsid w:val="2BE713FE"/>
    <w:rsid w:val="2BE83454"/>
    <w:rsid w:val="2C053476"/>
    <w:rsid w:val="2C113654"/>
    <w:rsid w:val="2C1B212D"/>
    <w:rsid w:val="2C3E2C44"/>
    <w:rsid w:val="2C44674C"/>
    <w:rsid w:val="2C920372"/>
    <w:rsid w:val="2CDD2828"/>
    <w:rsid w:val="2D28535E"/>
    <w:rsid w:val="2D735A67"/>
    <w:rsid w:val="2DAE2A8A"/>
    <w:rsid w:val="2DBA131A"/>
    <w:rsid w:val="2DBA5AC8"/>
    <w:rsid w:val="2DCB735A"/>
    <w:rsid w:val="2DD462C2"/>
    <w:rsid w:val="2DDD2134"/>
    <w:rsid w:val="2DDD4E5F"/>
    <w:rsid w:val="2DE60BE9"/>
    <w:rsid w:val="2E2668E4"/>
    <w:rsid w:val="2E330FC4"/>
    <w:rsid w:val="2E3B5ECD"/>
    <w:rsid w:val="2E451A7C"/>
    <w:rsid w:val="2E993ECD"/>
    <w:rsid w:val="2ED36202"/>
    <w:rsid w:val="2EE13B2F"/>
    <w:rsid w:val="2EE15691"/>
    <w:rsid w:val="2F1F4FB0"/>
    <w:rsid w:val="2F4802E2"/>
    <w:rsid w:val="2F486E5D"/>
    <w:rsid w:val="2F4A5657"/>
    <w:rsid w:val="2F9C2E37"/>
    <w:rsid w:val="2FB000FC"/>
    <w:rsid w:val="2FC93316"/>
    <w:rsid w:val="2FCC5583"/>
    <w:rsid w:val="2FD61001"/>
    <w:rsid w:val="300852DE"/>
    <w:rsid w:val="30464020"/>
    <w:rsid w:val="306B512F"/>
    <w:rsid w:val="306D5C41"/>
    <w:rsid w:val="30A83EC2"/>
    <w:rsid w:val="30B80D4C"/>
    <w:rsid w:val="30BD2B5F"/>
    <w:rsid w:val="30F84E6F"/>
    <w:rsid w:val="31127E0D"/>
    <w:rsid w:val="3129025F"/>
    <w:rsid w:val="31320998"/>
    <w:rsid w:val="31453C7B"/>
    <w:rsid w:val="314D312F"/>
    <w:rsid w:val="31615C49"/>
    <w:rsid w:val="316D7D22"/>
    <w:rsid w:val="31843543"/>
    <w:rsid w:val="31857990"/>
    <w:rsid w:val="318B126D"/>
    <w:rsid w:val="31A1157A"/>
    <w:rsid w:val="31C25309"/>
    <w:rsid w:val="31D67B45"/>
    <w:rsid w:val="31E35430"/>
    <w:rsid w:val="3210510A"/>
    <w:rsid w:val="322055D3"/>
    <w:rsid w:val="322C2A8A"/>
    <w:rsid w:val="322E1180"/>
    <w:rsid w:val="324D07E6"/>
    <w:rsid w:val="32757B61"/>
    <w:rsid w:val="32822213"/>
    <w:rsid w:val="328F2B5E"/>
    <w:rsid w:val="32981347"/>
    <w:rsid w:val="329F7A2B"/>
    <w:rsid w:val="32D9561A"/>
    <w:rsid w:val="3311647A"/>
    <w:rsid w:val="33134964"/>
    <w:rsid w:val="3329346A"/>
    <w:rsid w:val="333659DA"/>
    <w:rsid w:val="33485D77"/>
    <w:rsid w:val="335553C6"/>
    <w:rsid w:val="3357102E"/>
    <w:rsid w:val="33572FB0"/>
    <w:rsid w:val="33633EB8"/>
    <w:rsid w:val="336D250C"/>
    <w:rsid w:val="33B30672"/>
    <w:rsid w:val="33D579CF"/>
    <w:rsid w:val="33E836FB"/>
    <w:rsid w:val="33F205F7"/>
    <w:rsid w:val="33FF2179"/>
    <w:rsid w:val="3410451E"/>
    <w:rsid w:val="345E13BA"/>
    <w:rsid w:val="345E3292"/>
    <w:rsid w:val="34664A0B"/>
    <w:rsid w:val="346E2D0F"/>
    <w:rsid w:val="34AE1E6A"/>
    <w:rsid w:val="350E3B42"/>
    <w:rsid w:val="35125628"/>
    <w:rsid w:val="352100FF"/>
    <w:rsid w:val="352167CF"/>
    <w:rsid w:val="35523A2F"/>
    <w:rsid w:val="3566212E"/>
    <w:rsid w:val="356B276A"/>
    <w:rsid w:val="358E654C"/>
    <w:rsid w:val="35965B9C"/>
    <w:rsid w:val="359F0A1F"/>
    <w:rsid w:val="35C43240"/>
    <w:rsid w:val="35D42CBE"/>
    <w:rsid w:val="361B3EDC"/>
    <w:rsid w:val="361F6493"/>
    <w:rsid w:val="365C025C"/>
    <w:rsid w:val="36626692"/>
    <w:rsid w:val="367242E0"/>
    <w:rsid w:val="36897340"/>
    <w:rsid w:val="36D05609"/>
    <w:rsid w:val="36E200B3"/>
    <w:rsid w:val="36E35E9F"/>
    <w:rsid w:val="36EC24B8"/>
    <w:rsid w:val="36FF2B34"/>
    <w:rsid w:val="3712448B"/>
    <w:rsid w:val="37A34A15"/>
    <w:rsid w:val="37A52ECC"/>
    <w:rsid w:val="37C64260"/>
    <w:rsid w:val="38282D9D"/>
    <w:rsid w:val="38473444"/>
    <w:rsid w:val="38496EE5"/>
    <w:rsid w:val="385308AB"/>
    <w:rsid w:val="38854458"/>
    <w:rsid w:val="389A51EB"/>
    <w:rsid w:val="38A22B6B"/>
    <w:rsid w:val="38D563EE"/>
    <w:rsid w:val="38EA10A6"/>
    <w:rsid w:val="390441CE"/>
    <w:rsid w:val="390B5D7B"/>
    <w:rsid w:val="39166111"/>
    <w:rsid w:val="39255B75"/>
    <w:rsid w:val="393F5C66"/>
    <w:rsid w:val="395370EE"/>
    <w:rsid w:val="39545D8E"/>
    <w:rsid w:val="3985179C"/>
    <w:rsid w:val="39BF1CE5"/>
    <w:rsid w:val="3A0B1954"/>
    <w:rsid w:val="3A151FA0"/>
    <w:rsid w:val="3A2B232A"/>
    <w:rsid w:val="3A793A8F"/>
    <w:rsid w:val="3ABF2507"/>
    <w:rsid w:val="3AC32E01"/>
    <w:rsid w:val="3AC9498B"/>
    <w:rsid w:val="3AEE7DE7"/>
    <w:rsid w:val="3B1A6127"/>
    <w:rsid w:val="3B256DAF"/>
    <w:rsid w:val="3B33681B"/>
    <w:rsid w:val="3B461AFF"/>
    <w:rsid w:val="3B533D48"/>
    <w:rsid w:val="3B5A1A2F"/>
    <w:rsid w:val="3B5B5758"/>
    <w:rsid w:val="3B8D3791"/>
    <w:rsid w:val="3BA27B10"/>
    <w:rsid w:val="3BA92E72"/>
    <w:rsid w:val="3BAA04FF"/>
    <w:rsid w:val="3BAD1686"/>
    <w:rsid w:val="3BAF6081"/>
    <w:rsid w:val="3BBD016F"/>
    <w:rsid w:val="3BE0479C"/>
    <w:rsid w:val="3BEE3761"/>
    <w:rsid w:val="3C0E5061"/>
    <w:rsid w:val="3C1B1E29"/>
    <w:rsid w:val="3C1F49BF"/>
    <w:rsid w:val="3C9A335A"/>
    <w:rsid w:val="3CBB635D"/>
    <w:rsid w:val="3CC05722"/>
    <w:rsid w:val="3CDC396E"/>
    <w:rsid w:val="3CF248ED"/>
    <w:rsid w:val="3D0D4A0D"/>
    <w:rsid w:val="3D312940"/>
    <w:rsid w:val="3D681D5A"/>
    <w:rsid w:val="3D6A1C0B"/>
    <w:rsid w:val="3D8D6ED1"/>
    <w:rsid w:val="3D8F3E21"/>
    <w:rsid w:val="3DC31ADA"/>
    <w:rsid w:val="3DFD7731"/>
    <w:rsid w:val="3E0C733A"/>
    <w:rsid w:val="3E874902"/>
    <w:rsid w:val="3E921361"/>
    <w:rsid w:val="3EB06A0E"/>
    <w:rsid w:val="3EB31640"/>
    <w:rsid w:val="3EB54AE2"/>
    <w:rsid w:val="3EB92D62"/>
    <w:rsid w:val="3EF16D0C"/>
    <w:rsid w:val="3F15023A"/>
    <w:rsid w:val="3F2476CE"/>
    <w:rsid w:val="3F273217"/>
    <w:rsid w:val="3F2A77CA"/>
    <w:rsid w:val="3F5C67E0"/>
    <w:rsid w:val="3F6046C3"/>
    <w:rsid w:val="3F816C8A"/>
    <w:rsid w:val="3FA93691"/>
    <w:rsid w:val="3FC568AC"/>
    <w:rsid w:val="3FD0385B"/>
    <w:rsid w:val="3FE6347C"/>
    <w:rsid w:val="402F6781"/>
    <w:rsid w:val="40394958"/>
    <w:rsid w:val="403A1C8F"/>
    <w:rsid w:val="404D5299"/>
    <w:rsid w:val="404E76D3"/>
    <w:rsid w:val="405B74E2"/>
    <w:rsid w:val="408560B2"/>
    <w:rsid w:val="408F3C3B"/>
    <w:rsid w:val="40AD0BEA"/>
    <w:rsid w:val="40B45FA1"/>
    <w:rsid w:val="40C50789"/>
    <w:rsid w:val="40E2404A"/>
    <w:rsid w:val="40FA0619"/>
    <w:rsid w:val="41141D46"/>
    <w:rsid w:val="41262582"/>
    <w:rsid w:val="41277321"/>
    <w:rsid w:val="415C5513"/>
    <w:rsid w:val="41661CEC"/>
    <w:rsid w:val="417304D2"/>
    <w:rsid w:val="41B67760"/>
    <w:rsid w:val="4200486D"/>
    <w:rsid w:val="42084854"/>
    <w:rsid w:val="420A4AA8"/>
    <w:rsid w:val="423C231C"/>
    <w:rsid w:val="424E5D3B"/>
    <w:rsid w:val="42894103"/>
    <w:rsid w:val="42962332"/>
    <w:rsid w:val="42DA35EB"/>
    <w:rsid w:val="42DC1373"/>
    <w:rsid w:val="42EB5F3F"/>
    <w:rsid w:val="43151FA6"/>
    <w:rsid w:val="433B4FAD"/>
    <w:rsid w:val="43494E83"/>
    <w:rsid w:val="434A1ED7"/>
    <w:rsid w:val="434B5F61"/>
    <w:rsid w:val="439452CD"/>
    <w:rsid w:val="43987C3E"/>
    <w:rsid w:val="43DF168F"/>
    <w:rsid w:val="43F70347"/>
    <w:rsid w:val="440D2A75"/>
    <w:rsid w:val="44151500"/>
    <w:rsid w:val="44225771"/>
    <w:rsid w:val="442E2C0A"/>
    <w:rsid w:val="443415E8"/>
    <w:rsid w:val="44471AAC"/>
    <w:rsid w:val="4491321B"/>
    <w:rsid w:val="449A2A3E"/>
    <w:rsid w:val="44C0114A"/>
    <w:rsid w:val="44CA2639"/>
    <w:rsid w:val="44D50E68"/>
    <w:rsid w:val="44E25F72"/>
    <w:rsid w:val="44E32866"/>
    <w:rsid w:val="44EB189F"/>
    <w:rsid w:val="44FD7B3F"/>
    <w:rsid w:val="451136F6"/>
    <w:rsid w:val="45127E77"/>
    <w:rsid w:val="451417BD"/>
    <w:rsid w:val="45355F69"/>
    <w:rsid w:val="45387544"/>
    <w:rsid w:val="453975C8"/>
    <w:rsid w:val="453B0148"/>
    <w:rsid w:val="453B36EE"/>
    <w:rsid w:val="45681A93"/>
    <w:rsid w:val="45730F25"/>
    <w:rsid w:val="459020E6"/>
    <w:rsid w:val="45EB5B41"/>
    <w:rsid w:val="45FC5122"/>
    <w:rsid w:val="4608625E"/>
    <w:rsid w:val="460E37F4"/>
    <w:rsid w:val="462E28FA"/>
    <w:rsid w:val="463D21F4"/>
    <w:rsid w:val="46726F6F"/>
    <w:rsid w:val="46E17C2E"/>
    <w:rsid w:val="46E66176"/>
    <w:rsid w:val="46F618BC"/>
    <w:rsid w:val="47172FCE"/>
    <w:rsid w:val="472D20DA"/>
    <w:rsid w:val="47322751"/>
    <w:rsid w:val="473E0204"/>
    <w:rsid w:val="473E1081"/>
    <w:rsid w:val="475075B1"/>
    <w:rsid w:val="477301BF"/>
    <w:rsid w:val="47770F2B"/>
    <w:rsid w:val="47D9109A"/>
    <w:rsid w:val="47DF1EDE"/>
    <w:rsid w:val="47E32A44"/>
    <w:rsid w:val="48001EB1"/>
    <w:rsid w:val="485F067A"/>
    <w:rsid w:val="48A46FB5"/>
    <w:rsid w:val="48C63978"/>
    <w:rsid w:val="48D931CF"/>
    <w:rsid w:val="48DB1A95"/>
    <w:rsid w:val="49095468"/>
    <w:rsid w:val="491B44C5"/>
    <w:rsid w:val="492B4F94"/>
    <w:rsid w:val="492E6967"/>
    <w:rsid w:val="49A25D9E"/>
    <w:rsid w:val="49A96B07"/>
    <w:rsid w:val="49C51CAF"/>
    <w:rsid w:val="49F53957"/>
    <w:rsid w:val="4A2057D5"/>
    <w:rsid w:val="4A2A06C4"/>
    <w:rsid w:val="4A6819DC"/>
    <w:rsid w:val="4A8A479E"/>
    <w:rsid w:val="4A8F0E29"/>
    <w:rsid w:val="4A902D26"/>
    <w:rsid w:val="4AC17322"/>
    <w:rsid w:val="4AEB7F8C"/>
    <w:rsid w:val="4B1506E1"/>
    <w:rsid w:val="4B182BCD"/>
    <w:rsid w:val="4B2E3F72"/>
    <w:rsid w:val="4B341A2A"/>
    <w:rsid w:val="4B375FBE"/>
    <w:rsid w:val="4B3B7B1E"/>
    <w:rsid w:val="4B414BEA"/>
    <w:rsid w:val="4B587F93"/>
    <w:rsid w:val="4B7103C2"/>
    <w:rsid w:val="4B812B8E"/>
    <w:rsid w:val="4B85737C"/>
    <w:rsid w:val="4B9F74CF"/>
    <w:rsid w:val="4C073223"/>
    <w:rsid w:val="4C1A464A"/>
    <w:rsid w:val="4C274913"/>
    <w:rsid w:val="4C602A7D"/>
    <w:rsid w:val="4CA14D01"/>
    <w:rsid w:val="4CAC3D23"/>
    <w:rsid w:val="4CBB0999"/>
    <w:rsid w:val="4CC74C57"/>
    <w:rsid w:val="4CCF792C"/>
    <w:rsid w:val="4CED7708"/>
    <w:rsid w:val="4CFB7F38"/>
    <w:rsid w:val="4CFE7AD0"/>
    <w:rsid w:val="4D033455"/>
    <w:rsid w:val="4D0463A4"/>
    <w:rsid w:val="4D10719D"/>
    <w:rsid w:val="4D2211D8"/>
    <w:rsid w:val="4D583F97"/>
    <w:rsid w:val="4DC002E1"/>
    <w:rsid w:val="4DC07059"/>
    <w:rsid w:val="4DD44A19"/>
    <w:rsid w:val="4DE75FC1"/>
    <w:rsid w:val="4E6E58E7"/>
    <w:rsid w:val="4EA551CE"/>
    <w:rsid w:val="4EA57992"/>
    <w:rsid w:val="4EC86811"/>
    <w:rsid w:val="4F112BD8"/>
    <w:rsid w:val="4F2359D6"/>
    <w:rsid w:val="4F27534F"/>
    <w:rsid w:val="4F3A6B04"/>
    <w:rsid w:val="4F6621C1"/>
    <w:rsid w:val="4F69181E"/>
    <w:rsid w:val="4F904F03"/>
    <w:rsid w:val="4F9A2167"/>
    <w:rsid w:val="4F9A2956"/>
    <w:rsid w:val="4FD0029E"/>
    <w:rsid w:val="50596932"/>
    <w:rsid w:val="50833C49"/>
    <w:rsid w:val="50880633"/>
    <w:rsid w:val="508F5958"/>
    <w:rsid w:val="50A32944"/>
    <w:rsid w:val="50DD469C"/>
    <w:rsid w:val="50E41AF7"/>
    <w:rsid w:val="50EC3EA9"/>
    <w:rsid w:val="50ED0E10"/>
    <w:rsid w:val="513B0119"/>
    <w:rsid w:val="513C7D41"/>
    <w:rsid w:val="515A0C65"/>
    <w:rsid w:val="515E27BB"/>
    <w:rsid w:val="515F4A51"/>
    <w:rsid w:val="51A45F6D"/>
    <w:rsid w:val="51A75C24"/>
    <w:rsid w:val="51B907B6"/>
    <w:rsid w:val="51DF0CDF"/>
    <w:rsid w:val="51E30B98"/>
    <w:rsid w:val="51E97071"/>
    <w:rsid w:val="51FD61FC"/>
    <w:rsid w:val="52203D61"/>
    <w:rsid w:val="52386D39"/>
    <w:rsid w:val="523C3645"/>
    <w:rsid w:val="5242431B"/>
    <w:rsid w:val="524877D4"/>
    <w:rsid w:val="524F0DF4"/>
    <w:rsid w:val="52A00B52"/>
    <w:rsid w:val="52A651A9"/>
    <w:rsid w:val="52CB4CC5"/>
    <w:rsid w:val="52D0584F"/>
    <w:rsid w:val="52E23DAC"/>
    <w:rsid w:val="52EB770C"/>
    <w:rsid w:val="52F6441F"/>
    <w:rsid w:val="52F653E4"/>
    <w:rsid w:val="5309719A"/>
    <w:rsid w:val="53140C09"/>
    <w:rsid w:val="531E1115"/>
    <w:rsid w:val="53273171"/>
    <w:rsid w:val="53311A2E"/>
    <w:rsid w:val="5366484D"/>
    <w:rsid w:val="53731EF1"/>
    <w:rsid w:val="53733493"/>
    <w:rsid w:val="53912B90"/>
    <w:rsid w:val="53AC07DC"/>
    <w:rsid w:val="53C41B44"/>
    <w:rsid w:val="53F969C4"/>
    <w:rsid w:val="5404740A"/>
    <w:rsid w:val="54050B1A"/>
    <w:rsid w:val="542362A5"/>
    <w:rsid w:val="54280325"/>
    <w:rsid w:val="546D41B1"/>
    <w:rsid w:val="547701CD"/>
    <w:rsid w:val="549501D8"/>
    <w:rsid w:val="54A65B3A"/>
    <w:rsid w:val="54C35989"/>
    <w:rsid w:val="54CD01EC"/>
    <w:rsid w:val="54F558F9"/>
    <w:rsid w:val="54FA6EB3"/>
    <w:rsid w:val="550348EE"/>
    <w:rsid w:val="550E3200"/>
    <w:rsid w:val="55135050"/>
    <w:rsid w:val="551E35E3"/>
    <w:rsid w:val="5520072C"/>
    <w:rsid w:val="55373ACE"/>
    <w:rsid w:val="556A2277"/>
    <w:rsid w:val="556F068E"/>
    <w:rsid w:val="558D4430"/>
    <w:rsid w:val="559427CA"/>
    <w:rsid w:val="55C8191C"/>
    <w:rsid w:val="55C8432B"/>
    <w:rsid w:val="55D33DE7"/>
    <w:rsid w:val="560047B0"/>
    <w:rsid w:val="56223544"/>
    <w:rsid w:val="562B0309"/>
    <w:rsid w:val="56320F1A"/>
    <w:rsid w:val="564D41A9"/>
    <w:rsid w:val="565E4274"/>
    <w:rsid w:val="5666031A"/>
    <w:rsid w:val="566A27F8"/>
    <w:rsid w:val="56803FF0"/>
    <w:rsid w:val="568F750C"/>
    <w:rsid w:val="569014CB"/>
    <w:rsid w:val="56925ED7"/>
    <w:rsid w:val="56B55995"/>
    <w:rsid w:val="56C91168"/>
    <w:rsid w:val="56E15BAE"/>
    <w:rsid w:val="56FA0DF2"/>
    <w:rsid w:val="56FF0F11"/>
    <w:rsid w:val="5714339A"/>
    <w:rsid w:val="5717042A"/>
    <w:rsid w:val="571A1A7B"/>
    <w:rsid w:val="572E4DA3"/>
    <w:rsid w:val="572E781C"/>
    <w:rsid w:val="575952E3"/>
    <w:rsid w:val="57842375"/>
    <w:rsid w:val="57866CAC"/>
    <w:rsid w:val="579462A8"/>
    <w:rsid w:val="579B36BD"/>
    <w:rsid w:val="57B2220D"/>
    <w:rsid w:val="57BB2149"/>
    <w:rsid w:val="57C76DE6"/>
    <w:rsid w:val="57D165DD"/>
    <w:rsid w:val="57D80574"/>
    <w:rsid w:val="580A0E63"/>
    <w:rsid w:val="580E3A4B"/>
    <w:rsid w:val="5814779C"/>
    <w:rsid w:val="584357AA"/>
    <w:rsid w:val="58764BA4"/>
    <w:rsid w:val="588221AB"/>
    <w:rsid w:val="58870496"/>
    <w:rsid w:val="588A1876"/>
    <w:rsid w:val="588D71B2"/>
    <w:rsid w:val="58AC68EF"/>
    <w:rsid w:val="58BE53CF"/>
    <w:rsid w:val="58C007C6"/>
    <w:rsid w:val="58C41915"/>
    <w:rsid w:val="58E407EA"/>
    <w:rsid w:val="590649AC"/>
    <w:rsid w:val="591B616B"/>
    <w:rsid w:val="592D1F6B"/>
    <w:rsid w:val="59304CE8"/>
    <w:rsid w:val="59364F97"/>
    <w:rsid w:val="59370159"/>
    <w:rsid w:val="59532C2C"/>
    <w:rsid w:val="5981656F"/>
    <w:rsid w:val="59A06B52"/>
    <w:rsid w:val="59A26243"/>
    <w:rsid w:val="59C76055"/>
    <w:rsid w:val="59E75FD1"/>
    <w:rsid w:val="5A065F4B"/>
    <w:rsid w:val="5A0B1C28"/>
    <w:rsid w:val="5A2255E6"/>
    <w:rsid w:val="5A851E01"/>
    <w:rsid w:val="5A8F2EB6"/>
    <w:rsid w:val="5AA15ABA"/>
    <w:rsid w:val="5AB06C76"/>
    <w:rsid w:val="5AF63E2E"/>
    <w:rsid w:val="5B1128EC"/>
    <w:rsid w:val="5B29025F"/>
    <w:rsid w:val="5B3143F9"/>
    <w:rsid w:val="5B355990"/>
    <w:rsid w:val="5B503CBD"/>
    <w:rsid w:val="5BB95190"/>
    <w:rsid w:val="5BE17D55"/>
    <w:rsid w:val="5BEC3155"/>
    <w:rsid w:val="5BF21181"/>
    <w:rsid w:val="5BFA46DF"/>
    <w:rsid w:val="5BFD0432"/>
    <w:rsid w:val="5C1974E5"/>
    <w:rsid w:val="5C1C7E80"/>
    <w:rsid w:val="5C4828EE"/>
    <w:rsid w:val="5C855BE8"/>
    <w:rsid w:val="5C856CEB"/>
    <w:rsid w:val="5CA72002"/>
    <w:rsid w:val="5CBD3C20"/>
    <w:rsid w:val="5CDB3A5A"/>
    <w:rsid w:val="5CE075FF"/>
    <w:rsid w:val="5CE9518C"/>
    <w:rsid w:val="5D2166D8"/>
    <w:rsid w:val="5D272680"/>
    <w:rsid w:val="5D45468E"/>
    <w:rsid w:val="5D6B04DF"/>
    <w:rsid w:val="5D707B84"/>
    <w:rsid w:val="5D8B722E"/>
    <w:rsid w:val="5D9B1497"/>
    <w:rsid w:val="5DDC51F6"/>
    <w:rsid w:val="5DE3422A"/>
    <w:rsid w:val="5E05130E"/>
    <w:rsid w:val="5E135B29"/>
    <w:rsid w:val="5E466F37"/>
    <w:rsid w:val="5E6A0CC2"/>
    <w:rsid w:val="5E811469"/>
    <w:rsid w:val="5E845B3F"/>
    <w:rsid w:val="5E8D1899"/>
    <w:rsid w:val="5ED063E1"/>
    <w:rsid w:val="5EF4213A"/>
    <w:rsid w:val="5EF778DD"/>
    <w:rsid w:val="5F012051"/>
    <w:rsid w:val="5F150F5D"/>
    <w:rsid w:val="5F151A68"/>
    <w:rsid w:val="5F1E594E"/>
    <w:rsid w:val="5F2306D2"/>
    <w:rsid w:val="5F364291"/>
    <w:rsid w:val="5F720D05"/>
    <w:rsid w:val="5FB038A7"/>
    <w:rsid w:val="5FBB2542"/>
    <w:rsid w:val="5FFB489D"/>
    <w:rsid w:val="60055465"/>
    <w:rsid w:val="6014637F"/>
    <w:rsid w:val="601D6507"/>
    <w:rsid w:val="60304923"/>
    <w:rsid w:val="60340051"/>
    <w:rsid w:val="60350C06"/>
    <w:rsid w:val="603B74D8"/>
    <w:rsid w:val="60687CAA"/>
    <w:rsid w:val="6074197E"/>
    <w:rsid w:val="60A7279D"/>
    <w:rsid w:val="60C625CB"/>
    <w:rsid w:val="60C71D15"/>
    <w:rsid w:val="61036CD9"/>
    <w:rsid w:val="61097F16"/>
    <w:rsid w:val="612451AE"/>
    <w:rsid w:val="613E3C59"/>
    <w:rsid w:val="61450A94"/>
    <w:rsid w:val="61717233"/>
    <w:rsid w:val="61734481"/>
    <w:rsid w:val="61842912"/>
    <w:rsid w:val="619513BF"/>
    <w:rsid w:val="61A55E2E"/>
    <w:rsid w:val="61B90EE2"/>
    <w:rsid w:val="61C34C9F"/>
    <w:rsid w:val="61CF1FDD"/>
    <w:rsid w:val="61FA205F"/>
    <w:rsid w:val="620D15FF"/>
    <w:rsid w:val="620F0095"/>
    <w:rsid w:val="624F2F20"/>
    <w:rsid w:val="626C2C39"/>
    <w:rsid w:val="627A61C5"/>
    <w:rsid w:val="62841CE0"/>
    <w:rsid w:val="62B524F7"/>
    <w:rsid w:val="62E513AE"/>
    <w:rsid w:val="62EF4D57"/>
    <w:rsid w:val="62F1602A"/>
    <w:rsid w:val="63203A10"/>
    <w:rsid w:val="6321699F"/>
    <w:rsid w:val="63360CF0"/>
    <w:rsid w:val="63554E4D"/>
    <w:rsid w:val="63652DBD"/>
    <w:rsid w:val="63687E84"/>
    <w:rsid w:val="637257E9"/>
    <w:rsid w:val="63951967"/>
    <w:rsid w:val="63B50F8C"/>
    <w:rsid w:val="63D22FCA"/>
    <w:rsid w:val="640E61DB"/>
    <w:rsid w:val="641206A9"/>
    <w:rsid w:val="64545838"/>
    <w:rsid w:val="645F02B5"/>
    <w:rsid w:val="64681B01"/>
    <w:rsid w:val="64867FEE"/>
    <w:rsid w:val="649007B3"/>
    <w:rsid w:val="64AE06FA"/>
    <w:rsid w:val="64D401A5"/>
    <w:rsid w:val="65024685"/>
    <w:rsid w:val="652A7FEB"/>
    <w:rsid w:val="652B00E3"/>
    <w:rsid w:val="65535A5A"/>
    <w:rsid w:val="659D0DEE"/>
    <w:rsid w:val="65A6262A"/>
    <w:rsid w:val="65D219C2"/>
    <w:rsid w:val="65D21E1C"/>
    <w:rsid w:val="65DA54B3"/>
    <w:rsid w:val="65F352F8"/>
    <w:rsid w:val="65FB4D18"/>
    <w:rsid w:val="660A7073"/>
    <w:rsid w:val="660E3C9E"/>
    <w:rsid w:val="66164CE6"/>
    <w:rsid w:val="662326FA"/>
    <w:rsid w:val="66425F55"/>
    <w:rsid w:val="664E5D65"/>
    <w:rsid w:val="665C5C0C"/>
    <w:rsid w:val="66A80B4A"/>
    <w:rsid w:val="66BF254A"/>
    <w:rsid w:val="66EE49DE"/>
    <w:rsid w:val="676F09D5"/>
    <w:rsid w:val="67790849"/>
    <w:rsid w:val="677D4C69"/>
    <w:rsid w:val="67AA7DCF"/>
    <w:rsid w:val="67B34464"/>
    <w:rsid w:val="67BD22B9"/>
    <w:rsid w:val="67FE1162"/>
    <w:rsid w:val="68004140"/>
    <w:rsid w:val="681B0E12"/>
    <w:rsid w:val="688F28E2"/>
    <w:rsid w:val="68A11DD7"/>
    <w:rsid w:val="68A51FB8"/>
    <w:rsid w:val="68DB53E7"/>
    <w:rsid w:val="68EA3016"/>
    <w:rsid w:val="68EB7ABC"/>
    <w:rsid w:val="69062705"/>
    <w:rsid w:val="691B0B6B"/>
    <w:rsid w:val="69782CD3"/>
    <w:rsid w:val="697F5EFC"/>
    <w:rsid w:val="698A7439"/>
    <w:rsid w:val="69936875"/>
    <w:rsid w:val="69964E32"/>
    <w:rsid w:val="69AE114D"/>
    <w:rsid w:val="69DC7E67"/>
    <w:rsid w:val="69E80350"/>
    <w:rsid w:val="69EF047B"/>
    <w:rsid w:val="6A1D56B2"/>
    <w:rsid w:val="6A2B6FC3"/>
    <w:rsid w:val="6A3A339B"/>
    <w:rsid w:val="6A3A5E65"/>
    <w:rsid w:val="6A6F1C4C"/>
    <w:rsid w:val="6A7202DC"/>
    <w:rsid w:val="6AA74E35"/>
    <w:rsid w:val="6AA8466C"/>
    <w:rsid w:val="6AC6225B"/>
    <w:rsid w:val="6B505BBB"/>
    <w:rsid w:val="6B6333A7"/>
    <w:rsid w:val="6BCA5C39"/>
    <w:rsid w:val="6BE27CF9"/>
    <w:rsid w:val="6C2D1409"/>
    <w:rsid w:val="6C2D7D63"/>
    <w:rsid w:val="6C3206C8"/>
    <w:rsid w:val="6C357AB5"/>
    <w:rsid w:val="6C3628E8"/>
    <w:rsid w:val="6C3934B6"/>
    <w:rsid w:val="6C615C61"/>
    <w:rsid w:val="6C6367AC"/>
    <w:rsid w:val="6C80536B"/>
    <w:rsid w:val="6C862345"/>
    <w:rsid w:val="6C8B724B"/>
    <w:rsid w:val="6C9048E4"/>
    <w:rsid w:val="6C9E2A18"/>
    <w:rsid w:val="6CA35456"/>
    <w:rsid w:val="6CB017D7"/>
    <w:rsid w:val="6CB32B41"/>
    <w:rsid w:val="6CBC68B9"/>
    <w:rsid w:val="6CD66EDA"/>
    <w:rsid w:val="6CDD24BD"/>
    <w:rsid w:val="6D0F3EEF"/>
    <w:rsid w:val="6D146CD3"/>
    <w:rsid w:val="6D1566D6"/>
    <w:rsid w:val="6D1C589C"/>
    <w:rsid w:val="6D5502AA"/>
    <w:rsid w:val="6DA31776"/>
    <w:rsid w:val="6DA45FD5"/>
    <w:rsid w:val="6DA65016"/>
    <w:rsid w:val="6DCB15BA"/>
    <w:rsid w:val="6DEF5697"/>
    <w:rsid w:val="6E290AC9"/>
    <w:rsid w:val="6E2E4332"/>
    <w:rsid w:val="6E366026"/>
    <w:rsid w:val="6E3C157B"/>
    <w:rsid w:val="6E4628B1"/>
    <w:rsid w:val="6E6903A5"/>
    <w:rsid w:val="6E9905B2"/>
    <w:rsid w:val="6E9A74BE"/>
    <w:rsid w:val="6EB87125"/>
    <w:rsid w:val="6EBB6069"/>
    <w:rsid w:val="6EBB7EF6"/>
    <w:rsid w:val="6EC11D71"/>
    <w:rsid w:val="6EC647CC"/>
    <w:rsid w:val="6EEB4982"/>
    <w:rsid w:val="6F1222C5"/>
    <w:rsid w:val="6F161214"/>
    <w:rsid w:val="6F317DD0"/>
    <w:rsid w:val="6F322D6E"/>
    <w:rsid w:val="6F3A0D2D"/>
    <w:rsid w:val="6F710F7D"/>
    <w:rsid w:val="6F757BA3"/>
    <w:rsid w:val="6F794E16"/>
    <w:rsid w:val="6F8E0F7C"/>
    <w:rsid w:val="6FAF019B"/>
    <w:rsid w:val="6FB202FC"/>
    <w:rsid w:val="6FBA5851"/>
    <w:rsid w:val="6FD431BC"/>
    <w:rsid w:val="6FD64D8A"/>
    <w:rsid w:val="708F1BB8"/>
    <w:rsid w:val="709649ED"/>
    <w:rsid w:val="70A84AD3"/>
    <w:rsid w:val="70AE3508"/>
    <w:rsid w:val="70B351A6"/>
    <w:rsid w:val="70BF773C"/>
    <w:rsid w:val="70C41831"/>
    <w:rsid w:val="70CF7DE8"/>
    <w:rsid w:val="70E94F37"/>
    <w:rsid w:val="7117334E"/>
    <w:rsid w:val="711F7F62"/>
    <w:rsid w:val="712719C8"/>
    <w:rsid w:val="71336359"/>
    <w:rsid w:val="71492755"/>
    <w:rsid w:val="714B63FF"/>
    <w:rsid w:val="715C7408"/>
    <w:rsid w:val="717A4EBB"/>
    <w:rsid w:val="71A121E2"/>
    <w:rsid w:val="71AA47BF"/>
    <w:rsid w:val="71CD5454"/>
    <w:rsid w:val="71D40D4C"/>
    <w:rsid w:val="71D5629F"/>
    <w:rsid w:val="71EB57C6"/>
    <w:rsid w:val="71F46524"/>
    <w:rsid w:val="71F713D6"/>
    <w:rsid w:val="71FB06B4"/>
    <w:rsid w:val="720D5D43"/>
    <w:rsid w:val="72112D0B"/>
    <w:rsid w:val="72144DE3"/>
    <w:rsid w:val="72196118"/>
    <w:rsid w:val="72200435"/>
    <w:rsid w:val="723C3D7F"/>
    <w:rsid w:val="72671F4A"/>
    <w:rsid w:val="72736E18"/>
    <w:rsid w:val="728D1118"/>
    <w:rsid w:val="72B03A9F"/>
    <w:rsid w:val="72B25F6B"/>
    <w:rsid w:val="72B81190"/>
    <w:rsid w:val="72EF7206"/>
    <w:rsid w:val="73032A0D"/>
    <w:rsid w:val="731F3B82"/>
    <w:rsid w:val="734D21A1"/>
    <w:rsid w:val="73836ECE"/>
    <w:rsid w:val="73C67500"/>
    <w:rsid w:val="73C864B5"/>
    <w:rsid w:val="73DE7E71"/>
    <w:rsid w:val="744D411F"/>
    <w:rsid w:val="745C2CF4"/>
    <w:rsid w:val="74641182"/>
    <w:rsid w:val="74744A68"/>
    <w:rsid w:val="749D4770"/>
    <w:rsid w:val="74A622B2"/>
    <w:rsid w:val="74B50C75"/>
    <w:rsid w:val="74D43FCD"/>
    <w:rsid w:val="74D736BD"/>
    <w:rsid w:val="74E403D4"/>
    <w:rsid w:val="74EA6DE6"/>
    <w:rsid w:val="74FC6F38"/>
    <w:rsid w:val="74FE3413"/>
    <w:rsid w:val="751029AE"/>
    <w:rsid w:val="751111C4"/>
    <w:rsid w:val="752B6886"/>
    <w:rsid w:val="753649D0"/>
    <w:rsid w:val="756A1040"/>
    <w:rsid w:val="75921044"/>
    <w:rsid w:val="75970512"/>
    <w:rsid w:val="759944E1"/>
    <w:rsid w:val="759B5199"/>
    <w:rsid w:val="761A6BC1"/>
    <w:rsid w:val="762258C6"/>
    <w:rsid w:val="763E74B8"/>
    <w:rsid w:val="765C476B"/>
    <w:rsid w:val="765D6FD0"/>
    <w:rsid w:val="76764904"/>
    <w:rsid w:val="76952171"/>
    <w:rsid w:val="76BA690C"/>
    <w:rsid w:val="76EF17B7"/>
    <w:rsid w:val="76F275B7"/>
    <w:rsid w:val="77057570"/>
    <w:rsid w:val="773118FC"/>
    <w:rsid w:val="77313A2D"/>
    <w:rsid w:val="774A6DC8"/>
    <w:rsid w:val="77503EB2"/>
    <w:rsid w:val="77752D13"/>
    <w:rsid w:val="77953B9B"/>
    <w:rsid w:val="77CD4DD9"/>
    <w:rsid w:val="77E45A61"/>
    <w:rsid w:val="77F2017E"/>
    <w:rsid w:val="77FA423A"/>
    <w:rsid w:val="78005019"/>
    <w:rsid w:val="78092CC0"/>
    <w:rsid w:val="780C2435"/>
    <w:rsid w:val="782A0B51"/>
    <w:rsid w:val="78353363"/>
    <w:rsid w:val="783A31FE"/>
    <w:rsid w:val="78486CF0"/>
    <w:rsid w:val="78534919"/>
    <w:rsid w:val="785663DA"/>
    <w:rsid w:val="78584462"/>
    <w:rsid w:val="7895462E"/>
    <w:rsid w:val="78D631FC"/>
    <w:rsid w:val="78FC2FBF"/>
    <w:rsid w:val="78FD5501"/>
    <w:rsid w:val="791467F0"/>
    <w:rsid w:val="79430114"/>
    <w:rsid w:val="79430A37"/>
    <w:rsid w:val="795E7C16"/>
    <w:rsid w:val="795F01E3"/>
    <w:rsid w:val="79971CFA"/>
    <w:rsid w:val="79AD6C40"/>
    <w:rsid w:val="79B10333"/>
    <w:rsid w:val="79C95ADF"/>
    <w:rsid w:val="79EF0BCC"/>
    <w:rsid w:val="79FF02D1"/>
    <w:rsid w:val="7A0612C2"/>
    <w:rsid w:val="7A1833CE"/>
    <w:rsid w:val="7A1F3257"/>
    <w:rsid w:val="7A3C1967"/>
    <w:rsid w:val="7A60132A"/>
    <w:rsid w:val="7A6E2CF1"/>
    <w:rsid w:val="7A817696"/>
    <w:rsid w:val="7A9921B7"/>
    <w:rsid w:val="7AA05017"/>
    <w:rsid w:val="7AA86BBE"/>
    <w:rsid w:val="7AB8570D"/>
    <w:rsid w:val="7AC94AC1"/>
    <w:rsid w:val="7AC977F9"/>
    <w:rsid w:val="7AE11572"/>
    <w:rsid w:val="7AE31524"/>
    <w:rsid w:val="7AE70BEB"/>
    <w:rsid w:val="7B057C25"/>
    <w:rsid w:val="7B4C6C66"/>
    <w:rsid w:val="7B5C332E"/>
    <w:rsid w:val="7B904C22"/>
    <w:rsid w:val="7B9E18EF"/>
    <w:rsid w:val="7BB9672E"/>
    <w:rsid w:val="7C0968F5"/>
    <w:rsid w:val="7C1235AA"/>
    <w:rsid w:val="7C160893"/>
    <w:rsid w:val="7C5622FF"/>
    <w:rsid w:val="7C571497"/>
    <w:rsid w:val="7C810893"/>
    <w:rsid w:val="7C9A4347"/>
    <w:rsid w:val="7CB95588"/>
    <w:rsid w:val="7CBA56FF"/>
    <w:rsid w:val="7CE64D15"/>
    <w:rsid w:val="7CF732D1"/>
    <w:rsid w:val="7D131D7B"/>
    <w:rsid w:val="7D1E10B2"/>
    <w:rsid w:val="7D3511F9"/>
    <w:rsid w:val="7D3D5EFF"/>
    <w:rsid w:val="7D435739"/>
    <w:rsid w:val="7D5C119D"/>
    <w:rsid w:val="7D93221A"/>
    <w:rsid w:val="7DA977AA"/>
    <w:rsid w:val="7DAC0454"/>
    <w:rsid w:val="7DB65BC0"/>
    <w:rsid w:val="7DED2A89"/>
    <w:rsid w:val="7DFA3D48"/>
    <w:rsid w:val="7E5020A2"/>
    <w:rsid w:val="7E980733"/>
    <w:rsid w:val="7E9B4DC3"/>
    <w:rsid w:val="7EC57197"/>
    <w:rsid w:val="7ED54355"/>
    <w:rsid w:val="7EFB4248"/>
    <w:rsid w:val="7EFD7DC7"/>
    <w:rsid w:val="7F274E2A"/>
    <w:rsid w:val="7F2C2F55"/>
    <w:rsid w:val="7F45439F"/>
    <w:rsid w:val="7F4A4D43"/>
    <w:rsid w:val="7F545830"/>
    <w:rsid w:val="7F590F20"/>
    <w:rsid w:val="7F762FC0"/>
    <w:rsid w:val="7F8F3F40"/>
    <w:rsid w:val="7FA62478"/>
    <w:rsid w:val="7FB2257F"/>
    <w:rsid w:val="7FE92E70"/>
    <w:rsid w:val="7FF400FF"/>
    <w:rsid w:val="7FF676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name="heading 6"/>
    <w:lsdException w:qFormat="1" w:uiPriority="0" w:semiHidden="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360" w:lineRule="auto"/>
      <w:outlineLvl w:val="0"/>
    </w:pPr>
    <w:rPr>
      <w:rFonts w:ascii="Times New Roman" w:hAnsi="Times New Roman" w:eastAsia="宋体"/>
      <w:b/>
      <w:bCs/>
      <w:kern w:val="44"/>
      <w:sz w:val="28"/>
      <w:szCs w:val="44"/>
    </w:rPr>
  </w:style>
  <w:style w:type="paragraph" w:styleId="3">
    <w:name w:val="heading 2"/>
    <w:basedOn w:val="1"/>
    <w:next w:val="1"/>
    <w:autoRedefine/>
    <w:qFormat/>
    <w:uiPriority w:val="0"/>
    <w:pPr>
      <w:keepNext/>
      <w:keepLines/>
      <w:spacing w:line="413" w:lineRule="auto"/>
      <w:outlineLvl w:val="1"/>
    </w:pPr>
    <w:rPr>
      <w:rFonts w:ascii="Arial" w:hAnsi="Arial" w:eastAsia="黑体"/>
      <w:b/>
      <w:bCs/>
      <w:sz w:val="32"/>
      <w:szCs w:val="32"/>
    </w:rPr>
  </w:style>
  <w:style w:type="paragraph" w:styleId="4">
    <w:name w:val="heading 3"/>
    <w:basedOn w:val="1"/>
    <w:next w:val="1"/>
    <w:autoRedefine/>
    <w:qFormat/>
    <w:uiPriority w:val="0"/>
    <w:pPr>
      <w:keepNext/>
      <w:keepLines/>
      <w:spacing w:before="260" w:beforeLines="0" w:after="260" w:afterLines="0" w:line="24" w:lineRule="auto"/>
      <w:outlineLvl w:val="2"/>
    </w:pPr>
    <w:rPr>
      <w:rFonts w:ascii="宋体" w:hAnsi="宋体"/>
      <w:b/>
      <w:bCs/>
      <w:kern w:val="0"/>
      <w:sz w:val="24"/>
      <w:szCs w:val="32"/>
    </w:rPr>
  </w:style>
  <w:style w:type="paragraph" w:styleId="5">
    <w:name w:val="heading 4"/>
    <w:basedOn w:val="1"/>
    <w:next w:val="1"/>
    <w:autoRedefine/>
    <w:unhideWhenUsed/>
    <w:qFormat/>
    <w:uiPriority w:val="0"/>
    <w:pPr>
      <w:spacing w:before="35"/>
      <w:ind w:left="142"/>
      <w:jc w:val="center"/>
      <w:outlineLvl w:val="3"/>
    </w:pPr>
    <w:rPr>
      <w:rFonts w:ascii="宋体" w:hAnsi="宋体" w:cs="宋体"/>
      <w:b/>
      <w:bCs/>
      <w:sz w:val="32"/>
      <w:szCs w:val="32"/>
      <w:lang w:val="zh-CN" w:bidi="zh-CN"/>
    </w:rPr>
  </w:style>
  <w:style w:type="paragraph" w:styleId="6">
    <w:name w:val="heading 5"/>
    <w:basedOn w:val="1"/>
    <w:next w:val="1"/>
    <w:autoRedefine/>
    <w:qFormat/>
    <w:uiPriority w:val="0"/>
    <w:pPr>
      <w:keepNext/>
      <w:keepLines/>
      <w:spacing w:line="372" w:lineRule="auto"/>
      <w:outlineLvl w:val="4"/>
    </w:pPr>
    <w:rPr>
      <w:b/>
      <w:bCs/>
      <w:sz w:val="28"/>
      <w:szCs w:val="28"/>
    </w:rPr>
  </w:style>
  <w:style w:type="paragraph" w:styleId="7">
    <w:name w:val="heading 7"/>
    <w:basedOn w:val="1"/>
    <w:next w:val="1"/>
    <w:autoRedefine/>
    <w:unhideWhenUsed/>
    <w:qFormat/>
    <w:uiPriority w:val="0"/>
    <w:pPr>
      <w:ind w:left="448"/>
      <w:outlineLvl w:val="6"/>
    </w:pPr>
    <w:rPr>
      <w:rFonts w:ascii="宋体" w:hAnsi="宋体" w:cs="宋体"/>
      <w:sz w:val="24"/>
      <w:lang w:val="zh-CN" w:bidi="zh-CN"/>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8">
    <w:name w:val="Normal Indent"/>
    <w:basedOn w:val="1"/>
    <w:autoRedefine/>
    <w:unhideWhenUsed/>
    <w:qFormat/>
    <w:uiPriority w:val="0"/>
    <w:pPr>
      <w:ind w:firstLine="420" w:firstLineChars="200"/>
    </w:pPr>
  </w:style>
  <w:style w:type="paragraph" w:styleId="9">
    <w:name w:val="annotation text"/>
    <w:basedOn w:val="1"/>
    <w:link w:val="53"/>
    <w:autoRedefine/>
    <w:qFormat/>
    <w:uiPriority w:val="0"/>
    <w:pPr>
      <w:jc w:val="left"/>
    </w:pPr>
  </w:style>
  <w:style w:type="paragraph" w:styleId="10">
    <w:name w:val="Body Text"/>
    <w:basedOn w:val="1"/>
    <w:next w:val="1"/>
    <w:autoRedefine/>
    <w:qFormat/>
    <w:uiPriority w:val="0"/>
    <w:pPr>
      <w:autoSpaceDE w:val="0"/>
      <w:autoSpaceDN w:val="0"/>
      <w:adjustRightInd w:val="0"/>
      <w:spacing w:after="120"/>
      <w:jc w:val="left"/>
    </w:pPr>
    <w:rPr>
      <w:rFonts w:ascii="宋体"/>
      <w:kern w:val="0"/>
      <w:sz w:val="34"/>
      <w:szCs w:val="20"/>
    </w:rPr>
  </w:style>
  <w:style w:type="paragraph" w:styleId="11">
    <w:name w:val="Body Text Indent"/>
    <w:basedOn w:val="1"/>
    <w:autoRedefine/>
    <w:qFormat/>
    <w:uiPriority w:val="0"/>
    <w:pPr>
      <w:ind w:firstLine="830" w:firstLineChars="352"/>
    </w:pPr>
    <w:rPr>
      <w:rFonts w:ascii="仿宋_GB2312" w:eastAsia="仿宋_GB2312"/>
      <w:sz w:val="32"/>
      <w:szCs w:val="20"/>
    </w:rPr>
  </w:style>
  <w:style w:type="paragraph" w:styleId="12">
    <w:name w:val="List 2"/>
    <w:basedOn w:val="1"/>
    <w:autoRedefine/>
    <w:unhideWhenUsed/>
    <w:qFormat/>
    <w:uiPriority w:val="99"/>
    <w:pPr>
      <w:ind w:left="100" w:leftChars="200" w:hanging="200" w:hangingChars="200"/>
      <w:contextualSpacing/>
    </w:pPr>
  </w:style>
  <w:style w:type="paragraph" w:styleId="13">
    <w:name w:val="Plain Text"/>
    <w:basedOn w:val="1"/>
    <w:autoRedefine/>
    <w:qFormat/>
    <w:uiPriority w:val="0"/>
    <w:rPr>
      <w:rFonts w:ascii="宋体" w:hAnsi="Courier New" w:cs="Courier New"/>
      <w:szCs w:val="21"/>
    </w:rPr>
  </w:style>
  <w:style w:type="paragraph" w:styleId="14">
    <w:name w:val="Date"/>
    <w:basedOn w:val="1"/>
    <w:next w:val="1"/>
    <w:autoRedefine/>
    <w:qFormat/>
    <w:uiPriority w:val="0"/>
    <w:pPr>
      <w:ind w:left="100" w:leftChars="2500"/>
    </w:pPr>
    <w:rPr>
      <w:rFonts w:ascii="宋体" w:hAnsi="Courier New"/>
      <w:bCs/>
      <w:sz w:val="24"/>
    </w:rPr>
  </w:style>
  <w:style w:type="paragraph" w:styleId="15">
    <w:name w:val="Body Text Indent 2"/>
    <w:basedOn w:val="1"/>
    <w:autoRedefine/>
    <w:qFormat/>
    <w:uiPriority w:val="0"/>
    <w:pPr>
      <w:spacing w:after="120" w:line="480" w:lineRule="auto"/>
      <w:ind w:leftChars="200"/>
    </w:pPr>
  </w:style>
  <w:style w:type="paragraph" w:styleId="16">
    <w:name w:val="Balloon Text"/>
    <w:basedOn w:val="1"/>
    <w:link w:val="55"/>
    <w:autoRedefine/>
    <w:qFormat/>
    <w:uiPriority w:val="0"/>
    <w:rPr>
      <w:sz w:val="18"/>
      <w:szCs w:val="18"/>
    </w:rPr>
  </w:style>
  <w:style w:type="paragraph" w:styleId="17">
    <w:name w:val="footer"/>
    <w:basedOn w:val="1"/>
    <w:autoRedefine/>
    <w:qFormat/>
    <w:uiPriority w:val="0"/>
    <w:pPr>
      <w:tabs>
        <w:tab w:val="center" w:pos="4153"/>
        <w:tab w:val="right" w:pos="8306"/>
      </w:tabs>
      <w:snapToGrid w:val="0"/>
      <w:jc w:val="left"/>
    </w:pPr>
    <w:rPr>
      <w:sz w:val="18"/>
      <w:szCs w:val="18"/>
    </w:rPr>
  </w:style>
  <w:style w:type="paragraph" w:styleId="18">
    <w:name w:val="envelope return"/>
    <w:basedOn w:val="1"/>
    <w:autoRedefine/>
    <w:unhideWhenUsed/>
    <w:qFormat/>
    <w:uiPriority w:val="0"/>
    <w:pPr>
      <w:snapToGrid w:val="0"/>
    </w:pPr>
    <w:rPr>
      <w:rFonts w:ascii="Arial" w:hAnsi="Arial"/>
    </w:rPr>
  </w:style>
  <w:style w:type="paragraph" w:styleId="1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Body Text Indent 3"/>
    <w:basedOn w:val="1"/>
    <w:autoRedefine/>
    <w:qFormat/>
    <w:uiPriority w:val="0"/>
    <w:pPr>
      <w:spacing w:after="120"/>
      <w:ind w:left="420" w:leftChars="200"/>
    </w:pPr>
    <w:rPr>
      <w:sz w:val="16"/>
      <w:szCs w:val="16"/>
    </w:rPr>
  </w:style>
  <w:style w:type="paragraph" w:styleId="22">
    <w:name w:val="toc 9"/>
    <w:basedOn w:val="1"/>
    <w:next w:val="1"/>
    <w:autoRedefine/>
    <w:qFormat/>
    <w:uiPriority w:val="0"/>
    <w:pPr>
      <w:tabs>
        <w:tab w:val="right" w:leader="dot" w:pos="9185"/>
      </w:tabs>
      <w:adjustRightInd w:val="0"/>
      <w:spacing w:line="312" w:lineRule="atLeast"/>
      <w:ind w:left="3360"/>
      <w:textAlignment w:val="baseline"/>
    </w:pPr>
    <w:rPr>
      <w:kern w:val="0"/>
      <w:szCs w:val="20"/>
    </w:rPr>
  </w:style>
  <w:style w:type="paragraph" w:styleId="23">
    <w:name w:val="HTML Preformatted"/>
    <w:basedOn w:val="1"/>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24">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5">
    <w:name w:val="index 1"/>
    <w:basedOn w:val="1"/>
    <w:next w:val="1"/>
    <w:autoRedefine/>
    <w:qFormat/>
    <w:uiPriority w:val="0"/>
    <w:rPr>
      <w:lang w:eastAsia="en-US"/>
    </w:rPr>
  </w:style>
  <w:style w:type="paragraph" w:styleId="26">
    <w:name w:val="Title"/>
    <w:basedOn w:val="1"/>
    <w:next w:val="1"/>
    <w:autoRedefine/>
    <w:qFormat/>
    <w:uiPriority w:val="0"/>
    <w:pPr>
      <w:spacing w:before="240" w:after="60"/>
      <w:jc w:val="center"/>
      <w:outlineLvl w:val="0"/>
    </w:pPr>
    <w:rPr>
      <w:rFonts w:ascii="Cambria" w:hAnsi="Cambria"/>
      <w:b/>
      <w:bCs/>
      <w:sz w:val="32"/>
      <w:szCs w:val="32"/>
    </w:rPr>
  </w:style>
  <w:style w:type="paragraph" w:styleId="27">
    <w:name w:val="annotation subject"/>
    <w:basedOn w:val="9"/>
    <w:next w:val="9"/>
    <w:link w:val="54"/>
    <w:autoRedefine/>
    <w:qFormat/>
    <w:uiPriority w:val="0"/>
    <w:rPr>
      <w:b/>
      <w:bCs/>
    </w:rPr>
  </w:style>
  <w:style w:type="paragraph" w:styleId="28">
    <w:name w:val="Body Text First Indent"/>
    <w:basedOn w:val="10"/>
    <w:next w:val="1"/>
    <w:autoRedefine/>
    <w:qFormat/>
    <w:uiPriority w:val="0"/>
    <w:pPr>
      <w:ind w:firstLine="420" w:firstLineChars="100"/>
    </w:pPr>
    <w:rPr>
      <w:rFonts w:ascii="Times New Roman"/>
      <w:sz w:val="21"/>
      <w:szCs w:val="24"/>
    </w:rPr>
  </w:style>
  <w:style w:type="paragraph" w:styleId="29">
    <w:name w:val="Body Text First Indent 2"/>
    <w:basedOn w:val="11"/>
    <w:autoRedefine/>
    <w:qFormat/>
    <w:uiPriority w:val="0"/>
    <w:pPr>
      <w:spacing w:line="360" w:lineRule="auto"/>
      <w:ind w:firstLine="420" w:firstLineChars="200"/>
    </w:pPr>
    <w:rPr>
      <w:sz w:val="24"/>
      <w:szCs w:val="24"/>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autoRedefine/>
    <w:qFormat/>
    <w:uiPriority w:val="0"/>
    <w:rPr>
      <w:b/>
      <w:bCs/>
    </w:rPr>
  </w:style>
  <w:style w:type="character" w:styleId="34">
    <w:name w:val="page number"/>
    <w:basedOn w:val="32"/>
    <w:autoRedefine/>
    <w:qFormat/>
    <w:uiPriority w:val="0"/>
  </w:style>
  <w:style w:type="character" w:styleId="35">
    <w:name w:val="FollowedHyperlink"/>
    <w:basedOn w:val="32"/>
    <w:autoRedefine/>
    <w:qFormat/>
    <w:uiPriority w:val="0"/>
    <w:rPr>
      <w:color w:val="800080"/>
      <w:u w:val="none"/>
    </w:rPr>
  </w:style>
  <w:style w:type="character" w:styleId="36">
    <w:name w:val="Emphasis"/>
    <w:basedOn w:val="32"/>
    <w:autoRedefine/>
    <w:qFormat/>
    <w:uiPriority w:val="0"/>
    <w:rPr>
      <w:b/>
      <w:bCs/>
    </w:rPr>
  </w:style>
  <w:style w:type="character" w:styleId="37">
    <w:name w:val="HTML Definition"/>
    <w:basedOn w:val="32"/>
    <w:autoRedefine/>
    <w:qFormat/>
    <w:uiPriority w:val="0"/>
  </w:style>
  <w:style w:type="character" w:styleId="38">
    <w:name w:val="HTML Typewriter"/>
    <w:basedOn w:val="32"/>
    <w:autoRedefine/>
    <w:qFormat/>
    <w:uiPriority w:val="0"/>
    <w:rPr>
      <w:rFonts w:hint="default" w:ascii="monospace" w:hAnsi="monospace" w:eastAsia="monospace" w:cs="monospace"/>
      <w:sz w:val="20"/>
    </w:rPr>
  </w:style>
  <w:style w:type="character" w:styleId="39">
    <w:name w:val="HTML Acronym"/>
    <w:basedOn w:val="32"/>
    <w:autoRedefine/>
    <w:qFormat/>
    <w:uiPriority w:val="0"/>
  </w:style>
  <w:style w:type="character" w:styleId="40">
    <w:name w:val="HTML Variable"/>
    <w:basedOn w:val="32"/>
    <w:autoRedefine/>
    <w:qFormat/>
    <w:uiPriority w:val="0"/>
  </w:style>
  <w:style w:type="character" w:styleId="41">
    <w:name w:val="Hyperlink"/>
    <w:basedOn w:val="32"/>
    <w:autoRedefine/>
    <w:unhideWhenUsed/>
    <w:qFormat/>
    <w:uiPriority w:val="99"/>
    <w:rPr>
      <w:color w:val="0000FF"/>
      <w:u w:val="single"/>
    </w:rPr>
  </w:style>
  <w:style w:type="character" w:styleId="42">
    <w:name w:val="HTML Code"/>
    <w:basedOn w:val="32"/>
    <w:autoRedefine/>
    <w:qFormat/>
    <w:uiPriority w:val="0"/>
    <w:rPr>
      <w:rFonts w:hint="default" w:ascii="monospace" w:hAnsi="monospace" w:eastAsia="monospace" w:cs="monospace"/>
      <w:sz w:val="20"/>
    </w:rPr>
  </w:style>
  <w:style w:type="character" w:styleId="43">
    <w:name w:val="annotation reference"/>
    <w:autoRedefine/>
    <w:qFormat/>
    <w:uiPriority w:val="0"/>
    <w:rPr>
      <w:sz w:val="21"/>
      <w:szCs w:val="21"/>
    </w:rPr>
  </w:style>
  <w:style w:type="character" w:styleId="44">
    <w:name w:val="HTML Cite"/>
    <w:basedOn w:val="32"/>
    <w:autoRedefine/>
    <w:qFormat/>
    <w:uiPriority w:val="0"/>
  </w:style>
  <w:style w:type="character" w:styleId="45">
    <w:name w:val="HTML Keyboard"/>
    <w:basedOn w:val="32"/>
    <w:autoRedefine/>
    <w:qFormat/>
    <w:uiPriority w:val="0"/>
    <w:rPr>
      <w:rFonts w:hint="default" w:ascii="monospace" w:hAnsi="monospace" w:eastAsia="monospace" w:cs="monospace"/>
      <w:sz w:val="20"/>
    </w:rPr>
  </w:style>
  <w:style w:type="character" w:styleId="46">
    <w:name w:val="HTML Sample"/>
    <w:basedOn w:val="32"/>
    <w:autoRedefine/>
    <w:qFormat/>
    <w:uiPriority w:val="0"/>
    <w:rPr>
      <w:rFonts w:ascii="monospace" w:hAnsi="monospace" w:eastAsia="monospace" w:cs="monospace"/>
    </w:rPr>
  </w:style>
  <w:style w:type="paragraph" w:customStyle="1" w:styleId="47">
    <w:name w:val="表格文字"/>
    <w:basedOn w:val="48"/>
    <w:autoRedefine/>
    <w:qFormat/>
    <w:uiPriority w:val="99"/>
    <w:pPr>
      <w:spacing w:before="25" w:after="25"/>
      <w:jc w:val="left"/>
    </w:pPr>
    <w:rPr>
      <w:bCs/>
      <w:spacing w:val="10"/>
      <w:kern w:val="0"/>
      <w:sz w:val="24"/>
    </w:rPr>
  </w:style>
  <w:style w:type="paragraph" w:customStyle="1" w:styleId="48">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
    <w:name w:val="Default"/>
    <w:autoRedefine/>
    <w:qFormat/>
    <w:uiPriority w:val="0"/>
    <w:pPr>
      <w:widowControl w:val="0"/>
      <w:autoSpaceDE w:val="0"/>
      <w:autoSpaceDN w:val="0"/>
      <w:adjustRightInd w:val="0"/>
    </w:pPr>
    <w:rPr>
      <w:rFonts w:ascii="......." w:hAnsi="......." w:eastAsia="......." w:cs="......."/>
      <w:color w:val="000000"/>
      <w:sz w:val="21"/>
      <w:szCs w:val="24"/>
      <w:lang w:val="en-US" w:eastAsia="zh-CN" w:bidi="ar-SA"/>
    </w:rPr>
  </w:style>
  <w:style w:type="paragraph" w:styleId="50">
    <w:name w:val="List Paragraph"/>
    <w:basedOn w:val="1"/>
    <w:autoRedefine/>
    <w:qFormat/>
    <w:uiPriority w:val="34"/>
    <w:pPr>
      <w:ind w:firstLine="420" w:firstLineChars="200"/>
    </w:pPr>
  </w:style>
  <w:style w:type="paragraph" w:customStyle="1" w:styleId="51">
    <w:name w:val="Plain Text1"/>
    <w:basedOn w:val="1"/>
    <w:autoRedefine/>
    <w:qFormat/>
    <w:uiPriority w:val="0"/>
    <w:rPr>
      <w:rFonts w:ascii="宋体" w:hAnsi="Courier New" w:cs="Courier New"/>
      <w:szCs w:val="21"/>
    </w:rPr>
  </w:style>
  <w:style w:type="paragraph" w:customStyle="1" w:styleId="52">
    <w:name w:val="Table Paragraph"/>
    <w:basedOn w:val="1"/>
    <w:autoRedefine/>
    <w:qFormat/>
    <w:uiPriority w:val="1"/>
    <w:rPr>
      <w:rFonts w:ascii="宋体" w:hAnsi="宋体" w:cs="宋体"/>
      <w:lang w:val="zh-CN" w:bidi="zh-CN"/>
    </w:rPr>
  </w:style>
  <w:style w:type="character" w:customStyle="1" w:styleId="53">
    <w:name w:val="批注文字 Char"/>
    <w:basedOn w:val="32"/>
    <w:link w:val="9"/>
    <w:autoRedefine/>
    <w:qFormat/>
    <w:uiPriority w:val="0"/>
    <w:rPr>
      <w:kern w:val="2"/>
      <w:sz w:val="21"/>
      <w:szCs w:val="24"/>
    </w:rPr>
  </w:style>
  <w:style w:type="character" w:customStyle="1" w:styleId="54">
    <w:name w:val="批注主题 Char"/>
    <w:basedOn w:val="53"/>
    <w:link w:val="27"/>
    <w:autoRedefine/>
    <w:qFormat/>
    <w:uiPriority w:val="0"/>
    <w:rPr>
      <w:b/>
      <w:bCs/>
      <w:kern w:val="2"/>
      <w:sz w:val="21"/>
      <w:szCs w:val="24"/>
    </w:rPr>
  </w:style>
  <w:style w:type="character" w:customStyle="1" w:styleId="55">
    <w:name w:val="批注框文本 Char"/>
    <w:basedOn w:val="32"/>
    <w:link w:val="16"/>
    <w:autoRedefine/>
    <w:qFormat/>
    <w:uiPriority w:val="0"/>
    <w:rPr>
      <w:kern w:val="2"/>
      <w:sz w:val="18"/>
      <w:szCs w:val="18"/>
    </w:rPr>
  </w:style>
  <w:style w:type="paragraph" w:customStyle="1" w:styleId="56">
    <w:name w:val="纯文本1"/>
    <w:basedOn w:val="1"/>
    <w:autoRedefine/>
    <w:qFormat/>
    <w:uiPriority w:val="0"/>
    <w:pPr>
      <w:suppressAutoHyphens/>
    </w:pPr>
    <w:rPr>
      <w:rFonts w:ascii="宋体" w:hAnsi="宋体" w:cs="Courier New"/>
      <w:szCs w:val="21"/>
      <w:lang w:eastAsia="ar-SA"/>
    </w:rPr>
  </w:style>
  <w:style w:type="paragraph" w:customStyle="1" w:styleId="57">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eastAsiaTheme="minorEastAsia" w:cstheme="minorBidi"/>
      <w:kern w:val="0"/>
      <w:szCs w:val="21"/>
    </w:rPr>
  </w:style>
  <w:style w:type="character" w:customStyle="1" w:styleId="58">
    <w:name w:val="textcontents"/>
    <w:basedOn w:val="32"/>
    <w:autoRedefine/>
    <w:qFormat/>
    <w:uiPriority w:val="0"/>
  </w:style>
  <w:style w:type="paragraph" w:customStyle="1" w:styleId="59">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60">
    <w:name w:val="WPSOffice手动目录 1"/>
    <w:autoRedefine/>
    <w:qFormat/>
    <w:uiPriority w:val="0"/>
    <w:pPr>
      <w:ind w:leftChars="0"/>
    </w:pPr>
    <w:rPr>
      <w:rFonts w:ascii="Times New Roman" w:hAnsi="Times New Roman" w:eastAsia="宋体" w:cs="Times New Roman"/>
      <w:sz w:val="20"/>
      <w:szCs w:val="20"/>
    </w:rPr>
  </w:style>
  <w:style w:type="table" w:customStyle="1" w:styleId="61">
    <w:name w:val="Table Normal"/>
    <w:autoRedefine/>
    <w:semiHidden/>
    <w:unhideWhenUsed/>
    <w:qFormat/>
    <w:uiPriority w:val="0"/>
    <w:tblPr>
      <w:tblCellMar>
        <w:top w:w="0" w:type="dxa"/>
        <w:left w:w="0" w:type="dxa"/>
        <w:bottom w:w="0" w:type="dxa"/>
        <w:right w:w="0" w:type="dxa"/>
      </w:tblCellMar>
    </w:tblPr>
  </w:style>
  <w:style w:type="paragraph" w:customStyle="1" w:styleId="62">
    <w:name w:val="正文文本_0"/>
    <w:basedOn w:val="48"/>
    <w:autoRedefine/>
    <w:qFormat/>
    <w:uiPriority w:val="0"/>
    <w:pPr>
      <w:adjustRightInd w:val="0"/>
      <w:spacing w:after="60" w:line="360" w:lineRule="atLeast"/>
      <w:ind w:left="72" w:leftChars="30" w:right="30" w:rightChars="30"/>
      <w:jc w:val="center"/>
      <w:textAlignment w:val="baseline"/>
    </w:pPr>
    <w:rPr>
      <w:rFonts w:ascii="Times New Roman" w:hAnsi="Times New Roman"/>
      <w:kern w:val="0"/>
      <w:sz w:val="20"/>
      <w:szCs w:val="20"/>
    </w:rPr>
  </w:style>
  <w:style w:type="paragraph" w:customStyle="1" w:styleId="63">
    <w:name w:val="Normal_1"/>
    <w:autoRedefine/>
    <w:qFormat/>
    <w:uiPriority w:val="0"/>
    <w:rPr>
      <w:rFonts w:ascii="Times New Roman" w:hAnsi="Times New Roman" w:eastAsia="Times New Roman" w:cs="Times New Roman"/>
      <w:sz w:val="24"/>
      <w:szCs w:val="24"/>
    </w:rPr>
  </w:style>
  <w:style w:type="paragraph" w:customStyle="1" w:styleId="64">
    <w:name w:val="Body text|1_2"/>
    <w:basedOn w:val="48"/>
    <w:autoRedefine/>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65">
    <w:name w:val="Other|1_2"/>
    <w:basedOn w:val="48"/>
    <w:autoRedefine/>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66">
    <w:name w:val="标题 2_1"/>
    <w:basedOn w:val="48"/>
    <w:next w:val="48"/>
    <w:autoRedefine/>
    <w:qFormat/>
    <w:uiPriority w:val="0"/>
    <w:pPr>
      <w:keepLines/>
      <w:spacing w:before="240" w:after="120" w:line="416" w:lineRule="auto"/>
      <w:jc w:val="center"/>
      <w:outlineLvl w:val="1"/>
    </w:pPr>
    <w:rPr>
      <w:rFonts w:ascii="宋体" w:hAnsi="宋体" w:eastAsia="黑体" w:cs="宋体"/>
      <w:b/>
      <w:bCs/>
      <w:sz w:val="36"/>
      <w:szCs w:val="21"/>
    </w:rPr>
  </w:style>
  <w:style w:type="paragraph" w:customStyle="1" w:styleId="67">
    <w:name w:val="标题 3_2"/>
    <w:basedOn w:val="48"/>
    <w:next w:val="48"/>
    <w:autoRedefine/>
    <w:qFormat/>
    <w:uiPriority w:val="0"/>
    <w:pPr>
      <w:keepNext/>
      <w:keepLines/>
      <w:spacing w:before="240" w:beforeLines="0" w:after="120" w:afterLines="0" w:line="240" w:lineRule="auto"/>
      <w:outlineLvl w:val="2"/>
    </w:pPr>
    <w:rPr>
      <w:rFonts w:ascii="Times New Roman" w:hAnsi="Times New Roman" w:eastAsia="宋体"/>
      <w:b/>
      <w:color w:val="auto"/>
      <w:sz w:val="32"/>
      <w:szCs w:val="20"/>
      <w:lang w:bidi="ar-SA"/>
    </w:rPr>
  </w:style>
  <w:style w:type="paragraph" w:customStyle="1" w:styleId="68">
    <w:name w:val="标题 2_0"/>
    <w:basedOn w:val="69"/>
    <w:next w:val="69"/>
    <w:autoRedefine/>
    <w:qFormat/>
    <w:uiPriority w:val="0"/>
    <w:pPr>
      <w:keepLines/>
      <w:spacing w:before="240" w:after="120" w:line="416" w:lineRule="auto"/>
      <w:jc w:val="center"/>
      <w:outlineLvl w:val="1"/>
    </w:pPr>
    <w:rPr>
      <w:rFonts w:ascii="宋体" w:hAnsi="宋体" w:eastAsia="黑体" w:cs="宋体"/>
      <w:b/>
      <w:bCs/>
      <w:sz w:val="36"/>
      <w:szCs w:val="21"/>
    </w:rPr>
  </w:style>
  <w:style w:type="paragraph" w:customStyle="1" w:styleId="69">
    <w:name w:val="正文_2"/>
    <w:basedOn w:val="70"/>
    <w:next w:val="71"/>
    <w:autoRedefine/>
    <w:qFormat/>
    <w:uiPriority w:val="0"/>
    <w:pPr>
      <w:widowControl w:val="0"/>
    </w:pPr>
    <w:rPr>
      <w:rFonts w:ascii="Times New Roman" w:hAnsi="Times New Roman" w:eastAsia="Times New Roman" w:cs="Times New Roman"/>
      <w:color w:val="000000"/>
      <w:sz w:val="24"/>
      <w:szCs w:val="24"/>
      <w:lang w:val="en-US" w:eastAsia="en-US" w:bidi="en-US"/>
    </w:rPr>
  </w:style>
  <w:style w:type="paragraph" w:customStyle="1" w:styleId="70">
    <w:name w:val="正文_3"/>
    <w:basedOn w:val="48"/>
    <w:autoRedefine/>
    <w:qFormat/>
    <w:uiPriority w:val="0"/>
    <w:rPr>
      <w:rFonts w:eastAsia="宋体"/>
      <w:lang w:eastAsia="zh-CN" w:bidi="ar-SA"/>
    </w:rPr>
  </w:style>
  <w:style w:type="paragraph" w:customStyle="1" w:styleId="71">
    <w:name w:val="标题 3_0"/>
    <w:basedOn w:val="1"/>
    <w:next w:val="69"/>
    <w:autoRedefine/>
    <w:qFormat/>
    <w:uiPriority w:val="99"/>
    <w:rPr>
      <w:szCs w:val="20"/>
    </w:rPr>
  </w:style>
  <w:style w:type="paragraph" w:customStyle="1" w:styleId="72">
    <w:name w:val="表格文字_0"/>
    <w:basedOn w:val="69"/>
    <w:qFormat/>
    <w:uiPriority w:val="0"/>
    <w:pPr>
      <w:adjustRightInd w:val="0"/>
      <w:snapToGrid w:val="0"/>
      <w:jc w:val="center"/>
    </w:pPr>
    <w:rPr>
      <w:rFonts w:ascii="Times New Roman" w:hAnsi="Times New Roman"/>
      <w:kern w:val="0"/>
      <w:sz w:val="24"/>
      <w:szCs w:val="24"/>
    </w:rPr>
  </w:style>
  <w:style w:type="paragraph" w:customStyle="1" w:styleId="73">
    <w:name w:val="标题 3_1"/>
    <w:basedOn w:val="69"/>
    <w:next w:val="69"/>
    <w:autoRedefine/>
    <w:qFormat/>
    <w:uiPriority w:val="0"/>
    <w:pPr>
      <w:keepNext/>
      <w:keepLines/>
      <w:spacing w:before="240" w:beforeLines="0" w:after="120" w:afterLines="0" w:line="240" w:lineRule="auto"/>
      <w:outlineLvl w:val="2"/>
    </w:pPr>
    <w:rPr>
      <w:rFonts w:ascii="Times New Roman" w:hAnsi="Times New Roman" w:eastAsia="宋体"/>
      <w:b/>
      <w:color w:val="auto"/>
      <w:sz w:val="32"/>
      <w:szCs w:val="20"/>
      <w:lang w:bidi="ar-SA"/>
    </w:rPr>
  </w:style>
  <w:style w:type="paragraph" w:customStyle="1" w:styleId="74">
    <w:name w:val="Body text|1_1"/>
    <w:basedOn w:val="69"/>
    <w:autoRedefine/>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75">
    <w:name w:val="Body text|2_0"/>
    <w:basedOn w:val="69"/>
    <w:autoRedefine/>
    <w:qFormat/>
    <w:uiPriority w:val="0"/>
    <w:pPr>
      <w:spacing w:after="30"/>
      <w:ind w:firstLine="420"/>
    </w:pPr>
    <w:rPr>
      <w:rFonts w:eastAsia="宋体"/>
      <w:color w:val="auto"/>
      <w:sz w:val="20"/>
      <w:szCs w:val="20"/>
      <w:lang w:bidi="ar-SA"/>
    </w:rPr>
  </w:style>
  <w:style w:type="paragraph" w:customStyle="1" w:styleId="76">
    <w:name w:val="Other|1_1"/>
    <w:basedOn w:val="69"/>
    <w:autoRedefine/>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77">
    <w:name w:val="正文_2_0"/>
    <w:basedOn w:val="69"/>
    <w:next w:val="69"/>
    <w:autoRedefine/>
    <w:qFormat/>
    <w:uiPriority w:val="0"/>
    <w:rPr>
      <w:rFonts w:eastAsia="宋体"/>
      <w:lang w:eastAsia="zh-CN" w:bidi="ar-SA"/>
    </w:rPr>
  </w:style>
  <w:style w:type="character" w:customStyle="1" w:styleId="78">
    <w:name w:val="10"/>
    <w:autoRedefine/>
    <w:qFormat/>
    <w:uiPriority w:val="0"/>
    <w:rPr>
      <w:rFonts w:hint="default" w:ascii="Times New Roman" w:hAnsi="Times New Roman" w:eastAsia="Times New Roman" w:cs="Times New Roman"/>
      <w:lang w:eastAsia="en-US" w:bidi="en-US"/>
    </w:rPr>
  </w:style>
  <w:style w:type="paragraph" w:customStyle="1" w:styleId="79">
    <w:name w:val="样式 样式16 + 首行缩进:  2 字符"/>
    <w:basedOn w:val="1"/>
    <w:autoRedefine/>
    <w:qFormat/>
    <w:uiPriority w:val="0"/>
    <w:pPr>
      <w:spacing w:line="400" w:lineRule="exact"/>
      <w:ind w:firstLine="200" w:firstLineChars="200"/>
    </w:pPr>
    <w:rPr>
      <w:rFonts w:ascii="汉仪中宋简" w:hAnsi="宋体" w:eastAsia="汉仪字典宋简"/>
      <w:b/>
      <w:bCs/>
      <w:spacing w:val="2"/>
      <w:sz w:val="24"/>
      <w:szCs w:val="20"/>
    </w:rPr>
  </w:style>
  <w:style w:type="paragraph" w:customStyle="1" w:styleId="80">
    <w:name w:val="样式 正文首行缩进 + 首行缩进:  1 字符1"/>
    <w:basedOn w:val="1"/>
    <w:next w:val="1"/>
    <w:autoRedefine/>
    <w:qFormat/>
    <w:uiPriority w:val="0"/>
    <w:pPr>
      <w:spacing w:line="360" w:lineRule="auto"/>
      <w:ind w:firstLine="480" w:firstLineChars="200"/>
      <w:jc w:val="left"/>
    </w:pPr>
    <w:rPr>
      <w:rFonts w:hint="eastAsia" w:ascii="宋体" w:hAnsi="宋体" w:cs="宋体"/>
      <w:szCs w:val="20"/>
    </w:rPr>
  </w:style>
  <w:style w:type="paragraph" w:customStyle="1" w:styleId="81">
    <w:name w:val="Other|1"/>
    <w:basedOn w:val="1"/>
    <w:autoRedefine/>
    <w:qFormat/>
    <w:uiPriority w:val="0"/>
    <w:pPr>
      <w:spacing w:line="360" w:lineRule="auto"/>
      <w:ind w:firstLine="400"/>
      <w:jc w:val="left"/>
    </w:pPr>
    <w:rPr>
      <w:rFonts w:ascii="宋体" w:hAnsi="宋体" w:cs="宋体"/>
      <w:kern w:val="0"/>
      <w:sz w:val="20"/>
      <w:szCs w:val="20"/>
      <w:lang w:val="zh-CN" w:bidi="zh-CN"/>
    </w:rPr>
  </w:style>
  <w:style w:type="paragraph" w:customStyle="1" w:styleId="82">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3">
    <w:name w:val="纯文本_0"/>
    <w:basedOn w:val="1"/>
    <w:autoRedefine/>
    <w:qFormat/>
    <w:uiPriority w:val="99"/>
    <w:rPr>
      <w:szCs w:val="20"/>
    </w:rPr>
  </w:style>
  <w:style w:type="paragraph" w:customStyle="1" w:styleId="84">
    <w:name w:val="Normal_0"/>
    <w:autoRedefine/>
    <w:qFormat/>
    <w:uiPriority w:val="0"/>
    <w:rPr>
      <w:rFonts w:ascii="Times New Roman" w:hAnsi="Times New Roman" w:eastAsia="Times New Roman" w:cs="Times New Roman"/>
      <w:sz w:val="24"/>
      <w:szCs w:val="24"/>
    </w:rPr>
  </w:style>
  <w:style w:type="paragraph" w:customStyle="1" w:styleId="85">
    <w:name w:val="正文_5"/>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86">
    <w:name w:val="hover"/>
    <w:basedOn w:val="32"/>
    <w:autoRedefine/>
    <w:qFormat/>
    <w:uiPriority w:val="0"/>
    <w:rPr>
      <w:color w:val="2590EB"/>
    </w:rPr>
  </w:style>
  <w:style w:type="character" w:customStyle="1" w:styleId="87">
    <w:name w:val="hover1"/>
    <w:basedOn w:val="32"/>
    <w:autoRedefine/>
    <w:qFormat/>
    <w:uiPriority w:val="0"/>
    <w:rPr>
      <w:color w:val="2590EB"/>
    </w:rPr>
  </w:style>
  <w:style w:type="character" w:customStyle="1" w:styleId="88">
    <w:name w:val="hover2"/>
    <w:basedOn w:val="32"/>
    <w:autoRedefine/>
    <w:qFormat/>
    <w:uiPriority w:val="0"/>
  </w:style>
  <w:style w:type="character" w:customStyle="1" w:styleId="89">
    <w:name w:val="hover3"/>
    <w:basedOn w:val="32"/>
    <w:autoRedefine/>
    <w:qFormat/>
    <w:uiPriority w:val="0"/>
  </w:style>
  <w:style w:type="paragraph" w:customStyle="1" w:styleId="90">
    <w:name w:val="标题 1_0"/>
    <w:basedOn w:val="69"/>
    <w:next w:val="69"/>
    <w:qFormat/>
    <w:uiPriority w:val="0"/>
    <w:pPr>
      <w:keepNext/>
      <w:keepLines/>
      <w:spacing w:line="360" w:lineRule="auto"/>
      <w:outlineLvl w:val="0"/>
    </w:pPr>
    <w:rPr>
      <w:rFonts w:ascii="Times New Roman" w:hAnsi="Times New Roman" w:eastAsia="黑体"/>
      <w:b/>
      <w:bCs/>
      <w:kern w:val="44"/>
      <w:sz w:val="32"/>
      <w:szCs w:val="44"/>
    </w:rPr>
  </w:style>
  <w:style w:type="paragraph" w:customStyle="1" w:styleId="91">
    <w:name w:val="标题 4_1"/>
    <w:basedOn w:val="77"/>
    <w:next w:val="77"/>
    <w:qFormat/>
    <w:uiPriority w:val="0"/>
    <w:pPr>
      <w:keepNext/>
      <w:keepLines/>
      <w:spacing w:line="360" w:lineRule="auto"/>
      <w:outlineLvl w:val="3"/>
    </w:pPr>
    <w:rPr>
      <w:rFonts w:ascii="Arial" w:hAnsi="Arial"/>
      <w:b/>
      <w:bCs/>
      <w:szCs w:val="28"/>
    </w:rPr>
  </w:style>
  <w:style w:type="paragraph" w:customStyle="1" w:styleId="92">
    <w:name w:val="正文_2_0_0"/>
    <w:basedOn w:val="77"/>
    <w:next w:val="69"/>
    <w:qFormat/>
    <w:uiPriority w:val="0"/>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image" Target="media/image1.wm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151</Pages>
  <Words>20910</Words>
  <Characters>22889</Characters>
  <Lines>51</Lines>
  <Paragraphs>59</Paragraphs>
  <TotalTime>15</TotalTime>
  <ScaleCrop>false</ScaleCrop>
  <LinksUpToDate>false</LinksUpToDate>
  <CharactersWithSpaces>23648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2018-08-29T07:43:00Z</dcterms:created>
  <dc:creator>Administrator</dc:creator>
  <cp:lastModifiedBy>没有彩排的^_^青春</cp:lastModifiedBy>
  <cp:lastPrinted>2024-09-25T03:13:00Z</cp:lastPrinted>
  <dcterms:modified xsi:type="dcterms:W3CDTF">2026-05-15T04:18:40Z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767268CBE1C349219F9558DB4315DC23_13</vt:lpwstr>
  </property>
  <property fmtid="{D5CDD505-2E9C-101B-9397-08002B2CF9AE}" pid="4" name="KSOTemplateDocerSaveRecord">
    <vt:lpwstr>eyJoZGlkIjoiYzZhZTY4NDNiMDZlYzQ3MWFhYWQ4Yjg3YzZmZjE2MDMiLCJ1c2VySWQiOiI0MTU1NDEzODYifQ==</vt:lpwstr>
  </property>
</Properties>
</file>