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31AC8">
      <w:pPr>
        <w:spacing w:line="480" w:lineRule="auto"/>
        <w:jc w:val="center"/>
        <w:rPr>
          <w:rFonts w:hint="eastAsia" w:ascii="宋体" w:hAnsi="宋体" w:eastAsia="宋体"/>
          <w:b/>
          <w:color w:val="000000" w:themeColor="text1"/>
          <w:sz w:val="52"/>
          <w:szCs w:val="52"/>
          <w14:textFill>
            <w14:solidFill>
              <w14:schemeClr w14:val="tx1"/>
            </w14:solidFill>
          </w14:textFill>
        </w:rPr>
      </w:pPr>
    </w:p>
    <w:p w14:paraId="12D72062">
      <w:pPr>
        <w:spacing w:line="480" w:lineRule="auto"/>
        <w:jc w:val="center"/>
        <w:rPr>
          <w:rFonts w:hint="eastAsia" w:ascii="宋体" w:hAnsi="宋体" w:eastAsia="宋体"/>
          <w:b/>
          <w:color w:val="000000" w:themeColor="text1"/>
          <w:sz w:val="52"/>
          <w:szCs w:val="52"/>
          <w14:textFill>
            <w14:solidFill>
              <w14:schemeClr w14:val="tx1"/>
            </w14:solidFill>
          </w14:textFill>
        </w:rPr>
      </w:pPr>
      <w:r>
        <w:rPr>
          <w:rFonts w:hint="eastAsia" w:ascii="宋体" w:hAnsi="宋体" w:eastAsia="宋体"/>
          <w:b/>
          <w:color w:val="000000" w:themeColor="text1"/>
          <w:sz w:val="52"/>
          <w:szCs w:val="52"/>
          <w14:textFill>
            <w14:solidFill>
              <w14:schemeClr w14:val="tx1"/>
            </w14:solidFill>
          </w14:textFill>
        </w:rPr>
        <w:t>广西壮族自治区政府采购</w:t>
      </w:r>
    </w:p>
    <w:p w14:paraId="62020C24">
      <w:pPr>
        <w:spacing w:line="480" w:lineRule="auto"/>
        <w:jc w:val="center"/>
        <w:rPr>
          <w:rFonts w:hint="eastAsia" w:ascii="宋体" w:hAnsi="宋体" w:eastAsia="宋体"/>
          <w:b/>
          <w:color w:val="000000" w:themeColor="text1"/>
          <w:sz w:val="84"/>
          <w:szCs w:val="84"/>
          <w14:textFill>
            <w14:solidFill>
              <w14:schemeClr w14:val="tx1"/>
            </w14:solidFill>
          </w14:textFill>
        </w:rPr>
      </w:pPr>
    </w:p>
    <w:p w14:paraId="0398B84B">
      <w:pPr>
        <w:spacing w:line="48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竞争性磋商文件</w:t>
      </w:r>
    </w:p>
    <w:p w14:paraId="14E2C85A">
      <w:pPr>
        <w:spacing w:line="480" w:lineRule="auto"/>
        <w:jc w:val="center"/>
        <w:rPr>
          <w:rFonts w:hint="eastAsia" w:ascii="宋体" w:hAnsi="宋体" w:eastAsia="宋体"/>
          <w:b/>
          <w:color w:val="000000" w:themeColor="text1"/>
          <w:sz w:val="52"/>
          <w:szCs w:val="52"/>
          <w14:textFill>
            <w14:solidFill>
              <w14:schemeClr w14:val="tx1"/>
            </w14:solidFill>
          </w14:textFill>
        </w:rPr>
      </w:pPr>
      <w:r>
        <w:rPr>
          <w:rFonts w:hint="eastAsia" w:ascii="宋体" w:hAnsi="宋体" w:eastAsia="宋体"/>
          <w:b/>
          <w:color w:val="000000" w:themeColor="text1"/>
          <w:sz w:val="52"/>
          <w:szCs w:val="52"/>
          <w14:textFill>
            <w14:solidFill>
              <w14:schemeClr w14:val="tx1"/>
            </w14:solidFill>
          </w14:textFill>
        </w:rPr>
        <w:t>（工程类）</w:t>
      </w:r>
    </w:p>
    <w:p w14:paraId="5B2CD386">
      <w:pPr>
        <w:spacing w:line="480" w:lineRule="auto"/>
        <w:jc w:val="center"/>
        <w:rPr>
          <w:rFonts w:hint="eastAsia" w:ascii="宋体" w:hAnsi="宋体" w:eastAsia="宋体"/>
          <w:b/>
          <w:color w:val="000000" w:themeColor="text1"/>
          <w:sz w:val="52"/>
          <w:szCs w:val="52"/>
          <w14:textFill>
            <w14:solidFill>
              <w14:schemeClr w14:val="tx1"/>
            </w14:solidFill>
          </w14:textFill>
        </w:rPr>
      </w:pPr>
    </w:p>
    <w:p w14:paraId="61BBA9AC">
      <w:pPr>
        <w:spacing w:line="48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（全流程电子化评标）</w:t>
      </w:r>
    </w:p>
    <w:p w14:paraId="77691E32">
      <w:pPr>
        <w:spacing w:line="480" w:lineRule="auto"/>
        <w:jc w:val="center"/>
        <w:rPr>
          <w:rFonts w:hint="eastAsia" w:ascii="宋体" w:hAnsi="宋体" w:eastAsia="宋体"/>
          <w:b/>
          <w:color w:val="000000" w:themeColor="text1"/>
          <w:szCs w:val="21"/>
          <w14:textFill>
            <w14:solidFill>
              <w14:schemeClr w14:val="tx1"/>
            </w14:solidFill>
          </w14:textFill>
        </w:rPr>
      </w:pPr>
    </w:p>
    <w:p w14:paraId="16B867E4">
      <w:pPr>
        <w:spacing w:line="480" w:lineRule="auto"/>
        <w:jc w:val="center"/>
        <w:rPr>
          <w:rFonts w:hint="eastAsia" w:ascii="宋体" w:hAnsi="宋体" w:eastAsia="宋体"/>
          <w:b/>
          <w:color w:val="000000" w:themeColor="text1"/>
          <w:szCs w:val="21"/>
          <w14:textFill>
            <w14:solidFill>
              <w14:schemeClr w14:val="tx1"/>
            </w14:solidFill>
          </w14:textFill>
        </w:rPr>
      </w:pPr>
    </w:p>
    <w:p w14:paraId="3B7655E4">
      <w:pPr>
        <w:spacing w:line="480" w:lineRule="auto"/>
        <w:ind w:firstLine="1205" w:firstLineChars="400"/>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0"/>
          <w:szCs w:val="30"/>
          <w14:textFill>
            <w14:solidFill>
              <w14:schemeClr w14:val="tx1"/>
            </w14:solidFill>
          </w14:textFill>
        </w:rPr>
        <w:t>项目名称：</w:t>
      </w:r>
      <w:r>
        <w:rPr>
          <w:rFonts w:hint="eastAsia" w:ascii="仿宋" w:hAnsi="仿宋" w:eastAsia="仿宋"/>
          <w:b/>
          <w:color w:val="000000" w:themeColor="text1"/>
          <w:sz w:val="30"/>
          <w:szCs w:val="30"/>
          <w:lang w:eastAsia="zh-CN"/>
          <w14:textFill>
            <w14:solidFill>
              <w14:schemeClr w14:val="tx1"/>
            </w14:solidFill>
          </w14:textFill>
        </w:rPr>
        <w:t>广西大学化学化工学院2号楼和1号楼附楼实验室环境改造（室外电力）项目</w:t>
      </w:r>
    </w:p>
    <w:p w14:paraId="3B28FE02">
      <w:pPr>
        <w:spacing w:line="480" w:lineRule="auto"/>
        <w:ind w:firstLine="1205" w:firstLineChars="400"/>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0"/>
          <w:szCs w:val="30"/>
          <w14:textFill>
            <w14:solidFill>
              <w14:schemeClr w14:val="tx1"/>
            </w14:solidFill>
          </w14:textFill>
        </w:rPr>
        <w:t>项目编号：</w:t>
      </w:r>
      <w:r>
        <w:rPr>
          <w:rFonts w:hint="eastAsia" w:ascii="仿宋" w:hAnsi="仿宋" w:eastAsia="仿宋"/>
          <w:b/>
          <w:color w:val="000000" w:themeColor="text1"/>
          <w:sz w:val="30"/>
          <w:szCs w:val="30"/>
          <w:lang w:eastAsia="zh-CN"/>
          <w14:textFill>
            <w14:solidFill>
              <w14:schemeClr w14:val="tx1"/>
            </w14:solidFill>
          </w14:textFill>
        </w:rPr>
        <w:t>GXZC2026-C2-002591-JGJD</w:t>
      </w:r>
    </w:p>
    <w:p w14:paraId="6F3A2EBF">
      <w:pPr>
        <w:spacing w:line="480" w:lineRule="auto"/>
        <w:ind w:firstLine="1205" w:firstLineChars="400"/>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b/>
          <w:color w:val="000000" w:themeColor="text1"/>
          <w:sz w:val="30"/>
          <w:szCs w:val="30"/>
          <w14:textFill>
            <w14:solidFill>
              <w14:schemeClr w14:val="tx1"/>
            </w14:solidFill>
          </w14:textFill>
        </w:rPr>
        <w:t>采购人：广西大学</w:t>
      </w:r>
    </w:p>
    <w:p w14:paraId="26203C31">
      <w:pPr>
        <w:spacing w:line="480" w:lineRule="auto"/>
        <w:ind w:firstLine="1205" w:firstLineChars="400"/>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0"/>
          <w:szCs w:val="30"/>
          <w14:textFill>
            <w14:solidFill>
              <w14:schemeClr w14:val="tx1"/>
            </w14:solidFill>
          </w14:textFill>
        </w:rPr>
        <w:t>采购代理机构：</w:t>
      </w:r>
      <w:r>
        <w:rPr>
          <w:rFonts w:hint="eastAsia" w:ascii="仿宋" w:hAnsi="仿宋" w:eastAsia="仿宋"/>
          <w:b/>
          <w:color w:val="000000" w:themeColor="text1"/>
          <w:sz w:val="30"/>
          <w:szCs w:val="30"/>
          <w:lang w:eastAsia="zh-CN"/>
          <w14:textFill>
            <w14:solidFill>
              <w14:schemeClr w14:val="tx1"/>
            </w14:solidFill>
          </w14:textFill>
        </w:rPr>
        <w:t>广西建设工程机电设备招标中心有限公司</w:t>
      </w:r>
    </w:p>
    <w:p w14:paraId="3DB1DF5F">
      <w:pPr>
        <w:spacing w:line="480" w:lineRule="auto"/>
        <w:jc w:val="center"/>
        <w:rPr>
          <w:rFonts w:hint="eastAsia" w:ascii="宋体" w:hAnsi="宋体" w:eastAsia="宋体"/>
          <w:b/>
          <w:color w:val="000000" w:themeColor="text1"/>
          <w:szCs w:val="21"/>
          <w14:textFill>
            <w14:solidFill>
              <w14:schemeClr w14:val="tx1"/>
            </w14:solidFill>
          </w14:textFill>
        </w:rPr>
      </w:pPr>
    </w:p>
    <w:p w14:paraId="6BD3027F">
      <w:pPr>
        <w:spacing w:line="480" w:lineRule="auto"/>
        <w:jc w:val="center"/>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b/>
          <w:color w:val="000000" w:themeColor="text1"/>
          <w:sz w:val="30"/>
          <w:szCs w:val="30"/>
          <w14:textFill>
            <w14:solidFill>
              <w14:schemeClr w14:val="tx1"/>
            </w14:solidFill>
          </w14:textFill>
        </w:rPr>
        <w:t>202</w:t>
      </w:r>
      <w:r>
        <w:rPr>
          <w:rFonts w:hint="eastAsia" w:ascii="仿宋" w:hAnsi="仿宋" w:eastAsia="仿宋"/>
          <w:b/>
          <w:color w:val="000000" w:themeColor="text1"/>
          <w:sz w:val="30"/>
          <w:szCs w:val="30"/>
          <w:lang w:val="en-US" w:eastAsia="zh-CN"/>
          <w14:textFill>
            <w14:solidFill>
              <w14:schemeClr w14:val="tx1"/>
            </w14:solidFill>
          </w14:textFill>
        </w:rPr>
        <w:t>6</w:t>
      </w:r>
      <w:r>
        <w:rPr>
          <w:rFonts w:hint="eastAsia" w:ascii="仿宋" w:hAnsi="仿宋" w:eastAsia="仿宋"/>
          <w:b/>
          <w:color w:val="000000" w:themeColor="text1"/>
          <w:sz w:val="30"/>
          <w:szCs w:val="30"/>
          <w14:textFill>
            <w14:solidFill>
              <w14:schemeClr w14:val="tx1"/>
            </w14:solidFill>
          </w14:textFill>
        </w:rPr>
        <w:t>年</w:t>
      </w:r>
      <w:r>
        <w:rPr>
          <w:rFonts w:hint="eastAsia" w:ascii="仿宋" w:hAnsi="仿宋" w:eastAsia="仿宋"/>
          <w:b/>
          <w:color w:val="000000" w:themeColor="text1"/>
          <w:sz w:val="30"/>
          <w:szCs w:val="30"/>
          <w:lang w:val="en-US" w:eastAsia="zh-CN"/>
          <w14:textFill>
            <w14:solidFill>
              <w14:schemeClr w14:val="tx1"/>
            </w14:solidFill>
          </w14:textFill>
        </w:rPr>
        <w:t>8</w:t>
      </w:r>
      <w:r>
        <w:rPr>
          <w:rFonts w:hint="eastAsia" w:ascii="仿宋" w:hAnsi="仿宋" w:eastAsia="仿宋"/>
          <w:b/>
          <w:color w:val="000000" w:themeColor="text1"/>
          <w:sz w:val="30"/>
          <w:szCs w:val="30"/>
          <w14:textFill>
            <w14:solidFill>
              <w14:schemeClr w14:val="tx1"/>
            </w14:solidFill>
          </w14:textFill>
        </w:rPr>
        <w:t>月</w:t>
      </w:r>
      <w:r>
        <w:rPr>
          <w:rFonts w:hint="eastAsia" w:ascii="仿宋" w:hAnsi="仿宋" w:eastAsia="仿宋"/>
          <w:b/>
          <w:color w:val="000000" w:themeColor="text1"/>
          <w:sz w:val="30"/>
          <w:szCs w:val="30"/>
          <w:lang w:val="en-US" w:eastAsia="zh-CN"/>
          <w14:textFill>
            <w14:solidFill>
              <w14:schemeClr w14:val="tx1"/>
            </w14:solidFill>
          </w14:textFill>
        </w:rPr>
        <w:t>7</w:t>
      </w:r>
      <w:r>
        <w:rPr>
          <w:rFonts w:hint="eastAsia" w:ascii="仿宋" w:hAnsi="仿宋" w:eastAsia="仿宋"/>
          <w:b/>
          <w:color w:val="000000" w:themeColor="text1"/>
          <w:sz w:val="30"/>
          <w:szCs w:val="30"/>
          <w14:textFill>
            <w14:solidFill>
              <w14:schemeClr w14:val="tx1"/>
            </w14:solidFill>
          </w14:textFill>
        </w:rPr>
        <w:t>日</w:t>
      </w:r>
    </w:p>
    <w:p w14:paraId="19F54106">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228CBDF6">
      <w:pPr>
        <w:spacing w:line="300" w:lineRule="auto"/>
        <w:jc w:val="center"/>
        <w:rPr>
          <w:rFonts w:hint="eastAsia" w:ascii="宋体" w:hAnsi="宋体" w:eastAsia="宋体"/>
          <w:b/>
          <w:color w:val="000000" w:themeColor="text1"/>
          <w:sz w:val="44"/>
          <w:szCs w:val="44"/>
          <w14:textFill>
            <w14:solidFill>
              <w14:schemeClr w14:val="tx1"/>
            </w14:solidFill>
          </w14:textFill>
        </w:rPr>
      </w:pPr>
      <w:r>
        <w:rPr>
          <w:rFonts w:hint="eastAsia" w:ascii="宋体" w:hAnsi="宋体" w:eastAsia="宋体"/>
          <w:b/>
          <w:color w:val="000000" w:themeColor="text1"/>
          <w:sz w:val="44"/>
          <w:szCs w:val="44"/>
          <w14:textFill>
            <w14:solidFill>
              <w14:schemeClr w14:val="tx1"/>
            </w14:solidFill>
          </w14:textFill>
        </w:rPr>
        <w:t>目录</w:t>
      </w:r>
    </w:p>
    <w:p w14:paraId="0C605C63">
      <w:pPr>
        <w:spacing w:line="360" w:lineRule="auto"/>
        <w:rPr>
          <w:rFonts w:hint="eastAsia" w:ascii="宋体" w:hAnsi="宋体" w:eastAsia="宋体"/>
          <w:color w:val="000000" w:themeColor="text1"/>
          <w:szCs w:val="21"/>
          <w14:textFill>
            <w14:solidFill>
              <w14:schemeClr w14:val="tx1"/>
            </w14:solidFill>
          </w14:textFill>
        </w:rPr>
      </w:pPr>
    </w:p>
    <w:p w14:paraId="67C50985">
      <w:pPr>
        <w:pStyle w:val="28"/>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fldChar w:fldCharType="begin"/>
      </w:r>
      <w:r>
        <w:rPr>
          <w:rFonts w:ascii="宋体" w:hAnsi="宋体" w:eastAsia="宋体"/>
          <w:color w:val="000000" w:themeColor="text1"/>
          <w:szCs w:val="21"/>
          <w14:textFill>
            <w14:solidFill>
              <w14:schemeClr w14:val="tx1"/>
            </w14:solidFill>
          </w14:textFill>
        </w:rPr>
        <w:instrText xml:space="preserve"> TOC \o "1-3" \u </w:instrText>
      </w:r>
      <w:r>
        <w:rPr>
          <w:rFonts w:ascii="宋体" w:hAnsi="宋体" w:eastAsia="宋体"/>
          <w:color w:val="000000" w:themeColor="text1"/>
          <w:szCs w:val="21"/>
          <w14:textFill>
            <w14:solidFill>
              <w14:schemeClr w14:val="tx1"/>
            </w14:solidFill>
          </w14:textFill>
        </w:rPr>
        <w:fldChar w:fldCharType="separate"/>
      </w:r>
      <w:r>
        <w:rPr>
          <w:rFonts w:hint="eastAsia" w:ascii="宋体" w:hAnsi="宋体" w:eastAsia="宋体"/>
          <w:b/>
          <w:color w:val="000000" w:themeColor="text1"/>
          <w:szCs w:val="21"/>
          <w14:textFill>
            <w14:solidFill>
              <w14:schemeClr w14:val="tx1"/>
            </w14:solidFill>
          </w14:textFill>
        </w:rPr>
        <w:t>第一</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竞争性磋商公告</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_Toc197530103 \h </w:instrText>
      </w:r>
      <w:r>
        <w:rPr>
          <w:rFonts w:ascii="宋体" w:hAnsi="宋体" w:eastAsia="宋体"/>
          <w:szCs w:val="21"/>
        </w:rPr>
        <w:fldChar w:fldCharType="separate"/>
      </w:r>
      <w:r>
        <w:rPr>
          <w:rFonts w:ascii="宋体" w:hAnsi="宋体" w:eastAsia="宋体"/>
          <w:szCs w:val="21"/>
        </w:rPr>
        <w:t>1</w:t>
      </w:r>
      <w:r>
        <w:rPr>
          <w:rFonts w:ascii="宋体" w:hAnsi="宋体" w:eastAsia="宋体"/>
          <w:szCs w:val="21"/>
        </w:rPr>
        <w:fldChar w:fldCharType="end"/>
      </w:r>
    </w:p>
    <w:p w14:paraId="0D0B1F11">
      <w:pPr>
        <w:pStyle w:val="28"/>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第二</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供应商须知</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_Toc197530104 \h </w:instrText>
      </w:r>
      <w:r>
        <w:rPr>
          <w:rFonts w:ascii="宋体" w:hAnsi="宋体" w:eastAsia="宋体"/>
          <w:szCs w:val="21"/>
        </w:rPr>
        <w:fldChar w:fldCharType="separate"/>
      </w:r>
      <w:r>
        <w:rPr>
          <w:rFonts w:ascii="宋体" w:hAnsi="宋体" w:eastAsia="宋体"/>
          <w:szCs w:val="21"/>
        </w:rPr>
        <w:t>5</w:t>
      </w:r>
      <w:r>
        <w:rPr>
          <w:rFonts w:ascii="宋体" w:hAnsi="宋体" w:eastAsia="宋体"/>
          <w:szCs w:val="21"/>
        </w:rPr>
        <w:fldChar w:fldCharType="end"/>
      </w:r>
    </w:p>
    <w:p w14:paraId="7EB38A4A">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一、供应商须知前附表</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_Toc197530105 \h </w:instrText>
      </w:r>
      <w:r>
        <w:rPr>
          <w:rFonts w:ascii="宋体" w:hAnsi="宋体" w:eastAsia="宋体"/>
          <w:szCs w:val="21"/>
        </w:rPr>
        <w:fldChar w:fldCharType="separate"/>
      </w:r>
      <w:r>
        <w:rPr>
          <w:rFonts w:ascii="宋体" w:hAnsi="宋体" w:eastAsia="宋体"/>
          <w:szCs w:val="21"/>
        </w:rPr>
        <w:t>5</w:t>
      </w:r>
      <w:r>
        <w:rPr>
          <w:rFonts w:ascii="宋体" w:hAnsi="宋体" w:eastAsia="宋体"/>
          <w:szCs w:val="21"/>
        </w:rPr>
        <w:fldChar w:fldCharType="end"/>
      </w:r>
    </w:p>
    <w:p w14:paraId="48CD4526">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二、供应商须知正文</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_Toc197530106 \h </w:instrText>
      </w:r>
      <w:r>
        <w:rPr>
          <w:rFonts w:ascii="宋体" w:hAnsi="宋体" w:eastAsia="宋体"/>
          <w:szCs w:val="21"/>
        </w:rPr>
        <w:fldChar w:fldCharType="separate"/>
      </w:r>
      <w:r>
        <w:rPr>
          <w:rFonts w:ascii="宋体" w:hAnsi="宋体" w:eastAsia="宋体"/>
          <w:szCs w:val="21"/>
        </w:rPr>
        <w:t>13</w:t>
      </w:r>
      <w:r>
        <w:rPr>
          <w:rFonts w:ascii="宋体" w:hAnsi="宋体" w:eastAsia="宋体"/>
          <w:szCs w:val="21"/>
        </w:rPr>
        <w:fldChar w:fldCharType="end"/>
      </w:r>
    </w:p>
    <w:p w14:paraId="05E29DD9">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（一）总则</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_Toc197530107 \h </w:instrText>
      </w:r>
      <w:r>
        <w:rPr>
          <w:rFonts w:ascii="宋体" w:hAnsi="宋体" w:eastAsia="宋体"/>
          <w:szCs w:val="21"/>
        </w:rPr>
        <w:fldChar w:fldCharType="separate"/>
      </w:r>
      <w:r>
        <w:rPr>
          <w:rFonts w:ascii="宋体" w:hAnsi="宋体" w:eastAsia="宋体"/>
          <w:szCs w:val="21"/>
        </w:rPr>
        <w:t>13</w:t>
      </w:r>
      <w:r>
        <w:rPr>
          <w:rFonts w:ascii="宋体" w:hAnsi="宋体" w:eastAsia="宋体"/>
          <w:szCs w:val="21"/>
        </w:rPr>
        <w:fldChar w:fldCharType="end"/>
      </w:r>
    </w:p>
    <w:p w14:paraId="61CE358B">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（二）磋商文件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_Toc197530108 \h </w:instrText>
      </w:r>
      <w:r>
        <w:rPr>
          <w:rFonts w:ascii="宋体" w:hAnsi="宋体" w:eastAsia="宋体"/>
          <w:szCs w:val="21"/>
        </w:rPr>
        <w:fldChar w:fldCharType="separate"/>
      </w:r>
      <w:r>
        <w:rPr>
          <w:rFonts w:ascii="宋体" w:hAnsi="宋体" w:eastAsia="宋体"/>
          <w:szCs w:val="21"/>
        </w:rPr>
        <w:t>16</w:t>
      </w:r>
      <w:r>
        <w:rPr>
          <w:rFonts w:ascii="宋体" w:hAnsi="宋体" w:eastAsia="宋体"/>
          <w:szCs w:val="21"/>
        </w:rPr>
        <w:fldChar w:fldCharType="end"/>
      </w:r>
    </w:p>
    <w:p w14:paraId="3EE8F9AD">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（三）响应文件的编制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_Toc197530109 \h </w:instrText>
      </w:r>
      <w:r>
        <w:rPr>
          <w:rFonts w:ascii="宋体" w:hAnsi="宋体" w:eastAsia="宋体"/>
          <w:szCs w:val="21"/>
        </w:rPr>
        <w:fldChar w:fldCharType="separate"/>
      </w:r>
      <w:r>
        <w:rPr>
          <w:rFonts w:ascii="宋体" w:hAnsi="宋体" w:eastAsia="宋体"/>
          <w:szCs w:val="21"/>
        </w:rPr>
        <w:t>17</w:t>
      </w:r>
      <w:r>
        <w:rPr>
          <w:rFonts w:ascii="宋体" w:hAnsi="宋体" w:eastAsia="宋体"/>
          <w:szCs w:val="21"/>
        </w:rPr>
        <w:fldChar w:fldCharType="end"/>
      </w:r>
    </w:p>
    <w:p w14:paraId="0ABF3612">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（四）评审及磋商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_Toc197530110 \h </w:instrText>
      </w:r>
      <w:r>
        <w:rPr>
          <w:rFonts w:ascii="宋体" w:hAnsi="宋体" w:eastAsia="宋体"/>
          <w:szCs w:val="21"/>
        </w:rPr>
        <w:fldChar w:fldCharType="separate"/>
      </w:r>
      <w:r>
        <w:rPr>
          <w:rFonts w:ascii="宋体" w:hAnsi="宋体" w:eastAsia="宋体"/>
          <w:szCs w:val="21"/>
        </w:rPr>
        <w:t>20</w:t>
      </w:r>
      <w:r>
        <w:rPr>
          <w:rFonts w:ascii="宋体" w:hAnsi="宋体" w:eastAsia="宋体"/>
          <w:szCs w:val="21"/>
        </w:rPr>
        <w:fldChar w:fldCharType="end"/>
      </w:r>
    </w:p>
    <w:p w14:paraId="648A0A4F">
      <w:pPr>
        <w:pStyle w:val="28"/>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第三</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采购需求</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_Toc197530111 \h </w:instrText>
      </w:r>
      <w:r>
        <w:rPr>
          <w:rFonts w:ascii="宋体" w:hAnsi="宋体" w:eastAsia="宋体"/>
          <w:szCs w:val="21"/>
        </w:rPr>
        <w:fldChar w:fldCharType="separate"/>
      </w:r>
      <w:r>
        <w:rPr>
          <w:rFonts w:ascii="宋体" w:hAnsi="宋体" w:eastAsia="宋体"/>
          <w:szCs w:val="21"/>
        </w:rPr>
        <w:t>26</w:t>
      </w:r>
      <w:r>
        <w:rPr>
          <w:rFonts w:ascii="宋体" w:hAnsi="宋体" w:eastAsia="宋体"/>
          <w:szCs w:val="21"/>
        </w:rPr>
        <w:fldChar w:fldCharType="end"/>
      </w:r>
    </w:p>
    <w:p w14:paraId="1EBA5444">
      <w:pPr>
        <w:pStyle w:val="28"/>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第四</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评审程序、评审方法和评审标准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_Toc197530112 \h </w:instrText>
      </w:r>
      <w:r>
        <w:rPr>
          <w:rFonts w:ascii="宋体" w:hAnsi="宋体" w:eastAsia="宋体"/>
          <w:szCs w:val="21"/>
        </w:rPr>
        <w:fldChar w:fldCharType="separate"/>
      </w:r>
      <w:r>
        <w:rPr>
          <w:rFonts w:ascii="宋体" w:hAnsi="宋体" w:eastAsia="宋体"/>
          <w:szCs w:val="21"/>
        </w:rPr>
        <w:t>32</w:t>
      </w:r>
      <w:r>
        <w:rPr>
          <w:rFonts w:ascii="宋体" w:hAnsi="宋体" w:eastAsia="宋体"/>
          <w:szCs w:val="21"/>
        </w:rPr>
        <w:fldChar w:fldCharType="end"/>
      </w:r>
    </w:p>
    <w:p w14:paraId="6D3F66D4">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一、评审程序和评审方法</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_Toc197530113 \h </w:instrText>
      </w:r>
      <w:r>
        <w:rPr>
          <w:rFonts w:ascii="宋体" w:hAnsi="宋体" w:eastAsia="宋体"/>
          <w:szCs w:val="21"/>
        </w:rPr>
        <w:fldChar w:fldCharType="separate"/>
      </w:r>
      <w:r>
        <w:rPr>
          <w:rFonts w:ascii="宋体" w:hAnsi="宋体" w:eastAsia="宋体"/>
          <w:szCs w:val="21"/>
        </w:rPr>
        <w:t>32</w:t>
      </w:r>
      <w:r>
        <w:rPr>
          <w:rFonts w:ascii="宋体" w:hAnsi="宋体" w:eastAsia="宋体"/>
          <w:szCs w:val="21"/>
        </w:rPr>
        <w:fldChar w:fldCharType="end"/>
      </w:r>
    </w:p>
    <w:p w14:paraId="3458C0B6">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二、评审标准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_Toc197530114 \h </w:instrText>
      </w:r>
      <w:r>
        <w:rPr>
          <w:rFonts w:ascii="宋体" w:hAnsi="宋体" w:eastAsia="宋体"/>
          <w:szCs w:val="21"/>
        </w:rPr>
        <w:fldChar w:fldCharType="separate"/>
      </w:r>
      <w:r>
        <w:rPr>
          <w:rFonts w:ascii="宋体" w:hAnsi="宋体" w:eastAsia="宋体"/>
          <w:szCs w:val="21"/>
        </w:rPr>
        <w:t>38</w:t>
      </w:r>
      <w:r>
        <w:rPr>
          <w:rFonts w:ascii="宋体" w:hAnsi="宋体" w:eastAsia="宋体"/>
          <w:szCs w:val="21"/>
        </w:rPr>
        <w:fldChar w:fldCharType="end"/>
      </w:r>
    </w:p>
    <w:p w14:paraId="4BE5DCF5">
      <w:pPr>
        <w:pStyle w:val="28"/>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第五</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工程量清单、招标控制价及图纸</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_Toc197530115 \h </w:instrText>
      </w:r>
      <w:r>
        <w:rPr>
          <w:rFonts w:ascii="宋体" w:hAnsi="宋体" w:eastAsia="宋体"/>
          <w:szCs w:val="21"/>
        </w:rPr>
        <w:fldChar w:fldCharType="separate"/>
      </w:r>
      <w:r>
        <w:rPr>
          <w:rFonts w:ascii="宋体" w:hAnsi="宋体" w:eastAsia="宋体"/>
          <w:szCs w:val="21"/>
        </w:rPr>
        <w:t>46</w:t>
      </w:r>
      <w:r>
        <w:rPr>
          <w:rFonts w:ascii="宋体" w:hAnsi="宋体" w:eastAsia="宋体"/>
          <w:szCs w:val="21"/>
        </w:rPr>
        <w:fldChar w:fldCharType="end"/>
      </w:r>
    </w:p>
    <w:p w14:paraId="4C5A90D9">
      <w:pPr>
        <w:pStyle w:val="28"/>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第六</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响应文件格式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_Toc197530116 \h </w:instrText>
      </w:r>
      <w:r>
        <w:rPr>
          <w:rFonts w:ascii="宋体" w:hAnsi="宋体" w:eastAsia="宋体"/>
          <w:szCs w:val="21"/>
        </w:rPr>
        <w:fldChar w:fldCharType="separate"/>
      </w:r>
      <w:r>
        <w:rPr>
          <w:rFonts w:ascii="宋体" w:hAnsi="宋体" w:eastAsia="宋体"/>
          <w:szCs w:val="21"/>
        </w:rPr>
        <w:t>49</w:t>
      </w:r>
      <w:r>
        <w:rPr>
          <w:rFonts w:ascii="宋体" w:hAnsi="宋体" w:eastAsia="宋体"/>
          <w:szCs w:val="21"/>
        </w:rPr>
        <w:fldChar w:fldCharType="end"/>
      </w:r>
    </w:p>
    <w:p w14:paraId="4973B99C">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一、资格证明文件格式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_Toc197530117 \h </w:instrText>
      </w:r>
      <w:r>
        <w:rPr>
          <w:rFonts w:ascii="宋体" w:hAnsi="宋体" w:eastAsia="宋体"/>
          <w:szCs w:val="21"/>
        </w:rPr>
        <w:fldChar w:fldCharType="separate"/>
      </w:r>
      <w:r>
        <w:rPr>
          <w:rFonts w:ascii="宋体" w:hAnsi="宋体" w:eastAsia="宋体"/>
          <w:szCs w:val="21"/>
        </w:rPr>
        <w:t>49</w:t>
      </w:r>
      <w:r>
        <w:rPr>
          <w:rFonts w:ascii="宋体" w:hAnsi="宋体" w:eastAsia="宋体"/>
          <w:szCs w:val="21"/>
        </w:rPr>
        <w:fldChar w:fldCharType="end"/>
      </w:r>
    </w:p>
    <w:p w14:paraId="77A47B46">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二、报价文件格式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_Toc197530118 \h </w:instrText>
      </w:r>
      <w:r>
        <w:rPr>
          <w:rFonts w:ascii="宋体" w:hAnsi="宋体" w:eastAsia="宋体"/>
          <w:szCs w:val="21"/>
        </w:rPr>
        <w:fldChar w:fldCharType="separate"/>
      </w:r>
      <w:r>
        <w:rPr>
          <w:rFonts w:ascii="宋体" w:hAnsi="宋体" w:eastAsia="宋体"/>
          <w:szCs w:val="21"/>
        </w:rPr>
        <w:t>58</w:t>
      </w:r>
      <w:r>
        <w:rPr>
          <w:rFonts w:ascii="宋体" w:hAnsi="宋体" w:eastAsia="宋体"/>
          <w:szCs w:val="21"/>
        </w:rPr>
        <w:fldChar w:fldCharType="end"/>
      </w:r>
    </w:p>
    <w:p w14:paraId="7C1A11F4">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三、商务技术文件格式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_Toc197530119 \h </w:instrText>
      </w:r>
      <w:r>
        <w:rPr>
          <w:rFonts w:ascii="宋体" w:hAnsi="宋体" w:eastAsia="宋体"/>
          <w:szCs w:val="21"/>
        </w:rPr>
        <w:fldChar w:fldCharType="separate"/>
      </w:r>
      <w:r>
        <w:rPr>
          <w:rFonts w:ascii="宋体" w:hAnsi="宋体" w:eastAsia="宋体"/>
          <w:szCs w:val="21"/>
        </w:rPr>
        <w:t>65</w:t>
      </w:r>
      <w:r>
        <w:rPr>
          <w:rFonts w:ascii="宋体" w:hAnsi="宋体" w:eastAsia="宋体"/>
          <w:szCs w:val="21"/>
        </w:rPr>
        <w:fldChar w:fldCharType="end"/>
      </w:r>
    </w:p>
    <w:p w14:paraId="0F2FC2A4">
      <w:pPr>
        <w:pStyle w:val="28"/>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第七</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合同文本</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_Toc197530120 \h </w:instrText>
      </w:r>
      <w:r>
        <w:rPr>
          <w:rFonts w:ascii="宋体" w:hAnsi="宋体" w:eastAsia="宋体"/>
          <w:szCs w:val="21"/>
        </w:rPr>
        <w:fldChar w:fldCharType="separate"/>
      </w:r>
      <w:r>
        <w:rPr>
          <w:rFonts w:ascii="宋体" w:hAnsi="宋体" w:eastAsia="宋体"/>
          <w:szCs w:val="21"/>
        </w:rPr>
        <w:t>76</w:t>
      </w:r>
      <w:r>
        <w:rPr>
          <w:rFonts w:ascii="宋体" w:hAnsi="宋体" w:eastAsia="宋体"/>
          <w:szCs w:val="21"/>
        </w:rPr>
        <w:fldChar w:fldCharType="end"/>
      </w:r>
    </w:p>
    <w:p w14:paraId="364AD0F1">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第一部分合同书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_Toc197530121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14:paraId="6F3E6C57">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一、工程概况</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_Toc197530122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14:paraId="48CF27B0">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二、工程承包范围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_Toc197530123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14:paraId="4E325BEF">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三、合同工期</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_Toc197530124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14:paraId="7CFDC739">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四、质量标准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_Toc197530125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14:paraId="2ED0C906">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五、签约合同价与合同价格形式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_Toc197530126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14:paraId="1ABCB3A3">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六、工程项目经理及其他人员</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_Toc197530127 \h </w:instrText>
      </w:r>
      <w:r>
        <w:rPr>
          <w:rFonts w:ascii="宋体" w:hAnsi="宋体" w:eastAsia="宋体"/>
          <w:szCs w:val="21"/>
        </w:rPr>
        <w:fldChar w:fldCharType="separate"/>
      </w:r>
      <w:r>
        <w:rPr>
          <w:rFonts w:ascii="宋体" w:hAnsi="宋体" w:eastAsia="宋体"/>
          <w:szCs w:val="21"/>
        </w:rPr>
        <w:t>78</w:t>
      </w:r>
      <w:r>
        <w:rPr>
          <w:rFonts w:ascii="宋体" w:hAnsi="宋体" w:eastAsia="宋体"/>
          <w:szCs w:val="21"/>
        </w:rPr>
        <w:fldChar w:fldCharType="end"/>
      </w:r>
    </w:p>
    <w:p w14:paraId="5444407E">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七、合同文件构成</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_Toc197530128 \h </w:instrText>
      </w:r>
      <w:r>
        <w:rPr>
          <w:rFonts w:ascii="宋体" w:hAnsi="宋体" w:eastAsia="宋体"/>
          <w:szCs w:val="21"/>
        </w:rPr>
        <w:fldChar w:fldCharType="separate"/>
      </w:r>
      <w:r>
        <w:rPr>
          <w:rFonts w:ascii="宋体" w:hAnsi="宋体" w:eastAsia="宋体"/>
          <w:szCs w:val="21"/>
        </w:rPr>
        <w:t>78</w:t>
      </w:r>
      <w:r>
        <w:rPr>
          <w:rFonts w:ascii="宋体" w:hAnsi="宋体" w:eastAsia="宋体"/>
          <w:szCs w:val="21"/>
        </w:rPr>
        <w:fldChar w:fldCharType="end"/>
      </w:r>
    </w:p>
    <w:p w14:paraId="596AF82A">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八、承诺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_Toc197530129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14:paraId="77BF4DA7">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九、词语含义</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_Toc197530130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14:paraId="0112FD2D">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十、订立时间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_Toc197530131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14:paraId="5087646A">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十一、订立地点</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_Toc197530132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14:paraId="752411C5">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十二、补充协议</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_Toc197530133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14:paraId="03CAA104">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十三、合同生效</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_Toc197530134 \h </w:instrText>
      </w:r>
      <w:r>
        <w:rPr>
          <w:rFonts w:ascii="宋体" w:hAnsi="宋体" w:eastAsia="宋体"/>
          <w:szCs w:val="21"/>
        </w:rPr>
        <w:fldChar w:fldCharType="separate"/>
      </w:r>
      <w:r>
        <w:rPr>
          <w:rFonts w:ascii="宋体" w:hAnsi="宋体" w:eastAsia="宋体"/>
          <w:szCs w:val="21"/>
        </w:rPr>
        <w:t>80</w:t>
      </w:r>
      <w:r>
        <w:rPr>
          <w:rFonts w:ascii="宋体" w:hAnsi="宋体" w:eastAsia="宋体"/>
          <w:szCs w:val="21"/>
        </w:rPr>
        <w:fldChar w:fldCharType="end"/>
      </w:r>
    </w:p>
    <w:p w14:paraId="0F8FC00B">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十四、合同份数</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_Toc197530135 \h </w:instrText>
      </w:r>
      <w:r>
        <w:rPr>
          <w:rFonts w:ascii="宋体" w:hAnsi="宋体" w:eastAsia="宋体"/>
          <w:szCs w:val="21"/>
        </w:rPr>
        <w:fldChar w:fldCharType="separate"/>
      </w:r>
      <w:r>
        <w:rPr>
          <w:rFonts w:ascii="宋体" w:hAnsi="宋体" w:eastAsia="宋体"/>
          <w:szCs w:val="21"/>
        </w:rPr>
        <w:t>80</w:t>
      </w:r>
      <w:r>
        <w:rPr>
          <w:rFonts w:ascii="宋体" w:hAnsi="宋体" w:eastAsia="宋体"/>
          <w:szCs w:val="21"/>
        </w:rPr>
        <w:fldChar w:fldCharType="end"/>
      </w:r>
    </w:p>
    <w:p w14:paraId="18C71235">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第二部分通用合同条款</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_Toc197530136 \h </w:instrText>
      </w:r>
      <w:r>
        <w:rPr>
          <w:rFonts w:ascii="宋体" w:hAnsi="宋体" w:eastAsia="宋体"/>
          <w:szCs w:val="21"/>
        </w:rPr>
        <w:fldChar w:fldCharType="separate"/>
      </w:r>
      <w:r>
        <w:rPr>
          <w:rFonts w:ascii="宋体" w:hAnsi="宋体" w:eastAsia="宋体"/>
          <w:szCs w:val="21"/>
        </w:rPr>
        <w:t>81</w:t>
      </w:r>
      <w:r>
        <w:rPr>
          <w:rFonts w:ascii="宋体" w:hAnsi="宋体" w:eastAsia="宋体"/>
          <w:szCs w:val="21"/>
        </w:rPr>
        <w:fldChar w:fldCharType="end"/>
      </w:r>
    </w:p>
    <w:p w14:paraId="2812352D">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一般约定</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_Toc197530137 \h </w:instrText>
      </w:r>
      <w:r>
        <w:rPr>
          <w:rFonts w:ascii="宋体" w:hAnsi="宋体" w:eastAsia="宋体"/>
          <w:szCs w:val="21"/>
        </w:rPr>
        <w:fldChar w:fldCharType="separate"/>
      </w:r>
      <w:r>
        <w:rPr>
          <w:rFonts w:ascii="宋体" w:hAnsi="宋体" w:eastAsia="宋体"/>
          <w:szCs w:val="21"/>
        </w:rPr>
        <w:t>81</w:t>
      </w:r>
      <w:r>
        <w:rPr>
          <w:rFonts w:ascii="宋体" w:hAnsi="宋体" w:eastAsia="宋体"/>
          <w:szCs w:val="21"/>
        </w:rPr>
        <w:fldChar w:fldCharType="end"/>
      </w:r>
    </w:p>
    <w:p w14:paraId="5D8EC27B">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发包人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_Toc197530138 \h </w:instrText>
      </w:r>
      <w:r>
        <w:rPr>
          <w:rFonts w:ascii="宋体" w:hAnsi="宋体" w:eastAsia="宋体"/>
          <w:szCs w:val="21"/>
        </w:rPr>
        <w:fldChar w:fldCharType="separate"/>
      </w:r>
      <w:r>
        <w:rPr>
          <w:rFonts w:ascii="宋体" w:hAnsi="宋体" w:eastAsia="宋体"/>
          <w:szCs w:val="21"/>
        </w:rPr>
        <w:t>88</w:t>
      </w:r>
      <w:r>
        <w:rPr>
          <w:rFonts w:ascii="宋体" w:hAnsi="宋体" w:eastAsia="宋体"/>
          <w:szCs w:val="21"/>
        </w:rPr>
        <w:fldChar w:fldCharType="end"/>
      </w:r>
    </w:p>
    <w:p w14:paraId="48C7DF4B">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承包人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_Toc197530139 \h </w:instrText>
      </w:r>
      <w:r>
        <w:rPr>
          <w:rFonts w:ascii="宋体" w:hAnsi="宋体" w:eastAsia="宋体"/>
          <w:szCs w:val="21"/>
        </w:rPr>
        <w:fldChar w:fldCharType="separate"/>
      </w:r>
      <w:r>
        <w:rPr>
          <w:rFonts w:ascii="宋体" w:hAnsi="宋体" w:eastAsia="宋体"/>
          <w:szCs w:val="21"/>
        </w:rPr>
        <w:t>90</w:t>
      </w:r>
      <w:r>
        <w:rPr>
          <w:rFonts w:ascii="宋体" w:hAnsi="宋体" w:eastAsia="宋体"/>
          <w:szCs w:val="21"/>
        </w:rPr>
        <w:fldChar w:fldCharType="end"/>
      </w:r>
    </w:p>
    <w:p w14:paraId="36CE2EB1">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监理人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_Toc197530140 \h </w:instrText>
      </w:r>
      <w:r>
        <w:rPr>
          <w:rFonts w:ascii="宋体" w:hAnsi="宋体" w:eastAsia="宋体"/>
          <w:szCs w:val="21"/>
        </w:rPr>
        <w:fldChar w:fldCharType="separate"/>
      </w:r>
      <w:r>
        <w:rPr>
          <w:rFonts w:ascii="宋体" w:hAnsi="宋体" w:eastAsia="宋体"/>
          <w:szCs w:val="21"/>
        </w:rPr>
        <w:t>94</w:t>
      </w:r>
      <w:r>
        <w:rPr>
          <w:rFonts w:ascii="宋体" w:hAnsi="宋体" w:eastAsia="宋体"/>
          <w:szCs w:val="21"/>
        </w:rPr>
        <w:fldChar w:fldCharType="end"/>
      </w:r>
    </w:p>
    <w:p w14:paraId="1EE20C1A">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工程质量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_Toc197530141 \h </w:instrText>
      </w:r>
      <w:r>
        <w:rPr>
          <w:rFonts w:ascii="宋体" w:hAnsi="宋体" w:eastAsia="宋体"/>
          <w:szCs w:val="21"/>
        </w:rPr>
        <w:fldChar w:fldCharType="separate"/>
      </w:r>
      <w:r>
        <w:rPr>
          <w:rFonts w:ascii="宋体" w:hAnsi="宋体" w:eastAsia="宋体"/>
          <w:szCs w:val="21"/>
        </w:rPr>
        <w:t>95</w:t>
      </w:r>
      <w:r>
        <w:rPr>
          <w:rFonts w:ascii="宋体" w:hAnsi="宋体" w:eastAsia="宋体"/>
          <w:szCs w:val="21"/>
        </w:rPr>
        <w:fldChar w:fldCharType="end"/>
      </w:r>
    </w:p>
    <w:p w14:paraId="60F70614">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安全文明施工与环境保护</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_Toc197530142 \h </w:instrText>
      </w:r>
      <w:r>
        <w:rPr>
          <w:rFonts w:ascii="宋体" w:hAnsi="宋体" w:eastAsia="宋体"/>
          <w:szCs w:val="21"/>
        </w:rPr>
        <w:fldChar w:fldCharType="separate"/>
      </w:r>
      <w:r>
        <w:rPr>
          <w:rFonts w:ascii="宋体" w:hAnsi="宋体" w:eastAsia="宋体"/>
          <w:szCs w:val="21"/>
        </w:rPr>
        <w:t>97</w:t>
      </w:r>
      <w:r>
        <w:rPr>
          <w:rFonts w:ascii="宋体" w:hAnsi="宋体" w:eastAsia="宋体"/>
          <w:szCs w:val="21"/>
        </w:rPr>
        <w:fldChar w:fldCharType="end"/>
      </w:r>
    </w:p>
    <w:p w14:paraId="7FB115C9">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7.</w:t>
      </w:r>
      <w:r>
        <w:rPr>
          <w:rFonts w:hint="eastAsia" w:ascii="宋体" w:hAnsi="宋体" w:eastAsia="宋体"/>
          <w:color w:val="000000" w:themeColor="text1"/>
          <w:szCs w:val="21"/>
          <w14:textFill>
            <w14:solidFill>
              <w14:schemeClr w14:val="tx1"/>
            </w14:solidFill>
          </w14:textFill>
        </w:rPr>
        <w:t>工期和进度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_Toc197530143 \h </w:instrText>
      </w:r>
      <w:r>
        <w:rPr>
          <w:rFonts w:ascii="宋体" w:hAnsi="宋体" w:eastAsia="宋体"/>
          <w:szCs w:val="21"/>
        </w:rPr>
        <w:fldChar w:fldCharType="separate"/>
      </w:r>
      <w:r>
        <w:rPr>
          <w:rFonts w:ascii="宋体" w:hAnsi="宋体" w:eastAsia="宋体"/>
          <w:szCs w:val="21"/>
        </w:rPr>
        <w:t>100</w:t>
      </w:r>
      <w:r>
        <w:rPr>
          <w:rFonts w:ascii="宋体" w:hAnsi="宋体" w:eastAsia="宋体"/>
          <w:szCs w:val="21"/>
        </w:rPr>
        <w:fldChar w:fldCharType="end"/>
      </w:r>
    </w:p>
    <w:p w14:paraId="479DCF22">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8.</w:t>
      </w:r>
      <w:r>
        <w:rPr>
          <w:rFonts w:hint="eastAsia" w:ascii="宋体" w:hAnsi="宋体" w:eastAsia="宋体"/>
          <w:color w:val="000000" w:themeColor="text1"/>
          <w:szCs w:val="21"/>
          <w14:textFill>
            <w14:solidFill>
              <w14:schemeClr w14:val="tx1"/>
            </w14:solidFill>
          </w14:textFill>
        </w:rPr>
        <w:t>材料与设备</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_Toc197530144 \h </w:instrText>
      </w:r>
      <w:r>
        <w:rPr>
          <w:rFonts w:ascii="宋体" w:hAnsi="宋体" w:eastAsia="宋体"/>
          <w:szCs w:val="21"/>
        </w:rPr>
        <w:fldChar w:fldCharType="separate"/>
      </w:r>
      <w:r>
        <w:rPr>
          <w:rFonts w:ascii="宋体" w:hAnsi="宋体" w:eastAsia="宋体"/>
          <w:szCs w:val="21"/>
        </w:rPr>
        <w:t>105</w:t>
      </w:r>
      <w:r>
        <w:rPr>
          <w:rFonts w:ascii="宋体" w:hAnsi="宋体" w:eastAsia="宋体"/>
          <w:szCs w:val="21"/>
        </w:rPr>
        <w:fldChar w:fldCharType="end"/>
      </w:r>
    </w:p>
    <w:p w14:paraId="0C2022CC">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9.</w:t>
      </w:r>
      <w:r>
        <w:rPr>
          <w:rFonts w:hint="eastAsia" w:ascii="宋体" w:hAnsi="宋体" w:eastAsia="宋体"/>
          <w:color w:val="000000" w:themeColor="text1"/>
          <w:szCs w:val="21"/>
          <w14:textFill>
            <w14:solidFill>
              <w14:schemeClr w14:val="tx1"/>
            </w14:solidFill>
          </w14:textFill>
        </w:rPr>
        <w:t>试验与检验</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_Toc197530145 \h </w:instrText>
      </w:r>
      <w:r>
        <w:rPr>
          <w:rFonts w:ascii="宋体" w:hAnsi="宋体" w:eastAsia="宋体"/>
          <w:szCs w:val="21"/>
        </w:rPr>
        <w:fldChar w:fldCharType="separate"/>
      </w:r>
      <w:r>
        <w:rPr>
          <w:rFonts w:ascii="宋体" w:hAnsi="宋体" w:eastAsia="宋体"/>
          <w:szCs w:val="21"/>
        </w:rPr>
        <w:t>108</w:t>
      </w:r>
      <w:r>
        <w:rPr>
          <w:rFonts w:ascii="宋体" w:hAnsi="宋体" w:eastAsia="宋体"/>
          <w:szCs w:val="21"/>
        </w:rPr>
        <w:fldChar w:fldCharType="end"/>
      </w:r>
    </w:p>
    <w:p w14:paraId="47E39E9C">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10.</w:t>
      </w:r>
      <w:r>
        <w:rPr>
          <w:rFonts w:hint="eastAsia" w:ascii="宋体" w:hAnsi="宋体" w:eastAsia="宋体"/>
          <w:color w:val="000000" w:themeColor="text1"/>
          <w:szCs w:val="21"/>
          <w14:textFill>
            <w14:solidFill>
              <w14:schemeClr w14:val="tx1"/>
            </w14:solidFill>
          </w14:textFill>
        </w:rPr>
        <w:t>变更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_Toc197530146 \h </w:instrText>
      </w:r>
      <w:r>
        <w:rPr>
          <w:rFonts w:ascii="宋体" w:hAnsi="宋体" w:eastAsia="宋体"/>
          <w:szCs w:val="21"/>
        </w:rPr>
        <w:fldChar w:fldCharType="separate"/>
      </w:r>
      <w:r>
        <w:rPr>
          <w:rFonts w:ascii="宋体" w:hAnsi="宋体" w:eastAsia="宋体"/>
          <w:szCs w:val="21"/>
        </w:rPr>
        <w:t>109</w:t>
      </w:r>
      <w:r>
        <w:rPr>
          <w:rFonts w:ascii="宋体" w:hAnsi="宋体" w:eastAsia="宋体"/>
          <w:szCs w:val="21"/>
        </w:rPr>
        <w:fldChar w:fldCharType="end"/>
      </w:r>
    </w:p>
    <w:p w14:paraId="0248B0D9">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11.</w:t>
      </w:r>
      <w:r>
        <w:rPr>
          <w:rFonts w:hint="eastAsia" w:ascii="宋体" w:hAnsi="宋体" w:eastAsia="宋体"/>
          <w:color w:val="000000" w:themeColor="text1"/>
          <w:szCs w:val="21"/>
          <w14:textFill>
            <w14:solidFill>
              <w14:schemeClr w14:val="tx1"/>
            </w14:solidFill>
          </w14:textFill>
        </w:rPr>
        <w:t>价格调整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_Toc197530147 \h </w:instrText>
      </w:r>
      <w:r>
        <w:rPr>
          <w:rFonts w:ascii="宋体" w:hAnsi="宋体" w:eastAsia="宋体"/>
          <w:szCs w:val="21"/>
        </w:rPr>
        <w:fldChar w:fldCharType="separate"/>
      </w:r>
      <w:r>
        <w:rPr>
          <w:rFonts w:ascii="宋体" w:hAnsi="宋体" w:eastAsia="宋体"/>
          <w:szCs w:val="21"/>
        </w:rPr>
        <w:t>113</w:t>
      </w:r>
      <w:r>
        <w:rPr>
          <w:rFonts w:ascii="宋体" w:hAnsi="宋体" w:eastAsia="宋体"/>
          <w:szCs w:val="21"/>
        </w:rPr>
        <w:fldChar w:fldCharType="end"/>
      </w:r>
    </w:p>
    <w:p w14:paraId="39B53712">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12.</w:t>
      </w:r>
      <w:r>
        <w:rPr>
          <w:rFonts w:hint="eastAsia" w:ascii="宋体" w:hAnsi="宋体" w:eastAsia="宋体"/>
          <w:color w:val="000000" w:themeColor="text1"/>
          <w:szCs w:val="21"/>
          <w14:textFill>
            <w14:solidFill>
              <w14:schemeClr w14:val="tx1"/>
            </w14:solidFill>
          </w14:textFill>
        </w:rPr>
        <w:t>合同价格、计量与支付</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_Toc197530148 \h </w:instrText>
      </w:r>
      <w:r>
        <w:rPr>
          <w:rFonts w:ascii="宋体" w:hAnsi="宋体" w:eastAsia="宋体"/>
          <w:szCs w:val="21"/>
        </w:rPr>
        <w:fldChar w:fldCharType="separate"/>
      </w:r>
      <w:r>
        <w:rPr>
          <w:rFonts w:ascii="宋体" w:hAnsi="宋体" w:eastAsia="宋体"/>
          <w:szCs w:val="21"/>
        </w:rPr>
        <w:t>115</w:t>
      </w:r>
      <w:r>
        <w:rPr>
          <w:rFonts w:ascii="宋体" w:hAnsi="宋体" w:eastAsia="宋体"/>
          <w:szCs w:val="21"/>
        </w:rPr>
        <w:fldChar w:fldCharType="end"/>
      </w:r>
    </w:p>
    <w:p w14:paraId="780E76E5">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13.</w:t>
      </w:r>
      <w:r>
        <w:rPr>
          <w:rFonts w:hint="eastAsia" w:ascii="宋体" w:hAnsi="宋体" w:eastAsia="宋体"/>
          <w:color w:val="000000" w:themeColor="text1"/>
          <w:szCs w:val="21"/>
          <w14:textFill>
            <w14:solidFill>
              <w14:schemeClr w14:val="tx1"/>
            </w14:solidFill>
          </w14:textFill>
        </w:rPr>
        <w:t>验收和工程试车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_Toc197530149 \h </w:instrText>
      </w:r>
      <w:r>
        <w:rPr>
          <w:rFonts w:ascii="宋体" w:hAnsi="宋体" w:eastAsia="宋体"/>
          <w:szCs w:val="21"/>
        </w:rPr>
        <w:fldChar w:fldCharType="separate"/>
      </w:r>
      <w:r>
        <w:rPr>
          <w:rFonts w:ascii="宋体" w:hAnsi="宋体" w:eastAsia="宋体"/>
          <w:szCs w:val="21"/>
        </w:rPr>
        <w:t>119</w:t>
      </w:r>
      <w:r>
        <w:rPr>
          <w:rFonts w:ascii="宋体" w:hAnsi="宋体" w:eastAsia="宋体"/>
          <w:szCs w:val="21"/>
        </w:rPr>
        <w:fldChar w:fldCharType="end"/>
      </w:r>
    </w:p>
    <w:p w14:paraId="5DF4195D">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14.</w:t>
      </w:r>
      <w:r>
        <w:rPr>
          <w:rFonts w:hint="eastAsia" w:ascii="宋体" w:hAnsi="宋体" w:eastAsia="宋体"/>
          <w:color w:val="000000" w:themeColor="text1"/>
          <w:szCs w:val="21"/>
          <w14:textFill>
            <w14:solidFill>
              <w14:schemeClr w14:val="tx1"/>
            </w14:solidFill>
          </w14:textFill>
        </w:rPr>
        <w:t>竣工结算</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_Toc197530150 \h </w:instrText>
      </w:r>
      <w:r>
        <w:rPr>
          <w:rFonts w:ascii="宋体" w:hAnsi="宋体" w:eastAsia="宋体"/>
          <w:szCs w:val="21"/>
        </w:rPr>
        <w:fldChar w:fldCharType="separate"/>
      </w:r>
      <w:r>
        <w:rPr>
          <w:rFonts w:ascii="宋体" w:hAnsi="宋体" w:eastAsia="宋体"/>
          <w:szCs w:val="21"/>
        </w:rPr>
        <w:t>122</w:t>
      </w:r>
      <w:r>
        <w:rPr>
          <w:rFonts w:ascii="宋体" w:hAnsi="宋体" w:eastAsia="宋体"/>
          <w:szCs w:val="21"/>
        </w:rPr>
        <w:fldChar w:fldCharType="end"/>
      </w:r>
    </w:p>
    <w:p w14:paraId="787DED75">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15.</w:t>
      </w:r>
      <w:r>
        <w:rPr>
          <w:rFonts w:hint="eastAsia" w:ascii="宋体" w:hAnsi="宋体" w:eastAsia="宋体"/>
          <w:color w:val="000000" w:themeColor="text1"/>
          <w:szCs w:val="21"/>
          <w14:textFill>
            <w14:solidFill>
              <w14:schemeClr w14:val="tx1"/>
            </w14:solidFill>
          </w14:textFill>
        </w:rPr>
        <w:t>缺陷责任与保修</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_Toc197530151 \h </w:instrText>
      </w:r>
      <w:r>
        <w:rPr>
          <w:rFonts w:ascii="宋体" w:hAnsi="宋体" w:eastAsia="宋体"/>
          <w:szCs w:val="21"/>
        </w:rPr>
        <w:fldChar w:fldCharType="separate"/>
      </w:r>
      <w:r>
        <w:rPr>
          <w:rFonts w:ascii="宋体" w:hAnsi="宋体" w:eastAsia="宋体"/>
          <w:szCs w:val="21"/>
        </w:rPr>
        <w:t>124</w:t>
      </w:r>
      <w:r>
        <w:rPr>
          <w:rFonts w:ascii="宋体" w:hAnsi="宋体" w:eastAsia="宋体"/>
          <w:szCs w:val="21"/>
        </w:rPr>
        <w:fldChar w:fldCharType="end"/>
      </w:r>
    </w:p>
    <w:p w14:paraId="120B9832">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16.</w:t>
      </w:r>
      <w:r>
        <w:rPr>
          <w:rFonts w:hint="eastAsia" w:ascii="宋体" w:hAnsi="宋体" w:eastAsia="宋体"/>
          <w:color w:val="000000" w:themeColor="text1"/>
          <w:szCs w:val="21"/>
          <w14:textFill>
            <w14:solidFill>
              <w14:schemeClr w14:val="tx1"/>
            </w14:solidFill>
          </w14:textFill>
        </w:rPr>
        <w:t>违约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_Toc197530152 \h </w:instrText>
      </w:r>
      <w:r>
        <w:rPr>
          <w:rFonts w:ascii="宋体" w:hAnsi="宋体" w:eastAsia="宋体"/>
          <w:szCs w:val="21"/>
        </w:rPr>
        <w:fldChar w:fldCharType="separate"/>
      </w:r>
      <w:r>
        <w:rPr>
          <w:rFonts w:ascii="宋体" w:hAnsi="宋体" w:eastAsia="宋体"/>
          <w:szCs w:val="21"/>
        </w:rPr>
        <w:t>127</w:t>
      </w:r>
      <w:r>
        <w:rPr>
          <w:rFonts w:ascii="宋体" w:hAnsi="宋体" w:eastAsia="宋体"/>
          <w:szCs w:val="21"/>
        </w:rPr>
        <w:fldChar w:fldCharType="end"/>
      </w:r>
    </w:p>
    <w:p w14:paraId="61DA5ED9">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17.</w:t>
      </w:r>
      <w:r>
        <w:rPr>
          <w:rFonts w:hint="eastAsia" w:ascii="宋体" w:hAnsi="宋体" w:eastAsia="宋体"/>
          <w:color w:val="000000" w:themeColor="text1"/>
          <w:szCs w:val="21"/>
          <w14:textFill>
            <w14:solidFill>
              <w14:schemeClr w14:val="tx1"/>
            </w14:solidFill>
          </w14:textFill>
        </w:rPr>
        <w:t>不可抗力</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_Toc197530153 \h </w:instrText>
      </w:r>
      <w:r>
        <w:rPr>
          <w:rFonts w:ascii="宋体" w:hAnsi="宋体" w:eastAsia="宋体"/>
          <w:szCs w:val="21"/>
        </w:rPr>
        <w:fldChar w:fldCharType="separate"/>
      </w:r>
      <w:r>
        <w:rPr>
          <w:rFonts w:ascii="宋体" w:hAnsi="宋体" w:eastAsia="宋体"/>
          <w:szCs w:val="21"/>
        </w:rPr>
        <w:t>130</w:t>
      </w:r>
      <w:r>
        <w:rPr>
          <w:rFonts w:ascii="宋体" w:hAnsi="宋体" w:eastAsia="宋体"/>
          <w:szCs w:val="21"/>
        </w:rPr>
        <w:fldChar w:fldCharType="end"/>
      </w:r>
    </w:p>
    <w:p w14:paraId="11759CE0">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18.</w:t>
      </w:r>
      <w:r>
        <w:rPr>
          <w:rFonts w:hint="eastAsia" w:ascii="宋体" w:hAnsi="宋体" w:eastAsia="宋体"/>
          <w:color w:val="000000" w:themeColor="text1"/>
          <w:szCs w:val="21"/>
          <w14:textFill>
            <w14:solidFill>
              <w14:schemeClr w14:val="tx1"/>
            </w14:solidFill>
          </w14:textFill>
        </w:rPr>
        <w:t>保险</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_Toc197530154 \h </w:instrText>
      </w:r>
      <w:r>
        <w:rPr>
          <w:rFonts w:ascii="宋体" w:hAnsi="宋体" w:eastAsia="宋体"/>
          <w:szCs w:val="21"/>
        </w:rPr>
        <w:fldChar w:fldCharType="separate"/>
      </w:r>
      <w:r>
        <w:rPr>
          <w:rFonts w:ascii="宋体" w:hAnsi="宋体" w:eastAsia="宋体"/>
          <w:szCs w:val="21"/>
        </w:rPr>
        <w:t>131</w:t>
      </w:r>
      <w:r>
        <w:rPr>
          <w:rFonts w:ascii="宋体" w:hAnsi="宋体" w:eastAsia="宋体"/>
          <w:szCs w:val="21"/>
        </w:rPr>
        <w:fldChar w:fldCharType="end"/>
      </w:r>
    </w:p>
    <w:p w14:paraId="68100262">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19.</w:t>
      </w:r>
      <w:r>
        <w:rPr>
          <w:rFonts w:hint="eastAsia" w:ascii="宋体" w:hAnsi="宋体" w:eastAsia="宋体"/>
          <w:color w:val="000000" w:themeColor="text1"/>
          <w:szCs w:val="21"/>
          <w14:textFill>
            <w14:solidFill>
              <w14:schemeClr w14:val="tx1"/>
            </w14:solidFill>
          </w14:textFill>
        </w:rPr>
        <w:t>索赔</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_Toc197530155 \h </w:instrText>
      </w:r>
      <w:r>
        <w:rPr>
          <w:rFonts w:ascii="宋体" w:hAnsi="宋体" w:eastAsia="宋体"/>
          <w:szCs w:val="21"/>
        </w:rPr>
        <w:fldChar w:fldCharType="separate"/>
      </w:r>
      <w:r>
        <w:rPr>
          <w:rFonts w:ascii="宋体" w:hAnsi="宋体" w:eastAsia="宋体"/>
          <w:szCs w:val="21"/>
        </w:rPr>
        <w:t>132</w:t>
      </w:r>
      <w:r>
        <w:rPr>
          <w:rFonts w:ascii="宋体" w:hAnsi="宋体" w:eastAsia="宋体"/>
          <w:szCs w:val="21"/>
        </w:rPr>
        <w:fldChar w:fldCharType="end"/>
      </w:r>
    </w:p>
    <w:p w14:paraId="49384E9B">
      <w:pPr>
        <w:pStyle w:val="2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20.</w:t>
      </w:r>
      <w:r>
        <w:rPr>
          <w:rFonts w:hint="eastAsia" w:ascii="宋体" w:hAnsi="宋体" w:eastAsia="宋体"/>
          <w:color w:val="000000" w:themeColor="text1"/>
          <w:szCs w:val="21"/>
          <w14:textFill>
            <w14:solidFill>
              <w14:schemeClr w14:val="tx1"/>
            </w14:solidFill>
          </w14:textFill>
        </w:rPr>
        <w:t>争议解决</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_Toc197530156 \h </w:instrText>
      </w:r>
      <w:r>
        <w:rPr>
          <w:rFonts w:ascii="宋体" w:hAnsi="宋体" w:eastAsia="宋体"/>
          <w:szCs w:val="21"/>
        </w:rPr>
        <w:fldChar w:fldCharType="separate"/>
      </w:r>
      <w:r>
        <w:rPr>
          <w:rFonts w:ascii="宋体" w:hAnsi="宋体" w:eastAsia="宋体"/>
          <w:szCs w:val="21"/>
        </w:rPr>
        <w:t>134</w:t>
      </w:r>
      <w:r>
        <w:rPr>
          <w:rFonts w:ascii="宋体" w:hAnsi="宋体" w:eastAsia="宋体"/>
          <w:szCs w:val="21"/>
        </w:rPr>
        <w:fldChar w:fldCharType="end"/>
      </w:r>
    </w:p>
    <w:p w14:paraId="102C6475">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第三部分专用合同条款</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_Toc197530157 \h </w:instrText>
      </w:r>
      <w:r>
        <w:rPr>
          <w:rFonts w:ascii="宋体" w:hAnsi="宋体" w:eastAsia="宋体"/>
          <w:szCs w:val="21"/>
        </w:rPr>
        <w:fldChar w:fldCharType="separate"/>
      </w:r>
      <w:r>
        <w:rPr>
          <w:rFonts w:ascii="宋体" w:hAnsi="宋体" w:eastAsia="宋体"/>
          <w:szCs w:val="21"/>
        </w:rPr>
        <w:t>136</w:t>
      </w:r>
      <w:r>
        <w:rPr>
          <w:rFonts w:ascii="宋体" w:hAnsi="宋体" w:eastAsia="宋体"/>
          <w:szCs w:val="21"/>
        </w:rPr>
        <w:fldChar w:fldCharType="end"/>
      </w:r>
    </w:p>
    <w:p w14:paraId="12168F4F">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一、词语定义及合同文件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_Toc197530158 \h </w:instrText>
      </w:r>
      <w:r>
        <w:rPr>
          <w:rFonts w:ascii="宋体" w:hAnsi="宋体" w:eastAsia="宋体"/>
          <w:szCs w:val="21"/>
        </w:rPr>
        <w:fldChar w:fldCharType="separate"/>
      </w:r>
      <w:r>
        <w:rPr>
          <w:rFonts w:ascii="宋体" w:hAnsi="宋体" w:eastAsia="宋体"/>
          <w:szCs w:val="21"/>
        </w:rPr>
        <w:t>136</w:t>
      </w:r>
      <w:r>
        <w:rPr>
          <w:rFonts w:ascii="宋体" w:hAnsi="宋体" w:eastAsia="宋体"/>
          <w:szCs w:val="21"/>
        </w:rPr>
        <w:fldChar w:fldCharType="end"/>
      </w:r>
    </w:p>
    <w:p w14:paraId="06848306">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二、双方一般权利和义务</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_Toc197530159 \h </w:instrText>
      </w:r>
      <w:r>
        <w:rPr>
          <w:rFonts w:ascii="宋体" w:hAnsi="宋体" w:eastAsia="宋体"/>
          <w:szCs w:val="21"/>
        </w:rPr>
        <w:fldChar w:fldCharType="separate"/>
      </w:r>
      <w:r>
        <w:rPr>
          <w:rFonts w:ascii="宋体" w:hAnsi="宋体" w:eastAsia="宋体"/>
          <w:szCs w:val="21"/>
        </w:rPr>
        <w:t>137</w:t>
      </w:r>
      <w:r>
        <w:rPr>
          <w:rFonts w:ascii="宋体" w:hAnsi="宋体" w:eastAsia="宋体"/>
          <w:szCs w:val="21"/>
        </w:rPr>
        <w:fldChar w:fldCharType="end"/>
      </w:r>
    </w:p>
    <w:p w14:paraId="24A32EEF">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三、施工组织设计和工期</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_Toc197530160 \h </w:instrText>
      </w:r>
      <w:r>
        <w:rPr>
          <w:rFonts w:ascii="宋体" w:hAnsi="宋体" w:eastAsia="宋体"/>
          <w:szCs w:val="21"/>
        </w:rPr>
        <w:fldChar w:fldCharType="separate"/>
      </w:r>
      <w:r>
        <w:rPr>
          <w:rFonts w:ascii="宋体" w:hAnsi="宋体" w:eastAsia="宋体"/>
          <w:szCs w:val="21"/>
        </w:rPr>
        <w:t>140</w:t>
      </w:r>
      <w:r>
        <w:rPr>
          <w:rFonts w:ascii="宋体" w:hAnsi="宋体" w:eastAsia="宋体"/>
          <w:szCs w:val="21"/>
        </w:rPr>
        <w:fldChar w:fldCharType="end"/>
      </w:r>
    </w:p>
    <w:p w14:paraId="234C51AE">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四、质量与验收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_Toc197530161 \h </w:instrText>
      </w:r>
      <w:r>
        <w:rPr>
          <w:rFonts w:ascii="宋体" w:hAnsi="宋体" w:eastAsia="宋体"/>
          <w:szCs w:val="21"/>
        </w:rPr>
        <w:fldChar w:fldCharType="separate"/>
      </w:r>
      <w:r>
        <w:rPr>
          <w:rFonts w:ascii="宋体" w:hAnsi="宋体" w:eastAsia="宋体"/>
          <w:szCs w:val="21"/>
        </w:rPr>
        <w:t>141</w:t>
      </w:r>
      <w:r>
        <w:rPr>
          <w:rFonts w:ascii="宋体" w:hAnsi="宋体" w:eastAsia="宋体"/>
          <w:szCs w:val="21"/>
        </w:rPr>
        <w:fldChar w:fldCharType="end"/>
      </w:r>
    </w:p>
    <w:p w14:paraId="41E6454C">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五、合同价款与支付</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_Toc197530162 \h </w:instrText>
      </w:r>
      <w:r>
        <w:rPr>
          <w:rFonts w:ascii="宋体" w:hAnsi="宋体" w:eastAsia="宋体"/>
          <w:szCs w:val="21"/>
        </w:rPr>
        <w:fldChar w:fldCharType="separate"/>
      </w:r>
      <w:r>
        <w:rPr>
          <w:rFonts w:ascii="宋体" w:hAnsi="宋体" w:eastAsia="宋体"/>
          <w:szCs w:val="21"/>
        </w:rPr>
        <w:t>142</w:t>
      </w:r>
      <w:r>
        <w:rPr>
          <w:rFonts w:ascii="宋体" w:hAnsi="宋体" w:eastAsia="宋体"/>
          <w:szCs w:val="21"/>
        </w:rPr>
        <w:fldChar w:fldCharType="end"/>
      </w:r>
    </w:p>
    <w:p w14:paraId="39FD3A38">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六、材料设备供应</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_Toc197530163 \h </w:instrText>
      </w:r>
      <w:r>
        <w:rPr>
          <w:rFonts w:ascii="宋体" w:hAnsi="宋体" w:eastAsia="宋体"/>
          <w:szCs w:val="21"/>
        </w:rPr>
        <w:fldChar w:fldCharType="separate"/>
      </w:r>
      <w:r>
        <w:rPr>
          <w:rFonts w:ascii="宋体" w:hAnsi="宋体" w:eastAsia="宋体"/>
          <w:szCs w:val="21"/>
        </w:rPr>
        <w:t>146</w:t>
      </w:r>
      <w:r>
        <w:rPr>
          <w:rFonts w:ascii="宋体" w:hAnsi="宋体" w:eastAsia="宋体"/>
          <w:szCs w:val="21"/>
        </w:rPr>
        <w:fldChar w:fldCharType="end"/>
      </w:r>
    </w:p>
    <w:p w14:paraId="42AF465E">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七、竣工验收与结算</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_Toc197530164 \h </w:instrText>
      </w:r>
      <w:r>
        <w:rPr>
          <w:rFonts w:ascii="宋体" w:hAnsi="宋体" w:eastAsia="宋体"/>
          <w:szCs w:val="21"/>
        </w:rPr>
        <w:fldChar w:fldCharType="separate"/>
      </w:r>
      <w:r>
        <w:rPr>
          <w:rFonts w:ascii="宋体" w:hAnsi="宋体" w:eastAsia="宋体"/>
          <w:szCs w:val="21"/>
        </w:rPr>
        <w:t>146</w:t>
      </w:r>
      <w:r>
        <w:rPr>
          <w:rFonts w:ascii="宋体" w:hAnsi="宋体" w:eastAsia="宋体"/>
          <w:szCs w:val="21"/>
        </w:rPr>
        <w:fldChar w:fldCharType="end"/>
      </w:r>
    </w:p>
    <w:p w14:paraId="592B5DB0">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八、违约、索赔和争议</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_Toc197530165 \h </w:instrText>
      </w:r>
      <w:r>
        <w:rPr>
          <w:rFonts w:ascii="宋体" w:hAnsi="宋体" w:eastAsia="宋体"/>
          <w:szCs w:val="21"/>
        </w:rPr>
        <w:fldChar w:fldCharType="separate"/>
      </w:r>
      <w:r>
        <w:rPr>
          <w:rFonts w:ascii="宋体" w:hAnsi="宋体" w:eastAsia="宋体"/>
          <w:szCs w:val="21"/>
        </w:rPr>
        <w:t>148</w:t>
      </w:r>
      <w:r>
        <w:rPr>
          <w:rFonts w:ascii="宋体" w:hAnsi="宋体" w:eastAsia="宋体"/>
          <w:szCs w:val="21"/>
        </w:rPr>
        <w:fldChar w:fldCharType="end"/>
      </w:r>
    </w:p>
    <w:p w14:paraId="6FB60519">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九、其他</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_Toc197530166 \h </w:instrText>
      </w:r>
      <w:r>
        <w:rPr>
          <w:rFonts w:ascii="宋体" w:hAnsi="宋体" w:eastAsia="宋体"/>
          <w:szCs w:val="21"/>
        </w:rPr>
        <w:fldChar w:fldCharType="separate"/>
      </w:r>
      <w:r>
        <w:rPr>
          <w:rFonts w:ascii="宋体" w:hAnsi="宋体" w:eastAsia="宋体"/>
          <w:szCs w:val="21"/>
        </w:rPr>
        <w:t>150</w:t>
      </w:r>
      <w:r>
        <w:rPr>
          <w:rFonts w:ascii="宋体" w:hAnsi="宋体" w:eastAsia="宋体"/>
          <w:szCs w:val="21"/>
        </w:rPr>
        <w:fldChar w:fldCharType="end"/>
      </w:r>
    </w:p>
    <w:p w14:paraId="34EE79F5">
      <w:pPr>
        <w:pStyle w:val="33"/>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第四部分专用合同条款附件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_Toc197530167 \h </w:instrText>
      </w:r>
      <w:r>
        <w:rPr>
          <w:rFonts w:ascii="宋体" w:hAnsi="宋体" w:eastAsia="宋体"/>
          <w:szCs w:val="21"/>
        </w:rPr>
        <w:fldChar w:fldCharType="separate"/>
      </w:r>
      <w:r>
        <w:rPr>
          <w:rFonts w:ascii="宋体" w:hAnsi="宋体" w:eastAsia="宋体"/>
          <w:szCs w:val="21"/>
        </w:rPr>
        <w:t>153</w:t>
      </w:r>
      <w:r>
        <w:rPr>
          <w:rFonts w:ascii="宋体" w:hAnsi="宋体" w:eastAsia="宋体"/>
          <w:szCs w:val="21"/>
        </w:rPr>
        <w:fldChar w:fldCharType="end"/>
      </w:r>
    </w:p>
    <w:p w14:paraId="3BC978CE">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：工程质量保修书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_Toc197530168 \h </w:instrText>
      </w:r>
      <w:r>
        <w:rPr>
          <w:rFonts w:ascii="宋体" w:hAnsi="宋体" w:eastAsia="宋体"/>
          <w:szCs w:val="21"/>
        </w:rPr>
        <w:fldChar w:fldCharType="separate"/>
      </w:r>
      <w:r>
        <w:rPr>
          <w:rFonts w:ascii="宋体" w:hAnsi="宋体" w:eastAsia="宋体"/>
          <w:szCs w:val="21"/>
        </w:rPr>
        <w:t>153</w:t>
      </w:r>
      <w:r>
        <w:rPr>
          <w:rFonts w:ascii="宋体" w:hAnsi="宋体" w:eastAsia="宋体"/>
          <w:szCs w:val="21"/>
        </w:rPr>
        <w:fldChar w:fldCharType="end"/>
      </w:r>
    </w:p>
    <w:p w14:paraId="3B2C57A5">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：安全生产合同</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_Toc197530169 \h </w:instrText>
      </w:r>
      <w:r>
        <w:rPr>
          <w:rFonts w:ascii="宋体" w:hAnsi="宋体" w:eastAsia="宋体"/>
          <w:szCs w:val="21"/>
        </w:rPr>
        <w:fldChar w:fldCharType="separate"/>
      </w:r>
      <w:r>
        <w:rPr>
          <w:rFonts w:ascii="宋体" w:hAnsi="宋体" w:eastAsia="宋体"/>
          <w:szCs w:val="21"/>
        </w:rPr>
        <w:t>155</w:t>
      </w:r>
      <w:r>
        <w:rPr>
          <w:rFonts w:ascii="宋体" w:hAnsi="宋体" w:eastAsia="宋体"/>
          <w:szCs w:val="21"/>
        </w:rPr>
        <w:fldChar w:fldCharType="end"/>
      </w:r>
    </w:p>
    <w:p w14:paraId="2F2B227E">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：发包人施工管理要求</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_Toc197530170 \h </w:instrText>
      </w:r>
      <w:r>
        <w:rPr>
          <w:rFonts w:ascii="宋体" w:hAnsi="宋体" w:eastAsia="宋体"/>
          <w:szCs w:val="21"/>
        </w:rPr>
        <w:fldChar w:fldCharType="separate"/>
      </w:r>
      <w:r>
        <w:rPr>
          <w:rFonts w:ascii="宋体" w:hAnsi="宋体" w:eastAsia="宋体"/>
          <w:szCs w:val="21"/>
        </w:rPr>
        <w:t>157</w:t>
      </w:r>
      <w:r>
        <w:rPr>
          <w:rFonts w:ascii="宋体" w:hAnsi="宋体" w:eastAsia="宋体"/>
          <w:szCs w:val="21"/>
        </w:rPr>
        <w:fldChar w:fldCharType="end"/>
      </w:r>
    </w:p>
    <w:p w14:paraId="24D7158A">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：施工单位项目考核表</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_Toc197530171 \h </w:instrText>
      </w:r>
      <w:r>
        <w:rPr>
          <w:rFonts w:ascii="宋体" w:hAnsi="宋体" w:eastAsia="宋体"/>
          <w:szCs w:val="21"/>
        </w:rPr>
        <w:fldChar w:fldCharType="separate"/>
      </w:r>
      <w:r>
        <w:rPr>
          <w:rFonts w:ascii="宋体" w:hAnsi="宋体" w:eastAsia="宋体"/>
          <w:szCs w:val="21"/>
        </w:rPr>
        <w:t>160</w:t>
      </w:r>
      <w:r>
        <w:rPr>
          <w:rFonts w:ascii="宋体" w:hAnsi="宋体" w:eastAsia="宋体"/>
          <w:szCs w:val="21"/>
        </w:rPr>
        <w:fldChar w:fldCharType="end"/>
      </w:r>
    </w:p>
    <w:p w14:paraId="6A6219D6">
      <w:pPr>
        <w:pStyle w:val="20"/>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：履约保函示范文本</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_Toc197530172 \h </w:instrText>
      </w:r>
      <w:r>
        <w:rPr>
          <w:rFonts w:ascii="宋体" w:hAnsi="宋体" w:eastAsia="宋体"/>
          <w:szCs w:val="21"/>
        </w:rPr>
        <w:fldChar w:fldCharType="separate"/>
      </w:r>
      <w:r>
        <w:rPr>
          <w:rFonts w:ascii="宋体" w:hAnsi="宋体" w:eastAsia="宋体"/>
          <w:szCs w:val="21"/>
        </w:rPr>
        <w:t>162</w:t>
      </w:r>
      <w:r>
        <w:rPr>
          <w:rFonts w:ascii="宋体" w:hAnsi="宋体" w:eastAsia="宋体"/>
          <w:szCs w:val="21"/>
        </w:rPr>
        <w:fldChar w:fldCharType="end"/>
      </w:r>
    </w:p>
    <w:p w14:paraId="405DFF77">
      <w:pPr>
        <w:pStyle w:val="28"/>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第八</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质疑、投诉材料格式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_Toc197530174 \h </w:instrText>
      </w:r>
      <w:r>
        <w:rPr>
          <w:rFonts w:ascii="宋体" w:hAnsi="宋体" w:eastAsia="宋体"/>
          <w:szCs w:val="21"/>
        </w:rPr>
        <w:fldChar w:fldCharType="separate"/>
      </w:r>
      <w:r>
        <w:rPr>
          <w:rFonts w:ascii="宋体" w:hAnsi="宋体" w:eastAsia="宋体"/>
          <w:szCs w:val="21"/>
        </w:rPr>
        <w:t>164</w:t>
      </w:r>
      <w:r>
        <w:rPr>
          <w:rFonts w:ascii="宋体" w:hAnsi="宋体" w:eastAsia="宋体"/>
          <w:szCs w:val="21"/>
        </w:rPr>
        <w:fldChar w:fldCharType="end"/>
      </w:r>
    </w:p>
    <w:p w14:paraId="711E4780">
      <w:pPr>
        <w:pStyle w:val="28"/>
        <w:tabs>
          <w:tab w:val="right" w:leader="dot" w:pos="9344"/>
        </w:tabs>
        <w:spacing w:line="36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fldChar w:fldCharType="end"/>
      </w:r>
    </w:p>
    <w:p w14:paraId="584A5D41">
      <w:pPr>
        <w:spacing w:line="360" w:lineRule="auto"/>
        <w:rPr>
          <w:rFonts w:hint="eastAsia" w:ascii="宋体" w:hAnsi="宋体" w:eastAsia="宋体"/>
          <w:color w:val="000000" w:themeColor="text1"/>
          <w:szCs w:val="21"/>
          <w14:textFill>
            <w14:solidFill>
              <w14:schemeClr w14:val="tx1"/>
            </w14:solidFill>
          </w14:textFill>
        </w:rPr>
        <w:sectPr>
          <w:footerReference r:id="rId3" w:type="default"/>
          <w:pgSz w:w="11906" w:h="16838"/>
          <w:pgMar w:top="1440" w:right="1134" w:bottom="1440" w:left="1418" w:header="851" w:footer="992" w:gutter="0"/>
          <w:pgNumType w:start="1"/>
          <w:cols w:space="425" w:num="1"/>
          <w:docGrid w:type="lines" w:linePitch="312" w:charSpace="0"/>
        </w:sectPr>
      </w:pPr>
    </w:p>
    <w:p w14:paraId="61DFF47F">
      <w:pPr>
        <w:pStyle w:val="2"/>
        <w:jc w:val="center"/>
        <w:rPr>
          <w:rFonts w:hint="eastAsia" w:ascii="宋体" w:hAnsi="宋体" w:eastAsia="宋体"/>
          <w:color w:val="000000" w:themeColor="text1"/>
          <w14:textFill>
            <w14:solidFill>
              <w14:schemeClr w14:val="tx1"/>
            </w14:solidFill>
          </w14:textFill>
        </w:rPr>
      </w:pPr>
      <w:bookmarkStart w:id="0" w:name="_Toc197530103"/>
      <w:r>
        <w:rPr>
          <w:rFonts w:hint="eastAsia" w:ascii="宋体" w:hAnsi="宋体" w:eastAsia="宋体"/>
          <w:color w:val="000000" w:themeColor="text1"/>
          <w14:textFill>
            <w14:solidFill>
              <w14:schemeClr w14:val="tx1"/>
            </w14:solidFill>
          </w14:textFill>
        </w:rPr>
        <w:t>第一</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竞争性磋商公告</w:t>
      </w:r>
      <w:bookmarkEnd w:id="0"/>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57E8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67B3993B">
            <w:pPr>
              <w:spacing w:line="360" w:lineRule="auto"/>
              <w:ind w:firstLine="422" w:firstLineChars="20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项目概况：</w:t>
            </w:r>
          </w:p>
          <w:p w14:paraId="700A584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u w:val="single"/>
                <w:lang w:eastAsia="zh-CN"/>
                <w14:textFill>
                  <w14:solidFill>
                    <w14:schemeClr w14:val="tx1"/>
                  </w14:solidFill>
                </w14:textFill>
              </w:rPr>
              <w:t>广西大学化学化工学院2号楼和1号楼附楼实验室环境改造（室外电力）项目</w:t>
            </w:r>
            <w:r>
              <w:rPr>
                <w:rFonts w:hint="eastAsia" w:ascii="宋体" w:hAnsi="宋体"/>
                <w:color w:val="000000" w:themeColor="text1"/>
                <w:szCs w:val="21"/>
                <w14:textFill>
                  <w14:solidFill>
                    <w14:schemeClr w14:val="tx1"/>
                  </w14:solidFill>
                </w14:textFill>
              </w:rPr>
              <w:t>采购项目的潜在供应商应在广西政府采购云平台（https：//www.gcy.zfcg.gxzf.gov.cn/）获取采购文件，并于</w:t>
            </w:r>
            <w:bookmarkStart w:id="1" w:name="OLE_LINK8"/>
            <w:bookmarkStart w:id="2" w:name="OLE_LINK7"/>
            <w:r>
              <w:rPr>
                <w:rFonts w:hint="eastAsia" w:ascii="宋体" w:hAnsi="宋体"/>
                <w:color w:val="000000" w:themeColor="text1"/>
                <w:szCs w:val="21"/>
                <w14:textFill>
                  <w14:solidFill>
                    <w14:schemeClr w14:val="tx1"/>
                  </w14:solidFill>
                </w14:textFill>
              </w:rPr>
              <w:t>202</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lang w:val="en-US" w:eastAsia="zh-CN"/>
                <w14:textFill>
                  <w14:solidFill>
                    <w14:schemeClr w14:val="tx1"/>
                  </w14:solidFill>
                </w14:textFill>
              </w:rPr>
              <w:t>8</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lang w:val="en-US" w:eastAsia="zh-CN"/>
                <w14:textFill>
                  <w14:solidFill>
                    <w14:schemeClr w14:val="tx1"/>
                  </w14:solidFill>
                </w14:textFill>
              </w:rPr>
              <w:t>18</w:t>
            </w:r>
            <w:r>
              <w:rPr>
                <w:rFonts w:hint="eastAsia" w:ascii="宋体" w:hAnsi="宋体"/>
                <w:color w:val="000000" w:themeColor="text1"/>
                <w:szCs w:val="21"/>
                <w14:textFill>
                  <w14:solidFill>
                    <w14:schemeClr w14:val="tx1"/>
                  </w14:solidFill>
                </w14:textFill>
              </w:rPr>
              <w:t>日</w:t>
            </w:r>
            <w:bookmarkEnd w:id="1"/>
            <w:bookmarkEnd w:id="2"/>
            <w:r>
              <w:rPr>
                <w:rFonts w:ascii="宋体" w:hAnsi="宋体"/>
                <w:color w:val="000000" w:themeColor="text1"/>
                <w:szCs w:val="21"/>
                <w14:textFill>
                  <w14:solidFill>
                    <w14:schemeClr w14:val="tx1"/>
                  </w14:solidFill>
                </w14:textFill>
              </w:rPr>
              <w:t>09：</w:t>
            </w:r>
            <w:r>
              <w:rPr>
                <w:rFonts w:hint="eastAsia" w:ascii="宋体" w:hAnsi="宋体"/>
                <w:color w:val="000000" w:themeColor="text1"/>
                <w:szCs w:val="21"/>
                <w:lang w:val="en-US" w:eastAsia="zh-CN"/>
                <w14:textFill>
                  <w14:solidFill>
                    <w14:schemeClr w14:val="tx1"/>
                  </w14:solidFill>
                </w14:textFill>
              </w:rPr>
              <w:t>30</w:t>
            </w:r>
            <w:r>
              <w:rPr>
                <w:rFonts w:hint="eastAsia" w:ascii="宋体" w:hAnsi="宋体"/>
                <w:color w:val="000000" w:themeColor="text1"/>
                <w:szCs w:val="21"/>
                <w14:textFill>
                  <w14:solidFill>
                    <w14:schemeClr w14:val="tx1"/>
                  </w14:solidFill>
                </w14:textFill>
              </w:rPr>
              <w:t>（北京时间）前提交响应文件。</w:t>
            </w:r>
          </w:p>
        </w:tc>
      </w:tr>
    </w:tbl>
    <w:p w14:paraId="1204ADBF">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一、项目基本情况</w:t>
      </w:r>
    </w:p>
    <w:p w14:paraId="588A3B5F">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项目编号：</w:t>
      </w:r>
      <w:r>
        <w:rPr>
          <w:rFonts w:hint="eastAsia" w:ascii="宋体" w:hAnsi="宋体" w:eastAsia="宋体"/>
          <w:color w:val="000000" w:themeColor="text1"/>
          <w:szCs w:val="21"/>
          <w:lang w:eastAsia="zh-CN"/>
          <w14:textFill>
            <w14:solidFill>
              <w14:schemeClr w14:val="tx1"/>
            </w14:solidFill>
          </w14:textFill>
        </w:rPr>
        <w:t>GXZC2026-C2-002591-JGJD</w:t>
      </w:r>
    </w:p>
    <w:p w14:paraId="4A149430">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项目名称：</w:t>
      </w:r>
      <w:r>
        <w:rPr>
          <w:rFonts w:hint="eastAsia" w:ascii="宋体" w:hAnsi="宋体" w:eastAsia="宋体"/>
          <w:color w:val="000000" w:themeColor="text1"/>
          <w:szCs w:val="21"/>
          <w:lang w:eastAsia="zh-CN"/>
          <w14:textFill>
            <w14:solidFill>
              <w14:schemeClr w14:val="tx1"/>
            </w14:solidFill>
          </w14:textFill>
        </w:rPr>
        <w:t>广西大学化学化工学院2号楼和1号楼附楼实验室环境改造（室外电力）项目</w:t>
      </w:r>
    </w:p>
    <w:p w14:paraId="1285C5C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采购方式：竞争性磋商</w:t>
      </w:r>
    </w:p>
    <w:p w14:paraId="310098E4">
      <w:pPr>
        <w:spacing w:line="360" w:lineRule="auto"/>
        <w:ind w:firstLine="420" w:firstLineChars="200"/>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预算总金额：</w:t>
      </w:r>
      <w:r>
        <w:rPr>
          <w:rFonts w:hint="eastAsia" w:ascii="宋体" w:hAnsi="宋体" w:eastAsia="宋体"/>
          <w:color w:val="000000" w:themeColor="text1"/>
          <w:szCs w:val="21"/>
          <w:lang w:val="en-US" w:eastAsia="zh-CN"/>
          <w14:textFill>
            <w14:solidFill>
              <w14:schemeClr w14:val="tx1"/>
            </w14:solidFill>
          </w14:textFill>
        </w:rPr>
        <w:t>2759918.39元</w:t>
      </w:r>
    </w:p>
    <w:p w14:paraId="530D6CC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最高限价（如有）：</w:t>
      </w:r>
      <w:r>
        <w:rPr>
          <w:rFonts w:hint="eastAsia" w:ascii="宋体" w:hAnsi="宋体" w:eastAsia="宋体"/>
          <w:color w:val="000000" w:themeColor="text1"/>
          <w:szCs w:val="21"/>
          <w:lang w:eastAsia="zh-CN"/>
          <w14:textFill>
            <w14:solidFill>
              <w14:schemeClr w14:val="tx1"/>
            </w14:solidFill>
          </w14:textFill>
        </w:rPr>
        <w:t>2759918.39</w:t>
      </w:r>
      <w:r>
        <w:rPr>
          <w:rFonts w:hint="eastAsia" w:ascii="宋体" w:hAnsi="宋体" w:eastAsia="宋体"/>
          <w:color w:val="000000" w:themeColor="text1"/>
          <w:szCs w:val="21"/>
          <w:lang w:val="en-US" w:eastAsia="zh-CN"/>
          <w14:textFill>
            <w14:solidFill>
              <w14:schemeClr w14:val="tx1"/>
            </w14:solidFill>
          </w14:textFill>
        </w:rPr>
        <w:t>元</w:t>
      </w:r>
    </w:p>
    <w:p w14:paraId="6B769FB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采购需求：</w:t>
      </w:r>
    </w:p>
    <w:p w14:paraId="060B3EE0">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标项名称:</w:t>
      </w:r>
      <w:r>
        <w:rPr>
          <w:rFonts w:hint="eastAsia" w:ascii="宋体" w:hAnsi="宋体" w:eastAsia="宋体"/>
          <w:color w:val="000000" w:themeColor="text1"/>
          <w:szCs w:val="21"/>
          <w:lang w:eastAsia="zh-CN"/>
          <w14:textFill>
            <w14:solidFill>
              <w14:schemeClr w14:val="tx1"/>
            </w14:solidFill>
          </w14:textFill>
        </w:rPr>
        <w:t>广西大学化学化工学院2号楼和1号楼附楼实验室环境改造（室外电力）项目</w:t>
      </w:r>
    </w:p>
    <w:p w14:paraId="71A5CC8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数量:1</w:t>
      </w:r>
    </w:p>
    <w:p w14:paraId="6F2FB5D7">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预算金额（元）:</w:t>
      </w:r>
      <w:r>
        <w:rPr>
          <w:rFonts w:hint="eastAsia" w:ascii="宋体" w:hAnsi="宋体" w:eastAsia="宋体"/>
          <w:color w:val="000000" w:themeColor="text1"/>
          <w:szCs w:val="21"/>
          <w:lang w:eastAsia="zh-CN"/>
          <w14:textFill>
            <w14:solidFill>
              <w14:schemeClr w14:val="tx1"/>
            </w14:solidFill>
          </w14:textFill>
        </w:rPr>
        <w:t>2759918.39</w:t>
      </w:r>
    </w:p>
    <w:p w14:paraId="2128A5E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简要规格描述或项目基本概况介绍、用途：</w:t>
      </w:r>
    </w:p>
    <w:p w14:paraId="6F0B11F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该项目位于南宁市西乡塘区大学东路100号广西大学化学化工学院内。主要施工内容包括:更换5台低压配电柜，新增1台低压配电柜，敷设电缆及电缆保护管，新建9座电缆井，开挖及回填电缆沟、拆除和恢复路面及人行道透水砖等。具体详见工程量清单及图纸。</w:t>
      </w:r>
    </w:p>
    <w:p w14:paraId="1CDF57DC">
      <w:pPr>
        <w:spacing w:line="360" w:lineRule="auto"/>
        <w:ind w:firstLine="420" w:firstLineChars="200"/>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最高限价（如有）：</w:t>
      </w:r>
      <w:r>
        <w:rPr>
          <w:rFonts w:hint="eastAsia" w:ascii="宋体" w:hAnsi="宋体" w:eastAsia="宋体"/>
          <w:color w:val="000000" w:themeColor="text1"/>
          <w:szCs w:val="21"/>
          <w:lang w:eastAsia="zh-CN"/>
          <w14:textFill>
            <w14:solidFill>
              <w14:schemeClr w14:val="tx1"/>
            </w14:solidFill>
          </w14:textFill>
        </w:rPr>
        <w:t>2759918.39</w:t>
      </w:r>
      <w:r>
        <w:rPr>
          <w:rFonts w:hint="eastAsia" w:ascii="宋体" w:hAnsi="宋体" w:eastAsia="宋体"/>
          <w:color w:val="000000" w:themeColor="text1"/>
          <w:szCs w:val="21"/>
          <w:lang w:val="en-US" w:eastAsia="zh-CN"/>
          <w14:textFill>
            <w14:solidFill>
              <w14:schemeClr w14:val="tx1"/>
            </w14:solidFill>
          </w14:textFill>
        </w:rPr>
        <w:t>元</w:t>
      </w:r>
    </w:p>
    <w:p w14:paraId="03D17D5D">
      <w:pPr>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合同履约期限：</w:t>
      </w:r>
      <w:r>
        <w:rPr>
          <w:rFonts w:hint="eastAsia" w:ascii="宋体" w:hAnsi="宋体" w:eastAsia="宋体"/>
          <w:color w:val="000000" w:themeColor="text1"/>
          <w:szCs w:val="21"/>
          <w:lang w:val="en-US" w:eastAsia="zh-CN"/>
          <w14:textFill>
            <w14:solidFill>
              <w14:schemeClr w14:val="tx1"/>
            </w14:solidFill>
          </w14:textFill>
        </w:rPr>
        <w:t>工期：70日历天。</w:t>
      </w:r>
    </w:p>
    <w:p w14:paraId="20579E9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本标项（否）接受联合体投标</w:t>
      </w:r>
    </w:p>
    <w:p w14:paraId="374B79B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备注：/</w:t>
      </w:r>
    </w:p>
    <w:p w14:paraId="562C0C74">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二、申请人的资格要求</w:t>
      </w:r>
    </w:p>
    <w:p w14:paraId="72E6A9A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1.满足《中华人民共和国政府采购法》第二十二条规定；</w:t>
      </w:r>
    </w:p>
    <w:p w14:paraId="1607AB5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2.落实政府采购政策需满足的资格要求：无。</w:t>
      </w:r>
    </w:p>
    <w:p w14:paraId="3F44CE4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3.本项目的特定资格要求：</w:t>
      </w:r>
    </w:p>
    <w:p w14:paraId="4DAAFB1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（1）供应商具有</w:t>
      </w:r>
      <w:r>
        <w:rPr>
          <w:rFonts w:hint="eastAsia" w:ascii="宋体" w:hAnsi="宋体" w:eastAsia="宋体"/>
          <w:color w:val="000000" w:themeColor="text1"/>
          <w:szCs w:val="21"/>
          <w:lang w:val="en-US" w:eastAsia="zh-CN"/>
          <w14:textFill>
            <w14:solidFill>
              <w14:schemeClr w14:val="tx1"/>
            </w14:solidFill>
          </w14:textFill>
        </w:rPr>
        <w:t>以下资质并处于有效状态：</w:t>
      </w:r>
      <w:r>
        <w:rPr>
          <w:rFonts w:hint="eastAsia" w:ascii="宋体" w:hAnsi="宋体" w:eastAsia="宋体"/>
          <w:color w:val="000000" w:themeColor="text1"/>
          <w:szCs w:val="21"/>
          <w14:textFill>
            <w14:solidFill>
              <w14:schemeClr w14:val="tx1"/>
            </w14:solidFill>
          </w14:textFill>
        </w:rPr>
        <w:t>具备电力工程施工总承包三级及以上资质</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同时</w:t>
      </w:r>
      <w:r>
        <w:rPr>
          <w:rFonts w:hint="eastAsia" w:ascii="宋体" w:hAnsi="宋体" w:eastAsia="宋体"/>
          <w:color w:val="000000" w:themeColor="text1"/>
          <w:szCs w:val="21"/>
          <w14:textFill>
            <w14:solidFill>
              <w14:schemeClr w14:val="tx1"/>
            </w14:solidFill>
          </w14:textFill>
        </w:rPr>
        <w:t>具备三级以上（含三级）承装(修、试)电力设施许可证</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并具有有效的安全生产许可证，并在人员、设备、资金等方面具备相应的施工能力。</w:t>
      </w:r>
    </w:p>
    <w:p w14:paraId="7279B82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（2）拟投入本项目的项目经理须具备</w:t>
      </w:r>
      <w:r>
        <w:rPr>
          <w:rFonts w:hint="eastAsia" w:ascii="宋体" w:hAnsi="宋体" w:eastAsia="宋体"/>
          <w:color w:val="000000" w:themeColor="text1"/>
          <w:szCs w:val="21"/>
          <w:lang w:eastAsia="zh-CN"/>
          <w14:textFill>
            <w14:solidFill>
              <w14:schemeClr w14:val="tx1"/>
            </w14:solidFill>
          </w14:textFill>
        </w:rPr>
        <w:t>机电工程专业二级（含）以上</w:t>
      </w:r>
      <w:r>
        <w:rPr>
          <w:rFonts w:hint="eastAsia" w:ascii="宋体" w:hAnsi="宋体" w:eastAsia="宋体"/>
          <w:color w:val="000000" w:themeColor="text1"/>
          <w:szCs w:val="21"/>
          <w14:textFill>
            <w14:solidFill>
              <w14:schemeClr w14:val="tx1"/>
            </w14:solidFill>
          </w14:textFill>
        </w:rPr>
        <w:t>注册建造师执业资格，并持有省级或省级以上行政主管部门或其授权部门（机构）颁发的B类安全生产考核合格证书。本项目不接受有在建、已中标（成交）未开工或已列为其他项目中标候选人第一名的建造师作为项目经理（符合《广西壮族自治区建筑市场诚信卡管理暂行办法》第十六条第一款及桂建管﹝2016﹞70号、桂建管〔2020〕11号文除外）。</w:t>
      </w:r>
    </w:p>
    <w:p w14:paraId="336FBE7B">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3</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专职安全生产管理人员要求：专职安全生产管理人员须具备有效的安全生产考核合格证书（C类），人数符合</w:t>
      </w:r>
      <w:r>
        <w:rPr>
          <w:rFonts w:hint="eastAsia" w:ascii="宋体" w:hAnsi="宋体" w:eastAsia="宋体"/>
          <w:color w:val="000000" w:themeColor="text1"/>
          <w:szCs w:val="21"/>
          <w:lang w:eastAsia="zh-CN"/>
          <w14:textFill>
            <w14:solidFill>
              <w14:schemeClr w14:val="tx1"/>
            </w14:solidFill>
          </w14:textFill>
        </w:rPr>
        <w:t>住房和城乡建设部关于印发《建筑施工企业、工程项目安全生产管理机构设置及安全生产管理人员配备办法》的通</w:t>
      </w:r>
      <w:r>
        <w:rPr>
          <w:rFonts w:hint="eastAsia" w:ascii="宋体" w:hAnsi="宋体" w:eastAsia="宋体"/>
          <w:color w:val="000000" w:themeColor="text1"/>
          <w:szCs w:val="21"/>
          <w:highlight w:val="none"/>
          <w:lang w:eastAsia="zh-CN"/>
          <w14:textFill>
            <w14:solidFill>
              <w14:schemeClr w14:val="tx1"/>
            </w14:solidFill>
          </w14:textFill>
        </w:rPr>
        <w:t>知（建质规〔2025〕3号）</w:t>
      </w:r>
      <w:r>
        <w:rPr>
          <w:rFonts w:hint="eastAsia" w:ascii="宋体" w:hAnsi="宋体" w:eastAsia="宋体"/>
          <w:color w:val="000000" w:themeColor="text1"/>
          <w:szCs w:val="21"/>
          <w:highlight w:val="none"/>
          <w14:textFill>
            <w14:solidFill>
              <w14:schemeClr w14:val="tx1"/>
            </w14:solidFill>
          </w14:textFill>
        </w:rPr>
        <w:t>的规定不少于1人。</w:t>
      </w:r>
    </w:p>
    <w:p w14:paraId="60EB4AB3">
      <w:pPr>
        <w:spacing w:line="360" w:lineRule="auto"/>
        <w:ind w:firstLine="422" w:firstLineChars="200"/>
        <w:rPr>
          <w:rFonts w:hint="eastAsia"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三、获取采购文件</w:t>
      </w:r>
    </w:p>
    <w:p w14:paraId="3D9DA2F3">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时间：</w:t>
      </w:r>
      <w:r>
        <w:rPr>
          <w:rFonts w:hint="eastAsia" w:ascii="宋体" w:hAnsi="宋体" w:eastAsia="宋体"/>
          <w:color w:val="000000" w:themeColor="text1"/>
          <w:szCs w:val="21"/>
          <w:highlight w:val="none"/>
          <w:u w:val="none"/>
          <w14:textFill>
            <w14:solidFill>
              <w14:schemeClr w14:val="tx1"/>
            </w14:solidFill>
          </w14:textFill>
        </w:rPr>
        <w:t>202</w:t>
      </w:r>
      <w:r>
        <w:rPr>
          <w:rFonts w:hint="eastAsia" w:ascii="宋体" w:hAnsi="宋体" w:eastAsia="宋体"/>
          <w:color w:val="000000" w:themeColor="text1"/>
          <w:szCs w:val="21"/>
          <w:highlight w:val="none"/>
          <w:u w:val="none"/>
          <w:lang w:val="en-US" w:eastAsia="zh-CN"/>
          <w14:textFill>
            <w14:solidFill>
              <w14:schemeClr w14:val="tx1"/>
            </w14:solidFill>
          </w14:textFill>
        </w:rPr>
        <w:t>6</w:t>
      </w:r>
      <w:r>
        <w:rPr>
          <w:rFonts w:hint="eastAsia" w:ascii="宋体" w:hAnsi="宋体" w:eastAsia="宋体"/>
          <w:color w:val="000000" w:themeColor="text1"/>
          <w:szCs w:val="21"/>
          <w:highlight w:val="none"/>
          <w:u w:val="none"/>
          <w14:textFill>
            <w14:solidFill>
              <w14:schemeClr w14:val="tx1"/>
            </w14:solidFill>
          </w14:textFill>
        </w:rPr>
        <w:t>年</w:t>
      </w:r>
      <w:r>
        <w:rPr>
          <w:rFonts w:hint="eastAsia" w:ascii="宋体" w:hAnsi="宋体"/>
          <w:color w:val="000000" w:themeColor="text1"/>
          <w:szCs w:val="21"/>
          <w:highlight w:val="none"/>
          <w:u w:val="none"/>
          <w:lang w:val="en-US" w:eastAsia="zh-CN"/>
          <w14:textFill>
            <w14:solidFill>
              <w14:schemeClr w14:val="tx1"/>
            </w14:solidFill>
          </w14:textFill>
        </w:rPr>
        <w:t>8</w:t>
      </w:r>
      <w:r>
        <w:rPr>
          <w:rFonts w:hint="eastAsia" w:ascii="宋体" w:hAnsi="宋体" w:eastAsia="宋体"/>
          <w:color w:val="000000" w:themeColor="text1"/>
          <w:szCs w:val="21"/>
          <w:highlight w:val="none"/>
          <w:u w:val="none"/>
          <w14:textFill>
            <w14:solidFill>
              <w14:schemeClr w14:val="tx1"/>
            </w14:solidFill>
          </w14:textFill>
        </w:rPr>
        <w:t>月</w:t>
      </w:r>
      <w:r>
        <w:rPr>
          <w:rFonts w:hint="eastAsia" w:ascii="宋体" w:hAnsi="宋体"/>
          <w:color w:val="000000" w:themeColor="text1"/>
          <w:szCs w:val="21"/>
          <w:highlight w:val="none"/>
          <w:u w:val="none"/>
          <w:lang w:val="en-US" w:eastAsia="zh-CN"/>
          <w14:textFill>
            <w14:solidFill>
              <w14:schemeClr w14:val="tx1"/>
            </w14:solidFill>
          </w14:textFill>
        </w:rPr>
        <w:t>7</w:t>
      </w:r>
      <w:r>
        <w:rPr>
          <w:rFonts w:hint="eastAsia" w:ascii="宋体" w:hAnsi="宋体" w:eastAsia="宋体"/>
          <w:color w:val="000000" w:themeColor="text1"/>
          <w:szCs w:val="21"/>
          <w:highlight w:val="none"/>
          <w:u w:val="none"/>
          <w14:textFill>
            <w14:solidFill>
              <w14:schemeClr w14:val="tx1"/>
            </w14:solidFill>
          </w14:textFill>
        </w:rPr>
        <w:t>日至202</w:t>
      </w:r>
      <w:r>
        <w:rPr>
          <w:rFonts w:hint="eastAsia" w:ascii="宋体" w:hAnsi="宋体" w:eastAsia="宋体"/>
          <w:color w:val="000000" w:themeColor="text1"/>
          <w:szCs w:val="21"/>
          <w:highlight w:val="none"/>
          <w:u w:val="none"/>
          <w:lang w:val="en-US" w:eastAsia="zh-CN"/>
          <w14:textFill>
            <w14:solidFill>
              <w14:schemeClr w14:val="tx1"/>
            </w14:solidFill>
          </w14:textFill>
        </w:rPr>
        <w:t>6</w:t>
      </w:r>
      <w:r>
        <w:rPr>
          <w:rFonts w:hint="eastAsia" w:ascii="宋体" w:hAnsi="宋体" w:eastAsia="宋体"/>
          <w:color w:val="000000" w:themeColor="text1"/>
          <w:szCs w:val="21"/>
          <w:highlight w:val="none"/>
          <w:u w:val="none"/>
          <w14:textFill>
            <w14:solidFill>
              <w14:schemeClr w14:val="tx1"/>
            </w14:solidFill>
          </w14:textFill>
        </w:rPr>
        <w:t>年</w:t>
      </w:r>
      <w:r>
        <w:rPr>
          <w:rFonts w:hint="eastAsia" w:ascii="宋体" w:hAnsi="宋体"/>
          <w:color w:val="000000" w:themeColor="text1"/>
          <w:szCs w:val="21"/>
          <w:highlight w:val="none"/>
          <w:u w:val="none"/>
          <w:lang w:val="en-US" w:eastAsia="zh-CN"/>
          <w14:textFill>
            <w14:solidFill>
              <w14:schemeClr w14:val="tx1"/>
            </w14:solidFill>
          </w14:textFill>
        </w:rPr>
        <w:t>8</w:t>
      </w:r>
      <w:r>
        <w:rPr>
          <w:rFonts w:hint="eastAsia" w:ascii="宋体" w:hAnsi="宋体" w:eastAsia="宋体"/>
          <w:color w:val="000000" w:themeColor="text1"/>
          <w:szCs w:val="21"/>
          <w:highlight w:val="none"/>
          <w:u w:val="none"/>
          <w14:textFill>
            <w14:solidFill>
              <w14:schemeClr w14:val="tx1"/>
            </w14:solidFill>
          </w14:textFill>
        </w:rPr>
        <w:t>月</w:t>
      </w:r>
      <w:r>
        <w:rPr>
          <w:rFonts w:hint="eastAsia" w:ascii="宋体" w:hAnsi="宋体"/>
          <w:color w:val="000000" w:themeColor="text1"/>
          <w:szCs w:val="21"/>
          <w:highlight w:val="none"/>
          <w:u w:val="none"/>
          <w:lang w:val="en-US" w:eastAsia="zh-CN"/>
          <w14:textFill>
            <w14:solidFill>
              <w14:schemeClr w14:val="tx1"/>
            </w14:solidFill>
          </w14:textFill>
        </w:rPr>
        <w:t>14</w:t>
      </w:r>
      <w:r>
        <w:rPr>
          <w:rFonts w:hint="eastAsia" w:ascii="宋体" w:hAnsi="宋体" w:eastAsia="宋体"/>
          <w:color w:val="000000" w:themeColor="text1"/>
          <w:szCs w:val="21"/>
          <w:highlight w:val="none"/>
          <w:u w:val="none"/>
          <w14:textFill>
            <w14:solidFill>
              <w14:schemeClr w14:val="tx1"/>
            </w14:solidFill>
          </w14:textFill>
        </w:rPr>
        <w:t>日</w:t>
      </w:r>
      <w:r>
        <w:rPr>
          <w:rFonts w:hint="eastAsia" w:ascii="宋体" w:hAnsi="宋体" w:eastAsia="宋体"/>
          <w:color w:val="000000" w:themeColor="text1"/>
          <w:szCs w:val="21"/>
          <w:highlight w:val="none"/>
          <w14:textFill>
            <w14:solidFill>
              <w14:schemeClr w14:val="tx1"/>
            </w14:solidFill>
          </w14:textFill>
        </w:rPr>
        <w:t>，每天上午00：00至11：59，下午12：00至23：59（北京时间，法定节假日除外）</w:t>
      </w:r>
    </w:p>
    <w:p w14:paraId="638109A9">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地点（网址）：广西政府采购云平台（https：//www.gcy.zfcg.gxzf.gov.cn/）</w:t>
      </w:r>
    </w:p>
    <w:p w14:paraId="685C79E0">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方式：网上下载。本项目不提供纸质文件，潜在供应商可自行在广西政府采购云平台（https：//www.gcy.zfcg.gxzf.gov.cn/）下载采购文件及附件（操作路径：登录广西政府采购云平台-项目采购-获取采购文件-找到本项目-点击“申请获取采购文件”），电子响应文件制作需要基于广西政府采购云平台获取的采购文件编制，通过其他方式获取采购文件的，将有可能导致供应商无法在广西政府采购云平台编制及上传响应文件。</w:t>
      </w:r>
    </w:p>
    <w:p w14:paraId="3EBC6C47">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售价（元）：0</w:t>
      </w:r>
    </w:p>
    <w:p w14:paraId="5D92BAD4">
      <w:pPr>
        <w:spacing w:line="360" w:lineRule="auto"/>
        <w:ind w:firstLine="422" w:firstLineChars="200"/>
        <w:rPr>
          <w:rFonts w:hint="eastAsia"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四、响应文件提交</w:t>
      </w:r>
    </w:p>
    <w:p w14:paraId="61164B74">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截止时间：202</w:t>
      </w:r>
      <w:r>
        <w:rPr>
          <w:rFonts w:hint="eastAsia" w:ascii="宋体" w:hAnsi="宋体" w:eastAsia="宋体"/>
          <w:color w:val="000000" w:themeColor="text1"/>
          <w:szCs w:val="21"/>
          <w:highlight w:val="non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none"/>
          <w:lang w:val="en-US" w:eastAsia="zh-CN"/>
          <w14:textFill>
            <w14:solidFill>
              <w14:schemeClr w14:val="tx1"/>
            </w14:solidFill>
          </w14:textFill>
        </w:rPr>
        <w:t>8</w:t>
      </w:r>
      <w:r>
        <w:rPr>
          <w:rFonts w:hint="eastAsia" w:ascii="宋体" w:hAnsi="宋体" w:eastAsia="宋体"/>
          <w:color w:val="000000" w:themeColor="text1"/>
          <w:szCs w:val="21"/>
          <w:highlight w:val="none"/>
          <w:u w:val="none"/>
          <w14:textFill>
            <w14:solidFill>
              <w14:schemeClr w14:val="tx1"/>
            </w14:solidFill>
          </w14:textFill>
        </w:rPr>
        <w:t>月</w:t>
      </w:r>
      <w:r>
        <w:rPr>
          <w:rFonts w:hint="eastAsia" w:ascii="宋体" w:hAnsi="宋体"/>
          <w:color w:val="000000" w:themeColor="text1"/>
          <w:szCs w:val="21"/>
          <w:highlight w:val="none"/>
          <w:u w:val="none"/>
          <w:lang w:val="en-US" w:eastAsia="zh-CN"/>
          <w14:textFill>
            <w14:solidFill>
              <w14:schemeClr w14:val="tx1"/>
            </w14:solidFill>
          </w14:textFill>
        </w:rPr>
        <w:t>18</w:t>
      </w:r>
      <w:r>
        <w:rPr>
          <w:rFonts w:hint="eastAsia" w:ascii="宋体" w:hAnsi="宋体" w:eastAsia="宋体"/>
          <w:color w:val="000000" w:themeColor="text1"/>
          <w:szCs w:val="21"/>
          <w:highlight w:val="none"/>
          <w:u w:val="none"/>
          <w14:textFill>
            <w14:solidFill>
              <w14:schemeClr w14:val="tx1"/>
            </w14:solidFill>
          </w14:textFill>
        </w:rPr>
        <w:t>日</w:t>
      </w:r>
      <w:r>
        <w:rPr>
          <w:rFonts w:hint="eastAsia" w:ascii="宋体" w:hAnsi="宋体" w:eastAsia="宋体"/>
          <w:color w:val="000000" w:themeColor="text1"/>
          <w:szCs w:val="21"/>
          <w:highlight w:val="none"/>
          <w:lang w:val="en-US" w:eastAsia="zh-CN"/>
          <w14:textFill>
            <w14:solidFill>
              <w14:schemeClr w14:val="tx1"/>
            </w14:solidFill>
          </w14:textFill>
        </w:rPr>
        <w:t>09</w:t>
      </w: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0（北京时间）</w:t>
      </w:r>
    </w:p>
    <w:p w14:paraId="2F598552">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地点（网址）：广西政府采购云平台（https：//www.gcy.zfcg.gxzf.gov.cn/）</w:t>
      </w:r>
    </w:p>
    <w:p w14:paraId="185C6F03">
      <w:pPr>
        <w:spacing w:line="360" w:lineRule="auto"/>
        <w:ind w:firstLine="422" w:firstLineChars="200"/>
        <w:rPr>
          <w:rFonts w:hint="eastAsia"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五、开启</w:t>
      </w:r>
    </w:p>
    <w:p w14:paraId="2D1B7FDC">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开启时间：202</w:t>
      </w:r>
      <w:r>
        <w:rPr>
          <w:rFonts w:hint="eastAsia" w:ascii="宋体" w:hAnsi="宋体" w:eastAsia="宋体"/>
          <w:color w:val="000000" w:themeColor="text1"/>
          <w:szCs w:val="21"/>
          <w:highlight w:val="none"/>
          <w:lang w:val="en-US" w:eastAsia="zh-CN"/>
          <w14:textFill>
            <w14:solidFill>
              <w14:schemeClr w14:val="tx1"/>
            </w14:solidFill>
          </w14:textFill>
        </w:rPr>
        <w:t>6</w:t>
      </w:r>
      <w:r>
        <w:rPr>
          <w:rFonts w:hint="eastAsia" w:ascii="宋体" w:hAnsi="宋体" w:eastAsia="宋体"/>
          <w:color w:val="000000" w:themeColor="text1"/>
          <w:szCs w:val="21"/>
          <w:highlight w:val="none"/>
          <w:u w:val="none"/>
          <w14:textFill>
            <w14:solidFill>
              <w14:schemeClr w14:val="tx1"/>
            </w14:solidFill>
          </w14:textFill>
        </w:rPr>
        <w:t>年</w:t>
      </w:r>
      <w:r>
        <w:rPr>
          <w:rFonts w:hint="eastAsia" w:ascii="宋体" w:hAnsi="宋体"/>
          <w:color w:val="000000" w:themeColor="text1"/>
          <w:szCs w:val="21"/>
          <w:highlight w:val="none"/>
          <w:u w:val="none"/>
          <w:lang w:val="en-US" w:eastAsia="zh-CN"/>
          <w14:textFill>
            <w14:solidFill>
              <w14:schemeClr w14:val="tx1"/>
            </w14:solidFill>
          </w14:textFill>
        </w:rPr>
        <w:t>8</w:t>
      </w:r>
      <w:r>
        <w:rPr>
          <w:rFonts w:hint="eastAsia" w:ascii="宋体" w:hAnsi="宋体" w:eastAsia="宋体"/>
          <w:color w:val="000000" w:themeColor="text1"/>
          <w:szCs w:val="21"/>
          <w:highlight w:val="none"/>
          <w:u w:val="none"/>
          <w14:textFill>
            <w14:solidFill>
              <w14:schemeClr w14:val="tx1"/>
            </w14:solidFill>
          </w14:textFill>
        </w:rPr>
        <w:t>月</w:t>
      </w:r>
      <w:r>
        <w:rPr>
          <w:rFonts w:hint="eastAsia" w:ascii="宋体" w:hAnsi="宋体"/>
          <w:color w:val="000000" w:themeColor="text1"/>
          <w:szCs w:val="21"/>
          <w:highlight w:val="none"/>
          <w:u w:val="none"/>
          <w:lang w:val="en-US" w:eastAsia="zh-CN"/>
          <w14:textFill>
            <w14:solidFill>
              <w14:schemeClr w14:val="tx1"/>
            </w14:solidFill>
          </w14:textFill>
        </w:rPr>
        <w:t>18</w:t>
      </w:r>
      <w:r>
        <w:rPr>
          <w:rFonts w:hint="eastAsia" w:ascii="宋体" w:hAnsi="宋体" w:eastAsia="宋体"/>
          <w:color w:val="000000" w:themeColor="text1"/>
          <w:szCs w:val="21"/>
          <w:highlight w:val="none"/>
          <w:u w:val="none"/>
          <w14:textFill>
            <w14:solidFill>
              <w14:schemeClr w14:val="tx1"/>
            </w14:solidFill>
          </w14:textFill>
        </w:rPr>
        <w:t>日</w:t>
      </w:r>
      <w:r>
        <w:rPr>
          <w:rFonts w:hint="eastAsia" w:ascii="宋体" w:hAnsi="宋体" w:eastAsia="宋体"/>
          <w:color w:val="000000" w:themeColor="text1"/>
          <w:szCs w:val="21"/>
          <w:highlight w:val="none"/>
          <w:lang w:val="en-US" w:eastAsia="zh-CN"/>
          <w14:textFill>
            <w14:solidFill>
              <w14:schemeClr w14:val="tx1"/>
            </w14:solidFill>
          </w14:textFill>
        </w:rPr>
        <w:t>09</w:t>
      </w: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0（北京时间）</w:t>
      </w:r>
    </w:p>
    <w:p w14:paraId="1304F67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地点（网址）：广西政府采购云平台（https：//www.gcy.zfcg.gxzf.gov.cn/）</w:t>
      </w:r>
    </w:p>
    <w:p w14:paraId="4070CB8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六、公告期限</w:t>
      </w:r>
    </w:p>
    <w:p w14:paraId="423D347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自本公告发布之日起</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个工作日。</w:t>
      </w:r>
    </w:p>
    <w:p w14:paraId="41129013">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七、其他补充事宜</w:t>
      </w:r>
    </w:p>
    <w:p w14:paraId="002DF06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网上查询地址：中国招标投标公共服务平台（http：//www.cebpubservice.com）、广西壮族自治区招标投标公共服务平台</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http://zbtb.gxi.gov.cn:9000</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中国采购与招标网（www.chinabidding.cn）、中国政府采购网（www.ccgp.gov.cn）、广西政府采购网（</w:t>
      </w:r>
      <w:bookmarkStart w:id="3" w:name="OLE_LINK1"/>
      <w:r>
        <w:rPr>
          <w:rFonts w:hint="eastAsia" w:ascii="宋体" w:hAnsi="宋体" w:eastAsia="宋体"/>
          <w:color w:val="000000" w:themeColor="text1"/>
          <w:szCs w:val="21"/>
          <w14:textFill>
            <w14:solidFill>
              <w14:schemeClr w14:val="tx1"/>
            </w14:solidFill>
          </w14:textFill>
        </w:rPr>
        <w:t>http：//zfcg.gxzf.gov.cn</w:t>
      </w:r>
      <w:bookmarkEnd w:id="3"/>
      <w:r>
        <w:rPr>
          <w:rFonts w:hint="eastAsia" w:ascii="宋体" w:hAnsi="宋体" w:eastAsia="宋体"/>
          <w:color w:val="000000" w:themeColor="text1"/>
          <w:szCs w:val="21"/>
          <w14:textFill>
            <w14:solidFill>
              <w14:schemeClr w14:val="tx1"/>
            </w14:solidFill>
          </w14:textFill>
        </w:rPr>
        <w:t>）、广西招标网（www.guangxibid.com.cn）。</w:t>
      </w:r>
    </w:p>
    <w:p w14:paraId="5D571E8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2.磋商保证金：人民币</w:t>
      </w:r>
      <w:r>
        <w:rPr>
          <w:rFonts w:hint="eastAsia" w:ascii="宋体" w:hAnsi="宋体" w:eastAsia="宋体"/>
          <w:color w:val="000000" w:themeColor="text1"/>
          <w:szCs w:val="21"/>
          <w:lang w:val="en-US" w:eastAsia="zh-CN"/>
          <w14:textFill>
            <w14:solidFill>
              <w14:schemeClr w14:val="tx1"/>
            </w14:solidFill>
          </w14:textFill>
        </w:rPr>
        <w:t>贰万伍仟元整（¥25000.00元）</w:t>
      </w:r>
      <w:r>
        <w:rPr>
          <w:rFonts w:hint="eastAsia" w:ascii="宋体" w:hAnsi="宋体" w:eastAsia="宋体"/>
          <w:color w:val="000000" w:themeColor="text1"/>
          <w:szCs w:val="21"/>
          <w14:textFill>
            <w14:solidFill>
              <w14:schemeClr w14:val="tx1"/>
            </w14:solidFill>
          </w14:textFill>
        </w:rPr>
        <w:t>。</w:t>
      </w:r>
    </w:p>
    <w:p w14:paraId="7D6BC46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3.本项目需要落实的政府采购政策：</w:t>
      </w:r>
    </w:p>
    <w:p w14:paraId="2A59A2D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（1）政府采购促进中小企业发展；</w:t>
      </w:r>
    </w:p>
    <w:p w14:paraId="4BC9060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（2）政府采购支持采用本国产品的政策；</w:t>
      </w:r>
    </w:p>
    <w:p w14:paraId="79F8C79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）强制采购节能产品；优先采购节能产品、环境标志产品；</w:t>
      </w:r>
    </w:p>
    <w:p w14:paraId="580D69D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）政府采购促进残疾人就业政策；</w:t>
      </w:r>
    </w:p>
    <w:p w14:paraId="15A1EDF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）政府采购支持监狱企业发展。</w:t>
      </w:r>
    </w:p>
    <w:p w14:paraId="44D5B1F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供应商其他资格要求：</w:t>
      </w:r>
    </w:p>
    <w:p w14:paraId="0032F18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3D69796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26238D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5.供应商竞标注意事项</w:t>
      </w:r>
    </w:p>
    <w:p w14:paraId="5D2B2D4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本项目为全流程电子化采购项目，通过广西政府采购云平台（https：//www.gcy.zfcg.gxzf.gov.cn/）实行在线电子竞争性磋商，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5C73E35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（2）未进行网上注册并办理数字证书（CA认证）的供应商将无法参与本项目政府采购活动，潜在供应商应当在首次响应文件提交截止时间前，完成电子交易平台上的CA数字证书办理及响应文件的提交。</w:t>
      </w:r>
    </w:p>
    <w:p w14:paraId="64E55A7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CA证书在线解密：首次响应文件开启时，需要供应商携带制作响应文件时用来加密的有效数字证书（CA认证）登录广西政府采购云平台电子开标大厅现场按规定时间对加密的响应文件进行解密，未能按要求进行解密的，由此产生的后果由供应商自行承担。</w:t>
      </w:r>
    </w:p>
    <w:p w14:paraId="4DCB991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注：1）为确保网上操作合法、有效和安全，请供应商确保在电子竞争性磋商过程中能够对相关数据电文进行加密和使用电子签章，妥善保管CA数字证书并使用有效的CA数字证书参与整个采购活动。</w:t>
      </w:r>
    </w:p>
    <w:p w14:paraId="16BCBA62">
      <w:pPr>
        <w:spacing w:line="360" w:lineRule="auto"/>
        <w:ind w:firstLine="840" w:firstLineChars="4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1470FD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（4）供应商需要在具备有摄像头及语音功能且互联网网络状况良好的电脑登录广西政府采购云平台远程开标大厅参与本次磋商，否则后果自负。</w:t>
      </w:r>
    </w:p>
    <w:p w14:paraId="7E3703C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1F98688C">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八、凡对本次采购提出询问，请按以下方式联系</w:t>
      </w:r>
    </w:p>
    <w:p w14:paraId="34EF7D8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1.采购人信息</w:t>
      </w:r>
    </w:p>
    <w:p w14:paraId="62AF867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名称：广西大学</w:t>
      </w:r>
    </w:p>
    <w:p w14:paraId="02C7A9E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地址：广西</w:t>
      </w:r>
      <w:bookmarkStart w:id="4" w:name="OLE_LINK9"/>
      <w:bookmarkStart w:id="5" w:name="OLE_LINK10"/>
      <w:r>
        <w:rPr>
          <w:rFonts w:hint="eastAsia" w:ascii="宋体" w:hAnsi="宋体" w:eastAsia="宋体"/>
          <w:color w:val="000000" w:themeColor="text1"/>
          <w:szCs w:val="21"/>
          <w14:textFill>
            <w14:solidFill>
              <w14:schemeClr w14:val="tx1"/>
            </w14:solidFill>
          </w14:textFill>
        </w:rPr>
        <w:t>壮族自治区</w:t>
      </w:r>
      <w:bookmarkEnd w:id="4"/>
      <w:bookmarkEnd w:id="5"/>
      <w:r>
        <w:rPr>
          <w:rFonts w:hint="eastAsia" w:ascii="宋体" w:hAnsi="宋体" w:eastAsia="宋体"/>
          <w:color w:val="000000" w:themeColor="text1"/>
          <w:szCs w:val="21"/>
          <w14:textFill>
            <w14:solidFill>
              <w14:schemeClr w14:val="tx1"/>
            </w14:solidFill>
          </w14:textFill>
        </w:rPr>
        <w:t>南宁市西乡塘区大学东路100号</w:t>
      </w:r>
    </w:p>
    <w:p w14:paraId="40CDCEB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项目联系人：唐琼玲</w:t>
      </w:r>
    </w:p>
    <w:p w14:paraId="3281485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项目联系方式：0771-3233183</w:t>
      </w:r>
    </w:p>
    <w:p w14:paraId="24C0D8A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2.采购代理机构信息</w:t>
      </w:r>
    </w:p>
    <w:p w14:paraId="1543FDC6">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名称：</w:t>
      </w:r>
      <w:r>
        <w:rPr>
          <w:rFonts w:hint="eastAsia" w:ascii="宋体" w:hAnsi="宋体" w:eastAsia="宋体"/>
          <w:color w:val="000000" w:themeColor="text1"/>
          <w:szCs w:val="21"/>
          <w:lang w:eastAsia="zh-CN"/>
          <w14:textFill>
            <w14:solidFill>
              <w14:schemeClr w14:val="tx1"/>
            </w14:solidFill>
          </w14:textFill>
        </w:rPr>
        <w:t>广西建设工程机电设备招标中心有限公司</w:t>
      </w:r>
    </w:p>
    <w:p w14:paraId="6C6B418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hint="eastAsia" w:ascii="宋体" w:hAnsi="宋体" w:eastAsia="宋体"/>
          <w:color w:val="000000" w:themeColor="text1"/>
          <w:szCs w:val="21"/>
          <w:lang w:eastAsia="zh-CN"/>
          <w14:textFill>
            <w14:solidFill>
              <w14:schemeClr w14:val="tx1"/>
            </w14:solidFill>
          </w14:textFill>
        </w:rPr>
        <w:t>广西壮族自治区南宁市青秀区枫林路18号广西国控大厦裙楼三层</w:t>
      </w:r>
      <w:r>
        <w:rPr>
          <w:rFonts w:hint="eastAsia" w:ascii="宋体" w:hAnsi="宋体" w:eastAsia="宋体"/>
          <w:color w:val="000000" w:themeColor="text1"/>
          <w:szCs w:val="21"/>
          <w14:textFill>
            <w14:solidFill>
              <w14:schemeClr w14:val="tx1"/>
            </w14:solidFill>
          </w14:textFill>
        </w:rPr>
        <w:t xml:space="preserve"> </w:t>
      </w:r>
    </w:p>
    <w:p w14:paraId="69BD1B59">
      <w:pPr>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项目联系人：谭琦辉、刘雅婷</w:t>
      </w:r>
    </w:p>
    <w:p w14:paraId="49CBB17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项目联系方式：0771-2821389</w:t>
      </w:r>
    </w:p>
    <w:p w14:paraId="0DE8678D">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footerReference r:id="rId4" w:type="default"/>
          <w:pgSz w:w="11906" w:h="16838"/>
          <w:pgMar w:top="1440" w:right="1134" w:bottom="1440" w:left="1418" w:header="851" w:footer="992" w:gutter="0"/>
          <w:pgNumType w:start="1"/>
          <w:cols w:space="425" w:num="1"/>
          <w:docGrid w:type="lines" w:linePitch="312" w:charSpace="0"/>
        </w:sectPr>
      </w:pPr>
    </w:p>
    <w:p w14:paraId="3CF63AEE">
      <w:pPr>
        <w:pStyle w:val="2"/>
        <w:jc w:val="center"/>
        <w:rPr>
          <w:rFonts w:hint="eastAsia" w:ascii="宋体" w:hAnsi="宋体" w:eastAsia="宋体"/>
          <w:color w:val="000000" w:themeColor="text1"/>
          <w14:textFill>
            <w14:solidFill>
              <w14:schemeClr w14:val="tx1"/>
            </w14:solidFill>
          </w14:textFill>
        </w:rPr>
      </w:pPr>
      <w:bookmarkStart w:id="6" w:name="_Toc197530104"/>
      <w:r>
        <w:rPr>
          <w:rFonts w:hint="eastAsia" w:ascii="宋体" w:hAnsi="宋体" w:eastAsia="宋体"/>
          <w:color w:val="000000" w:themeColor="text1"/>
          <w14:textFill>
            <w14:solidFill>
              <w14:schemeClr w14:val="tx1"/>
            </w14:solidFill>
          </w14:textFill>
        </w:rPr>
        <w:t>第二</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供应商须知</w:t>
      </w:r>
      <w:bookmarkEnd w:id="6"/>
    </w:p>
    <w:p w14:paraId="4D3F96D3">
      <w:pPr>
        <w:pStyle w:val="3"/>
        <w:jc w:val="center"/>
        <w:rPr>
          <w:color w:val="000000" w:themeColor="text1"/>
          <w14:textFill>
            <w14:solidFill>
              <w14:schemeClr w14:val="tx1"/>
            </w14:solidFill>
          </w14:textFill>
        </w:rPr>
      </w:pPr>
      <w:bookmarkStart w:id="7" w:name="_Toc197530105"/>
      <w:r>
        <w:rPr>
          <w:rFonts w:hint="eastAsia"/>
          <w:color w:val="000000" w:themeColor="text1"/>
          <w14:textFill>
            <w14:solidFill>
              <w14:schemeClr w14:val="tx1"/>
            </w14:solidFill>
          </w14:textFill>
        </w:rPr>
        <w:t>一、供应商须知前附表</w:t>
      </w:r>
      <w:bookmarkEnd w:id="7"/>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8356"/>
      </w:tblGrid>
      <w:tr w14:paraId="1A64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B89F8BE">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条款号</w:t>
            </w:r>
          </w:p>
        </w:tc>
        <w:tc>
          <w:tcPr>
            <w:tcW w:w="8356" w:type="dxa"/>
            <w:vAlign w:val="center"/>
          </w:tcPr>
          <w:p w14:paraId="17184D91">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内容</w:t>
            </w:r>
          </w:p>
        </w:tc>
      </w:tr>
      <w:tr w14:paraId="767A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D3CE22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8356" w:type="dxa"/>
            <w:vAlign w:val="center"/>
          </w:tcPr>
          <w:p w14:paraId="43BC7AA3">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1.供应商的资格条件：详见竞争性磋商公告。</w:t>
            </w:r>
          </w:p>
          <w:p w14:paraId="30B986D9">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2.供应商出现下列情形之一的，不得参加政府采购活动：</w:t>
            </w:r>
          </w:p>
          <w:p w14:paraId="5876FF2F">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8288B6F">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BB6F3B3">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2.3供应商在参加政府采购活动前三年内，履行与采购人或者与采购人存在管理关系的单位的采购合同时，发生过重大实质性违约且未及时采取合理补救措施的，不得参与本次采购活动。</w:t>
            </w:r>
          </w:p>
        </w:tc>
      </w:tr>
      <w:tr w14:paraId="11E1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282767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w:t>
            </w:r>
          </w:p>
        </w:tc>
        <w:tc>
          <w:tcPr>
            <w:tcW w:w="8356" w:type="dxa"/>
            <w:vAlign w:val="center"/>
          </w:tcPr>
          <w:p w14:paraId="22076CB4">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是否接受联合体竞标：否。</w:t>
            </w:r>
          </w:p>
        </w:tc>
      </w:tr>
      <w:tr w14:paraId="08EC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2483E93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5.2</w:t>
            </w:r>
          </w:p>
        </w:tc>
        <w:tc>
          <w:tcPr>
            <w:tcW w:w="8356" w:type="dxa"/>
            <w:vAlign w:val="center"/>
          </w:tcPr>
          <w:p w14:paraId="7397B55B">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如接受联合体参加竞争性磋商，要求如下：</w:t>
            </w:r>
          </w:p>
          <w:p w14:paraId="1E1548FD">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1.两个以上竞标人可以组成一个竞标联合体，以一个竞标人的身份共同参加竞标，联合体竞标人的名称应统一按“XXX公司与XXX公司的联合体”的规则填写。</w:t>
            </w:r>
          </w:p>
          <w:p w14:paraId="319DDF2A">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联合体形式参加竞标的，联合体各方均必须具备《中华人民共和国政府采购法》第二十二条第一款规定的基本条件（涉及行政许可范围的内容，联合体各方均应具备相应资质）。本项目有特殊要求规定竞标人特定条件的，联合体各方中至少有一方必须符合采购文件“4.本项目的特定条件”。</w:t>
            </w:r>
          </w:p>
          <w:p w14:paraId="10870C27">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27E9E8FF">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4.以联合体形式参加政府采购活动的，联合体各方不得再单独参加或者与其他</w:t>
            </w:r>
            <w:r>
              <w:rPr>
                <w:rFonts w:hint="eastAsia" w:ascii="宋体" w:hAnsi="宋体" w:eastAsia="宋体"/>
                <w:color w:val="000000" w:themeColor="text1"/>
                <w:szCs w:val="21"/>
                <w14:textFill>
                  <w14:solidFill>
                    <w14:schemeClr w14:val="tx1"/>
                  </w14:solidFill>
                </w14:textFill>
              </w:rPr>
              <w:t>供应商</w:t>
            </w:r>
            <w:r>
              <w:rPr>
                <w:rFonts w:hint="eastAsia" w:ascii="宋体" w:hAnsi="宋体"/>
                <w:color w:val="000000" w:themeColor="text1"/>
                <w:szCs w:val="21"/>
                <w14:textFill>
                  <w14:solidFill>
                    <w14:schemeClr w14:val="tx1"/>
                  </w14:solidFill>
                </w14:textFill>
              </w:rPr>
              <w:t>另外组成联合体参加同一合同项下的政府采购活动，否则与之相关的响应文件作废。</w:t>
            </w:r>
          </w:p>
          <w:p w14:paraId="539C3449">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5.联合体中有同类资质的竞标人按照联合体分工承担相同工作的，应当按照资质等级较低的竞标人确定资质等级。</w:t>
            </w:r>
          </w:p>
          <w:p w14:paraId="2A8EB075">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6.联合体竞标业绩、履约能力，联合体各方提供均可计算。</w:t>
            </w:r>
          </w:p>
          <w:p w14:paraId="3F144D79">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7.联合体各方均应按照采购文件的规定提交资格证明文件。</w:t>
            </w:r>
          </w:p>
        </w:tc>
      </w:tr>
      <w:tr w14:paraId="584E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055B4914">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6.2</w:t>
            </w:r>
          </w:p>
        </w:tc>
        <w:tc>
          <w:tcPr>
            <w:tcW w:w="8356" w:type="dxa"/>
            <w:vAlign w:val="center"/>
          </w:tcPr>
          <w:p w14:paraId="1A0F3A24">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不允许分包</w:t>
            </w:r>
          </w:p>
          <w:p w14:paraId="5536418E">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□允许分包</w:t>
            </w:r>
          </w:p>
          <w:p w14:paraId="1D7DD38F">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分包内容：</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7F29C8CC">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分包金额或者比例：</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01092EA1">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分包供应商必须具备的资质：</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tc>
      </w:tr>
      <w:tr w14:paraId="5276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4EABE9D">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12.1.1</w:t>
            </w:r>
          </w:p>
        </w:tc>
        <w:tc>
          <w:tcPr>
            <w:tcW w:w="8356" w:type="dxa"/>
            <w:vAlign w:val="center"/>
          </w:tcPr>
          <w:p w14:paraId="4C9F74E3">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资格证明文件</w:t>
            </w:r>
          </w:p>
          <w:p w14:paraId="1C53F8DE">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1.供应商为法人或者其他组织的，提供营业执照等证明文件复印件（如营业执照或者事业单位法人证书或者执业许可证等）；</w:t>
            </w:r>
            <w:r>
              <w:rPr>
                <w:rFonts w:hint="eastAsia" w:ascii="宋体" w:hAnsi="宋体"/>
                <w:b/>
                <w:color w:val="000000" w:themeColor="text1"/>
                <w:szCs w:val="21"/>
                <w14:textFill>
                  <w14:solidFill>
                    <w14:schemeClr w14:val="tx1"/>
                  </w14:solidFill>
                </w14:textFill>
              </w:rPr>
              <w:t>（必须提供，否则响应文件按无效处理）</w:t>
            </w:r>
          </w:p>
          <w:p w14:paraId="5C7F0C4D">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2.供应商依法缴纳税收的相关材料（</w:t>
            </w:r>
            <w:bookmarkStart w:id="8" w:name="OLE_LINK11"/>
            <w:bookmarkStart w:id="9" w:name="OLE_LINK12"/>
            <w:r>
              <w:rPr>
                <w:rFonts w:hint="eastAsia" w:ascii="宋体" w:hAnsi="宋体"/>
                <w:color w:val="000000" w:themeColor="text1"/>
                <w:szCs w:val="21"/>
                <w14:textFill>
                  <w14:solidFill>
                    <w14:schemeClr w14:val="tx1"/>
                  </w14:solidFill>
                </w14:textFill>
              </w:rPr>
              <w:t>竞标截止日期前半年</w:t>
            </w:r>
            <w:bookmarkEnd w:id="8"/>
            <w:bookmarkEnd w:id="9"/>
            <w:r>
              <w:rPr>
                <w:rFonts w:hint="eastAsia" w:ascii="宋体" w:hAnsi="宋体"/>
                <w:color w:val="000000" w:themeColor="text1"/>
                <w:szCs w:val="21"/>
                <w14:textFill>
                  <w14:solidFill>
                    <w14:schemeClr w14:val="tx1"/>
                  </w14:solidFill>
                </w14:textFill>
              </w:rPr>
              <w:t>内任意一个月的依法缴纳税收的凭据复印件；依法免税的，必须提供相应文件证明其依法免税。从成立之日起到响应文件提交截止时间止不足要求月数的，只需提供从成立之日起的依法缴纳税收相应证明文件）；</w:t>
            </w:r>
            <w:r>
              <w:rPr>
                <w:rFonts w:hint="eastAsia" w:ascii="宋体" w:hAnsi="宋体"/>
                <w:b/>
                <w:color w:val="000000" w:themeColor="text1"/>
                <w:szCs w:val="21"/>
                <w14:textFill>
                  <w14:solidFill>
                    <w14:schemeClr w14:val="tx1"/>
                  </w14:solidFill>
                </w14:textFill>
              </w:rPr>
              <w:t>（必须提供，否则响应文件按无效处理）</w:t>
            </w:r>
          </w:p>
          <w:p w14:paraId="1107D3E5">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依法缴纳社会保障资金的相关材料[竞标截止日期前半年内任意一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hint="eastAsia" w:ascii="宋体" w:hAnsi="宋体"/>
                <w:b/>
                <w:color w:val="000000" w:themeColor="text1"/>
                <w:szCs w:val="21"/>
                <w14:textFill>
                  <w14:solidFill>
                    <w14:schemeClr w14:val="tx1"/>
                  </w14:solidFill>
                </w14:textFill>
              </w:rPr>
              <w:t>（必须提供，否则响应文件按无效处理）</w:t>
            </w:r>
          </w:p>
          <w:p w14:paraId="7458BD92">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4.供应商财务状况报告及供应商财务状况承诺书（格式后附）（202</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年度财务报表复印件，或者银行出具的资信证明，或者中国人民银行征信中心出具的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得超过一年）；</w:t>
            </w:r>
            <w:r>
              <w:rPr>
                <w:rFonts w:hint="eastAsia" w:ascii="宋体" w:hAnsi="宋体"/>
                <w:b/>
                <w:color w:val="000000" w:themeColor="text1"/>
                <w:szCs w:val="21"/>
                <w14:textFill>
                  <w14:solidFill>
                    <w14:schemeClr w14:val="tx1"/>
                  </w14:solidFill>
                </w14:textFill>
              </w:rPr>
              <w:t>（必须提供，否则响应文件按无效处理）</w:t>
            </w:r>
          </w:p>
          <w:p w14:paraId="0B6D91E3">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5.供应商直接控股、管理关系信息表（格式后附）；</w:t>
            </w:r>
            <w:r>
              <w:rPr>
                <w:rFonts w:hint="eastAsia" w:ascii="宋体" w:hAnsi="宋体"/>
                <w:b/>
                <w:color w:val="000000" w:themeColor="text1"/>
                <w:szCs w:val="21"/>
                <w14:textFill>
                  <w14:solidFill>
                    <w14:schemeClr w14:val="tx1"/>
                  </w14:solidFill>
                </w14:textFill>
              </w:rPr>
              <w:t>（必须提供，否则响应文件按无效处理）</w:t>
            </w:r>
          </w:p>
          <w:p w14:paraId="05827115">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6.竞标声明（格式后附）；</w:t>
            </w:r>
            <w:r>
              <w:rPr>
                <w:rFonts w:hint="eastAsia" w:ascii="宋体" w:hAnsi="宋体"/>
                <w:b/>
                <w:color w:val="000000" w:themeColor="text1"/>
                <w:szCs w:val="21"/>
                <w14:textFill>
                  <w14:solidFill>
                    <w14:schemeClr w14:val="tx1"/>
                  </w14:solidFill>
                </w14:textFill>
              </w:rPr>
              <w:t>（必须提供，否则响应文件按无效处理）</w:t>
            </w:r>
          </w:p>
          <w:p w14:paraId="6399100C">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竞争性磋商公告对应的特定资格要求设置供应商提供的资格证明材料；</w:t>
            </w:r>
            <w:r>
              <w:rPr>
                <w:rFonts w:hint="eastAsia" w:ascii="宋体" w:hAnsi="宋体"/>
                <w:b/>
                <w:color w:val="000000" w:themeColor="text1"/>
                <w:szCs w:val="21"/>
                <w14:textFill>
                  <w14:solidFill>
                    <w14:schemeClr w14:val="tx1"/>
                  </w14:solidFill>
                </w14:textFill>
              </w:rPr>
              <w:t>（必须提供，否则响应文件按无效处理）</w:t>
            </w:r>
          </w:p>
          <w:p w14:paraId="7838EE45">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具有以下资质并处于有效状态：具备电力工程施工总承包三级及以上资质，同时具备三级以上（含三级）承装(修、试)电力设施许可证。并具有有效的安全生产许可证，并在人员、设备、资金等方面具备相应的施工能力。</w:t>
            </w:r>
          </w:p>
          <w:p w14:paraId="3B19BD62">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（2）拟投入本项目的项目经理须具备</w:t>
            </w:r>
            <w:r>
              <w:rPr>
                <w:rFonts w:hint="eastAsia" w:ascii="宋体" w:hAnsi="宋体"/>
                <w:color w:val="000000" w:themeColor="text1"/>
                <w:szCs w:val="21"/>
                <w:lang w:eastAsia="zh-CN"/>
                <w14:textFill>
                  <w14:solidFill>
                    <w14:schemeClr w14:val="tx1"/>
                  </w14:solidFill>
                </w14:textFill>
              </w:rPr>
              <w:t>机电工程专业二级（含）以上</w:t>
            </w:r>
            <w:r>
              <w:rPr>
                <w:rFonts w:hint="eastAsia" w:ascii="宋体" w:hAnsi="宋体"/>
                <w:color w:val="000000" w:themeColor="text1"/>
                <w:szCs w:val="21"/>
                <w14:textFill>
                  <w14:solidFill>
                    <w14:schemeClr w14:val="tx1"/>
                  </w14:solidFill>
                </w14:textFill>
              </w:rPr>
              <w:t>注册建造师执业资格，并持有省级或省级以上行政主管部门或其授权部门（机构）颁发的B类安全生产考核合格证书。本项目不接受有在建、已中标（成交）未开工或已列为其他项目中标候选人第一名的建造师作为项目经理（符合《广西壮族自治区建筑市场诚信卡管理暂行办法》第十六条第一款及桂建管﹝2016﹞70号、桂建管〔2020〕11号文除外）。</w:t>
            </w:r>
          </w:p>
          <w:p w14:paraId="2F9F11C1">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（3）专职安全生产管理人员要求：专职安全生产管理人员须具备有效的安全生产考核合格证书（C类），人数符合</w:t>
            </w:r>
            <w:r>
              <w:rPr>
                <w:rFonts w:hint="eastAsia" w:ascii="宋体" w:hAnsi="宋体"/>
                <w:color w:val="000000" w:themeColor="text1"/>
                <w:szCs w:val="21"/>
                <w:lang w:eastAsia="zh-CN"/>
                <w14:textFill>
                  <w14:solidFill>
                    <w14:schemeClr w14:val="tx1"/>
                  </w14:solidFill>
                </w14:textFill>
              </w:rPr>
              <w:t>住房和城乡建设部关于印发《建筑施工企业、工程项目安全生产管理机构设置及安全生产管理人员配备办法》的通知（建质规〔2025〕3号）</w:t>
            </w:r>
            <w:r>
              <w:rPr>
                <w:rFonts w:hint="eastAsia" w:ascii="宋体" w:hAnsi="宋体"/>
                <w:color w:val="000000" w:themeColor="text1"/>
                <w:szCs w:val="21"/>
                <w14:textFill>
                  <w14:solidFill>
                    <w14:schemeClr w14:val="tx1"/>
                  </w14:solidFill>
                </w14:textFill>
              </w:rPr>
              <w:t>的规定不少于1人。</w:t>
            </w:r>
          </w:p>
          <w:p w14:paraId="76D0D819">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8</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除磋商文件规定必须提供以外，供应商认为需要提供的其他证明材料</w:t>
            </w:r>
            <w:r>
              <w:rPr>
                <w:rFonts w:hint="eastAsia" w:ascii="宋体" w:hAnsi="宋体"/>
                <w:color w:val="000000" w:themeColor="text1"/>
                <w:szCs w:val="21"/>
                <w:lang w:eastAsia="zh-CN"/>
                <w14:textFill>
                  <w14:solidFill>
                    <w14:schemeClr w14:val="tx1"/>
                  </w14:solidFill>
                </w14:textFill>
              </w:rPr>
              <w:t>。</w:t>
            </w:r>
          </w:p>
          <w:p w14:paraId="44FF24DA">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w:t>
            </w:r>
          </w:p>
          <w:p w14:paraId="0B359D16">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1.以上标明“必须提供”的材料属于复印件的，必须加盖供应商公章，否则响应文件按无效响应处理。</w:t>
            </w:r>
          </w:p>
          <w:p w14:paraId="22D7F8F6">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2.联合体竞标时，第1-5项资格证明文件联合体各方均必须分别提供，联合体各方分别盖章和签字，否则响应文件按无效响应处理。</w:t>
            </w:r>
          </w:p>
        </w:tc>
      </w:tr>
      <w:tr w14:paraId="65AD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2E4C2BBA">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12.1.2</w:t>
            </w:r>
          </w:p>
        </w:tc>
        <w:tc>
          <w:tcPr>
            <w:tcW w:w="8356" w:type="dxa"/>
            <w:vAlign w:val="center"/>
          </w:tcPr>
          <w:p w14:paraId="3B364BF9">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报价文件</w:t>
            </w:r>
          </w:p>
          <w:p w14:paraId="2D0D5B49">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1.竞标函及竞标函附录（格式后附）；</w:t>
            </w:r>
            <w:r>
              <w:rPr>
                <w:rFonts w:hint="eastAsia" w:ascii="宋体" w:hAnsi="宋体"/>
                <w:b/>
                <w:color w:val="000000" w:themeColor="text1"/>
                <w:szCs w:val="21"/>
                <w14:textFill>
                  <w14:solidFill>
                    <w14:schemeClr w14:val="tx1"/>
                  </w14:solidFill>
                </w14:textFill>
              </w:rPr>
              <w:t>（必须提供，否则响应文件按无效处理）</w:t>
            </w:r>
          </w:p>
          <w:p w14:paraId="7473D276">
            <w:pPr>
              <w:spacing w:line="360" w:lineRule="auto"/>
              <w:jc w:val="left"/>
              <w:rPr>
                <w:rFonts w:hint="eastAsia" w:ascii="宋体" w:hAnsi="宋体"/>
                <w:b/>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.竞标报价表（格式后附）；</w:t>
            </w:r>
            <w:r>
              <w:rPr>
                <w:rFonts w:hint="eastAsia" w:ascii="宋体" w:hAnsi="宋体"/>
                <w:b/>
                <w:color w:val="000000" w:themeColor="text1"/>
                <w:szCs w:val="21"/>
                <w14:textFill>
                  <w14:solidFill>
                    <w14:schemeClr w14:val="tx1"/>
                  </w14:solidFill>
                </w14:textFill>
              </w:rPr>
              <w:t>（必须提供，否则响应文件按无效处理）</w:t>
            </w:r>
          </w:p>
          <w:p w14:paraId="1A5DFBFF">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.《中小企业声明函》或《残疾人福利性单位声明函》或监狱企业证明（由省级以上监狱管理局、戒毒管理局（含新疆生产建设兵团）出具的属于监狱企业的证明文件）；（如有请提供）</w:t>
            </w:r>
          </w:p>
          <w:p w14:paraId="22991452">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.供应商认为需要提供的其他有关资料。（如有请提供）</w:t>
            </w:r>
          </w:p>
        </w:tc>
      </w:tr>
      <w:tr w14:paraId="1772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39C34A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12.1.3</w:t>
            </w:r>
          </w:p>
        </w:tc>
        <w:tc>
          <w:tcPr>
            <w:tcW w:w="8356" w:type="dxa"/>
            <w:vAlign w:val="center"/>
          </w:tcPr>
          <w:p w14:paraId="5A9C5430">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商务技术文件</w:t>
            </w:r>
          </w:p>
          <w:p w14:paraId="3A56A2C2">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1.无串通参加竞争性磋商行为的承诺函（格式后附）；</w:t>
            </w:r>
            <w:r>
              <w:rPr>
                <w:rFonts w:hint="eastAsia" w:ascii="宋体" w:hAnsi="宋体"/>
                <w:b/>
                <w:color w:val="000000" w:themeColor="text1"/>
                <w:szCs w:val="21"/>
                <w14:textFill>
                  <w14:solidFill>
                    <w14:schemeClr w14:val="tx1"/>
                  </w14:solidFill>
                </w14:textFill>
              </w:rPr>
              <w:t>（必须提供，否则响应文件按无效处理）</w:t>
            </w:r>
          </w:p>
          <w:p w14:paraId="28AEC6D8">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2.法定代表人身份证明书及法定代表人有效身份证正反面复印件（格式后附）；</w:t>
            </w:r>
            <w:r>
              <w:rPr>
                <w:rFonts w:hint="eastAsia" w:ascii="宋体" w:hAnsi="宋体"/>
                <w:b/>
                <w:color w:val="000000" w:themeColor="text1"/>
                <w:szCs w:val="21"/>
                <w14:textFill>
                  <w14:solidFill>
                    <w14:schemeClr w14:val="tx1"/>
                  </w14:solidFill>
                </w14:textFill>
              </w:rPr>
              <w:t>（必须提供，否则响应文件按无效处理）</w:t>
            </w:r>
          </w:p>
          <w:p w14:paraId="540F0231">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3.授权委托书及委托代理人有效身份证正反面复印件（格式后附）；</w:t>
            </w:r>
            <w:r>
              <w:rPr>
                <w:rFonts w:hint="eastAsia" w:ascii="宋体" w:hAnsi="宋体"/>
                <w:b/>
                <w:color w:val="000000" w:themeColor="text1"/>
                <w:szCs w:val="21"/>
                <w14:textFill>
                  <w14:solidFill>
                    <w14:schemeClr w14:val="tx1"/>
                  </w14:solidFill>
                </w14:textFill>
              </w:rPr>
              <w:t>（委托时必须提供，否则响应文件按无效处理）</w:t>
            </w:r>
          </w:p>
          <w:p w14:paraId="5ED3F4B4">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4.磋商保证金提交凭证；</w:t>
            </w:r>
            <w:r>
              <w:rPr>
                <w:rFonts w:hint="eastAsia" w:ascii="宋体" w:hAnsi="宋体"/>
                <w:b/>
                <w:color w:val="000000" w:themeColor="text1"/>
                <w:szCs w:val="21"/>
                <w14:textFill>
                  <w14:solidFill>
                    <w14:schemeClr w14:val="tx1"/>
                  </w14:solidFill>
                </w14:textFill>
              </w:rPr>
              <w:t>（如要求提交磋商保证金的则必须提供，否则响应文件按无效处理）</w:t>
            </w:r>
          </w:p>
          <w:p w14:paraId="3CCA2002">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5.建筑材料和设备节能环保要求承诺书（格式后附）</w:t>
            </w:r>
            <w:r>
              <w:rPr>
                <w:rFonts w:hint="eastAsia" w:ascii="宋体" w:hAnsi="宋体"/>
                <w:b/>
                <w:color w:val="000000" w:themeColor="text1"/>
                <w:szCs w:val="21"/>
                <w14:textFill>
                  <w14:solidFill>
                    <w14:schemeClr w14:val="tx1"/>
                  </w14:solidFill>
                </w14:textFill>
              </w:rPr>
              <w:t>；（必须提供，否则响应文件按无效响应处理）</w:t>
            </w:r>
          </w:p>
          <w:p w14:paraId="36067AC9">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s="宋体"/>
                <w:szCs w:val="21"/>
                <w:lang w:val="en-US" w:eastAsia="zh-CN"/>
              </w:rPr>
              <w:t>6.</w:t>
            </w:r>
            <w:r>
              <w:rPr>
                <w:rFonts w:hint="eastAsia" w:ascii="宋体" w:hAnsi="宋体" w:cs="宋体"/>
                <w:szCs w:val="21"/>
              </w:rPr>
              <w:t>总工程量承诺书（格式自拟）；</w:t>
            </w:r>
            <w:r>
              <w:rPr>
                <w:rFonts w:hint="eastAsia" w:ascii="宋体" w:hAnsi="宋体" w:cs="宋体"/>
                <w:b/>
                <w:bCs/>
                <w:szCs w:val="21"/>
              </w:rPr>
              <w:t>（必须提供，格式自拟，承诺书须包含有“如我单位成交，开工30日历天内现场已完成工程量未达到总工程量的60%的，采购人有权委托其他施工单位共同完成剩余工程。如成交人拒不配合的，采购人有权解除合同，并向采购人支付合同价5%的违约金”的内容，否则响应文件按无效响应处理）</w:t>
            </w:r>
            <w:r>
              <w:rPr>
                <w:rFonts w:hint="eastAsia" w:ascii="宋体" w:hAnsi="宋体" w:cs="宋体"/>
                <w:szCs w:val="21"/>
              </w:rPr>
              <w:t>；</w:t>
            </w:r>
          </w:p>
          <w:p w14:paraId="045F949B">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.商务条款偏离表（格式后附）；</w:t>
            </w:r>
            <w:r>
              <w:rPr>
                <w:rFonts w:hint="eastAsia" w:ascii="宋体" w:hAnsi="宋体"/>
                <w:b/>
                <w:color w:val="000000" w:themeColor="text1"/>
                <w:szCs w:val="21"/>
                <w14:textFill>
                  <w14:solidFill>
                    <w14:schemeClr w14:val="tx1"/>
                  </w14:solidFill>
                </w14:textFill>
              </w:rPr>
              <w:t>（必须提供，否则响应文件按无效响应处理）</w:t>
            </w:r>
          </w:p>
          <w:p w14:paraId="61D4B168">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14:textFill>
                  <w14:solidFill>
                    <w14:schemeClr w14:val="tx1"/>
                  </w14:solidFill>
                </w14:textFill>
              </w:rPr>
              <w:t>.技术要求偏离表（格式后附）；</w:t>
            </w:r>
            <w:r>
              <w:rPr>
                <w:rFonts w:hint="eastAsia" w:ascii="宋体" w:hAnsi="宋体"/>
                <w:b/>
                <w:color w:val="000000" w:themeColor="text1"/>
                <w:szCs w:val="21"/>
                <w14:textFill>
                  <w14:solidFill>
                    <w14:schemeClr w14:val="tx1"/>
                  </w14:solidFill>
                </w14:textFill>
              </w:rPr>
              <w:t>（必须提供，否则响应文件按无效响应处理）</w:t>
            </w:r>
          </w:p>
          <w:p w14:paraId="37A6DE57">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9</w:t>
            </w:r>
            <w:r>
              <w:rPr>
                <w:rFonts w:hint="eastAsia" w:ascii="宋体" w:hAnsi="宋体"/>
                <w:color w:val="000000" w:themeColor="text1"/>
                <w:szCs w:val="21"/>
                <w14:textFill>
                  <w14:solidFill>
                    <w14:schemeClr w14:val="tx1"/>
                  </w14:solidFill>
                </w14:textFill>
              </w:rPr>
              <w:t>.施工组织设计（格式自拟）；</w:t>
            </w:r>
            <w:r>
              <w:rPr>
                <w:rFonts w:hint="eastAsia" w:ascii="宋体" w:hAnsi="宋体"/>
                <w:b/>
                <w:color w:val="000000" w:themeColor="text1"/>
                <w:szCs w:val="21"/>
                <w14:textFill>
                  <w14:solidFill>
                    <w14:schemeClr w14:val="tx1"/>
                  </w14:solidFill>
                </w14:textFill>
              </w:rPr>
              <w:t>（必须提供，否则响应文件按无效处理）</w:t>
            </w:r>
          </w:p>
          <w:p w14:paraId="4E3F9274">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10</w:t>
            </w:r>
            <w:r>
              <w:rPr>
                <w:rFonts w:hint="eastAsia" w:ascii="宋体" w:hAnsi="宋体"/>
                <w:color w:val="000000" w:themeColor="text1"/>
                <w:szCs w:val="21"/>
                <w14:textFill>
                  <w14:solidFill>
                    <w14:schemeClr w14:val="tx1"/>
                  </w14:solidFill>
                </w14:textFill>
              </w:rPr>
              <w:t>.拟分包项目情况表（格式自拟）；</w:t>
            </w:r>
            <w:r>
              <w:rPr>
                <w:rFonts w:hint="eastAsia" w:ascii="宋体" w:hAnsi="宋体"/>
                <w:b/>
                <w:color w:val="000000" w:themeColor="text1"/>
                <w:szCs w:val="21"/>
                <w14:textFill>
                  <w14:solidFill>
                    <w14:schemeClr w14:val="tx1"/>
                  </w14:solidFill>
                </w14:textFill>
              </w:rPr>
              <w:t>（如有）</w:t>
            </w:r>
          </w:p>
          <w:p w14:paraId="768A728C">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11</w:t>
            </w:r>
            <w:r>
              <w:rPr>
                <w:rFonts w:hint="eastAsia" w:ascii="宋体" w:hAnsi="宋体"/>
                <w:color w:val="000000" w:themeColor="text1"/>
                <w:szCs w:val="21"/>
                <w14:textFill>
                  <w14:solidFill>
                    <w14:schemeClr w14:val="tx1"/>
                  </w14:solidFill>
                </w14:textFill>
              </w:rPr>
              <w:t>.项目管理机构配备情况表及主要人员简历表（格式自拟）；</w:t>
            </w:r>
            <w:r>
              <w:rPr>
                <w:rFonts w:hint="eastAsia" w:ascii="宋体" w:hAnsi="宋体"/>
                <w:b/>
                <w:color w:val="000000" w:themeColor="text1"/>
                <w:szCs w:val="21"/>
                <w14:textFill>
                  <w14:solidFill>
                    <w14:schemeClr w14:val="tx1"/>
                  </w14:solidFill>
                </w14:textFill>
              </w:rPr>
              <w:t>（必须提供，否则响应文件按无效处理）</w:t>
            </w:r>
          </w:p>
          <w:p w14:paraId="751648F5">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.供应商业绩一览表（格式后附）；</w:t>
            </w:r>
            <w:r>
              <w:rPr>
                <w:rFonts w:hint="eastAsia" w:ascii="宋体" w:hAnsi="宋体"/>
                <w:b/>
                <w:color w:val="000000" w:themeColor="text1"/>
                <w:szCs w:val="21"/>
                <w14:textFill>
                  <w14:solidFill>
                    <w14:schemeClr w14:val="tx1"/>
                  </w14:solidFill>
                </w14:textFill>
              </w:rPr>
              <w:t>（如有）</w:t>
            </w:r>
          </w:p>
          <w:p w14:paraId="4E672B83">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.供应商认为需要提供的其他有关资料。</w:t>
            </w:r>
          </w:p>
          <w:p w14:paraId="66FD1DF3">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注：以上标明“必须提供”的材料属于复印件的，必须加盖供应商公章，否则响应文件按无效处理。</w:t>
            </w:r>
          </w:p>
        </w:tc>
      </w:tr>
      <w:tr w14:paraId="16E0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2C10F41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15.1</w:t>
            </w:r>
          </w:p>
        </w:tc>
        <w:tc>
          <w:tcPr>
            <w:tcW w:w="8356" w:type="dxa"/>
            <w:vAlign w:val="center"/>
          </w:tcPr>
          <w:p w14:paraId="21716948">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s="宋体"/>
                <w:b/>
                <w:color w:val="000000"/>
                <w:szCs w:val="21"/>
              </w:rPr>
              <w:t>竞争性磋商报价采用下浮系数报价（报价范围：0≤下浮系数＜100%），供应商应认真阅读已经采购人审定的最高限价，参与磋商即表示认可最高限价，成交后依据采购预算价（招标控制价）公布的相应的清单项目的单价乘以（1-下浮系数）进行结算，竞标人不得对采购人的采购预算价（招标控制价）中的综合单价进行修改。</w:t>
            </w:r>
          </w:p>
        </w:tc>
      </w:tr>
      <w:tr w14:paraId="04BC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4A07D71">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15.2</w:t>
            </w:r>
          </w:p>
        </w:tc>
        <w:tc>
          <w:tcPr>
            <w:tcW w:w="8356" w:type="dxa"/>
            <w:vAlign w:val="center"/>
          </w:tcPr>
          <w:p w14:paraId="5BF9443F">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竞争性磋商报价包括为实施和完成合同工程所需的劳务、材料、机械、质检（自检）、安装、缺陷修复、管理、保险、税费、利润以及安全文明施工费等费用，以及合同明示或暗示的所有责任、义务和一般风险。</w:t>
            </w:r>
          </w:p>
        </w:tc>
      </w:tr>
      <w:tr w14:paraId="6046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3CD1641A">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15.3</w:t>
            </w:r>
          </w:p>
        </w:tc>
        <w:tc>
          <w:tcPr>
            <w:tcW w:w="8356" w:type="dxa"/>
            <w:vAlign w:val="center"/>
          </w:tcPr>
          <w:p w14:paraId="47FA16BB">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本工程增值税计税方法：</w:t>
            </w:r>
            <w:r>
              <w:rPr>
                <w:rFonts w:hint="eastAsia" w:ascii="宋体" w:hAnsi="宋体"/>
                <w:color w:val="000000" w:themeColor="text1"/>
                <w:szCs w:val="21"/>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一般计税法；□简易计税法</w:t>
            </w:r>
          </w:p>
        </w:tc>
      </w:tr>
      <w:tr w14:paraId="17C7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A889D2A">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w:t>
            </w:r>
          </w:p>
        </w:tc>
        <w:tc>
          <w:tcPr>
            <w:tcW w:w="8356" w:type="dxa"/>
            <w:vAlign w:val="center"/>
          </w:tcPr>
          <w:p w14:paraId="06020D5B">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竞争性磋商有效期：自首次响应文件提交截止之日起120日。</w:t>
            </w:r>
          </w:p>
        </w:tc>
      </w:tr>
      <w:tr w14:paraId="62C1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D077148">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17.1</w:t>
            </w:r>
          </w:p>
        </w:tc>
        <w:tc>
          <w:tcPr>
            <w:tcW w:w="8356" w:type="dxa"/>
            <w:vAlign w:val="center"/>
          </w:tcPr>
          <w:p w14:paraId="3191C17B">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□本项目不收取磋商保证金。</w:t>
            </w:r>
          </w:p>
          <w:p w14:paraId="3FB85BDB">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本项目收取磋商保证金，具体规定如下：</w:t>
            </w:r>
          </w:p>
          <w:p w14:paraId="1EA8C809">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磋商保证金（人民币）：人民币</w:t>
            </w:r>
            <w:r>
              <w:rPr>
                <w:rFonts w:hint="eastAsia" w:ascii="宋体" w:hAnsi="宋体"/>
                <w:color w:val="000000" w:themeColor="text1"/>
                <w:szCs w:val="21"/>
                <w:lang w:val="en-US" w:eastAsia="zh-CN"/>
                <w14:textFill>
                  <w14:solidFill>
                    <w14:schemeClr w14:val="tx1"/>
                  </w14:solidFill>
                </w14:textFill>
              </w:rPr>
              <w:t>贰万伍仟元整（¥25000.00元）</w:t>
            </w:r>
            <w:r>
              <w:rPr>
                <w:rFonts w:hint="eastAsia" w:ascii="宋体" w:hAnsi="宋体"/>
                <w:color w:val="000000" w:themeColor="text1"/>
                <w:szCs w:val="21"/>
                <w14:textFill>
                  <w14:solidFill>
                    <w14:schemeClr w14:val="tx1"/>
                  </w14:solidFill>
                </w14:textFill>
              </w:rPr>
              <w:t>。</w:t>
            </w:r>
          </w:p>
          <w:p w14:paraId="4C0ED530">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磋商保证金的缴纳账号信息：</w:t>
            </w:r>
          </w:p>
          <w:p w14:paraId="17132BB2">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开户名称：广西建设工程机电设备招标中心有限公司</w:t>
            </w:r>
            <w:r>
              <w:rPr>
                <w:rFonts w:hint="eastAsia" w:ascii="宋体" w:hAnsi="宋体"/>
                <w:color w:val="000000" w:themeColor="text1"/>
                <w:szCs w:val="21"/>
                <w:lang w:eastAsia="zh-CN"/>
                <w14:textFill>
                  <w14:solidFill>
                    <w14:schemeClr w14:val="tx1"/>
                  </w14:solidFill>
                </w14:textFill>
              </w:rPr>
              <w:t>；</w:t>
            </w:r>
          </w:p>
          <w:p w14:paraId="64028E51">
            <w:pPr>
              <w:spacing w:line="360" w:lineRule="auto"/>
              <w:jc w:val="left"/>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开户银行：招商银行南宁分行营业部</w:t>
            </w:r>
            <w:r>
              <w:rPr>
                <w:rFonts w:hint="eastAsia" w:ascii="宋体" w:hAnsi="宋体"/>
                <w:color w:val="000000" w:themeColor="text1"/>
                <w:szCs w:val="21"/>
                <w:lang w:eastAsia="zh-CN"/>
                <w14:textFill>
                  <w14:solidFill>
                    <w14:schemeClr w14:val="tx1"/>
                  </w14:solidFill>
                </w14:textFill>
              </w:rPr>
              <w:t>；</w:t>
            </w:r>
          </w:p>
          <w:p w14:paraId="489503C0">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银行账号：7719 0142 3310 201</w:t>
            </w:r>
            <w:r>
              <w:rPr>
                <w:rFonts w:hint="eastAsia" w:ascii="宋体" w:hAnsi="宋体"/>
                <w:color w:val="000000" w:themeColor="text1"/>
                <w:szCs w:val="21"/>
                <w:lang w:eastAsia="zh-CN"/>
                <w14:textFill>
                  <w14:solidFill>
                    <w14:schemeClr w14:val="tx1"/>
                  </w14:solidFill>
                </w14:textFill>
              </w:rPr>
              <w:t>。</w:t>
            </w:r>
          </w:p>
          <w:p w14:paraId="3880BE26">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相关要求：</w:t>
            </w:r>
          </w:p>
          <w:p w14:paraId="3E0B8C19">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磋商保证金的缴纳方式：银行转账、支票、汇票、本票或者金融、担保金融、担保机构出具的保函，禁止采用现钞方式。采用银行转账方式的，在响应文件提交截止时间前交至指定账户并且到账；采用支票、汇票、本票或者保函等方式的，在响应文件提交截止时间前，供应商必须提交支票、汇票、本票或者保函原件。否则视为无效磋商保证金。</w:t>
            </w:r>
          </w:p>
          <w:p w14:paraId="5C0A822F">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磋商保证金采用银行转账缴纳方式的，在响应文件提交截止时间前交至指定账户并且到账，供应商应将银行转账底单的复印件作为磋商保证金缴纳凭证，放置于商务技术文件中，否则响应文件按无效响应处理。</w:t>
            </w:r>
          </w:p>
          <w:p w14:paraId="5FC68484">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磋商保证金采用支票、汇票、本票或者金融、担保机构出具的保函缴纳方式的，供应商应将支票、汇票、本票或者金融、担保机构出具的保函的复印件作为磋商保证金缴纳凭证，放置于商务技术文件中，否则响应文件按无效响应处理。供应商必须在首次响应文件提交截止时间前将支票、汇票、本票或者金融、担保机构出具的保函原件提交给采购代理机构，由采购代理机构向供应商出具回执，并妥善保管。现场提交或邮寄地址：</w:t>
            </w:r>
            <w:r>
              <w:rPr>
                <w:rFonts w:hint="eastAsia" w:ascii="宋体" w:hAnsi="宋体"/>
                <w:color w:val="000000" w:themeColor="text1"/>
                <w:szCs w:val="21"/>
                <w:lang w:eastAsia="zh-CN"/>
                <w14:textFill>
                  <w14:solidFill>
                    <w14:schemeClr w14:val="tx1"/>
                  </w14:solidFill>
                </w14:textFill>
              </w:rPr>
              <w:t>广西壮族自治区南宁市青秀区枫林路18号广西国控大厦裙楼三层</w:t>
            </w:r>
            <w:r>
              <w:rPr>
                <w:rFonts w:hint="eastAsia" w:ascii="宋体" w:hAnsi="宋体"/>
                <w:color w:val="000000" w:themeColor="text1"/>
                <w:szCs w:val="21"/>
                <w:lang w:val="en-US" w:eastAsia="zh-CN"/>
                <w14:textFill>
                  <w14:solidFill>
                    <w14:schemeClr w14:val="tx1"/>
                  </w14:solidFill>
                </w14:textFill>
              </w:rPr>
              <w:t>招标五部</w:t>
            </w:r>
            <w:r>
              <w:rPr>
                <w:rFonts w:hint="eastAsia" w:ascii="宋体" w:hAnsi="宋体"/>
                <w:color w:val="000000" w:themeColor="text1"/>
                <w:szCs w:val="21"/>
                <w14:textFill>
                  <w14:solidFill>
                    <w14:schemeClr w14:val="tx1"/>
                  </w14:solidFill>
                </w14:textFill>
              </w:rPr>
              <w:t>；项目联系人：</w:t>
            </w:r>
            <w:r>
              <w:rPr>
                <w:rFonts w:hint="eastAsia" w:ascii="宋体" w:hAnsi="宋体"/>
                <w:color w:val="000000" w:themeColor="text1"/>
                <w:szCs w:val="21"/>
                <w:lang w:val="en-US" w:eastAsia="zh-CN"/>
                <w14:textFill>
                  <w14:solidFill>
                    <w14:schemeClr w14:val="tx1"/>
                  </w14:solidFill>
                </w14:textFill>
              </w:rPr>
              <w:t>谭琦辉</w:t>
            </w:r>
            <w:r>
              <w:rPr>
                <w:rFonts w:hint="eastAsia" w:ascii="宋体" w:hAnsi="宋体"/>
                <w:color w:val="000000" w:themeColor="text1"/>
                <w:szCs w:val="21"/>
                <w14:textFill>
                  <w14:solidFill>
                    <w14:schemeClr w14:val="tx1"/>
                  </w14:solidFill>
                </w14:textFill>
              </w:rPr>
              <w:t>；电子邮箱地址：</w:t>
            </w:r>
            <w:r>
              <w:rPr>
                <w:rFonts w:hint="eastAsia" w:ascii="宋体" w:hAnsi="宋体"/>
                <w:color w:val="000000" w:themeColor="text1"/>
                <w:szCs w:val="21"/>
                <w:lang w:val="en-US" w:eastAsia="zh-CN"/>
                <w14:textFill>
                  <w14:solidFill>
                    <w14:schemeClr w14:val="tx1"/>
                  </w14:solidFill>
                </w14:textFill>
              </w:rPr>
              <w:t>564996791</w:t>
            </w:r>
            <w:r>
              <w:rPr>
                <w:rFonts w:hint="eastAsia" w:ascii="宋体" w:hAnsi="宋体"/>
                <w:color w:val="000000" w:themeColor="text1"/>
                <w:szCs w:val="21"/>
                <w14:textFill>
                  <w14:solidFill>
                    <w14:schemeClr w14:val="tx1"/>
                  </w14:solidFill>
                </w14:textFill>
              </w:rPr>
              <w:t>@qq.com</w:t>
            </w:r>
          </w:p>
          <w:p w14:paraId="691FCCD1">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2.供应商为联合体的，可以由联合体中的一方或者多方共同缴纳磋商保证金，其缴纳的保证金对联合体各方均具有约束力。</w:t>
            </w:r>
          </w:p>
          <w:p w14:paraId="0401581A">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p>
          <w:p w14:paraId="429D9FAF">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（1）磋商保证金在响应文件提交截止时间后缴纳的，或者不按规定缴纳方式缴纳的，或者未足额缴纳的（包含保函额度不足的），视为无效磋商保证金。</w:t>
            </w:r>
          </w:p>
          <w:p w14:paraId="3403C5EE">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（2）供应商采用现钞方式或者从个人账户（自然人参加竞争性磋商除外）转出的磋商保证金，视为无效磋商保证金。</w:t>
            </w:r>
          </w:p>
          <w:p w14:paraId="0FCD0EA2">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（3）支票、汇票或者本票出现无效或者背书情形的，视为无效磋商保证金。</w:t>
            </w:r>
          </w:p>
          <w:p w14:paraId="48B72827">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（4）保函有效期短于竞争性磋商有效期的，视为无效磋商保证金。</w:t>
            </w:r>
          </w:p>
          <w:p w14:paraId="358C4F10">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（5）采用银行、保险机构出具保函的，必须为无条件保函，否则视为无效磋商保证金。</w:t>
            </w:r>
          </w:p>
        </w:tc>
      </w:tr>
      <w:tr w14:paraId="7AF2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489CDB8">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w:t>
            </w:r>
          </w:p>
        </w:tc>
        <w:tc>
          <w:tcPr>
            <w:tcW w:w="8356" w:type="dxa"/>
            <w:vAlign w:val="center"/>
          </w:tcPr>
          <w:p w14:paraId="75A5F69D">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本项目不接受电子备份响应文件。</w:t>
            </w:r>
          </w:p>
        </w:tc>
      </w:tr>
      <w:tr w14:paraId="011D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2629191">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20.1</w:t>
            </w:r>
          </w:p>
        </w:tc>
        <w:tc>
          <w:tcPr>
            <w:tcW w:w="8356" w:type="dxa"/>
            <w:vAlign w:val="center"/>
          </w:tcPr>
          <w:p w14:paraId="2A773DEB">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响应文件提交截止时间：详见竞争性磋商公告。</w:t>
            </w:r>
          </w:p>
          <w:p w14:paraId="3B8F3CD5">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响应文件提交地点：详见竞争性磋商公告。</w:t>
            </w:r>
          </w:p>
        </w:tc>
      </w:tr>
      <w:tr w14:paraId="5E1B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672D9972">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24.1</w:t>
            </w:r>
          </w:p>
        </w:tc>
        <w:tc>
          <w:tcPr>
            <w:tcW w:w="8356" w:type="dxa"/>
            <w:vAlign w:val="center"/>
          </w:tcPr>
          <w:p w14:paraId="3A6C0C2A">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磋商小组的人数：</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人。</w:t>
            </w:r>
          </w:p>
        </w:tc>
      </w:tr>
      <w:tr w14:paraId="289A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E152632">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25</w:t>
            </w:r>
          </w:p>
        </w:tc>
        <w:tc>
          <w:tcPr>
            <w:tcW w:w="8356" w:type="dxa"/>
            <w:vAlign w:val="center"/>
          </w:tcPr>
          <w:p w14:paraId="6C67312A">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首次响应文件开启时间详见“竞争性磋商公告”。</w:t>
            </w:r>
          </w:p>
          <w:p w14:paraId="4DD612C4">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首次响应文件解密时间：30分钟。</w:t>
            </w:r>
          </w:p>
        </w:tc>
      </w:tr>
      <w:tr w14:paraId="4500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4224FB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26.3</w:t>
            </w:r>
          </w:p>
        </w:tc>
        <w:tc>
          <w:tcPr>
            <w:tcW w:w="8356" w:type="dxa"/>
            <w:vAlign w:val="center"/>
          </w:tcPr>
          <w:p w14:paraId="43588063">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商务要求评审中允许负偏离的条款数为0项。</w:t>
            </w:r>
          </w:p>
          <w:p w14:paraId="35422132">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技术要求评审中允许负偏离的条款数为0项。</w:t>
            </w:r>
          </w:p>
        </w:tc>
      </w:tr>
      <w:tr w14:paraId="6CDC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352682F0">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28.1</w:t>
            </w:r>
          </w:p>
        </w:tc>
        <w:tc>
          <w:tcPr>
            <w:tcW w:w="8356" w:type="dxa"/>
            <w:vAlign w:val="center"/>
          </w:tcPr>
          <w:p w14:paraId="217A0316">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□本项目不收取履约保证金。</w:t>
            </w:r>
          </w:p>
          <w:p w14:paraId="60D52AEC">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本项目收取履约保证金，具体详见第三章采购需求。</w:t>
            </w:r>
          </w:p>
        </w:tc>
      </w:tr>
      <w:tr w14:paraId="56F5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6358B53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29.1</w:t>
            </w:r>
          </w:p>
        </w:tc>
        <w:tc>
          <w:tcPr>
            <w:tcW w:w="8356" w:type="dxa"/>
            <w:vAlign w:val="center"/>
          </w:tcPr>
          <w:p w14:paraId="5D2DF373">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14:paraId="46E15A25">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1.委托代理人负责签订合同的，须携带授权委托书及委托代理人身份证原件等其他资格证件。</w:t>
            </w:r>
          </w:p>
          <w:p w14:paraId="4E4C0F56">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2.法定代表人负责签订合同的，须携带法定代表人身份证明原件及身份证原件等其他证明材料。</w:t>
            </w:r>
          </w:p>
        </w:tc>
      </w:tr>
      <w:tr w14:paraId="578B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A5323FF">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31.2</w:t>
            </w:r>
          </w:p>
        </w:tc>
        <w:tc>
          <w:tcPr>
            <w:tcW w:w="8356" w:type="dxa"/>
            <w:vAlign w:val="center"/>
          </w:tcPr>
          <w:p w14:paraId="0298BA84">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接收质疑函方式：书面形式。</w:t>
            </w:r>
          </w:p>
          <w:p w14:paraId="38381B5E">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质疑联系部门及联系方式：</w:t>
            </w:r>
            <w:r>
              <w:rPr>
                <w:rFonts w:hint="eastAsia" w:ascii="宋体" w:hAnsi="宋体"/>
                <w:color w:val="000000" w:themeColor="text1"/>
                <w:szCs w:val="21"/>
                <w:lang w:eastAsia="zh-CN"/>
                <w14:textFill>
                  <w14:solidFill>
                    <w14:schemeClr w14:val="tx1"/>
                  </w14:solidFill>
                </w14:textFill>
              </w:rPr>
              <w:t>广西建设工程机电设备招标中心有限公司</w:t>
            </w:r>
            <w:r>
              <w:rPr>
                <w:rFonts w:hint="eastAsia" w:ascii="宋体" w:hAnsi="宋体"/>
                <w:color w:val="000000" w:themeColor="text1"/>
                <w:szCs w:val="21"/>
                <w14:textFill>
                  <w14:solidFill>
                    <w14:schemeClr w14:val="tx1"/>
                  </w14:solidFill>
                </w14:textFill>
              </w:rPr>
              <w:t>。</w:t>
            </w:r>
          </w:p>
          <w:p w14:paraId="5B7EAE94">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联系电话：0771-2821389。</w:t>
            </w:r>
          </w:p>
          <w:p w14:paraId="4AEF7840">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通讯地址：</w:t>
            </w:r>
            <w:r>
              <w:rPr>
                <w:rFonts w:hint="eastAsia" w:ascii="宋体" w:hAnsi="宋体"/>
                <w:color w:val="000000" w:themeColor="text1"/>
                <w:szCs w:val="21"/>
                <w:lang w:eastAsia="zh-CN"/>
                <w14:textFill>
                  <w14:solidFill>
                    <w14:schemeClr w14:val="tx1"/>
                  </w14:solidFill>
                </w14:textFill>
              </w:rPr>
              <w:t>广西壮族自治区南宁市青秀区枫林路18号广西国控大厦裙楼三层</w:t>
            </w:r>
          </w:p>
          <w:p w14:paraId="5C522CC2">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业务时间：工作日（上午8:00-12:00；下午15:00-18:00）。</w:t>
            </w:r>
          </w:p>
        </w:tc>
      </w:tr>
      <w:tr w14:paraId="527E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30B1F6B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32.1</w:t>
            </w:r>
          </w:p>
        </w:tc>
        <w:tc>
          <w:tcPr>
            <w:tcW w:w="8356" w:type="dxa"/>
            <w:vAlign w:val="center"/>
          </w:tcPr>
          <w:p w14:paraId="36519B00">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1.采购代理费支付方式：</w:t>
            </w:r>
          </w:p>
          <w:p w14:paraId="73B41967">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本项目代理服务费由成交供应商在领取成交通知书前，一次性向采购代理机构支付。</w:t>
            </w:r>
          </w:p>
          <w:p w14:paraId="5F3F6C6B">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2.采购代理费收取标准：</w:t>
            </w:r>
          </w:p>
          <w:p w14:paraId="6E22C061">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本项目委托招标代理服务费按国家发展计划委员会《招标代理服务收费管理暂行办法》（计价格〔2002〕1980号）、《关于降低部分建设项目收费标准规范收费行为等有关问题的通知》(发改价格〔2011〕534号) 及《广西壮族自治区物价局转发国家发展改革委关于降低部分建设项目收费标准规范收费行为等有关问题的通知》（桂价费〔2011〕55号）规定，以成交价为计算基数，按相应工程类标准计取。</w:t>
            </w:r>
          </w:p>
          <w:p w14:paraId="463B3F7A">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3.采购代理费收取银行账户</w:t>
            </w:r>
          </w:p>
          <w:p w14:paraId="11F389D6">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账户名称：广西建设工程机电设备招标中心有限公司</w:t>
            </w:r>
          </w:p>
          <w:p w14:paraId="3D410539">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开户银行：招商银行南宁分行营业部</w:t>
            </w:r>
          </w:p>
          <w:p w14:paraId="5A9CF55E">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银行账号：7719 0142 3310 201</w:t>
            </w:r>
          </w:p>
        </w:tc>
      </w:tr>
      <w:tr w14:paraId="08A9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75EAB61">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33.1</w:t>
            </w:r>
          </w:p>
        </w:tc>
        <w:tc>
          <w:tcPr>
            <w:tcW w:w="8356" w:type="dxa"/>
            <w:vAlign w:val="center"/>
          </w:tcPr>
          <w:p w14:paraId="15E18B4C">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解释：构成本磋商文件的各个组成文件应互为解释，互为说明；除磋商文件中有特别规定外，仅适用于竞争性磋商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48D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6DAD532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33.2</w:t>
            </w:r>
          </w:p>
        </w:tc>
        <w:tc>
          <w:tcPr>
            <w:tcW w:w="8356" w:type="dxa"/>
            <w:vAlign w:val="center"/>
          </w:tcPr>
          <w:p w14:paraId="2D5AEEEF">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成交供应商。</w:t>
            </w:r>
          </w:p>
        </w:tc>
      </w:tr>
      <w:tr w14:paraId="27D6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016516E3">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33.3</w:t>
            </w:r>
          </w:p>
        </w:tc>
        <w:tc>
          <w:tcPr>
            <w:tcW w:w="8356" w:type="dxa"/>
            <w:vAlign w:val="center"/>
          </w:tcPr>
          <w:p w14:paraId="1E2BB917">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磋商文件中描述供应商的“公章”是指根据我国对公章的管理规定，用供应商法定主体名称制作的印章或供应商通过指定电子化政府采购平台办理数字证书（CA认证）获得的以法定主体名称制作的电子印章。除本磋商文件有特殊规定外，供应商的财务章、部门章、分公司章、工会章、合同章、投标专用章、业务专用章及银行的转账章、现金收讫章、现金付讫章等其他形式印章均不能代替公章。</w:t>
            </w:r>
          </w:p>
          <w:p w14:paraId="0E686ACC">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为其他组织或者自然人时，本磋商文件规定的法定代表人指负责人或者自然人。本磋商文件所称负责人是指参加磋商的其他组织营业执照或者执业许可证等证照上的负责人，本磋商文件所称自然人指参与磋商的自然人本人，且应具备独立承担民事责任能力，自然人应当为年满18岁以上成年人（十六周岁以上的未成年人，以自己的劳动收入为主要生活来源的，视为完全民事行为能力人）。</w:t>
            </w:r>
          </w:p>
          <w:p w14:paraId="56D5BF01">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磋商文件中描述供应商的“签字”是指供应商的法定代表人或者委托代理人在文件规定签署处签名或者指供应商通过指定电子化政府采购平台办理数字证书（CA认证）获得的以供应商法定代表人或者委托代理人姓名制作的电子印章签名的行为，私章、印鉴等其他形式均不能代替签字。</w:t>
            </w:r>
          </w:p>
          <w:p w14:paraId="610D75F8">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5C73A321">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5.自然人投标的，磋商文件规定盖公章处由自然人摁手指指印。</w:t>
            </w:r>
          </w:p>
          <w:p w14:paraId="5B460260">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6.本磋商文件所称的“以上”“以下”“以内”“届满”，包括本数；所称的“不满”“超过”“以外”，不包括本数。</w:t>
            </w:r>
          </w:p>
        </w:tc>
      </w:tr>
      <w:tr w14:paraId="1AC6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A68CDF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3.5</w:t>
            </w:r>
          </w:p>
        </w:tc>
        <w:tc>
          <w:tcPr>
            <w:tcW w:w="8356" w:type="dxa"/>
            <w:vAlign w:val="center"/>
          </w:tcPr>
          <w:p w14:paraId="01B30887">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现场踏勘：</w:t>
            </w:r>
          </w:p>
          <w:p w14:paraId="0F5BB3C3">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1.本项目不统一组织现场踏勘，供应商如需全面了解项目现场情况，可自行前往现场踏勘。如因不了解现场导致投标失误由供应商自行承担后果。</w:t>
            </w:r>
          </w:p>
          <w:p w14:paraId="4D193069">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2.供应商承担踏勘现场所发生的费用和自身安全责任。</w:t>
            </w:r>
          </w:p>
          <w:p w14:paraId="3B6D0579">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3.采购人不对供应商在踏勘现场后做出的判断和决策负责。</w:t>
            </w:r>
          </w:p>
          <w:p w14:paraId="70DE49EC">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进入校园需在“平安西大”微信公众号——校门管理——行人预约/车辆预约——填写入校人员/车辆信息，被访单位为“国有资产与实验管理处”，每个供应商最多允许2名人员入场勘查。进入校园需提前1个工作日办理入校预约申请，不提前1个工作日联系办理入校相关手续引起的一切后果，均由供应商自行承担。</w:t>
            </w:r>
          </w:p>
        </w:tc>
      </w:tr>
    </w:tbl>
    <w:p w14:paraId="5A088E00">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1ACAFDA">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4D615CD5">
      <w:pPr>
        <w:pStyle w:val="3"/>
        <w:jc w:val="center"/>
        <w:rPr>
          <w:color w:val="000000" w:themeColor="text1"/>
          <w14:textFill>
            <w14:solidFill>
              <w14:schemeClr w14:val="tx1"/>
            </w14:solidFill>
          </w14:textFill>
        </w:rPr>
      </w:pPr>
      <w:bookmarkStart w:id="10" w:name="_Toc197530106"/>
      <w:r>
        <w:rPr>
          <w:rFonts w:hint="eastAsia"/>
          <w:color w:val="000000" w:themeColor="text1"/>
          <w14:textFill>
            <w14:solidFill>
              <w14:schemeClr w14:val="tx1"/>
            </w14:solidFill>
          </w14:textFill>
        </w:rPr>
        <w:t>二、供应商须知正文</w:t>
      </w:r>
      <w:bookmarkEnd w:id="10"/>
    </w:p>
    <w:p w14:paraId="2B3342AE">
      <w:pPr>
        <w:pStyle w:val="4"/>
        <w:jc w:val="left"/>
        <w:rPr>
          <w:rFonts w:hint="eastAsia" w:ascii="宋体" w:hAnsi="宋体" w:eastAsia="宋体"/>
          <w:color w:val="000000" w:themeColor="text1"/>
          <w:sz w:val="28"/>
          <w:szCs w:val="28"/>
          <w14:textFill>
            <w14:solidFill>
              <w14:schemeClr w14:val="tx1"/>
            </w14:solidFill>
          </w14:textFill>
        </w:rPr>
      </w:pPr>
      <w:bookmarkStart w:id="11" w:name="_Toc197530107"/>
      <w:r>
        <w:rPr>
          <w:rFonts w:hint="eastAsia" w:ascii="宋体" w:hAnsi="宋体" w:eastAsia="宋体"/>
          <w:color w:val="000000" w:themeColor="text1"/>
          <w:sz w:val="28"/>
          <w:szCs w:val="28"/>
          <w14:textFill>
            <w14:solidFill>
              <w14:schemeClr w14:val="tx1"/>
            </w14:solidFill>
          </w14:textFill>
        </w:rPr>
        <w:t>（一）总则</w:t>
      </w:r>
      <w:bookmarkEnd w:id="11"/>
    </w:p>
    <w:p w14:paraId="6891C4E1">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1.适用范围</w:t>
      </w:r>
    </w:p>
    <w:p w14:paraId="3B3AEA5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E3DF0F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1.2本竞争性磋商文件（以下简称磋商文件）适用于本项目的所有采购程序和环节（法律、法规另有规定的，从其规定）。</w:t>
      </w:r>
    </w:p>
    <w:p w14:paraId="09510A65">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2.定义</w:t>
      </w:r>
    </w:p>
    <w:p w14:paraId="05088B0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2.1“采购人”是指依法进行政府采购的国家机关、事业单位、团体组织。</w:t>
      </w:r>
    </w:p>
    <w:p w14:paraId="33CB3AB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2.2“采购代理机构”是指政府采购集中采购机构和集中采购机构以外的采购代理机构。</w:t>
      </w:r>
    </w:p>
    <w:p w14:paraId="1697E21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2.3“供应商”是指向采购人提供货物、工程或者服务的法人、其他组织或者自然人。</w:t>
      </w:r>
    </w:p>
    <w:p w14:paraId="5BC91F8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2.4“工程”是指建设工程，包括建筑物和构筑物的新建、改建、扩建、装修、拆除、修缮等。</w:t>
      </w:r>
    </w:p>
    <w:p w14:paraId="4DCBB7C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2.5“竞争性磋商”是指供应商按照本项目竞争性磋商公告或者邀请函规定的方式获取磋商文件、提交响应文件并希望获得标的的行为。</w:t>
      </w:r>
    </w:p>
    <w:p w14:paraId="1B56A53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2.6“书面形式”是指合同书、信件和数据电文（包括电报、电传、传真、电子数据交换和电子邮件）等可以有形地表现所载内容的形式。</w:t>
      </w:r>
    </w:p>
    <w:p w14:paraId="660DDB5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2.7“响应文件”是指：供应商根据本磋商文件要求，编制包含资格证明、报价、商务技术等所有内容的文件。</w:t>
      </w:r>
    </w:p>
    <w:p w14:paraId="3CA5868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2.8“实质性要求”是指磋商文件中已经指明不满足则响应文件按无效处理的条款，或者不能负偏离的条款，或者采购需求中带“▲”的条款。</w:t>
      </w:r>
    </w:p>
    <w:p w14:paraId="3527D48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2.9“正偏离”，是指响应文件对磋商文件“采购需求”中有关条款作出的响应优于条款要求并有利于采购人的情形。</w:t>
      </w:r>
    </w:p>
    <w:p w14:paraId="5410D17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2.10“负偏离”，是指响应文件对磋商文件“采购需求”中有关条款作出的响应不满足条款要求，导致采购人要求不能得到满足的情形。</w:t>
      </w:r>
    </w:p>
    <w:p w14:paraId="2441030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2.11“允许负偏离的条款”是指采购需求中的不属于“实质性要求”的条款。</w:t>
      </w:r>
    </w:p>
    <w:p w14:paraId="6D1DBE8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2.12“首次报价”是指供应商提交的首次响应文件中的报价。</w:t>
      </w:r>
    </w:p>
    <w:p w14:paraId="2922B6C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2.13“评审报价”是指供应商提交的最后报价并经修正（如有）和政策功能价格扣除（如有）后的价格。</w:t>
      </w:r>
    </w:p>
    <w:p w14:paraId="33CACEA1">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3.供应商的资格条件</w:t>
      </w:r>
    </w:p>
    <w:p w14:paraId="0665C44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供应商的资格条件详见“供应商须知前附表”。</w:t>
      </w:r>
    </w:p>
    <w:p w14:paraId="09272D03">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4.磋商费用</w:t>
      </w:r>
    </w:p>
    <w:p w14:paraId="3EF68A6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供应商应承担参与本次采购活动有关的所有费用，包括但不限于获取磋商文件、勘查现场、编制和提交响应文件、参加磋商与应答、签订合同等，不论竞争性磋商结果如何，均应自行承担。</w:t>
      </w:r>
    </w:p>
    <w:p w14:paraId="13297C99">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5.联合体参加竞争性磋商</w:t>
      </w:r>
    </w:p>
    <w:p w14:paraId="399DBCD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5.1本项目是否接受联合体参加竞争性磋商，详见“供应商须知前附表”。</w:t>
      </w:r>
    </w:p>
    <w:p w14:paraId="73636ED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5.2如接受联合体参加竞争性磋商，相关要求详见“供应商须知前附表”。</w:t>
      </w:r>
    </w:p>
    <w:p w14:paraId="489FC79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5.3根据《政府采购促进中小企业发展管理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w:t>
      </w:r>
      <w:r>
        <w:rPr>
          <w:rFonts w:hint="eastAsia" w:ascii="宋体" w:hAnsi="宋体" w:eastAsia="宋体"/>
          <w:color w:val="000000" w:themeColor="text1"/>
          <w:szCs w:val="21"/>
          <w:lang w:val="en-US" w:eastAsia="zh-CN"/>
          <w14:textFill>
            <w14:solidFill>
              <w14:schemeClr w14:val="tx1"/>
            </w14:solidFill>
          </w14:textFill>
        </w:rPr>
        <w:t>价款</w:t>
      </w:r>
      <w:r>
        <w:rPr>
          <w:rFonts w:hint="eastAsia" w:ascii="宋体" w:hAnsi="宋体" w:eastAsia="宋体"/>
          <w:color w:val="000000" w:themeColor="text1"/>
          <w:szCs w:val="21"/>
          <w14:textFill>
            <w14:solidFill>
              <w14:schemeClr w14:val="tx1"/>
            </w14:solidFill>
          </w14:textFill>
        </w:rPr>
        <w:t>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34B86FAE">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6.转包与分包</w:t>
      </w:r>
    </w:p>
    <w:p w14:paraId="22A123C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6.1本项目不允许转包。</w:t>
      </w:r>
    </w:p>
    <w:p w14:paraId="1AE7552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37BA7F4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08B2876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6.4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w:t>
      </w:r>
      <w:r>
        <w:rPr>
          <w:rFonts w:hint="eastAsia" w:ascii="宋体" w:hAnsi="宋体" w:eastAsia="宋体"/>
          <w:color w:val="000000" w:themeColor="text1"/>
          <w:szCs w:val="21"/>
          <w:lang w:val="en-US" w:eastAsia="zh-CN"/>
          <w14:textFill>
            <w14:solidFill>
              <w14:schemeClr w14:val="tx1"/>
            </w14:solidFill>
          </w14:textFill>
        </w:rPr>
        <w:t>价款</w:t>
      </w:r>
      <w:r>
        <w:rPr>
          <w:rFonts w:hint="eastAsia" w:ascii="宋体" w:hAnsi="宋体" w:eastAsia="宋体"/>
          <w:color w:val="000000" w:themeColor="text1"/>
          <w:szCs w:val="21"/>
          <w14:textFill>
            <w14:solidFill>
              <w14:schemeClr w14:val="tx1"/>
            </w14:solidFill>
          </w14:textFill>
        </w:rPr>
        <w:t>30%以上的，采购人、采购代理机构应当对大中型企业的报价给予4%-6%（工程项目为1%-2%）的扣除，用扣除后的价格参加评审。接受分包的小微企业与分包企业之间存在直接控股、管理关系的，不享受价格扣除优惠政策。</w:t>
      </w:r>
    </w:p>
    <w:p w14:paraId="4401AA33">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7.特别说明</w:t>
      </w:r>
    </w:p>
    <w:p w14:paraId="0EEB455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7.1如果本磋商文件要求提供供应商或制造商的资格、信誉、荣誉、业绩与企业认证等材料的，资格、信誉、荣誉、业绩与企业认证等必须为供应商或者制造商所拥有或自身获得。</w:t>
      </w:r>
    </w:p>
    <w:p w14:paraId="72CEDF4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7.2供应商应仔细阅读磋商文件的所有内容，按照磋商文件的要求提交响应文件，并对所提供的全部资料的真实性承担法律责任。</w:t>
      </w:r>
    </w:p>
    <w:p w14:paraId="0558C97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7.3供应商在竞争性磋商活动中提供任何虚假材料谋取成交的，将报财政部门查处；签订合同后发现的，按照相关法律执行。</w:t>
      </w:r>
    </w:p>
    <w:p w14:paraId="3A359AE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7.4在政府采购活动中，采购人员及相关人员与供应商有下列利害关系之一的，应当回避：</w:t>
      </w:r>
    </w:p>
    <w:p w14:paraId="358413A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（1）参加采购活动前3年内与供应商存在劳动关系；</w:t>
      </w:r>
    </w:p>
    <w:p w14:paraId="26F33DB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（2）参加采购活动前3年内担任供应商的董事、监事；</w:t>
      </w:r>
    </w:p>
    <w:p w14:paraId="5C948BD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（3）参加采购活动前3年内是供应商的控股股东或者实际控制人；</w:t>
      </w:r>
    </w:p>
    <w:p w14:paraId="49C4E36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（4）与供应商的法定代表人或者负责人有夫妻、直系血亲、三代以内旁系血亲或者近姻亲关系；</w:t>
      </w:r>
    </w:p>
    <w:p w14:paraId="2155111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（5）与供应商有其他可能影响政府采购活动公平、公正进行的关系。</w:t>
      </w:r>
    </w:p>
    <w:p w14:paraId="577E0A1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9568AB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7.5有下列情形之一的视为供应商相互串通竞争性磋商，响应文件将被视为无效：</w:t>
      </w:r>
    </w:p>
    <w:p w14:paraId="281497A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（1）不同供应商的响应文件由同一单位或者个人编制，或者不同供应商报名的IP地址一致的；</w:t>
      </w:r>
    </w:p>
    <w:p w14:paraId="390B91B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（2）不同供应商委托同一单位或者个人办理竞争性磋商事宜；</w:t>
      </w:r>
    </w:p>
    <w:p w14:paraId="0BE26A2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（3）不同的供应商的响应文件载明的项目管理员为同一个人；</w:t>
      </w:r>
    </w:p>
    <w:p w14:paraId="080F555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（4）不同供应商的响应文件异常一致或者报价呈规律性差异；</w:t>
      </w:r>
    </w:p>
    <w:p w14:paraId="4F4A28D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（5）不同供应商的响应文件相互混装；</w:t>
      </w:r>
    </w:p>
    <w:p w14:paraId="6B0DEDC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（6）不同供应商的磋商保证金从同一单位或者个人账户转出。</w:t>
      </w:r>
      <w:r>
        <w:rPr>
          <w:rFonts w:hint="eastAsia" w:ascii="宋体" w:hAnsi="宋体" w:eastAsia="宋体"/>
          <w:color w:val="000000" w:themeColor="text1"/>
          <w:szCs w:val="21"/>
          <w14:textFill>
            <w14:solidFill>
              <w14:schemeClr w14:val="tx1"/>
            </w14:solidFill>
          </w14:textFill>
        </w:rPr>
        <w:tab/>
      </w:r>
    </w:p>
    <w:p w14:paraId="106839E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7.6供应商有下列情形之一的，属于恶意串通行为，将报同级监督管理部门：</w:t>
      </w:r>
    </w:p>
    <w:p w14:paraId="0980F19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（1）供应商直接或者间接从采购人或者采购代理机构处获得其他供应商的相关信息并修改其响应文件；</w:t>
      </w:r>
    </w:p>
    <w:p w14:paraId="32C1C01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（2）供应商按照采购人或者采购代理机构的授意撤换、修改响应文件；</w:t>
      </w:r>
    </w:p>
    <w:p w14:paraId="4DF32B1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（3）供应商之间协商报价、技术方案等响应文件或者响应文件的实质性内容；</w:t>
      </w:r>
    </w:p>
    <w:p w14:paraId="04C7F68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（4）属于同一集团、协会、商会等组织成员的供应商按照该组织要求协同参加政府采购活动；</w:t>
      </w:r>
    </w:p>
    <w:p w14:paraId="064A751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（5）供应商之间事先约定一致抬高或者压低报价，或者在政府采购活动中事先约定轮流以高价位或者低价位成交，或者事先约定由某一特定供应商成交，然后再参加竞争性磋商；</w:t>
      </w:r>
    </w:p>
    <w:p w14:paraId="717A9C1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（6）供应商之间商定部分供应商放弃参加政府采购活动或者放弃成交；</w:t>
      </w:r>
    </w:p>
    <w:p w14:paraId="07C3FD8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14:paraId="04E2A4D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7.7磋商委托</w:t>
      </w:r>
    </w:p>
    <w:p w14:paraId="05D9F8A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供应商代表参加磋商活动过程中必须携带个人有效身份证件。如供应商代表不是法定代表人，须持有授权委托书（按第六章要求格式填写）。</w:t>
      </w:r>
    </w:p>
    <w:p w14:paraId="162451B8">
      <w:pPr>
        <w:pStyle w:val="4"/>
        <w:jc w:val="left"/>
        <w:rPr>
          <w:rFonts w:hint="eastAsia" w:ascii="宋体" w:hAnsi="宋体" w:eastAsia="宋体"/>
          <w:color w:val="000000" w:themeColor="text1"/>
          <w:sz w:val="28"/>
          <w:szCs w:val="28"/>
          <w14:textFill>
            <w14:solidFill>
              <w14:schemeClr w14:val="tx1"/>
            </w14:solidFill>
          </w14:textFill>
        </w:rPr>
      </w:pPr>
      <w:bookmarkStart w:id="12" w:name="_Toc197530108"/>
      <w:r>
        <w:rPr>
          <w:rFonts w:hint="eastAsia" w:ascii="宋体" w:hAnsi="宋体" w:eastAsia="宋体"/>
          <w:color w:val="000000" w:themeColor="text1"/>
          <w:sz w:val="28"/>
          <w:szCs w:val="28"/>
          <w14:textFill>
            <w14:solidFill>
              <w14:schemeClr w14:val="tx1"/>
            </w14:solidFill>
          </w14:textFill>
        </w:rPr>
        <w:t>（二）磋商文件</w:t>
      </w:r>
      <w:bookmarkEnd w:id="12"/>
    </w:p>
    <w:p w14:paraId="0A5FC4C8">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8.磋商文件的构成</w:t>
      </w:r>
    </w:p>
    <w:p w14:paraId="170CE45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第一</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竞争性磋商公告；</w:t>
      </w:r>
    </w:p>
    <w:p w14:paraId="64A042C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第二</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供应商须知；</w:t>
      </w:r>
    </w:p>
    <w:p w14:paraId="732ECB7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第三</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采购需求；</w:t>
      </w:r>
    </w:p>
    <w:p w14:paraId="653FB79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第四</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评审程序、评审方法和评审标准；</w:t>
      </w:r>
    </w:p>
    <w:p w14:paraId="5874151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第五</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工程量清单、招标控制价及图纸；</w:t>
      </w:r>
    </w:p>
    <w:p w14:paraId="785B0F3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第六</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响应文件格式；</w:t>
      </w:r>
    </w:p>
    <w:p w14:paraId="58649437">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第七</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合同文本</w:t>
      </w:r>
      <w:r>
        <w:rPr>
          <w:rFonts w:hint="eastAsia" w:ascii="宋体" w:hAnsi="宋体" w:eastAsia="宋体"/>
          <w:color w:val="000000" w:themeColor="text1"/>
          <w:szCs w:val="21"/>
          <w:lang w:eastAsia="zh-CN"/>
          <w14:textFill>
            <w14:solidFill>
              <w14:schemeClr w14:val="tx1"/>
            </w14:solidFill>
          </w14:textFill>
        </w:rPr>
        <w:t>；</w:t>
      </w:r>
    </w:p>
    <w:p w14:paraId="26324444">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第八章</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eastAsia" w:ascii="宋体" w:hAnsi="宋体" w:eastAsia="宋体"/>
          <w:color w:val="000000" w:themeColor="text1"/>
          <w:szCs w:val="21"/>
          <w:lang w:eastAsia="zh-CN"/>
          <w14:textFill>
            <w14:solidFill>
              <w14:schemeClr w14:val="tx1"/>
            </w14:solidFill>
          </w14:textFill>
        </w:rPr>
        <w:t>质疑、投诉材料格式。</w:t>
      </w:r>
    </w:p>
    <w:p w14:paraId="2596E1F7">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9.供应商的询问</w:t>
      </w:r>
    </w:p>
    <w:p w14:paraId="28678E5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27CD19CB">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10.磋商文件的澄清和修改</w:t>
      </w:r>
    </w:p>
    <w:p w14:paraId="0263475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10.1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ascii="宋体" w:hAnsi="宋体" w:eastAsia="宋体"/>
          <w:color w:val="000000" w:themeColor="text1"/>
          <w:szCs w:val="21"/>
          <w14:textFill>
            <w14:solidFill>
              <w14:schemeClr w14:val="tx1"/>
            </w14:solidFill>
          </w14:textFill>
        </w:rPr>
        <w:t>3个工作</w:t>
      </w:r>
      <w:r>
        <w:rPr>
          <w:rFonts w:hint="eastAsia" w:ascii="宋体" w:hAnsi="宋体" w:eastAsia="宋体"/>
          <w:color w:val="000000" w:themeColor="text1"/>
          <w:szCs w:val="21"/>
          <w14:textFill>
            <w14:solidFill>
              <w14:schemeClr w14:val="tx1"/>
            </w14:solidFill>
          </w14:textFill>
        </w:rPr>
        <w:t>日前，在原公告发布媒体上发布更正公告，并以书面形式通知所有获取磋商文件的供应商，不足</w:t>
      </w:r>
      <w:r>
        <w:rPr>
          <w:rFonts w:ascii="宋体" w:hAnsi="宋体" w:eastAsia="宋体"/>
          <w:color w:val="000000" w:themeColor="text1"/>
          <w:szCs w:val="21"/>
          <w14:textFill>
            <w14:solidFill>
              <w14:schemeClr w14:val="tx1"/>
            </w14:solidFill>
          </w14:textFill>
        </w:rPr>
        <w:t>3个工作</w:t>
      </w:r>
      <w:r>
        <w:rPr>
          <w:rFonts w:hint="eastAsia" w:ascii="宋体" w:hAnsi="宋体" w:eastAsia="宋体"/>
          <w:color w:val="000000" w:themeColor="text1"/>
          <w:szCs w:val="21"/>
          <w14:textFill>
            <w14:solidFill>
              <w14:schemeClr w14:val="tx1"/>
            </w14:solidFill>
          </w14:textFill>
        </w:rPr>
        <w:t>日的，应当顺延提交首次响应文件截止时间。</w:t>
      </w:r>
    </w:p>
    <w:p w14:paraId="35B43F6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10.2采购人和采购代理机构可以视采购具体情况，变更首次响应文件提交截止时间和开启时间，并在原公告发布媒体上发布更正公告。</w:t>
      </w:r>
    </w:p>
    <w:p w14:paraId="5EF11CB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10.3磋商文件澄清、答复、修改、补充的内容为磋商文件的组成部分。当磋商文件与磋商文件的澄清、答复、修改、补充通知就同一内容的表述不一致时，以最后发出的文件为准。</w:t>
      </w:r>
    </w:p>
    <w:p w14:paraId="62E8C36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10.4响应文件未按磋商文件的澄清、修改后的内容编制的，其响应文件作无效响应处理。</w:t>
      </w:r>
    </w:p>
    <w:p w14:paraId="169DDFA0">
      <w:pPr>
        <w:pStyle w:val="4"/>
        <w:jc w:val="left"/>
        <w:rPr>
          <w:rFonts w:hint="eastAsia" w:ascii="宋体" w:hAnsi="宋体" w:eastAsia="宋体"/>
          <w:color w:val="000000" w:themeColor="text1"/>
          <w:sz w:val="28"/>
          <w:szCs w:val="28"/>
          <w14:textFill>
            <w14:solidFill>
              <w14:schemeClr w14:val="tx1"/>
            </w14:solidFill>
          </w14:textFill>
        </w:rPr>
      </w:pPr>
      <w:bookmarkStart w:id="13" w:name="_Toc197530109"/>
      <w:r>
        <w:rPr>
          <w:rFonts w:hint="eastAsia" w:ascii="宋体" w:hAnsi="宋体" w:eastAsia="宋体"/>
          <w:color w:val="000000" w:themeColor="text1"/>
          <w:sz w:val="28"/>
          <w:szCs w:val="28"/>
          <w14:textFill>
            <w14:solidFill>
              <w14:schemeClr w14:val="tx1"/>
            </w14:solidFill>
          </w14:textFill>
        </w:rPr>
        <w:t>（三）响应文件的编制</w:t>
      </w:r>
      <w:bookmarkEnd w:id="13"/>
    </w:p>
    <w:p w14:paraId="4198CB5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11.响应文件的编制原则</w:t>
      </w:r>
    </w:p>
    <w:p w14:paraId="1DBE077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1E3092C2">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12.响应文件的组成</w:t>
      </w:r>
    </w:p>
    <w:p w14:paraId="487AD6F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12.1响应文件由资格证明文件、报价文件、商务技术文件三部分组成。</w:t>
      </w:r>
    </w:p>
    <w:p w14:paraId="2B96C92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12.1.1资格证明文件：详见“供应商须知前附表”。</w:t>
      </w:r>
    </w:p>
    <w:p w14:paraId="52AFD92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12.1.2报价文件：详见“供应商须知前附表”。</w:t>
      </w:r>
    </w:p>
    <w:p w14:paraId="3F2B5E6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12.1.3商务技术文件：详见“供应商须知前附表”。</w:t>
      </w:r>
    </w:p>
    <w:p w14:paraId="7DD25595">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13.计量单位</w:t>
      </w:r>
    </w:p>
    <w:p w14:paraId="092A3B1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342A2598">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14.竞争性磋商的风险</w:t>
      </w:r>
    </w:p>
    <w:p w14:paraId="4FF1073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6CADCDDF">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15.竞争性磋商报价</w:t>
      </w:r>
    </w:p>
    <w:p w14:paraId="62BFD38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15.1竞争性磋商报价应按磋商文件中“竞争性磋商报价表”格式填写。</w:t>
      </w:r>
    </w:p>
    <w:p w14:paraId="7421E07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15.2竞争性磋商报价的内容见“供应商须知前附表”。</w:t>
      </w:r>
    </w:p>
    <w:p w14:paraId="52AE197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15.3本项目的增值税计税方法见“供应商须知前附表”。</w:t>
      </w:r>
    </w:p>
    <w:p w14:paraId="7C12CB9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15.4竞争性磋商报价要求：</w:t>
      </w:r>
    </w:p>
    <w:p w14:paraId="7819E50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15.4.1供应商的竞争性磋商报价应符合以下要求，否则响应文件按无效响应处理：</w:t>
      </w:r>
    </w:p>
    <w:p w14:paraId="14752BB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（1）供应商必须就“采购需求”中所参加竞争性磋商的每个分标的全部内容分别作完整唯一报价，不得存在漏项报价；</w:t>
      </w:r>
    </w:p>
    <w:p w14:paraId="6E1AFF6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（2）供应商必须就所参加竞争性磋商的分标的单项内容作唯一报价。</w:t>
      </w:r>
    </w:p>
    <w:p w14:paraId="1CC49F7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15.4.2竞争性磋商报价（包含首次报价、最后报价）超过所参加竞争性磋商分标规定的采购预算金额或者最高限价的，其响应文件将按无效处理。</w:t>
      </w:r>
    </w:p>
    <w:p w14:paraId="3E26165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15.4.3竞争性磋商报价（包含首次报价、最后报价）超过分项采购预算金额或者最高限价的，其响应文件将按无效处理。</w:t>
      </w:r>
    </w:p>
    <w:p w14:paraId="56348C81">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16.竞争性磋商有效期</w:t>
      </w:r>
    </w:p>
    <w:p w14:paraId="38FF1CD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16.1竞争性磋商有效期是指为保证采购人有足够的时间在提交响应文件后完成评审、确定成交供应商、合同签订等工作而要求供应商提交的响应文件在一定时间内保持有效的期限。</w:t>
      </w:r>
    </w:p>
    <w:p w14:paraId="2E020DC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16.2竞争性磋商有效期应由供应商按“供应商须知前附表”规定的期限作出响应。</w:t>
      </w:r>
    </w:p>
    <w:p w14:paraId="1FD6F1B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16.3供应商的响应文件在竞争性磋商有效期内均保持有效。</w:t>
      </w:r>
    </w:p>
    <w:p w14:paraId="1404E230">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17.磋商保证金</w:t>
      </w:r>
    </w:p>
    <w:p w14:paraId="1A660EF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17.1供应商须按“供应商须知前附表”的规定缴纳磋商保证金。</w:t>
      </w:r>
    </w:p>
    <w:p w14:paraId="58584D0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17.2磋商保证金的退还</w:t>
      </w:r>
    </w:p>
    <w:p w14:paraId="4E8EF93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未成交供应商的磋商保证金自成交通知书发出之日起5个工作日内退还；成交供应商的磋商保证金自签订合同之日起5个工作日内退还成交供应商。</w:t>
      </w:r>
    </w:p>
    <w:p w14:paraId="5DFB119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17.3磋商保证金不计息。</w:t>
      </w:r>
    </w:p>
    <w:p w14:paraId="03DD9AB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17.4供应商有下列情形之一的，磋商保证金将不予退还：</w:t>
      </w:r>
    </w:p>
    <w:p w14:paraId="6784B99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（1）供应商在提交响应文件截止时间后撤回响应文件的；</w:t>
      </w:r>
    </w:p>
    <w:p w14:paraId="69D1AE2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（2）未按规定缴纳履约保证金的；</w:t>
      </w:r>
    </w:p>
    <w:p w14:paraId="2C12DA2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（3）供应商在响应文件中提供虚假材料的；</w:t>
      </w:r>
    </w:p>
    <w:p w14:paraId="6A479E5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（4）除因不可抗力或者磋商文件认可的情形以外，成交供应商不与采购人签订合同的；</w:t>
      </w:r>
    </w:p>
    <w:p w14:paraId="5891AAA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（5）供应商与采购人、其他供应商或者采购代理机构恶意串通的；</w:t>
      </w:r>
    </w:p>
    <w:p w14:paraId="674D5E2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（6）法律法规规定的其他情形。</w:t>
      </w:r>
    </w:p>
    <w:p w14:paraId="1E20E312">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18.响应文件编制的要求</w:t>
      </w:r>
    </w:p>
    <w:p w14:paraId="6EB3DD2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18.1供应商应安装客户端软件—“广西政府采购云平台新版客户端”，并按照磋商文件和电子交易平台的要求编制并加密响应文件。供应商未按规定加密的响应文件，电子交易平台将拒收并提示。响应文件内容不完整、编排混乱导致响应文件被误读、漏读或者查找不到相关内容的，由此引发的后果由供应商承担。</w:t>
      </w:r>
    </w:p>
    <w:p w14:paraId="053873D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18.2为确保网上操作合法、有效和安全，供应商应当在提交响应文件截止时间前完成在“广西政府采购云平台”的身份认证，确保在磋商过程中能够对相关数据电文进行加密和使用电子签章。使用“广西政府采购云平台电子交易客户端”需要提前申领CA数字证书。</w:t>
      </w:r>
    </w:p>
    <w:p w14:paraId="61C1DCC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18.3响应文件须由供应商按采购文件要求签字、盖章（具体以供应商须知前附表或响应文件格式规定为准），否则按无效响应处理。</w:t>
      </w:r>
    </w:p>
    <w:p w14:paraId="65404D1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18.4响应文件中标注的供应商名称应与主体资格证明（如营业执照或者事业单位法人证书或者执业许可证或者登记证书等）及公章一致，否则其响应文件按无效处理。</w:t>
      </w:r>
    </w:p>
    <w:p w14:paraId="6EDA09B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DB30785">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19.电子备份响应文件</w:t>
      </w:r>
    </w:p>
    <w:p w14:paraId="18345DF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本项目不接受备份响应文件。</w:t>
      </w:r>
    </w:p>
    <w:p w14:paraId="2C04E495">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20.响应文件的提交</w:t>
      </w:r>
    </w:p>
    <w:p w14:paraId="52C1EF8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20.1供应商必须按“供应商须知前附表”规定的时间及地点提交响应文件。电子响应文件应在制作完成后，在提交响应文件截止时间前通过有效数字证书（CA认证锁）进行电子签章、加密，然后通过网络将加密的电子响应文件提交至广西政府采购云平台。</w:t>
      </w:r>
    </w:p>
    <w:p w14:paraId="750F389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20.2未在规定时间内提交或者未按照磋商文件要求加密的电子响应文件，广西政府采购云平台将拒收。</w:t>
      </w:r>
    </w:p>
    <w:p w14:paraId="63FA6F7D">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21.首次响应文件的补充、修改与撤回</w:t>
      </w:r>
    </w:p>
    <w:p w14:paraId="1993F3A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w:t>
      </w:r>
      <w:r>
        <w:rPr>
          <w:rFonts w:hint="eastAsia" w:ascii="宋体" w:hAnsi="宋体" w:eastAsia="宋体"/>
          <w:color w:val="000000" w:themeColor="text1"/>
          <w:szCs w:val="21"/>
          <w:lang w:val="en-US" w:eastAsia="zh-CN"/>
          <w14:textFill>
            <w14:solidFill>
              <w14:schemeClr w14:val="tx1"/>
            </w14:solidFill>
          </w14:textFill>
        </w:rPr>
        <w:t>录</w:t>
      </w:r>
      <w:r>
        <w:rPr>
          <w:rFonts w:hint="eastAsia" w:ascii="宋体" w:hAnsi="宋体" w:eastAsia="宋体"/>
          <w:color w:val="000000" w:themeColor="text1"/>
          <w:szCs w:val="21"/>
          <w14:textFill>
            <w14:solidFill>
              <w14:schemeClr w14:val="tx1"/>
            </w14:solidFill>
          </w14:textFill>
        </w:rPr>
        <w:t>广西政府采购云平台（https：//www.gcy.zfcg.gxzf.gov.cn/）中查看。）</w:t>
      </w:r>
    </w:p>
    <w:p w14:paraId="5BF69D4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21.2在提交响应文件截止时间前，除供应商补充、修改或者撤回响应文件外，任何单位和个人不得解密或提取响应文件。</w:t>
      </w:r>
    </w:p>
    <w:p w14:paraId="1EFC0682">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22.响应文件的退回</w:t>
      </w:r>
    </w:p>
    <w:p w14:paraId="459263A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采购人和采购代理机构对已提交的响应文件概不退回。</w:t>
      </w:r>
    </w:p>
    <w:p w14:paraId="1C068B0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23.截止时间后的撤回</w:t>
      </w:r>
    </w:p>
    <w:p w14:paraId="4210B20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供应商在响应文件提交截止时间后向采购人、采购代理机构书面申请撤回响应文件的，将根据本须知正文第17.4条的规定不予退还其磋商保证金。</w:t>
      </w:r>
    </w:p>
    <w:p w14:paraId="158ACDFA">
      <w:pPr>
        <w:pStyle w:val="4"/>
        <w:jc w:val="left"/>
        <w:rPr>
          <w:rFonts w:hint="eastAsia" w:ascii="宋体" w:hAnsi="宋体" w:eastAsia="宋体"/>
          <w:color w:val="000000" w:themeColor="text1"/>
          <w:sz w:val="28"/>
          <w:szCs w:val="28"/>
          <w14:textFill>
            <w14:solidFill>
              <w14:schemeClr w14:val="tx1"/>
            </w14:solidFill>
          </w14:textFill>
        </w:rPr>
      </w:pPr>
      <w:bookmarkStart w:id="14" w:name="_Toc197530110"/>
      <w:r>
        <w:rPr>
          <w:rFonts w:hint="eastAsia" w:ascii="宋体" w:hAnsi="宋体" w:eastAsia="宋体"/>
          <w:color w:val="000000" w:themeColor="text1"/>
          <w:sz w:val="28"/>
          <w:szCs w:val="28"/>
          <w14:textFill>
            <w14:solidFill>
              <w14:schemeClr w14:val="tx1"/>
            </w14:solidFill>
          </w14:textFill>
        </w:rPr>
        <w:t>（四）评审及磋商</w:t>
      </w:r>
      <w:bookmarkEnd w:id="14"/>
    </w:p>
    <w:p w14:paraId="090CA6F9">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24.磋商小组成立</w:t>
      </w:r>
    </w:p>
    <w:p w14:paraId="456E45F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327E243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C3F260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24.3采购代理机构应当基于广西政府采购云平台抽（选）取评审专家。</w:t>
      </w:r>
    </w:p>
    <w:p w14:paraId="0DA26CD4">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25.首次响应文件的开启和解密</w:t>
      </w:r>
    </w:p>
    <w:p w14:paraId="2B35C0C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代理机构将在“供应商须知前附表”规定的时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按无效处理。</w:t>
      </w:r>
    </w:p>
    <w:p w14:paraId="4831823C">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26.评审程序、评审方法和评审标准</w:t>
      </w:r>
    </w:p>
    <w:p w14:paraId="2E5E1FE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26.1本项目的评审方法为综合评分法。</w:t>
      </w:r>
    </w:p>
    <w:p w14:paraId="6BF9935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26.2磋商小组按照“第四章评审程序、评审方法和评审标准”规定的方法、评审因素、标准和程序对响应文件进行评审并推荐成交候选供应商。</w:t>
      </w:r>
    </w:p>
    <w:p w14:paraId="6095541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26.3商务/技术要求允许负偏离的条款数详见“供应商须知前附表”。</w:t>
      </w:r>
    </w:p>
    <w:p w14:paraId="5BC7726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D7C01C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26.5电子交易活动的中止。采购过程中出现以下情形，导致电子交易平台无法正常运行，或者无法保证电子交易的公平、公正和安全时，采购机构可中止电子交易活动：</w:t>
      </w:r>
    </w:p>
    <w:p w14:paraId="695C0F0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（1）电子交易平台发生故障而无法登录访问的；</w:t>
      </w:r>
    </w:p>
    <w:p w14:paraId="0BB91EB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（2）电子交易平台应用或数据库出现错误，不能进行正常操作的；</w:t>
      </w:r>
    </w:p>
    <w:p w14:paraId="57DC1B8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（3）电子交易平台发现严重安全漏洞，有潜在泄密危险的；</w:t>
      </w:r>
    </w:p>
    <w:p w14:paraId="3219346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（4）病毒发作导致不能进行正常操作的；</w:t>
      </w:r>
    </w:p>
    <w:p w14:paraId="0BFD3BC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（5）其他无法保证电子交易的公平、公正和安全的情况。</w:t>
      </w:r>
    </w:p>
    <w:p w14:paraId="0CE9FBC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76D08FE">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27.确定成交供应商及结果公告</w:t>
      </w:r>
    </w:p>
    <w:p w14:paraId="7CFEA9D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0C7D9A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号）规定的中小企业扶持政策的，采购人、采购代理机构应当随成交结果公开成交供应商的《中小企业声明函》。</w:t>
      </w:r>
    </w:p>
    <w:p w14:paraId="1DF5CF6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27.3出现下列情形之一的，采购人或者采购代理机构应当终止竞争性磋商采购活动，发布项目终止公告并说明原因，重新开展采购活动：</w:t>
      </w:r>
    </w:p>
    <w:p w14:paraId="7A23A12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（1）因情况变化，不再符合规定的竞争性磋商采购方式适用情形的；</w:t>
      </w:r>
    </w:p>
    <w:p w14:paraId="43EA281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（2）出现影响采购公正的违法、违规行为的；</w:t>
      </w:r>
    </w:p>
    <w:p w14:paraId="0911BD6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（3）除“第四章评审程序、评审方法和评审标准”第4.3条规定的情形外，在采购过程中符合要求的供应商或者报价未超过采购预算的供应商不足3家的。</w:t>
      </w:r>
    </w:p>
    <w:p w14:paraId="089AC16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27.4在采购活动中因重大变故，采购任务取消的，采购人或者采购代理机构应当终止采购活动，通知所有参加采购活动的供应商，并将项目实施情况和采购任务取消原因报送本级财政部门。</w:t>
      </w:r>
    </w:p>
    <w:p w14:paraId="33F94DE0">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28.履约保证金</w:t>
      </w:r>
    </w:p>
    <w:p w14:paraId="7E2D679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28.1履约保证金的金额、缴纳方式、退付的时间和条件详见“供应商须知前附表”。成交供应商未按规定缴纳履约保证金的，视同放弃成交资格。</w:t>
      </w:r>
    </w:p>
    <w:p w14:paraId="2EEBBDD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28.2在履约保证金退还日期前，若成交供应商的开户名称、开户银行、</w:t>
      </w:r>
      <w:r>
        <w:rPr>
          <w:rFonts w:hint="eastAsia" w:ascii="宋体" w:hAnsi="宋体"/>
          <w:color w:val="000000" w:themeColor="text1"/>
          <w:szCs w:val="21"/>
          <w14:textFill>
            <w14:solidFill>
              <w14:schemeClr w14:val="tx1"/>
            </w14:solidFill>
          </w14:textFill>
        </w:rPr>
        <w:t>账号</w:t>
      </w:r>
      <w:r>
        <w:rPr>
          <w:rFonts w:hint="eastAsia" w:ascii="宋体" w:hAnsi="宋体" w:eastAsia="宋体"/>
          <w:color w:val="000000" w:themeColor="text1"/>
          <w:szCs w:val="21"/>
          <w14:textFill>
            <w14:solidFill>
              <w14:schemeClr w14:val="tx1"/>
            </w14:solidFill>
          </w14:textFill>
        </w:rPr>
        <w:t>有变动的，请以书面形式通知履约保证金收取单位，否则由此产生的后果由成交供应商自行承担。</w:t>
      </w:r>
    </w:p>
    <w:p w14:paraId="24DE7437">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29.签订合同</w:t>
      </w:r>
    </w:p>
    <w:p w14:paraId="051D21A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29.1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w:t>
      </w:r>
    </w:p>
    <w:p w14:paraId="49A1861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54A232E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29.2签订合同时间：在成交通知书规定的时间内与采购人签订合同。</w:t>
      </w:r>
    </w:p>
    <w:p w14:paraId="6D881FE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p>
    <w:p w14:paraId="1A3E075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成交供应商放弃成交项目，拒绝与采购人签订合同的，其磋商保证金将不予退还，并上缴国库。给采购人造成损失，或（并）因此延误采购人工期计划的，须依据《中华人民共和国民法典》第五百条、《政府采购非招标采购方式管理办法（财政部令第74号）》第二十二条、第五十四条规定、《工程建设项目施工招标投标办法（2013年修正）》第六十条和第八十一条等规定承担赔偿损失等法律责任，采购人有权将成交供应商的失信行为报财政部门记入诚信档案，以示惩戒。</w:t>
      </w:r>
    </w:p>
    <w:p w14:paraId="58AD583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D1E499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5DF9F94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29.6如签订合同并生效后，供应商无故拒绝或延期，除按照合同条款处理外，将承担相应的法律责任。</w:t>
      </w:r>
    </w:p>
    <w:p w14:paraId="59DBEC75">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30.政府采购合同公告</w:t>
      </w:r>
    </w:p>
    <w:p w14:paraId="650B270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7E558A3">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31.询问、质疑和投诉</w:t>
      </w:r>
    </w:p>
    <w:p w14:paraId="3486534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31.1供应商对政府采购活动事项有疑问的，可以向采购人、采购代理机构提出询问，采购人或者采购代理机构应当在3个工作日内对供应商依法提出的询问作出答复，但答复的内容不得涉及商业秘密。</w:t>
      </w:r>
    </w:p>
    <w:p w14:paraId="2035EAE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具体质疑起算时间如下：</w:t>
      </w:r>
    </w:p>
    <w:p w14:paraId="4F81F33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（1）对可以质疑的磋商文件提出质疑的，为获取磋商文件之日或者竞争性磋商公告期限届满之日；</w:t>
      </w:r>
    </w:p>
    <w:p w14:paraId="475C678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（2）对采购过程提出质疑的，为各采购程序环节结束之日；</w:t>
      </w:r>
    </w:p>
    <w:p w14:paraId="3EFBE0F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（3）对成交结果提出质疑的，为成交结果公告期限届满之日。</w:t>
      </w:r>
    </w:p>
    <w:p w14:paraId="5FF2051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2B97D3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31.4供应商提出质疑应当提交质疑函和必要的证明材料，针对同一采购程序环节的质疑必须在法定质疑期内一次性提出。质疑函应当包括下列内容（质疑函格式后附）：</w:t>
      </w:r>
    </w:p>
    <w:p w14:paraId="0105CCF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（1）供应商的姓名或者名称、地址、邮编、联系人及联系电话；</w:t>
      </w:r>
    </w:p>
    <w:p w14:paraId="5694469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（2）质疑项目的名称、编号；</w:t>
      </w:r>
    </w:p>
    <w:p w14:paraId="1163FCA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（3）具体、明确的质疑事项和与质疑事项相关的请求；</w:t>
      </w:r>
    </w:p>
    <w:p w14:paraId="43E1292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（4）事实依据；</w:t>
      </w:r>
    </w:p>
    <w:p w14:paraId="2FF5834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（5）必要的法律依据；</w:t>
      </w:r>
    </w:p>
    <w:p w14:paraId="78B941A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（6）提出质疑的日期。</w:t>
      </w:r>
    </w:p>
    <w:p w14:paraId="7617C8B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097B8E1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6407B79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（1）对采购文件提出的质疑，依法通过澄清或者修改可以继续开展采购活动的，澄清或者修改采购文件后继续开展采购活动；否则应当修改采购文件后重新开展采购活动。</w:t>
      </w:r>
    </w:p>
    <w:p w14:paraId="171AF98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（2）对采购过程或者成交结果提出的质疑且质疑成立，合格供应商符合法定数量时，可以从合格的成交候选人中另行确定成交供应商的，应当依法另行确定成交供应商；否则应当重新开展采购活动。</w:t>
      </w:r>
    </w:p>
    <w:p w14:paraId="00E318B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质疑答复导致成交结果改变的，采购人或者采购代理机构应当将有关情况书面报告本级财政部门。</w:t>
      </w:r>
    </w:p>
    <w:p w14:paraId="2338F80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B91126B">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32.其他内容</w:t>
      </w:r>
    </w:p>
    <w:p w14:paraId="677C765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32.1代理服务费收取标准及缴费账户详见“供应商须知前附表”，供应商为联合体的，可以由联合体中的一方或者多方共同缴纳代理服务费。</w:t>
      </w:r>
    </w:p>
    <w:p w14:paraId="2CD4B32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32.2代理服务费收费计算标准：</w:t>
      </w:r>
    </w:p>
    <w:tbl>
      <w:tblPr>
        <w:tblStyle w:val="38"/>
        <w:tblW w:w="0" w:type="auto"/>
        <w:jc w:val="center"/>
        <w:tblLayout w:type="autofit"/>
        <w:tblCellMar>
          <w:top w:w="0" w:type="dxa"/>
          <w:left w:w="108" w:type="dxa"/>
          <w:bottom w:w="0" w:type="dxa"/>
          <w:right w:w="108" w:type="dxa"/>
        </w:tblCellMar>
      </w:tblPr>
      <w:tblGrid>
        <w:gridCol w:w="2336"/>
        <w:gridCol w:w="2336"/>
        <w:gridCol w:w="2336"/>
        <w:gridCol w:w="2336"/>
      </w:tblGrid>
      <w:tr w14:paraId="36A8C40E">
        <w:tblPrEx>
          <w:tblCellMar>
            <w:top w:w="0" w:type="dxa"/>
            <w:left w:w="108" w:type="dxa"/>
            <w:bottom w:w="0" w:type="dxa"/>
            <w:right w:w="108" w:type="dxa"/>
          </w:tblCellMar>
        </w:tblPrEx>
        <w:trPr>
          <w:trHeight w:val="1509" w:hRule="atLeast"/>
          <w:jc w:val="center"/>
        </w:trPr>
        <w:tc>
          <w:tcPr>
            <w:tcW w:w="2336" w:type="dxa"/>
            <w:tcBorders>
              <w:top w:val="single" w:color="auto" w:sz="4" w:space="0"/>
              <w:left w:val="single" w:color="auto" w:sz="4" w:space="0"/>
              <w:bottom w:val="single" w:color="auto" w:sz="4" w:space="0"/>
              <w:right w:val="single" w:color="auto" w:sz="4" w:space="0"/>
              <w:tl2br w:val="single" w:color="auto" w:sz="4" w:space="0"/>
            </w:tcBorders>
            <w:vAlign w:val="center"/>
          </w:tcPr>
          <w:p w14:paraId="76E8FCC9">
            <w:pPr>
              <w:spacing w:line="360" w:lineRule="auto"/>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费率</w:t>
            </w:r>
          </w:p>
          <w:p w14:paraId="63369843">
            <w:pPr>
              <w:spacing w:line="360" w:lineRule="auto"/>
              <w:jc w:val="left"/>
              <w:rPr>
                <w:rFonts w:hint="eastAsia" w:ascii="宋体" w:hAnsi="宋体"/>
                <w:color w:val="000000" w:themeColor="text1"/>
                <w:szCs w:val="21"/>
                <w14:textFill>
                  <w14:solidFill>
                    <w14:schemeClr w14:val="tx1"/>
                  </w14:solidFill>
                </w14:textFill>
              </w:rPr>
            </w:pPr>
          </w:p>
          <w:p w14:paraId="407C3C40">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金额（人民币）</w:t>
            </w:r>
          </w:p>
        </w:tc>
        <w:tc>
          <w:tcPr>
            <w:tcW w:w="2336" w:type="dxa"/>
            <w:tcBorders>
              <w:top w:val="single" w:color="auto" w:sz="4" w:space="0"/>
              <w:left w:val="single" w:color="auto" w:sz="4" w:space="0"/>
              <w:bottom w:val="single" w:color="auto" w:sz="4" w:space="0"/>
              <w:right w:val="single" w:color="auto" w:sz="4" w:space="0"/>
            </w:tcBorders>
            <w:vAlign w:val="center"/>
          </w:tcPr>
          <w:p w14:paraId="79202B0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货物类</w:t>
            </w:r>
          </w:p>
        </w:tc>
        <w:tc>
          <w:tcPr>
            <w:tcW w:w="2336" w:type="dxa"/>
            <w:tcBorders>
              <w:top w:val="single" w:color="auto" w:sz="4" w:space="0"/>
              <w:left w:val="single" w:color="auto" w:sz="4" w:space="0"/>
              <w:bottom w:val="single" w:color="auto" w:sz="4" w:space="0"/>
              <w:right w:val="single" w:color="auto" w:sz="4" w:space="0"/>
            </w:tcBorders>
            <w:vAlign w:val="center"/>
          </w:tcPr>
          <w:p w14:paraId="621FAC31">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服务类</w:t>
            </w:r>
          </w:p>
        </w:tc>
        <w:tc>
          <w:tcPr>
            <w:tcW w:w="2336" w:type="dxa"/>
            <w:tcBorders>
              <w:top w:val="single" w:color="auto" w:sz="4" w:space="0"/>
              <w:left w:val="single" w:color="auto" w:sz="4" w:space="0"/>
              <w:bottom w:val="single" w:color="auto" w:sz="4" w:space="0"/>
              <w:right w:val="single" w:color="auto" w:sz="4" w:space="0"/>
            </w:tcBorders>
            <w:vAlign w:val="center"/>
          </w:tcPr>
          <w:p w14:paraId="741DCF5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工程类</w:t>
            </w:r>
          </w:p>
        </w:tc>
      </w:tr>
      <w:tr w14:paraId="607C02C4">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03761971">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100万元以下</w:t>
            </w:r>
          </w:p>
        </w:tc>
        <w:tc>
          <w:tcPr>
            <w:tcW w:w="2336" w:type="dxa"/>
            <w:tcBorders>
              <w:top w:val="single" w:color="auto" w:sz="4" w:space="0"/>
              <w:left w:val="single" w:color="auto" w:sz="4" w:space="0"/>
              <w:bottom w:val="single" w:color="auto" w:sz="4" w:space="0"/>
              <w:right w:val="single" w:color="auto" w:sz="4" w:space="0"/>
            </w:tcBorders>
            <w:vAlign w:val="center"/>
          </w:tcPr>
          <w:p w14:paraId="64BABB0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2336" w:type="dxa"/>
            <w:tcBorders>
              <w:top w:val="single" w:color="auto" w:sz="4" w:space="0"/>
              <w:left w:val="single" w:color="auto" w:sz="4" w:space="0"/>
              <w:bottom w:val="single" w:color="auto" w:sz="4" w:space="0"/>
              <w:right w:val="single" w:color="auto" w:sz="4" w:space="0"/>
            </w:tcBorders>
            <w:vAlign w:val="center"/>
          </w:tcPr>
          <w:p w14:paraId="6AA6A1A2">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2336" w:type="dxa"/>
            <w:tcBorders>
              <w:top w:val="single" w:color="auto" w:sz="4" w:space="0"/>
              <w:left w:val="single" w:color="auto" w:sz="4" w:space="0"/>
              <w:bottom w:val="single" w:color="auto" w:sz="4" w:space="0"/>
              <w:right w:val="single" w:color="auto" w:sz="4" w:space="0"/>
            </w:tcBorders>
            <w:vAlign w:val="center"/>
          </w:tcPr>
          <w:p w14:paraId="1593C1B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w:t>
            </w:r>
          </w:p>
        </w:tc>
      </w:tr>
      <w:tr w14:paraId="724F48D2">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1082FF42">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100～500万元</w:t>
            </w:r>
          </w:p>
        </w:tc>
        <w:tc>
          <w:tcPr>
            <w:tcW w:w="2336" w:type="dxa"/>
            <w:tcBorders>
              <w:top w:val="single" w:color="auto" w:sz="4" w:space="0"/>
              <w:left w:val="single" w:color="auto" w:sz="4" w:space="0"/>
              <w:bottom w:val="single" w:color="auto" w:sz="4" w:space="0"/>
              <w:right w:val="single" w:color="auto" w:sz="4" w:space="0"/>
            </w:tcBorders>
            <w:vAlign w:val="center"/>
          </w:tcPr>
          <w:p w14:paraId="0C87499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w:t>
            </w:r>
          </w:p>
        </w:tc>
        <w:tc>
          <w:tcPr>
            <w:tcW w:w="2336" w:type="dxa"/>
            <w:tcBorders>
              <w:top w:val="single" w:color="auto" w:sz="4" w:space="0"/>
              <w:left w:val="single" w:color="auto" w:sz="4" w:space="0"/>
              <w:bottom w:val="single" w:color="auto" w:sz="4" w:space="0"/>
              <w:right w:val="single" w:color="auto" w:sz="4" w:space="0"/>
            </w:tcBorders>
            <w:vAlign w:val="center"/>
          </w:tcPr>
          <w:p w14:paraId="3D1EEBB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0.8%</w:t>
            </w:r>
          </w:p>
        </w:tc>
        <w:tc>
          <w:tcPr>
            <w:tcW w:w="2336" w:type="dxa"/>
            <w:tcBorders>
              <w:top w:val="single" w:color="auto" w:sz="4" w:space="0"/>
              <w:left w:val="single" w:color="auto" w:sz="4" w:space="0"/>
              <w:bottom w:val="single" w:color="auto" w:sz="4" w:space="0"/>
              <w:right w:val="single" w:color="auto" w:sz="4" w:space="0"/>
            </w:tcBorders>
            <w:vAlign w:val="center"/>
          </w:tcPr>
          <w:p w14:paraId="6644A3DD">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0.7%</w:t>
            </w:r>
          </w:p>
        </w:tc>
      </w:tr>
      <w:tr w14:paraId="03560ABF">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66A9A3F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500～1000万元</w:t>
            </w:r>
          </w:p>
        </w:tc>
        <w:tc>
          <w:tcPr>
            <w:tcW w:w="2336" w:type="dxa"/>
            <w:tcBorders>
              <w:top w:val="single" w:color="auto" w:sz="4" w:space="0"/>
              <w:left w:val="single" w:color="auto" w:sz="4" w:space="0"/>
              <w:bottom w:val="single" w:color="auto" w:sz="4" w:space="0"/>
              <w:right w:val="single" w:color="auto" w:sz="4" w:space="0"/>
            </w:tcBorders>
            <w:vAlign w:val="center"/>
          </w:tcPr>
          <w:p w14:paraId="15030D93">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0.8%</w:t>
            </w:r>
          </w:p>
        </w:tc>
        <w:tc>
          <w:tcPr>
            <w:tcW w:w="2336" w:type="dxa"/>
            <w:tcBorders>
              <w:top w:val="single" w:color="auto" w:sz="4" w:space="0"/>
              <w:left w:val="single" w:color="auto" w:sz="4" w:space="0"/>
              <w:bottom w:val="single" w:color="auto" w:sz="4" w:space="0"/>
              <w:right w:val="single" w:color="auto" w:sz="4" w:space="0"/>
            </w:tcBorders>
            <w:vAlign w:val="center"/>
          </w:tcPr>
          <w:p w14:paraId="312C7CA5">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0.45%</w:t>
            </w:r>
          </w:p>
        </w:tc>
        <w:tc>
          <w:tcPr>
            <w:tcW w:w="2336" w:type="dxa"/>
            <w:tcBorders>
              <w:top w:val="single" w:color="auto" w:sz="4" w:space="0"/>
              <w:left w:val="single" w:color="auto" w:sz="4" w:space="0"/>
              <w:bottom w:val="single" w:color="auto" w:sz="4" w:space="0"/>
              <w:right w:val="single" w:color="auto" w:sz="4" w:space="0"/>
            </w:tcBorders>
            <w:vAlign w:val="center"/>
          </w:tcPr>
          <w:p w14:paraId="12B6A148">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0.55%</w:t>
            </w:r>
          </w:p>
        </w:tc>
      </w:tr>
      <w:tr w14:paraId="620225DE">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16E6EEB9">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1000～5000万元</w:t>
            </w:r>
          </w:p>
        </w:tc>
        <w:tc>
          <w:tcPr>
            <w:tcW w:w="2336" w:type="dxa"/>
            <w:tcBorders>
              <w:top w:val="single" w:color="auto" w:sz="4" w:space="0"/>
              <w:left w:val="single" w:color="auto" w:sz="4" w:space="0"/>
              <w:bottom w:val="single" w:color="auto" w:sz="4" w:space="0"/>
              <w:right w:val="single" w:color="auto" w:sz="4" w:space="0"/>
            </w:tcBorders>
            <w:vAlign w:val="center"/>
          </w:tcPr>
          <w:p w14:paraId="3460DE9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0.5%</w:t>
            </w:r>
          </w:p>
        </w:tc>
        <w:tc>
          <w:tcPr>
            <w:tcW w:w="2336" w:type="dxa"/>
            <w:tcBorders>
              <w:top w:val="single" w:color="auto" w:sz="4" w:space="0"/>
              <w:left w:val="single" w:color="auto" w:sz="4" w:space="0"/>
              <w:bottom w:val="single" w:color="auto" w:sz="4" w:space="0"/>
              <w:right w:val="single" w:color="auto" w:sz="4" w:space="0"/>
            </w:tcBorders>
            <w:vAlign w:val="center"/>
          </w:tcPr>
          <w:p w14:paraId="03470C5D">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0.25%</w:t>
            </w:r>
          </w:p>
        </w:tc>
        <w:tc>
          <w:tcPr>
            <w:tcW w:w="2336" w:type="dxa"/>
            <w:tcBorders>
              <w:top w:val="single" w:color="auto" w:sz="4" w:space="0"/>
              <w:left w:val="single" w:color="auto" w:sz="4" w:space="0"/>
              <w:bottom w:val="single" w:color="auto" w:sz="4" w:space="0"/>
              <w:right w:val="single" w:color="auto" w:sz="4" w:space="0"/>
            </w:tcBorders>
            <w:vAlign w:val="center"/>
          </w:tcPr>
          <w:p w14:paraId="57B1FB4A">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0.35%</w:t>
            </w:r>
          </w:p>
        </w:tc>
      </w:tr>
      <w:tr w14:paraId="5503C3C1">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07739A48">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5000万元～1亿元</w:t>
            </w:r>
          </w:p>
        </w:tc>
        <w:tc>
          <w:tcPr>
            <w:tcW w:w="2336" w:type="dxa"/>
            <w:tcBorders>
              <w:top w:val="single" w:color="auto" w:sz="4" w:space="0"/>
              <w:left w:val="single" w:color="auto" w:sz="4" w:space="0"/>
              <w:bottom w:val="single" w:color="auto" w:sz="4" w:space="0"/>
              <w:right w:val="single" w:color="auto" w:sz="4" w:space="0"/>
            </w:tcBorders>
            <w:vAlign w:val="center"/>
          </w:tcPr>
          <w:p w14:paraId="78F26D75">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0.25%</w:t>
            </w:r>
          </w:p>
        </w:tc>
        <w:tc>
          <w:tcPr>
            <w:tcW w:w="2336" w:type="dxa"/>
            <w:tcBorders>
              <w:top w:val="single" w:color="auto" w:sz="4" w:space="0"/>
              <w:left w:val="single" w:color="auto" w:sz="4" w:space="0"/>
              <w:bottom w:val="single" w:color="auto" w:sz="4" w:space="0"/>
              <w:right w:val="single" w:color="auto" w:sz="4" w:space="0"/>
            </w:tcBorders>
            <w:vAlign w:val="center"/>
          </w:tcPr>
          <w:p w14:paraId="075E0F4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0.1%</w:t>
            </w:r>
          </w:p>
        </w:tc>
        <w:tc>
          <w:tcPr>
            <w:tcW w:w="2336" w:type="dxa"/>
            <w:tcBorders>
              <w:top w:val="single" w:color="auto" w:sz="4" w:space="0"/>
              <w:left w:val="single" w:color="auto" w:sz="4" w:space="0"/>
              <w:bottom w:val="single" w:color="auto" w:sz="4" w:space="0"/>
              <w:right w:val="single" w:color="auto" w:sz="4" w:space="0"/>
            </w:tcBorders>
            <w:vAlign w:val="center"/>
          </w:tcPr>
          <w:p w14:paraId="3E7CCE51">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w:t>
            </w:r>
          </w:p>
        </w:tc>
      </w:tr>
      <w:tr w14:paraId="32946153">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0C79A42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1～5亿元</w:t>
            </w:r>
          </w:p>
        </w:tc>
        <w:tc>
          <w:tcPr>
            <w:tcW w:w="2336" w:type="dxa"/>
            <w:tcBorders>
              <w:top w:val="single" w:color="auto" w:sz="4" w:space="0"/>
              <w:left w:val="single" w:color="auto" w:sz="4" w:space="0"/>
              <w:bottom w:val="single" w:color="auto" w:sz="4" w:space="0"/>
              <w:right w:val="single" w:color="auto" w:sz="4" w:space="0"/>
            </w:tcBorders>
            <w:vAlign w:val="center"/>
          </w:tcPr>
          <w:p w14:paraId="319B01E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0.05%</w:t>
            </w:r>
          </w:p>
        </w:tc>
        <w:tc>
          <w:tcPr>
            <w:tcW w:w="2336" w:type="dxa"/>
            <w:tcBorders>
              <w:top w:val="single" w:color="auto" w:sz="4" w:space="0"/>
              <w:left w:val="single" w:color="auto" w:sz="4" w:space="0"/>
              <w:bottom w:val="single" w:color="auto" w:sz="4" w:space="0"/>
              <w:right w:val="single" w:color="auto" w:sz="4" w:space="0"/>
            </w:tcBorders>
            <w:vAlign w:val="center"/>
          </w:tcPr>
          <w:p w14:paraId="22A4A1F5">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0.05%</w:t>
            </w:r>
          </w:p>
        </w:tc>
        <w:tc>
          <w:tcPr>
            <w:tcW w:w="2336" w:type="dxa"/>
            <w:tcBorders>
              <w:top w:val="single" w:color="auto" w:sz="4" w:space="0"/>
              <w:left w:val="single" w:color="auto" w:sz="4" w:space="0"/>
              <w:bottom w:val="single" w:color="auto" w:sz="4" w:space="0"/>
              <w:right w:val="single" w:color="auto" w:sz="4" w:space="0"/>
            </w:tcBorders>
            <w:vAlign w:val="center"/>
          </w:tcPr>
          <w:p w14:paraId="20E5FFD5">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0.05%</w:t>
            </w:r>
          </w:p>
        </w:tc>
      </w:tr>
      <w:tr w14:paraId="385151AB">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016689E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5～10亿元</w:t>
            </w:r>
          </w:p>
        </w:tc>
        <w:tc>
          <w:tcPr>
            <w:tcW w:w="2336" w:type="dxa"/>
            <w:tcBorders>
              <w:top w:val="single" w:color="auto" w:sz="4" w:space="0"/>
              <w:left w:val="single" w:color="auto" w:sz="4" w:space="0"/>
              <w:bottom w:val="single" w:color="auto" w:sz="4" w:space="0"/>
              <w:right w:val="single" w:color="auto" w:sz="4" w:space="0"/>
            </w:tcBorders>
            <w:vAlign w:val="center"/>
          </w:tcPr>
          <w:p w14:paraId="55C5AAE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0.035%</w:t>
            </w:r>
          </w:p>
        </w:tc>
        <w:tc>
          <w:tcPr>
            <w:tcW w:w="2336" w:type="dxa"/>
            <w:tcBorders>
              <w:top w:val="single" w:color="auto" w:sz="4" w:space="0"/>
              <w:left w:val="single" w:color="auto" w:sz="4" w:space="0"/>
              <w:bottom w:val="single" w:color="auto" w:sz="4" w:space="0"/>
              <w:right w:val="single" w:color="auto" w:sz="4" w:space="0"/>
            </w:tcBorders>
            <w:vAlign w:val="center"/>
          </w:tcPr>
          <w:p w14:paraId="1B3A320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0.035%</w:t>
            </w:r>
          </w:p>
        </w:tc>
        <w:tc>
          <w:tcPr>
            <w:tcW w:w="2336" w:type="dxa"/>
            <w:tcBorders>
              <w:top w:val="single" w:color="auto" w:sz="4" w:space="0"/>
              <w:left w:val="single" w:color="auto" w:sz="4" w:space="0"/>
              <w:bottom w:val="single" w:color="auto" w:sz="4" w:space="0"/>
              <w:right w:val="single" w:color="auto" w:sz="4" w:space="0"/>
            </w:tcBorders>
            <w:vAlign w:val="center"/>
          </w:tcPr>
          <w:p w14:paraId="229E91EF">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0.035%</w:t>
            </w:r>
          </w:p>
        </w:tc>
      </w:tr>
      <w:tr w14:paraId="5CA20CDF">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22B6F0C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10～50亿元</w:t>
            </w:r>
          </w:p>
        </w:tc>
        <w:tc>
          <w:tcPr>
            <w:tcW w:w="2336" w:type="dxa"/>
            <w:tcBorders>
              <w:top w:val="single" w:color="auto" w:sz="4" w:space="0"/>
              <w:left w:val="single" w:color="auto" w:sz="4" w:space="0"/>
              <w:bottom w:val="single" w:color="auto" w:sz="4" w:space="0"/>
              <w:right w:val="single" w:color="auto" w:sz="4" w:space="0"/>
            </w:tcBorders>
            <w:vAlign w:val="center"/>
          </w:tcPr>
          <w:p w14:paraId="5F3FCC19">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0.008%</w:t>
            </w:r>
          </w:p>
        </w:tc>
        <w:tc>
          <w:tcPr>
            <w:tcW w:w="2336" w:type="dxa"/>
            <w:tcBorders>
              <w:top w:val="single" w:color="auto" w:sz="4" w:space="0"/>
              <w:left w:val="single" w:color="auto" w:sz="4" w:space="0"/>
              <w:bottom w:val="single" w:color="auto" w:sz="4" w:space="0"/>
              <w:right w:val="single" w:color="auto" w:sz="4" w:space="0"/>
            </w:tcBorders>
            <w:vAlign w:val="center"/>
          </w:tcPr>
          <w:p w14:paraId="2D85B1B3">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0.008%</w:t>
            </w:r>
          </w:p>
        </w:tc>
        <w:tc>
          <w:tcPr>
            <w:tcW w:w="2336" w:type="dxa"/>
            <w:tcBorders>
              <w:top w:val="single" w:color="auto" w:sz="4" w:space="0"/>
              <w:left w:val="single" w:color="auto" w:sz="4" w:space="0"/>
              <w:bottom w:val="single" w:color="auto" w:sz="4" w:space="0"/>
              <w:right w:val="single" w:color="auto" w:sz="4" w:space="0"/>
            </w:tcBorders>
            <w:vAlign w:val="center"/>
          </w:tcPr>
          <w:p w14:paraId="7CFEF8F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0.008%</w:t>
            </w:r>
          </w:p>
        </w:tc>
      </w:tr>
      <w:tr w14:paraId="0C5C7BD0">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4FD4ABA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50～100亿元</w:t>
            </w:r>
          </w:p>
        </w:tc>
        <w:tc>
          <w:tcPr>
            <w:tcW w:w="2336" w:type="dxa"/>
            <w:tcBorders>
              <w:top w:val="single" w:color="auto" w:sz="4" w:space="0"/>
              <w:left w:val="single" w:color="auto" w:sz="4" w:space="0"/>
              <w:bottom w:val="single" w:color="auto" w:sz="4" w:space="0"/>
              <w:right w:val="single" w:color="auto" w:sz="4" w:space="0"/>
            </w:tcBorders>
            <w:vAlign w:val="center"/>
          </w:tcPr>
          <w:p w14:paraId="2CC98A3F">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0.006%</w:t>
            </w:r>
          </w:p>
        </w:tc>
        <w:tc>
          <w:tcPr>
            <w:tcW w:w="2336" w:type="dxa"/>
            <w:tcBorders>
              <w:top w:val="single" w:color="auto" w:sz="4" w:space="0"/>
              <w:left w:val="single" w:color="auto" w:sz="4" w:space="0"/>
              <w:bottom w:val="single" w:color="auto" w:sz="4" w:space="0"/>
              <w:right w:val="single" w:color="auto" w:sz="4" w:space="0"/>
            </w:tcBorders>
            <w:vAlign w:val="center"/>
          </w:tcPr>
          <w:p w14:paraId="4AC95A4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0.006%</w:t>
            </w:r>
          </w:p>
        </w:tc>
        <w:tc>
          <w:tcPr>
            <w:tcW w:w="2336" w:type="dxa"/>
            <w:tcBorders>
              <w:top w:val="single" w:color="auto" w:sz="4" w:space="0"/>
              <w:left w:val="single" w:color="auto" w:sz="4" w:space="0"/>
              <w:bottom w:val="single" w:color="auto" w:sz="4" w:space="0"/>
              <w:right w:val="single" w:color="auto" w:sz="4" w:space="0"/>
            </w:tcBorders>
            <w:vAlign w:val="center"/>
          </w:tcPr>
          <w:p w14:paraId="2999CD0F">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0.006%</w:t>
            </w:r>
          </w:p>
        </w:tc>
      </w:tr>
      <w:tr w14:paraId="2AF35395">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5306995A">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100亿元以上</w:t>
            </w:r>
          </w:p>
        </w:tc>
        <w:tc>
          <w:tcPr>
            <w:tcW w:w="2336" w:type="dxa"/>
            <w:tcBorders>
              <w:top w:val="single" w:color="auto" w:sz="4" w:space="0"/>
              <w:left w:val="single" w:color="auto" w:sz="4" w:space="0"/>
              <w:bottom w:val="single" w:color="auto" w:sz="4" w:space="0"/>
              <w:right w:val="single" w:color="auto" w:sz="4" w:space="0"/>
            </w:tcBorders>
            <w:vAlign w:val="center"/>
          </w:tcPr>
          <w:p w14:paraId="3F35F3C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0.004%</w:t>
            </w:r>
          </w:p>
        </w:tc>
        <w:tc>
          <w:tcPr>
            <w:tcW w:w="2336" w:type="dxa"/>
            <w:tcBorders>
              <w:top w:val="single" w:color="auto" w:sz="4" w:space="0"/>
              <w:left w:val="single" w:color="auto" w:sz="4" w:space="0"/>
              <w:bottom w:val="single" w:color="auto" w:sz="4" w:space="0"/>
              <w:right w:val="single" w:color="auto" w:sz="4" w:space="0"/>
            </w:tcBorders>
            <w:vAlign w:val="center"/>
          </w:tcPr>
          <w:p w14:paraId="13D5EA38">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0.004%</w:t>
            </w:r>
          </w:p>
        </w:tc>
        <w:tc>
          <w:tcPr>
            <w:tcW w:w="2336" w:type="dxa"/>
            <w:tcBorders>
              <w:top w:val="single" w:color="auto" w:sz="4" w:space="0"/>
              <w:left w:val="single" w:color="auto" w:sz="4" w:space="0"/>
              <w:bottom w:val="single" w:color="auto" w:sz="4" w:space="0"/>
              <w:right w:val="single" w:color="auto" w:sz="4" w:space="0"/>
            </w:tcBorders>
            <w:vAlign w:val="center"/>
          </w:tcPr>
          <w:p w14:paraId="1087206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0.004%</w:t>
            </w:r>
          </w:p>
        </w:tc>
      </w:tr>
    </w:tbl>
    <w:p w14:paraId="53DA432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14:paraId="774E5E8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（1）按本表费率计算的收费为采购代理的收费基准价格；</w:t>
      </w:r>
    </w:p>
    <w:p w14:paraId="148DE99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（2）采购代理收费按差额定率累进法计算。</w:t>
      </w:r>
    </w:p>
    <w:p w14:paraId="587F719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例如：某工程项目采购代理业务成交金额为200万元，计算采购代理收费额如下：</w:t>
      </w:r>
    </w:p>
    <w:p w14:paraId="2C36020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100 万元 ×l.0 %＝ 1.0万元</w:t>
      </w:r>
    </w:p>
    <w:p w14:paraId="2EF9962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200-100 ）万元 ×0.7%＝ 0.7万元</w:t>
      </w:r>
    </w:p>
    <w:p w14:paraId="1C087FE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合计收费＝ 1.0 + 0.7 ＝ 1.7 万元</w:t>
      </w:r>
    </w:p>
    <w:p w14:paraId="0D1FC16C">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33.需要补充的其他内容</w:t>
      </w:r>
    </w:p>
    <w:p w14:paraId="164C136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33.1本磋商文件解释规则详见“供应商须知前附表”。</w:t>
      </w:r>
    </w:p>
    <w:p w14:paraId="7F91B8C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33.2农民工工资保证金见“供应商须知前附表”。</w:t>
      </w:r>
    </w:p>
    <w:p w14:paraId="146A7A0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33.3其他事项详见“供应商须知前附表”。</w:t>
      </w:r>
    </w:p>
    <w:p w14:paraId="53D7CF7B">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33.4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193F8E5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364414E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（2）在工程采购项目中，工程由中小企业承建，即工程施工单位为中小企业，不对其中涉及的货物的制造商和服务的承接商作出要求；</w:t>
      </w:r>
    </w:p>
    <w:p w14:paraId="6CE249A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402FF81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0B4E3AC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依据本磋商文件规定享受扶持政策获得政府采购合同的，小微企业不得将合同分包给大中型企业，中型企业不得将合同分包给大型企业。</w:t>
      </w:r>
    </w:p>
    <w:p w14:paraId="5332317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33.5</w:t>
      </w:r>
      <w:r>
        <w:rPr>
          <w:rFonts w:hint="eastAsia" w:ascii="宋体" w:hAnsi="宋体" w:eastAsia="宋体"/>
          <w:color w:val="000000" w:themeColor="text1"/>
          <w:szCs w:val="21"/>
          <w14:textFill>
            <w14:solidFill>
              <w14:schemeClr w14:val="tx1"/>
            </w14:solidFill>
          </w14:textFill>
        </w:rPr>
        <w:t>现场踏勘：见“供应商须知前附表”。</w:t>
      </w:r>
    </w:p>
    <w:p w14:paraId="051E606E">
      <w:pPr>
        <w:pStyle w:val="2"/>
        <w:jc w:val="center"/>
        <w:rPr>
          <w:rFonts w:hint="eastAsia" w:ascii="宋体" w:hAnsi="宋体" w:eastAsia="宋体"/>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57EE854C">
      <w:pPr>
        <w:pStyle w:val="2"/>
        <w:jc w:val="center"/>
        <w:rPr>
          <w:rFonts w:hint="eastAsia" w:ascii="宋体" w:hAnsi="宋体" w:eastAsia="宋体"/>
          <w:color w:val="000000" w:themeColor="text1"/>
          <w14:textFill>
            <w14:solidFill>
              <w14:schemeClr w14:val="tx1"/>
            </w14:solidFill>
          </w14:textFill>
        </w:rPr>
      </w:pPr>
      <w:bookmarkStart w:id="15" w:name="_Toc197530111"/>
      <w:r>
        <w:rPr>
          <w:rFonts w:hint="eastAsia" w:ascii="宋体" w:hAnsi="宋体" w:eastAsia="宋体"/>
          <w:color w:val="000000" w:themeColor="text1"/>
          <w14:textFill>
            <w14:solidFill>
              <w14:schemeClr w14:val="tx1"/>
            </w14:solidFill>
          </w14:textFill>
        </w:rPr>
        <w:t>第三</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采购需求</w:t>
      </w:r>
      <w:bookmarkEnd w:id="15"/>
    </w:p>
    <w:p w14:paraId="747CAA5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说明：</w:t>
      </w:r>
    </w:p>
    <w:p w14:paraId="6D9EF35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1.“实质性要求”是指采购需求中带“▲”的条款或者不能负偏离的条款或者已经指明不满足按响应文件按无效处理的条款。</w:t>
      </w:r>
    </w:p>
    <w:p w14:paraId="05EA2BA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2.供应商必须自行为其竞标产品侵犯他人的知识产权或者专利成果的行为承担相应法律责任。</w:t>
      </w:r>
    </w:p>
    <w:p w14:paraId="0CD1D14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3.供应商可根据自身情况提供以下内容:</w:t>
      </w:r>
    </w:p>
    <w:p w14:paraId="6855816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项目经理的职称和业绩经验证明材料、技术负责人的职称和业绩经验证明材料、拟投入本工程管理人员的配置及相关资历证明材料(施工员、质量员、材料员应具有有效的相应施工现场专业人员职业培训合格证书，专职安全生产管理人员需具有有效建筑施工企业三类人员C证);</w:t>
      </w:r>
    </w:p>
    <w:p w14:paraId="5879C088">
      <w:pPr>
        <w:spacing w:line="36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2)施工组织设计(包括但不限于:主要施工方法、质量保证措施、确保安全生产的技术组织措施确保工期的技术组织措施等)。</w:t>
      </w:r>
    </w:p>
    <w:p w14:paraId="0399271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4.项目需求一览表：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286"/>
        <w:gridCol w:w="664"/>
        <w:gridCol w:w="664"/>
        <w:gridCol w:w="5910"/>
      </w:tblGrid>
      <w:tr w14:paraId="404E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257D8881">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286" w:type="dxa"/>
            <w:vAlign w:val="center"/>
          </w:tcPr>
          <w:p w14:paraId="5BEA8CF6">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标的名称</w:t>
            </w:r>
          </w:p>
        </w:tc>
        <w:tc>
          <w:tcPr>
            <w:tcW w:w="664" w:type="dxa"/>
            <w:vAlign w:val="center"/>
          </w:tcPr>
          <w:p w14:paraId="502E99E0">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数量及单位</w:t>
            </w:r>
          </w:p>
        </w:tc>
        <w:tc>
          <w:tcPr>
            <w:tcW w:w="664" w:type="dxa"/>
            <w:vAlign w:val="center"/>
          </w:tcPr>
          <w:p w14:paraId="26D1FE6B">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所属行业</w:t>
            </w:r>
          </w:p>
        </w:tc>
        <w:tc>
          <w:tcPr>
            <w:tcW w:w="5910" w:type="dxa"/>
            <w:vAlign w:val="center"/>
          </w:tcPr>
          <w:p w14:paraId="611A12C1">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技术要求</w:t>
            </w:r>
          </w:p>
        </w:tc>
      </w:tr>
      <w:tr w14:paraId="7FDB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1A9FAFD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86" w:type="dxa"/>
            <w:vAlign w:val="center"/>
          </w:tcPr>
          <w:p w14:paraId="7B286BBE">
            <w:pPr>
              <w:spacing w:line="360" w:lineRule="auto"/>
              <w:jc w:val="center"/>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广西大学化学化工学院2号楼和1号楼附楼实验室环境改造（室外电力）项目</w:t>
            </w:r>
          </w:p>
        </w:tc>
        <w:tc>
          <w:tcPr>
            <w:tcW w:w="664" w:type="dxa"/>
            <w:vAlign w:val="center"/>
          </w:tcPr>
          <w:p w14:paraId="58BA462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1项</w:t>
            </w:r>
          </w:p>
        </w:tc>
        <w:tc>
          <w:tcPr>
            <w:tcW w:w="664" w:type="dxa"/>
            <w:vAlign w:val="center"/>
          </w:tcPr>
          <w:p w14:paraId="7D22BA0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建筑业</w:t>
            </w:r>
          </w:p>
        </w:tc>
        <w:tc>
          <w:tcPr>
            <w:tcW w:w="5910" w:type="dxa"/>
            <w:vAlign w:val="center"/>
          </w:tcPr>
          <w:p w14:paraId="3848B481">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一、项目概况</w:t>
            </w:r>
          </w:p>
          <w:p w14:paraId="127C4D21">
            <w:pPr>
              <w:spacing w:line="360" w:lineRule="auto"/>
              <w:ind w:firstLine="420" w:firstLineChars="200"/>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（一）项目名称：</w:t>
            </w:r>
            <w:r>
              <w:rPr>
                <w:rFonts w:hint="eastAsia" w:ascii="宋体" w:hAnsi="宋体"/>
                <w:color w:val="000000" w:themeColor="text1"/>
                <w:szCs w:val="21"/>
                <w:lang w:eastAsia="zh-CN"/>
                <w14:textFill>
                  <w14:solidFill>
                    <w14:schemeClr w14:val="tx1"/>
                  </w14:solidFill>
                </w14:textFill>
              </w:rPr>
              <w:t>广西大学化学化工学院2号楼和1号楼附楼实验室环境改造（室外电力）项目</w:t>
            </w:r>
          </w:p>
          <w:p w14:paraId="2A91BEDE">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（二）建设地点：南宁市大学东路100号广西大学校园内。 </w:t>
            </w:r>
          </w:p>
          <w:p w14:paraId="0EBFC5CA">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（三）建设规模：室外动力电力的改造与建设，需要引入新的室外动力电力与增容等。</w:t>
            </w:r>
          </w:p>
          <w:p w14:paraId="2836FA9F">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（四）施工工期: </w:t>
            </w:r>
            <w:r>
              <w:rPr>
                <w:rFonts w:hint="eastAsia" w:ascii="宋体" w:hAnsi="宋体"/>
                <w:color w:val="000000" w:themeColor="text1"/>
                <w:szCs w:val="21"/>
                <w:lang w:eastAsia="zh-CN"/>
                <w14:textFill>
                  <w14:solidFill>
                    <w14:schemeClr w14:val="tx1"/>
                  </w14:solidFill>
                </w14:textFill>
              </w:rPr>
              <w:t>70日历天</w:t>
            </w:r>
            <w:r>
              <w:rPr>
                <w:rFonts w:hint="eastAsia" w:ascii="宋体" w:hAnsi="宋体"/>
                <w:color w:val="000000" w:themeColor="text1"/>
                <w:szCs w:val="21"/>
                <w14:textFill>
                  <w14:solidFill>
                    <w14:schemeClr w14:val="tx1"/>
                  </w14:solidFill>
                </w14:textFill>
              </w:rPr>
              <w:t>。</w:t>
            </w:r>
          </w:p>
          <w:p w14:paraId="3837B20F">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（五）质量要求：合格。</w:t>
            </w:r>
          </w:p>
          <w:p w14:paraId="6A73A653">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二、竞标人资质要求：</w:t>
            </w:r>
          </w:p>
          <w:p w14:paraId="13C2AE35">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单位资质：具有以下资质并处于有效状态：具备电力工程施工总承包三级及以上资质，同时具备三级以上（含三级）承装(修、试)电力设施许可证。并具有有效的安全生产许可证，并在人员、设备、资金等方面具备相应的施工能力；</w:t>
            </w:r>
          </w:p>
          <w:p w14:paraId="7F4BE3CB">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（二）项目经理：须具备</w:t>
            </w:r>
            <w:r>
              <w:rPr>
                <w:rFonts w:hint="eastAsia" w:ascii="宋体" w:hAnsi="宋体"/>
                <w:color w:val="000000" w:themeColor="text1"/>
                <w:szCs w:val="21"/>
                <w:lang w:val="en-US" w:eastAsia="zh-CN"/>
                <w14:textFill>
                  <w14:solidFill>
                    <w14:schemeClr w14:val="tx1"/>
                  </w14:solidFill>
                </w14:textFill>
              </w:rPr>
              <w:t>机电</w:t>
            </w:r>
            <w:r>
              <w:rPr>
                <w:rFonts w:hint="eastAsia" w:ascii="宋体" w:hAnsi="宋体"/>
                <w:color w:val="000000" w:themeColor="text1"/>
                <w:szCs w:val="21"/>
                <w14:textFill>
                  <w14:solidFill>
                    <w14:schemeClr w14:val="tx1"/>
                  </w14:solidFill>
                </w14:textFill>
              </w:rPr>
              <w:t>工程专业二级(含)以上注册建造师执业资格及有效的安全生产考核合格证书（B类）；</w:t>
            </w:r>
          </w:p>
          <w:p w14:paraId="6D1E9994">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（三）安全员：须具备有效的安全生产考核合格证书（C类）；</w:t>
            </w:r>
          </w:p>
          <w:p w14:paraId="50D0B5C8">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w:t>
            </w:r>
            <w:r>
              <w:rPr>
                <w:rFonts w:hint="eastAsia" w:ascii="宋体" w:hAnsi="宋体"/>
                <w:color w:val="000000" w:themeColor="text1"/>
                <w:szCs w:val="21"/>
                <w:lang w:eastAsia="zh-CN"/>
                <w14:textFill>
                  <w14:solidFill>
                    <w14:schemeClr w14:val="tx1"/>
                  </w14:solidFill>
                </w14:textFill>
              </w:rPr>
              <w:t>施工员、质量员、材料员、造价员：须具备相应施工现场专业人员职业培训合格证书并在有效期内</w:t>
            </w:r>
            <w:r>
              <w:rPr>
                <w:rFonts w:hint="eastAsia" w:ascii="宋体" w:hAnsi="宋体"/>
                <w:color w:val="000000" w:themeColor="text1"/>
                <w:szCs w:val="21"/>
                <w14:textFill>
                  <w14:solidFill>
                    <w14:schemeClr w14:val="tx1"/>
                  </w14:solidFill>
                </w14:textFill>
              </w:rPr>
              <w:t>；</w:t>
            </w:r>
          </w:p>
          <w:p w14:paraId="57F626D5">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以上人员均需提供供应商为其依法缴纳竞标截止之日前半年内任意一个月社会保险凭证或劳动合同或用人单位工作证明复印件。</w:t>
            </w:r>
          </w:p>
          <w:p w14:paraId="193C8B47">
            <w:pPr>
              <w:spacing w:line="360" w:lineRule="auto"/>
              <w:ind w:firstLine="420" w:firstLineChars="200"/>
              <w:jc w:val="left"/>
              <w:rPr>
                <w:rFonts w:hint="eastAsia" w:asciiTheme="minorEastAsia" w:hAnsiTheme="minorEastAsia" w:cstheme="minorEastAsia"/>
                <w:color w:val="000000"/>
                <w:szCs w:val="21"/>
              </w:rPr>
            </w:pPr>
            <w:r>
              <w:rPr>
                <w:rFonts w:hint="eastAsia" w:ascii="宋体" w:hAnsi="宋体" w:cs="宋体"/>
                <w:szCs w:val="21"/>
              </w:rPr>
              <w:t>三、</w:t>
            </w:r>
            <w:r>
              <w:rPr>
                <w:rFonts w:hint="eastAsia" w:asciiTheme="minorEastAsia" w:hAnsiTheme="minorEastAsia" w:cstheme="minorEastAsia"/>
                <w:color w:val="000000"/>
                <w:szCs w:val="21"/>
              </w:rPr>
              <w:t>其它要求：</w:t>
            </w:r>
          </w:p>
          <w:p w14:paraId="42B7EAB9">
            <w:pPr>
              <w:spacing w:line="360" w:lineRule="auto"/>
              <w:ind w:firstLine="420" w:firstLineChars="200"/>
              <w:jc w:val="left"/>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雨天施工单位应采取施工措施保证连续施工，保证施工质量，防止雨水渗入结构层，确保如期竣工，费用自行考虑，因雨天施工导致的工期延误与费用增加不予签证。</w:t>
            </w:r>
          </w:p>
          <w:p w14:paraId="40EEA633">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四、开工日期：以签订合同后采购人通知为准。</w:t>
            </w:r>
          </w:p>
          <w:p w14:paraId="0445ABC5">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五、开工前成交供应商应到采购人水电管理部门办理用水用电手续，签订施工用水用电协议，并以现金转账方式缴纳水电预收款，水电预收款为本工程合同价的 3%（最高不超过50 万元），采购人开通用水用电；现场施工用水、用电费用按月以实际计量收费（单价：以发包人水电部门核准为准）向采购人缴纳；项目竣工验收前，成交供应商应与采购人结算水电费用，待结算完成后，由成交供应商申请，采购人15 个工作日内退还水电预收款（无息）。</w:t>
            </w:r>
          </w:p>
        </w:tc>
      </w:tr>
      <w:tr w14:paraId="495B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5"/>
            <w:vAlign w:val="center"/>
          </w:tcPr>
          <w:p w14:paraId="1CD8EF27">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商务要求</w:t>
            </w:r>
          </w:p>
        </w:tc>
      </w:tr>
      <w:tr w14:paraId="1AC0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54868C5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施工工期</w:t>
            </w:r>
          </w:p>
        </w:tc>
        <w:tc>
          <w:tcPr>
            <w:tcW w:w="7238" w:type="dxa"/>
            <w:gridSpan w:val="3"/>
            <w:vAlign w:val="center"/>
          </w:tcPr>
          <w:p w14:paraId="48C3CDEF">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70日历天</w:t>
            </w:r>
            <w:r>
              <w:rPr>
                <w:rFonts w:hint="eastAsia" w:asciiTheme="minorEastAsia" w:hAnsiTheme="minorEastAsia" w:cstheme="minorEastAsia"/>
                <w:color w:val="000000"/>
                <w:szCs w:val="21"/>
              </w:rPr>
              <w:t>（竣工日期以预验收日期为准）</w:t>
            </w:r>
            <w:r>
              <w:rPr>
                <w:rFonts w:ascii="宋体" w:hAnsi="宋体"/>
                <w:color w:val="000000" w:themeColor="text1"/>
                <w:szCs w:val="21"/>
                <w14:textFill>
                  <w14:solidFill>
                    <w14:schemeClr w14:val="tx1"/>
                  </w14:solidFill>
                </w14:textFill>
              </w:rPr>
              <w:t>。</w:t>
            </w:r>
          </w:p>
        </w:tc>
      </w:tr>
      <w:tr w14:paraId="1736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shd w:val="clear" w:color="auto" w:fill="auto"/>
            <w:vAlign w:val="center"/>
          </w:tcPr>
          <w:p w14:paraId="7C2E0C5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合同签订时间</w:t>
            </w:r>
          </w:p>
        </w:tc>
        <w:tc>
          <w:tcPr>
            <w:tcW w:w="7238" w:type="dxa"/>
            <w:gridSpan w:val="3"/>
            <w:shd w:val="clear" w:color="auto" w:fill="auto"/>
            <w:vAlign w:val="center"/>
          </w:tcPr>
          <w:p w14:paraId="7B6D0844">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自成交通知书发出之日起</w:t>
            </w:r>
            <w:r>
              <w:rPr>
                <w:rFonts w:ascii="宋体" w:hAnsi="宋体"/>
                <w:color w:val="000000" w:themeColor="text1"/>
                <w:szCs w:val="21"/>
                <w14:textFill>
                  <w14:solidFill>
                    <w14:schemeClr w14:val="tx1"/>
                  </w14:solidFill>
                </w14:textFill>
              </w:rPr>
              <w:t>15</w:t>
            </w:r>
            <w:r>
              <w:rPr>
                <w:rFonts w:hint="eastAsia" w:ascii="宋体" w:hAnsi="宋体"/>
                <w:color w:val="000000" w:themeColor="text1"/>
                <w:szCs w:val="21"/>
                <w14:textFill>
                  <w14:solidFill>
                    <w14:schemeClr w14:val="tx1"/>
                  </w14:solidFill>
                </w14:textFill>
              </w:rPr>
              <w:t>日内。</w:t>
            </w:r>
          </w:p>
        </w:tc>
      </w:tr>
      <w:tr w14:paraId="610A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41C665C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报价要求</w:t>
            </w:r>
          </w:p>
        </w:tc>
        <w:tc>
          <w:tcPr>
            <w:tcW w:w="7238" w:type="dxa"/>
            <w:gridSpan w:val="3"/>
            <w:vAlign w:val="center"/>
          </w:tcPr>
          <w:p w14:paraId="1F6483BA">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竞争性磋商报价采用下浮系数报价（报价范围：0≤下浮系数&lt;100%），供应商应认真阅读已经采购人审定的最高限价（招标控制价），参与磋商即表示认可最高限价（招标控制价）及单价，成交后依据合同的固定综合单价【固定综合单价=采购预算价（招标控制价）公布的相应的清单项目的单价×（1-下浮系数）】进行结算，供应商不得对采购人的采购预算价（招标控制价）中的综合单价进行修改，合同总价为暂定合同价【暂定合同价=采购预算价（招标控制价）公布的总金额×（1-下浮系数）】。</w:t>
            </w:r>
          </w:p>
          <w:p w14:paraId="6E1E34C2">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2.竞标报价包括了为实施和完成合同工程所需的劳务、材料、机械、质检（自检）、安装、缺陷修复、管理、保险、税费、利润等费用，以及合同明示或暗示的所有责任、义务和一般风险。</w:t>
            </w:r>
          </w:p>
          <w:p w14:paraId="733C07F7">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3.本项目采用固定综合单价合同，工程量按实际结算，供应商工程量清单中项目的工程量无论增减，均按中标综合单价结算。本工程最终结算价以采购人或采购人选定的第三方工程咨询单位审定金额为准。</w:t>
            </w:r>
          </w:p>
        </w:tc>
      </w:tr>
      <w:tr w14:paraId="5834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534DBCD1">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履约保证金</w:t>
            </w:r>
          </w:p>
        </w:tc>
        <w:tc>
          <w:tcPr>
            <w:tcW w:w="7238" w:type="dxa"/>
            <w:gridSpan w:val="3"/>
            <w:vAlign w:val="center"/>
          </w:tcPr>
          <w:p w14:paraId="297D4220">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履约保证金金额：按签约合同价扣除发包人材料设备价款、暂估专业工程、暂列金额后的2%。在收到成交通知书或任务委托书后须在10日历天内交至指定账户，否则视同放弃成交（履约保证金缴纳时须备注项目名称+项目编号。）</w:t>
            </w:r>
          </w:p>
          <w:p w14:paraId="69FEC351">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2.履约保证金缴纳方式：</w:t>
            </w:r>
            <w:r>
              <w:rPr>
                <w:rFonts w:hint="eastAsia" w:ascii="宋体" w:hAnsi="宋体"/>
                <w:szCs w:val="21"/>
              </w:rPr>
              <w:t>银行转账或者银行出具的无条件保函非现金方式（无息）</w:t>
            </w:r>
            <w:r>
              <w:rPr>
                <w:rFonts w:hint="eastAsia" w:ascii="宋体" w:hAnsi="宋体" w:eastAsia="宋体"/>
                <w:color w:val="000000" w:themeColor="text1"/>
                <w:szCs w:val="21"/>
                <w14:textFill>
                  <w14:solidFill>
                    <w14:schemeClr w14:val="tx1"/>
                  </w14:solidFill>
                </w14:textFill>
              </w:rPr>
              <w:t>。</w:t>
            </w:r>
          </w:p>
          <w:p w14:paraId="1E8070A8">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履约保证金退还方式、时间及条件：履约保证金在工程竣工验收合格并对验收发现的问题完成整改后的5个工作日内，退付履约金的50%；成交供应商向采购人完成（施工）竣工资料移交手续后并提交完整的竣工结算资料，</w:t>
            </w:r>
            <w:r>
              <w:rPr>
                <w:rFonts w:hint="eastAsia" w:ascii="宋体" w:hAnsi="宋体" w:cs="宋体"/>
                <w:color w:val="000000"/>
                <w:szCs w:val="21"/>
              </w:rPr>
              <w:t>竣工结算审核完成，双方在竣工结算审定单签字盖章后1</w:t>
            </w:r>
            <w:r>
              <w:rPr>
                <w:rFonts w:ascii="宋体" w:hAnsi="宋体" w:cs="宋体"/>
                <w:color w:val="000000"/>
                <w:szCs w:val="21"/>
              </w:rPr>
              <w:t>4</w:t>
            </w:r>
            <w:r>
              <w:rPr>
                <w:rFonts w:hint="eastAsia" w:ascii="宋体" w:hAnsi="宋体" w:cs="宋体"/>
                <w:color w:val="000000"/>
                <w:szCs w:val="21"/>
              </w:rPr>
              <w:t>天</w:t>
            </w:r>
            <w:r>
              <w:rPr>
                <w:rFonts w:hint="eastAsia" w:ascii="宋体" w:hAnsi="宋体" w:eastAsia="宋体"/>
                <w:color w:val="000000" w:themeColor="text1"/>
                <w:szCs w:val="21"/>
                <w14:textFill>
                  <w14:solidFill>
                    <w14:schemeClr w14:val="tx1"/>
                  </w14:solidFill>
                </w14:textFill>
              </w:rPr>
              <w:t>可向采购人申请退还剩余的履约保证金，采购人应在收到申请之日起5个工作日内扣减成交供应商赔偿金和其他应从成交供应商扣回的款项后，将履约保证金的余额退还给成交供应商（无息）。</w:t>
            </w:r>
          </w:p>
          <w:p w14:paraId="3B9E8D2B">
            <w:pPr>
              <w:spacing w:line="360" w:lineRule="auto"/>
              <w:jc w:val="left"/>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履约保证金指定账户：</w:t>
            </w:r>
          </w:p>
          <w:p w14:paraId="727D517A">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统一社会信用代码：124500004985009929</w:t>
            </w:r>
          </w:p>
          <w:p w14:paraId="0206DC82">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户名：广西大学</w:t>
            </w:r>
          </w:p>
          <w:p w14:paraId="5E4D0C0E">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开户行：中国银行广西南宁市西大支行</w:t>
            </w:r>
          </w:p>
          <w:p w14:paraId="05339620">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账号：618457484938</w:t>
            </w:r>
          </w:p>
          <w:p w14:paraId="70766F71">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注：其他要求</w:t>
            </w:r>
          </w:p>
          <w:p w14:paraId="7D5F9B75">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根据《广西壮族自治区财政厅关于持续优化政府采购营商环境推动高质量发展的通知》（桂财采〔2024〕55号），采购文件要求成交供应商缴纳履约保证金的，履约保证金数额不得超过政府采购合同金额的5%，对中小企业收取的履约保证金数额不得超过政府采购合同金额的2%。</w:t>
            </w:r>
          </w:p>
          <w:p w14:paraId="61911ACF">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（2）履约保证金必须足额缴纳，或出具的保函额度必须足额且保函有效期不能低于合同履行期限（即签订采购合同之日起至履行完合同约定的权利及义务之日止），否则视为无效履约保证金。</w:t>
            </w:r>
          </w:p>
          <w:p w14:paraId="195CCAC8">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（3）采用保函的，必须为无条件保函，否则视为无效履约保证金。</w:t>
            </w:r>
          </w:p>
        </w:tc>
      </w:tr>
      <w:tr w14:paraId="5681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7A90D8E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工程款（预付款、进度款）支付</w:t>
            </w:r>
          </w:p>
        </w:tc>
        <w:tc>
          <w:tcPr>
            <w:tcW w:w="7238" w:type="dxa"/>
            <w:gridSpan w:val="3"/>
            <w:vAlign w:val="center"/>
          </w:tcPr>
          <w:p w14:paraId="5E093539">
            <w:pPr>
              <w:pStyle w:val="63"/>
              <w:spacing w:line="400" w:lineRule="exact"/>
              <w:ind w:firstLine="0" w:firstLineChars="0"/>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1.预付款支付比例：10%（合同价款扣除发包人材料设备价款、暂估专业工程、暂列金额后的10%）。</w:t>
            </w:r>
          </w:p>
          <w:p w14:paraId="68C45EFF">
            <w:pPr>
              <w:pStyle w:val="63"/>
              <w:spacing w:line="400" w:lineRule="exact"/>
              <w:ind w:firstLine="0" w:firstLineChars="0"/>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2.工程施工阶段完成合同内工程量的50％，经采购人审核，拨付工程进度款至合同价款（扣除采购人材料价款、暂估专业工程、暂列金额）的40％，工程变更部分无进度款，待工程竣工验收合格后3个月内，成交人按要求递交结算报告及全部结算资料，经采购人检查完整合格，双方在《工程项目竣工结算送审资料表》签字确认后, 采购人按照递交的结算价与签约合同价（扣除发包人材料价款、暂估专业工程、暂列金额）二者的低价，拨付工程进度款至70％，工程完工验收达到质量要求，结算经采购人审定，并提交完整合格的竣工资料给采购人，成交人先将工程价款结算总额的3%工程质量保修金缴纳至采购人的指定账户，采购人再将工程款支付至结算总价的100%（含已支付的工程进度款）。因成交人原因造成工程资料与工程进度不同步，或者资料不真实，采购人暂停支付工程进度款，另按（人民币）1000元/次的标准计收违约金。</w:t>
            </w:r>
          </w:p>
          <w:p w14:paraId="675AD124">
            <w:pPr>
              <w:spacing w:line="400" w:lineRule="exact"/>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3.付款申请注意事项</w:t>
            </w:r>
          </w:p>
          <w:p w14:paraId="127FC3F0">
            <w:pPr>
              <w:spacing w:line="400" w:lineRule="exact"/>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（1）进度付款申请单的份数：一式伍份。</w:t>
            </w:r>
          </w:p>
          <w:p w14:paraId="5CFA4C33">
            <w:pPr>
              <w:spacing w:line="400" w:lineRule="exact"/>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（2）进度付款申请单的内容：本次已完成工程的价款、累计已完成的工程价款、累计已支付的工程价款、增加和扣减的其他金额等。</w:t>
            </w:r>
          </w:p>
          <w:p w14:paraId="06C7BF98">
            <w:pPr>
              <w:spacing w:line="400" w:lineRule="exact"/>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3）为保证进度款申请额的准确性，双方约定，供应商报送的工程进度款（以下简称送审款），与采购人最终审定的工程进度款（以下简称审定款）相比，应保证其误差率≤5％，如误差率＞5％，供应商应承担违约责任并支付违约金；误差率为5％—10％（含）的，违约金＝（送审款-审定款）×5%×50％；误差率大于10％的，违约金=（送审款-审定款）×5%，违约金由采购人从供应商工程结算款中扣除。</w:t>
            </w:r>
          </w:p>
          <w:p w14:paraId="4379B2DA">
            <w:pPr>
              <w:spacing w:line="400" w:lineRule="exact"/>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注：误差率=（送审款-审定款）/送审款×100%</w:t>
            </w:r>
          </w:p>
          <w:p w14:paraId="25EF68BE">
            <w:pPr>
              <w:spacing w:line="360" w:lineRule="auto"/>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（4）供应商应及时开具发票，未开具发票给采购人的，采购人不予支付工程进度款。</w:t>
            </w:r>
          </w:p>
        </w:tc>
      </w:tr>
      <w:tr w14:paraId="0BFB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4FD1E9A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验收标准</w:t>
            </w:r>
          </w:p>
        </w:tc>
        <w:tc>
          <w:tcPr>
            <w:tcW w:w="7238" w:type="dxa"/>
            <w:gridSpan w:val="3"/>
            <w:vAlign w:val="center"/>
          </w:tcPr>
          <w:p w14:paraId="19F7F639">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必须达到国家、自治区相关的施工验收规范合格标准。</w:t>
            </w:r>
          </w:p>
        </w:tc>
      </w:tr>
    </w:tbl>
    <w:p w14:paraId="5A4C2010">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6EF3E44">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7B1F2C5D">
      <w:pPr>
        <w:spacing w:line="360" w:lineRule="auto"/>
        <w:ind w:firstLine="640" w:firstLineChars="200"/>
        <w:rPr>
          <w:rFonts w:hint="eastAsia" w:ascii="微软雅黑" w:hAnsi="微软雅黑" w:eastAsia="微软雅黑"/>
          <w:color w:val="000000" w:themeColor="text1"/>
          <w:sz w:val="32"/>
          <w:szCs w:val="32"/>
          <w14:textFill>
            <w14:solidFill>
              <w14:schemeClr w14:val="tx1"/>
            </w14:solidFill>
          </w14:textFill>
        </w:rPr>
      </w:pPr>
      <w:r>
        <w:rPr>
          <w:rFonts w:hint="eastAsia" w:ascii="微软雅黑" w:hAnsi="微软雅黑" w:eastAsia="微软雅黑"/>
          <w:color w:val="000000" w:themeColor="text1"/>
          <w:sz w:val="32"/>
          <w:szCs w:val="32"/>
          <w14:textFill>
            <w14:solidFill>
              <w14:schemeClr w14:val="tx1"/>
            </w14:solidFill>
          </w14:textFill>
        </w:rPr>
        <w:t>附件：</w:t>
      </w:r>
    </w:p>
    <w:p w14:paraId="75F5E3F8">
      <w:pPr>
        <w:spacing w:line="360" w:lineRule="auto"/>
        <w:jc w:val="center"/>
        <w:rPr>
          <w:rFonts w:hint="eastAsia" w:ascii="微软雅黑" w:hAnsi="微软雅黑" w:eastAsia="微软雅黑"/>
          <w:color w:val="000000" w:themeColor="text1"/>
          <w:sz w:val="40"/>
          <w:szCs w:val="40"/>
          <w14:textFill>
            <w14:solidFill>
              <w14:schemeClr w14:val="tx1"/>
            </w14:solidFill>
          </w14:textFill>
        </w:rPr>
      </w:pPr>
      <w:r>
        <w:rPr>
          <w:rFonts w:hint="eastAsia" w:ascii="微软雅黑" w:hAnsi="微软雅黑" w:eastAsia="微软雅黑"/>
          <w:color w:val="000000" w:themeColor="text1"/>
          <w:sz w:val="40"/>
          <w:szCs w:val="40"/>
          <w14:textFill>
            <w14:solidFill>
              <w14:schemeClr w14:val="tx1"/>
            </w14:solidFill>
          </w14:textFill>
        </w:rPr>
        <w:t>中小微企业划型标准</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7"/>
        <w:gridCol w:w="1510"/>
        <w:gridCol w:w="1604"/>
        <w:gridCol w:w="1604"/>
        <w:gridCol w:w="1604"/>
        <w:gridCol w:w="1599"/>
      </w:tblGrid>
      <w:tr w14:paraId="6135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14:paraId="7537886B">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行业名称</w:t>
            </w:r>
          </w:p>
        </w:tc>
        <w:tc>
          <w:tcPr>
            <w:tcW w:w="785" w:type="pct"/>
            <w:vAlign w:val="center"/>
          </w:tcPr>
          <w:p w14:paraId="6E795D4A">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指标名称</w:t>
            </w:r>
          </w:p>
        </w:tc>
        <w:tc>
          <w:tcPr>
            <w:tcW w:w="834" w:type="pct"/>
            <w:vAlign w:val="center"/>
          </w:tcPr>
          <w:p w14:paraId="40FCD9CB">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计量单位</w:t>
            </w:r>
          </w:p>
        </w:tc>
        <w:tc>
          <w:tcPr>
            <w:tcW w:w="834" w:type="pct"/>
            <w:vAlign w:val="center"/>
          </w:tcPr>
          <w:p w14:paraId="3F3C089A">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中型</w:t>
            </w:r>
          </w:p>
        </w:tc>
        <w:tc>
          <w:tcPr>
            <w:tcW w:w="834" w:type="pct"/>
            <w:vAlign w:val="center"/>
          </w:tcPr>
          <w:p w14:paraId="7D22DD33">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小型</w:t>
            </w:r>
          </w:p>
        </w:tc>
        <w:tc>
          <w:tcPr>
            <w:tcW w:w="831" w:type="pct"/>
            <w:vAlign w:val="center"/>
          </w:tcPr>
          <w:p w14:paraId="3D8CE4E3">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微型</w:t>
            </w:r>
          </w:p>
        </w:tc>
      </w:tr>
      <w:tr w14:paraId="6782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14:paraId="66115478">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农、林、牧、渔</w:t>
            </w:r>
          </w:p>
        </w:tc>
        <w:tc>
          <w:tcPr>
            <w:tcW w:w="785" w:type="pct"/>
            <w:vAlign w:val="center"/>
          </w:tcPr>
          <w:p w14:paraId="41E26A3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2611AC0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0F015F8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500≤Y＜20000</w:t>
            </w:r>
          </w:p>
        </w:tc>
        <w:tc>
          <w:tcPr>
            <w:tcW w:w="834" w:type="pct"/>
            <w:vAlign w:val="center"/>
          </w:tcPr>
          <w:p w14:paraId="42BAE03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50≤Y＜500</w:t>
            </w:r>
          </w:p>
        </w:tc>
        <w:tc>
          <w:tcPr>
            <w:tcW w:w="831" w:type="pct"/>
            <w:vAlign w:val="center"/>
          </w:tcPr>
          <w:p w14:paraId="16376DF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Y＜50</w:t>
            </w:r>
          </w:p>
        </w:tc>
      </w:tr>
      <w:tr w14:paraId="7B28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206B16B0">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工业</w:t>
            </w:r>
          </w:p>
        </w:tc>
        <w:tc>
          <w:tcPr>
            <w:tcW w:w="785" w:type="pct"/>
            <w:vAlign w:val="center"/>
          </w:tcPr>
          <w:p w14:paraId="4752134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32BABDF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4115D25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14:paraId="7D3437B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20≤X＜300</w:t>
            </w:r>
          </w:p>
        </w:tc>
        <w:tc>
          <w:tcPr>
            <w:tcW w:w="831" w:type="pct"/>
            <w:vAlign w:val="center"/>
          </w:tcPr>
          <w:p w14:paraId="574B347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14:paraId="00B6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5A159F75">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0A93345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4C4B58C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0199911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2000≤Y＜40000</w:t>
            </w:r>
          </w:p>
        </w:tc>
        <w:tc>
          <w:tcPr>
            <w:tcW w:w="834" w:type="pct"/>
            <w:vAlign w:val="center"/>
          </w:tcPr>
          <w:p w14:paraId="7B605ED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300≤Y＜2000</w:t>
            </w:r>
          </w:p>
        </w:tc>
        <w:tc>
          <w:tcPr>
            <w:tcW w:w="831" w:type="pct"/>
            <w:vAlign w:val="center"/>
          </w:tcPr>
          <w:p w14:paraId="3B24755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Y＜300</w:t>
            </w:r>
          </w:p>
        </w:tc>
      </w:tr>
      <w:tr w14:paraId="2E94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7334D8AF">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建筑业</w:t>
            </w:r>
          </w:p>
        </w:tc>
        <w:tc>
          <w:tcPr>
            <w:tcW w:w="785" w:type="pct"/>
            <w:vAlign w:val="center"/>
          </w:tcPr>
          <w:p w14:paraId="4D699B4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6777A36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73C381D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6000≤Y＜80000</w:t>
            </w:r>
          </w:p>
        </w:tc>
        <w:tc>
          <w:tcPr>
            <w:tcW w:w="834" w:type="pct"/>
            <w:vAlign w:val="center"/>
          </w:tcPr>
          <w:p w14:paraId="2E5A4CB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300≤Y＜6000</w:t>
            </w:r>
          </w:p>
        </w:tc>
        <w:tc>
          <w:tcPr>
            <w:tcW w:w="831" w:type="pct"/>
            <w:vAlign w:val="center"/>
          </w:tcPr>
          <w:p w14:paraId="593DAFF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Y＜300</w:t>
            </w:r>
          </w:p>
        </w:tc>
      </w:tr>
      <w:tr w14:paraId="6D92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13D9D2BC">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26762EF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资产总额（Z）</w:t>
            </w:r>
          </w:p>
        </w:tc>
        <w:tc>
          <w:tcPr>
            <w:tcW w:w="834" w:type="pct"/>
            <w:vAlign w:val="center"/>
          </w:tcPr>
          <w:p w14:paraId="1EF3B9A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072711C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5000≤Z＜80000</w:t>
            </w:r>
          </w:p>
        </w:tc>
        <w:tc>
          <w:tcPr>
            <w:tcW w:w="834" w:type="pct"/>
            <w:vAlign w:val="center"/>
          </w:tcPr>
          <w:p w14:paraId="00E25A7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300≤Z＜5000</w:t>
            </w:r>
          </w:p>
        </w:tc>
        <w:tc>
          <w:tcPr>
            <w:tcW w:w="831" w:type="pct"/>
            <w:vAlign w:val="center"/>
          </w:tcPr>
          <w:p w14:paraId="06B51FD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Z＜300</w:t>
            </w:r>
          </w:p>
        </w:tc>
      </w:tr>
      <w:tr w14:paraId="2DCD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17C3D2BE">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批发业</w:t>
            </w:r>
          </w:p>
        </w:tc>
        <w:tc>
          <w:tcPr>
            <w:tcW w:w="785" w:type="pct"/>
            <w:vAlign w:val="center"/>
          </w:tcPr>
          <w:p w14:paraId="4E788C8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01B3F82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7043B33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20≤X＜200</w:t>
            </w:r>
          </w:p>
        </w:tc>
        <w:tc>
          <w:tcPr>
            <w:tcW w:w="834" w:type="pct"/>
            <w:vAlign w:val="center"/>
          </w:tcPr>
          <w:p w14:paraId="703FA7B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5≤X＜20</w:t>
            </w:r>
          </w:p>
        </w:tc>
        <w:tc>
          <w:tcPr>
            <w:tcW w:w="831" w:type="pct"/>
            <w:vAlign w:val="center"/>
          </w:tcPr>
          <w:p w14:paraId="5511FAC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X＜5</w:t>
            </w:r>
          </w:p>
        </w:tc>
      </w:tr>
      <w:tr w14:paraId="2E3B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4CED8E5A">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507AE5A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15C8A15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4CE25B8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5000≤Y＜40000</w:t>
            </w:r>
          </w:p>
        </w:tc>
        <w:tc>
          <w:tcPr>
            <w:tcW w:w="834" w:type="pct"/>
            <w:vAlign w:val="center"/>
          </w:tcPr>
          <w:p w14:paraId="22DD0FA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1000≤Y＜5000</w:t>
            </w:r>
          </w:p>
        </w:tc>
        <w:tc>
          <w:tcPr>
            <w:tcW w:w="831" w:type="pct"/>
            <w:vAlign w:val="center"/>
          </w:tcPr>
          <w:p w14:paraId="15AD239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Y＜1000</w:t>
            </w:r>
          </w:p>
        </w:tc>
      </w:tr>
      <w:tr w14:paraId="6D7C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3BBB636A">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零售业</w:t>
            </w:r>
          </w:p>
        </w:tc>
        <w:tc>
          <w:tcPr>
            <w:tcW w:w="785" w:type="pct"/>
            <w:vAlign w:val="center"/>
          </w:tcPr>
          <w:p w14:paraId="1EE1B6B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542B892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253AAFD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50≤X＜300</w:t>
            </w:r>
          </w:p>
        </w:tc>
        <w:tc>
          <w:tcPr>
            <w:tcW w:w="834" w:type="pct"/>
            <w:vAlign w:val="center"/>
          </w:tcPr>
          <w:p w14:paraId="57785D7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10≤X＜50</w:t>
            </w:r>
          </w:p>
        </w:tc>
        <w:tc>
          <w:tcPr>
            <w:tcW w:w="831" w:type="pct"/>
            <w:vAlign w:val="center"/>
          </w:tcPr>
          <w:p w14:paraId="3FA664F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14:paraId="2391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4D78A2E3">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280DC06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329ACC0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7792844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500≤Y＜20000</w:t>
            </w:r>
          </w:p>
        </w:tc>
        <w:tc>
          <w:tcPr>
            <w:tcW w:w="834" w:type="pct"/>
            <w:vAlign w:val="center"/>
          </w:tcPr>
          <w:p w14:paraId="4AEA9B0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100≤Y＜500</w:t>
            </w:r>
          </w:p>
        </w:tc>
        <w:tc>
          <w:tcPr>
            <w:tcW w:w="831" w:type="pct"/>
            <w:vAlign w:val="center"/>
          </w:tcPr>
          <w:p w14:paraId="254A043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14:paraId="5A52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1030788C">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交通运输业</w:t>
            </w:r>
          </w:p>
        </w:tc>
        <w:tc>
          <w:tcPr>
            <w:tcW w:w="785" w:type="pct"/>
            <w:vAlign w:val="center"/>
          </w:tcPr>
          <w:p w14:paraId="2E8D518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7E7C6FA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06D3E61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14:paraId="0A2F79A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20≤X＜300</w:t>
            </w:r>
          </w:p>
        </w:tc>
        <w:tc>
          <w:tcPr>
            <w:tcW w:w="831" w:type="pct"/>
            <w:vAlign w:val="center"/>
          </w:tcPr>
          <w:p w14:paraId="5A5A6EA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14:paraId="39DE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3D1F3E10">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729CD0B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0500D63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0C263FF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3000≤Y＜30000</w:t>
            </w:r>
          </w:p>
        </w:tc>
        <w:tc>
          <w:tcPr>
            <w:tcW w:w="834" w:type="pct"/>
            <w:vAlign w:val="center"/>
          </w:tcPr>
          <w:p w14:paraId="3270AD9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200≤Y＜3000</w:t>
            </w:r>
          </w:p>
        </w:tc>
        <w:tc>
          <w:tcPr>
            <w:tcW w:w="831" w:type="pct"/>
            <w:vAlign w:val="center"/>
          </w:tcPr>
          <w:p w14:paraId="27C1336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Y＜200</w:t>
            </w:r>
          </w:p>
        </w:tc>
      </w:tr>
      <w:tr w14:paraId="0712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36BDCB27">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仓储业</w:t>
            </w:r>
          </w:p>
        </w:tc>
        <w:tc>
          <w:tcPr>
            <w:tcW w:w="785" w:type="pct"/>
            <w:vAlign w:val="center"/>
          </w:tcPr>
          <w:p w14:paraId="2A276B8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455554D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75A48F6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100≤X＜200</w:t>
            </w:r>
          </w:p>
        </w:tc>
        <w:tc>
          <w:tcPr>
            <w:tcW w:w="834" w:type="pct"/>
            <w:vAlign w:val="center"/>
          </w:tcPr>
          <w:p w14:paraId="451F21D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20≤X＜100</w:t>
            </w:r>
          </w:p>
        </w:tc>
        <w:tc>
          <w:tcPr>
            <w:tcW w:w="831" w:type="pct"/>
            <w:vAlign w:val="center"/>
          </w:tcPr>
          <w:p w14:paraId="5661F57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14:paraId="23132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78E4500E">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69E0116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5407D6C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4BC8A6D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1000≤Y＜30000</w:t>
            </w:r>
          </w:p>
        </w:tc>
        <w:tc>
          <w:tcPr>
            <w:tcW w:w="834" w:type="pct"/>
            <w:vAlign w:val="center"/>
          </w:tcPr>
          <w:p w14:paraId="6BB5E95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100≤Y＜1000</w:t>
            </w:r>
          </w:p>
        </w:tc>
        <w:tc>
          <w:tcPr>
            <w:tcW w:w="831" w:type="pct"/>
            <w:vAlign w:val="center"/>
          </w:tcPr>
          <w:p w14:paraId="3CC66B6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14:paraId="5232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30D9BF34">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邮政业</w:t>
            </w:r>
          </w:p>
        </w:tc>
        <w:tc>
          <w:tcPr>
            <w:tcW w:w="785" w:type="pct"/>
            <w:vAlign w:val="center"/>
          </w:tcPr>
          <w:p w14:paraId="2C88EC0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1BD2D27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01E0A22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14:paraId="21B98F3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20≤X＜300</w:t>
            </w:r>
          </w:p>
        </w:tc>
        <w:tc>
          <w:tcPr>
            <w:tcW w:w="831" w:type="pct"/>
            <w:vAlign w:val="center"/>
          </w:tcPr>
          <w:p w14:paraId="66B894D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14:paraId="46AA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031878A9">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5CD993A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2201761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2D1BF85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2000≤Y＜30000</w:t>
            </w:r>
          </w:p>
        </w:tc>
        <w:tc>
          <w:tcPr>
            <w:tcW w:w="834" w:type="pct"/>
            <w:vAlign w:val="center"/>
          </w:tcPr>
          <w:p w14:paraId="251407D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100≤Y＜2000</w:t>
            </w:r>
          </w:p>
        </w:tc>
        <w:tc>
          <w:tcPr>
            <w:tcW w:w="831" w:type="pct"/>
            <w:vAlign w:val="center"/>
          </w:tcPr>
          <w:p w14:paraId="0C7D86D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14:paraId="1243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20BD6B23">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住宿业</w:t>
            </w:r>
          </w:p>
        </w:tc>
        <w:tc>
          <w:tcPr>
            <w:tcW w:w="785" w:type="pct"/>
            <w:vAlign w:val="center"/>
          </w:tcPr>
          <w:p w14:paraId="1DC3F08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00EEA06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5D8CDFA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14:paraId="006C8E5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14:paraId="5F9C826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14:paraId="4029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48565B54">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33FA8A8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2DA0E47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10695C0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2000≤Y＜10000</w:t>
            </w:r>
          </w:p>
        </w:tc>
        <w:tc>
          <w:tcPr>
            <w:tcW w:w="834" w:type="pct"/>
            <w:vAlign w:val="center"/>
          </w:tcPr>
          <w:p w14:paraId="34FC7E9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100≤Y＜2000</w:t>
            </w:r>
          </w:p>
        </w:tc>
        <w:tc>
          <w:tcPr>
            <w:tcW w:w="831" w:type="pct"/>
            <w:vAlign w:val="center"/>
          </w:tcPr>
          <w:p w14:paraId="55913EF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14:paraId="16CA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181E3F26">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餐饮业</w:t>
            </w:r>
          </w:p>
        </w:tc>
        <w:tc>
          <w:tcPr>
            <w:tcW w:w="785" w:type="pct"/>
            <w:vAlign w:val="center"/>
          </w:tcPr>
          <w:p w14:paraId="5B695A6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73BE648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6A238EF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14:paraId="712FB62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14:paraId="4E6BC0A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14:paraId="6068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6E2D4C99">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5AE075D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7016182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1AA9F9A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2000≤Y＜10000</w:t>
            </w:r>
          </w:p>
        </w:tc>
        <w:tc>
          <w:tcPr>
            <w:tcW w:w="834" w:type="pct"/>
            <w:vAlign w:val="center"/>
          </w:tcPr>
          <w:p w14:paraId="05DB087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100≤Y＜2000</w:t>
            </w:r>
          </w:p>
        </w:tc>
        <w:tc>
          <w:tcPr>
            <w:tcW w:w="831" w:type="pct"/>
            <w:vAlign w:val="center"/>
          </w:tcPr>
          <w:p w14:paraId="3EE132D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14:paraId="067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21F766B3">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信息传输业</w:t>
            </w:r>
          </w:p>
        </w:tc>
        <w:tc>
          <w:tcPr>
            <w:tcW w:w="785" w:type="pct"/>
            <w:vAlign w:val="center"/>
          </w:tcPr>
          <w:p w14:paraId="2B2B948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41ECEA8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38EE632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100≤X＜2000</w:t>
            </w:r>
          </w:p>
        </w:tc>
        <w:tc>
          <w:tcPr>
            <w:tcW w:w="834" w:type="pct"/>
            <w:vAlign w:val="center"/>
          </w:tcPr>
          <w:p w14:paraId="2C5EEA1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14:paraId="5048730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14:paraId="3C63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3EC258D8">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40D72AF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1999018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1DDD6FA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1000≤Y＜100000</w:t>
            </w:r>
          </w:p>
        </w:tc>
        <w:tc>
          <w:tcPr>
            <w:tcW w:w="834" w:type="pct"/>
            <w:vAlign w:val="center"/>
          </w:tcPr>
          <w:p w14:paraId="5311A6B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100≤Y＜1000</w:t>
            </w:r>
          </w:p>
        </w:tc>
        <w:tc>
          <w:tcPr>
            <w:tcW w:w="831" w:type="pct"/>
            <w:vAlign w:val="center"/>
          </w:tcPr>
          <w:p w14:paraId="6736CCF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14:paraId="2CB2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4260A4FE">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软件和信息技术服务业</w:t>
            </w:r>
          </w:p>
        </w:tc>
        <w:tc>
          <w:tcPr>
            <w:tcW w:w="785" w:type="pct"/>
            <w:vAlign w:val="center"/>
          </w:tcPr>
          <w:p w14:paraId="10A68F5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60D6127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0F8F1D8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14:paraId="006B68C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14:paraId="33A06E3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14:paraId="620E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4842981B">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3DD2113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3EEC805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12047D5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1000≤Y＜10000</w:t>
            </w:r>
          </w:p>
        </w:tc>
        <w:tc>
          <w:tcPr>
            <w:tcW w:w="834" w:type="pct"/>
            <w:vAlign w:val="center"/>
          </w:tcPr>
          <w:p w14:paraId="514A715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50≤Y＜1000</w:t>
            </w:r>
          </w:p>
        </w:tc>
        <w:tc>
          <w:tcPr>
            <w:tcW w:w="831" w:type="pct"/>
            <w:vAlign w:val="center"/>
          </w:tcPr>
          <w:p w14:paraId="2FEAE98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Y＜50</w:t>
            </w:r>
          </w:p>
        </w:tc>
      </w:tr>
      <w:tr w14:paraId="6FEB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668F7270">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房地产开发经营</w:t>
            </w:r>
          </w:p>
        </w:tc>
        <w:tc>
          <w:tcPr>
            <w:tcW w:w="785" w:type="pct"/>
            <w:vAlign w:val="center"/>
          </w:tcPr>
          <w:p w14:paraId="28262B2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5B5313D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1D2C3B2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1000≤Y＜200000</w:t>
            </w:r>
          </w:p>
        </w:tc>
        <w:tc>
          <w:tcPr>
            <w:tcW w:w="834" w:type="pct"/>
            <w:vAlign w:val="center"/>
          </w:tcPr>
          <w:p w14:paraId="44E6152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100≤X＜1000</w:t>
            </w:r>
          </w:p>
        </w:tc>
        <w:tc>
          <w:tcPr>
            <w:tcW w:w="831" w:type="pct"/>
            <w:vAlign w:val="center"/>
          </w:tcPr>
          <w:p w14:paraId="49C6EFD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X＜100</w:t>
            </w:r>
          </w:p>
        </w:tc>
      </w:tr>
      <w:tr w14:paraId="03CF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3C01F09A">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3178232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资产总额（Z）</w:t>
            </w:r>
          </w:p>
        </w:tc>
        <w:tc>
          <w:tcPr>
            <w:tcW w:w="834" w:type="pct"/>
            <w:vAlign w:val="center"/>
          </w:tcPr>
          <w:p w14:paraId="68EA706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04E61CD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5000≤Z＜10000</w:t>
            </w:r>
          </w:p>
        </w:tc>
        <w:tc>
          <w:tcPr>
            <w:tcW w:w="834" w:type="pct"/>
            <w:vAlign w:val="center"/>
          </w:tcPr>
          <w:p w14:paraId="0AEC672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2000≤Y＜5000</w:t>
            </w:r>
          </w:p>
        </w:tc>
        <w:tc>
          <w:tcPr>
            <w:tcW w:w="831" w:type="pct"/>
            <w:vAlign w:val="center"/>
          </w:tcPr>
          <w:p w14:paraId="2A3D115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Y＜2000</w:t>
            </w:r>
          </w:p>
        </w:tc>
      </w:tr>
      <w:tr w14:paraId="279D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5C044BFE">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物业管理</w:t>
            </w:r>
          </w:p>
        </w:tc>
        <w:tc>
          <w:tcPr>
            <w:tcW w:w="785" w:type="pct"/>
            <w:vAlign w:val="center"/>
          </w:tcPr>
          <w:p w14:paraId="2BE4485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6FB8B94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1CA8BA0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14:paraId="0FF655E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1" w:type="pct"/>
            <w:vAlign w:val="center"/>
          </w:tcPr>
          <w:p w14:paraId="78491AF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X＜100</w:t>
            </w:r>
          </w:p>
        </w:tc>
      </w:tr>
      <w:tr w14:paraId="093C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51F93CF7">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61A4BB5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14:paraId="07B3591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066C829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1000≤Y＜5000</w:t>
            </w:r>
          </w:p>
        </w:tc>
        <w:tc>
          <w:tcPr>
            <w:tcW w:w="834" w:type="pct"/>
            <w:vAlign w:val="center"/>
          </w:tcPr>
          <w:p w14:paraId="0BDADB8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500≤Y＜1000</w:t>
            </w:r>
          </w:p>
        </w:tc>
        <w:tc>
          <w:tcPr>
            <w:tcW w:w="831" w:type="pct"/>
            <w:vAlign w:val="center"/>
          </w:tcPr>
          <w:p w14:paraId="6623DF5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Y＜500</w:t>
            </w:r>
          </w:p>
        </w:tc>
      </w:tr>
      <w:tr w14:paraId="3B5E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61BE1C1C">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租赁和商务服务业</w:t>
            </w:r>
          </w:p>
        </w:tc>
        <w:tc>
          <w:tcPr>
            <w:tcW w:w="785" w:type="pct"/>
            <w:vAlign w:val="center"/>
          </w:tcPr>
          <w:p w14:paraId="55493B2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756F575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4B761DA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14:paraId="0D5BD44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14:paraId="16EA738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14:paraId="16F0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2FBEC73B">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14:paraId="44EDE8C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资产总额（Z）</w:t>
            </w:r>
          </w:p>
        </w:tc>
        <w:tc>
          <w:tcPr>
            <w:tcW w:w="834" w:type="pct"/>
            <w:vAlign w:val="center"/>
          </w:tcPr>
          <w:p w14:paraId="76087CB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14:paraId="3EA5C24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8000≤Z＜120000</w:t>
            </w:r>
          </w:p>
        </w:tc>
        <w:tc>
          <w:tcPr>
            <w:tcW w:w="834" w:type="pct"/>
            <w:vAlign w:val="center"/>
          </w:tcPr>
          <w:p w14:paraId="781A645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100≤Z＜8000</w:t>
            </w:r>
          </w:p>
        </w:tc>
        <w:tc>
          <w:tcPr>
            <w:tcW w:w="831" w:type="pct"/>
            <w:vAlign w:val="center"/>
          </w:tcPr>
          <w:p w14:paraId="278791C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14:paraId="63CB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14:paraId="1EA0B321">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其他未列明行业</w:t>
            </w:r>
          </w:p>
        </w:tc>
        <w:tc>
          <w:tcPr>
            <w:tcW w:w="785" w:type="pct"/>
            <w:vAlign w:val="center"/>
          </w:tcPr>
          <w:p w14:paraId="1604B08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14:paraId="4CF45BE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14:paraId="5577276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14:paraId="572F7CD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14:paraId="53D66AC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bl>
    <w:p w14:paraId="029C1836">
      <w:pPr>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4D19CD16">
      <w:pPr>
        <w:pStyle w:val="2"/>
        <w:jc w:val="center"/>
        <w:rPr>
          <w:rFonts w:hint="eastAsia" w:ascii="宋体" w:hAnsi="宋体" w:eastAsia="宋体"/>
          <w:color w:val="000000" w:themeColor="text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3A771C5A">
      <w:pPr>
        <w:pStyle w:val="2"/>
        <w:jc w:val="center"/>
        <w:rPr>
          <w:rFonts w:hint="eastAsia" w:ascii="宋体" w:hAnsi="宋体" w:eastAsia="宋体"/>
          <w:color w:val="000000" w:themeColor="text1"/>
          <w14:textFill>
            <w14:solidFill>
              <w14:schemeClr w14:val="tx1"/>
            </w14:solidFill>
          </w14:textFill>
        </w:rPr>
      </w:pPr>
      <w:bookmarkStart w:id="16" w:name="_Toc197530112"/>
      <w:r>
        <w:rPr>
          <w:rFonts w:hint="eastAsia" w:ascii="宋体" w:hAnsi="宋体" w:eastAsia="宋体"/>
          <w:color w:val="000000" w:themeColor="text1"/>
          <w14:textFill>
            <w14:solidFill>
              <w14:schemeClr w14:val="tx1"/>
            </w14:solidFill>
          </w14:textFill>
        </w:rPr>
        <w:t>第四</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评审程序、评审方法和评审标准</w:t>
      </w:r>
      <w:bookmarkEnd w:id="16"/>
    </w:p>
    <w:p w14:paraId="06876B76">
      <w:pPr>
        <w:pStyle w:val="3"/>
        <w:jc w:val="center"/>
        <w:rPr>
          <w:color w:val="000000" w:themeColor="text1"/>
          <w14:textFill>
            <w14:solidFill>
              <w14:schemeClr w14:val="tx1"/>
            </w14:solidFill>
          </w14:textFill>
        </w:rPr>
      </w:pPr>
      <w:bookmarkStart w:id="17" w:name="_Toc197530113"/>
      <w:r>
        <w:rPr>
          <w:rFonts w:hint="eastAsia"/>
          <w:color w:val="000000" w:themeColor="text1"/>
          <w14:textFill>
            <w14:solidFill>
              <w14:schemeClr w14:val="tx1"/>
            </w14:solidFill>
          </w14:textFill>
        </w:rPr>
        <w:t>一、评审程序和评审方法</w:t>
      </w:r>
      <w:bookmarkEnd w:id="17"/>
    </w:p>
    <w:p w14:paraId="14323B47">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1.资格审查</w:t>
      </w:r>
    </w:p>
    <w:p w14:paraId="6618C91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1.1响应文件开启后，磋商小组依法对供应商的资格证明文件进行审查。</w:t>
      </w:r>
    </w:p>
    <w:p w14:paraId="5FE851D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注：磋商小组在资格审查结束前，对供应商进行信用查询。</w:t>
      </w:r>
    </w:p>
    <w:p w14:paraId="6E97E1E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（1）查询渠道：广西政府采购云平台“信用中国”网站（www.creditchina.gov.cn）、中国政府采购网（www.ccgp.gov.cn）链接入口。</w:t>
      </w:r>
    </w:p>
    <w:p w14:paraId="53C1EAA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（2）信用查询截止时点：资格审查结束前。</w:t>
      </w:r>
    </w:p>
    <w:p w14:paraId="5153E83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（3）查询记录和证据留存方式：在查询网站中直接查询，截图另存为电子文档作为评审资料保存。</w:t>
      </w:r>
    </w:p>
    <w:p w14:paraId="1AFFDD1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64D0CEA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1.2资格审查标准为本磋商文件中载明对供应商资格要求的条件。资格审查采用合格制，凡符合磋商文件规定的供应商资格要求的响应文件均通过资格审查。</w:t>
      </w:r>
    </w:p>
    <w:p w14:paraId="3994078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1.3供应商有下列情形之一的，资格审查不通过，其响应文件按无效处理：</w:t>
      </w:r>
    </w:p>
    <w:p w14:paraId="7EF278D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（1）不具备磋商文件中规定的资格要求的；</w:t>
      </w:r>
    </w:p>
    <w:p w14:paraId="3713FC3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（2）未按磋商文件规定的方式获取本磋商文件的；</w:t>
      </w:r>
    </w:p>
    <w:p w14:paraId="14C0D2D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（3）响应文件的资格证明文件缺少任一项“供应商须知前附表”资格证明文件规定的“必须提供”的文件资料的；</w:t>
      </w:r>
    </w:p>
    <w:p w14:paraId="4464F5F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（4）响应文件中的资格证明文件出现任一项不符合“供应商须知前附表”资格证明文件规定的“必须提供”的文件资料要求或者无效的；</w:t>
      </w:r>
    </w:p>
    <w:p w14:paraId="703CF49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（5）同一合同项下的不同供应商，单位负责人为同一人或者存在直接控股、管理关系的；为本项目提供过整体设计、规范编制或者项目管理、监理、检测等服务的供应商，再参加该采购项目的其他采购活动的。</w:t>
      </w:r>
    </w:p>
    <w:p w14:paraId="6D8072B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1.4通过资格审查的合格供应商不足3家的，不得进入符合性审查环节，应当重新开展采购活动。</w:t>
      </w:r>
    </w:p>
    <w:p w14:paraId="73BCB35C">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2.符合性审查</w:t>
      </w:r>
    </w:p>
    <w:p w14:paraId="2939C02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2.1磋商小组对通过资格审查的合格供应商的响应文件的竞争性磋商报价、商务、技术等实质性要求进行符合性审查，以确定其是否满足磋商文件的实质性要求。</w:t>
      </w:r>
    </w:p>
    <w:p w14:paraId="278CF85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61F5A6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5BDCCC0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08B3C5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2.4首次响应文件报价出现前后不一致的，按照下列规定修正：</w:t>
      </w:r>
    </w:p>
    <w:p w14:paraId="3896F11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（1）响应文件中报价表内容与响应文件中相应内容不一致的，以报价表为准；</w:t>
      </w:r>
    </w:p>
    <w:p w14:paraId="11AB88C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（2）大写金额和小写金额不一致的，以大写金额为准；</w:t>
      </w:r>
    </w:p>
    <w:p w14:paraId="7CABCF9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（3）单价金额小数点或者百分比有明显错位的，以报价表的总价为准，并修改单价；</w:t>
      </w:r>
    </w:p>
    <w:p w14:paraId="66482A7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（4）总价金额与按单价汇总金额不一致的，以单价金额计算结果为准。</w:t>
      </w:r>
    </w:p>
    <w:p w14:paraId="7991600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同时出现两种以上不一致的，按照以上（1）-（4）规定的顺序逐条进行修正。修正后的报价经供应商确认后产生约束力，供应商不确认的，其响应文件按无效处理。</w:t>
      </w:r>
    </w:p>
    <w:p w14:paraId="591D0B9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2.5商务技术报价评审</w:t>
      </w:r>
    </w:p>
    <w:p w14:paraId="4A5251D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在评审时，如发现下列情形之一的，将被视为响应文件无效处理：</w:t>
      </w:r>
    </w:p>
    <w:p w14:paraId="531A382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（1）商务技术评审</w:t>
      </w:r>
    </w:p>
    <w:p w14:paraId="2FE875C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1）响应文件未按磋商文件要求签署、盖章的；</w:t>
      </w:r>
    </w:p>
    <w:p w14:paraId="03FC003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2）委托代理人未能出具有效身份证或者出具的身份证与授权委托书中的信息不符的；</w:t>
      </w:r>
    </w:p>
    <w:p w14:paraId="75A0B6B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3）缴纳的磋商保证金无效的或者未按照磋商文件的规定缴纳磋商保证金的；</w:t>
      </w:r>
    </w:p>
    <w:p w14:paraId="318E4C9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14:paraId="3B1C389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5）商务要求允许负偏离的条款数超过“供应商须知前附表”规定项数的；</w:t>
      </w:r>
    </w:p>
    <w:p w14:paraId="44B47BA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6）未对竞争性磋商有效期作出响应或者响应文件承诺的竞争性磋商有效期不满足磋商文件要求的；</w:t>
      </w:r>
    </w:p>
    <w:p w14:paraId="5AF8C4B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7）响应文件的实质性内容未使用中文表述、使用计量单位不符合磋商文件要求的；</w:t>
      </w:r>
    </w:p>
    <w:p w14:paraId="149F241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8）响应文件中的文件资料因填写不齐全或者内容虚假或者出现其他情形而导致被磋商小组认定无效的；</w:t>
      </w:r>
    </w:p>
    <w:p w14:paraId="3837E25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9）响应文件含有采购人不能接受的附加条件的；</w:t>
      </w:r>
    </w:p>
    <w:p w14:paraId="52F2091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10）属于“供应商须知正文”第7.5条供应商相互串通参加竞争性磋商情形的；</w:t>
      </w:r>
    </w:p>
    <w:p w14:paraId="2A5415D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11）技术要求允许负偏离的条款数超过“供应商须知前附表”规定项数的；</w:t>
      </w:r>
    </w:p>
    <w:p w14:paraId="76D5D7E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12）虚假竞争性磋商，或者出现其他情形而导致被磋商小组认定无效的；</w:t>
      </w:r>
    </w:p>
    <w:p w14:paraId="04C9999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13）磋商文件未载明允许提供备选（替代）竞争性磋商方案或明确不允许提供备选（替代）竞争性磋商方案时，供应商提供了备选（替代）竞争性磋商方案的；</w:t>
      </w:r>
    </w:p>
    <w:p w14:paraId="4516A88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14）响应文件标注的项目名称或者项目编号与磋商文件标注的项目名称或者项目编号不一致的；</w:t>
      </w:r>
    </w:p>
    <w:p w14:paraId="114CE98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15）竞争性磋商文件明确不允许分包，响应文件拟分包的；</w:t>
      </w:r>
    </w:p>
    <w:p w14:paraId="4EA71A9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16）未响应磋商文件实质性要求的；</w:t>
      </w:r>
    </w:p>
    <w:p w14:paraId="7BB3B7B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17）法律、法规和磋商文件规定的其他无效情形。</w:t>
      </w:r>
    </w:p>
    <w:p w14:paraId="389BF5C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（2）报价评审</w:t>
      </w:r>
    </w:p>
    <w:p w14:paraId="52305E0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1）响应文件未提供“供应商须知前附表”报价文件中规定的“竞争性磋商报价表”；</w:t>
      </w:r>
    </w:p>
    <w:p w14:paraId="24934B9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2）未采用人民币报价或者未按照磋商文件标明的币种报价；</w:t>
      </w:r>
    </w:p>
    <w:p w14:paraId="41C7CA0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未就所参加竞争性磋商分标进行报价或者存在漏项报价；供应商未就所参加竞争性磋商分标的单项内容作唯一报价；供应商未就所参加竞争性磋商分标的全部内容作完整唯一报价；供应商响应文件中存在有选择、有条件报价的（磋商文件允许有备选方案或者其他约定的除外）；</w:t>
      </w:r>
    </w:p>
    <w:p w14:paraId="289E572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竞争性磋商报价（包含首次报价、最后报价）超过所参加竞争性磋商分标规定的采购预算金额或者最高限价的（如本项目公布了最高限价）；竞争性磋商报价（包含首次报价、最后报价）超过磋商文件分项采购预算金额或者最高限价的（如本项目公布了最高限价）；</w:t>
      </w:r>
    </w:p>
    <w:p w14:paraId="5D81EFC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修正后的报价，供应商不确认的；或者经供应商确认修正后的竞争性磋商报价（包含首次报价、最后报价）超过所参加竞争性磋商分标规定的采购预算金额或者最高限价（如本项目公布了最高限价）；或者经供应商确认修正后竞争性磋商报价（包含首次报价、最后报价）超过磋商文件分项采购预算金额或者最高限价的（如本项目公布了最高限价）。</w:t>
      </w:r>
    </w:p>
    <w:p w14:paraId="5CD9384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6）响应文件响应的标的数量及单位与竞争性磋商采购文件要求实质性不一致的。</w:t>
      </w:r>
    </w:p>
    <w:p w14:paraId="1450ED7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2.6磋商小组对响应文件进行评审，未实质性响应磋商文件的响应文件按无效处理，磋商小组应当将资格和符合性不通过的情况告知有关供应商。</w:t>
      </w:r>
    </w:p>
    <w:p w14:paraId="7FB2906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2.7通过符合性审查的合格供应商不足3家的，不得进入磋商环节，应当重新开展采购活动。</w:t>
      </w:r>
    </w:p>
    <w:p w14:paraId="005A6C4E">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3.磋商程序</w:t>
      </w:r>
    </w:p>
    <w:p w14:paraId="27F9985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2D554D2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C7E488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3.3对磋商文件作出的实质性变动是磋商文件的有效组成部分，由磋商小组及时以电子澄清函形式同时通知所有参加磋商的供应商。</w:t>
      </w:r>
    </w:p>
    <w:p w14:paraId="53B06D8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3267C19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3.5磋商中，磋商的任何一方不得透露与磋商有关的其他供应商的技术资料、价格和其他信息。</w:t>
      </w:r>
    </w:p>
    <w:p w14:paraId="517BACD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3.6采购代理机构对磋商过程和磋商内容进行记录。</w:t>
      </w:r>
    </w:p>
    <w:p w14:paraId="10A31AF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C4E1B3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3.8除本章第3.7条规定的情形外，对磋商过程提交的响应文件进行有效性、完整性和响应程度审查，通过审查的合格供应商不足3家的，应当重新开展采购活动。</w:t>
      </w:r>
    </w:p>
    <w:p w14:paraId="3B76201C">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4.最后报价</w:t>
      </w:r>
    </w:p>
    <w:p w14:paraId="3DBAAEE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磋商文件能够详细列明采购标的的技术、服务要求的，磋商结束后，磋商小组应当要求所有继续参加磋商的供应商在规定时间内在广西政府采购云平台开标大厅提交加盖供应商电子签章的最后报价，除本章第3.7、4.3条规定的情形外，提交最后报价的供应商不得少于3家，否则应当重新开展采购活动。</w:t>
      </w:r>
    </w:p>
    <w:p w14:paraId="3DD5DBB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4.2磋商文件不能详细列明采购标的的技术、服务要求，需经磋商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505AF3F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4.3最后报价是供应商响应文件的有效组成部分。</w:t>
      </w:r>
    </w:p>
    <w:p w14:paraId="4C4E279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符合《政府采购竞争性磋商采购方式管理暂行办法》（财库〔2014〕214号）第三条第四项“市场竞争不充分的科研项目，以及需要扶持的科技成果转化项目”和本章第3.7条规定情形的，提交最后报价的供应商可以为2家。</w:t>
      </w:r>
    </w:p>
    <w:p w14:paraId="6D50C18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4.4已经提交响应文件的供应商，在提交最后报价之前，可以根据磋商情况退出磋商，退出磋商的供应商的响应文件按无效处理。采购人、采购代理机构将退还退出磋商的供应商的保证金。</w:t>
      </w:r>
    </w:p>
    <w:p w14:paraId="4E1D992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4.5供应商未在规定时间内提交最后报价的，视同退出磋商，其响应文件按无效处理。</w:t>
      </w:r>
    </w:p>
    <w:p w14:paraId="60888AA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4.6最后报价统一开启后，磋商小组对最后报价进行有效性、完整性和响应程度的审查。</w:t>
      </w:r>
    </w:p>
    <w:p w14:paraId="713B6E8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4.7最后报价出现前后不一致的，按照本章第2.4条的规定修正。</w:t>
      </w:r>
    </w:p>
    <w:p w14:paraId="100BE65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4.8修正后的报价出现下列情形的，按无效响应处理：</w:t>
      </w:r>
    </w:p>
    <w:p w14:paraId="338F90F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（1）供应商不确认的（全流程电子化评标采取在线确认）；</w:t>
      </w:r>
    </w:p>
    <w:p w14:paraId="25B8F78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（2）经供应商确认修正后的竞争性磋商报价（包含首次报价、最后报价）超过所参加竞争性磋商分标规定的采购预算金额或者最高限价的（如本项目公布了最高限价）；</w:t>
      </w:r>
    </w:p>
    <w:p w14:paraId="43FD88F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4.9经供应商确认修正后的最后报价作为评审及签订合同的依据。</w:t>
      </w:r>
    </w:p>
    <w:p w14:paraId="707BE35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4.10供应商出现最后报价按无效响应处理或者响应文件按无效处理时，磋商小组应当告知有关供应商。</w:t>
      </w:r>
    </w:p>
    <w:p w14:paraId="5BCD4D4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4.11最后报价结束后，磋商小组不得再与供应商进行任何形式的商谈。</w:t>
      </w:r>
    </w:p>
    <w:p w14:paraId="6E19AFEB">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5.比较与评价</w:t>
      </w:r>
    </w:p>
    <w:p w14:paraId="6A7ECD7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5.1评审方法：综合评分法。</w:t>
      </w:r>
    </w:p>
    <w:p w14:paraId="1D9E562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5.2经磋商确定最终采购需求和提交最后报价的供应商后，由磋商小组采用综合评分法对提交最后报价的供应商的响应文件和最后报价进行综合评分。</w:t>
      </w:r>
    </w:p>
    <w:p w14:paraId="5E5D02C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磋商小组认为供应商的报价明显低于其他通过符合性审查供应商的报价，有可能影响产品质量或者不能诚信履约的，应当要求其在评审现场合理的时间内线上或线下提供书面说明，必要时提交相关证明材料；供应商不能证明其报价合理性的，磋商小组将其作为无效响应处理。</w:t>
      </w:r>
    </w:p>
    <w:p w14:paraId="3140142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5.3评审时，磋商小组各成员应当独立对每个有效响应的文件进行评价、打分，然后汇总每个供应商每项评分因素的得分。</w:t>
      </w:r>
    </w:p>
    <w:p w14:paraId="0252458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（1）磋商小组按照磋商文件中规定的评审标准计算各供应商的报价得分。项目评审过程中，不得去掉最后报价中的最高报价和最低报价。</w:t>
      </w:r>
    </w:p>
    <w:p w14:paraId="2941532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（2）各供应商的得分为磋商小组所有成员的有效评分的算术平均数。</w:t>
      </w:r>
    </w:p>
    <w:p w14:paraId="4A210C7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5.4评审报价为供应商的最后报价进行政策性扣除后的价格，评审报价只是作为评审时使用。最终成交供应商的成交金额等于最后报价（如有修正，以确认修正后的最后报价为准）。</w:t>
      </w:r>
    </w:p>
    <w:p w14:paraId="70E717C6">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6.成交供应商推荐原则</w:t>
      </w:r>
    </w:p>
    <w:p w14:paraId="6C88072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6.1由磋商小组根据综合评分情况，按照评审得分由高到低顺序推荐3名以上成交候选供应商，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商务得分由高到低排序）。评审得分、最后报价（不计算价格折扣）、技术得分、商务得分均相同的，由磋商小组随机抽取推荐。</w:t>
      </w:r>
    </w:p>
    <w:p w14:paraId="3986751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729DB44">
      <w:pPr>
        <w:pStyle w:val="3"/>
        <w:jc w:val="center"/>
        <w:rPr>
          <w:rFonts w:hint="eastAsia"/>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bookmarkStart w:id="18" w:name="_Toc197530114"/>
    </w:p>
    <w:p w14:paraId="76472083">
      <w:pPr>
        <w:pStyle w:val="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二、评审标准</w:t>
      </w:r>
      <w:bookmarkEnd w:id="18"/>
    </w:p>
    <w:p w14:paraId="21B73907">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7.评审依据：磋商小组以磋商响应文件为评审依据，对供应商的报价、技术、商务等方面内容按百分制打分。（计分方法按四舍五入取至百分位）</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60"/>
        <w:gridCol w:w="7648"/>
      </w:tblGrid>
      <w:tr w14:paraId="085F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0D1389B4">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060" w:type="dxa"/>
            <w:vAlign w:val="center"/>
          </w:tcPr>
          <w:p w14:paraId="41966ECB">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评审因素</w:t>
            </w:r>
          </w:p>
        </w:tc>
        <w:tc>
          <w:tcPr>
            <w:tcW w:w="7648" w:type="dxa"/>
            <w:vAlign w:val="center"/>
          </w:tcPr>
          <w:p w14:paraId="4325489F">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评审标准</w:t>
            </w:r>
          </w:p>
        </w:tc>
      </w:tr>
      <w:tr w14:paraId="75C1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61D40C9F">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060" w:type="dxa"/>
            <w:vAlign w:val="center"/>
          </w:tcPr>
          <w:p w14:paraId="1EF518D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价格分（50分）</w:t>
            </w:r>
          </w:p>
        </w:tc>
        <w:tc>
          <w:tcPr>
            <w:tcW w:w="7648" w:type="dxa"/>
            <w:vAlign w:val="center"/>
          </w:tcPr>
          <w:p w14:paraId="3BC5B05D">
            <w:pPr>
              <w:spacing w:line="360" w:lineRule="auto"/>
              <w:jc w:val="left"/>
              <w:rPr>
                <w:rFonts w:hint="eastAsia" w:ascii="宋体" w:hAnsi="宋体" w:eastAsia="宋体"/>
                <w:color w:val="000000" w:themeColor="text1"/>
                <w:szCs w:val="21"/>
                <w14:textFill>
                  <w14:solidFill>
                    <w14:schemeClr w14:val="tx1"/>
                  </w14:solidFill>
                </w14:textFill>
              </w:rPr>
            </w:pPr>
            <w:bookmarkStart w:id="19" w:name="OLE_LINK4"/>
            <w:bookmarkStart w:id="20" w:name="OLE_LINK3"/>
            <w:bookmarkStart w:id="21" w:name="OLE_LINK17"/>
            <w:r>
              <w:rPr>
                <w:rFonts w:hint="eastAsia" w:ascii="宋体" w:hAnsi="宋体" w:eastAsia="宋体"/>
                <w:color w:val="000000" w:themeColor="text1"/>
                <w:szCs w:val="21"/>
                <w14:textFill>
                  <w14:solidFill>
                    <w14:schemeClr w14:val="tx1"/>
                  </w14:solidFill>
                </w14:textFill>
              </w:rPr>
              <w:t>1</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报价范围：0≤下浮系数＜100%。</w:t>
            </w:r>
          </w:p>
          <w:p w14:paraId="2A0BC098">
            <w:pPr>
              <w:spacing w:line="360" w:lineRule="auto"/>
              <w:jc w:val="left"/>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评审报价为供应商的（1-最后报价下浮系数）进行政策性扣除后的价格，评审报价只是作为评审时使用。最终成交供应商的成交下浮系数等于最后报价下浮系数（如有修正，以确认修正后的最后报价下浮系数为准）。</w:t>
            </w:r>
          </w:p>
          <w:p w14:paraId="1FE854C6">
            <w:pPr>
              <w:spacing w:line="360" w:lineRule="auto"/>
              <w:jc w:val="left"/>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.政府采购政策性扣除计算方法：</w:t>
            </w:r>
          </w:p>
          <w:p w14:paraId="2F08E355">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按照《政府采购促进中小企业发展管理办法》（财库〔2020〕46号）的规定，供应商在其响应文件中提供《中小企业声明函》，且工程全部由符合政策要求的小型、微型企业承接的，对其评审报价给予5%的扣除。（以供应商按第六章“响应文件格式”要求提供的《中小企业声明函》为评审依据）</w:t>
            </w:r>
          </w:p>
          <w:p w14:paraId="0305FE96">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80477A4">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E6E9C6D">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（4）政策性扣除计算方法。</w:t>
            </w:r>
          </w:p>
          <w:p w14:paraId="74740E3C">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工程全部由符合政策要求的小型、微型企业承接的，扣除后的价格为评审报价，即评审报价=（1-最后报价下浮系数）×（1</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5%）。除上述情况外，评审报价=（1</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最后报价下浮系数）。</w:t>
            </w:r>
          </w:p>
          <w:p w14:paraId="235311C1">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（5）以进入比较与评价环节的最低的评审报价为基准报价，基准报价得分为满分50分。</w:t>
            </w:r>
          </w:p>
          <w:p w14:paraId="44DCD9A0">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（6）价格分计算公式：</w:t>
            </w:r>
          </w:p>
          <w:p w14:paraId="6795B806">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某供应商价格分=基准报价/评审报价×50分</w:t>
            </w:r>
            <w:bookmarkEnd w:id="19"/>
            <w:bookmarkEnd w:id="20"/>
            <w:bookmarkEnd w:id="21"/>
          </w:p>
          <w:p w14:paraId="65DE7366">
            <w:pPr>
              <w:spacing w:line="360" w:lineRule="auto"/>
              <w:jc w:val="left"/>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4</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异常低价审查</w:t>
            </w:r>
          </w:p>
          <w:p w14:paraId="34309BAD">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一</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评审中出现下列情形之一的，</w:t>
            </w:r>
            <w:r>
              <w:rPr>
                <w:rFonts w:hint="eastAsia" w:ascii="宋体" w:hAnsi="宋体" w:eastAsia="宋体"/>
                <w:color w:val="000000" w:themeColor="text1"/>
                <w:szCs w:val="21"/>
                <w:lang w:val="en-US" w:eastAsia="zh-CN"/>
                <w14:textFill>
                  <w14:solidFill>
                    <w14:schemeClr w14:val="tx1"/>
                  </w14:solidFill>
                </w14:textFill>
              </w:rPr>
              <w:t>磋商小组</w:t>
            </w:r>
            <w:r>
              <w:rPr>
                <w:rFonts w:hint="eastAsia" w:ascii="宋体" w:hAnsi="宋体" w:eastAsia="宋体"/>
                <w:color w:val="000000" w:themeColor="text1"/>
                <w:szCs w:val="21"/>
                <w14:textFill>
                  <w14:solidFill>
                    <w14:schemeClr w14:val="tx1"/>
                  </w14:solidFill>
                </w14:textFill>
              </w:rPr>
              <w:t>应当启动异常低价响应审查程序：</w:t>
            </w:r>
          </w:p>
          <w:p w14:paraId="5E9C536A">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响应报价低于全部通过符合性审查供应商响应报价平均值50%的，即响应报价&lt;全部通过符合性审查供应商响应报价平均值×50%；</w:t>
            </w:r>
          </w:p>
          <w:p w14:paraId="6276CA08">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报价低于通过符合性审查的次低报价供应商</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报价50%的，即</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报价&lt;通过符合性审查的次低报价供应商</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报价×50%；</w:t>
            </w:r>
          </w:p>
          <w:p w14:paraId="534F3EDF">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报价低于采购项目最高限价45%的，即</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报价&lt;采购项目最高限价×45%；</w:t>
            </w:r>
          </w:p>
          <w:p w14:paraId="142A6F33">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lang w:eastAsia="zh-CN"/>
                <w14:textFill>
                  <w14:solidFill>
                    <w14:schemeClr w14:val="tx1"/>
                  </w14:solidFill>
                </w14:textFill>
              </w:rPr>
              <w:t>）磋商小组</w:t>
            </w:r>
            <w:r>
              <w:rPr>
                <w:rFonts w:hint="eastAsia" w:ascii="宋体" w:hAnsi="宋体" w:eastAsia="宋体"/>
                <w:color w:val="000000" w:themeColor="text1"/>
                <w:szCs w:val="21"/>
                <w14:textFill>
                  <w14:solidFill>
                    <w14:schemeClr w14:val="tx1"/>
                  </w14:solidFill>
                </w14:textFill>
              </w:rPr>
              <w:t>基于专业判断，认为供应商报价过低，有可能影响产品质量或者不能诚信履约的其他情形。</w:t>
            </w:r>
          </w:p>
          <w:p w14:paraId="04782838">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相关法律法规对供应商报价有规定的，从其规定。</w:t>
            </w:r>
          </w:p>
          <w:p w14:paraId="06E1D207">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lang w:eastAsia="zh-CN"/>
                <w14:textFill>
                  <w14:solidFill>
                    <w14:schemeClr w14:val="tx1"/>
                  </w14:solidFill>
                </w14:textFill>
              </w:rPr>
              <w:t>）磋商小组</w:t>
            </w:r>
            <w:r>
              <w:rPr>
                <w:rFonts w:hint="eastAsia" w:ascii="宋体" w:hAnsi="宋体" w:eastAsia="宋体"/>
                <w:color w:val="000000" w:themeColor="text1"/>
                <w:szCs w:val="21"/>
                <w14:textFill>
                  <w14:solidFill>
                    <w14:schemeClr w14:val="tx1"/>
                  </w14:solidFill>
                </w14:textFill>
              </w:rPr>
              <w:t>启动异常低价</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审查后，属于前述第</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项至第</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项情形的，应当要求相关供应商在评审现场合理的时间内对</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价格作出解释，提供项目具体成本测算等与报价合理性相关的书面说明及必要的证明材料，包括但不限于原材料成本、人工成本、制造费用等，给予相关供应商的合理时间一般不少于30分钟。其中，属于第3项情形，供应商已随</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文件一并提交相关书面说明及必要的证明材料的，在评审现场可不再重复提交。</w:t>
            </w:r>
          </w:p>
          <w:p w14:paraId="427F9B08">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lang w:eastAsia="zh-CN"/>
                <w14:textFill>
                  <w14:solidFill>
                    <w14:schemeClr w14:val="tx1"/>
                  </w14:solidFill>
                </w14:textFill>
              </w:rPr>
              <w:t>）磋商小组</w:t>
            </w:r>
            <w:r>
              <w:rPr>
                <w:rFonts w:hint="eastAsia" w:ascii="宋体" w:hAnsi="宋体" w:eastAsia="宋体"/>
                <w:color w:val="000000" w:themeColor="text1"/>
                <w:szCs w:val="21"/>
                <w14:textFill>
                  <w14:solidFill>
                    <w14:schemeClr w14:val="tx1"/>
                  </w14:solidFill>
                </w14:textFill>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供应商不能提供书面说明、证明材料，或者提供的书面说明、证明材料不能证明其报价合理性的，</w:t>
            </w:r>
            <w:r>
              <w:rPr>
                <w:rFonts w:hint="eastAsia" w:ascii="宋体" w:hAnsi="宋体" w:eastAsia="宋体"/>
                <w:color w:val="000000" w:themeColor="text1"/>
                <w:szCs w:val="21"/>
                <w:lang w:eastAsia="zh-CN"/>
                <w14:textFill>
                  <w14:solidFill>
                    <w14:schemeClr w14:val="tx1"/>
                  </w14:solidFill>
                </w14:textFill>
              </w:rPr>
              <w:t>磋商小组</w:t>
            </w:r>
            <w:r>
              <w:rPr>
                <w:rFonts w:hint="eastAsia" w:ascii="宋体" w:hAnsi="宋体" w:eastAsia="宋体"/>
                <w:color w:val="000000" w:themeColor="text1"/>
                <w:szCs w:val="21"/>
                <w14:textFill>
                  <w14:solidFill>
                    <w14:schemeClr w14:val="tx1"/>
                  </w14:solidFill>
                </w14:textFill>
              </w:rPr>
              <w:t>应当将其作为无效</w:t>
            </w:r>
            <w:r>
              <w:rPr>
                <w:rFonts w:hint="eastAsia" w:ascii="宋体" w:hAnsi="宋体" w:eastAsia="宋体"/>
                <w:color w:val="000000" w:themeColor="text1"/>
                <w:szCs w:val="21"/>
                <w:lang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处理。</w:t>
            </w:r>
          </w:p>
          <w:p w14:paraId="259FBC11">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采购人、采购代理机构应当为</w:t>
            </w:r>
            <w:r>
              <w:rPr>
                <w:rFonts w:hint="eastAsia" w:ascii="宋体" w:hAnsi="宋体" w:eastAsia="宋体"/>
                <w:color w:val="000000" w:themeColor="text1"/>
                <w:szCs w:val="21"/>
                <w:lang w:eastAsia="zh-CN"/>
                <w14:textFill>
                  <w14:solidFill>
                    <w14:schemeClr w14:val="tx1"/>
                  </w14:solidFill>
                </w14:textFill>
              </w:rPr>
              <w:t>磋商小组</w:t>
            </w:r>
            <w:r>
              <w:rPr>
                <w:rFonts w:hint="eastAsia" w:ascii="宋体" w:hAnsi="宋体" w:eastAsia="宋体"/>
                <w:color w:val="000000" w:themeColor="text1"/>
                <w:szCs w:val="21"/>
                <w14:textFill>
                  <w14:solidFill>
                    <w14:schemeClr w14:val="tx1"/>
                  </w14:solidFill>
                </w14:textFill>
              </w:rPr>
              <w:t>在评审现场及时获取同类项目中标（成交）价格、类似产品市场价格水平、行业人工费用标准、国家有关部门指导行业协会发布的行业平均成本等相关信息资料提供便利。</w:t>
            </w:r>
            <w:r>
              <w:rPr>
                <w:rFonts w:hint="eastAsia" w:ascii="宋体" w:hAnsi="宋体" w:eastAsia="宋体"/>
                <w:color w:val="000000" w:themeColor="text1"/>
                <w:szCs w:val="21"/>
                <w:lang w:eastAsia="zh-CN"/>
                <w14:textFill>
                  <w14:solidFill>
                    <w14:schemeClr w14:val="tx1"/>
                  </w14:solidFill>
                </w14:textFill>
              </w:rPr>
              <w:t>磋商小组</w:t>
            </w:r>
            <w:r>
              <w:rPr>
                <w:rFonts w:hint="eastAsia" w:ascii="宋体" w:hAnsi="宋体" w:eastAsia="宋体"/>
                <w:color w:val="000000" w:themeColor="text1"/>
                <w:szCs w:val="21"/>
                <w14:textFill>
                  <w14:solidFill>
                    <w14:schemeClr w14:val="tx1"/>
                  </w14:solidFill>
                </w14:textFill>
              </w:rPr>
              <w:t>借助互联网等渠道查询相关信息的，应当严格遵守评审工作纪律，不得实施影响评审公正的行为。</w:t>
            </w:r>
          </w:p>
        </w:tc>
      </w:tr>
      <w:tr w14:paraId="6EB8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20A6B5D5">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w:t>
            </w:r>
          </w:p>
        </w:tc>
        <w:tc>
          <w:tcPr>
            <w:tcW w:w="1060" w:type="dxa"/>
            <w:vAlign w:val="center"/>
          </w:tcPr>
          <w:p w14:paraId="369A7955">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技术分（35分）</w:t>
            </w:r>
          </w:p>
        </w:tc>
        <w:tc>
          <w:tcPr>
            <w:tcW w:w="7648" w:type="dxa"/>
            <w:vAlign w:val="center"/>
          </w:tcPr>
          <w:p w14:paraId="5F2D7A42">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评审标准（技术分中未提供相应资料的，该部分分值不得分）</w:t>
            </w:r>
          </w:p>
        </w:tc>
      </w:tr>
      <w:tr w14:paraId="254B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21D62989">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.1</w:t>
            </w:r>
          </w:p>
        </w:tc>
        <w:tc>
          <w:tcPr>
            <w:tcW w:w="1060" w:type="dxa"/>
            <w:vAlign w:val="center"/>
          </w:tcPr>
          <w:p w14:paraId="3004336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项目经理（项目负责人）情况（</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分）</w:t>
            </w:r>
          </w:p>
        </w:tc>
        <w:tc>
          <w:tcPr>
            <w:tcW w:w="7648" w:type="dxa"/>
            <w:vAlign w:val="center"/>
          </w:tcPr>
          <w:p w14:paraId="0D800FEC">
            <w:pPr>
              <w:spacing w:line="360" w:lineRule="auto"/>
              <w:jc w:val="left"/>
              <w:rPr>
                <w:rFonts w:hint="eastAsia" w:ascii="宋体" w:hAnsi="宋体"/>
                <w:color w:val="auto"/>
                <w:szCs w:val="21"/>
              </w:rPr>
            </w:pPr>
            <w:r>
              <w:rPr>
                <w:rFonts w:hint="eastAsia" w:ascii="宋体" w:hAnsi="宋体"/>
                <w:color w:val="auto"/>
                <w:szCs w:val="21"/>
              </w:rPr>
              <w:t>（1）拟投入的项目经理（项目负责人）具有</w:t>
            </w:r>
            <w:r>
              <w:rPr>
                <w:rFonts w:hint="eastAsia" w:ascii="宋体" w:hAnsi="宋体"/>
                <w:color w:val="auto"/>
                <w:szCs w:val="21"/>
                <w:lang w:val="en-US" w:eastAsia="zh-CN"/>
              </w:rPr>
              <w:t>机电</w:t>
            </w:r>
            <w:r>
              <w:rPr>
                <w:rFonts w:hint="eastAsia" w:ascii="宋体" w:hAnsi="宋体"/>
                <w:color w:val="auto"/>
                <w:szCs w:val="21"/>
              </w:rPr>
              <w:t>工程类专业中级工程师职称的，得1分，具有</w:t>
            </w:r>
            <w:r>
              <w:rPr>
                <w:rFonts w:hint="eastAsia" w:ascii="宋体" w:hAnsi="宋体"/>
                <w:color w:val="auto"/>
                <w:szCs w:val="21"/>
                <w:lang w:val="en-US" w:eastAsia="zh-CN"/>
              </w:rPr>
              <w:t>机电</w:t>
            </w:r>
            <w:r>
              <w:rPr>
                <w:rFonts w:hint="eastAsia" w:ascii="宋体" w:hAnsi="宋体"/>
                <w:color w:val="auto"/>
                <w:szCs w:val="21"/>
              </w:rPr>
              <w:t>工程类专业高级工程师及以上职称的，得2分。满分2分。</w:t>
            </w:r>
          </w:p>
          <w:p w14:paraId="04EF952F">
            <w:pPr>
              <w:spacing w:line="360" w:lineRule="auto"/>
              <w:jc w:val="left"/>
              <w:rPr>
                <w:rFonts w:hint="eastAsia" w:ascii="宋体" w:hAnsi="宋体"/>
                <w:color w:val="auto"/>
                <w:szCs w:val="21"/>
              </w:rPr>
            </w:pPr>
            <w:r>
              <w:rPr>
                <w:rFonts w:hint="eastAsia" w:ascii="宋体" w:hAnsi="宋体"/>
                <w:color w:val="auto"/>
                <w:szCs w:val="21"/>
              </w:rPr>
              <w:t>（2）拟投入项目经理（项目负责人）自202</w:t>
            </w:r>
            <w:r>
              <w:rPr>
                <w:rFonts w:hint="eastAsia" w:ascii="宋体" w:hAnsi="宋体"/>
                <w:color w:val="auto"/>
                <w:szCs w:val="21"/>
                <w:lang w:val="en-US" w:eastAsia="zh-CN"/>
              </w:rPr>
              <w:t>3</w:t>
            </w:r>
            <w:r>
              <w:rPr>
                <w:rFonts w:hint="eastAsia" w:ascii="宋体" w:hAnsi="宋体"/>
                <w:color w:val="auto"/>
                <w:szCs w:val="21"/>
              </w:rPr>
              <w:t>年</w:t>
            </w:r>
            <w:r>
              <w:rPr>
                <w:rFonts w:hint="eastAsia" w:ascii="宋体" w:hAnsi="宋体"/>
                <w:color w:val="auto"/>
                <w:szCs w:val="21"/>
                <w:lang w:val="en-US" w:eastAsia="zh-CN"/>
              </w:rPr>
              <w:t>7</w:t>
            </w:r>
            <w:r>
              <w:rPr>
                <w:rFonts w:hint="eastAsia" w:ascii="宋体" w:hAnsi="宋体"/>
                <w:color w:val="auto"/>
                <w:szCs w:val="21"/>
              </w:rPr>
              <w:t>月1日（以竣工验收时间为准）以来担任过已完成的质量合格的类似工程</w:t>
            </w:r>
            <w:r>
              <w:rPr>
                <w:rFonts w:hint="eastAsia" w:ascii="宋体" w:hAnsi="宋体"/>
                <w:color w:val="auto"/>
                <w:szCs w:val="21"/>
                <w:lang w:eastAsia="zh-CN"/>
              </w:rPr>
              <w:t>（</w:t>
            </w:r>
            <w:r>
              <w:rPr>
                <w:rFonts w:hint="eastAsia" w:ascii="宋体" w:hAnsi="宋体"/>
                <w:color w:val="auto"/>
                <w:szCs w:val="21"/>
                <w:lang w:val="en-US" w:eastAsia="zh-CN"/>
              </w:rPr>
              <w:t>机电工程类项目</w:t>
            </w:r>
            <w:r>
              <w:rPr>
                <w:rFonts w:hint="eastAsia" w:ascii="宋体" w:hAnsi="宋体"/>
                <w:color w:val="auto"/>
                <w:szCs w:val="21"/>
                <w:lang w:eastAsia="zh-CN"/>
              </w:rPr>
              <w:t>）</w:t>
            </w:r>
            <w:r>
              <w:rPr>
                <w:rFonts w:hint="eastAsia" w:ascii="宋体" w:hAnsi="宋体"/>
                <w:color w:val="auto"/>
                <w:szCs w:val="21"/>
              </w:rPr>
              <w:t>项目经理（或项目负责人）职务的，得1分。满分1分。</w:t>
            </w:r>
          </w:p>
          <w:p w14:paraId="472BDA1F">
            <w:pPr>
              <w:spacing w:line="360" w:lineRule="auto"/>
              <w:jc w:val="left"/>
              <w:rPr>
                <w:rFonts w:hint="eastAsia" w:ascii="宋体" w:hAnsi="宋体"/>
                <w:color w:val="auto"/>
                <w:szCs w:val="21"/>
              </w:rPr>
            </w:pPr>
            <w:r>
              <w:rPr>
                <w:rFonts w:hint="eastAsia" w:ascii="宋体" w:hAnsi="宋体"/>
                <w:color w:val="auto"/>
                <w:szCs w:val="21"/>
              </w:rPr>
              <w:t>注：供应商应在响应文件中提供职称证书、劳动合同、业绩合同及竣工验收证明材料复印件并加盖供应商单位电子公章，供应商提供虚假材料谋取成交的，取消成交资格，并依法承担相应责任。不提供或不按以上要求提供的不予以计分。</w:t>
            </w:r>
          </w:p>
          <w:p w14:paraId="2C35C174">
            <w:pPr>
              <w:spacing w:line="360" w:lineRule="auto"/>
              <w:jc w:val="left"/>
              <w:rPr>
                <w:rFonts w:hint="eastAsia" w:ascii="宋体" w:hAnsi="宋体"/>
                <w:color w:val="auto"/>
                <w:szCs w:val="21"/>
              </w:rPr>
            </w:pPr>
            <w:r>
              <w:rPr>
                <w:rFonts w:hint="eastAsia" w:ascii="宋体" w:hAnsi="宋体"/>
                <w:color w:val="auto"/>
                <w:szCs w:val="21"/>
              </w:rPr>
              <w:t>响应文件中拟投入的人员须如实投入到项目实施中并按时到岗，未经采购人同意不允许更换相关人员，否则将视为供应商违约。</w:t>
            </w:r>
          </w:p>
        </w:tc>
      </w:tr>
      <w:tr w14:paraId="2EF6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07BA9EA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.2</w:t>
            </w:r>
          </w:p>
        </w:tc>
        <w:tc>
          <w:tcPr>
            <w:tcW w:w="1060" w:type="dxa"/>
            <w:vAlign w:val="center"/>
          </w:tcPr>
          <w:p w14:paraId="1D64F83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技术负责人情况（3分）</w:t>
            </w:r>
          </w:p>
        </w:tc>
        <w:tc>
          <w:tcPr>
            <w:tcW w:w="7648" w:type="dxa"/>
            <w:vAlign w:val="center"/>
          </w:tcPr>
          <w:p w14:paraId="5AFE33AC">
            <w:pPr>
              <w:spacing w:line="360" w:lineRule="auto"/>
              <w:rPr>
                <w:rFonts w:hint="eastAsia" w:ascii="宋体" w:hAnsi="宋体"/>
                <w:color w:val="auto"/>
                <w:szCs w:val="21"/>
              </w:rPr>
            </w:pPr>
            <w:r>
              <w:rPr>
                <w:rFonts w:hint="eastAsia" w:ascii="宋体" w:hAnsi="宋体"/>
                <w:color w:val="auto"/>
                <w:szCs w:val="21"/>
              </w:rPr>
              <w:t>（1）拟投入的技术负责人具有</w:t>
            </w:r>
            <w:r>
              <w:rPr>
                <w:rFonts w:hint="eastAsia" w:ascii="宋体" w:hAnsi="宋体"/>
                <w:color w:val="auto"/>
                <w:szCs w:val="21"/>
                <w:lang w:val="en-US" w:eastAsia="zh-CN"/>
              </w:rPr>
              <w:t>机电</w:t>
            </w:r>
            <w:r>
              <w:rPr>
                <w:rFonts w:hint="eastAsia" w:ascii="宋体" w:hAnsi="宋体"/>
                <w:color w:val="auto"/>
                <w:szCs w:val="21"/>
              </w:rPr>
              <w:t>工程类专业中级工程师职称的，得1分，具有</w:t>
            </w:r>
            <w:r>
              <w:rPr>
                <w:rFonts w:hint="eastAsia" w:ascii="宋体" w:hAnsi="宋体"/>
                <w:color w:val="auto"/>
                <w:szCs w:val="21"/>
                <w:lang w:val="en-US" w:eastAsia="zh-CN"/>
              </w:rPr>
              <w:t>机电</w:t>
            </w:r>
            <w:r>
              <w:rPr>
                <w:rFonts w:hint="eastAsia" w:ascii="宋体" w:hAnsi="宋体"/>
                <w:color w:val="auto"/>
                <w:szCs w:val="21"/>
              </w:rPr>
              <w:t>工程类专业高级工程师及以上职称的，得2分。满分2分。</w:t>
            </w:r>
          </w:p>
          <w:p w14:paraId="65113795">
            <w:pPr>
              <w:spacing w:line="360" w:lineRule="auto"/>
              <w:rPr>
                <w:rFonts w:hint="eastAsia" w:ascii="宋体" w:hAnsi="宋体"/>
                <w:color w:val="auto"/>
                <w:szCs w:val="21"/>
              </w:rPr>
            </w:pPr>
            <w:r>
              <w:rPr>
                <w:rFonts w:hint="eastAsia" w:ascii="宋体" w:hAnsi="宋体"/>
                <w:color w:val="auto"/>
                <w:szCs w:val="21"/>
              </w:rPr>
              <w:t>（2）拟投入技术负责人自202</w:t>
            </w:r>
            <w:r>
              <w:rPr>
                <w:rFonts w:hint="eastAsia" w:ascii="宋体" w:hAnsi="宋体"/>
                <w:color w:val="auto"/>
                <w:szCs w:val="21"/>
                <w:lang w:val="en-US" w:eastAsia="zh-CN"/>
              </w:rPr>
              <w:t>3</w:t>
            </w:r>
            <w:r>
              <w:rPr>
                <w:rFonts w:hint="eastAsia" w:ascii="宋体" w:hAnsi="宋体"/>
                <w:color w:val="auto"/>
                <w:szCs w:val="21"/>
              </w:rPr>
              <w:t>年</w:t>
            </w:r>
            <w:r>
              <w:rPr>
                <w:rFonts w:hint="eastAsia" w:ascii="宋体" w:hAnsi="宋体"/>
                <w:color w:val="auto"/>
                <w:szCs w:val="21"/>
                <w:lang w:val="en-US" w:eastAsia="zh-CN"/>
              </w:rPr>
              <w:t>7</w:t>
            </w:r>
            <w:r>
              <w:rPr>
                <w:rFonts w:hint="eastAsia" w:ascii="宋体" w:hAnsi="宋体"/>
                <w:color w:val="auto"/>
                <w:szCs w:val="21"/>
              </w:rPr>
              <w:t>月1日（以竣工验收时间为准）以来担任过已完成的质量合格的类似工程</w:t>
            </w:r>
            <w:r>
              <w:rPr>
                <w:rFonts w:hint="eastAsia" w:ascii="宋体" w:hAnsi="宋体"/>
                <w:color w:val="auto"/>
                <w:szCs w:val="21"/>
                <w:lang w:eastAsia="zh-CN"/>
              </w:rPr>
              <w:t>（</w:t>
            </w:r>
            <w:r>
              <w:rPr>
                <w:rFonts w:hint="eastAsia" w:ascii="宋体" w:hAnsi="宋体"/>
                <w:color w:val="auto"/>
                <w:szCs w:val="21"/>
                <w:lang w:val="en-US" w:eastAsia="zh-CN"/>
              </w:rPr>
              <w:t>机电工程类项目</w:t>
            </w:r>
            <w:r>
              <w:rPr>
                <w:rFonts w:hint="eastAsia" w:ascii="宋体" w:hAnsi="宋体"/>
                <w:color w:val="auto"/>
                <w:szCs w:val="21"/>
                <w:lang w:eastAsia="zh-CN"/>
              </w:rPr>
              <w:t>）</w:t>
            </w:r>
            <w:r>
              <w:rPr>
                <w:rFonts w:hint="eastAsia" w:ascii="宋体" w:hAnsi="宋体"/>
                <w:color w:val="auto"/>
                <w:szCs w:val="21"/>
              </w:rPr>
              <w:t>技术负责人（或项目经理）职务的，得1分，满分1分。</w:t>
            </w:r>
          </w:p>
          <w:p w14:paraId="072EA5F2">
            <w:pPr>
              <w:spacing w:line="360" w:lineRule="auto"/>
              <w:rPr>
                <w:rFonts w:hint="eastAsia" w:ascii="宋体" w:hAnsi="宋体"/>
                <w:color w:val="auto"/>
                <w:szCs w:val="21"/>
              </w:rPr>
            </w:pPr>
            <w:r>
              <w:rPr>
                <w:rFonts w:hint="eastAsia" w:ascii="宋体" w:hAnsi="宋体"/>
                <w:color w:val="auto"/>
                <w:szCs w:val="21"/>
              </w:rPr>
              <w:t>注：供应商应在响应文件中提供职称证书、劳动合同、业绩合同及竣工验收证明材料复印件并加盖供应商单位电子公章，供应商提供虚假材料谋取成交的，取消成交资格，并依法承担相应责任。不提供或不按以上要求提供的不予以计分。</w:t>
            </w:r>
          </w:p>
          <w:p w14:paraId="4592E20B">
            <w:pPr>
              <w:spacing w:line="360" w:lineRule="auto"/>
              <w:rPr>
                <w:rFonts w:hint="eastAsia" w:ascii="宋体" w:hAnsi="宋体"/>
                <w:color w:val="auto"/>
                <w:szCs w:val="21"/>
              </w:rPr>
            </w:pPr>
            <w:r>
              <w:rPr>
                <w:rFonts w:hint="eastAsia" w:ascii="宋体" w:hAnsi="宋体"/>
                <w:color w:val="auto"/>
                <w:szCs w:val="21"/>
              </w:rPr>
              <w:t>响应文件中拟投入的人员须如实投入到项目实施中并按时到岗，未经采购人同意不允许更换相关人员，否则将视为供应商违约。</w:t>
            </w:r>
          </w:p>
        </w:tc>
      </w:tr>
      <w:tr w14:paraId="0E09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4EF06FD9">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.3</w:t>
            </w:r>
          </w:p>
        </w:tc>
        <w:tc>
          <w:tcPr>
            <w:tcW w:w="1060" w:type="dxa"/>
            <w:vAlign w:val="center"/>
          </w:tcPr>
          <w:p w14:paraId="78FFB005">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项目组成员（</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分）</w:t>
            </w:r>
          </w:p>
        </w:tc>
        <w:tc>
          <w:tcPr>
            <w:tcW w:w="7648" w:type="dxa"/>
            <w:vAlign w:val="center"/>
          </w:tcPr>
          <w:p w14:paraId="602872FC">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基本要求：人员齐备，且具备相关施工现场专业人员职业培训合格证书（施工员、质量员、材料员应具有有效的相应施工现场专业人员职业培训合格证书，专职安全生产管理人员需具有有效建筑施工企业三类人员C证，且拟投入的项目管理人员符合国家及广西壮族自治区的规定）。</w:t>
            </w:r>
          </w:p>
          <w:p w14:paraId="0AD0060A">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优（</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分）：专业配套的人员具备相关岗位证书，拟派安全员（不少于1人）须具备安全生产考核合格证，且拟投入的项目管理人员符合国家及广西壮族自治区的规定。其中：配备的施工员2名及以上；配备的质量员2名及以上；配备的材料员1名及以上，配备的注册二级（及以上）造价师1名及以上。</w:t>
            </w:r>
          </w:p>
          <w:p w14:paraId="698474F6">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良（</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分）：专业配套的人员具备相关岗位证书，拟派安全员（不少于1人）须具备安全生产考核合格证，且拟投入的项目管理人员符合国家及广西壮族自治区的规定。其中：配备的施工员2名及以上；配备的质量员2名及以上；配备的材料员1名及以上。</w:t>
            </w:r>
          </w:p>
          <w:p w14:paraId="1987FE93">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分）：专业配套的人员具备相关岗位证书，拟派安全员（不少于1人）须具备安全生产考核合格证，且拟投入的项目管理人员符合国家及广西壮族自治区的规定。其中：配备的施工员2名及以上；配备的质量员1名及以上；配备的材料员1名及以上。</w:t>
            </w:r>
          </w:p>
          <w:p w14:paraId="113E14E3">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一般（</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分）：专业配套的人员具备相关岗位证书，拟派安全员（不少于1人）须具备安全生产考核合格证，且拟投入的项目管理人员符合国家及广西壮族自治区的规定。其中：配备的施工员1名及以上；配备的质量员1名及以上；配备的材料员1名及以上。</w:t>
            </w:r>
          </w:p>
          <w:p w14:paraId="15B406E2">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差（0分）：人员配备不满足本项评审内容的“一般”</w:t>
            </w:r>
            <w:bookmarkStart w:id="159" w:name="_GoBack"/>
            <w:bookmarkEnd w:id="159"/>
            <w:r>
              <w:rPr>
                <w:rFonts w:hint="eastAsia" w:ascii="宋体" w:hAnsi="宋体"/>
                <w:color w:val="000000" w:themeColor="text1"/>
                <w:szCs w:val="21"/>
                <w14:textFill>
                  <w14:solidFill>
                    <w14:schemeClr w14:val="tx1"/>
                  </w14:solidFill>
                </w14:textFill>
              </w:rPr>
              <w:t>档次要求。</w:t>
            </w:r>
          </w:p>
          <w:p w14:paraId="0410A801">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注：供应商应在响应文件中提供上述人员的证书、劳动合同复印件并加盖供应商单位电子公章，供应商提供虚假材料谋取成交的，取消成交资格，并依法承担相应责任。不提供或不按以上要求提供的不予以计分。</w:t>
            </w:r>
          </w:p>
        </w:tc>
      </w:tr>
      <w:tr w14:paraId="0735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624BF46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.4</w:t>
            </w:r>
          </w:p>
        </w:tc>
        <w:tc>
          <w:tcPr>
            <w:tcW w:w="1060" w:type="dxa"/>
            <w:vAlign w:val="center"/>
          </w:tcPr>
          <w:p w14:paraId="16ED124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主要施工方法（</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分）</w:t>
            </w:r>
          </w:p>
        </w:tc>
        <w:tc>
          <w:tcPr>
            <w:tcW w:w="7648" w:type="dxa"/>
            <w:vAlign w:val="center"/>
          </w:tcPr>
          <w:p w14:paraId="68A8CB07">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针对供应商提供的主要施工方法【（1）工程施工；（2）主要物资计划；（3）输电线路施工；（4）电缆敷设与连接；（5）调试与试验</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）项目的重点难点；（</w:t>
            </w: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）供应商针对本项目特点提出的其它施工方法】按以下标准计分：</w:t>
            </w:r>
          </w:p>
          <w:p w14:paraId="2E81AE90">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优（</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分）：对各主要分部施工工程分别进行了具体的施工技术方案的阐述，提供的各主要分部施工方法符合项目实际，能指导具体施工并确保施工质量和施工安全。有主要建筑材料的资源稳定供应的保证措施，完全满足施工需要。针对本工程的特点，阐述本工程的重点和难点，解决重点和难点问题的方法和措施科学合理。</w:t>
            </w:r>
          </w:p>
          <w:p w14:paraId="40129265">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良（</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分）：对各主要分部施工工程分别进行了具体的施工技术方案的阐述，提供的各主要分部施工方法符合项目实际，能指导具体施工并确保施工质量和施工安全。有主要建筑材料稳定供应的保证措施，满足施工需要。</w:t>
            </w:r>
          </w:p>
          <w:p w14:paraId="2386FC7E">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w:t>
            </w: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分）：对各主要分部施工工程分别进行了具体的施工技术方案的阐述，提供的各主要分部施工方法符合项目实际，能指导具体施工并确保施工质量和施工安全。</w:t>
            </w:r>
          </w:p>
          <w:p w14:paraId="0C913269">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一般（</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分）：提供的主要施工方法符合项目实际，但未能针对各主要分部施工配有全面的施工技术方案。</w:t>
            </w:r>
          </w:p>
          <w:p w14:paraId="1FE3F4DB">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差（0分）：未提供此项内容，或提供的方案不能满足施工的需要。</w:t>
            </w:r>
          </w:p>
        </w:tc>
      </w:tr>
      <w:tr w14:paraId="05FC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44A7C12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.5</w:t>
            </w:r>
          </w:p>
        </w:tc>
        <w:tc>
          <w:tcPr>
            <w:tcW w:w="1060" w:type="dxa"/>
            <w:vAlign w:val="center"/>
          </w:tcPr>
          <w:p w14:paraId="72A9D97F">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质量保证措施（</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分）</w:t>
            </w:r>
          </w:p>
        </w:tc>
        <w:tc>
          <w:tcPr>
            <w:tcW w:w="7648" w:type="dxa"/>
            <w:vAlign w:val="center"/>
          </w:tcPr>
          <w:p w14:paraId="68EB0599">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针对供应商提供的确保工程质量的技术组织措施【①关键设备（高压柜、变压器）、施工技术（电缆敷设、接头制作、变压器安装等关键工序）、质量控制等内容；②基础工程、接地系统、管道开挖的施工，③施工测量质量控制，④投标人认为的本项目其他特点】按以下标准计分：</w:t>
            </w:r>
          </w:p>
          <w:p w14:paraId="1B42B9FE">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优（</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分）：有专门的质量技术管理班子和制度，且人员配备合理，制度健全。主要工序有质量技术保证措施和手段，自控体系完整，能有效保证技术质量，完全能达到承诺的质量标准。有主要建筑材料质量保证措施确保施工质量，对材料的环保要求的把控措施。有投入的施工材料组织计划且计划周密，并根据本项目的特点提出其它有针对性的确保工程质量的技术组织措施，满足施工需要。</w:t>
            </w:r>
          </w:p>
          <w:p w14:paraId="69E5FEF7">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良（</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分）：有专门的质量技术管理班子和制度，且人员配备基本合理，制度较健全。主要工序有较好的质量技术保证措施和手段，基本能有效保证技术质量，提供的自控体系较完整。有主要建筑材料质量保证措施确保施工质量。</w:t>
            </w:r>
          </w:p>
          <w:p w14:paraId="377344B0">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w:t>
            </w: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分）：有专门的质量技术管理班子和制度，有人员配备，制度健全。有主要工序的质量技术保证措施和手段及自控体系，能保证技术质量，达到承诺的质量标准。</w:t>
            </w:r>
          </w:p>
          <w:p w14:paraId="5C1EF08C">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一般（</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分）：有专门的质量技术管理班子和制度但质量技术管理班子和制度不健全，主要工序无质量技术保证措施和手段，自控体系不完整，不能有效保证承诺的技术质量。</w:t>
            </w:r>
          </w:p>
          <w:p w14:paraId="7909BF4A">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差（0分）：未提供此项内容。</w:t>
            </w:r>
          </w:p>
        </w:tc>
      </w:tr>
      <w:tr w14:paraId="65B0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0BEB03C9">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.6</w:t>
            </w:r>
          </w:p>
        </w:tc>
        <w:tc>
          <w:tcPr>
            <w:tcW w:w="1060" w:type="dxa"/>
            <w:vAlign w:val="center"/>
          </w:tcPr>
          <w:p w14:paraId="51FCDF7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确保安全生产的技术组织措施（</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分）</w:t>
            </w:r>
          </w:p>
        </w:tc>
        <w:tc>
          <w:tcPr>
            <w:tcW w:w="7648" w:type="dxa"/>
            <w:vAlign w:val="center"/>
          </w:tcPr>
          <w:p w14:paraId="706B867B">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针对供应商提供的确保安全生产的技术组织措施【①安全管理制度和人员；②安全技术措施；③防火、救援等应急措施；④确保文明施工的技术组织措施；⑤环保等相关措施；⑥供应商针对本项目其他特点提出其它确保安全生产的技术组织措施】按以下标准计分：</w:t>
            </w:r>
          </w:p>
          <w:p w14:paraId="68130415">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优（</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分）：保证安全生产的技术措施有专门的安全管理人员和制度，且人员配备合理，制度健全，各道工序安全技术措施有针对性，确保工程质量的技术组织措施符合实际且满足有关安全技术标准要求。现场防火、应急救援、社会治安安全措施得力，能针对本工程项目场地和施工特点提出全面得力的确保文明施工的技术组织措施、环境保护措施，且措施内容达到《建筑施工安全生产检查标准》（JGJ59-2011）合格标准并符合《广西壮族自治区建筑工程文明施工导则》要求，各项措施科学、具体、有效，有具体实现现场文明施工目标的承诺。</w:t>
            </w:r>
          </w:p>
          <w:p w14:paraId="3C908CF2">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良（</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分）：保证安全生产的技术措施有专门的安全管理人员和制度，且人员配备和制度健全，阐述了可行的有针对性的各道工序安全技术措施，确保工程质量的技术组织措施符合实际且满足有关安全技术标准要求，措施可行且考虑周全。提供可行的有关于现场防火、应急救援、社会治安安全的措施。提出可行的确保文明施工的技术组织措施、环境保护措施，且措施内容达到《建筑施工安全生产检查标准》（JGJ59-2011）合格标准并符合《广西壮族自治区建筑工程文明施工导则》要求。</w:t>
            </w:r>
          </w:p>
          <w:p w14:paraId="107BE84C">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w:t>
            </w: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分）：保证安全生产的技术措施有专门的安全管理人员和制度，且人员配备和制度合理，阐述了各道工序安全技术措施但缺乏针对性，确保工程质量的技术组织措符合实际且满足有关安全技术标准要求且措施可行。</w:t>
            </w:r>
          </w:p>
          <w:p w14:paraId="7C8B70EA">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一般（</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分）：保证安全生产的技术措施有专门的安全管理人员和制度，各道工序安全技术措施阐述不完整，确保工程质量的技术组织措满足有关安全技术标准要求但措施考虑欠周全。</w:t>
            </w:r>
          </w:p>
          <w:p w14:paraId="6D155023">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差（0分）：未提供此项内容，或提供的方案不能满足施工的需要。</w:t>
            </w:r>
          </w:p>
        </w:tc>
      </w:tr>
      <w:tr w14:paraId="6836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48649D1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.7</w:t>
            </w:r>
          </w:p>
        </w:tc>
        <w:tc>
          <w:tcPr>
            <w:tcW w:w="1060" w:type="dxa"/>
            <w:vAlign w:val="center"/>
          </w:tcPr>
          <w:p w14:paraId="56EC526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确保工期的技术组织措施（</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分）</w:t>
            </w:r>
          </w:p>
        </w:tc>
        <w:tc>
          <w:tcPr>
            <w:tcW w:w="7648" w:type="dxa"/>
            <w:vAlign w:val="center"/>
          </w:tcPr>
          <w:p w14:paraId="121E627B">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针对供应商提供的确保工期的技术组织措施【①工期保障措施；②施工进度计划；③施工进度图（表）；④劳动力计划；⑤供应商针对本项目特点提出其它确保工期的其它技术组织措施】按以下标准计分：</w:t>
            </w:r>
          </w:p>
          <w:p w14:paraId="32B4CB85">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优（</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分）：保证工期的施工组织措施方案中在施工工艺、施工方法、材料选用、劳动力安排、技术等方面有保证工期的具体措施且措施得当。有控制工期的施工进度计划。有施工总进度表或施工网络图，各项计划图表编制完善，安排科学合理，符合本项目施工实际要求。有具体周密的劳动力安排计划，能保障供应商承诺的工期。</w:t>
            </w:r>
          </w:p>
          <w:p w14:paraId="5CF0880E">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良（</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分）：保证工期的施工组织措施方案中在施工工艺、施工方法、材料选用、劳动力安排、技术等方面有保证工期的具体措施且措施可行。有控制工期的施工进度计划，有施工总进度表或施工网络图，对供应商承诺的工期有一定的保障。</w:t>
            </w:r>
          </w:p>
          <w:p w14:paraId="12A059A7">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分）：保证工期的施工组织措施方案中在施工工艺、施工方法、材料选用、劳动力安排、技术等方面有具体措施，且有控制工期的施工进度计划，但考虑欠周全。</w:t>
            </w:r>
          </w:p>
          <w:p w14:paraId="2C9C29F8">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一般（</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分）：保证工期的施工组织措施方案中有施工工艺、施工方法、劳动力安排等方面有具体实施措施但未提供控制工期的施工进度计划。</w:t>
            </w:r>
          </w:p>
          <w:p w14:paraId="43211BD8">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差（0分）：未提供此项内容，或提供的方案不能满足施工的需要。</w:t>
            </w:r>
          </w:p>
        </w:tc>
      </w:tr>
      <w:tr w14:paraId="0308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2602A1DA">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.8</w:t>
            </w:r>
          </w:p>
        </w:tc>
        <w:tc>
          <w:tcPr>
            <w:tcW w:w="1060" w:type="dxa"/>
            <w:vAlign w:val="center"/>
          </w:tcPr>
          <w:p w14:paraId="4E07DDF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雨季工程施工的保证措施（</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分）</w:t>
            </w:r>
          </w:p>
        </w:tc>
        <w:tc>
          <w:tcPr>
            <w:tcW w:w="7648" w:type="dxa"/>
            <w:vAlign w:val="center"/>
          </w:tcPr>
          <w:p w14:paraId="5828E095">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本项目施工期间会遇到雨季，供应商应制定雨季施工措施：</w:t>
            </w:r>
          </w:p>
          <w:p w14:paraId="333CA8F1">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优（</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分）：针对本工程在雨季施工的施工工艺和施工方法，阐述清晰、合理，并有针对性地深入分析，分析符合实际，提出解决雨季施工中的方法科学合理、符合项目实际需求、可行性高。</w:t>
            </w:r>
          </w:p>
          <w:p w14:paraId="392A0636">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良（</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分）：针对本工程在雨季施工的施工工艺和施工方法，阐述较清晰、合理，分析基本符合实际且明确，提出解决雨季施工中的方法合理、符合项目实际需求，可行性较高。</w:t>
            </w:r>
          </w:p>
          <w:p w14:paraId="1C3D053C">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分）：针对本工程在雨季施工的施工工艺和施工方法，阐述不全面，提出解决雨季施工中的方法基本合理、可行、符合项目实际需求。</w:t>
            </w:r>
          </w:p>
          <w:p w14:paraId="6BFE8A70">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差（1分）：针对本工程在雨季施工的施工工艺和施工方法，阐述不清晰，提出本工程雨季施工的方法不合理、可行性较差、不符合项目实际需求。</w:t>
            </w:r>
          </w:p>
          <w:p w14:paraId="1EDC4326">
            <w:pPr>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注：不提供不得分。</w:t>
            </w:r>
          </w:p>
        </w:tc>
      </w:tr>
      <w:tr w14:paraId="7468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53E6C4BB">
            <w:pPr>
              <w:spacing w:line="360" w:lineRule="auto"/>
              <w:jc w:val="center"/>
              <w:rPr>
                <w:rFonts w:hint="eastAsia" w:ascii="宋体" w:hAnsi="宋体"/>
                <w:b/>
                <w:color w:val="000000" w:themeColor="text1"/>
                <w:szCs w:val="21"/>
                <w14:textFill>
                  <w14:solidFill>
                    <w14:schemeClr w14:val="tx1"/>
                  </w14:solidFill>
                </w14:textFill>
              </w:rPr>
            </w:pPr>
            <w:bookmarkStart w:id="22" w:name="_Hlk195532109"/>
            <w:r>
              <w:rPr>
                <w:rFonts w:hint="eastAsia" w:ascii="宋体" w:hAnsi="宋体"/>
                <w:b/>
                <w:color w:val="000000" w:themeColor="text1"/>
                <w:szCs w:val="21"/>
                <w14:textFill>
                  <w14:solidFill>
                    <w14:schemeClr w14:val="tx1"/>
                  </w14:solidFill>
                </w14:textFill>
              </w:rPr>
              <w:t>3</w:t>
            </w:r>
          </w:p>
        </w:tc>
        <w:tc>
          <w:tcPr>
            <w:tcW w:w="1060" w:type="dxa"/>
            <w:vAlign w:val="center"/>
          </w:tcPr>
          <w:p w14:paraId="57160B4E">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商务分（1</w:t>
            </w:r>
            <w:r>
              <w:rPr>
                <w:rFonts w:hint="eastAsia" w:ascii="宋体" w:hAnsi="宋体"/>
                <w:b/>
                <w:color w:val="000000" w:themeColor="text1"/>
                <w:szCs w:val="21"/>
                <w:lang w:val="en-US" w:eastAsia="zh-CN"/>
                <w14:textFill>
                  <w14:solidFill>
                    <w14:schemeClr w14:val="tx1"/>
                  </w14:solidFill>
                </w14:textFill>
              </w:rPr>
              <w:t>5</w:t>
            </w:r>
            <w:r>
              <w:rPr>
                <w:rFonts w:hint="eastAsia" w:ascii="宋体" w:hAnsi="宋体"/>
                <w:b/>
                <w:color w:val="000000" w:themeColor="text1"/>
                <w:szCs w:val="21"/>
                <w14:textFill>
                  <w14:solidFill>
                    <w14:schemeClr w14:val="tx1"/>
                  </w14:solidFill>
                </w14:textFill>
              </w:rPr>
              <w:t>分）</w:t>
            </w:r>
          </w:p>
        </w:tc>
        <w:tc>
          <w:tcPr>
            <w:tcW w:w="7648" w:type="dxa"/>
            <w:vAlign w:val="center"/>
          </w:tcPr>
          <w:p w14:paraId="03BC9338">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评审标准（商务分中未提供相应资料的，该部分分值不得分）</w:t>
            </w:r>
          </w:p>
        </w:tc>
      </w:tr>
      <w:tr w14:paraId="1B8C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14:paraId="3F3F1C73">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.1</w:t>
            </w:r>
          </w:p>
        </w:tc>
        <w:tc>
          <w:tcPr>
            <w:tcW w:w="1060" w:type="dxa"/>
            <w:vAlign w:val="center"/>
          </w:tcPr>
          <w:p w14:paraId="73333301">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企业业绩（1</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分）</w:t>
            </w:r>
          </w:p>
        </w:tc>
        <w:tc>
          <w:tcPr>
            <w:tcW w:w="7648" w:type="dxa"/>
            <w:vAlign w:val="center"/>
          </w:tcPr>
          <w:p w14:paraId="2D235B53">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供应商202</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月1日以来承建过类似工程</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机电工程类项目</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项目的，每有一个得</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分，此项满分1</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分。</w:t>
            </w:r>
          </w:p>
          <w:p w14:paraId="2BC40F53">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响应文件中提供中标（成交）通知书或合同协议书或竣工验收报告复印件并加盖供应商单位电子公章，供应商提供虚假材料谋取成交的，取消成交资格，并依法承担相应责任。不提供或不按以上要求提供的不予以计分。</w:t>
            </w:r>
          </w:p>
        </w:tc>
      </w:tr>
      <w:bookmarkEnd w:id="22"/>
      <w:tr w14:paraId="3CCB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44" w:type="dxa"/>
            <w:gridSpan w:val="3"/>
            <w:vAlign w:val="center"/>
          </w:tcPr>
          <w:p w14:paraId="0115CFA1">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总得分</w:t>
            </w:r>
            <w:r>
              <w:rPr>
                <w:rFonts w:ascii="宋体" w:hAnsi="宋体"/>
                <w:b/>
                <w:color w:val="000000" w:themeColor="text1"/>
                <w:szCs w:val="21"/>
                <w14:textFill>
                  <w14:solidFill>
                    <w14:schemeClr w14:val="tx1"/>
                  </w14:solidFill>
                </w14:textFill>
              </w:rPr>
              <w:t>100分＝1＋2+3项得分</w:t>
            </w:r>
          </w:p>
        </w:tc>
      </w:tr>
    </w:tbl>
    <w:p w14:paraId="6A2219AD">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2214405">
      <w:pPr>
        <w:pStyle w:val="2"/>
        <w:jc w:val="center"/>
        <w:rPr>
          <w:rFonts w:hint="eastAsia" w:ascii="宋体" w:hAnsi="宋体" w:eastAsia="宋体"/>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009BDA96">
      <w:pPr>
        <w:pStyle w:val="2"/>
        <w:jc w:val="center"/>
        <w:rPr>
          <w:rFonts w:hint="eastAsia" w:ascii="宋体" w:hAnsi="宋体" w:eastAsia="宋体"/>
          <w:color w:val="000000" w:themeColor="text1"/>
          <w14:textFill>
            <w14:solidFill>
              <w14:schemeClr w14:val="tx1"/>
            </w14:solidFill>
          </w14:textFill>
        </w:rPr>
      </w:pPr>
      <w:bookmarkStart w:id="23" w:name="_Toc197530115"/>
      <w:r>
        <w:rPr>
          <w:rFonts w:hint="eastAsia" w:ascii="宋体" w:hAnsi="宋体" w:eastAsia="宋体"/>
          <w:color w:val="000000" w:themeColor="text1"/>
          <w14:textFill>
            <w14:solidFill>
              <w14:schemeClr w14:val="tx1"/>
            </w14:solidFill>
          </w14:textFill>
        </w:rPr>
        <w:t>第五</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工程量清单、招标控制价及图纸</w:t>
      </w:r>
      <w:bookmarkEnd w:id="23"/>
    </w:p>
    <w:p w14:paraId="4DB220A8">
      <w:pPr>
        <w:spacing w:line="360" w:lineRule="auto"/>
        <w:ind w:firstLine="420" w:firstLineChars="200"/>
        <w:rPr>
          <w:rFonts w:hint="eastAsia" w:ascii="宋体" w:hAnsi="宋体" w:eastAsia="宋体"/>
          <w:color w:val="000000" w:themeColor="text1"/>
          <w:szCs w:val="21"/>
          <w14:textFill>
            <w14:solidFill>
              <w14:schemeClr w14:val="tx1"/>
            </w14:solidFill>
          </w14:textFill>
        </w:rPr>
      </w:pPr>
      <w:bookmarkStart w:id="24" w:name="OLE_LINK59"/>
      <w:bookmarkStart w:id="25" w:name="OLE_LINK65"/>
      <w:r>
        <w:rPr>
          <w:rFonts w:hint="eastAsia" w:ascii="宋体" w:hAnsi="宋体" w:eastAsia="宋体"/>
          <w:color w:val="000000" w:themeColor="text1"/>
          <w:szCs w:val="21"/>
          <w14:textFill>
            <w14:solidFill>
              <w14:schemeClr w14:val="tx1"/>
            </w14:solidFill>
          </w14:textFill>
        </w:rPr>
        <w:t>1.工程量清单编制说明</w:t>
      </w:r>
    </w:p>
    <w:p w14:paraId="223461EA">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1本工程量清单依据本工程的勘察、设计文件及相关的标准、规范、技术资料</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招标文件中的工程量清单及相关计价要求</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《建设工程工程量计算规范广西壮族自治区实施细则-修订本》-（GB50854~50862-2013）；2015年版《广西壮族自治区安装工程消耗量定额》、2014年版《广西壮族自治区市政工程消耗量定额》、 2013年《广西壮族自治区安装拆除工程消耗量定额》、2013年《广西壮族自治区园林绿化及仿古建筑工程消耗量定额》、2018年《广西壮族自治区工程建设其他费用定额》等；相关费率调整按桂建标[2023]7号《关于调整建设工程定额人工费及有关费率的通知》、桂建标[2016]17号《自治区住房城乡建设厅关于建筑业实施营业税改增值税后广西壮族自治区建设工程计价依据调整的通知》、桂建标[2018]14号《自治区住房城乡建设厅关于调整建设工程计价增值税税率的通知》、桂建标[2019]12号《自治区住房城乡建设厅关于调整建设工程计价增值税税率的通知》、磋商文件、施工图等编制。计算规范中没有的清单项目，应在本章第1.4款约定。</w:t>
      </w:r>
    </w:p>
    <w:p w14:paraId="5BB2AEAC">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1.2工程量清单应与供应商须知、合同协议条款、合同的通用条款、合同专用条款、技术规范及图纸等文件一起结合使用。</w:t>
      </w:r>
    </w:p>
    <w:p w14:paraId="55B5D7DB">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1.3工程量清单是磋商文件的组成部分，是工程量清单计价的基础，作为编制最高限价、竞争性磋商报价、计算或调整工程量、索赔等的依据之一。</w:t>
      </w:r>
    </w:p>
    <w:p w14:paraId="4A646C99">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1.4补充清单项目的特征、计量单位、工程量计算规则及工作内容说明如下：无。</w:t>
      </w:r>
    </w:p>
    <w:p w14:paraId="57C98026">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1.5《允许调整主要材料和工程设备一览表》（表-22，表格编号为计价规范相应表格编号，下同）作为项目实施过程中材料和设备价格风险调整依据。</w:t>
      </w:r>
    </w:p>
    <w:p w14:paraId="11BD404E">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1.6本工程暂列金额：共</w:t>
      </w:r>
      <w:r>
        <w:rPr>
          <w:rFonts w:hint="eastAsia" w:ascii="宋体" w:hAnsi="宋体" w:eastAsia="宋体"/>
          <w:color w:val="000000" w:themeColor="text1"/>
          <w:szCs w:val="21"/>
          <w:highlight w:val="none"/>
          <w:lang w:val="en-US"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元（人民币）作为合同签订时尚未确定或者不可预见但施工中可能发生的费用。</w:t>
      </w:r>
    </w:p>
    <w:p w14:paraId="309FFF86">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1.7本工程发包人提供的材料和设备详见《发包人提供的主要材料和工程设备一览表》（表-21）。</w:t>
      </w:r>
    </w:p>
    <w:p w14:paraId="649F7637">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1.8本工程部分材料和设备在招标时作为暂估价计列，结算按实调整，具体内容详见《材料（工程设备）暂估单价及调整表》（表12-2）。</w:t>
      </w:r>
    </w:p>
    <w:p w14:paraId="5DAC3BF4">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1.9招标时暂估专业工程的价款属于暂估价，结算按实调整，具体内容详见《专业工程暂估价及结算价表》（表12-3）。</w:t>
      </w:r>
    </w:p>
    <w:p w14:paraId="4C8BE3A5">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1.10本工程量清单编码处标注“*”号的清单项目作为主要清单项目，需要供应商提供《主要清单项目工料机分析表》（表-10）。</w:t>
      </w:r>
    </w:p>
    <w:p w14:paraId="187F72D8">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1.11其它需要说明的问题：无。</w:t>
      </w:r>
    </w:p>
    <w:p w14:paraId="37D1EB50">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1.12工程量清单与磋商文件同时发布。一般计税法建设工程的工程量清单表格按《关于建筑业实施营业税改征增值税后广西壮族自治区建设工程计价依据调整的通知》（桂建标〔2016〕17号）附件“增值税一般计税方法工程计价表”要求提供；简易计税法建设工程按照《计价规范》要求的表格提供，但规费和税费要按照《关于建筑业实施营业税改征增值税后广西壮族自治区建设工程计价依据调整的通知》（桂建标〔2016〕17号）要求调整，具体包括：</w:t>
      </w:r>
    </w:p>
    <w:p w14:paraId="36B3A659">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1.1封-1招标工程量清单</w:t>
      </w:r>
    </w:p>
    <w:p w14:paraId="1839D6AE">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1.2扉-1招标工程量清单</w:t>
      </w:r>
    </w:p>
    <w:p w14:paraId="1184C4B2">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1.3表-01总说明</w:t>
      </w:r>
    </w:p>
    <w:p w14:paraId="25DA0C28">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1.4表-02建设项目投标报价汇总表</w:t>
      </w:r>
    </w:p>
    <w:p w14:paraId="3EE10C8C">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1.5表-03单项工程投标报价汇总表</w:t>
      </w:r>
    </w:p>
    <w:p w14:paraId="7FF0222F">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1.6表-04单位工程投标报价汇总表</w:t>
      </w:r>
    </w:p>
    <w:p w14:paraId="791C570F">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1.7表-08分部分项工程和单价措施项目清单与计价表</w:t>
      </w:r>
    </w:p>
    <w:p w14:paraId="44B7548E">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1.8表-11总价措施项目清单与计价表</w:t>
      </w:r>
    </w:p>
    <w:p w14:paraId="0BAAABE3">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1.9表-12其他项目清单与计价汇总表</w:t>
      </w:r>
    </w:p>
    <w:p w14:paraId="7678A6C8">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1.10表-15规费、增值税计价表</w:t>
      </w:r>
    </w:p>
    <w:p w14:paraId="4459A2A1">
      <w:pPr>
        <w:spacing w:line="360" w:lineRule="auto"/>
        <w:ind w:firstLine="420" w:firstLineChars="200"/>
        <w:rPr>
          <w:rFonts w:hint="eastAsia"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1.11表-22允许调整主要材料和工程设备一览表</w:t>
      </w:r>
    </w:p>
    <w:p w14:paraId="486AA704">
      <w:pPr>
        <w:spacing w:line="360" w:lineRule="auto"/>
        <w:ind w:firstLine="420" w:firstLineChars="20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1.12设备及价格表</w:t>
      </w:r>
    </w:p>
    <w:p w14:paraId="66C89057">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2.最高限价编制说明</w:t>
      </w:r>
    </w:p>
    <w:p w14:paraId="58D3D9EF">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2.1最高限价编制依据：</w:t>
      </w:r>
    </w:p>
    <w:p w14:paraId="5A34E512">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）自治区住房城乡建设行政主管部门颁发的计价定额及有关规定：</w:t>
      </w:r>
    </w:p>
    <w:p w14:paraId="56A71248">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1）《建设工程工程量清单计价规范》广西壮族自治区实施细则(GB50500-2013) ；</w:t>
      </w:r>
      <w:r>
        <w:rPr>
          <w:rFonts w:hint="eastAsia" w:ascii="宋体" w:hAnsi="宋体" w:eastAsia="宋体"/>
          <w:color w:val="000000" w:themeColor="text1"/>
          <w:szCs w:val="21"/>
          <w:highlight w:val="none"/>
          <w14:textFill>
            <w14:solidFill>
              <w14:schemeClr w14:val="tx1"/>
            </w14:solidFill>
          </w14:textFill>
        </w:rPr>
        <w:tab/>
      </w:r>
    </w:p>
    <w:p w14:paraId="228D0116">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2）《建设工程工程量计算规范》广西壮族自治区实施细则(GB50854~GB50862-2013) ；</w:t>
      </w:r>
      <w:r>
        <w:rPr>
          <w:rFonts w:hint="eastAsia" w:ascii="宋体" w:hAnsi="宋体" w:eastAsia="宋体"/>
          <w:color w:val="000000" w:themeColor="text1"/>
          <w:szCs w:val="21"/>
          <w:highlight w:val="none"/>
          <w14:textFill>
            <w14:solidFill>
              <w14:schemeClr w14:val="tx1"/>
            </w14:solidFill>
          </w14:textFill>
        </w:rPr>
        <w:tab/>
      </w:r>
    </w:p>
    <w:p w14:paraId="579F7A77">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3）2024年《广西壮族自治区建筑工程拆除消耗量定额》；</w:t>
      </w:r>
      <w:r>
        <w:rPr>
          <w:rFonts w:hint="eastAsia" w:ascii="宋体" w:hAnsi="宋体" w:eastAsia="宋体"/>
          <w:color w:val="000000" w:themeColor="text1"/>
          <w:szCs w:val="21"/>
          <w:highlight w:val="none"/>
          <w14:textFill>
            <w14:solidFill>
              <w14:schemeClr w14:val="tx1"/>
            </w14:solidFill>
          </w14:textFill>
        </w:rPr>
        <w:tab/>
      </w:r>
    </w:p>
    <w:p w14:paraId="599D9A57">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3）2024年《广西壮族自治区建筑装饰装修工程消耗量定额》；</w:t>
      </w:r>
      <w:r>
        <w:rPr>
          <w:rFonts w:hint="eastAsia" w:ascii="宋体" w:hAnsi="宋体" w:eastAsia="宋体"/>
          <w:color w:val="000000" w:themeColor="text1"/>
          <w:szCs w:val="21"/>
          <w:highlight w:val="none"/>
          <w14:textFill>
            <w14:solidFill>
              <w14:schemeClr w14:val="tx1"/>
            </w14:solidFill>
          </w14:textFill>
        </w:rPr>
        <w:tab/>
      </w:r>
    </w:p>
    <w:p w14:paraId="4D606728">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4）2021年《广西壮族自治区园林绿化及仿古建筑工程消耗量定额》；</w:t>
      </w:r>
      <w:r>
        <w:rPr>
          <w:rFonts w:hint="eastAsia" w:ascii="宋体" w:hAnsi="宋体" w:eastAsia="宋体"/>
          <w:color w:val="000000" w:themeColor="text1"/>
          <w:szCs w:val="21"/>
          <w:highlight w:val="none"/>
          <w14:textFill>
            <w14:solidFill>
              <w14:schemeClr w14:val="tx1"/>
            </w14:solidFill>
          </w14:textFill>
        </w:rPr>
        <w:tab/>
      </w:r>
    </w:p>
    <w:p w14:paraId="52CD52FE">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5） 2022年《广西壮族自治区市政工程消耗量定额》；</w:t>
      </w:r>
      <w:r>
        <w:rPr>
          <w:rFonts w:hint="eastAsia" w:ascii="宋体" w:hAnsi="宋体" w:eastAsia="宋体"/>
          <w:color w:val="000000" w:themeColor="text1"/>
          <w:szCs w:val="21"/>
          <w:highlight w:val="none"/>
          <w14:textFill>
            <w14:solidFill>
              <w14:schemeClr w14:val="tx1"/>
            </w14:solidFill>
          </w14:textFill>
        </w:rPr>
        <w:tab/>
      </w:r>
    </w:p>
    <w:p w14:paraId="3FE72FBF">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6） 2023年《广西壮族自治区安装工程消耗量定额》；</w:t>
      </w:r>
      <w:r>
        <w:rPr>
          <w:rFonts w:hint="eastAsia" w:ascii="宋体" w:hAnsi="宋体" w:eastAsia="宋体"/>
          <w:color w:val="000000" w:themeColor="text1"/>
          <w:szCs w:val="21"/>
          <w:highlight w:val="none"/>
          <w14:textFill>
            <w14:solidFill>
              <w14:schemeClr w14:val="tx1"/>
            </w14:solidFill>
          </w14:textFill>
        </w:rPr>
        <w:tab/>
      </w:r>
    </w:p>
    <w:p w14:paraId="18D7C844">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7）《自治区住房城乡建设厅关于建筑业实施营业税改征增值税后广西壮族自治区建设工程计价依据调整的通知》（桂建标〔2016〕17号）；</w:t>
      </w:r>
      <w:r>
        <w:rPr>
          <w:rFonts w:hint="eastAsia" w:ascii="宋体" w:hAnsi="宋体" w:eastAsia="宋体"/>
          <w:color w:val="000000" w:themeColor="text1"/>
          <w:szCs w:val="21"/>
          <w:highlight w:val="none"/>
          <w14:textFill>
            <w14:solidFill>
              <w14:schemeClr w14:val="tx1"/>
            </w14:solidFill>
          </w14:textFill>
        </w:rPr>
        <w:tab/>
      </w:r>
    </w:p>
    <w:p w14:paraId="030E0806">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8）《自治区住房城乡建设厅关于调整建设工程定额人工费及有关费率的通知》（桂建标〔2023〕7号）；</w:t>
      </w:r>
      <w:r>
        <w:rPr>
          <w:rFonts w:hint="eastAsia" w:ascii="宋体" w:hAnsi="宋体" w:eastAsia="宋体"/>
          <w:color w:val="000000" w:themeColor="text1"/>
          <w:szCs w:val="21"/>
          <w:highlight w:val="none"/>
          <w14:textFill>
            <w14:solidFill>
              <w14:schemeClr w14:val="tx1"/>
            </w14:solidFill>
          </w14:textFill>
        </w:rPr>
        <w:tab/>
      </w:r>
    </w:p>
    <w:p w14:paraId="607B3272">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9）《关于调整建设工程计价增值税税率的通知》（桂建标〔2019〕12号）等有关规定及相关资料。</w:t>
      </w:r>
      <w:r>
        <w:rPr>
          <w:rFonts w:hint="eastAsia" w:ascii="宋体" w:hAnsi="宋体" w:eastAsia="宋体"/>
          <w:color w:val="000000" w:themeColor="text1"/>
          <w:szCs w:val="21"/>
          <w:highlight w:val="none"/>
          <w14:textFill>
            <w14:solidFill>
              <w14:schemeClr w14:val="tx1"/>
            </w14:solidFill>
          </w14:textFill>
        </w:rPr>
        <w:tab/>
      </w:r>
    </w:p>
    <w:p w14:paraId="28FA640D">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10）现行的有关文件以及招标文件、施工设计图纸和补充资料。</w:t>
      </w:r>
      <w:r>
        <w:rPr>
          <w:rFonts w:hint="eastAsia" w:ascii="宋体" w:hAnsi="宋体" w:eastAsia="宋体"/>
          <w:color w:val="000000" w:themeColor="text1"/>
          <w:szCs w:val="21"/>
          <w:highlight w:val="none"/>
          <w14:textFill>
            <w14:solidFill>
              <w14:schemeClr w14:val="tx1"/>
            </w14:solidFill>
          </w14:textFill>
        </w:rPr>
        <w:tab/>
      </w:r>
    </w:p>
    <w:p w14:paraId="2F822EA0">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2</w:t>
      </w:r>
      <w:r>
        <w:rPr>
          <w:rFonts w:hint="eastAsia" w:ascii="宋体" w:hAnsi="宋体" w:eastAsia="宋体"/>
          <w:color w:val="000000" w:themeColor="text1"/>
          <w:szCs w:val="21"/>
          <w:highlight w:val="none"/>
          <w14:textFill>
            <w14:solidFill>
              <w14:schemeClr w14:val="tx1"/>
            </w14:solidFill>
          </w14:textFill>
        </w:rPr>
        <w:t>）建设工程设计文件及相关资料：详见施工图纸。</w:t>
      </w:r>
    </w:p>
    <w:p w14:paraId="0A4E56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）本项目弃渣、弃土及回填土内运的运距</w:t>
      </w:r>
      <w:r>
        <w:rPr>
          <w:rFonts w:hint="eastAsia" w:ascii="宋体" w:hAnsi="宋体" w:eastAsia="宋体"/>
          <w:color w:val="000000" w:themeColor="text1"/>
          <w:szCs w:val="21"/>
          <w:highlight w:val="none"/>
          <w:lang w:val="en-US" w:eastAsia="zh-CN"/>
          <w14:textFill>
            <w14:solidFill>
              <w14:schemeClr w14:val="tx1"/>
            </w14:solidFill>
          </w14:textFill>
        </w:rPr>
        <w:t>由投标人自行考虑</w:t>
      </w: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ab/>
      </w:r>
    </w:p>
    <w:p w14:paraId="45A726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4</w:t>
      </w:r>
      <w:r>
        <w:rPr>
          <w:rFonts w:hint="eastAsia" w:ascii="宋体" w:hAnsi="宋体" w:eastAsia="宋体"/>
          <w:color w:val="000000" w:themeColor="text1"/>
          <w:szCs w:val="21"/>
          <w:highlight w:val="none"/>
          <w14:textFill>
            <w14:solidFill>
              <w14:schemeClr w14:val="tx1"/>
            </w14:solidFill>
          </w14:textFill>
        </w:rPr>
        <w:t>）本招标控制价按一般计税法编制，增值税税率为9%。</w:t>
      </w:r>
      <w:r>
        <w:rPr>
          <w:rFonts w:hint="eastAsia" w:ascii="宋体" w:hAnsi="宋体" w:eastAsia="宋体"/>
          <w:color w:val="000000" w:themeColor="text1"/>
          <w:szCs w:val="21"/>
          <w:highlight w:val="none"/>
          <w14:textFill>
            <w14:solidFill>
              <w14:schemeClr w14:val="tx1"/>
            </w14:solidFill>
          </w14:textFill>
        </w:rPr>
        <w:tab/>
      </w:r>
    </w:p>
    <w:p w14:paraId="2878CB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）材料价格主要按202</w:t>
      </w:r>
      <w:r>
        <w:rPr>
          <w:rFonts w:hint="eastAsia" w:ascii="宋体" w:hAnsi="宋体" w:eastAsia="宋体"/>
          <w:color w:val="000000" w:themeColor="text1"/>
          <w:szCs w:val="21"/>
          <w:highlight w:val="non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年第</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期</w:t>
      </w:r>
      <w:r>
        <w:rPr>
          <w:rFonts w:hint="eastAsia" w:ascii="宋体" w:hAnsi="宋体" w:eastAsia="宋体"/>
          <w:color w:val="000000" w:themeColor="text1"/>
          <w:szCs w:val="21"/>
          <w:highlight w:val="none"/>
          <w:lang w:val="en-US" w:eastAsia="zh-CN"/>
          <w14:textFill>
            <w14:solidFill>
              <w14:schemeClr w14:val="tx1"/>
            </w14:solidFill>
          </w14:textFill>
        </w:rPr>
        <w:t>上半月</w:t>
      </w:r>
      <w:r>
        <w:rPr>
          <w:rFonts w:hint="eastAsia" w:ascii="宋体" w:hAnsi="宋体" w:eastAsia="宋体"/>
          <w:color w:val="000000" w:themeColor="text1"/>
          <w:szCs w:val="21"/>
          <w:highlight w:val="none"/>
          <w14:textFill>
            <w14:solidFill>
              <w14:schemeClr w14:val="tx1"/>
            </w14:solidFill>
          </w14:textFill>
        </w:rPr>
        <w:t>《南宁市建设工程造价信息》除税信息价，若《南宁市建设工程造价信息》没有的则参考市场价。</w:t>
      </w:r>
      <w:r>
        <w:rPr>
          <w:rFonts w:hint="eastAsia" w:ascii="宋体" w:hAnsi="宋体" w:eastAsia="宋体"/>
          <w:color w:val="000000" w:themeColor="text1"/>
          <w:szCs w:val="21"/>
          <w:highlight w:val="none"/>
          <w14:textFill>
            <w14:solidFill>
              <w14:schemeClr w14:val="tx1"/>
            </w14:solidFill>
          </w14:textFill>
        </w:rPr>
        <w:tab/>
      </w:r>
    </w:p>
    <w:p w14:paraId="137155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6</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材料垂直运输费、搬运费已综合考虑在单价内。</w:t>
      </w:r>
      <w:r>
        <w:rPr>
          <w:rFonts w:hint="eastAsia" w:ascii="宋体" w:hAnsi="宋体" w:eastAsia="宋体"/>
          <w:color w:val="000000" w:themeColor="text1"/>
          <w:szCs w:val="21"/>
          <w14:textFill>
            <w14:solidFill>
              <w14:schemeClr w14:val="tx1"/>
            </w14:solidFill>
          </w14:textFill>
        </w:rPr>
        <w:tab/>
      </w:r>
    </w:p>
    <w:p w14:paraId="0AFFEA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7</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原钢棚、铁门、栏杆、不锈钢水槽等拆除考虑以料抵工。</w:t>
      </w:r>
      <w:r>
        <w:rPr>
          <w:rFonts w:hint="eastAsia" w:ascii="宋体" w:hAnsi="宋体" w:eastAsia="宋体"/>
          <w:color w:val="000000" w:themeColor="text1"/>
          <w:szCs w:val="21"/>
          <w14:textFill>
            <w14:solidFill>
              <w14:schemeClr w14:val="tx1"/>
            </w14:solidFill>
          </w14:textFill>
        </w:rPr>
        <w:tab/>
      </w:r>
    </w:p>
    <w:p w14:paraId="3636FD2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2.2分部分项及单价措施项目综合单价应包括磋商文件中采购人要求供应商所承担的风险内容及其范围（幅度）产生的风险费用。</w:t>
      </w:r>
    </w:p>
    <w:p w14:paraId="1C2EAAC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2.3总价措施项目应根据拟定的磋商文件和常规施工方案按《计价规范》和《计算规范》规定编制。</w:t>
      </w:r>
    </w:p>
    <w:p w14:paraId="3C81D11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2.4其他项目费应按下列规定报价：</w:t>
      </w:r>
    </w:p>
    <w:p w14:paraId="00AC61F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（1）暂列金额应按工程量清单中列出的金额填写；</w:t>
      </w:r>
    </w:p>
    <w:p w14:paraId="1DE598E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（2）材料、工程设备暂估价应按工程量清单中列出的单价计入综合单价；</w:t>
      </w:r>
    </w:p>
    <w:p w14:paraId="70F2CF7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（3）专业工程暂估价应按工程量清单中列出的金额填写，安全生产责任保险费暂估价应按工程量清单中列出的金额填写；</w:t>
      </w:r>
    </w:p>
    <w:p w14:paraId="0D2012E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（4）计日工应按工程量清单中列出的项目和数量，根据工程特点和有关计价依据确定的综合单价计算；</w:t>
      </w:r>
    </w:p>
    <w:p w14:paraId="696549C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2.5规费和增值税应按规定确定，作为不可竞争费用。</w:t>
      </w:r>
    </w:p>
    <w:p w14:paraId="5F06A4C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2.6其它需要说明的问题：  </w:t>
      </w:r>
    </w:p>
    <w:p w14:paraId="7D49558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安全生产责任保险费按《自治区住房</w:t>
      </w:r>
      <w:r>
        <w:rPr>
          <w:rFonts w:hint="eastAsia" w:ascii="宋体" w:hAnsi="宋体" w:eastAsia="宋体"/>
          <w:color w:val="000000" w:themeColor="text1"/>
          <w:szCs w:val="21"/>
          <w:lang w:val="en-US" w:eastAsia="zh-CN"/>
          <w14:textFill>
            <w14:solidFill>
              <w14:schemeClr w14:val="tx1"/>
            </w14:solidFill>
          </w14:textFill>
        </w:rPr>
        <w:t>和</w:t>
      </w:r>
      <w:r>
        <w:rPr>
          <w:rFonts w:hint="eastAsia" w:ascii="宋体" w:hAnsi="宋体" w:eastAsia="宋体"/>
          <w:color w:val="000000" w:themeColor="text1"/>
          <w:szCs w:val="21"/>
          <w14:textFill>
            <w14:solidFill>
              <w14:schemeClr w14:val="tx1"/>
            </w14:solidFill>
          </w14:textFill>
        </w:rPr>
        <w:t>城乡建设厅关于印发广西壮族自治区房屋建筑和市政基础设施工程安全生产责任保险计价规定的通知》（桂建发〔2023〕6号）计算，工程结算时，由发承包双方根据工程实际情况确认的安全生产责任保险费进行结算。</w:t>
      </w:r>
    </w:p>
    <w:p w14:paraId="7A43AF49">
      <w:pPr>
        <w:spacing w:line="360" w:lineRule="auto"/>
        <w:ind w:firstLine="420"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3.最高限价和图纸（另册）</w:t>
      </w:r>
      <w:bookmarkEnd w:id="24"/>
      <w:bookmarkEnd w:id="25"/>
    </w:p>
    <w:p w14:paraId="5F62E39A">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1374429F">
      <w:pPr>
        <w:pStyle w:val="2"/>
        <w:jc w:val="center"/>
        <w:rPr>
          <w:rFonts w:hint="eastAsia" w:ascii="宋体" w:hAnsi="宋体" w:eastAsia="宋体"/>
          <w:color w:val="000000" w:themeColor="text1"/>
          <w14:textFill>
            <w14:solidFill>
              <w14:schemeClr w14:val="tx1"/>
            </w14:solidFill>
          </w14:textFill>
        </w:rPr>
      </w:pPr>
      <w:bookmarkStart w:id="26" w:name="_Toc197530116"/>
      <w:r>
        <w:rPr>
          <w:rFonts w:hint="eastAsia" w:ascii="宋体" w:hAnsi="宋体" w:eastAsia="宋体"/>
          <w:color w:val="000000" w:themeColor="text1"/>
          <w14:textFill>
            <w14:solidFill>
              <w14:schemeClr w14:val="tx1"/>
            </w14:solidFill>
          </w14:textFill>
        </w:rPr>
        <w:t>第六</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响应文件格式</w:t>
      </w:r>
      <w:bookmarkEnd w:id="26"/>
    </w:p>
    <w:p w14:paraId="6E2C9ADC">
      <w:pPr>
        <w:pStyle w:val="3"/>
        <w:jc w:val="center"/>
        <w:rPr>
          <w:color w:val="000000" w:themeColor="text1"/>
          <w14:textFill>
            <w14:solidFill>
              <w14:schemeClr w14:val="tx1"/>
            </w14:solidFill>
          </w14:textFill>
        </w:rPr>
      </w:pPr>
      <w:bookmarkStart w:id="27" w:name="_Toc197530117"/>
      <w:r>
        <w:rPr>
          <w:rFonts w:hint="eastAsia"/>
          <w:color w:val="000000" w:themeColor="text1"/>
          <w14:textFill>
            <w14:solidFill>
              <w14:schemeClr w14:val="tx1"/>
            </w14:solidFill>
          </w14:textFill>
        </w:rPr>
        <w:t>一、资格证明文件格式</w:t>
      </w:r>
      <w:bookmarkEnd w:id="27"/>
    </w:p>
    <w:p w14:paraId="403DE69A">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1C48561">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0B3D8F24">
      <w:pPr>
        <w:spacing w:line="3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资格证明文件（封面）</w:t>
      </w:r>
    </w:p>
    <w:p w14:paraId="53A914B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88BC87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596EC07">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9E99E1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26382A6">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E97D20D">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项目名称：</w:t>
      </w:r>
    </w:p>
    <w:p w14:paraId="01621BF6">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BD75AAD">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项目编号：</w:t>
      </w:r>
    </w:p>
    <w:p w14:paraId="7FBE5C10">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4DEC683">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所竞分标（如有则填写，无分标时填写“无”或者留空）：</w:t>
      </w:r>
    </w:p>
    <w:p w14:paraId="31727904">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0F9957BC">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供应商名称：</w:t>
      </w:r>
    </w:p>
    <w:p w14:paraId="08C79381">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p>
    <w:p w14:paraId="6B7264E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E96A04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38EB475">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4ADB3FC">
      <w:pPr>
        <w:spacing w:line="360" w:lineRule="auto"/>
        <w:jc w:val="center"/>
        <w:rPr>
          <w:rFonts w:hint="eastAsia" w:ascii="宋体" w:hAnsi="宋体" w:eastAsia="宋体" w:cs="Times New Roman"/>
          <w:color w:val="000000" w:themeColor="text1"/>
          <w:sz w:val="32"/>
          <w:szCs w:val="32"/>
          <w14:textFill>
            <w14:solidFill>
              <w14:schemeClr w14:val="tx1"/>
            </w14:solidFill>
          </w14:textFill>
        </w:rPr>
      </w:pP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年</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月</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日</w:t>
      </w:r>
    </w:p>
    <w:p w14:paraId="62A5AC04">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57F8E8C1">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资格证明文件目录</w:t>
      </w:r>
    </w:p>
    <w:p w14:paraId="030619A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根据磋商文件规定及供应商提供的材料自行编写目录（部分格式后附）。</w:t>
      </w:r>
    </w:p>
    <w:p w14:paraId="52DA7566">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0DD72C67">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（一）供应商为法人或者其他组织的，提供营业执照等证明文件复印件（如营业执照或者事业单位法人证书或者执业许可证等）</w:t>
      </w:r>
    </w:p>
    <w:p w14:paraId="12CF1801">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DD894C3">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8CFD1BB">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（二）符合参与政府采购活动的资格条件依法缴纳税收、社会保障资金等方面的材料</w:t>
      </w:r>
    </w:p>
    <w:p w14:paraId="07ADEB6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62D44B5">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01B1AF9F">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（三）财务状况报告方面的材料</w:t>
      </w:r>
    </w:p>
    <w:p w14:paraId="18AB0E67">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3.1财务状况报告</w:t>
      </w:r>
    </w:p>
    <w:p w14:paraId="017D3699">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p>
    <w:p w14:paraId="7BF4B3E0">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3.2财务状况承诺书</w:t>
      </w:r>
    </w:p>
    <w:p w14:paraId="24DAC7EC">
      <w:pPr>
        <w:spacing w:line="360" w:lineRule="auto"/>
        <w:ind w:firstLine="420" w:firstLineChars="200"/>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我公司郑重承诺：承诺合同履行过程中，由于账户问题导致工程款无法按时支付的，由我公司负责。</w:t>
      </w:r>
    </w:p>
    <w:p w14:paraId="5413EFB8">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法定代表人（签字或者盖章或者电子签名）：</w:t>
      </w:r>
    </w:p>
    <w:p w14:paraId="1AFA161A">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66202E58">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499127D7">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5543C44">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B98EC0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7ADABBA">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60E5155F">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（四）供应商直接控股股东信息表</w:t>
      </w:r>
    </w:p>
    <w:p w14:paraId="4F71C271">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619"/>
        <w:gridCol w:w="1416"/>
        <w:gridCol w:w="3827"/>
        <w:gridCol w:w="1118"/>
      </w:tblGrid>
      <w:tr w14:paraId="74AB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5A3D363A">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361" w:type="pct"/>
          </w:tcPr>
          <w:p w14:paraId="79562C5A">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直接控股股东名称</w:t>
            </w:r>
          </w:p>
        </w:tc>
        <w:tc>
          <w:tcPr>
            <w:tcW w:w="736" w:type="pct"/>
          </w:tcPr>
          <w:p w14:paraId="79F07E5D">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出资比例</w:t>
            </w:r>
          </w:p>
        </w:tc>
        <w:tc>
          <w:tcPr>
            <w:tcW w:w="1989" w:type="pct"/>
          </w:tcPr>
          <w:p w14:paraId="1A2CB7CA">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身份证号码或者统一社会信用代码</w:t>
            </w:r>
          </w:p>
        </w:tc>
        <w:tc>
          <w:tcPr>
            <w:tcW w:w="581" w:type="pct"/>
          </w:tcPr>
          <w:p w14:paraId="4093798E">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tc>
      </w:tr>
      <w:tr w14:paraId="2011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602F604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361" w:type="pct"/>
          </w:tcPr>
          <w:p w14:paraId="148E2E63">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14:paraId="2D963939">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14:paraId="771E0E74">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14:paraId="571D74AC">
            <w:pPr>
              <w:spacing w:line="360" w:lineRule="auto"/>
              <w:jc w:val="center"/>
              <w:rPr>
                <w:rFonts w:hint="eastAsia" w:ascii="宋体" w:hAnsi="宋体"/>
                <w:color w:val="000000" w:themeColor="text1"/>
                <w:szCs w:val="21"/>
                <w14:textFill>
                  <w14:solidFill>
                    <w14:schemeClr w14:val="tx1"/>
                  </w14:solidFill>
                </w14:textFill>
              </w:rPr>
            </w:pPr>
          </w:p>
        </w:tc>
      </w:tr>
      <w:tr w14:paraId="73A7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64047D11">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361" w:type="pct"/>
          </w:tcPr>
          <w:p w14:paraId="1B3ECF2B">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14:paraId="539E5DDE">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14:paraId="7D83DECB">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14:paraId="47070715">
            <w:pPr>
              <w:spacing w:line="360" w:lineRule="auto"/>
              <w:jc w:val="center"/>
              <w:rPr>
                <w:rFonts w:hint="eastAsia" w:ascii="宋体" w:hAnsi="宋体"/>
                <w:color w:val="000000" w:themeColor="text1"/>
                <w:szCs w:val="21"/>
                <w14:textFill>
                  <w14:solidFill>
                    <w14:schemeClr w14:val="tx1"/>
                  </w14:solidFill>
                </w14:textFill>
              </w:rPr>
            </w:pPr>
          </w:p>
        </w:tc>
      </w:tr>
      <w:tr w14:paraId="02B4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0012D14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361" w:type="pct"/>
          </w:tcPr>
          <w:p w14:paraId="6CF2D3E0">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14:paraId="3AB71EBB">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14:paraId="1E22B1D8">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14:paraId="340D7101">
            <w:pPr>
              <w:spacing w:line="360" w:lineRule="auto"/>
              <w:jc w:val="center"/>
              <w:rPr>
                <w:rFonts w:hint="eastAsia" w:ascii="宋体" w:hAnsi="宋体"/>
                <w:color w:val="000000" w:themeColor="text1"/>
                <w:szCs w:val="21"/>
                <w14:textFill>
                  <w14:solidFill>
                    <w14:schemeClr w14:val="tx1"/>
                  </w14:solidFill>
                </w14:textFill>
              </w:rPr>
            </w:pPr>
          </w:p>
        </w:tc>
      </w:tr>
      <w:tr w14:paraId="1A53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7444728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361" w:type="pct"/>
          </w:tcPr>
          <w:p w14:paraId="00EAA733">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14:paraId="451D0733">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14:paraId="05AA07CC">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14:paraId="66F9DB00">
            <w:pPr>
              <w:spacing w:line="360" w:lineRule="auto"/>
              <w:jc w:val="center"/>
              <w:rPr>
                <w:rFonts w:hint="eastAsia" w:ascii="宋体" w:hAnsi="宋体"/>
                <w:color w:val="000000" w:themeColor="text1"/>
                <w:szCs w:val="21"/>
                <w14:textFill>
                  <w14:solidFill>
                    <w14:schemeClr w14:val="tx1"/>
                  </w14:solidFill>
                </w14:textFill>
              </w:rPr>
            </w:pPr>
          </w:p>
        </w:tc>
      </w:tr>
    </w:tbl>
    <w:p w14:paraId="0D1D8F7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14:paraId="42150AB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C48E37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2.本表所指的控股关系仅限于直接控股关系，不包括间接的控股关系。公司实际控制人与公司之间的关系不属于本表所指的直接控股关系。</w:t>
      </w:r>
    </w:p>
    <w:p w14:paraId="534A8BD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3.供应商不存在直接控股股东的，则填“无”。</w:t>
      </w:r>
    </w:p>
    <w:p w14:paraId="6DE49C5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64F7805">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61BC48BB">
      <w:pPr>
        <w:spacing w:line="360" w:lineRule="auto"/>
        <w:ind w:firstLine="420" w:firstLineChars="200"/>
        <w:jc w:val="right"/>
        <w:rPr>
          <w:rFonts w:hint="eastAsia"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0F3F23F3">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4CAD186">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79345C39">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（五）供应商直接管理关系信息表</w:t>
      </w:r>
    </w:p>
    <w:p w14:paraId="68C2DEB5">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4"/>
        <w:gridCol w:w="2404"/>
        <w:gridCol w:w="2405"/>
        <w:gridCol w:w="2405"/>
      </w:tblGrid>
      <w:tr w14:paraId="2985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16E6A417">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250" w:type="pct"/>
          </w:tcPr>
          <w:p w14:paraId="2931D422">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直接管理关系单位名称</w:t>
            </w:r>
          </w:p>
        </w:tc>
        <w:tc>
          <w:tcPr>
            <w:tcW w:w="1250" w:type="pct"/>
          </w:tcPr>
          <w:p w14:paraId="77A3E4A7">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统一社会信用代码</w:t>
            </w:r>
          </w:p>
        </w:tc>
        <w:tc>
          <w:tcPr>
            <w:tcW w:w="1250" w:type="pct"/>
          </w:tcPr>
          <w:p w14:paraId="6587E5BC">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tc>
      </w:tr>
      <w:tr w14:paraId="06CE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7759031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50" w:type="pct"/>
          </w:tcPr>
          <w:p w14:paraId="2CD9275C">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14:paraId="21C7B456">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14:paraId="055E1EC3">
            <w:pPr>
              <w:spacing w:line="360" w:lineRule="auto"/>
              <w:jc w:val="center"/>
              <w:rPr>
                <w:rFonts w:hint="eastAsia" w:ascii="宋体" w:hAnsi="宋体"/>
                <w:color w:val="000000" w:themeColor="text1"/>
                <w:szCs w:val="21"/>
                <w14:textFill>
                  <w14:solidFill>
                    <w14:schemeClr w14:val="tx1"/>
                  </w14:solidFill>
                </w14:textFill>
              </w:rPr>
            </w:pPr>
          </w:p>
        </w:tc>
      </w:tr>
      <w:tr w14:paraId="314B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484D34C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50" w:type="pct"/>
          </w:tcPr>
          <w:p w14:paraId="54ED92B9">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14:paraId="3922AF67">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14:paraId="02AFE75A">
            <w:pPr>
              <w:spacing w:line="360" w:lineRule="auto"/>
              <w:jc w:val="center"/>
              <w:rPr>
                <w:rFonts w:hint="eastAsia" w:ascii="宋体" w:hAnsi="宋体"/>
                <w:color w:val="000000" w:themeColor="text1"/>
                <w:szCs w:val="21"/>
                <w14:textFill>
                  <w14:solidFill>
                    <w14:schemeClr w14:val="tx1"/>
                  </w14:solidFill>
                </w14:textFill>
              </w:rPr>
            </w:pPr>
          </w:p>
        </w:tc>
      </w:tr>
      <w:tr w14:paraId="74C2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27786E8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250" w:type="pct"/>
          </w:tcPr>
          <w:p w14:paraId="52348DE7">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14:paraId="4534A97D">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14:paraId="105700B2">
            <w:pPr>
              <w:spacing w:line="360" w:lineRule="auto"/>
              <w:jc w:val="center"/>
              <w:rPr>
                <w:rFonts w:hint="eastAsia" w:ascii="宋体" w:hAnsi="宋体"/>
                <w:color w:val="000000" w:themeColor="text1"/>
                <w:szCs w:val="21"/>
                <w14:textFill>
                  <w14:solidFill>
                    <w14:schemeClr w14:val="tx1"/>
                  </w14:solidFill>
                </w14:textFill>
              </w:rPr>
            </w:pPr>
          </w:p>
        </w:tc>
      </w:tr>
      <w:tr w14:paraId="4F30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6247DBB8">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250" w:type="pct"/>
          </w:tcPr>
          <w:p w14:paraId="79C5105C">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14:paraId="1811968E">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14:paraId="75C9863F">
            <w:pPr>
              <w:spacing w:line="360" w:lineRule="auto"/>
              <w:jc w:val="center"/>
              <w:rPr>
                <w:rFonts w:hint="eastAsia" w:ascii="宋体" w:hAnsi="宋体"/>
                <w:color w:val="000000" w:themeColor="text1"/>
                <w:szCs w:val="21"/>
                <w14:textFill>
                  <w14:solidFill>
                    <w14:schemeClr w14:val="tx1"/>
                  </w14:solidFill>
                </w14:textFill>
              </w:rPr>
            </w:pPr>
          </w:p>
        </w:tc>
      </w:tr>
    </w:tbl>
    <w:p w14:paraId="02BE375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14:paraId="565DFC5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1.管理关系：是指不具有出资持股关系的其他单位之间存在的管理与被管理关系，如一些上下级关系的事业单位和团体组织。</w:t>
      </w:r>
    </w:p>
    <w:p w14:paraId="6EA6797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2.本表所指的管理关系仅限于直接管理关系，不包括间接的管理关系。</w:t>
      </w:r>
    </w:p>
    <w:p w14:paraId="038F7FC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3.供应商不存在直接管理关系的，则填“无”。</w:t>
      </w:r>
    </w:p>
    <w:p w14:paraId="33251D1A">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1DA504E">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1F477C5B">
      <w:pPr>
        <w:spacing w:line="360" w:lineRule="auto"/>
        <w:ind w:firstLine="420" w:firstLineChars="200"/>
        <w:jc w:val="right"/>
        <w:rPr>
          <w:rFonts w:hint="eastAsia"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宋体" w:hAnsi="宋体" w:eastAsia="宋体" w:cs="Times New Roman"/>
          <w:color w:val="000000" w:themeColor="text1"/>
          <w:szCs w:val="21"/>
          <w14:textFill>
            <w14:solidFill>
              <w14:schemeClr w14:val="tx1"/>
            </w14:solidFill>
          </w14:textFill>
        </w:rPr>
        <w:t>___</w:t>
      </w:r>
      <w:r>
        <w:rPr>
          <w:rFonts w:hint="eastAsia" w:ascii="宋体" w:hAnsi="宋体" w:eastAsia="宋体"/>
          <w:color w:val="000000" w:themeColor="text1"/>
          <w:szCs w:val="21"/>
          <w14:textFill>
            <w14:solidFill>
              <w14:schemeClr w14:val="tx1"/>
            </w14:solidFill>
          </w14:textFill>
        </w:rPr>
        <w:t>年</w:t>
      </w:r>
      <w:r>
        <w:rPr>
          <w:rFonts w:ascii="宋体" w:hAnsi="宋体" w:eastAsia="宋体" w:cs="Times New Roman"/>
          <w:color w:val="000000" w:themeColor="text1"/>
          <w:szCs w:val="21"/>
          <w14:textFill>
            <w14:solidFill>
              <w14:schemeClr w14:val="tx1"/>
            </w14:solidFill>
          </w14:textFill>
        </w:rPr>
        <w:t>___</w:t>
      </w:r>
      <w:r>
        <w:rPr>
          <w:rFonts w:hint="eastAsia" w:ascii="宋体" w:hAnsi="宋体" w:eastAsia="宋体"/>
          <w:color w:val="000000" w:themeColor="text1"/>
          <w:szCs w:val="21"/>
          <w14:textFill>
            <w14:solidFill>
              <w14:schemeClr w14:val="tx1"/>
            </w14:solidFill>
          </w14:textFill>
        </w:rPr>
        <w:t>月</w:t>
      </w:r>
      <w:r>
        <w:rPr>
          <w:rFonts w:ascii="宋体" w:hAnsi="宋体" w:eastAsia="宋体" w:cs="Times New Roman"/>
          <w:color w:val="000000" w:themeColor="text1"/>
          <w:szCs w:val="21"/>
          <w14:textFill>
            <w14:solidFill>
              <w14:schemeClr w14:val="tx1"/>
            </w14:solidFill>
          </w14:textFill>
        </w:rPr>
        <w:t>___</w:t>
      </w:r>
      <w:r>
        <w:rPr>
          <w:rFonts w:hint="eastAsia" w:ascii="宋体" w:hAnsi="宋体" w:eastAsia="宋体"/>
          <w:color w:val="000000" w:themeColor="text1"/>
          <w:szCs w:val="21"/>
          <w14:textFill>
            <w14:solidFill>
              <w14:schemeClr w14:val="tx1"/>
            </w14:solidFill>
          </w14:textFill>
        </w:rPr>
        <w:t>日</w:t>
      </w:r>
    </w:p>
    <w:p w14:paraId="62AE744A">
      <w:pPr>
        <w:spacing w:line="360" w:lineRule="auto"/>
        <w:ind w:firstLine="560" w:firstLineChars="200"/>
        <w:jc w:val="right"/>
        <w:rPr>
          <w:rFonts w:hint="eastAsia" w:ascii="宋体" w:hAnsi="宋体" w:eastAsia="宋体"/>
          <w:color w:val="000000" w:themeColor="text1"/>
          <w:sz w:val="28"/>
          <w:szCs w:val="28"/>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38FA32B9">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（六）竞争性磋商声明</w:t>
      </w:r>
    </w:p>
    <w:p w14:paraId="7178B5C6">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竞争性磋商声明</w:t>
      </w:r>
    </w:p>
    <w:p w14:paraId="3EE27394">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078B7FB">
      <w:pPr>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（采购人名称）：</w:t>
      </w:r>
    </w:p>
    <w:p w14:paraId="0236C90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w:t>
      </w:r>
      <w:r>
        <w:rPr>
          <w:rFonts w:hint="eastAsia" w:ascii="宋体" w:hAnsi="宋体" w:eastAsia="宋体"/>
          <w:color w:val="000000" w:themeColor="text1"/>
          <w:szCs w:val="21"/>
          <w:u w:val="single"/>
          <w14:textFill>
            <w14:solidFill>
              <w14:schemeClr w14:val="tx1"/>
            </w14:solidFill>
          </w14:textFill>
        </w:rPr>
        <w:t>（供应商名称）</w:t>
      </w:r>
      <w:r>
        <w:rPr>
          <w:rFonts w:hint="eastAsia" w:ascii="宋体" w:hAnsi="宋体" w:eastAsia="宋体"/>
          <w:color w:val="000000" w:themeColor="text1"/>
          <w:szCs w:val="21"/>
          <w14:textFill>
            <w14:solidFill>
              <w14:schemeClr w14:val="tx1"/>
            </w14:solidFill>
          </w14:textFill>
        </w:rPr>
        <w:t>系中华人民共和国合法供应商，经营地址</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w:t>
      </w:r>
    </w:p>
    <w:p w14:paraId="0ACB489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我方愿意参加贵方组织的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项目的竞争性磋商，为便于贵方公正、择优地确定成交供应商及其竞标产品和服务，我方就本次竞争性磋商有关事项郑重声明如下：</w:t>
      </w:r>
    </w:p>
    <w:p w14:paraId="33ACBF6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1.我方向贵方提交的所有响应文件、资料都是准确的和真实的。</w:t>
      </w:r>
    </w:p>
    <w:p w14:paraId="05375DC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8163D1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3.在此，我方宣布同意如下：</w:t>
      </w:r>
    </w:p>
    <w:p w14:paraId="483201E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（1）将按磋商文件的约定履行合同责任和义务；</w:t>
      </w:r>
    </w:p>
    <w:p w14:paraId="418067D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（2）已详细审查全部磋商文件，包括澄清或者更正公告（如有）；</w:t>
      </w:r>
    </w:p>
    <w:p w14:paraId="761C8A4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（3）同意提供按照贵方可能要求的与磋商有关的一切数据或者资料；</w:t>
      </w:r>
    </w:p>
    <w:p w14:paraId="3FF1CA9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（4）响应磋商文件规定的竞争性磋商有效期。</w:t>
      </w:r>
    </w:p>
    <w:p w14:paraId="39F4F16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4.我方承诺符合《中华人民共和国政府采购法》第二十二条规定：</w:t>
      </w:r>
    </w:p>
    <w:p w14:paraId="04DE806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（1）具有独立承担民事责任的能力；</w:t>
      </w:r>
    </w:p>
    <w:p w14:paraId="66F16DF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（2）具有良好的商业信誉和健全的财务会计制度；</w:t>
      </w:r>
    </w:p>
    <w:p w14:paraId="5713DE6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（3）具有履行合同所必需的设备和专业技术能力；</w:t>
      </w:r>
    </w:p>
    <w:p w14:paraId="3047775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（4）有依法缴纳税收和社会保障资金的良好记录；</w:t>
      </w:r>
    </w:p>
    <w:p w14:paraId="40BB579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（5）参加政府采购活动前三年内，在经营活动中没有重大违法记录；</w:t>
      </w:r>
    </w:p>
    <w:p w14:paraId="6E1B50A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（6）法律、行政法规规定的其他条件。</w:t>
      </w:r>
    </w:p>
    <w:p w14:paraId="28F1337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850233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562C2C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□我方本次响应文件内容中未涉及商业秘密；</w:t>
      </w:r>
    </w:p>
    <w:p w14:paraId="78D80E8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□我方本次响应文件涉及商业秘密的内容有：</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w:t>
      </w:r>
    </w:p>
    <w:p w14:paraId="13B366D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7.与本磋商有关的一切正式往来信函请寄：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邮政编号：</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647DB06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电话/传真：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电子函件：</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44E55F3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开户银行：</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账号</w:t>
      </w:r>
      <w:r>
        <w:rPr>
          <w:rFonts w:hint="eastAsia" w:ascii="宋体" w:hAnsi="宋体" w:eastAsia="宋体"/>
          <w:color w:val="000000" w:themeColor="text1"/>
          <w:szCs w:val="21"/>
          <w14:textFill>
            <w14:solidFill>
              <w14:schemeClr w14:val="tx1"/>
            </w14:solidFill>
          </w14:textFill>
        </w:rPr>
        <w:t>：</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2E83C91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8.我方若竞争性磋商成功，除非发生不可抗力，承诺与采购人及时签订《合同书》。如果放弃，自愿按照本文件之《供应商须知正文》第29.3条的要求承担法律责任和失信惩戒。</w:t>
      </w:r>
    </w:p>
    <w:p w14:paraId="10C5F24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9.以上事项如有虚假或者隐瞒，我方愿意承担一切后果，并不再寻求任何旨在减轻或者免除法律责任的辩解。</w:t>
      </w:r>
    </w:p>
    <w:p w14:paraId="14EBC0B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特此承诺。</w:t>
      </w:r>
    </w:p>
    <w:p w14:paraId="334C23A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注：如为联合体参加竞争性磋商，盖章处须加盖联合体牵头人公章并由联合体牵头人法定代表人分别签字或者盖章或者电子签名，否则其响应文件按无效响应处理。</w:t>
      </w:r>
    </w:p>
    <w:p w14:paraId="0B00F0AD">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E1DCE00">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法定代表人（签字或者盖章或者电子签名）：</w:t>
      </w:r>
    </w:p>
    <w:p w14:paraId="1874B5D6">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5070926E">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7D0DE326">
      <w:pPr>
        <w:spacing w:line="360" w:lineRule="auto"/>
        <w:ind w:firstLine="643" w:firstLineChars="200"/>
        <w:rPr>
          <w:rFonts w:hint="eastAsia" w:ascii="宋体" w:hAnsi="宋体" w:eastAsia="宋体"/>
          <w:b/>
          <w:color w:val="000000" w:themeColor="text1"/>
          <w:sz w:val="32"/>
          <w:szCs w:val="32"/>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03E2B306">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（七）竞争性磋商公告对应的特定资格要求设置供应商提供的资格证明材料</w:t>
      </w:r>
    </w:p>
    <w:p w14:paraId="06DB1804">
      <w:pPr>
        <w:spacing w:line="360" w:lineRule="auto"/>
        <w:ind w:firstLine="643" w:firstLineChars="200"/>
        <w:rPr>
          <w:rFonts w:hint="eastAsia" w:ascii="宋体" w:hAnsi="宋体" w:eastAsia="宋体"/>
          <w:b/>
          <w:color w:val="000000" w:themeColor="text1"/>
          <w:sz w:val="32"/>
          <w:szCs w:val="32"/>
          <w14:textFill>
            <w14:solidFill>
              <w14:schemeClr w14:val="tx1"/>
            </w14:solidFill>
          </w14:textFill>
        </w:rPr>
      </w:pPr>
    </w:p>
    <w:p w14:paraId="2FDA0354">
      <w:pPr>
        <w:spacing w:line="360" w:lineRule="auto"/>
        <w:ind w:firstLine="643" w:firstLineChars="200"/>
        <w:rPr>
          <w:rFonts w:hint="eastAsia" w:ascii="宋体" w:hAnsi="宋体" w:eastAsia="宋体"/>
          <w:b/>
          <w:color w:val="000000" w:themeColor="text1"/>
          <w:sz w:val="32"/>
          <w:szCs w:val="32"/>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723ED950">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（八）联合体参加竞争性磋商协议书（如有）</w:t>
      </w:r>
    </w:p>
    <w:p w14:paraId="7023C380">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联合体参加竞争性磋商协议书（格式）</w:t>
      </w:r>
    </w:p>
    <w:p w14:paraId="27100601">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CC31B9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（所有成员单位名称）自愿组成联合体，共同参加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组织的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（项目编号：</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）竞争性磋商采购。现就联合体竞争性磋商事宜订立如下协议：</w:t>
      </w:r>
    </w:p>
    <w:p w14:paraId="540772A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（某成员单位名称）为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（联合体名称）牵头人。</w:t>
      </w:r>
    </w:p>
    <w:p w14:paraId="3CC5A2D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联合体各成员授权牵头人代表联合体参加竞争性磋商活动，签署文件及对文件的盖章，提交和接收相关的资料、信息及指示，进行合同磋商活动，负责合同实施阶段的组织和协调工作，以及处理与本竞争性磋商项目有关的一切事宜。</w:t>
      </w:r>
    </w:p>
    <w:p w14:paraId="0504105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3.联合体牵头人在本项目中签署和盖章的一切文件和处理的一切事宜，联合体各成员均予以承认。联合体各成员将严格按照磋商文件、响应文件和合同的要求全面履行义务，并向采购人承担连带责任。</w:t>
      </w:r>
    </w:p>
    <w:p w14:paraId="07F34FA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4.联合体各成员单位内部的职责分工如下：</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w:t>
      </w:r>
    </w:p>
    <w:p w14:paraId="1C431A5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5.本联合体中，</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（某成员单位名称）为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（请填写：中型、小型、微型）企业，其协议合同金额占联合体协议合同</w:t>
      </w:r>
      <w:r>
        <w:rPr>
          <w:rFonts w:hint="eastAsia" w:ascii="宋体" w:hAnsi="宋体" w:eastAsia="宋体"/>
          <w:color w:val="000000" w:themeColor="text1"/>
          <w:szCs w:val="21"/>
          <w:lang w:val="en-US" w:eastAsia="zh-CN"/>
          <w14:textFill>
            <w14:solidFill>
              <w14:schemeClr w14:val="tx1"/>
            </w14:solidFill>
          </w14:textFill>
        </w:rPr>
        <w:t>价款</w:t>
      </w:r>
      <w:r>
        <w:rPr>
          <w:rFonts w:hint="eastAsia" w:ascii="宋体" w:hAnsi="宋体" w:eastAsia="宋体"/>
          <w:color w:val="000000" w:themeColor="text1"/>
          <w:szCs w:val="21"/>
          <w14:textFill>
            <w14:solidFill>
              <w14:schemeClr w14:val="tx1"/>
            </w14:solidFill>
          </w14:textFill>
        </w:rPr>
        <w:t>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%。【如联合体成员中有小型、微型企业的，请填写此条，否则无需填写；如联合体成员中有多个小型、微型企业的，请逐一列出。】</w:t>
      </w:r>
    </w:p>
    <w:p w14:paraId="5556A50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6.本协议书自所有成员单位法定代表人或者其委托代理人签字或者盖单位章之日起生效，合同履行完毕后自动失效。</w:t>
      </w:r>
    </w:p>
    <w:p w14:paraId="78057EB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7.本协议书一式</w:t>
      </w:r>
      <w:bookmarkStart w:id="28" w:name="OLE_LINK16"/>
      <w:bookmarkStart w:id="29" w:name="OLE_LINK15"/>
      <w:r>
        <w:rPr>
          <w:rFonts w:ascii="Times New Roman" w:hAnsi="Times New Roman" w:eastAsia="宋体" w:cs="Times New Roman"/>
          <w:color w:val="000000" w:themeColor="text1"/>
          <w:szCs w:val="21"/>
          <w:u w:val="single"/>
          <w14:textFill>
            <w14:solidFill>
              <w14:schemeClr w14:val="tx1"/>
            </w14:solidFill>
          </w14:textFill>
        </w:rPr>
        <w:t xml:space="preserve">      </w:t>
      </w:r>
      <w:bookmarkEnd w:id="28"/>
      <w:bookmarkEnd w:id="29"/>
      <w:r>
        <w:rPr>
          <w:rFonts w:hint="eastAsia" w:ascii="宋体" w:hAnsi="宋体" w:eastAsia="宋体"/>
          <w:color w:val="000000" w:themeColor="text1"/>
          <w:szCs w:val="21"/>
          <w14:textFill>
            <w14:solidFill>
              <w14:schemeClr w14:val="tx1"/>
            </w14:solidFill>
          </w14:textFill>
        </w:rPr>
        <w:t>份，联合体成员和采购人各执壹份。</w:t>
      </w:r>
    </w:p>
    <w:p w14:paraId="05DC154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注：本协议书由法定代表人签字的，应附法定代表人身份证明；本协议书由委托代理人签字的，应附法定代表人授权委托书。</w:t>
      </w:r>
    </w:p>
    <w:p w14:paraId="6728AE3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牵头人名称：</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（盖单位公章或者电子签章）</w:t>
      </w:r>
    </w:p>
    <w:p w14:paraId="1EB1408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法定代表人或其委托代理人：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（签字或者电子签名）</w:t>
      </w:r>
    </w:p>
    <w:p w14:paraId="1104C01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成员一名称：</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（盖单位公章或者电子签章）</w:t>
      </w:r>
    </w:p>
    <w:p w14:paraId="7E49749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法定代表人或其委托代理人：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（签字或者电子签名）</w:t>
      </w:r>
    </w:p>
    <w:p w14:paraId="630B917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成员二名称：</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（盖单位公章或者电子签章）</w:t>
      </w:r>
    </w:p>
    <w:p w14:paraId="4DD8416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法定代表人或其委托代理人：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（签字或者电子签名）</w:t>
      </w:r>
    </w:p>
    <w:p w14:paraId="7C519E3F">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230DFEE">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1AF4EE5F">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3E9A17E7">
      <w:pPr>
        <w:pStyle w:val="3"/>
        <w:jc w:val="center"/>
        <w:rPr>
          <w:color w:val="000000" w:themeColor="text1"/>
          <w14:textFill>
            <w14:solidFill>
              <w14:schemeClr w14:val="tx1"/>
            </w14:solidFill>
          </w14:textFill>
        </w:rPr>
      </w:pPr>
      <w:bookmarkStart w:id="30" w:name="_Toc197530118"/>
      <w:r>
        <w:rPr>
          <w:rFonts w:hint="eastAsia"/>
          <w:color w:val="000000" w:themeColor="text1"/>
          <w14:textFill>
            <w14:solidFill>
              <w14:schemeClr w14:val="tx1"/>
            </w14:solidFill>
          </w14:textFill>
        </w:rPr>
        <w:t>二、报价文件格式</w:t>
      </w:r>
      <w:bookmarkEnd w:id="30"/>
    </w:p>
    <w:p w14:paraId="3893C8D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88DBF39">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0EDA7A1">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08448EA1">
      <w:pPr>
        <w:spacing w:line="3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报价文件（封面）</w:t>
      </w:r>
    </w:p>
    <w:p w14:paraId="4920605F">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A1E0AF4">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D9728CD">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B052B8B">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0646310">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6394869">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项目名称：</w:t>
      </w:r>
    </w:p>
    <w:p w14:paraId="6E9BB7B0">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6E2C914">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项目编号：</w:t>
      </w:r>
    </w:p>
    <w:p w14:paraId="2549051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D54403A">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所竞分标（如有则填写，无分标时填写“无”或者留空）：</w:t>
      </w:r>
    </w:p>
    <w:p w14:paraId="2430F638">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056293A5">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供应商名称：</w:t>
      </w:r>
    </w:p>
    <w:p w14:paraId="31C6D77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445B93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1E04966">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46CD201">
      <w:pPr>
        <w:spacing w:line="36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年</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月</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日</w:t>
      </w:r>
    </w:p>
    <w:p w14:paraId="3D18BD66">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1A8AC71A">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报价文件目录</w:t>
      </w:r>
    </w:p>
    <w:p w14:paraId="5904E6E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根据磋商文件规定及供应商提供的材料自行编写目录（部分格式后附），竞标人不得对采购人的</w:t>
      </w:r>
      <w:r>
        <w:rPr>
          <w:rFonts w:hint="eastAsia" w:ascii="宋体" w:hAnsi="宋体" w:eastAsia="宋体"/>
          <w:color w:val="000000" w:themeColor="text1"/>
          <w:szCs w:val="21"/>
          <w:u w:val="single"/>
          <w14:textFill>
            <w14:solidFill>
              <w14:schemeClr w14:val="tx1"/>
            </w14:solidFill>
          </w14:textFill>
        </w:rPr>
        <w:t>固定</w:t>
      </w:r>
      <w:r>
        <w:rPr>
          <w:rFonts w:hint="eastAsia" w:ascii="宋体" w:hAnsi="宋体" w:eastAsia="宋体"/>
          <w:color w:val="000000" w:themeColor="text1"/>
          <w:szCs w:val="21"/>
          <w14:textFill>
            <w14:solidFill>
              <w14:schemeClr w14:val="tx1"/>
            </w14:solidFill>
          </w14:textFill>
        </w:rPr>
        <w:t>综合单价进行修改。</w:t>
      </w:r>
    </w:p>
    <w:p w14:paraId="4615DCD1">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3B0548CC">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（一）竞标函及竞标函附录</w:t>
      </w:r>
    </w:p>
    <w:p w14:paraId="54C69752">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竞标函</w:t>
      </w:r>
    </w:p>
    <w:p w14:paraId="61A7FD21">
      <w:pPr>
        <w:spacing w:line="360" w:lineRule="auto"/>
        <w:rPr>
          <w:rFonts w:hint="eastAsia" w:ascii="宋体" w:hAnsi="宋体" w:eastAsia="宋体"/>
          <w:color w:val="000000" w:themeColor="text1"/>
          <w:szCs w:val="21"/>
          <w14:textFill>
            <w14:solidFill>
              <w14:schemeClr w14:val="tx1"/>
            </w14:solidFill>
          </w14:textFill>
        </w:rPr>
      </w:pP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（采购人名称）：</w:t>
      </w:r>
    </w:p>
    <w:p w14:paraId="04A6BAC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1.我方已仔细研究了</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（项目名称/项目编号）磋商文件的全部内容，愿意以下浮系数</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的竞争性磋商报价，工期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日历天，按合同约定实施和完成承包工程，修补工程中的任何缺陷，工程质量达到</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w:t>
      </w:r>
    </w:p>
    <w:p w14:paraId="0B57107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2.我方承认竞争性磋商报价表是我方竞争性磋商函的组成部分。</w:t>
      </w:r>
    </w:p>
    <w:p w14:paraId="261FB8B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3.如我方成交：</w:t>
      </w:r>
    </w:p>
    <w:p w14:paraId="29FD23C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（1）我方承诺在收到成交通知书后，在成交通知书规定的期限内与你方签订合同。</w:t>
      </w:r>
    </w:p>
    <w:p w14:paraId="6F51B1E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（2）在签订合同时不向你方提出附加条件。</w:t>
      </w:r>
    </w:p>
    <w:p w14:paraId="2C23B2E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（3）我方承诺按照磋商文件规定向你方递交履约担保。</w:t>
      </w:r>
    </w:p>
    <w:p w14:paraId="70923D3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（4）我方承诺在合同约定的期限内完成并移交全部合同工程。</w:t>
      </w:r>
    </w:p>
    <w:p w14:paraId="3543AB9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（5）我方已认真阅读你方审定的招标控制价，认可你方发布的招标控制价，并同意本项目依据招标控制价中相应清单单价乘以（1-成交下浮系数）进行结算。</w:t>
      </w:r>
    </w:p>
    <w:p w14:paraId="001AB1A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4.在合同书正式签署生效之前，本竞争性磋商函连同你方的成交通知书将构成我们双方之间共同遵守的文件，对双方具有约束力。</w:t>
      </w:r>
    </w:p>
    <w:p w14:paraId="1B1EE9F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（其他补充说明）。</w:t>
      </w:r>
    </w:p>
    <w:p w14:paraId="0C0200A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与本磋商有关的一切正式往来信函请寄：</w:t>
      </w:r>
    </w:p>
    <w:p w14:paraId="43DF9B5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7457844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电话：</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5C7A03D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传真：</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4FF3032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邮政编码：</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38CC24F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开户名称：</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0AB3DE7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开户银行：</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316B66C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银行账号：</w:t>
      </w:r>
      <w:r>
        <w:rPr>
          <w:rFonts w:ascii="Times New Roman" w:hAnsi="Times New Roman" w:eastAsia="宋体" w:cs="Times New Roman"/>
          <w:color w:val="000000" w:themeColor="text1"/>
          <w:szCs w:val="21"/>
          <w:u w:val="single"/>
          <w14:textFill>
            <w14:solidFill>
              <w14:schemeClr w14:val="tx1"/>
            </w14:solidFill>
          </w14:textFill>
        </w:rPr>
        <w:t xml:space="preserve">      </w:t>
      </w:r>
    </w:p>
    <w:p w14:paraId="0052ECC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特此承诺。</w:t>
      </w:r>
    </w:p>
    <w:p w14:paraId="0852A49A">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658169A8">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3017C2E0">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797CE76E">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竞标函附录</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1134"/>
        <w:gridCol w:w="4394"/>
        <w:gridCol w:w="1127"/>
      </w:tblGrid>
      <w:tr w14:paraId="1DD5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4" w:type="dxa"/>
            <w:vAlign w:val="center"/>
          </w:tcPr>
          <w:p w14:paraId="62F0B478">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1985" w:type="dxa"/>
            <w:vAlign w:val="center"/>
          </w:tcPr>
          <w:p w14:paraId="4748407A">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条款内容</w:t>
            </w:r>
          </w:p>
        </w:tc>
        <w:tc>
          <w:tcPr>
            <w:tcW w:w="1134" w:type="dxa"/>
            <w:vAlign w:val="center"/>
          </w:tcPr>
          <w:p w14:paraId="39DE5CD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合同条款号</w:t>
            </w:r>
          </w:p>
        </w:tc>
        <w:tc>
          <w:tcPr>
            <w:tcW w:w="4394" w:type="dxa"/>
            <w:vAlign w:val="center"/>
          </w:tcPr>
          <w:p w14:paraId="229C79C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约定内容</w:t>
            </w:r>
          </w:p>
        </w:tc>
        <w:tc>
          <w:tcPr>
            <w:tcW w:w="1127" w:type="dxa"/>
            <w:vAlign w:val="center"/>
          </w:tcPr>
          <w:p w14:paraId="67F785D3">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供应商响应情况</w:t>
            </w:r>
          </w:p>
        </w:tc>
      </w:tr>
      <w:tr w14:paraId="7F89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36535F9">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985" w:type="dxa"/>
            <w:vAlign w:val="center"/>
          </w:tcPr>
          <w:p w14:paraId="4CD4629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项目经理</w:t>
            </w:r>
          </w:p>
        </w:tc>
        <w:tc>
          <w:tcPr>
            <w:tcW w:w="1134" w:type="dxa"/>
            <w:vAlign w:val="center"/>
          </w:tcPr>
          <w:p w14:paraId="0AD7A349">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0D9FEC3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姓名：</w:t>
            </w:r>
          </w:p>
        </w:tc>
        <w:tc>
          <w:tcPr>
            <w:tcW w:w="1127" w:type="dxa"/>
            <w:vAlign w:val="center"/>
          </w:tcPr>
          <w:p w14:paraId="4B365C90">
            <w:pPr>
              <w:spacing w:line="360" w:lineRule="auto"/>
              <w:jc w:val="center"/>
              <w:rPr>
                <w:rFonts w:hint="eastAsia" w:ascii="宋体" w:hAnsi="宋体"/>
                <w:color w:val="000000" w:themeColor="text1"/>
                <w:szCs w:val="21"/>
                <w14:textFill>
                  <w14:solidFill>
                    <w14:schemeClr w14:val="tx1"/>
                  </w14:solidFill>
                </w14:textFill>
              </w:rPr>
            </w:pPr>
          </w:p>
        </w:tc>
      </w:tr>
      <w:tr w14:paraId="54B9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820C93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985" w:type="dxa"/>
            <w:vAlign w:val="center"/>
          </w:tcPr>
          <w:p w14:paraId="4CD430E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竞标有效期</w:t>
            </w:r>
          </w:p>
        </w:tc>
        <w:tc>
          <w:tcPr>
            <w:tcW w:w="1134" w:type="dxa"/>
            <w:vAlign w:val="center"/>
          </w:tcPr>
          <w:p w14:paraId="0364D34E">
            <w:pPr>
              <w:spacing w:line="360" w:lineRule="auto"/>
              <w:jc w:val="center"/>
              <w:rPr>
                <w:rFonts w:hint="eastAsia" w:ascii="宋体" w:hAnsi="宋体"/>
                <w:color w:val="000000" w:themeColor="text1"/>
                <w:szCs w:val="21"/>
                <w14:textFill>
                  <w14:solidFill>
                    <w14:schemeClr w14:val="tx1"/>
                  </w14:solidFill>
                </w14:textFill>
              </w:rPr>
            </w:pPr>
          </w:p>
        </w:tc>
        <w:tc>
          <w:tcPr>
            <w:tcW w:w="4394" w:type="dxa"/>
            <w:vAlign w:val="center"/>
          </w:tcPr>
          <w:p w14:paraId="4E0B127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自首次响应文件提交截止之日起120日</w:t>
            </w:r>
          </w:p>
        </w:tc>
        <w:tc>
          <w:tcPr>
            <w:tcW w:w="1127" w:type="dxa"/>
            <w:vAlign w:val="center"/>
          </w:tcPr>
          <w:p w14:paraId="19CFD20C">
            <w:pPr>
              <w:spacing w:line="360" w:lineRule="auto"/>
              <w:jc w:val="center"/>
              <w:rPr>
                <w:rFonts w:hint="eastAsia" w:ascii="宋体" w:hAnsi="宋体"/>
                <w:color w:val="000000" w:themeColor="text1"/>
                <w:szCs w:val="21"/>
                <w14:textFill>
                  <w14:solidFill>
                    <w14:schemeClr w14:val="tx1"/>
                  </w14:solidFill>
                </w14:textFill>
              </w:rPr>
            </w:pPr>
          </w:p>
        </w:tc>
      </w:tr>
      <w:tr w14:paraId="7EBB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6AEE658">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985" w:type="dxa"/>
            <w:vAlign w:val="center"/>
          </w:tcPr>
          <w:p w14:paraId="2EC7A22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工期</w:t>
            </w:r>
          </w:p>
        </w:tc>
        <w:tc>
          <w:tcPr>
            <w:tcW w:w="1134" w:type="dxa"/>
            <w:vAlign w:val="center"/>
          </w:tcPr>
          <w:p w14:paraId="3BA46019">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2C07862F">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70日历天</w:t>
            </w:r>
            <w:r>
              <w:rPr>
                <w:rFonts w:ascii="宋体" w:hAnsi="宋体" w:eastAsia="宋体"/>
                <w:color w:val="000000" w:themeColor="text1"/>
                <w:szCs w:val="21"/>
                <w14:textFill>
                  <w14:solidFill>
                    <w14:schemeClr w14:val="tx1"/>
                  </w14:solidFill>
                </w14:textFill>
              </w:rPr>
              <w:t xml:space="preserve">    </w:t>
            </w:r>
          </w:p>
        </w:tc>
        <w:tc>
          <w:tcPr>
            <w:tcW w:w="1127" w:type="dxa"/>
            <w:vAlign w:val="center"/>
          </w:tcPr>
          <w:p w14:paraId="37B39084">
            <w:pPr>
              <w:spacing w:line="360" w:lineRule="auto"/>
              <w:jc w:val="center"/>
              <w:rPr>
                <w:rFonts w:hint="eastAsia" w:ascii="宋体" w:hAnsi="宋体"/>
                <w:color w:val="000000" w:themeColor="text1"/>
                <w:szCs w:val="21"/>
                <w14:textFill>
                  <w14:solidFill>
                    <w14:schemeClr w14:val="tx1"/>
                  </w14:solidFill>
                </w14:textFill>
              </w:rPr>
            </w:pPr>
          </w:p>
        </w:tc>
      </w:tr>
      <w:tr w14:paraId="69AC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B126C1A">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985" w:type="dxa"/>
            <w:vAlign w:val="center"/>
          </w:tcPr>
          <w:p w14:paraId="5CC9E3C1">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缺陷责任期</w:t>
            </w:r>
          </w:p>
        </w:tc>
        <w:tc>
          <w:tcPr>
            <w:tcW w:w="1134" w:type="dxa"/>
            <w:vAlign w:val="center"/>
          </w:tcPr>
          <w:p w14:paraId="483359CD">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7508DC85">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24个月</w:t>
            </w:r>
          </w:p>
        </w:tc>
        <w:tc>
          <w:tcPr>
            <w:tcW w:w="1127" w:type="dxa"/>
            <w:vAlign w:val="center"/>
          </w:tcPr>
          <w:p w14:paraId="7000CC5B">
            <w:pPr>
              <w:spacing w:line="360" w:lineRule="auto"/>
              <w:jc w:val="center"/>
              <w:rPr>
                <w:rFonts w:hint="eastAsia" w:ascii="宋体" w:hAnsi="宋体"/>
                <w:color w:val="000000" w:themeColor="text1"/>
                <w:szCs w:val="21"/>
                <w14:textFill>
                  <w14:solidFill>
                    <w14:schemeClr w14:val="tx1"/>
                  </w14:solidFill>
                </w14:textFill>
              </w:rPr>
            </w:pPr>
          </w:p>
        </w:tc>
      </w:tr>
      <w:tr w14:paraId="1F34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018E2C8">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1985" w:type="dxa"/>
            <w:vAlign w:val="center"/>
          </w:tcPr>
          <w:p w14:paraId="75C0E58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承包人履约担保金额</w:t>
            </w:r>
          </w:p>
        </w:tc>
        <w:tc>
          <w:tcPr>
            <w:tcW w:w="1134" w:type="dxa"/>
            <w:vAlign w:val="center"/>
          </w:tcPr>
          <w:p w14:paraId="043241D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171487D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合同价款扣除发包人材料设备价款、暂估专业工程、暂列金额后的2%</w:t>
            </w:r>
          </w:p>
        </w:tc>
        <w:tc>
          <w:tcPr>
            <w:tcW w:w="1127" w:type="dxa"/>
            <w:vAlign w:val="center"/>
          </w:tcPr>
          <w:p w14:paraId="09ABCF19">
            <w:pPr>
              <w:spacing w:line="360" w:lineRule="auto"/>
              <w:jc w:val="center"/>
              <w:rPr>
                <w:rFonts w:hint="eastAsia" w:ascii="宋体" w:hAnsi="宋体"/>
                <w:color w:val="000000" w:themeColor="text1"/>
                <w:szCs w:val="21"/>
                <w14:textFill>
                  <w14:solidFill>
                    <w14:schemeClr w14:val="tx1"/>
                  </w14:solidFill>
                </w14:textFill>
              </w:rPr>
            </w:pPr>
          </w:p>
        </w:tc>
      </w:tr>
      <w:tr w14:paraId="585E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21C2C7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1985" w:type="dxa"/>
            <w:vAlign w:val="center"/>
          </w:tcPr>
          <w:p w14:paraId="4DE359A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分包</w:t>
            </w:r>
          </w:p>
        </w:tc>
        <w:tc>
          <w:tcPr>
            <w:tcW w:w="1134" w:type="dxa"/>
            <w:vAlign w:val="center"/>
          </w:tcPr>
          <w:p w14:paraId="25F335E2">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7E66ED4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见分包项目情况表</w:t>
            </w:r>
          </w:p>
        </w:tc>
        <w:tc>
          <w:tcPr>
            <w:tcW w:w="1127" w:type="dxa"/>
            <w:vAlign w:val="center"/>
          </w:tcPr>
          <w:p w14:paraId="4DA89B66">
            <w:pPr>
              <w:spacing w:line="360" w:lineRule="auto"/>
              <w:jc w:val="center"/>
              <w:rPr>
                <w:rFonts w:hint="eastAsia" w:ascii="宋体" w:hAnsi="宋体"/>
                <w:color w:val="000000" w:themeColor="text1"/>
                <w:szCs w:val="21"/>
                <w14:textFill>
                  <w14:solidFill>
                    <w14:schemeClr w14:val="tx1"/>
                  </w14:solidFill>
                </w14:textFill>
              </w:rPr>
            </w:pPr>
          </w:p>
        </w:tc>
      </w:tr>
      <w:tr w14:paraId="272F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8D4406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p>
        </w:tc>
        <w:tc>
          <w:tcPr>
            <w:tcW w:w="1985" w:type="dxa"/>
            <w:vAlign w:val="center"/>
          </w:tcPr>
          <w:p w14:paraId="41B818A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逾期竣工违约金</w:t>
            </w:r>
          </w:p>
        </w:tc>
        <w:tc>
          <w:tcPr>
            <w:tcW w:w="1134" w:type="dxa"/>
            <w:vAlign w:val="center"/>
          </w:tcPr>
          <w:p w14:paraId="4E97431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1BF6BE6D">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每天违约金数额为合同价款的万分之肆</w:t>
            </w:r>
          </w:p>
        </w:tc>
        <w:tc>
          <w:tcPr>
            <w:tcW w:w="1127" w:type="dxa"/>
            <w:vAlign w:val="center"/>
          </w:tcPr>
          <w:p w14:paraId="63F41DFB">
            <w:pPr>
              <w:spacing w:line="360" w:lineRule="auto"/>
              <w:jc w:val="center"/>
              <w:rPr>
                <w:rFonts w:hint="eastAsia" w:ascii="宋体" w:hAnsi="宋体"/>
                <w:color w:val="000000" w:themeColor="text1"/>
                <w:szCs w:val="21"/>
                <w14:textFill>
                  <w14:solidFill>
                    <w14:schemeClr w14:val="tx1"/>
                  </w14:solidFill>
                </w14:textFill>
              </w:rPr>
            </w:pPr>
          </w:p>
        </w:tc>
      </w:tr>
      <w:tr w14:paraId="72B5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70CE3F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1985" w:type="dxa"/>
            <w:vAlign w:val="center"/>
          </w:tcPr>
          <w:p w14:paraId="649349F5">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逾期竣工违约金最高限额</w:t>
            </w:r>
          </w:p>
        </w:tc>
        <w:tc>
          <w:tcPr>
            <w:tcW w:w="1134" w:type="dxa"/>
            <w:vAlign w:val="center"/>
          </w:tcPr>
          <w:p w14:paraId="01892F2C">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06E3656F">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不超过合同价</w:t>
            </w:r>
            <w:r>
              <w:rPr>
                <w:rFonts w:hint="eastAsia" w:ascii="宋体" w:hAnsi="宋体" w:eastAsia="宋体"/>
                <w:color w:val="000000" w:themeColor="text1"/>
                <w:szCs w:val="21"/>
                <w:lang w:val="en-US" w:eastAsia="zh-CN"/>
                <w14:textFill>
                  <w14:solidFill>
                    <w14:schemeClr w14:val="tx1"/>
                  </w14:solidFill>
                </w14:textFill>
              </w:rPr>
              <w:t>款</w:t>
            </w:r>
            <w:r>
              <w:rPr>
                <w:rFonts w:hint="eastAsia" w:ascii="宋体" w:hAnsi="宋体" w:eastAsia="宋体"/>
                <w:color w:val="000000" w:themeColor="text1"/>
                <w:szCs w:val="21"/>
                <w14:textFill>
                  <w14:solidFill>
                    <w14:schemeClr w14:val="tx1"/>
                  </w14:solidFill>
                </w14:textFill>
              </w:rPr>
              <w:t>的10%</w:t>
            </w:r>
          </w:p>
        </w:tc>
        <w:tc>
          <w:tcPr>
            <w:tcW w:w="1127" w:type="dxa"/>
            <w:vAlign w:val="center"/>
          </w:tcPr>
          <w:p w14:paraId="5CB6FA83">
            <w:pPr>
              <w:spacing w:line="360" w:lineRule="auto"/>
              <w:jc w:val="center"/>
              <w:rPr>
                <w:rFonts w:hint="eastAsia" w:ascii="宋体" w:hAnsi="宋体"/>
                <w:color w:val="000000" w:themeColor="text1"/>
                <w:szCs w:val="21"/>
                <w14:textFill>
                  <w14:solidFill>
                    <w14:schemeClr w14:val="tx1"/>
                  </w14:solidFill>
                </w14:textFill>
              </w:rPr>
            </w:pPr>
          </w:p>
        </w:tc>
      </w:tr>
      <w:tr w14:paraId="2C32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61A8D9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p>
        </w:tc>
        <w:tc>
          <w:tcPr>
            <w:tcW w:w="1985" w:type="dxa"/>
            <w:vAlign w:val="center"/>
          </w:tcPr>
          <w:p w14:paraId="53B5A893">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质量标准</w:t>
            </w:r>
          </w:p>
        </w:tc>
        <w:tc>
          <w:tcPr>
            <w:tcW w:w="1134" w:type="dxa"/>
            <w:vAlign w:val="center"/>
          </w:tcPr>
          <w:p w14:paraId="7B10F261">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542F716B">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合格</w:t>
            </w:r>
          </w:p>
        </w:tc>
        <w:tc>
          <w:tcPr>
            <w:tcW w:w="1127" w:type="dxa"/>
            <w:vAlign w:val="center"/>
          </w:tcPr>
          <w:p w14:paraId="3B1EEB37">
            <w:pPr>
              <w:spacing w:line="360" w:lineRule="auto"/>
              <w:jc w:val="center"/>
              <w:rPr>
                <w:rFonts w:hint="eastAsia" w:ascii="宋体" w:hAnsi="宋体"/>
                <w:color w:val="000000" w:themeColor="text1"/>
                <w:szCs w:val="21"/>
                <w14:textFill>
                  <w14:solidFill>
                    <w14:schemeClr w14:val="tx1"/>
                  </w14:solidFill>
                </w14:textFill>
              </w:rPr>
            </w:pPr>
          </w:p>
        </w:tc>
      </w:tr>
      <w:tr w14:paraId="5557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6C62A9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w:t>
            </w:r>
          </w:p>
        </w:tc>
        <w:tc>
          <w:tcPr>
            <w:tcW w:w="1985" w:type="dxa"/>
            <w:vAlign w:val="center"/>
          </w:tcPr>
          <w:p w14:paraId="6B5D837A">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预付款额度</w:t>
            </w:r>
          </w:p>
        </w:tc>
        <w:tc>
          <w:tcPr>
            <w:tcW w:w="1134" w:type="dxa"/>
            <w:vAlign w:val="center"/>
          </w:tcPr>
          <w:p w14:paraId="7D89D33B">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2B797EA3">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预付款支付比例：10%（合同价款扣除发包人材料设备价款、暂估专业工程、暂列金额后的10%）。</w:t>
            </w:r>
          </w:p>
        </w:tc>
        <w:tc>
          <w:tcPr>
            <w:tcW w:w="1127" w:type="dxa"/>
            <w:vAlign w:val="center"/>
          </w:tcPr>
          <w:p w14:paraId="6EFC04F6">
            <w:pPr>
              <w:spacing w:line="360" w:lineRule="auto"/>
              <w:jc w:val="center"/>
              <w:rPr>
                <w:rFonts w:hint="eastAsia" w:ascii="宋体" w:hAnsi="宋体"/>
                <w:color w:val="000000" w:themeColor="text1"/>
                <w:szCs w:val="21"/>
                <w14:textFill>
                  <w14:solidFill>
                    <w14:schemeClr w14:val="tx1"/>
                  </w14:solidFill>
                </w14:textFill>
              </w:rPr>
            </w:pPr>
          </w:p>
        </w:tc>
      </w:tr>
      <w:tr w14:paraId="4F64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D183CF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1</w:t>
            </w:r>
          </w:p>
        </w:tc>
        <w:tc>
          <w:tcPr>
            <w:tcW w:w="1985" w:type="dxa"/>
            <w:vAlign w:val="center"/>
          </w:tcPr>
          <w:p w14:paraId="35E78C0C">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质量保证金额度</w:t>
            </w:r>
          </w:p>
        </w:tc>
        <w:tc>
          <w:tcPr>
            <w:tcW w:w="1134" w:type="dxa"/>
            <w:vAlign w:val="center"/>
          </w:tcPr>
          <w:p w14:paraId="0EF48AAB">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专用条款</w:t>
            </w:r>
          </w:p>
        </w:tc>
        <w:tc>
          <w:tcPr>
            <w:tcW w:w="4394" w:type="dxa"/>
            <w:vAlign w:val="center"/>
          </w:tcPr>
          <w:p w14:paraId="56788196">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工程价款结算总额的3%</w:t>
            </w:r>
          </w:p>
        </w:tc>
        <w:tc>
          <w:tcPr>
            <w:tcW w:w="1127" w:type="dxa"/>
            <w:vAlign w:val="center"/>
          </w:tcPr>
          <w:p w14:paraId="68102B8F">
            <w:pPr>
              <w:spacing w:line="360" w:lineRule="auto"/>
              <w:jc w:val="center"/>
              <w:rPr>
                <w:rFonts w:hint="eastAsia" w:ascii="宋体" w:hAnsi="宋体"/>
                <w:color w:val="000000" w:themeColor="text1"/>
                <w:szCs w:val="21"/>
                <w14:textFill>
                  <w14:solidFill>
                    <w14:schemeClr w14:val="tx1"/>
                  </w14:solidFill>
                </w14:textFill>
              </w:rPr>
            </w:pPr>
          </w:p>
        </w:tc>
      </w:tr>
      <w:tr w14:paraId="67B9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A091E81">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1985" w:type="dxa"/>
            <w:vAlign w:val="center"/>
          </w:tcPr>
          <w:p w14:paraId="0AE41FB8">
            <w:pPr>
              <w:spacing w:line="36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w:t>
            </w:r>
          </w:p>
        </w:tc>
        <w:tc>
          <w:tcPr>
            <w:tcW w:w="1134" w:type="dxa"/>
            <w:vAlign w:val="center"/>
          </w:tcPr>
          <w:p w14:paraId="6CA19C0D">
            <w:pPr>
              <w:spacing w:line="360" w:lineRule="auto"/>
              <w:jc w:val="center"/>
              <w:rPr>
                <w:rFonts w:hint="eastAsia" w:ascii="宋体" w:hAnsi="宋体" w:eastAsia="宋体"/>
                <w:color w:val="000000" w:themeColor="text1"/>
                <w:szCs w:val="21"/>
                <w14:textFill>
                  <w14:solidFill>
                    <w14:schemeClr w14:val="tx1"/>
                  </w14:solidFill>
                </w14:textFill>
              </w:rPr>
            </w:pPr>
          </w:p>
        </w:tc>
        <w:tc>
          <w:tcPr>
            <w:tcW w:w="4394" w:type="dxa"/>
            <w:vAlign w:val="center"/>
          </w:tcPr>
          <w:p w14:paraId="0EEC8022">
            <w:pPr>
              <w:spacing w:line="360" w:lineRule="auto"/>
              <w:jc w:val="left"/>
              <w:rPr>
                <w:rFonts w:hint="eastAsia" w:ascii="宋体" w:hAnsi="宋体" w:eastAsia="宋体"/>
                <w:color w:val="000000" w:themeColor="text1"/>
                <w:szCs w:val="21"/>
                <w14:textFill>
                  <w14:solidFill>
                    <w14:schemeClr w14:val="tx1"/>
                  </w14:solidFill>
                </w14:textFill>
              </w:rPr>
            </w:pPr>
          </w:p>
        </w:tc>
        <w:tc>
          <w:tcPr>
            <w:tcW w:w="1127" w:type="dxa"/>
            <w:vAlign w:val="center"/>
          </w:tcPr>
          <w:p w14:paraId="21FC50ED">
            <w:pPr>
              <w:spacing w:line="360" w:lineRule="auto"/>
              <w:jc w:val="center"/>
              <w:rPr>
                <w:rFonts w:hint="eastAsia" w:ascii="宋体" w:hAnsi="宋体"/>
                <w:color w:val="000000" w:themeColor="text1"/>
                <w:szCs w:val="21"/>
                <w14:textFill>
                  <w14:solidFill>
                    <w14:schemeClr w14:val="tx1"/>
                  </w14:solidFill>
                </w14:textFill>
              </w:rPr>
            </w:pPr>
          </w:p>
        </w:tc>
      </w:tr>
      <w:tr w14:paraId="52CD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5"/>
            <w:vAlign w:val="center"/>
          </w:tcPr>
          <w:p w14:paraId="481B1A50">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说明：供应商在响应磋商文件中规定的实质性要求和条件的基础上，可做出其他有利于采购人的承诺。此类承诺可在本表中予以补充填写。</w:t>
            </w:r>
          </w:p>
        </w:tc>
      </w:tr>
    </w:tbl>
    <w:p w14:paraId="684119AD">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法定代表人或者委托代理人（签字或者电子签名）：</w:t>
      </w:r>
    </w:p>
    <w:p w14:paraId="2483031A">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511ABC95">
      <w:pPr>
        <w:wordWrap w:val="0"/>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21E3E751">
      <w:pPr>
        <w:pStyle w:val="3"/>
        <w:jc w:val="center"/>
        <w:rPr>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34E2330E">
      <w:pPr>
        <w:pStyle w:val="12"/>
        <w:overflowPunct w:val="0"/>
        <w:spacing w:line="520" w:lineRule="exact"/>
        <w:ind w:firstLine="0"/>
        <w:jc w:val="center"/>
        <w:rPr>
          <w:rFonts w:hint="eastAsia" w:ascii="宋体" w:hAnsi="宋体" w:cs="方正小标宋简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w:t>
      </w:r>
      <w:r>
        <w:rPr>
          <w:rFonts w:hint="eastAsia" w:ascii="宋体" w:hAnsi="宋体" w:cs="方正小标宋简体"/>
          <w:b/>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w:t>
      </w:r>
      <w:r>
        <w:rPr>
          <w:rFonts w:hint="eastAsia" w:ascii="宋体" w:hAnsi="宋体" w:cs="方正小标宋简体"/>
          <w:b/>
          <w:color w:val="000000" w:themeColor="text1"/>
          <w:sz w:val="32"/>
          <w:szCs w:val="32"/>
          <w14:textFill>
            <w14:solidFill>
              <w14:schemeClr w14:val="tx1"/>
            </w14:solidFill>
          </w14:textFill>
        </w:rPr>
        <w:t>竞争性磋商报价表</w:t>
      </w:r>
    </w:p>
    <w:p w14:paraId="64CD750D">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910732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项目名称：</w:t>
      </w:r>
    </w:p>
    <w:p w14:paraId="471F5E1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项目编号：</w:t>
      </w:r>
    </w:p>
    <w:p w14:paraId="1968680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分标（如有）：</w:t>
      </w:r>
    </w:p>
    <w:p w14:paraId="556C853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17"/>
        <w:gridCol w:w="1276"/>
        <w:gridCol w:w="2126"/>
        <w:gridCol w:w="2127"/>
        <w:gridCol w:w="993"/>
      </w:tblGrid>
      <w:tr w14:paraId="1D6F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F3EE47F">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1417" w:type="dxa"/>
            <w:vAlign w:val="center"/>
          </w:tcPr>
          <w:p w14:paraId="6AD0B659">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标的名称</w:t>
            </w:r>
          </w:p>
        </w:tc>
        <w:tc>
          <w:tcPr>
            <w:tcW w:w="1276" w:type="dxa"/>
            <w:vAlign w:val="center"/>
          </w:tcPr>
          <w:p w14:paraId="63F068D8">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数量及单位</w:t>
            </w:r>
          </w:p>
        </w:tc>
        <w:tc>
          <w:tcPr>
            <w:tcW w:w="2126" w:type="dxa"/>
            <w:vAlign w:val="center"/>
          </w:tcPr>
          <w:p w14:paraId="18F311B2">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报价（元/人民币）</w:t>
            </w:r>
          </w:p>
        </w:tc>
        <w:tc>
          <w:tcPr>
            <w:tcW w:w="2127" w:type="dxa"/>
          </w:tcPr>
          <w:p w14:paraId="3FFA8A5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下浮系数（%）</w:t>
            </w:r>
          </w:p>
        </w:tc>
        <w:tc>
          <w:tcPr>
            <w:tcW w:w="993" w:type="dxa"/>
            <w:vAlign w:val="center"/>
          </w:tcPr>
          <w:p w14:paraId="099B148A">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p>
        </w:tc>
      </w:tr>
      <w:tr w14:paraId="700A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EFA85CD">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417" w:type="dxa"/>
            <w:vAlign w:val="center"/>
          </w:tcPr>
          <w:p w14:paraId="4BEBE46F">
            <w:pPr>
              <w:spacing w:line="360" w:lineRule="auto"/>
              <w:jc w:val="center"/>
              <w:rPr>
                <w:rFonts w:hint="eastAsia" w:ascii="宋体" w:hAnsi="宋体"/>
                <w:color w:val="000000" w:themeColor="text1"/>
                <w:szCs w:val="21"/>
                <w14:textFill>
                  <w14:solidFill>
                    <w14:schemeClr w14:val="tx1"/>
                  </w14:solidFill>
                </w14:textFill>
              </w:rPr>
            </w:pPr>
          </w:p>
        </w:tc>
        <w:tc>
          <w:tcPr>
            <w:tcW w:w="1276" w:type="dxa"/>
            <w:vAlign w:val="center"/>
          </w:tcPr>
          <w:p w14:paraId="33A763C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1项</w:t>
            </w:r>
          </w:p>
        </w:tc>
        <w:tc>
          <w:tcPr>
            <w:tcW w:w="2126" w:type="dxa"/>
            <w:vAlign w:val="center"/>
          </w:tcPr>
          <w:p w14:paraId="37AC4B0C">
            <w:pPr>
              <w:spacing w:line="360" w:lineRule="auto"/>
              <w:jc w:val="center"/>
              <w:rPr>
                <w:rFonts w:hint="eastAsia" w:ascii="宋体" w:hAnsi="宋体"/>
                <w:color w:val="000000" w:themeColor="text1"/>
                <w:szCs w:val="21"/>
                <w14:textFill>
                  <w14:solidFill>
                    <w14:schemeClr w14:val="tx1"/>
                  </w14:solidFill>
                </w14:textFill>
              </w:rPr>
            </w:pPr>
          </w:p>
        </w:tc>
        <w:tc>
          <w:tcPr>
            <w:tcW w:w="2127" w:type="dxa"/>
          </w:tcPr>
          <w:p w14:paraId="67C7DF34">
            <w:pPr>
              <w:spacing w:line="360" w:lineRule="auto"/>
              <w:jc w:val="center"/>
              <w:rPr>
                <w:rFonts w:hint="eastAsia" w:ascii="宋体" w:hAnsi="宋体"/>
                <w:color w:val="000000" w:themeColor="text1"/>
                <w:szCs w:val="21"/>
                <w14:textFill>
                  <w14:solidFill>
                    <w14:schemeClr w14:val="tx1"/>
                  </w14:solidFill>
                </w14:textFill>
              </w:rPr>
            </w:pPr>
          </w:p>
        </w:tc>
        <w:tc>
          <w:tcPr>
            <w:tcW w:w="993" w:type="dxa"/>
            <w:vAlign w:val="center"/>
          </w:tcPr>
          <w:p w14:paraId="79CAB18B">
            <w:pPr>
              <w:spacing w:line="360" w:lineRule="auto"/>
              <w:jc w:val="center"/>
              <w:rPr>
                <w:rFonts w:hint="eastAsia" w:ascii="宋体" w:hAnsi="宋体"/>
                <w:color w:val="000000" w:themeColor="text1"/>
                <w:szCs w:val="21"/>
                <w14:textFill>
                  <w14:solidFill>
                    <w14:schemeClr w14:val="tx1"/>
                  </w14:solidFill>
                </w14:textFill>
              </w:rPr>
            </w:pPr>
          </w:p>
        </w:tc>
      </w:tr>
    </w:tbl>
    <w:p w14:paraId="4D547D7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14:paraId="3D5D84C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1.供应商的报价表必须加盖供应商电子签章并由法定代表人或者委托代理人签字或者电子签名。</w:t>
      </w:r>
    </w:p>
    <w:p w14:paraId="47BAFA7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2.报价一经涂改，应在涂改处加盖供应商公章或者加盖电子签章或者由法定代表人或者授权委托人签字（或者电子签名）。</w:t>
      </w:r>
    </w:p>
    <w:p w14:paraId="6B2787F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3.如为联合体参加竞争性磋商，“供应商名称”处必须列明联合体各方名称，标注联合体牵头人名称。</w:t>
      </w:r>
    </w:p>
    <w:p w14:paraId="6697D55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4.如为联合体参加竞争性磋商，盖章处须加盖联合体牵头人公章。</w:t>
      </w:r>
    </w:p>
    <w:p w14:paraId="69DF3C1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5.如有多分标，分别列明各分标的报价表。</w:t>
      </w:r>
    </w:p>
    <w:p w14:paraId="34116359">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法定代表人或者委托代理人（签字或者电子签名）：</w:t>
      </w:r>
    </w:p>
    <w:p w14:paraId="1A1D2620">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6B4C5677">
      <w:pPr>
        <w:wordWrap w:val="0"/>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6BA6343B">
      <w:pPr>
        <w:pStyle w:val="3"/>
        <w:jc w:val="center"/>
        <w:rPr>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4A70FCB2">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（三）中小企业声明函（工程）</w:t>
      </w:r>
    </w:p>
    <w:p w14:paraId="6B9B165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7B449F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本公司（联合体）郑重声明，根据《政府采购促进中小企业发展管理办法》（财库﹝2020﹞46号）的规定，本公司（联合体）参加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（单位名称）的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（项目名称）采购活动，工程的施工单位全部为符合政策要求的中小企业。相关企业（含联合体中的中小企业、签订分包意向协议的中小企业）的具体情况如下：</w:t>
      </w:r>
    </w:p>
    <w:p w14:paraId="1A8569A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（标的名称），属于</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（采购文件中明确的所属行业）；承建企业为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（企业名称），从业人员</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人，营业收入为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万元，资产总额为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万元，属于</w:t>
      </w:r>
      <w:r>
        <w:rPr>
          <w:rFonts w:hint="eastAsia" w:ascii="宋体" w:hAnsi="宋体" w:eastAsia="宋体"/>
          <w:color w:val="000000" w:themeColor="text1"/>
          <w:szCs w:val="21"/>
          <w:u w:val="single"/>
          <w14:textFill>
            <w14:solidFill>
              <w14:schemeClr w14:val="tx1"/>
            </w14:solidFill>
          </w14:textFill>
        </w:rPr>
        <w:t>（中型企业、小型企业、微型企业）</w:t>
      </w:r>
      <w:r>
        <w:rPr>
          <w:rFonts w:hint="eastAsia" w:ascii="宋体" w:hAnsi="宋体" w:eastAsia="宋体"/>
          <w:color w:val="000000" w:themeColor="text1"/>
          <w:szCs w:val="21"/>
          <w14:textFill>
            <w14:solidFill>
              <w14:schemeClr w14:val="tx1"/>
            </w14:solidFill>
          </w14:textFill>
        </w:rPr>
        <w:t>；</w:t>
      </w:r>
    </w:p>
    <w:p w14:paraId="0B333A5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（标的名称），属于</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（采购文件中明确的所属行业）；承建企业为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（企业名称），从业人员</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人，营业收入为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万元，资产总额为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万元，属于</w:t>
      </w:r>
      <w:r>
        <w:rPr>
          <w:rFonts w:hint="eastAsia" w:ascii="宋体" w:hAnsi="宋体" w:eastAsia="宋体"/>
          <w:color w:val="000000" w:themeColor="text1"/>
          <w:szCs w:val="21"/>
          <w:u w:val="single"/>
          <w14:textFill>
            <w14:solidFill>
              <w14:schemeClr w14:val="tx1"/>
            </w14:solidFill>
          </w14:textFill>
        </w:rPr>
        <w:t>（中型企业、小型企业、微型企业）</w:t>
      </w:r>
      <w:r>
        <w:rPr>
          <w:rFonts w:hint="eastAsia" w:ascii="宋体" w:hAnsi="宋体" w:eastAsia="宋体"/>
          <w:color w:val="000000" w:themeColor="text1"/>
          <w:szCs w:val="21"/>
          <w14:textFill>
            <w14:solidFill>
              <w14:schemeClr w14:val="tx1"/>
            </w14:solidFill>
          </w14:textFill>
        </w:rPr>
        <w:t>；</w:t>
      </w:r>
    </w:p>
    <w:p w14:paraId="4751A2B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14:paraId="21DC76D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以上企业，不属于大企业的分支机构，不存在控股股东为大企业的情形，也不存在与大企业的负责人为同一人的情形。</w:t>
      </w:r>
    </w:p>
    <w:p w14:paraId="21C8C61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本企业对上述声明内容的真实性负责。如有虚假，将依法承担相应责任。</w:t>
      </w:r>
    </w:p>
    <w:p w14:paraId="2E6436F9">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59DC765">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20F75ED6">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4CFDF5DB">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5CDC2A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23B832A">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0A63107E">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（四）残疾人福利性单位声明函</w:t>
      </w:r>
    </w:p>
    <w:p w14:paraId="157C55D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DF50B8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单位的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1CC932F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本单位对上述声明的真实性负责。如有虚假，将依法承担相应责任。</w:t>
      </w:r>
    </w:p>
    <w:p w14:paraId="6DB5374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C174B54">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04B1C4F0">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bookmarkStart w:id="31" w:name="OLE_LINK19"/>
      <w:bookmarkStart w:id="32" w:name="OLE_LINK20"/>
      <w:r>
        <w:rPr>
          <w:rFonts w:ascii="Times New Roman" w:hAnsi="Times New Roman" w:eastAsia="宋体" w:cs="Times New Roman"/>
          <w:color w:val="000000" w:themeColor="text1"/>
          <w:szCs w:val="21"/>
          <w:u w:val="single"/>
          <w14:textFill>
            <w14:solidFill>
              <w14:schemeClr w14:val="tx1"/>
            </w14:solidFill>
          </w14:textFill>
        </w:rPr>
        <w:t xml:space="preserve">   </w:t>
      </w:r>
      <w:bookmarkEnd w:id="31"/>
      <w:bookmarkEnd w:id="32"/>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32DCE27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EE98AD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注：请根据自己的真实情况出具《残疾人福利性单位声明函》。依法享受中小企业扶持政策的，采购人或者采购代理机构在公告成交结果时，同时公告其《残疾人福利性单位声明函》，接受社会监督。</w:t>
      </w:r>
    </w:p>
    <w:p w14:paraId="6EBDD829">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08C45F44">
      <w:pPr>
        <w:pStyle w:val="3"/>
        <w:jc w:val="center"/>
        <w:rPr>
          <w:color w:val="000000" w:themeColor="text1"/>
          <w14:textFill>
            <w14:solidFill>
              <w14:schemeClr w14:val="tx1"/>
            </w14:solidFill>
          </w14:textFill>
        </w:rPr>
      </w:pPr>
      <w:bookmarkStart w:id="33" w:name="_Toc197530119"/>
      <w:r>
        <w:rPr>
          <w:rFonts w:hint="eastAsia"/>
          <w:color w:val="000000" w:themeColor="text1"/>
          <w14:textFill>
            <w14:solidFill>
              <w14:schemeClr w14:val="tx1"/>
            </w14:solidFill>
          </w14:textFill>
        </w:rPr>
        <w:t>三、商务技术文件格式</w:t>
      </w:r>
      <w:bookmarkEnd w:id="33"/>
    </w:p>
    <w:p w14:paraId="7087654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546449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3C32ECD">
      <w:pPr>
        <w:spacing w:line="3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商务技术文件（封面）</w:t>
      </w:r>
    </w:p>
    <w:p w14:paraId="31E73A4D">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0EB46EE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B100A2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1618F3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6C1360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D41C78F">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项目名称：</w:t>
      </w:r>
    </w:p>
    <w:p w14:paraId="5F91BB2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4C67B7F">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项目编号：</w:t>
      </w:r>
    </w:p>
    <w:p w14:paraId="7D7CA248">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16A9AC5">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所竞分标（如有则填写，无分标时填写“无”或者留空）：</w:t>
      </w:r>
    </w:p>
    <w:p w14:paraId="61C03FB8">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75972FA">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供应商名称：</w:t>
      </w:r>
    </w:p>
    <w:p w14:paraId="2D9CA156">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CE622C7">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3D11185">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69A0472">
      <w:pPr>
        <w:spacing w:line="36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olor w:val="000000" w:themeColor="text1"/>
          <w:sz w:val="32"/>
          <w:szCs w:val="32"/>
          <w14:textFill>
            <w14:solidFill>
              <w14:schemeClr w14:val="tx1"/>
            </w14:solidFill>
          </w14:textFill>
        </w:rPr>
        <w:t>年</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olor w:val="000000" w:themeColor="text1"/>
          <w:sz w:val="32"/>
          <w:szCs w:val="32"/>
          <w14:textFill>
            <w14:solidFill>
              <w14:schemeClr w14:val="tx1"/>
            </w14:solidFill>
          </w14:textFill>
        </w:rPr>
        <w:t>月</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olor w:val="000000" w:themeColor="text1"/>
          <w:sz w:val="32"/>
          <w:szCs w:val="32"/>
          <w14:textFill>
            <w14:solidFill>
              <w14:schemeClr w14:val="tx1"/>
            </w14:solidFill>
          </w14:textFill>
        </w:rPr>
        <w:t>日</w:t>
      </w:r>
    </w:p>
    <w:p w14:paraId="064F07AA">
      <w:pPr>
        <w:spacing w:line="360" w:lineRule="auto"/>
        <w:jc w:val="center"/>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4FA8F2FA">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商务技术文件目录</w:t>
      </w:r>
    </w:p>
    <w:p w14:paraId="1F7E2EC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根据磋商文件规定及供应商提供的材料自行编写目录（部分格式后附）。</w:t>
      </w:r>
    </w:p>
    <w:p w14:paraId="1D4AE8C6">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549A9BF3">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（一）无串通参加竞争性磋商行为的承诺函</w:t>
      </w:r>
    </w:p>
    <w:p w14:paraId="4A5D98A9">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无串通参加竞争性磋商行为的承诺函</w:t>
      </w:r>
    </w:p>
    <w:p w14:paraId="03B66E01">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08A6D157">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一、我方承诺无下列相互串通竞争性磋商的情形：</w:t>
      </w:r>
    </w:p>
    <w:p w14:paraId="02B9BA3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1.不同供应商的响应文件由同一单位或者个人编制；</w:t>
      </w:r>
    </w:p>
    <w:p w14:paraId="2A28BD7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2.不同供应商委托同一单位或者个人办理竞争性磋商事宜；</w:t>
      </w:r>
    </w:p>
    <w:p w14:paraId="77FA86D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3.不同供应商的响应文件载明的项目管理员为同一个人；</w:t>
      </w:r>
    </w:p>
    <w:p w14:paraId="6114689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4.不同供应商的响应文件异常一致或者竞争性磋商报价呈规律性差异；</w:t>
      </w:r>
    </w:p>
    <w:p w14:paraId="66FDF59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5.不同供应商的响应文件相互混装；</w:t>
      </w:r>
    </w:p>
    <w:p w14:paraId="37C4C38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6.不同供应商的磋商保证金从同一单位或者个人账户转出。</w:t>
      </w:r>
    </w:p>
    <w:p w14:paraId="128D178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二、我方承诺无下列恶意串通的情形：</w:t>
      </w:r>
    </w:p>
    <w:p w14:paraId="49CCBD4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1.供应商直接或者间接从采购人或者采购代理机构处获得其他供应商的相关信息并修改其响应文件；</w:t>
      </w:r>
    </w:p>
    <w:p w14:paraId="4E865D2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2.供应商按照采购人或者采购代理机构的授意撤换、修改响应文件；</w:t>
      </w:r>
    </w:p>
    <w:p w14:paraId="13B1886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3.供应商之间协商报价、技术方案等响应文件的实质性内容；</w:t>
      </w:r>
    </w:p>
    <w:p w14:paraId="1CC99C7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4.属于同一集团、协会、商会等组织成员的供应商按照该组织要求协同参加政府采购活动；</w:t>
      </w:r>
    </w:p>
    <w:p w14:paraId="7D84A06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5.供应商之间事先约定一致抬高或者压低竞争性磋商报价，或者在竞争性磋商项目中事先约定轮流以高价位或者低价位成交，或者事先约定由某一特定供应商成交，然后再参加竞争性磋商；</w:t>
      </w:r>
    </w:p>
    <w:p w14:paraId="64097B9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6.供应商之间商定部分供应商放弃参加政府采购活动或者放弃成交；</w:t>
      </w:r>
    </w:p>
    <w:p w14:paraId="5AD6F4F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14:paraId="037FBE63">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6B7809B">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以上情形一经核查属实，我方愿意承担一切后果，并不再寻求任何旨在减轻或者免除法律责任的辩解。</w:t>
      </w:r>
    </w:p>
    <w:p w14:paraId="58CD8D54">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60B3B33E">
      <w:pPr>
        <w:wordWrap w:val="0"/>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384CB60C">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65204DE3">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（二）法定代表人身份证明书</w:t>
      </w:r>
    </w:p>
    <w:p w14:paraId="2358FD25">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7F43BB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14:paraId="5FA311E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__________________________________________________________________________________</w:t>
      </w:r>
    </w:p>
    <w:p w14:paraId="0DF2968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姓名：</w:t>
      </w:r>
      <w:r>
        <w:rPr>
          <w:rFonts w:ascii="Times New Roman" w:hAnsi="Times New Roman" w:eastAsia="宋体" w:cs="Times New Roman"/>
          <w:color w:val="000000" w:themeColor="text1"/>
          <w:szCs w:val="21"/>
          <w14:textFill>
            <w14:solidFill>
              <w14:schemeClr w14:val="tx1"/>
            </w14:solidFill>
          </w14:textFill>
        </w:rPr>
        <w:t>_______________________________________</w:t>
      </w:r>
      <w:r>
        <w:rPr>
          <w:rFonts w:hint="eastAsia" w:ascii="宋体" w:hAnsi="宋体" w:eastAsia="宋体"/>
          <w:color w:val="000000" w:themeColor="text1"/>
          <w:szCs w:val="21"/>
          <w14:textFill>
            <w14:solidFill>
              <w14:schemeClr w14:val="tx1"/>
            </w14:solidFill>
          </w14:textFill>
        </w:rPr>
        <w:t>性别：</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14:paraId="2E8550B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年龄：</w:t>
      </w:r>
      <w:r>
        <w:rPr>
          <w:rFonts w:ascii="Times New Roman" w:hAnsi="Times New Roman" w:eastAsia="宋体" w:cs="Times New Roman"/>
          <w:color w:val="000000" w:themeColor="text1"/>
          <w:szCs w:val="21"/>
          <w14:textFill>
            <w14:solidFill>
              <w14:schemeClr w14:val="tx1"/>
            </w14:solidFill>
          </w14:textFill>
        </w:rPr>
        <w:t>_______________________________________</w:t>
      </w:r>
      <w:r>
        <w:rPr>
          <w:rFonts w:hint="eastAsia" w:ascii="宋体" w:hAnsi="宋体" w:eastAsia="宋体"/>
          <w:color w:val="000000" w:themeColor="text1"/>
          <w:szCs w:val="21"/>
          <w14:textFill>
            <w14:solidFill>
              <w14:schemeClr w14:val="tx1"/>
            </w14:solidFill>
          </w14:textFill>
        </w:rPr>
        <w:t>职务：</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14:paraId="4B768BF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身份证号码：</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14:paraId="1DE47CD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系</w:t>
      </w:r>
      <w:r>
        <w:rPr>
          <w:rFonts w:hint="eastAsia" w:ascii="宋体" w:hAnsi="宋体" w:eastAsia="宋体"/>
          <w:color w:val="000000" w:themeColor="text1"/>
          <w:szCs w:val="21"/>
          <w:u w:val="single"/>
          <w14:textFill>
            <w14:solidFill>
              <w14:schemeClr w14:val="tx1"/>
            </w14:solidFill>
          </w14:textFill>
        </w:rPr>
        <w:t>（供应商名称）</w:t>
      </w:r>
      <w:r>
        <w:rPr>
          <w:rFonts w:hint="eastAsia" w:ascii="宋体" w:hAnsi="宋体" w:eastAsia="宋体"/>
          <w:color w:val="000000" w:themeColor="text1"/>
          <w:szCs w:val="21"/>
          <w14:textFill>
            <w14:solidFill>
              <w14:schemeClr w14:val="tx1"/>
            </w14:solidFill>
          </w14:textFill>
        </w:rPr>
        <w:t>的法定代表人。</w:t>
      </w:r>
    </w:p>
    <w:p w14:paraId="619706F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特此证明。</w:t>
      </w:r>
    </w:p>
    <w:p w14:paraId="79F34C61">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05C621D9">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D0D380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F2A64B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附件：法定代表人有效身份证正反面复印件</w:t>
      </w:r>
    </w:p>
    <w:p w14:paraId="38669EF7">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3ED4571">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508DE67A">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6ECFBBC5">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263728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注：1.自然人竞标的无需提供，联合体竞标的只需牵头人出具。</w:t>
      </w:r>
    </w:p>
    <w:p w14:paraId="2C2D3F3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7E7F3B0">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0B0C6F42">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附件：</w:t>
      </w: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8"/>
      </w:tblGrid>
      <w:tr w14:paraId="7ABA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5" w:hRule="atLeast"/>
        </w:trPr>
        <w:tc>
          <w:tcPr>
            <w:tcW w:w="5000" w:type="pct"/>
          </w:tcPr>
          <w:p w14:paraId="7714F9A9">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法定代表身份证复印件粘贴处（正、反面）</w:t>
            </w:r>
          </w:p>
        </w:tc>
      </w:tr>
    </w:tbl>
    <w:p w14:paraId="68BA3DD4">
      <w:pPr>
        <w:spacing w:line="360" w:lineRule="auto"/>
        <w:jc w:val="center"/>
        <w:rPr>
          <w:rFonts w:hint="eastAsia" w:ascii="宋体" w:hAnsi="宋体" w:eastAsia="宋体"/>
          <w:color w:val="000000" w:themeColor="text1"/>
          <w:szCs w:val="21"/>
          <w14:textFill>
            <w14:solidFill>
              <w14:schemeClr w14:val="tx1"/>
            </w14:solidFill>
          </w14:textFill>
        </w:rPr>
      </w:pPr>
    </w:p>
    <w:p w14:paraId="45C0C7E8">
      <w:pPr>
        <w:spacing w:line="360" w:lineRule="auto"/>
        <w:jc w:val="center"/>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5B107511">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（三）授权委托书（非联合体参加竞争性磋商格式）</w:t>
      </w:r>
    </w:p>
    <w:p w14:paraId="2167FA80">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（如有委托时）</w:t>
      </w:r>
    </w:p>
    <w:p w14:paraId="2D01B480">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5766E96">
      <w:pPr>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（采购人名称）：</w:t>
      </w:r>
    </w:p>
    <w:p w14:paraId="1B7D536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（姓名）系</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（供应商名称）的（□法定代表人/□负责人），现授权</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（姓名）以我方的名义参加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项目的竞争性磋商活动，并代表我方全权办理针对上述项目的所有采购程序和环节的具体事务和签署相关文件。</w:t>
      </w:r>
    </w:p>
    <w:p w14:paraId="31F540E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我方对委托代理人的签字或者电子签名事项负全部责任。</w:t>
      </w:r>
    </w:p>
    <w:p w14:paraId="28C7B76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10D2FFC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委托代理人无转委托权，特此委托。</w:t>
      </w:r>
    </w:p>
    <w:p w14:paraId="09ABFCB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附：法定代表人身份证明书及委托代理人有效身份证正反面复印件</w:t>
      </w:r>
    </w:p>
    <w:p w14:paraId="260BD161">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E6C2D3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委托代理人（签字或者电子签名）：</w:t>
      </w:r>
    </w:p>
    <w:p w14:paraId="07103D1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委托代理人身份证号码：</w:t>
      </w:r>
    </w:p>
    <w:p w14:paraId="1503D96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法定代表人（签字或者盖章或者电子签名）：</w:t>
      </w:r>
    </w:p>
    <w:p w14:paraId="4FB8BDB4">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D528871">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62494006">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2F2A1274">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C12B1A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注：1.法定代表人必须在授权委托书上签字或盖章，委托代理人必须在授权委托书上签字或盖章。</w:t>
      </w:r>
    </w:p>
    <w:p w14:paraId="743702E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D7735A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3.法人、其他组织竞标时“我方”是指“我单位”，自然人竞标时“我方”是指“本人”。</w:t>
      </w:r>
    </w:p>
    <w:p w14:paraId="2C68FD5B">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28353A75">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（三）授权委托书（联合体参加竞争性磋商格式）</w:t>
      </w:r>
    </w:p>
    <w:p w14:paraId="1D1058B2">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（如有委托时）</w:t>
      </w:r>
    </w:p>
    <w:p w14:paraId="1727755D">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FCE3C5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本授权委托书声明：根据</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（牵头人名称）与</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（联合体其他成员名称）签订的《联合体参加竞争性磋商协议书》的内容，</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（牵头人名称）的法定代表人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（姓名）现授权</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（姓名）为联合委托代理人，并代表我方全权办理针对上述项目的所有采购程序和环节的具体事务和签署相关文件。</w:t>
      </w:r>
    </w:p>
    <w:p w14:paraId="05ECA68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我方对委托代理人的签字或者电子签名事项负全部责任。</w:t>
      </w:r>
    </w:p>
    <w:p w14:paraId="62BC436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6B71D9F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委托代理人无转委托权，特此委托。</w:t>
      </w:r>
    </w:p>
    <w:p w14:paraId="09C4EBD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附：法定代表人身份证明书及委托代理人有效身份证正反面复印件</w:t>
      </w:r>
    </w:p>
    <w:p w14:paraId="62989FFF">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43EF45F">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牵头人法定代表人（签字或盖章）：</w:t>
      </w:r>
    </w:p>
    <w:p w14:paraId="4E31A838">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牵头人（电子签章）：</w:t>
      </w:r>
    </w:p>
    <w:p w14:paraId="620F3FAA">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7E0A35F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8C65E49">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被授权人（签字）：</w:t>
      </w:r>
    </w:p>
    <w:p w14:paraId="1D1C1108">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58C612B5">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1C8897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注：1.法定代表人必须在授权委托书上签字或盖章，委托代理人必须在授权委托书上签字或盖章。</w:t>
      </w:r>
    </w:p>
    <w:p w14:paraId="454D65C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2.本授权委托书应由联合体牵头人的法定代表人按上述规定签署。</w:t>
      </w:r>
    </w:p>
    <w:p w14:paraId="45475AB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D6EFD6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4.法人、其他组织竞标时“我方”是指“我单位”，自然人竞标时“我方”是指“本人”。</w:t>
      </w:r>
    </w:p>
    <w:p w14:paraId="05F6D56A">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1D19CB6E">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（四）磋商保证金缴纳凭证</w:t>
      </w:r>
    </w:p>
    <w:p w14:paraId="019DEE24">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p>
    <w:p w14:paraId="279EAD3D">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（五）建筑材料和设备节能环保要求承诺书</w:t>
      </w:r>
    </w:p>
    <w:p w14:paraId="078629C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我方承诺，一旦成交，我方保证严格执行《财政部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采购人及有关行政主管部门的处罚，愿意承担一切后果，并不再寻求任何旨在减轻或者免除法律责任的辩解。</w:t>
      </w:r>
    </w:p>
    <w:p w14:paraId="58D42C8F">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5EBE5745">
      <w:pPr>
        <w:wordWrap w:val="0"/>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3C535088">
      <w:pPr>
        <w:spacing w:line="360" w:lineRule="auto"/>
        <w:ind w:firstLine="643" w:firstLineChars="200"/>
        <w:rPr>
          <w:rFonts w:hint="eastAsia" w:ascii="宋体" w:hAnsi="宋体" w:eastAsia="宋体"/>
          <w:b/>
          <w:color w:val="000000" w:themeColor="text1"/>
          <w:sz w:val="32"/>
          <w:szCs w:val="32"/>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359AB614">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p>
    <w:p w14:paraId="22C590E1">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w:t>
      </w:r>
      <w:r>
        <w:rPr>
          <w:rFonts w:hint="eastAsia" w:ascii="宋体" w:hAnsi="宋体" w:eastAsia="宋体" w:cs="Times New Roman"/>
          <w:b/>
          <w:color w:val="000000" w:themeColor="text1"/>
          <w:sz w:val="32"/>
          <w:szCs w:val="32"/>
          <w:lang w:val="en-US" w:eastAsia="zh-CN"/>
          <w14:textFill>
            <w14:solidFill>
              <w14:schemeClr w14:val="tx1"/>
            </w14:solidFill>
          </w14:textFill>
        </w:rPr>
        <w:t>六</w:t>
      </w:r>
      <w:r>
        <w:rPr>
          <w:rFonts w:hint="eastAsia" w:ascii="宋体" w:hAnsi="宋体" w:eastAsia="宋体" w:cs="Times New Roman"/>
          <w:b/>
          <w:color w:val="000000" w:themeColor="text1"/>
          <w:sz w:val="32"/>
          <w:szCs w:val="32"/>
          <w14:textFill>
            <w14:solidFill>
              <w14:schemeClr w14:val="tx1"/>
            </w14:solidFill>
          </w14:textFill>
        </w:rPr>
        <w:t>）商务条款偏离表</w:t>
      </w:r>
    </w:p>
    <w:p w14:paraId="1053CB41">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（注：按采购需求具体条款修改）</w:t>
      </w:r>
    </w:p>
    <w:p w14:paraId="79A92E7A">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A68E6C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项目编号：</w:t>
      </w:r>
    </w:p>
    <w:p w14:paraId="556B656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项目名称：</w:t>
      </w:r>
    </w:p>
    <w:p w14:paraId="141DB78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分标号：</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3401"/>
        <w:gridCol w:w="2693"/>
        <w:gridCol w:w="2818"/>
      </w:tblGrid>
      <w:tr w14:paraId="5FD9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7" w:type="pct"/>
            <w:vAlign w:val="center"/>
          </w:tcPr>
          <w:p w14:paraId="53155AE0">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项号</w:t>
            </w:r>
          </w:p>
        </w:tc>
        <w:tc>
          <w:tcPr>
            <w:tcW w:w="1768" w:type="pct"/>
            <w:vAlign w:val="center"/>
          </w:tcPr>
          <w:p w14:paraId="754C381C">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竞争性磋商采购文件的商务要求</w:t>
            </w:r>
          </w:p>
        </w:tc>
        <w:tc>
          <w:tcPr>
            <w:tcW w:w="1400" w:type="pct"/>
            <w:vAlign w:val="center"/>
          </w:tcPr>
          <w:p w14:paraId="08118A3A">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响应文件的承诺</w:t>
            </w:r>
          </w:p>
        </w:tc>
        <w:tc>
          <w:tcPr>
            <w:tcW w:w="1465" w:type="pct"/>
            <w:vAlign w:val="center"/>
          </w:tcPr>
          <w:p w14:paraId="23F096E2">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偏离说明</w:t>
            </w:r>
          </w:p>
        </w:tc>
      </w:tr>
      <w:tr w14:paraId="5F1E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276DB8F6">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w:t>
            </w:r>
          </w:p>
        </w:tc>
        <w:tc>
          <w:tcPr>
            <w:tcW w:w="1768" w:type="pct"/>
            <w:vAlign w:val="center"/>
          </w:tcPr>
          <w:p w14:paraId="375D888A">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p w14:paraId="1A4BE170">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6C144E37">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62098D96">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00" w:type="pct"/>
            <w:vAlign w:val="center"/>
          </w:tcPr>
          <w:p w14:paraId="2389AC34">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p w14:paraId="73A01244">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5EE9B090">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462779E0">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65" w:type="pct"/>
            <w:vAlign w:val="center"/>
          </w:tcPr>
          <w:p w14:paraId="737B5FFD">
            <w:pPr>
              <w:jc w:val="center"/>
              <w:rPr>
                <w:rFonts w:hint="eastAsia" w:ascii="宋体" w:hAnsi="宋体"/>
                <w:color w:val="000000" w:themeColor="text1"/>
                <w:szCs w:val="21"/>
                <w14:textFill>
                  <w14:solidFill>
                    <w14:schemeClr w14:val="tx1"/>
                  </w14:solidFill>
                </w14:textFill>
              </w:rPr>
            </w:pPr>
          </w:p>
        </w:tc>
      </w:tr>
      <w:tr w14:paraId="6DB5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28F17576">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w:t>
            </w:r>
          </w:p>
        </w:tc>
        <w:tc>
          <w:tcPr>
            <w:tcW w:w="1768" w:type="pct"/>
            <w:vAlign w:val="center"/>
          </w:tcPr>
          <w:p w14:paraId="523403F0">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p w14:paraId="3087E063">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67B7F367">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1701B486">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00" w:type="pct"/>
            <w:vAlign w:val="center"/>
          </w:tcPr>
          <w:p w14:paraId="3777470E">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p w14:paraId="75EDBDC6">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3C963F07">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6AFCD12C">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65" w:type="pct"/>
            <w:vAlign w:val="center"/>
          </w:tcPr>
          <w:p w14:paraId="7FF178D2">
            <w:pPr>
              <w:jc w:val="center"/>
              <w:rPr>
                <w:rFonts w:hint="eastAsia" w:ascii="宋体" w:hAnsi="宋体"/>
                <w:color w:val="000000" w:themeColor="text1"/>
                <w:szCs w:val="21"/>
                <w14:textFill>
                  <w14:solidFill>
                    <w14:schemeClr w14:val="tx1"/>
                  </w14:solidFill>
                </w14:textFill>
              </w:rPr>
            </w:pPr>
          </w:p>
        </w:tc>
      </w:tr>
      <w:tr w14:paraId="7F29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553E0F6B">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768" w:type="pct"/>
            <w:vAlign w:val="center"/>
          </w:tcPr>
          <w:p w14:paraId="48E257CF">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p w14:paraId="2E4F752B">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394ECBB6">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1EE9DDD6">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00" w:type="pct"/>
            <w:vAlign w:val="center"/>
          </w:tcPr>
          <w:p w14:paraId="0CF0109E">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p w14:paraId="70BA47E0">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35644B58">
            <w:pPr>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63AB4941">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65" w:type="pct"/>
            <w:vAlign w:val="center"/>
          </w:tcPr>
          <w:p w14:paraId="3D263E18">
            <w:pPr>
              <w:jc w:val="center"/>
              <w:rPr>
                <w:rFonts w:hint="eastAsia" w:ascii="宋体" w:hAnsi="宋体"/>
                <w:color w:val="000000" w:themeColor="text1"/>
                <w:szCs w:val="21"/>
                <w14:textFill>
                  <w14:solidFill>
                    <w14:schemeClr w14:val="tx1"/>
                  </w14:solidFill>
                </w14:textFill>
              </w:rPr>
            </w:pPr>
          </w:p>
        </w:tc>
      </w:tr>
    </w:tbl>
    <w:p w14:paraId="63CE40D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14:paraId="7A9B150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1.说明：应对照采购文件“第三章采购需求”的</w:t>
      </w:r>
      <w:r>
        <w:rPr>
          <w:rFonts w:hint="eastAsia" w:ascii="宋体" w:hAnsi="宋体" w:eastAsia="宋体"/>
          <w:b/>
          <w:color w:val="000000" w:themeColor="text1"/>
          <w:szCs w:val="21"/>
          <w14:textFill>
            <w14:solidFill>
              <w14:schemeClr w14:val="tx1"/>
            </w14:solidFill>
          </w14:textFill>
        </w:rPr>
        <w:t>商务要求</w:t>
      </w:r>
      <w:r>
        <w:rPr>
          <w:rFonts w:hint="eastAsia" w:ascii="宋体" w:hAnsi="宋体" w:eastAsia="宋体"/>
          <w:color w:val="000000" w:themeColor="text1"/>
          <w:szCs w:val="21"/>
          <w14:textFill>
            <w14:solidFill>
              <w14:schemeClr w14:val="tx1"/>
            </w14:solidFill>
          </w14:textFill>
        </w:rPr>
        <w:t>条款</w:t>
      </w:r>
      <w:r>
        <w:rPr>
          <w:rFonts w:hint="eastAsia" w:ascii="宋体" w:hAnsi="宋体" w:eastAsia="宋体"/>
          <w:b/>
          <w:color w:val="000000" w:themeColor="text1"/>
          <w:szCs w:val="21"/>
          <w14:textFill>
            <w14:solidFill>
              <w14:schemeClr w14:val="tx1"/>
            </w14:solidFill>
          </w14:textFill>
        </w:rPr>
        <w:t>逐条</w:t>
      </w:r>
      <w:r>
        <w:rPr>
          <w:rFonts w:hint="eastAsia" w:ascii="宋体" w:hAnsi="宋体" w:eastAsia="宋体"/>
          <w:color w:val="000000" w:themeColor="text1"/>
          <w:szCs w:val="21"/>
          <w14:textFill>
            <w14:solidFill>
              <w14:schemeClr w14:val="tx1"/>
            </w14:solidFill>
          </w14:textFill>
        </w:rPr>
        <w:t>作出明确响应，并作出偏离说明，否则竞争性磋商无效。</w:t>
      </w:r>
    </w:p>
    <w:p w14:paraId="2A83B1D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应根据自身的承诺，对照采购文件要求，在“偏离说明”中注明“正偏离”、“负偏离”或者“无偏离”。既不属于“正偏离”也不属于“负偏离”即为“无偏离”。当响应文件的商务内容低于采购文件要求时，供应商应当如实写明“负偏离”，否则视为虚假应标</w:t>
      </w:r>
    </w:p>
    <w:p w14:paraId="1949A95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3.表格内容均需按要求填写，不得留空。</w:t>
      </w:r>
    </w:p>
    <w:p w14:paraId="39F17513">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法定代表人或者委托代理人（签字）：</w:t>
      </w:r>
    </w:p>
    <w:p w14:paraId="7F251BE9">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4DACBAD2">
      <w:pPr>
        <w:wordWrap w:val="0"/>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64451C76">
      <w:pPr>
        <w:spacing w:line="360" w:lineRule="auto"/>
        <w:ind w:firstLine="643" w:firstLineChars="200"/>
        <w:rPr>
          <w:rFonts w:hint="eastAsia" w:ascii="宋体" w:hAnsi="宋体" w:eastAsia="宋体"/>
          <w:b/>
          <w:color w:val="000000" w:themeColor="text1"/>
          <w:sz w:val="32"/>
          <w:szCs w:val="32"/>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57220DD5">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w:t>
      </w:r>
      <w:r>
        <w:rPr>
          <w:rFonts w:hint="eastAsia" w:ascii="宋体" w:hAnsi="宋体" w:eastAsia="宋体" w:cs="Times New Roman"/>
          <w:b/>
          <w:color w:val="000000" w:themeColor="text1"/>
          <w:sz w:val="32"/>
          <w:szCs w:val="32"/>
          <w:lang w:val="en-US" w:eastAsia="zh-CN"/>
          <w14:textFill>
            <w14:solidFill>
              <w14:schemeClr w14:val="tx1"/>
            </w14:solidFill>
          </w14:textFill>
        </w:rPr>
        <w:t>七</w:t>
      </w:r>
      <w:r>
        <w:rPr>
          <w:rFonts w:hint="eastAsia" w:ascii="宋体" w:hAnsi="宋体" w:eastAsia="宋体" w:cs="Times New Roman"/>
          <w:b/>
          <w:color w:val="000000" w:themeColor="text1"/>
          <w:sz w:val="32"/>
          <w:szCs w:val="32"/>
          <w14:textFill>
            <w14:solidFill>
              <w14:schemeClr w14:val="tx1"/>
            </w14:solidFill>
          </w14:textFill>
        </w:rPr>
        <w:t>）技术要求偏离表</w:t>
      </w:r>
    </w:p>
    <w:p w14:paraId="507977A0">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（注：按采购需求具体条款修改）</w:t>
      </w:r>
    </w:p>
    <w:p w14:paraId="5EEF076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项目编号：</w:t>
      </w:r>
    </w:p>
    <w:p w14:paraId="12FB987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项目名称：</w:t>
      </w:r>
    </w:p>
    <w:p w14:paraId="5914E0D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分标号：</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133"/>
        <w:gridCol w:w="1131"/>
        <w:gridCol w:w="1843"/>
        <w:gridCol w:w="1202"/>
        <w:gridCol w:w="1202"/>
        <w:gridCol w:w="1202"/>
        <w:gridCol w:w="1195"/>
      </w:tblGrid>
      <w:tr w14:paraId="567B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restart"/>
            <w:vAlign w:val="center"/>
          </w:tcPr>
          <w:p w14:paraId="1102D9F3">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项号</w:t>
            </w:r>
          </w:p>
        </w:tc>
        <w:tc>
          <w:tcPr>
            <w:tcW w:w="2135" w:type="pct"/>
            <w:gridSpan w:val="3"/>
            <w:vAlign w:val="center"/>
          </w:tcPr>
          <w:p w14:paraId="356FEF15">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竞争性磋商采购文件需求</w:t>
            </w:r>
          </w:p>
        </w:tc>
        <w:tc>
          <w:tcPr>
            <w:tcW w:w="1875" w:type="pct"/>
            <w:gridSpan w:val="3"/>
            <w:vAlign w:val="center"/>
          </w:tcPr>
          <w:p w14:paraId="2233CE20">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响应文件承诺</w:t>
            </w:r>
          </w:p>
        </w:tc>
        <w:tc>
          <w:tcPr>
            <w:tcW w:w="621" w:type="pct"/>
            <w:vMerge w:val="restart"/>
            <w:vAlign w:val="center"/>
          </w:tcPr>
          <w:p w14:paraId="38775EC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偏离说明</w:t>
            </w:r>
          </w:p>
        </w:tc>
      </w:tr>
      <w:tr w14:paraId="29AC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continue"/>
            <w:vAlign w:val="center"/>
          </w:tcPr>
          <w:p w14:paraId="573BEC2F">
            <w:pPr>
              <w:spacing w:line="360" w:lineRule="auto"/>
              <w:jc w:val="center"/>
              <w:rPr>
                <w:rFonts w:hint="eastAsia" w:ascii="宋体" w:hAnsi="宋体"/>
                <w:color w:val="000000" w:themeColor="text1"/>
                <w:szCs w:val="21"/>
                <w14:textFill>
                  <w14:solidFill>
                    <w14:schemeClr w14:val="tx1"/>
                  </w14:solidFill>
                </w14:textFill>
              </w:rPr>
            </w:pPr>
          </w:p>
        </w:tc>
        <w:tc>
          <w:tcPr>
            <w:tcW w:w="589" w:type="pct"/>
            <w:vAlign w:val="center"/>
          </w:tcPr>
          <w:p w14:paraId="30E09F44">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服务名称</w:t>
            </w:r>
          </w:p>
        </w:tc>
        <w:tc>
          <w:tcPr>
            <w:tcW w:w="588" w:type="pct"/>
            <w:vAlign w:val="center"/>
          </w:tcPr>
          <w:p w14:paraId="344AC587">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数量</w:t>
            </w:r>
          </w:p>
        </w:tc>
        <w:tc>
          <w:tcPr>
            <w:tcW w:w="958" w:type="pct"/>
            <w:vAlign w:val="center"/>
          </w:tcPr>
          <w:p w14:paraId="33888D02">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技术要求</w:t>
            </w:r>
          </w:p>
        </w:tc>
        <w:tc>
          <w:tcPr>
            <w:tcW w:w="625" w:type="pct"/>
            <w:vAlign w:val="center"/>
          </w:tcPr>
          <w:p w14:paraId="18964BB6">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服务名称</w:t>
            </w:r>
          </w:p>
        </w:tc>
        <w:tc>
          <w:tcPr>
            <w:tcW w:w="625" w:type="pct"/>
            <w:vAlign w:val="center"/>
          </w:tcPr>
          <w:p w14:paraId="58E3519E">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数量</w:t>
            </w:r>
          </w:p>
        </w:tc>
        <w:tc>
          <w:tcPr>
            <w:tcW w:w="625" w:type="pct"/>
            <w:vAlign w:val="center"/>
          </w:tcPr>
          <w:p w14:paraId="23BF05B3">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技术参数</w:t>
            </w:r>
          </w:p>
        </w:tc>
        <w:tc>
          <w:tcPr>
            <w:tcW w:w="621" w:type="pct"/>
            <w:vMerge w:val="continue"/>
            <w:vAlign w:val="center"/>
          </w:tcPr>
          <w:p w14:paraId="724A5BB2">
            <w:pPr>
              <w:spacing w:line="360" w:lineRule="auto"/>
              <w:jc w:val="center"/>
              <w:rPr>
                <w:rFonts w:hint="eastAsia" w:ascii="宋体" w:hAnsi="宋体"/>
                <w:color w:val="000000" w:themeColor="text1"/>
                <w:szCs w:val="21"/>
                <w14:textFill>
                  <w14:solidFill>
                    <w14:schemeClr w14:val="tx1"/>
                  </w14:solidFill>
                </w14:textFill>
              </w:rPr>
            </w:pPr>
          </w:p>
        </w:tc>
      </w:tr>
      <w:tr w14:paraId="0E61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6273A82F">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589" w:type="pct"/>
            <w:vAlign w:val="center"/>
          </w:tcPr>
          <w:p w14:paraId="0A080438">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588" w:type="pct"/>
            <w:vAlign w:val="center"/>
          </w:tcPr>
          <w:p w14:paraId="70969675">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958" w:type="pct"/>
            <w:vAlign w:val="center"/>
          </w:tcPr>
          <w:p w14:paraId="5C16F698">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p w14:paraId="77FF1B3A">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10C4837F">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5DF569B0">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625" w:type="pct"/>
            <w:vAlign w:val="center"/>
          </w:tcPr>
          <w:p w14:paraId="2AE47AE0">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625" w:type="pct"/>
            <w:vAlign w:val="center"/>
          </w:tcPr>
          <w:p w14:paraId="1A4AB978">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625" w:type="pct"/>
            <w:vAlign w:val="center"/>
          </w:tcPr>
          <w:p w14:paraId="3FB9FF1E">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p w14:paraId="5D7D0986">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20E33B8A">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486FD926">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621" w:type="pct"/>
            <w:vAlign w:val="center"/>
          </w:tcPr>
          <w:p w14:paraId="05EA739B">
            <w:pPr>
              <w:spacing w:line="360" w:lineRule="auto"/>
              <w:jc w:val="center"/>
              <w:rPr>
                <w:rFonts w:hint="eastAsia" w:ascii="宋体" w:hAnsi="宋体"/>
                <w:color w:val="000000" w:themeColor="text1"/>
                <w:szCs w:val="21"/>
                <w14:textFill>
                  <w14:solidFill>
                    <w14:schemeClr w14:val="tx1"/>
                  </w14:solidFill>
                </w14:textFill>
              </w:rPr>
            </w:pPr>
          </w:p>
        </w:tc>
      </w:tr>
      <w:tr w14:paraId="6170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53E5E5C3">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589" w:type="pct"/>
            <w:vAlign w:val="center"/>
          </w:tcPr>
          <w:p w14:paraId="35AC4A20">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588" w:type="pct"/>
            <w:vAlign w:val="center"/>
          </w:tcPr>
          <w:p w14:paraId="2DA470C3">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958" w:type="pct"/>
            <w:vAlign w:val="center"/>
          </w:tcPr>
          <w:p w14:paraId="1886B917">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p w14:paraId="03776F71">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17FAEB7D">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1028DF0C">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625" w:type="pct"/>
            <w:vAlign w:val="center"/>
          </w:tcPr>
          <w:p w14:paraId="0B019186">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625" w:type="pct"/>
            <w:vAlign w:val="center"/>
          </w:tcPr>
          <w:p w14:paraId="56388411">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625" w:type="pct"/>
            <w:vAlign w:val="center"/>
          </w:tcPr>
          <w:p w14:paraId="512F5777">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p w14:paraId="203B6186">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p w14:paraId="21191DBC">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p w14:paraId="5B9676C8">
            <w:pPr>
              <w:spacing w:line="360" w:lineRule="auto"/>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621" w:type="pct"/>
            <w:vAlign w:val="center"/>
          </w:tcPr>
          <w:p w14:paraId="3657CD6B">
            <w:pPr>
              <w:spacing w:line="360" w:lineRule="auto"/>
              <w:jc w:val="center"/>
              <w:rPr>
                <w:rFonts w:hint="eastAsia" w:ascii="宋体" w:hAnsi="宋体"/>
                <w:color w:val="000000" w:themeColor="text1"/>
                <w:szCs w:val="21"/>
                <w14:textFill>
                  <w14:solidFill>
                    <w14:schemeClr w14:val="tx1"/>
                  </w14:solidFill>
                </w14:textFill>
              </w:rPr>
            </w:pPr>
          </w:p>
        </w:tc>
      </w:tr>
      <w:tr w14:paraId="1643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2DE88D63">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589" w:type="pct"/>
            <w:vAlign w:val="center"/>
          </w:tcPr>
          <w:p w14:paraId="4D84D459">
            <w:pPr>
              <w:spacing w:line="360" w:lineRule="auto"/>
              <w:jc w:val="center"/>
              <w:rPr>
                <w:rFonts w:hint="eastAsia" w:ascii="宋体" w:hAnsi="宋体"/>
                <w:color w:val="000000" w:themeColor="text1"/>
                <w:szCs w:val="21"/>
                <w14:textFill>
                  <w14:solidFill>
                    <w14:schemeClr w14:val="tx1"/>
                  </w14:solidFill>
                </w14:textFill>
              </w:rPr>
            </w:pPr>
          </w:p>
        </w:tc>
        <w:tc>
          <w:tcPr>
            <w:tcW w:w="588" w:type="pct"/>
            <w:vAlign w:val="center"/>
          </w:tcPr>
          <w:p w14:paraId="7BD33BCF">
            <w:pPr>
              <w:spacing w:line="360" w:lineRule="auto"/>
              <w:jc w:val="center"/>
              <w:rPr>
                <w:rFonts w:hint="eastAsia" w:ascii="宋体" w:hAnsi="宋体"/>
                <w:color w:val="000000" w:themeColor="text1"/>
                <w:szCs w:val="21"/>
                <w14:textFill>
                  <w14:solidFill>
                    <w14:schemeClr w14:val="tx1"/>
                  </w14:solidFill>
                </w14:textFill>
              </w:rPr>
            </w:pPr>
          </w:p>
        </w:tc>
        <w:tc>
          <w:tcPr>
            <w:tcW w:w="958" w:type="pct"/>
            <w:vAlign w:val="center"/>
          </w:tcPr>
          <w:p w14:paraId="71AA8076">
            <w:pPr>
              <w:spacing w:line="360" w:lineRule="auto"/>
              <w:jc w:val="center"/>
              <w:rPr>
                <w:rFonts w:hint="eastAsia" w:ascii="宋体" w:hAnsi="宋体"/>
                <w:color w:val="000000" w:themeColor="text1"/>
                <w:szCs w:val="21"/>
                <w14:textFill>
                  <w14:solidFill>
                    <w14:schemeClr w14:val="tx1"/>
                  </w14:solidFill>
                </w14:textFill>
              </w:rPr>
            </w:pPr>
          </w:p>
        </w:tc>
        <w:tc>
          <w:tcPr>
            <w:tcW w:w="625" w:type="pct"/>
            <w:vAlign w:val="center"/>
          </w:tcPr>
          <w:p w14:paraId="350F3045">
            <w:pPr>
              <w:spacing w:line="360" w:lineRule="auto"/>
              <w:jc w:val="center"/>
              <w:rPr>
                <w:rFonts w:hint="eastAsia" w:ascii="宋体" w:hAnsi="宋体"/>
                <w:color w:val="000000" w:themeColor="text1"/>
                <w:szCs w:val="21"/>
                <w14:textFill>
                  <w14:solidFill>
                    <w14:schemeClr w14:val="tx1"/>
                  </w14:solidFill>
                </w14:textFill>
              </w:rPr>
            </w:pPr>
          </w:p>
        </w:tc>
        <w:tc>
          <w:tcPr>
            <w:tcW w:w="625" w:type="pct"/>
            <w:vAlign w:val="center"/>
          </w:tcPr>
          <w:p w14:paraId="22BB9538">
            <w:pPr>
              <w:spacing w:line="360" w:lineRule="auto"/>
              <w:jc w:val="center"/>
              <w:rPr>
                <w:rFonts w:hint="eastAsia" w:ascii="宋体" w:hAnsi="宋体"/>
                <w:color w:val="000000" w:themeColor="text1"/>
                <w:szCs w:val="21"/>
                <w14:textFill>
                  <w14:solidFill>
                    <w14:schemeClr w14:val="tx1"/>
                  </w14:solidFill>
                </w14:textFill>
              </w:rPr>
            </w:pPr>
          </w:p>
        </w:tc>
        <w:tc>
          <w:tcPr>
            <w:tcW w:w="625" w:type="pct"/>
            <w:vAlign w:val="center"/>
          </w:tcPr>
          <w:p w14:paraId="11584A22">
            <w:pPr>
              <w:spacing w:line="360" w:lineRule="auto"/>
              <w:jc w:val="center"/>
              <w:rPr>
                <w:rFonts w:hint="eastAsia" w:ascii="宋体" w:hAnsi="宋体"/>
                <w:color w:val="000000" w:themeColor="text1"/>
                <w:szCs w:val="21"/>
                <w14:textFill>
                  <w14:solidFill>
                    <w14:schemeClr w14:val="tx1"/>
                  </w14:solidFill>
                </w14:textFill>
              </w:rPr>
            </w:pPr>
          </w:p>
        </w:tc>
        <w:tc>
          <w:tcPr>
            <w:tcW w:w="621" w:type="pct"/>
            <w:vAlign w:val="center"/>
          </w:tcPr>
          <w:p w14:paraId="0320A417">
            <w:pPr>
              <w:spacing w:line="360" w:lineRule="auto"/>
              <w:jc w:val="center"/>
              <w:rPr>
                <w:rFonts w:hint="eastAsia" w:ascii="宋体" w:hAnsi="宋体"/>
                <w:color w:val="000000" w:themeColor="text1"/>
                <w:szCs w:val="21"/>
                <w14:textFill>
                  <w14:solidFill>
                    <w14:schemeClr w14:val="tx1"/>
                  </w14:solidFill>
                </w14:textFill>
              </w:rPr>
            </w:pPr>
          </w:p>
        </w:tc>
      </w:tr>
    </w:tbl>
    <w:p w14:paraId="403CC68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14:paraId="76999D6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1.应对照采购文件“第三章采购需求”的</w:t>
      </w:r>
      <w:r>
        <w:rPr>
          <w:rFonts w:hint="eastAsia" w:ascii="宋体" w:hAnsi="宋体" w:eastAsia="宋体"/>
          <w:b/>
          <w:color w:val="000000" w:themeColor="text1"/>
          <w:szCs w:val="21"/>
          <w14:textFill>
            <w14:solidFill>
              <w14:schemeClr w14:val="tx1"/>
            </w14:solidFill>
          </w14:textFill>
        </w:rPr>
        <w:t>技术要求</w:t>
      </w:r>
      <w:r>
        <w:rPr>
          <w:rFonts w:hint="eastAsia" w:ascii="宋体" w:hAnsi="宋体" w:eastAsia="宋体"/>
          <w:color w:val="000000" w:themeColor="text1"/>
          <w:szCs w:val="21"/>
          <w14:textFill>
            <w14:solidFill>
              <w14:schemeClr w14:val="tx1"/>
            </w14:solidFill>
          </w14:textFill>
        </w:rPr>
        <w:t>条款</w:t>
      </w:r>
      <w:r>
        <w:rPr>
          <w:rFonts w:hint="eastAsia" w:ascii="宋体" w:hAnsi="宋体" w:eastAsia="宋体"/>
          <w:b/>
          <w:color w:val="000000" w:themeColor="text1"/>
          <w:szCs w:val="21"/>
          <w14:textFill>
            <w14:solidFill>
              <w14:schemeClr w14:val="tx1"/>
            </w14:solidFill>
          </w14:textFill>
        </w:rPr>
        <w:t>逐条</w:t>
      </w:r>
      <w:r>
        <w:rPr>
          <w:rFonts w:hint="eastAsia" w:ascii="宋体" w:hAnsi="宋体" w:eastAsia="宋体"/>
          <w:color w:val="000000" w:themeColor="text1"/>
          <w:szCs w:val="21"/>
          <w14:textFill>
            <w14:solidFill>
              <w14:schemeClr w14:val="tx1"/>
            </w14:solidFill>
          </w14:textFill>
        </w:rPr>
        <w:t>作出明确响应，并作出偏离说明，否则竞争性磋商无效。</w:t>
      </w:r>
    </w:p>
    <w:p w14:paraId="7E379F1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应根据自身的承诺，对照采购文件要求，在“偏离说明”中注明“正偏离”、“负偏离”或者“无偏离”。既不属于“正偏离”也不属于“负偏离”即为“无偏离”。当响应文件的技术内容低于采购文件要求时，供应商应当如实写明“负偏离”，否则视为虚假应标。</w:t>
      </w:r>
    </w:p>
    <w:p w14:paraId="36DF94D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3.表格内容均需按要求填写并盖章，不得留空。</w:t>
      </w:r>
    </w:p>
    <w:p w14:paraId="3A5EDC3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4.如技术要求偏离表中的竞标响应与佐证材料不一致的，以佐证材料为准。</w:t>
      </w:r>
    </w:p>
    <w:p w14:paraId="643231F2">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法定代表人或者委托代理人（签字）：</w:t>
      </w:r>
    </w:p>
    <w:p w14:paraId="74B2EB33">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0EF5FF03">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54537AE3">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01EF7A97">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w:t>
      </w:r>
      <w:r>
        <w:rPr>
          <w:rFonts w:hint="eastAsia" w:ascii="宋体" w:hAnsi="宋体" w:eastAsia="宋体" w:cs="Times New Roman"/>
          <w:b/>
          <w:color w:val="000000" w:themeColor="text1"/>
          <w:sz w:val="32"/>
          <w:szCs w:val="32"/>
          <w:lang w:val="en-US" w:eastAsia="zh-CN"/>
          <w14:textFill>
            <w14:solidFill>
              <w14:schemeClr w14:val="tx1"/>
            </w14:solidFill>
          </w14:textFill>
        </w:rPr>
        <w:t>八</w:t>
      </w:r>
      <w:r>
        <w:rPr>
          <w:rFonts w:hint="eastAsia" w:ascii="宋体" w:hAnsi="宋体" w:eastAsia="宋体" w:cs="Times New Roman"/>
          <w:b/>
          <w:color w:val="000000" w:themeColor="text1"/>
          <w:sz w:val="32"/>
          <w:szCs w:val="32"/>
          <w14:textFill>
            <w14:solidFill>
              <w14:schemeClr w14:val="tx1"/>
            </w14:solidFill>
          </w14:textFill>
        </w:rPr>
        <w:t>）施工组织设计</w:t>
      </w:r>
    </w:p>
    <w:p w14:paraId="5B3EA97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格式自拟。</w:t>
      </w:r>
    </w:p>
    <w:p w14:paraId="0DF89720">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w:t>
      </w:r>
      <w:r>
        <w:rPr>
          <w:rFonts w:hint="eastAsia" w:ascii="宋体" w:hAnsi="宋体" w:eastAsia="宋体" w:cs="Times New Roman"/>
          <w:b/>
          <w:color w:val="000000" w:themeColor="text1"/>
          <w:sz w:val="32"/>
          <w:szCs w:val="32"/>
          <w:lang w:val="en-US" w:eastAsia="zh-CN"/>
          <w14:textFill>
            <w14:solidFill>
              <w14:schemeClr w14:val="tx1"/>
            </w14:solidFill>
          </w14:textFill>
        </w:rPr>
        <w:t>九</w:t>
      </w:r>
      <w:r>
        <w:rPr>
          <w:rFonts w:hint="eastAsia" w:ascii="宋体" w:hAnsi="宋体" w:eastAsia="宋体" w:cs="Times New Roman"/>
          <w:b/>
          <w:color w:val="000000" w:themeColor="text1"/>
          <w:sz w:val="32"/>
          <w:szCs w:val="32"/>
          <w14:textFill>
            <w14:solidFill>
              <w14:schemeClr w14:val="tx1"/>
            </w14:solidFill>
          </w14:textFill>
        </w:rPr>
        <w:t>）拟分包项目情况表</w:t>
      </w:r>
    </w:p>
    <w:p w14:paraId="14CA5D0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格式自拟。</w:t>
      </w:r>
    </w:p>
    <w:p w14:paraId="325F8413">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（十）项目管理机构配备情况表及主要人员简历表</w:t>
      </w:r>
    </w:p>
    <w:p w14:paraId="40BD6BFD">
      <w:pPr>
        <w:spacing w:line="360" w:lineRule="auto"/>
        <w:ind w:firstLine="420" w:firstLineChars="200"/>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格式自拟。</w:t>
      </w:r>
    </w:p>
    <w:p w14:paraId="1F99CC8D">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ascii="宋体" w:hAnsi="宋体" w:eastAsia="宋体" w:cs="Times New Roman"/>
          <w:b/>
          <w:color w:val="000000" w:themeColor="text1"/>
          <w:sz w:val="32"/>
          <w:szCs w:val="32"/>
          <w14:textFill>
            <w14:solidFill>
              <w14:schemeClr w14:val="tx1"/>
            </w14:solidFill>
          </w14:textFill>
        </w:rPr>
        <w:t>（十</w:t>
      </w:r>
      <w:r>
        <w:rPr>
          <w:rFonts w:hint="eastAsia" w:ascii="宋体" w:hAnsi="宋体" w:eastAsia="宋体" w:cs="Times New Roman"/>
          <w:b/>
          <w:color w:val="000000" w:themeColor="text1"/>
          <w:sz w:val="32"/>
          <w:szCs w:val="32"/>
          <w14:textFill>
            <w14:solidFill>
              <w14:schemeClr w14:val="tx1"/>
            </w14:solidFill>
          </w14:textFill>
        </w:rPr>
        <w:t>一</w:t>
      </w:r>
      <w:r>
        <w:rPr>
          <w:rFonts w:ascii="宋体" w:hAnsi="宋体" w:eastAsia="宋体" w:cs="Times New Roman"/>
          <w:b/>
          <w:color w:val="000000" w:themeColor="text1"/>
          <w:sz w:val="32"/>
          <w:szCs w:val="32"/>
          <w14:textFill>
            <w14:solidFill>
              <w14:schemeClr w14:val="tx1"/>
            </w14:solidFill>
          </w14:textFill>
        </w:rPr>
        <w:t>）</w:t>
      </w:r>
      <w:r>
        <w:rPr>
          <w:rFonts w:hint="eastAsia" w:ascii="宋体" w:hAnsi="宋体" w:eastAsia="宋体" w:cs="Times New Roman"/>
          <w:b/>
          <w:color w:val="000000" w:themeColor="text1"/>
          <w:sz w:val="32"/>
          <w:szCs w:val="32"/>
          <w14:textFill>
            <w14:solidFill>
              <w14:schemeClr w14:val="tx1"/>
            </w14:solidFill>
          </w14:textFill>
        </w:rPr>
        <w:t>供应商业绩一览表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1185"/>
        <w:gridCol w:w="1185"/>
        <w:gridCol w:w="1185"/>
        <w:gridCol w:w="1185"/>
        <w:gridCol w:w="1185"/>
        <w:gridCol w:w="1186"/>
      </w:tblGrid>
      <w:tr w14:paraId="5B9D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5D7447EF">
            <w:pPr>
              <w:spacing w:line="360" w:lineRule="auto"/>
              <w:jc w:val="center"/>
              <w:rPr>
                <w:rFonts w:hint="eastAsia" w:ascii="宋体" w:hAnsi="宋体" w:eastAsia="宋体"/>
                <w:szCs w:val="21"/>
              </w:rPr>
            </w:pPr>
            <w:r>
              <w:rPr>
                <w:rFonts w:hint="eastAsia" w:ascii="宋体" w:hAnsi="宋体" w:eastAsia="宋体"/>
                <w:szCs w:val="21"/>
              </w:rPr>
              <w:t>采购人名称</w:t>
            </w:r>
          </w:p>
        </w:tc>
        <w:tc>
          <w:tcPr>
            <w:tcW w:w="1185" w:type="dxa"/>
            <w:vAlign w:val="center"/>
          </w:tcPr>
          <w:p w14:paraId="50F87284">
            <w:pPr>
              <w:spacing w:line="360" w:lineRule="auto"/>
              <w:jc w:val="center"/>
              <w:rPr>
                <w:rFonts w:hint="eastAsia" w:ascii="宋体" w:hAnsi="宋体" w:eastAsia="宋体"/>
                <w:szCs w:val="21"/>
              </w:rPr>
            </w:pPr>
            <w:r>
              <w:rPr>
                <w:rFonts w:hint="eastAsia" w:ascii="宋体" w:hAnsi="宋体" w:eastAsia="宋体"/>
                <w:szCs w:val="21"/>
              </w:rPr>
              <w:t>项目名称</w:t>
            </w:r>
          </w:p>
        </w:tc>
        <w:tc>
          <w:tcPr>
            <w:tcW w:w="1185" w:type="dxa"/>
            <w:vAlign w:val="center"/>
          </w:tcPr>
          <w:p w14:paraId="664E11DC">
            <w:pPr>
              <w:spacing w:line="360" w:lineRule="auto"/>
              <w:jc w:val="center"/>
              <w:rPr>
                <w:rFonts w:hint="eastAsia" w:ascii="宋体" w:hAnsi="宋体" w:eastAsia="宋体"/>
                <w:szCs w:val="21"/>
              </w:rPr>
            </w:pPr>
            <w:r>
              <w:rPr>
                <w:rFonts w:hint="eastAsia" w:ascii="宋体" w:hAnsi="宋体" w:eastAsia="宋体"/>
                <w:szCs w:val="21"/>
              </w:rPr>
              <w:t>合同金额（万元）</w:t>
            </w:r>
          </w:p>
        </w:tc>
        <w:tc>
          <w:tcPr>
            <w:tcW w:w="1185" w:type="dxa"/>
            <w:vAlign w:val="center"/>
          </w:tcPr>
          <w:p w14:paraId="5C1011F1">
            <w:pPr>
              <w:spacing w:line="360" w:lineRule="auto"/>
              <w:jc w:val="center"/>
              <w:rPr>
                <w:rFonts w:hint="eastAsia" w:ascii="宋体" w:hAnsi="宋体" w:eastAsia="宋体"/>
                <w:szCs w:val="21"/>
              </w:rPr>
            </w:pPr>
            <w:r>
              <w:rPr>
                <w:rFonts w:hint="eastAsia" w:ascii="宋体" w:hAnsi="宋体" w:eastAsia="宋体"/>
                <w:szCs w:val="21"/>
              </w:rPr>
              <w:t>开工日期</w:t>
            </w:r>
          </w:p>
        </w:tc>
        <w:tc>
          <w:tcPr>
            <w:tcW w:w="1185" w:type="dxa"/>
            <w:vAlign w:val="center"/>
          </w:tcPr>
          <w:p w14:paraId="6F8D2F67">
            <w:pPr>
              <w:spacing w:line="360" w:lineRule="auto"/>
              <w:jc w:val="center"/>
              <w:rPr>
                <w:rFonts w:hint="eastAsia" w:ascii="宋体" w:hAnsi="宋体" w:eastAsia="宋体"/>
                <w:szCs w:val="21"/>
              </w:rPr>
            </w:pPr>
            <w:r>
              <w:rPr>
                <w:rFonts w:hint="eastAsia" w:ascii="宋体" w:hAnsi="宋体" w:eastAsia="宋体"/>
                <w:szCs w:val="21"/>
              </w:rPr>
              <w:t>竣工日期</w:t>
            </w:r>
          </w:p>
        </w:tc>
        <w:tc>
          <w:tcPr>
            <w:tcW w:w="1185" w:type="dxa"/>
            <w:vAlign w:val="center"/>
          </w:tcPr>
          <w:p w14:paraId="16606EFE">
            <w:pPr>
              <w:spacing w:line="360" w:lineRule="auto"/>
              <w:jc w:val="center"/>
              <w:rPr>
                <w:rFonts w:hint="eastAsia" w:ascii="宋体" w:hAnsi="宋体" w:eastAsia="宋体"/>
                <w:szCs w:val="21"/>
              </w:rPr>
            </w:pPr>
            <w:r>
              <w:rPr>
                <w:rFonts w:hint="eastAsia" w:ascii="宋体" w:hAnsi="宋体" w:eastAsia="宋体"/>
                <w:szCs w:val="21"/>
              </w:rPr>
              <w:t>在建或已完</w:t>
            </w:r>
          </w:p>
        </w:tc>
        <w:tc>
          <w:tcPr>
            <w:tcW w:w="1186" w:type="dxa"/>
            <w:vAlign w:val="center"/>
          </w:tcPr>
          <w:p w14:paraId="0C8EC165">
            <w:pPr>
              <w:spacing w:line="360" w:lineRule="auto"/>
              <w:jc w:val="center"/>
              <w:rPr>
                <w:rFonts w:hint="eastAsia" w:ascii="宋体" w:hAnsi="宋体" w:eastAsia="宋体"/>
                <w:szCs w:val="21"/>
              </w:rPr>
            </w:pPr>
            <w:r>
              <w:rPr>
                <w:rFonts w:hint="eastAsia" w:ascii="宋体" w:hAnsi="宋体" w:eastAsia="宋体"/>
                <w:szCs w:val="21"/>
              </w:rPr>
              <w:t>采购人联系人及联系电话</w:t>
            </w:r>
          </w:p>
        </w:tc>
      </w:tr>
      <w:tr w14:paraId="698D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57555578">
            <w:pPr>
              <w:spacing w:line="360" w:lineRule="auto"/>
              <w:jc w:val="center"/>
              <w:rPr>
                <w:rFonts w:hint="eastAsia" w:ascii="宋体" w:hAnsi="宋体" w:eastAsia="宋体"/>
                <w:szCs w:val="21"/>
              </w:rPr>
            </w:pPr>
          </w:p>
        </w:tc>
        <w:tc>
          <w:tcPr>
            <w:tcW w:w="1185" w:type="dxa"/>
            <w:vAlign w:val="center"/>
          </w:tcPr>
          <w:p w14:paraId="7FBCD107">
            <w:pPr>
              <w:spacing w:line="360" w:lineRule="auto"/>
              <w:jc w:val="center"/>
              <w:rPr>
                <w:rFonts w:hint="eastAsia" w:ascii="宋体" w:hAnsi="宋体" w:eastAsia="宋体"/>
                <w:szCs w:val="21"/>
              </w:rPr>
            </w:pPr>
          </w:p>
        </w:tc>
        <w:tc>
          <w:tcPr>
            <w:tcW w:w="1185" w:type="dxa"/>
            <w:vAlign w:val="center"/>
          </w:tcPr>
          <w:p w14:paraId="09AC0417">
            <w:pPr>
              <w:spacing w:line="360" w:lineRule="auto"/>
              <w:jc w:val="center"/>
              <w:rPr>
                <w:rFonts w:hint="eastAsia" w:ascii="宋体" w:hAnsi="宋体" w:eastAsia="宋体"/>
                <w:szCs w:val="21"/>
              </w:rPr>
            </w:pPr>
          </w:p>
        </w:tc>
        <w:tc>
          <w:tcPr>
            <w:tcW w:w="1185" w:type="dxa"/>
            <w:vAlign w:val="center"/>
          </w:tcPr>
          <w:p w14:paraId="2725944A">
            <w:pPr>
              <w:spacing w:line="360" w:lineRule="auto"/>
              <w:jc w:val="center"/>
              <w:rPr>
                <w:rFonts w:hint="eastAsia" w:ascii="宋体" w:hAnsi="宋体" w:eastAsia="宋体"/>
                <w:szCs w:val="21"/>
              </w:rPr>
            </w:pPr>
          </w:p>
        </w:tc>
        <w:tc>
          <w:tcPr>
            <w:tcW w:w="1185" w:type="dxa"/>
            <w:vAlign w:val="center"/>
          </w:tcPr>
          <w:p w14:paraId="67B69B9E">
            <w:pPr>
              <w:spacing w:line="360" w:lineRule="auto"/>
              <w:jc w:val="center"/>
              <w:rPr>
                <w:rFonts w:hint="eastAsia" w:ascii="宋体" w:hAnsi="宋体" w:eastAsia="宋体"/>
                <w:szCs w:val="21"/>
              </w:rPr>
            </w:pPr>
          </w:p>
        </w:tc>
        <w:tc>
          <w:tcPr>
            <w:tcW w:w="1185" w:type="dxa"/>
            <w:vAlign w:val="center"/>
          </w:tcPr>
          <w:p w14:paraId="637CFA34">
            <w:pPr>
              <w:spacing w:line="360" w:lineRule="auto"/>
              <w:jc w:val="center"/>
              <w:rPr>
                <w:rFonts w:hint="eastAsia" w:ascii="宋体" w:hAnsi="宋体" w:eastAsia="宋体"/>
                <w:szCs w:val="21"/>
              </w:rPr>
            </w:pPr>
          </w:p>
        </w:tc>
        <w:tc>
          <w:tcPr>
            <w:tcW w:w="1186" w:type="dxa"/>
            <w:vAlign w:val="center"/>
          </w:tcPr>
          <w:p w14:paraId="4C9775C1">
            <w:pPr>
              <w:spacing w:line="360" w:lineRule="auto"/>
              <w:jc w:val="center"/>
              <w:rPr>
                <w:rFonts w:hint="eastAsia" w:ascii="宋体" w:hAnsi="宋体" w:eastAsia="宋体"/>
                <w:szCs w:val="21"/>
              </w:rPr>
            </w:pPr>
          </w:p>
        </w:tc>
      </w:tr>
      <w:tr w14:paraId="4C23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6E5A741E">
            <w:pPr>
              <w:spacing w:line="360" w:lineRule="auto"/>
              <w:jc w:val="center"/>
              <w:rPr>
                <w:rFonts w:hint="eastAsia" w:ascii="宋体" w:hAnsi="宋体" w:eastAsia="宋体"/>
                <w:szCs w:val="21"/>
              </w:rPr>
            </w:pPr>
          </w:p>
        </w:tc>
        <w:tc>
          <w:tcPr>
            <w:tcW w:w="1185" w:type="dxa"/>
            <w:vAlign w:val="center"/>
          </w:tcPr>
          <w:p w14:paraId="1F25929E">
            <w:pPr>
              <w:spacing w:line="360" w:lineRule="auto"/>
              <w:jc w:val="center"/>
              <w:rPr>
                <w:rFonts w:hint="eastAsia" w:ascii="宋体" w:hAnsi="宋体" w:eastAsia="宋体"/>
                <w:szCs w:val="21"/>
              </w:rPr>
            </w:pPr>
          </w:p>
        </w:tc>
        <w:tc>
          <w:tcPr>
            <w:tcW w:w="1185" w:type="dxa"/>
            <w:vAlign w:val="center"/>
          </w:tcPr>
          <w:p w14:paraId="7F768AA4">
            <w:pPr>
              <w:spacing w:line="360" w:lineRule="auto"/>
              <w:jc w:val="center"/>
              <w:rPr>
                <w:rFonts w:hint="eastAsia" w:ascii="宋体" w:hAnsi="宋体" w:eastAsia="宋体"/>
                <w:szCs w:val="21"/>
              </w:rPr>
            </w:pPr>
          </w:p>
        </w:tc>
        <w:tc>
          <w:tcPr>
            <w:tcW w:w="1185" w:type="dxa"/>
            <w:vAlign w:val="center"/>
          </w:tcPr>
          <w:p w14:paraId="01B1AE38">
            <w:pPr>
              <w:spacing w:line="360" w:lineRule="auto"/>
              <w:jc w:val="center"/>
              <w:rPr>
                <w:rFonts w:hint="eastAsia" w:ascii="宋体" w:hAnsi="宋体" w:eastAsia="宋体"/>
                <w:szCs w:val="21"/>
              </w:rPr>
            </w:pPr>
          </w:p>
        </w:tc>
        <w:tc>
          <w:tcPr>
            <w:tcW w:w="1185" w:type="dxa"/>
            <w:vAlign w:val="center"/>
          </w:tcPr>
          <w:p w14:paraId="1875388B">
            <w:pPr>
              <w:spacing w:line="360" w:lineRule="auto"/>
              <w:jc w:val="center"/>
              <w:rPr>
                <w:rFonts w:hint="eastAsia" w:ascii="宋体" w:hAnsi="宋体" w:eastAsia="宋体"/>
                <w:szCs w:val="21"/>
              </w:rPr>
            </w:pPr>
          </w:p>
        </w:tc>
        <w:tc>
          <w:tcPr>
            <w:tcW w:w="1185" w:type="dxa"/>
            <w:vAlign w:val="center"/>
          </w:tcPr>
          <w:p w14:paraId="6406E7B1">
            <w:pPr>
              <w:spacing w:line="360" w:lineRule="auto"/>
              <w:jc w:val="center"/>
              <w:rPr>
                <w:rFonts w:hint="eastAsia" w:ascii="宋体" w:hAnsi="宋体" w:eastAsia="宋体"/>
                <w:szCs w:val="21"/>
              </w:rPr>
            </w:pPr>
          </w:p>
        </w:tc>
        <w:tc>
          <w:tcPr>
            <w:tcW w:w="1186" w:type="dxa"/>
            <w:vAlign w:val="center"/>
          </w:tcPr>
          <w:p w14:paraId="77F34ECF">
            <w:pPr>
              <w:spacing w:line="360" w:lineRule="auto"/>
              <w:jc w:val="center"/>
              <w:rPr>
                <w:rFonts w:hint="eastAsia" w:ascii="宋体" w:hAnsi="宋体" w:eastAsia="宋体"/>
                <w:szCs w:val="21"/>
              </w:rPr>
            </w:pPr>
          </w:p>
        </w:tc>
      </w:tr>
      <w:tr w14:paraId="0773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01AA64DC">
            <w:pPr>
              <w:spacing w:line="360" w:lineRule="auto"/>
              <w:jc w:val="center"/>
              <w:rPr>
                <w:rFonts w:hint="eastAsia" w:ascii="宋体" w:hAnsi="宋体" w:eastAsia="宋体"/>
                <w:szCs w:val="21"/>
              </w:rPr>
            </w:pPr>
          </w:p>
        </w:tc>
        <w:tc>
          <w:tcPr>
            <w:tcW w:w="1185" w:type="dxa"/>
            <w:vAlign w:val="center"/>
          </w:tcPr>
          <w:p w14:paraId="00EC0D1D">
            <w:pPr>
              <w:spacing w:line="360" w:lineRule="auto"/>
              <w:jc w:val="center"/>
              <w:rPr>
                <w:rFonts w:hint="eastAsia" w:ascii="宋体" w:hAnsi="宋体" w:eastAsia="宋体"/>
                <w:szCs w:val="21"/>
              </w:rPr>
            </w:pPr>
          </w:p>
        </w:tc>
        <w:tc>
          <w:tcPr>
            <w:tcW w:w="1185" w:type="dxa"/>
            <w:vAlign w:val="center"/>
          </w:tcPr>
          <w:p w14:paraId="7ABFC60F">
            <w:pPr>
              <w:spacing w:line="360" w:lineRule="auto"/>
              <w:jc w:val="center"/>
              <w:rPr>
                <w:rFonts w:hint="eastAsia" w:ascii="宋体" w:hAnsi="宋体" w:eastAsia="宋体"/>
                <w:szCs w:val="21"/>
              </w:rPr>
            </w:pPr>
          </w:p>
        </w:tc>
        <w:tc>
          <w:tcPr>
            <w:tcW w:w="1185" w:type="dxa"/>
            <w:vAlign w:val="center"/>
          </w:tcPr>
          <w:p w14:paraId="2A1E2AF3">
            <w:pPr>
              <w:spacing w:line="360" w:lineRule="auto"/>
              <w:jc w:val="center"/>
              <w:rPr>
                <w:rFonts w:hint="eastAsia" w:ascii="宋体" w:hAnsi="宋体" w:eastAsia="宋体"/>
                <w:szCs w:val="21"/>
              </w:rPr>
            </w:pPr>
          </w:p>
        </w:tc>
        <w:tc>
          <w:tcPr>
            <w:tcW w:w="1185" w:type="dxa"/>
            <w:vAlign w:val="center"/>
          </w:tcPr>
          <w:p w14:paraId="62627C86">
            <w:pPr>
              <w:spacing w:line="360" w:lineRule="auto"/>
              <w:jc w:val="center"/>
              <w:rPr>
                <w:rFonts w:hint="eastAsia" w:ascii="宋体" w:hAnsi="宋体" w:eastAsia="宋体"/>
                <w:szCs w:val="21"/>
              </w:rPr>
            </w:pPr>
          </w:p>
        </w:tc>
        <w:tc>
          <w:tcPr>
            <w:tcW w:w="1185" w:type="dxa"/>
            <w:vAlign w:val="center"/>
          </w:tcPr>
          <w:p w14:paraId="77500F1F">
            <w:pPr>
              <w:spacing w:line="360" w:lineRule="auto"/>
              <w:jc w:val="center"/>
              <w:rPr>
                <w:rFonts w:hint="eastAsia" w:ascii="宋体" w:hAnsi="宋体" w:eastAsia="宋体"/>
                <w:szCs w:val="21"/>
              </w:rPr>
            </w:pPr>
          </w:p>
        </w:tc>
        <w:tc>
          <w:tcPr>
            <w:tcW w:w="1186" w:type="dxa"/>
            <w:vAlign w:val="center"/>
          </w:tcPr>
          <w:p w14:paraId="55610E6C">
            <w:pPr>
              <w:spacing w:line="360" w:lineRule="auto"/>
              <w:jc w:val="center"/>
              <w:rPr>
                <w:rFonts w:hint="eastAsia" w:ascii="宋体" w:hAnsi="宋体" w:eastAsia="宋体"/>
                <w:szCs w:val="21"/>
              </w:rPr>
            </w:pPr>
          </w:p>
        </w:tc>
      </w:tr>
      <w:tr w14:paraId="3DBA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69110FD4">
            <w:pPr>
              <w:spacing w:line="360" w:lineRule="auto"/>
              <w:jc w:val="center"/>
              <w:rPr>
                <w:rFonts w:hint="eastAsia" w:ascii="宋体" w:hAnsi="宋体" w:eastAsia="宋体"/>
                <w:szCs w:val="21"/>
              </w:rPr>
            </w:pPr>
          </w:p>
        </w:tc>
        <w:tc>
          <w:tcPr>
            <w:tcW w:w="1185" w:type="dxa"/>
            <w:vAlign w:val="center"/>
          </w:tcPr>
          <w:p w14:paraId="4E991CA5">
            <w:pPr>
              <w:spacing w:line="360" w:lineRule="auto"/>
              <w:jc w:val="center"/>
              <w:rPr>
                <w:rFonts w:hint="eastAsia" w:ascii="宋体" w:hAnsi="宋体" w:eastAsia="宋体"/>
                <w:szCs w:val="21"/>
              </w:rPr>
            </w:pPr>
          </w:p>
        </w:tc>
        <w:tc>
          <w:tcPr>
            <w:tcW w:w="1185" w:type="dxa"/>
            <w:vAlign w:val="center"/>
          </w:tcPr>
          <w:p w14:paraId="62ECBD9B">
            <w:pPr>
              <w:spacing w:line="360" w:lineRule="auto"/>
              <w:jc w:val="center"/>
              <w:rPr>
                <w:rFonts w:hint="eastAsia" w:ascii="宋体" w:hAnsi="宋体" w:eastAsia="宋体"/>
                <w:szCs w:val="21"/>
              </w:rPr>
            </w:pPr>
          </w:p>
        </w:tc>
        <w:tc>
          <w:tcPr>
            <w:tcW w:w="1185" w:type="dxa"/>
            <w:vAlign w:val="center"/>
          </w:tcPr>
          <w:p w14:paraId="2F32D114">
            <w:pPr>
              <w:spacing w:line="360" w:lineRule="auto"/>
              <w:jc w:val="center"/>
              <w:rPr>
                <w:rFonts w:hint="eastAsia" w:ascii="宋体" w:hAnsi="宋体" w:eastAsia="宋体"/>
                <w:szCs w:val="21"/>
              </w:rPr>
            </w:pPr>
          </w:p>
        </w:tc>
        <w:tc>
          <w:tcPr>
            <w:tcW w:w="1185" w:type="dxa"/>
            <w:vAlign w:val="center"/>
          </w:tcPr>
          <w:p w14:paraId="4B8BCA13">
            <w:pPr>
              <w:spacing w:line="360" w:lineRule="auto"/>
              <w:jc w:val="center"/>
              <w:rPr>
                <w:rFonts w:hint="eastAsia" w:ascii="宋体" w:hAnsi="宋体" w:eastAsia="宋体"/>
                <w:szCs w:val="21"/>
              </w:rPr>
            </w:pPr>
          </w:p>
        </w:tc>
        <w:tc>
          <w:tcPr>
            <w:tcW w:w="1185" w:type="dxa"/>
            <w:vAlign w:val="center"/>
          </w:tcPr>
          <w:p w14:paraId="4CD424A0">
            <w:pPr>
              <w:spacing w:line="360" w:lineRule="auto"/>
              <w:jc w:val="center"/>
              <w:rPr>
                <w:rFonts w:hint="eastAsia" w:ascii="宋体" w:hAnsi="宋体" w:eastAsia="宋体"/>
                <w:szCs w:val="21"/>
              </w:rPr>
            </w:pPr>
          </w:p>
        </w:tc>
        <w:tc>
          <w:tcPr>
            <w:tcW w:w="1186" w:type="dxa"/>
            <w:vAlign w:val="center"/>
          </w:tcPr>
          <w:p w14:paraId="018DF348">
            <w:pPr>
              <w:spacing w:line="360" w:lineRule="auto"/>
              <w:jc w:val="center"/>
              <w:rPr>
                <w:rFonts w:hint="eastAsia" w:ascii="宋体" w:hAnsi="宋体" w:eastAsia="宋体"/>
                <w:szCs w:val="21"/>
              </w:rPr>
            </w:pPr>
          </w:p>
        </w:tc>
      </w:tr>
      <w:tr w14:paraId="6066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42527E4D">
            <w:pPr>
              <w:spacing w:line="360" w:lineRule="auto"/>
              <w:jc w:val="center"/>
              <w:rPr>
                <w:rFonts w:hint="eastAsia" w:ascii="宋体" w:hAnsi="宋体" w:eastAsia="宋体"/>
                <w:szCs w:val="21"/>
              </w:rPr>
            </w:pPr>
          </w:p>
        </w:tc>
        <w:tc>
          <w:tcPr>
            <w:tcW w:w="1185" w:type="dxa"/>
            <w:vAlign w:val="center"/>
          </w:tcPr>
          <w:p w14:paraId="71C41581">
            <w:pPr>
              <w:spacing w:line="360" w:lineRule="auto"/>
              <w:jc w:val="center"/>
              <w:rPr>
                <w:rFonts w:hint="eastAsia" w:ascii="宋体" w:hAnsi="宋体" w:eastAsia="宋体"/>
                <w:szCs w:val="21"/>
              </w:rPr>
            </w:pPr>
          </w:p>
        </w:tc>
        <w:tc>
          <w:tcPr>
            <w:tcW w:w="1185" w:type="dxa"/>
            <w:vAlign w:val="center"/>
          </w:tcPr>
          <w:p w14:paraId="0A79E549">
            <w:pPr>
              <w:spacing w:line="360" w:lineRule="auto"/>
              <w:jc w:val="center"/>
              <w:rPr>
                <w:rFonts w:hint="eastAsia" w:ascii="宋体" w:hAnsi="宋体" w:eastAsia="宋体"/>
                <w:szCs w:val="21"/>
              </w:rPr>
            </w:pPr>
          </w:p>
        </w:tc>
        <w:tc>
          <w:tcPr>
            <w:tcW w:w="1185" w:type="dxa"/>
            <w:vAlign w:val="center"/>
          </w:tcPr>
          <w:p w14:paraId="015DD8E5">
            <w:pPr>
              <w:spacing w:line="360" w:lineRule="auto"/>
              <w:jc w:val="center"/>
              <w:rPr>
                <w:rFonts w:hint="eastAsia" w:ascii="宋体" w:hAnsi="宋体" w:eastAsia="宋体"/>
                <w:szCs w:val="21"/>
              </w:rPr>
            </w:pPr>
          </w:p>
        </w:tc>
        <w:tc>
          <w:tcPr>
            <w:tcW w:w="1185" w:type="dxa"/>
            <w:vAlign w:val="center"/>
          </w:tcPr>
          <w:p w14:paraId="08568596">
            <w:pPr>
              <w:spacing w:line="360" w:lineRule="auto"/>
              <w:jc w:val="center"/>
              <w:rPr>
                <w:rFonts w:hint="eastAsia" w:ascii="宋体" w:hAnsi="宋体" w:eastAsia="宋体"/>
                <w:szCs w:val="21"/>
              </w:rPr>
            </w:pPr>
          </w:p>
        </w:tc>
        <w:tc>
          <w:tcPr>
            <w:tcW w:w="1185" w:type="dxa"/>
            <w:vAlign w:val="center"/>
          </w:tcPr>
          <w:p w14:paraId="7A4F8E67">
            <w:pPr>
              <w:spacing w:line="360" w:lineRule="auto"/>
              <w:jc w:val="center"/>
              <w:rPr>
                <w:rFonts w:hint="eastAsia" w:ascii="宋体" w:hAnsi="宋体" w:eastAsia="宋体"/>
                <w:szCs w:val="21"/>
              </w:rPr>
            </w:pPr>
          </w:p>
        </w:tc>
        <w:tc>
          <w:tcPr>
            <w:tcW w:w="1186" w:type="dxa"/>
            <w:vAlign w:val="center"/>
          </w:tcPr>
          <w:p w14:paraId="5916F2A0">
            <w:pPr>
              <w:spacing w:line="360" w:lineRule="auto"/>
              <w:jc w:val="center"/>
              <w:rPr>
                <w:rFonts w:hint="eastAsia" w:ascii="宋体" w:hAnsi="宋体" w:eastAsia="宋体"/>
                <w:szCs w:val="21"/>
              </w:rPr>
            </w:pPr>
          </w:p>
        </w:tc>
      </w:tr>
      <w:tr w14:paraId="7FD1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61F6EE5D">
            <w:pPr>
              <w:spacing w:line="360" w:lineRule="auto"/>
              <w:jc w:val="center"/>
              <w:rPr>
                <w:rFonts w:hint="eastAsia" w:ascii="宋体" w:hAnsi="宋体" w:eastAsia="宋体"/>
                <w:szCs w:val="21"/>
              </w:rPr>
            </w:pPr>
          </w:p>
        </w:tc>
        <w:tc>
          <w:tcPr>
            <w:tcW w:w="1185" w:type="dxa"/>
            <w:vAlign w:val="center"/>
          </w:tcPr>
          <w:p w14:paraId="59235940">
            <w:pPr>
              <w:spacing w:line="360" w:lineRule="auto"/>
              <w:jc w:val="center"/>
              <w:rPr>
                <w:rFonts w:hint="eastAsia" w:ascii="宋体" w:hAnsi="宋体" w:eastAsia="宋体"/>
                <w:szCs w:val="21"/>
              </w:rPr>
            </w:pPr>
          </w:p>
        </w:tc>
        <w:tc>
          <w:tcPr>
            <w:tcW w:w="1185" w:type="dxa"/>
            <w:vAlign w:val="center"/>
          </w:tcPr>
          <w:p w14:paraId="3C23C291">
            <w:pPr>
              <w:spacing w:line="360" w:lineRule="auto"/>
              <w:jc w:val="center"/>
              <w:rPr>
                <w:rFonts w:hint="eastAsia" w:ascii="宋体" w:hAnsi="宋体" w:eastAsia="宋体"/>
                <w:szCs w:val="21"/>
              </w:rPr>
            </w:pPr>
          </w:p>
        </w:tc>
        <w:tc>
          <w:tcPr>
            <w:tcW w:w="1185" w:type="dxa"/>
            <w:vAlign w:val="center"/>
          </w:tcPr>
          <w:p w14:paraId="42EC181B">
            <w:pPr>
              <w:spacing w:line="360" w:lineRule="auto"/>
              <w:jc w:val="center"/>
              <w:rPr>
                <w:rFonts w:hint="eastAsia" w:ascii="宋体" w:hAnsi="宋体" w:eastAsia="宋体"/>
                <w:szCs w:val="21"/>
              </w:rPr>
            </w:pPr>
          </w:p>
        </w:tc>
        <w:tc>
          <w:tcPr>
            <w:tcW w:w="1185" w:type="dxa"/>
            <w:vAlign w:val="center"/>
          </w:tcPr>
          <w:p w14:paraId="76659F11">
            <w:pPr>
              <w:spacing w:line="360" w:lineRule="auto"/>
              <w:jc w:val="center"/>
              <w:rPr>
                <w:rFonts w:hint="eastAsia" w:ascii="宋体" w:hAnsi="宋体" w:eastAsia="宋体"/>
                <w:szCs w:val="21"/>
              </w:rPr>
            </w:pPr>
          </w:p>
        </w:tc>
        <w:tc>
          <w:tcPr>
            <w:tcW w:w="1185" w:type="dxa"/>
            <w:vAlign w:val="center"/>
          </w:tcPr>
          <w:p w14:paraId="33945885">
            <w:pPr>
              <w:spacing w:line="360" w:lineRule="auto"/>
              <w:jc w:val="center"/>
              <w:rPr>
                <w:rFonts w:hint="eastAsia" w:ascii="宋体" w:hAnsi="宋体" w:eastAsia="宋体"/>
                <w:szCs w:val="21"/>
              </w:rPr>
            </w:pPr>
          </w:p>
        </w:tc>
        <w:tc>
          <w:tcPr>
            <w:tcW w:w="1186" w:type="dxa"/>
            <w:vAlign w:val="center"/>
          </w:tcPr>
          <w:p w14:paraId="5D14BE35">
            <w:pPr>
              <w:spacing w:line="360" w:lineRule="auto"/>
              <w:jc w:val="center"/>
              <w:rPr>
                <w:rFonts w:hint="eastAsia" w:ascii="宋体" w:hAnsi="宋体" w:eastAsia="宋体"/>
                <w:szCs w:val="21"/>
              </w:rPr>
            </w:pPr>
          </w:p>
        </w:tc>
      </w:tr>
    </w:tbl>
    <w:p w14:paraId="11D1E401">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法定代表人或者委托代理人（签字）：</w:t>
      </w:r>
    </w:p>
    <w:p w14:paraId="3C24B615">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14:paraId="19D130A9">
      <w:pPr>
        <w:spacing w:line="360" w:lineRule="auto"/>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798C9809">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50938604">
      <w:pPr>
        <w:pStyle w:val="2"/>
        <w:jc w:val="center"/>
        <w:rPr>
          <w:rFonts w:hint="eastAsia" w:ascii="宋体" w:hAnsi="宋体" w:eastAsia="宋体"/>
          <w:color w:val="000000" w:themeColor="text1"/>
          <w14:textFill>
            <w14:solidFill>
              <w14:schemeClr w14:val="tx1"/>
            </w14:solidFill>
          </w14:textFill>
        </w:rPr>
      </w:pPr>
      <w:bookmarkStart w:id="34" w:name="_Toc197530120"/>
      <w:r>
        <w:rPr>
          <w:rFonts w:hint="eastAsia" w:ascii="宋体" w:hAnsi="宋体" w:eastAsia="宋体"/>
          <w:color w:val="000000" w:themeColor="text1"/>
          <w14:textFill>
            <w14:solidFill>
              <w14:schemeClr w14:val="tx1"/>
            </w14:solidFill>
          </w14:textFill>
        </w:rPr>
        <w:t>第七</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合同文本</w:t>
      </w:r>
      <w:bookmarkEnd w:id="34"/>
    </w:p>
    <w:p w14:paraId="46892351">
      <w:pPr>
        <w:spacing w:line="960" w:lineRule="auto"/>
        <w:jc w:val="center"/>
        <w:rPr>
          <w:rFonts w:hint="eastAsia" w:ascii="宋体" w:hAnsi="宋体" w:eastAsia="宋体"/>
          <w:b/>
          <w:color w:val="000000" w:themeColor="text1"/>
          <w:sz w:val="52"/>
          <w:szCs w:val="52"/>
          <w14:textFill>
            <w14:solidFill>
              <w14:schemeClr w14:val="tx1"/>
            </w14:solidFill>
          </w14:textFill>
        </w:rPr>
      </w:pPr>
    </w:p>
    <w:p w14:paraId="161CA86E">
      <w:pPr>
        <w:spacing w:line="960" w:lineRule="auto"/>
        <w:jc w:val="center"/>
        <w:rPr>
          <w:rFonts w:hint="eastAsia" w:ascii="宋体" w:hAnsi="宋体" w:eastAsia="宋体"/>
          <w:b/>
          <w:color w:val="000000" w:themeColor="text1"/>
          <w:sz w:val="44"/>
          <w:szCs w:val="44"/>
          <w:lang w:eastAsia="zh-CN"/>
          <w14:textFill>
            <w14:solidFill>
              <w14:schemeClr w14:val="tx1"/>
            </w14:solidFill>
          </w14:textFill>
        </w:rPr>
      </w:pPr>
      <w:r>
        <w:rPr>
          <w:rFonts w:hint="eastAsia" w:ascii="宋体" w:hAnsi="宋体" w:eastAsia="宋体"/>
          <w:b/>
          <w:color w:val="000000" w:themeColor="text1"/>
          <w:sz w:val="44"/>
          <w:szCs w:val="44"/>
          <w:lang w:eastAsia="zh-CN"/>
          <w14:textFill>
            <w14:solidFill>
              <w14:schemeClr w14:val="tx1"/>
            </w14:solidFill>
          </w14:textFill>
        </w:rPr>
        <w:t>广西大学化学化工学院2号楼和1号楼附楼实验室环境改造（室外电力）项目</w:t>
      </w:r>
    </w:p>
    <w:p w14:paraId="64763ACE">
      <w:pPr>
        <w:spacing w:line="9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施工合同</w:t>
      </w:r>
    </w:p>
    <w:p w14:paraId="26BAEF8B">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p>
    <w:p w14:paraId="6C8460E4">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p>
    <w:p w14:paraId="2D85E9EA">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项目采购编号：________________________</w:t>
      </w:r>
    </w:p>
    <w:p w14:paraId="056B7CD2">
      <w:pPr>
        <w:spacing w:line="960" w:lineRule="auto"/>
        <w:ind w:firstLine="643" w:firstLineChars="200"/>
        <w:rPr>
          <w:rFonts w:hint="eastAsia" w:ascii="宋体" w:hAnsi="宋体" w:eastAsia="宋体"/>
          <w:b/>
          <w:color w:val="000000" w:themeColor="text1"/>
          <w:sz w:val="32"/>
          <w:szCs w:val="32"/>
          <w:u w:val="single"/>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发包人：</w:t>
      </w:r>
      <w:r>
        <w:rPr>
          <w:rFonts w:hint="eastAsia" w:ascii="宋体" w:hAnsi="宋体" w:eastAsia="宋体"/>
          <w:b/>
          <w:color w:val="000000" w:themeColor="text1"/>
          <w:sz w:val="32"/>
          <w:szCs w:val="32"/>
          <w:u w:val="single"/>
          <w14:textFill>
            <w14:solidFill>
              <w14:schemeClr w14:val="tx1"/>
            </w14:solidFill>
          </w14:textFill>
        </w:rPr>
        <w:t>广西大学</w:t>
      </w:r>
    </w:p>
    <w:p w14:paraId="07A02A5B">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承包人：______________________________</w:t>
      </w:r>
    </w:p>
    <w:p w14:paraId="2685A307">
      <w:pPr>
        <w:spacing w:line="960" w:lineRule="auto"/>
        <w:jc w:val="center"/>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202</w:t>
      </w:r>
      <w:r>
        <w:rPr>
          <w:rFonts w:hint="eastAsia" w:ascii="宋体" w:hAnsi="宋体" w:eastAsia="宋体"/>
          <w:b/>
          <w:color w:val="000000" w:themeColor="text1"/>
          <w:sz w:val="32"/>
          <w:szCs w:val="32"/>
          <w:lang w:val="en-US" w:eastAsia="zh-CN"/>
          <w14:textFill>
            <w14:solidFill>
              <w14:schemeClr w14:val="tx1"/>
            </w14:solidFill>
          </w14:textFill>
        </w:rPr>
        <w:t>6</w:t>
      </w:r>
      <w:r>
        <w:rPr>
          <w:rFonts w:hint="eastAsia" w:ascii="宋体" w:hAnsi="宋体" w:eastAsia="宋体"/>
          <w:b/>
          <w:color w:val="000000" w:themeColor="text1"/>
          <w:sz w:val="32"/>
          <w:szCs w:val="32"/>
          <w14:textFill>
            <w14:solidFill>
              <w14:schemeClr w14:val="tx1"/>
            </w14:solidFill>
          </w14:textFill>
        </w:rPr>
        <w:t>年</w:t>
      </w:r>
      <w:r>
        <w:rPr>
          <w:rFonts w:ascii="宋体" w:hAnsi="宋体" w:eastAsia="宋体"/>
          <w:b/>
          <w:color w:val="000000" w:themeColor="text1"/>
          <w:sz w:val="32"/>
          <w:szCs w:val="32"/>
          <w14:textFill>
            <w14:solidFill>
              <w14:schemeClr w14:val="tx1"/>
            </w14:solidFill>
          </w14:textFill>
        </w:rPr>
        <w:t>______</w:t>
      </w:r>
      <w:r>
        <w:rPr>
          <w:rFonts w:hint="eastAsia" w:ascii="宋体" w:hAnsi="宋体" w:eastAsia="宋体"/>
          <w:b/>
          <w:color w:val="000000" w:themeColor="text1"/>
          <w:sz w:val="32"/>
          <w:szCs w:val="32"/>
          <w14:textFill>
            <w14:solidFill>
              <w14:schemeClr w14:val="tx1"/>
            </w14:solidFill>
          </w14:textFill>
        </w:rPr>
        <w:t>月</w:t>
      </w:r>
      <w:r>
        <w:rPr>
          <w:rFonts w:ascii="宋体" w:hAnsi="宋体" w:eastAsia="宋体"/>
          <w:b/>
          <w:color w:val="000000" w:themeColor="text1"/>
          <w:sz w:val="32"/>
          <w:szCs w:val="32"/>
          <w14:textFill>
            <w14:solidFill>
              <w14:schemeClr w14:val="tx1"/>
            </w14:solidFill>
          </w14:textFill>
        </w:rPr>
        <w:t>______</w:t>
      </w:r>
      <w:r>
        <w:rPr>
          <w:rFonts w:hint="eastAsia" w:ascii="宋体" w:hAnsi="宋体" w:eastAsia="宋体"/>
          <w:b/>
          <w:color w:val="000000" w:themeColor="text1"/>
          <w:sz w:val="32"/>
          <w:szCs w:val="32"/>
          <w14:textFill>
            <w14:solidFill>
              <w14:schemeClr w14:val="tx1"/>
            </w14:solidFill>
          </w14:textFill>
        </w:rPr>
        <w:t>日</w:t>
      </w:r>
    </w:p>
    <w:p w14:paraId="413916C8">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000F5E23">
      <w:pPr>
        <w:pStyle w:val="3"/>
        <w:spacing w:before="0" w:after="0" w:line="240" w:lineRule="auto"/>
        <w:jc w:val="center"/>
        <w:rPr>
          <w:rFonts w:hint="eastAsia" w:ascii="宋体" w:hAnsi="宋体" w:eastAsia="宋体"/>
          <w:color w:val="000000" w:themeColor="text1"/>
          <w:sz w:val="30"/>
          <w:szCs w:val="30"/>
          <w14:textFill>
            <w14:solidFill>
              <w14:schemeClr w14:val="tx1"/>
            </w14:solidFill>
          </w14:textFill>
        </w:rPr>
      </w:pPr>
      <w:bookmarkStart w:id="35" w:name="_Toc197530121"/>
      <w:bookmarkStart w:id="36" w:name="_Toc195459446"/>
      <w:r>
        <w:rPr>
          <w:rFonts w:hint="eastAsia" w:ascii="宋体" w:hAnsi="宋体" w:eastAsia="宋体"/>
          <w:color w:val="000000" w:themeColor="text1"/>
          <w:sz w:val="30"/>
          <w:szCs w:val="30"/>
          <w14:textFill>
            <w14:solidFill>
              <w14:schemeClr w14:val="tx1"/>
            </w14:solidFill>
          </w14:textFill>
        </w:rPr>
        <w:t>第一部分 合同书</w:t>
      </w:r>
      <w:bookmarkEnd w:id="35"/>
      <w:bookmarkEnd w:id="36"/>
    </w:p>
    <w:p w14:paraId="689B1ABC">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发包人（全称）：</w:t>
      </w:r>
      <w:r>
        <w:rPr>
          <w:rFonts w:hint="eastAsia" w:ascii="宋体" w:hAnsi="宋体" w:eastAsia="宋体"/>
          <w:color w:val="000000" w:themeColor="text1"/>
          <w:szCs w:val="21"/>
          <w:u w:val="single"/>
          <w14:textFill>
            <w14:solidFill>
              <w14:schemeClr w14:val="tx1"/>
            </w14:solidFill>
          </w14:textFill>
        </w:rPr>
        <w:t>广西大学</w:t>
      </w:r>
    </w:p>
    <w:p w14:paraId="215D9D14">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承包人（全称）：</w:t>
      </w:r>
    </w:p>
    <w:p w14:paraId="1F5FD64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根据《中华人民共和国民法典》《中华人民共和国建筑法》及有关法律规定，遵循平等、自愿、公平和诚实信用的原则，双方就</w:t>
      </w:r>
      <w:r>
        <w:rPr>
          <w:rFonts w:hint="eastAsia" w:ascii="宋体" w:hAnsi="宋体" w:eastAsia="宋体"/>
          <w:color w:val="000000" w:themeColor="text1"/>
          <w:szCs w:val="21"/>
          <w:u w:val="single"/>
          <w:lang w:eastAsia="zh-CN"/>
          <w14:textFill>
            <w14:solidFill>
              <w14:schemeClr w14:val="tx1"/>
            </w14:solidFill>
          </w14:textFill>
        </w:rPr>
        <w:t>广西大学化学化工学院2号楼和1号楼附楼实验室环境改造（室外电力）项目</w:t>
      </w:r>
      <w:r>
        <w:rPr>
          <w:rFonts w:hint="eastAsia" w:ascii="宋体" w:hAnsi="宋体" w:eastAsia="宋体"/>
          <w:color w:val="000000" w:themeColor="text1"/>
          <w:szCs w:val="21"/>
          <w14:textFill>
            <w14:solidFill>
              <w14:schemeClr w14:val="tx1"/>
            </w14:solidFill>
          </w14:textFill>
        </w:rPr>
        <w:t>的工程施工及有关事项协商一致，共同达成如下协议：</w:t>
      </w:r>
    </w:p>
    <w:p w14:paraId="3AABCBEA">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37" w:name="_Toc181816479"/>
      <w:bookmarkStart w:id="38" w:name="_Toc197530122"/>
      <w:bookmarkStart w:id="39" w:name="_Toc195459447"/>
      <w:r>
        <w:rPr>
          <w:rFonts w:hint="eastAsia" w:ascii="宋体" w:hAnsi="宋体" w:eastAsia="宋体"/>
          <w:color w:val="000000" w:themeColor="text1"/>
          <w:sz w:val="24"/>
          <w:szCs w:val="24"/>
          <w14:textFill>
            <w14:solidFill>
              <w14:schemeClr w14:val="tx1"/>
            </w14:solidFill>
          </w14:textFill>
        </w:rPr>
        <w:t>一、工程概况</w:t>
      </w:r>
      <w:bookmarkEnd w:id="37"/>
      <w:bookmarkEnd w:id="38"/>
      <w:bookmarkEnd w:id="39"/>
    </w:p>
    <w:p w14:paraId="6BBAA859">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工程名称：</w:t>
      </w:r>
      <w:r>
        <w:rPr>
          <w:rFonts w:hint="eastAsia" w:ascii="宋体" w:hAnsi="宋体" w:eastAsia="宋体"/>
          <w:color w:val="000000" w:themeColor="text1"/>
          <w:szCs w:val="21"/>
          <w:lang w:eastAsia="zh-CN"/>
          <w14:textFill>
            <w14:solidFill>
              <w14:schemeClr w14:val="tx1"/>
            </w14:solidFill>
          </w14:textFill>
        </w:rPr>
        <w:t>广西大学化学化工学院2号楼和1号楼附楼实验室环境改造（室外电力）项目</w:t>
      </w:r>
    </w:p>
    <w:p w14:paraId="72D93E1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工程地点：广西壮族自治区南宁市大学东路100号广西大学校园内</w:t>
      </w:r>
    </w:p>
    <w:p w14:paraId="132FD79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工程类型：建筑装饰工程（ ）、安装工程（ ）、市政工程（ ）、园林绿化工程（ ）</w:t>
      </w:r>
    </w:p>
    <w:p w14:paraId="2D6E909A">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40" w:name="_Toc197530123"/>
      <w:bookmarkStart w:id="41" w:name="_Toc195459448"/>
      <w:r>
        <w:rPr>
          <w:rFonts w:hint="eastAsia" w:ascii="宋体" w:hAnsi="宋体" w:eastAsia="宋体"/>
          <w:color w:val="000000" w:themeColor="text1"/>
          <w:sz w:val="24"/>
          <w:szCs w:val="24"/>
          <w14:textFill>
            <w14:solidFill>
              <w14:schemeClr w14:val="tx1"/>
            </w14:solidFill>
          </w14:textFill>
        </w:rPr>
        <w:t>二、工程承包范围</w:t>
      </w:r>
      <w:bookmarkEnd w:id="40"/>
      <w:bookmarkEnd w:id="41"/>
    </w:p>
    <w:p w14:paraId="7D1F747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承包范围：</w:t>
      </w:r>
      <w:r>
        <w:rPr>
          <w:rFonts w:hint="eastAsia" w:ascii="宋体" w:hAnsi="宋体" w:eastAsia="宋体"/>
          <w:color w:val="000000" w:themeColor="text1"/>
          <w:szCs w:val="21"/>
          <w:lang w:eastAsia="zh-CN"/>
          <w14:textFill>
            <w14:solidFill>
              <w14:schemeClr w14:val="tx1"/>
            </w14:solidFill>
          </w14:textFill>
        </w:rPr>
        <w:t>室外动力电力的改造与建设，需要引入新的室外动力电力与增容等。</w:t>
      </w:r>
    </w:p>
    <w:p w14:paraId="05AE282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招标范围：</w:t>
      </w:r>
      <w:r>
        <w:rPr>
          <w:rFonts w:hint="eastAsia" w:ascii="宋体" w:hAnsi="宋体" w:eastAsia="宋体"/>
          <w:color w:val="000000" w:themeColor="text1"/>
          <w:szCs w:val="21"/>
          <w:lang w:eastAsia="zh-CN"/>
          <w14:textFill>
            <w14:solidFill>
              <w14:schemeClr w14:val="tx1"/>
            </w14:solidFill>
          </w14:textFill>
        </w:rPr>
        <w:t>该项目位于南宁市西乡塘区大学东路100号广西大学化学化工学院内。主要施工内容包括:更换5台低压配电柜，新增1台低压配电柜，敷设电缆及电缆保护管，新建9座电缆井，开挖及回填电缆沟、拆除和恢复路面及人行道透水砖等。</w:t>
      </w:r>
      <w:r>
        <w:rPr>
          <w:rFonts w:hint="eastAsia" w:ascii="宋体" w:hAnsi="宋体" w:eastAsia="宋体"/>
          <w:color w:val="000000" w:themeColor="text1"/>
          <w:szCs w:val="21"/>
          <w14:textFill>
            <w14:solidFill>
              <w14:schemeClr w14:val="tx1"/>
            </w14:solidFill>
          </w14:textFill>
        </w:rPr>
        <w:t>具体详见施工设计图纸、工程量清单及招标控制价。</w:t>
      </w:r>
    </w:p>
    <w:p w14:paraId="05465F12">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42" w:name="_Toc197530124"/>
      <w:bookmarkStart w:id="43" w:name="_Toc181816480"/>
      <w:bookmarkStart w:id="44" w:name="_Toc195459449"/>
      <w:r>
        <w:rPr>
          <w:rFonts w:hint="eastAsia" w:ascii="宋体" w:hAnsi="宋体" w:eastAsia="宋体"/>
          <w:color w:val="000000" w:themeColor="text1"/>
          <w:sz w:val="24"/>
          <w:szCs w:val="24"/>
          <w14:textFill>
            <w14:solidFill>
              <w14:schemeClr w14:val="tx1"/>
            </w14:solidFill>
          </w14:textFill>
        </w:rPr>
        <w:t>三、合同工期</w:t>
      </w:r>
      <w:bookmarkEnd w:id="42"/>
      <w:bookmarkEnd w:id="43"/>
      <w:bookmarkEnd w:id="44"/>
    </w:p>
    <w:p w14:paraId="77B9EA4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计划开工日期：</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日（以实际开工日期为准）</w:t>
      </w:r>
    </w:p>
    <w:p w14:paraId="325DEDE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计划竣工日期：</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14:paraId="587D7D3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合同工期总日历天数：</w:t>
      </w:r>
      <w:r>
        <w:rPr>
          <w:rFonts w:hint="eastAsia" w:ascii="宋体" w:hAnsi="宋体" w:eastAsia="宋体"/>
          <w:color w:val="000000" w:themeColor="text1"/>
          <w:szCs w:val="21"/>
          <w:u w:val="single"/>
          <w:lang w:val="en-US" w:eastAsia="zh-CN"/>
          <w14:textFill>
            <w14:solidFill>
              <w14:schemeClr w14:val="tx1"/>
            </w14:solidFill>
          </w14:textFill>
        </w:rPr>
        <w:t>70</w:t>
      </w:r>
      <w:r>
        <w:rPr>
          <w:rFonts w:hint="eastAsia" w:ascii="宋体" w:hAnsi="宋体" w:eastAsia="宋体"/>
          <w:color w:val="000000" w:themeColor="text1"/>
          <w:szCs w:val="21"/>
          <w14:textFill>
            <w14:solidFill>
              <w14:schemeClr w14:val="tx1"/>
            </w14:solidFill>
          </w14:textFill>
        </w:rPr>
        <w:t>天，工期总日历天数与根据前述计划日期计算的工期天数不一致的，以工期总日历天数为准。</w:t>
      </w:r>
    </w:p>
    <w:p w14:paraId="613A1BFF">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45" w:name="_Toc197530125"/>
      <w:bookmarkStart w:id="46" w:name="_Toc181816481"/>
      <w:bookmarkStart w:id="47" w:name="_Toc195459450"/>
      <w:r>
        <w:rPr>
          <w:rFonts w:hint="eastAsia" w:ascii="宋体" w:hAnsi="宋体" w:eastAsia="宋体"/>
          <w:color w:val="000000" w:themeColor="text1"/>
          <w:sz w:val="24"/>
          <w:szCs w:val="24"/>
          <w14:textFill>
            <w14:solidFill>
              <w14:schemeClr w14:val="tx1"/>
            </w14:solidFill>
          </w14:textFill>
        </w:rPr>
        <w:t>四、质量标准</w:t>
      </w:r>
      <w:bookmarkEnd w:id="45"/>
      <w:bookmarkEnd w:id="46"/>
      <w:bookmarkEnd w:id="47"/>
    </w:p>
    <w:p w14:paraId="0D50DE2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工程质量标准：</w:t>
      </w:r>
      <w:r>
        <w:rPr>
          <w:rFonts w:hint="eastAsia" w:ascii="宋体" w:hAnsi="宋体" w:eastAsia="宋体"/>
          <w:color w:val="000000" w:themeColor="text1"/>
          <w:szCs w:val="21"/>
          <w:u w:val="single"/>
          <w14:textFill>
            <w14:solidFill>
              <w14:schemeClr w14:val="tx1"/>
            </w14:solidFill>
          </w14:textFill>
        </w:rPr>
        <w:t>合格</w:t>
      </w:r>
      <w:r>
        <w:rPr>
          <w:rFonts w:hint="eastAsia" w:ascii="宋体" w:hAnsi="宋体" w:eastAsia="宋体"/>
          <w:color w:val="000000" w:themeColor="text1"/>
          <w:szCs w:val="21"/>
          <w14:textFill>
            <w14:solidFill>
              <w14:schemeClr w14:val="tx1"/>
            </w14:solidFill>
          </w14:textFill>
        </w:rPr>
        <w:t>。</w:t>
      </w:r>
    </w:p>
    <w:p w14:paraId="72665F51">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48" w:name="_Toc181816482"/>
      <w:bookmarkStart w:id="49" w:name="_Toc195459451"/>
      <w:bookmarkStart w:id="50" w:name="_Toc197530126"/>
      <w:r>
        <w:rPr>
          <w:rFonts w:hint="eastAsia" w:ascii="宋体" w:hAnsi="宋体" w:eastAsia="宋体"/>
          <w:color w:val="000000" w:themeColor="text1"/>
          <w:sz w:val="24"/>
          <w:szCs w:val="24"/>
          <w14:textFill>
            <w14:solidFill>
              <w14:schemeClr w14:val="tx1"/>
            </w14:solidFill>
          </w14:textFill>
        </w:rPr>
        <w:t>五、签约合同价与合同价格形式</w:t>
      </w:r>
      <w:bookmarkEnd w:id="48"/>
      <w:bookmarkEnd w:id="49"/>
      <w:bookmarkEnd w:id="50"/>
    </w:p>
    <w:p w14:paraId="5C63A3A1">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签约合同价（暂定）：人民币（大写）：</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）；不含税价格为（¥</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元），增值税（¥</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元）（按</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%税金计算，如有变动以国家相关政策法规为准）；</w:t>
      </w:r>
    </w:p>
    <w:p w14:paraId="75894568">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其中：</w:t>
      </w:r>
    </w:p>
    <w:p w14:paraId="2E389288">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（1）安全文明施工费：人民币（大写）</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p>
    <w:p w14:paraId="4B5A26AD">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（2）材料和工程设备暂估价金额：人民币（大写）</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p>
    <w:p w14:paraId="5C8A8852">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（3）专业工程暂估价金额：人民币（大写）</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p>
    <w:p w14:paraId="499CAAF3">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（4）暂列金额：人民币（大写）</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p>
    <w:p w14:paraId="1A56FB1B">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合同价格形式：固定综合单价合同</w:t>
      </w:r>
    </w:p>
    <w:p w14:paraId="15EBF196">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合同下浮系数：</w:t>
      </w:r>
      <w:r>
        <w:rPr>
          <w:rFonts w:ascii="宋体" w:hAnsi="宋体" w:eastAsia="宋体"/>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u w:val="single"/>
          <w14:textFill>
            <w14:solidFill>
              <w14:schemeClr w14:val="tx1"/>
            </w14:solidFill>
          </w14:textFill>
        </w:rPr>
        <w:t>%</w:t>
      </w:r>
    </w:p>
    <w:p w14:paraId="179FB281">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51" w:name="_Toc181816483"/>
      <w:bookmarkStart w:id="52" w:name="_Toc195459452"/>
      <w:bookmarkStart w:id="53" w:name="_Toc197530127"/>
      <w:r>
        <w:rPr>
          <w:rFonts w:hint="eastAsia" w:ascii="宋体" w:hAnsi="宋体" w:eastAsia="宋体"/>
          <w:color w:val="000000" w:themeColor="text1"/>
          <w:sz w:val="24"/>
          <w:szCs w:val="24"/>
          <w14:textFill>
            <w14:solidFill>
              <w14:schemeClr w14:val="tx1"/>
            </w14:solidFill>
          </w14:textFill>
        </w:rPr>
        <w:t>六、工程项目经理及其他人员</w:t>
      </w:r>
      <w:bookmarkEnd w:id="51"/>
      <w:bookmarkEnd w:id="52"/>
      <w:bookmarkEnd w:id="53"/>
    </w:p>
    <w:p w14:paraId="648FBC6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项目经理：</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；项目施工专职安全生产管理人员：</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w:t>
      </w:r>
    </w:p>
    <w:p w14:paraId="793AB3F2">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54" w:name="_Toc181816484"/>
      <w:bookmarkStart w:id="55" w:name="_Toc197530128"/>
      <w:bookmarkStart w:id="56" w:name="_Toc195459453"/>
      <w:r>
        <w:rPr>
          <w:rFonts w:hint="eastAsia" w:ascii="宋体" w:hAnsi="宋体" w:eastAsia="宋体"/>
          <w:color w:val="000000" w:themeColor="text1"/>
          <w:sz w:val="24"/>
          <w:szCs w:val="24"/>
          <w14:textFill>
            <w14:solidFill>
              <w14:schemeClr w14:val="tx1"/>
            </w14:solidFill>
          </w14:textFill>
        </w:rPr>
        <w:t>七、合同文件构成</w:t>
      </w:r>
      <w:bookmarkEnd w:id="54"/>
      <w:bookmarkEnd w:id="55"/>
      <w:bookmarkEnd w:id="56"/>
    </w:p>
    <w:p w14:paraId="5C163B8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本协议书与下列文件一起构成合同文件：</w:t>
      </w:r>
    </w:p>
    <w:p w14:paraId="5BF6AA8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（1）成交通知书；</w:t>
      </w:r>
    </w:p>
    <w:p w14:paraId="20F9840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（2）竞争性磋商函、竞争性磋商报价表及最终报价表；</w:t>
      </w:r>
    </w:p>
    <w:p w14:paraId="1F4B62E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（3）本合同专用合同条款及其附件；</w:t>
      </w:r>
    </w:p>
    <w:p w14:paraId="2A1E07A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（4）通用合同条款；</w:t>
      </w:r>
    </w:p>
    <w:p w14:paraId="5D18029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（5）标准、规范及有关技术文件；</w:t>
      </w:r>
    </w:p>
    <w:p w14:paraId="7D28E0F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（6）图纸；</w:t>
      </w:r>
    </w:p>
    <w:p w14:paraId="244AD90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（7）已标价工程量清单或预算书（须与发包人的</w:t>
      </w:r>
      <w:r>
        <w:rPr>
          <w:rFonts w:hint="eastAsia" w:ascii="宋体" w:hAnsi="宋体" w:eastAsia="宋体"/>
          <w:color w:val="000000" w:themeColor="text1"/>
          <w:szCs w:val="21"/>
          <w:u w:val="single"/>
          <w14:textFill>
            <w14:solidFill>
              <w14:schemeClr w14:val="tx1"/>
            </w14:solidFill>
          </w14:textFill>
        </w:rPr>
        <w:t>固定</w:t>
      </w:r>
      <w:r>
        <w:rPr>
          <w:rFonts w:hint="eastAsia" w:ascii="宋体" w:hAnsi="宋体" w:eastAsia="宋体"/>
          <w:color w:val="000000" w:themeColor="text1"/>
          <w:szCs w:val="21"/>
          <w14:textFill>
            <w14:solidFill>
              <w14:schemeClr w14:val="tx1"/>
            </w14:solidFill>
          </w14:textFill>
        </w:rPr>
        <w:t>综合单价相同，否则以发包人的为准）；</w:t>
      </w:r>
    </w:p>
    <w:p w14:paraId="131D1FE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（8）采购文件及更正公告；</w:t>
      </w:r>
    </w:p>
    <w:p w14:paraId="6674495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（9）其他合同文件：</w:t>
      </w:r>
      <w:r>
        <w:rPr>
          <w:rFonts w:hint="eastAsia" w:ascii="宋体" w:hAnsi="宋体" w:eastAsia="宋体"/>
          <w:color w:val="000000" w:themeColor="text1"/>
          <w:szCs w:val="21"/>
          <w:highlight w:val="yellow"/>
          <w14:textFill>
            <w14:solidFill>
              <w14:schemeClr w14:val="tx1"/>
            </w14:solidFill>
          </w14:textFill>
        </w:rPr>
        <w:t>《中华人民共和国建筑法》《中华人民共和国民法典》《中华人民共和国政府采购法》《中华人民共和国政府采购法实施条例》《政府采购竞争性磋商采购方式管理暂行办法》《财政部关于政府采购竞争性磋商采购方式管理暂行办法有关问题的补充通知》《中华人民共和国土地管理法》《中华人民共和国城市规划法》《中华人民共和国环境保护法》《中华人民共和国环境影响评价法》《建设工程质量管理条例》《建设工程安全生产管理条例》《建设工程勘察设计管理条例》《中华人民共和国土地管理法实施条例》《工程勘察通用规范》（GB55017-2021）、《广西壮族自治区岩土工程勘察规范》（DBJ/T45-066--2018）、《建筑装饰装修工程质量验收标准》《建筑工程施工发包与承包计价管理办法》《建筑工程施工许可管理办法》《实施工程建设强制性标准监督规定》《房屋建筑工程质量保修办法》《房屋建筑工程和市政基础设施工程竣工验收备案管理暂行办法》《建设工程施工现场管理规定》《建筑安全生产监督管理规定》《工程建设重大事故报告和调查程序规定》《城市建设档案管理规定》《建设工程工程量清单计价规范（GB50500-2013）》及其广西实施细则及《关于建筑业实施营业税改征增值税后广西壮族自治区建设工程计价依据调整的通知》（桂建标〔2016〕17号）、《自治区住房城乡建设厅关于调整建设工程计价增值税税率的通知》（桂建标〔2019〕12号）、《建设工程工程量计算规范（GB50854～50862-2013）》及其广西实施细则（修订本）等国家、自治区</w:t>
      </w:r>
      <w:r>
        <w:rPr>
          <w:rFonts w:hint="eastAsia" w:ascii="宋体" w:hAnsi="宋体" w:eastAsia="宋体"/>
          <w:color w:val="000000" w:themeColor="text1"/>
          <w:szCs w:val="21"/>
          <w:highlight w:val="none"/>
          <w14:textFill>
            <w14:solidFill>
              <w14:schemeClr w14:val="tx1"/>
            </w14:solidFill>
          </w14:textFill>
        </w:rPr>
        <w:t>颁布的计价定额及有关规定。其它有关本工程的洽商、变更等书面协议，经发包人认可的工程签证单，经</w:t>
      </w:r>
      <w:r>
        <w:rPr>
          <w:rFonts w:hint="eastAsia" w:ascii="宋体" w:hAnsi="宋体" w:eastAsia="宋体"/>
          <w:color w:val="000000" w:themeColor="text1"/>
          <w:szCs w:val="21"/>
          <w14:textFill>
            <w14:solidFill>
              <w14:schemeClr w14:val="tx1"/>
            </w14:solidFill>
          </w14:textFill>
        </w:rPr>
        <w:t>发包人审核书面同意的施工组织设计及各项施工方案，经发包人、承包人确认的会议纪要、备忘录、往来函件等文件。</w:t>
      </w:r>
    </w:p>
    <w:p w14:paraId="162E751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双方有关工程的洽商、变更等书面协议或文件视为本合同的组成部分。</w:t>
      </w:r>
    </w:p>
    <w:p w14:paraId="0F4F793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上述各项合同文件包括双方就该项合同文件所作出的补充和修改，属于同一类内容的合同文件应以最新签署的为准（违反招标文件实质性内容的约定除外）。专用合同条款及其附件须经合同当事人签字或盖章。</w:t>
      </w:r>
    </w:p>
    <w:p w14:paraId="76EA9FE7">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57" w:name="_Toc181816485"/>
      <w:bookmarkStart w:id="58" w:name="_Toc197530129"/>
      <w:bookmarkStart w:id="59" w:name="_Toc195459454"/>
      <w:r>
        <w:rPr>
          <w:rFonts w:hint="eastAsia" w:ascii="宋体" w:hAnsi="宋体" w:eastAsia="宋体"/>
          <w:color w:val="000000" w:themeColor="text1"/>
          <w:sz w:val="24"/>
          <w:szCs w:val="24"/>
          <w14:textFill>
            <w14:solidFill>
              <w14:schemeClr w14:val="tx1"/>
            </w14:solidFill>
          </w14:textFill>
        </w:rPr>
        <w:t>八、承诺</w:t>
      </w:r>
      <w:bookmarkEnd w:id="57"/>
      <w:bookmarkEnd w:id="58"/>
      <w:bookmarkEnd w:id="59"/>
    </w:p>
    <w:p w14:paraId="2205481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1.发包人承诺按照法律规定履行项目审批手续、筹集工程建设资金并按照合同约定的期限和方式支付合同价款。</w:t>
      </w:r>
    </w:p>
    <w:p w14:paraId="3FAB9F3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2.承包人承诺按照法律规定及合同约定组织完成工程施工，确保工程质量和安全，不进行转包及违法分包，并在缺陷责任期及保修期内承担相应的工程维修责任。</w:t>
      </w:r>
    </w:p>
    <w:p w14:paraId="3607699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3.发包人和承包人通过招投标形式签订合同的，双方理解并承诺不再就同一工程另行签订与合同实质性内容相背离的协议。</w:t>
      </w:r>
    </w:p>
    <w:p w14:paraId="556B1F5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099F64F8">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60" w:name="_Toc197530130"/>
      <w:bookmarkStart w:id="61" w:name="_Toc195459455"/>
      <w:r>
        <w:rPr>
          <w:rFonts w:hint="eastAsia" w:ascii="宋体" w:hAnsi="宋体" w:eastAsia="宋体"/>
          <w:color w:val="000000" w:themeColor="text1"/>
          <w:sz w:val="24"/>
          <w:szCs w:val="24"/>
          <w14:textFill>
            <w14:solidFill>
              <w14:schemeClr w14:val="tx1"/>
            </w14:solidFill>
          </w14:textFill>
        </w:rPr>
        <w:t>九、词语含义</w:t>
      </w:r>
      <w:bookmarkEnd w:id="60"/>
      <w:bookmarkEnd w:id="61"/>
    </w:p>
    <w:p w14:paraId="42F12F5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本合同书中词语含义与第二部分通用合同条款中赋予的含义相同。</w:t>
      </w:r>
    </w:p>
    <w:p w14:paraId="39B14397">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62" w:name="_Toc197530131"/>
      <w:bookmarkStart w:id="63" w:name="_Toc195459456"/>
      <w:bookmarkStart w:id="64" w:name="_Toc181816486"/>
      <w:r>
        <w:rPr>
          <w:rFonts w:hint="eastAsia" w:ascii="宋体" w:hAnsi="宋体" w:eastAsia="宋体"/>
          <w:color w:val="000000" w:themeColor="text1"/>
          <w:sz w:val="24"/>
          <w:szCs w:val="24"/>
          <w14:textFill>
            <w14:solidFill>
              <w14:schemeClr w14:val="tx1"/>
            </w14:solidFill>
          </w14:textFill>
        </w:rPr>
        <w:t>十、订立时间</w:t>
      </w:r>
      <w:bookmarkEnd w:id="62"/>
      <w:bookmarkEnd w:id="63"/>
      <w:bookmarkEnd w:id="64"/>
    </w:p>
    <w:p w14:paraId="607AD9C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本合同于</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日订立。</w:t>
      </w:r>
    </w:p>
    <w:p w14:paraId="6401DD5E">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65" w:name="_Toc195459457"/>
      <w:bookmarkStart w:id="66" w:name="_Toc181816487"/>
      <w:bookmarkStart w:id="67" w:name="_Toc197530132"/>
      <w:r>
        <w:rPr>
          <w:rFonts w:hint="eastAsia" w:ascii="宋体" w:hAnsi="宋体" w:eastAsia="宋体"/>
          <w:color w:val="000000" w:themeColor="text1"/>
          <w:sz w:val="24"/>
          <w:szCs w:val="24"/>
          <w14:textFill>
            <w14:solidFill>
              <w14:schemeClr w14:val="tx1"/>
            </w14:solidFill>
          </w14:textFill>
        </w:rPr>
        <w:t>十一、订立地点</w:t>
      </w:r>
      <w:bookmarkEnd w:id="65"/>
      <w:bookmarkEnd w:id="66"/>
      <w:bookmarkEnd w:id="67"/>
    </w:p>
    <w:p w14:paraId="369647D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本合同在</w:t>
      </w:r>
      <w:r>
        <w:rPr>
          <w:rFonts w:hint="eastAsia" w:ascii="宋体" w:hAnsi="宋体" w:eastAsia="宋体"/>
          <w:color w:val="000000" w:themeColor="text1"/>
          <w:szCs w:val="21"/>
          <w:u w:val="single"/>
          <w14:textFill>
            <w14:solidFill>
              <w14:schemeClr w14:val="tx1"/>
            </w14:solidFill>
          </w14:textFill>
        </w:rPr>
        <w:t>广西壮族自治区南宁市西乡塘区大学东路100号广西大学</w:t>
      </w:r>
      <w:r>
        <w:rPr>
          <w:rFonts w:hint="eastAsia" w:ascii="宋体" w:hAnsi="宋体" w:eastAsia="宋体"/>
          <w:color w:val="000000" w:themeColor="text1"/>
          <w:szCs w:val="21"/>
          <w14:textFill>
            <w14:solidFill>
              <w14:schemeClr w14:val="tx1"/>
            </w14:solidFill>
          </w14:textFill>
        </w:rPr>
        <w:t>订立。</w:t>
      </w:r>
    </w:p>
    <w:p w14:paraId="3E4E39FA">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68" w:name="_Toc197530133"/>
      <w:bookmarkStart w:id="69" w:name="_Toc195459458"/>
      <w:r>
        <w:rPr>
          <w:rFonts w:hint="eastAsia" w:ascii="宋体" w:hAnsi="宋体" w:eastAsia="宋体"/>
          <w:color w:val="000000" w:themeColor="text1"/>
          <w:sz w:val="24"/>
          <w:szCs w:val="24"/>
          <w14:textFill>
            <w14:solidFill>
              <w14:schemeClr w14:val="tx1"/>
            </w14:solidFill>
          </w14:textFill>
        </w:rPr>
        <w:t>十二、补充协议</w:t>
      </w:r>
      <w:bookmarkEnd w:id="68"/>
      <w:bookmarkEnd w:id="69"/>
    </w:p>
    <w:p w14:paraId="5A12FAD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合同未尽事宜，合同当事人另行签订补充协议，补充协议是合同的组成部分。</w:t>
      </w:r>
    </w:p>
    <w:p w14:paraId="252F08B1">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70" w:name="_Toc197530134"/>
      <w:bookmarkStart w:id="71" w:name="_Toc181816488"/>
      <w:bookmarkStart w:id="72" w:name="_Toc195459459"/>
      <w:r>
        <w:rPr>
          <w:rFonts w:hint="eastAsia" w:ascii="宋体" w:hAnsi="宋体" w:eastAsia="宋体"/>
          <w:color w:val="000000" w:themeColor="text1"/>
          <w:sz w:val="24"/>
          <w:szCs w:val="24"/>
          <w14:textFill>
            <w14:solidFill>
              <w14:schemeClr w14:val="tx1"/>
            </w14:solidFill>
          </w14:textFill>
        </w:rPr>
        <w:t>十三、合同生效</w:t>
      </w:r>
      <w:bookmarkEnd w:id="70"/>
      <w:bookmarkEnd w:id="71"/>
      <w:bookmarkEnd w:id="72"/>
    </w:p>
    <w:p w14:paraId="186D335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本合同经双方法定代表人或授权委托代理人签章并加盖单位（公司）公章或合同专用章之日起生效。</w:t>
      </w:r>
    </w:p>
    <w:p w14:paraId="305642B4">
      <w:pPr>
        <w:pStyle w:val="4"/>
        <w:spacing w:before="0" w:after="0" w:line="480" w:lineRule="auto"/>
        <w:rPr>
          <w:rFonts w:hint="eastAsia" w:ascii="宋体" w:hAnsi="宋体" w:eastAsia="宋体"/>
          <w:color w:val="000000" w:themeColor="text1"/>
          <w:sz w:val="24"/>
          <w:szCs w:val="24"/>
          <w14:textFill>
            <w14:solidFill>
              <w14:schemeClr w14:val="tx1"/>
            </w14:solidFill>
          </w14:textFill>
        </w:rPr>
      </w:pPr>
      <w:bookmarkStart w:id="73" w:name="_Toc181816489"/>
      <w:bookmarkStart w:id="74" w:name="_Toc197530135"/>
      <w:bookmarkStart w:id="75" w:name="_Toc195459460"/>
      <w:r>
        <w:rPr>
          <w:rFonts w:hint="eastAsia" w:ascii="宋体" w:hAnsi="宋体" w:eastAsia="宋体"/>
          <w:color w:val="000000" w:themeColor="text1"/>
          <w:sz w:val="24"/>
          <w:szCs w:val="24"/>
          <w14:textFill>
            <w14:solidFill>
              <w14:schemeClr w14:val="tx1"/>
            </w14:solidFill>
          </w14:textFill>
        </w:rPr>
        <w:t>十四、合同份数</w:t>
      </w:r>
      <w:bookmarkEnd w:id="73"/>
      <w:bookmarkEnd w:id="74"/>
      <w:bookmarkEnd w:id="75"/>
    </w:p>
    <w:p w14:paraId="7849C78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本合同一式</w:t>
      </w:r>
      <w:r>
        <w:rPr>
          <w:rFonts w:hint="eastAsia" w:ascii="宋体" w:hAnsi="宋体" w:eastAsia="宋体"/>
          <w:color w:val="000000" w:themeColor="text1"/>
          <w:szCs w:val="21"/>
          <w:u w:val="single"/>
          <w14:textFill>
            <w14:solidFill>
              <w14:schemeClr w14:val="tx1"/>
            </w14:solidFill>
          </w14:textFill>
        </w:rPr>
        <w:t>壹拾叁</w:t>
      </w:r>
      <w:r>
        <w:rPr>
          <w:rFonts w:hint="eastAsia" w:ascii="宋体" w:hAnsi="宋体" w:eastAsia="宋体"/>
          <w:color w:val="000000" w:themeColor="text1"/>
          <w:szCs w:val="21"/>
          <w14:textFill>
            <w14:solidFill>
              <w14:schemeClr w14:val="tx1"/>
            </w14:solidFill>
          </w14:textFill>
        </w:rPr>
        <w:t>份，发包人执</w:t>
      </w:r>
      <w:r>
        <w:rPr>
          <w:rFonts w:hint="eastAsia" w:ascii="宋体" w:hAnsi="宋体" w:eastAsia="宋体"/>
          <w:color w:val="000000" w:themeColor="text1"/>
          <w:szCs w:val="21"/>
          <w:u w:val="single"/>
          <w14:textFill>
            <w14:solidFill>
              <w14:schemeClr w14:val="tx1"/>
            </w14:solidFill>
          </w14:textFill>
        </w:rPr>
        <w:t>拾</w:t>
      </w:r>
      <w:r>
        <w:rPr>
          <w:rFonts w:hint="eastAsia" w:ascii="宋体" w:hAnsi="宋体" w:eastAsia="宋体"/>
          <w:color w:val="000000" w:themeColor="text1"/>
          <w:szCs w:val="21"/>
          <w14:textFill>
            <w14:solidFill>
              <w14:schemeClr w14:val="tx1"/>
            </w14:solidFill>
          </w14:textFill>
        </w:rPr>
        <w:t>份，承包人执</w:t>
      </w:r>
      <w:r>
        <w:rPr>
          <w:rFonts w:hint="eastAsia" w:ascii="宋体" w:hAnsi="宋体" w:eastAsia="宋体"/>
          <w:color w:val="000000" w:themeColor="text1"/>
          <w:szCs w:val="21"/>
          <w:u w:val="single"/>
          <w14:textFill>
            <w14:solidFill>
              <w14:schemeClr w14:val="tx1"/>
            </w14:solidFill>
          </w14:textFill>
        </w:rPr>
        <w:t>贰</w:t>
      </w:r>
      <w:r>
        <w:rPr>
          <w:rFonts w:hint="eastAsia" w:ascii="宋体" w:hAnsi="宋体" w:eastAsia="宋体"/>
          <w:color w:val="000000" w:themeColor="text1"/>
          <w:szCs w:val="21"/>
          <w14:textFill>
            <w14:solidFill>
              <w14:schemeClr w14:val="tx1"/>
            </w14:solidFill>
          </w14:textFill>
        </w:rPr>
        <w:t>份，代理机构壹份，均具有同等法律效力。</w:t>
      </w:r>
    </w:p>
    <w:tbl>
      <w:tblPr>
        <w:tblStyle w:val="38"/>
        <w:tblW w:w="0" w:type="auto"/>
        <w:jc w:val="center"/>
        <w:tblLayout w:type="autofit"/>
        <w:tblCellMar>
          <w:top w:w="0" w:type="dxa"/>
          <w:left w:w="108" w:type="dxa"/>
          <w:bottom w:w="0" w:type="dxa"/>
          <w:right w:w="108" w:type="dxa"/>
        </w:tblCellMar>
      </w:tblPr>
      <w:tblGrid>
        <w:gridCol w:w="4672"/>
        <w:gridCol w:w="4672"/>
      </w:tblGrid>
      <w:tr w14:paraId="48F34615">
        <w:tblPrEx>
          <w:tblCellMar>
            <w:top w:w="0" w:type="dxa"/>
            <w:left w:w="108" w:type="dxa"/>
            <w:bottom w:w="0" w:type="dxa"/>
            <w:right w:w="108" w:type="dxa"/>
          </w:tblCellMar>
        </w:tblPrEx>
        <w:trPr>
          <w:trHeight w:val="567" w:hRule="atLeast"/>
          <w:jc w:val="center"/>
        </w:trPr>
        <w:tc>
          <w:tcPr>
            <w:tcW w:w="4672" w:type="dxa"/>
            <w:vAlign w:val="center"/>
          </w:tcPr>
          <w:p w14:paraId="4178ABEF">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w:t>
            </w:r>
            <w:r>
              <w:rPr>
                <w:rFonts w:hint="eastAsia" w:ascii="宋体" w:hAnsi="宋体"/>
                <w:color w:val="000000" w:themeColor="text1"/>
                <w:szCs w:val="21"/>
                <w:u w:val="single"/>
                <w14:textFill>
                  <w14:solidFill>
                    <w14:schemeClr w14:val="tx1"/>
                  </w14:solidFill>
                </w14:textFill>
              </w:rPr>
              <w:t>广西大学</w:t>
            </w:r>
            <w:r>
              <w:rPr>
                <w:rFonts w:hint="eastAsia" w:ascii="宋体" w:hAnsi="宋体"/>
                <w:color w:val="000000" w:themeColor="text1"/>
                <w:szCs w:val="21"/>
                <w14:textFill>
                  <w14:solidFill>
                    <w14:schemeClr w14:val="tx1"/>
                  </w14:solidFill>
                </w14:textFill>
              </w:rPr>
              <w:t>（公章）</w:t>
            </w:r>
          </w:p>
        </w:tc>
        <w:tc>
          <w:tcPr>
            <w:tcW w:w="4672" w:type="dxa"/>
            <w:vAlign w:val="center"/>
          </w:tcPr>
          <w:p w14:paraId="4D68CFA8">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承包人：（公章）</w:t>
            </w:r>
          </w:p>
        </w:tc>
      </w:tr>
      <w:tr w14:paraId="12B9C614">
        <w:tblPrEx>
          <w:tblCellMar>
            <w:top w:w="0" w:type="dxa"/>
            <w:left w:w="108" w:type="dxa"/>
            <w:bottom w:w="0" w:type="dxa"/>
            <w:right w:w="108" w:type="dxa"/>
          </w:tblCellMar>
        </w:tblPrEx>
        <w:trPr>
          <w:trHeight w:val="567" w:hRule="atLeast"/>
          <w:jc w:val="center"/>
        </w:trPr>
        <w:tc>
          <w:tcPr>
            <w:tcW w:w="4672" w:type="dxa"/>
            <w:vAlign w:val="center"/>
          </w:tcPr>
          <w:p w14:paraId="37D47C9B">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法定代表人或其委托代理人：</w:t>
            </w:r>
          </w:p>
          <w:p w14:paraId="6DBD0C24">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（签字）</w:t>
            </w:r>
          </w:p>
        </w:tc>
        <w:tc>
          <w:tcPr>
            <w:tcW w:w="4672" w:type="dxa"/>
            <w:vAlign w:val="center"/>
          </w:tcPr>
          <w:p w14:paraId="0887A603">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法定代表人或其委托代理人：</w:t>
            </w:r>
          </w:p>
          <w:p w14:paraId="56F867FA">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（签字）</w:t>
            </w:r>
          </w:p>
        </w:tc>
      </w:tr>
      <w:tr w14:paraId="31247A16">
        <w:tblPrEx>
          <w:tblCellMar>
            <w:top w:w="0" w:type="dxa"/>
            <w:left w:w="108" w:type="dxa"/>
            <w:bottom w:w="0" w:type="dxa"/>
            <w:right w:w="108" w:type="dxa"/>
          </w:tblCellMar>
        </w:tblPrEx>
        <w:trPr>
          <w:trHeight w:val="567" w:hRule="atLeast"/>
          <w:jc w:val="center"/>
        </w:trPr>
        <w:tc>
          <w:tcPr>
            <w:tcW w:w="4672" w:type="dxa"/>
            <w:vAlign w:val="center"/>
          </w:tcPr>
          <w:p w14:paraId="7BF0A216">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统一社会信用代码：</w:t>
            </w:r>
            <w:r>
              <w:rPr>
                <w:rFonts w:hint="eastAsia" w:ascii="宋体" w:hAnsi="宋体"/>
                <w:color w:val="000000" w:themeColor="text1"/>
                <w:szCs w:val="21"/>
                <w:u w:val="single"/>
                <w14:textFill>
                  <w14:solidFill>
                    <w14:schemeClr w14:val="tx1"/>
                  </w14:solidFill>
                </w14:textFill>
              </w:rPr>
              <w:t>124500004985009929</w:t>
            </w:r>
          </w:p>
        </w:tc>
        <w:tc>
          <w:tcPr>
            <w:tcW w:w="4672" w:type="dxa"/>
            <w:vAlign w:val="center"/>
          </w:tcPr>
          <w:p w14:paraId="5987285E">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统一社会信用代码：</w:t>
            </w:r>
          </w:p>
        </w:tc>
      </w:tr>
      <w:tr w14:paraId="67810138">
        <w:tblPrEx>
          <w:tblCellMar>
            <w:top w:w="0" w:type="dxa"/>
            <w:left w:w="108" w:type="dxa"/>
            <w:bottom w:w="0" w:type="dxa"/>
            <w:right w:w="108" w:type="dxa"/>
          </w:tblCellMar>
        </w:tblPrEx>
        <w:trPr>
          <w:trHeight w:val="567" w:hRule="atLeast"/>
          <w:jc w:val="center"/>
        </w:trPr>
        <w:tc>
          <w:tcPr>
            <w:tcW w:w="4672" w:type="dxa"/>
            <w:vAlign w:val="center"/>
          </w:tcPr>
          <w:p w14:paraId="5F6C72F6">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r>
              <w:rPr>
                <w:rFonts w:hint="eastAsia" w:ascii="宋体" w:hAnsi="宋体"/>
                <w:color w:val="000000" w:themeColor="text1"/>
                <w:szCs w:val="21"/>
                <w:u w:val="single"/>
                <w14:textFill>
                  <w14:solidFill>
                    <w14:schemeClr w14:val="tx1"/>
                  </w14:solidFill>
                </w14:textFill>
              </w:rPr>
              <w:t>广西壮族自治区南宁市大学东路100号</w:t>
            </w:r>
          </w:p>
        </w:tc>
        <w:tc>
          <w:tcPr>
            <w:tcW w:w="4672" w:type="dxa"/>
            <w:vAlign w:val="center"/>
          </w:tcPr>
          <w:p w14:paraId="5E832075">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p>
        </w:tc>
      </w:tr>
      <w:tr w14:paraId="02965448">
        <w:tblPrEx>
          <w:tblCellMar>
            <w:top w:w="0" w:type="dxa"/>
            <w:left w:w="108" w:type="dxa"/>
            <w:bottom w:w="0" w:type="dxa"/>
            <w:right w:w="108" w:type="dxa"/>
          </w:tblCellMar>
        </w:tblPrEx>
        <w:trPr>
          <w:trHeight w:val="567" w:hRule="atLeast"/>
          <w:jc w:val="center"/>
        </w:trPr>
        <w:tc>
          <w:tcPr>
            <w:tcW w:w="4672" w:type="dxa"/>
            <w:vAlign w:val="center"/>
          </w:tcPr>
          <w:p w14:paraId="5B189D94">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邮政编码：</w:t>
            </w:r>
            <w:r>
              <w:rPr>
                <w:rFonts w:hint="eastAsia" w:ascii="宋体" w:hAnsi="宋体"/>
                <w:color w:val="000000" w:themeColor="text1"/>
                <w:szCs w:val="21"/>
                <w:u w:val="single"/>
                <w14:textFill>
                  <w14:solidFill>
                    <w14:schemeClr w14:val="tx1"/>
                  </w14:solidFill>
                </w14:textFill>
              </w:rPr>
              <w:t>530004</w:t>
            </w:r>
          </w:p>
        </w:tc>
        <w:tc>
          <w:tcPr>
            <w:tcW w:w="4672" w:type="dxa"/>
            <w:vAlign w:val="center"/>
          </w:tcPr>
          <w:p w14:paraId="5A62279B">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邮政编码：</w:t>
            </w:r>
          </w:p>
        </w:tc>
      </w:tr>
      <w:tr w14:paraId="3AD49787">
        <w:tblPrEx>
          <w:tblCellMar>
            <w:top w:w="0" w:type="dxa"/>
            <w:left w:w="108" w:type="dxa"/>
            <w:bottom w:w="0" w:type="dxa"/>
            <w:right w:w="108" w:type="dxa"/>
          </w:tblCellMar>
        </w:tblPrEx>
        <w:trPr>
          <w:trHeight w:val="567" w:hRule="atLeast"/>
          <w:jc w:val="center"/>
        </w:trPr>
        <w:tc>
          <w:tcPr>
            <w:tcW w:w="4672" w:type="dxa"/>
            <w:vAlign w:val="center"/>
          </w:tcPr>
          <w:p w14:paraId="5C2C0201">
            <w:pPr>
              <w:jc w:val="left"/>
              <w:rPr>
                <w:rFonts w:hint="default" w:ascii="宋体" w:hAnsi="宋体" w:eastAsiaTheme="minorEastAsia"/>
                <w:color w:val="000000" w:themeColor="text1"/>
                <w:szCs w:val="21"/>
                <w:lang w:val="en-US"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w:t>
            </w:r>
            <w:r>
              <w:rPr>
                <w:rFonts w:hint="eastAsia" w:ascii="宋体" w:hAnsi="宋体"/>
                <w:color w:val="000000" w:themeColor="text1"/>
                <w:szCs w:val="21"/>
                <w:u w:val="single"/>
                <w:lang w:val="en-US" w:eastAsia="zh-CN"/>
                <w14:textFill>
                  <w14:solidFill>
                    <w14:schemeClr w14:val="tx1"/>
                  </w14:solidFill>
                </w14:textFill>
              </w:rPr>
              <w:t>肖建庄</w:t>
            </w:r>
          </w:p>
        </w:tc>
        <w:tc>
          <w:tcPr>
            <w:tcW w:w="4672" w:type="dxa"/>
            <w:vAlign w:val="center"/>
          </w:tcPr>
          <w:p w14:paraId="1F55D4E2">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w:t>
            </w:r>
          </w:p>
        </w:tc>
      </w:tr>
      <w:tr w14:paraId="1FEBECC4">
        <w:tblPrEx>
          <w:tblCellMar>
            <w:top w:w="0" w:type="dxa"/>
            <w:left w:w="108" w:type="dxa"/>
            <w:bottom w:w="0" w:type="dxa"/>
            <w:right w:w="108" w:type="dxa"/>
          </w:tblCellMar>
        </w:tblPrEx>
        <w:trPr>
          <w:trHeight w:val="567" w:hRule="atLeast"/>
          <w:jc w:val="center"/>
        </w:trPr>
        <w:tc>
          <w:tcPr>
            <w:tcW w:w="4672" w:type="dxa"/>
            <w:vAlign w:val="center"/>
          </w:tcPr>
          <w:p w14:paraId="08C5DD14">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w:t>
            </w:r>
            <w:r>
              <w:rPr>
                <w:rFonts w:hint="eastAsia" w:ascii="宋体" w:hAnsi="宋体"/>
                <w:color w:val="000000" w:themeColor="text1"/>
                <w:szCs w:val="21"/>
                <w:u w:val="single"/>
                <w14:textFill>
                  <w14:solidFill>
                    <w14:schemeClr w14:val="tx1"/>
                  </w14:solidFill>
                </w14:textFill>
              </w:rPr>
              <w:t>/</w:t>
            </w:r>
          </w:p>
        </w:tc>
        <w:tc>
          <w:tcPr>
            <w:tcW w:w="4672" w:type="dxa"/>
            <w:vAlign w:val="center"/>
          </w:tcPr>
          <w:p w14:paraId="29BF033C">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w:t>
            </w:r>
          </w:p>
        </w:tc>
      </w:tr>
      <w:tr w14:paraId="4A1D67B7">
        <w:tblPrEx>
          <w:tblCellMar>
            <w:top w:w="0" w:type="dxa"/>
            <w:left w:w="108" w:type="dxa"/>
            <w:bottom w:w="0" w:type="dxa"/>
            <w:right w:w="108" w:type="dxa"/>
          </w:tblCellMar>
        </w:tblPrEx>
        <w:trPr>
          <w:trHeight w:val="567" w:hRule="atLeast"/>
          <w:jc w:val="center"/>
        </w:trPr>
        <w:tc>
          <w:tcPr>
            <w:tcW w:w="4672" w:type="dxa"/>
            <w:vAlign w:val="center"/>
          </w:tcPr>
          <w:p w14:paraId="38E6D81F">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电话：</w:t>
            </w:r>
            <w:r>
              <w:rPr>
                <w:rFonts w:hint="eastAsia" w:ascii="宋体" w:hAnsi="宋体"/>
                <w:color w:val="000000" w:themeColor="text1"/>
                <w:szCs w:val="21"/>
                <w:u w:val="single"/>
                <w14:textFill>
                  <w14:solidFill>
                    <w14:schemeClr w14:val="tx1"/>
                  </w14:solidFill>
                </w14:textFill>
              </w:rPr>
              <w:t>0771-3233183</w:t>
            </w:r>
          </w:p>
        </w:tc>
        <w:tc>
          <w:tcPr>
            <w:tcW w:w="4672" w:type="dxa"/>
            <w:vAlign w:val="center"/>
          </w:tcPr>
          <w:p w14:paraId="0AFDEA97">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电话：</w:t>
            </w:r>
          </w:p>
        </w:tc>
      </w:tr>
      <w:tr w14:paraId="556A024D">
        <w:tblPrEx>
          <w:tblCellMar>
            <w:top w:w="0" w:type="dxa"/>
            <w:left w:w="108" w:type="dxa"/>
            <w:bottom w:w="0" w:type="dxa"/>
            <w:right w:w="108" w:type="dxa"/>
          </w:tblCellMar>
        </w:tblPrEx>
        <w:trPr>
          <w:trHeight w:val="567" w:hRule="atLeast"/>
          <w:jc w:val="center"/>
        </w:trPr>
        <w:tc>
          <w:tcPr>
            <w:tcW w:w="4672" w:type="dxa"/>
            <w:vAlign w:val="center"/>
          </w:tcPr>
          <w:p w14:paraId="6520AE8C">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传真：</w:t>
            </w:r>
            <w:r>
              <w:rPr>
                <w:rFonts w:hint="eastAsia" w:ascii="宋体" w:hAnsi="宋体"/>
                <w:color w:val="000000" w:themeColor="text1"/>
                <w:szCs w:val="21"/>
                <w:u w:val="single"/>
                <w14:textFill>
                  <w14:solidFill>
                    <w14:schemeClr w14:val="tx1"/>
                  </w14:solidFill>
                </w14:textFill>
              </w:rPr>
              <w:t>0771-3272160</w:t>
            </w:r>
          </w:p>
        </w:tc>
        <w:tc>
          <w:tcPr>
            <w:tcW w:w="4672" w:type="dxa"/>
            <w:vAlign w:val="center"/>
          </w:tcPr>
          <w:p w14:paraId="31D50D3F">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传真：</w:t>
            </w:r>
          </w:p>
        </w:tc>
      </w:tr>
      <w:tr w14:paraId="5FCCAA61">
        <w:tblPrEx>
          <w:tblCellMar>
            <w:top w:w="0" w:type="dxa"/>
            <w:left w:w="108" w:type="dxa"/>
            <w:bottom w:w="0" w:type="dxa"/>
            <w:right w:w="108" w:type="dxa"/>
          </w:tblCellMar>
        </w:tblPrEx>
        <w:trPr>
          <w:trHeight w:val="567" w:hRule="atLeast"/>
          <w:jc w:val="center"/>
        </w:trPr>
        <w:tc>
          <w:tcPr>
            <w:tcW w:w="4672" w:type="dxa"/>
            <w:vAlign w:val="center"/>
          </w:tcPr>
          <w:p w14:paraId="5EE72AB3">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电子信箱：</w:t>
            </w:r>
            <w:r>
              <w:fldChar w:fldCharType="begin"/>
            </w:r>
            <w:r>
              <w:instrText xml:space="preserve"> HYPERLINK "mailto:gxdxsbk@163.com" </w:instrText>
            </w:r>
            <w:r>
              <w:fldChar w:fldCharType="separate"/>
            </w:r>
            <w:r>
              <w:rPr>
                <w:rStyle w:val="45"/>
                <w:rFonts w:hint="eastAsia" w:ascii="宋体" w:hAnsi="宋体"/>
                <w:color w:val="000000" w:themeColor="text1"/>
                <w:szCs w:val="21"/>
                <w14:textFill>
                  <w14:solidFill>
                    <w14:schemeClr w14:val="tx1"/>
                  </w14:solidFill>
                </w14:textFill>
              </w:rPr>
              <w:t>gxdxsbk@163.com</w:t>
            </w:r>
            <w:r>
              <w:rPr>
                <w:rStyle w:val="45"/>
                <w:rFonts w:hint="eastAsia" w:ascii="宋体" w:hAnsi="宋体"/>
                <w:color w:val="000000" w:themeColor="text1"/>
                <w:szCs w:val="21"/>
                <w14:textFill>
                  <w14:solidFill>
                    <w14:schemeClr w14:val="tx1"/>
                  </w14:solidFill>
                </w14:textFill>
              </w:rPr>
              <w:fldChar w:fldCharType="end"/>
            </w:r>
          </w:p>
        </w:tc>
        <w:tc>
          <w:tcPr>
            <w:tcW w:w="4672" w:type="dxa"/>
            <w:vAlign w:val="center"/>
          </w:tcPr>
          <w:p w14:paraId="655DEFFD">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电子信箱：</w:t>
            </w:r>
          </w:p>
        </w:tc>
      </w:tr>
      <w:tr w14:paraId="2B4C427A">
        <w:tblPrEx>
          <w:tblCellMar>
            <w:top w:w="0" w:type="dxa"/>
            <w:left w:w="108" w:type="dxa"/>
            <w:bottom w:w="0" w:type="dxa"/>
            <w:right w:w="108" w:type="dxa"/>
          </w:tblCellMar>
        </w:tblPrEx>
        <w:trPr>
          <w:trHeight w:val="567" w:hRule="atLeast"/>
          <w:jc w:val="center"/>
        </w:trPr>
        <w:tc>
          <w:tcPr>
            <w:tcW w:w="4672" w:type="dxa"/>
            <w:vAlign w:val="center"/>
          </w:tcPr>
          <w:p w14:paraId="49B1338A">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w:t>
            </w:r>
            <w:r>
              <w:rPr>
                <w:rFonts w:hint="eastAsia" w:ascii="宋体" w:hAnsi="宋体"/>
                <w:color w:val="000000" w:themeColor="text1"/>
                <w:szCs w:val="21"/>
                <w:u w:val="single"/>
                <w14:textFill>
                  <w14:solidFill>
                    <w14:schemeClr w14:val="tx1"/>
                  </w14:solidFill>
                </w14:textFill>
              </w:rPr>
              <w:t xml:space="preserve">中国银行广西南宁市西大支行 </w:t>
            </w:r>
          </w:p>
        </w:tc>
        <w:tc>
          <w:tcPr>
            <w:tcW w:w="4672" w:type="dxa"/>
            <w:vAlign w:val="center"/>
          </w:tcPr>
          <w:p w14:paraId="2E1308FB">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w:t>
            </w:r>
          </w:p>
        </w:tc>
      </w:tr>
      <w:tr w14:paraId="0A466978">
        <w:tblPrEx>
          <w:tblCellMar>
            <w:top w:w="0" w:type="dxa"/>
            <w:left w:w="108" w:type="dxa"/>
            <w:bottom w:w="0" w:type="dxa"/>
            <w:right w:w="108" w:type="dxa"/>
          </w:tblCellMar>
        </w:tblPrEx>
        <w:trPr>
          <w:trHeight w:val="567" w:hRule="atLeast"/>
          <w:jc w:val="center"/>
        </w:trPr>
        <w:tc>
          <w:tcPr>
            <w:tcW w:w="4672" w:type="dxa"/>
            <w:vAlign w:val="center"/>
          </w:tcPr>
          <w:p w14:paraId="279F0C20">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账号：</w:t>
            </w:r>
            <w:r>
              <w:rPr>
                <w:rFonts w:hint="eastAsia" w:ascii="宋体" w:hAnsi="宋体"/>
                <w:color w:val="000000" w:themeColor="text1"/>
                <w:szCs w:val="21"/>
                <w:u w:val="single"/>
                <w14:textFill>
                  <w14:solidFill>
                    <w14:schemeClr w14:val="tx1"/>
                  </w14:solidFill>
                </w14:textFill>
              </w:rPr>
              <w:t>618457484938</w:t>
            </w:r>
          </w:p>
        </w:tc>
        <w:tc>
          <w:tcPr>
            <w:tcW w:w="4672" w:type="dxa"/>
            <w:vAlign w:val="center"/>
          </w:tcPr>
          <w:p w14:paraId="1BA0FE3F">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账号：</w:t>
            </w:r>
          </w:p>
        </w:tc>
      </w:tr>
    </w:tbl>
    <w:p w14:paraId="4A48C502">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698E32A">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6BB934FB">
      <w:pPr>
        <w:pStyle w:val="3"/>
        <w:spacing w:before="0" w:after="0" w:line="240" w:lineRule="auto"/>
        <w:jc w:val="center"/>
        <w:rPr>
          <w:rFonts w:hint="eastAsia" w:ascii="宋体" w:hAnsi="宋体" w:eastAsia="宋体"/>
          <w:color w:val="000000" w:themeColor="text1"/>
          <w:sz w:val="30"/>
          <w:szCs w:val="30"/>
          <w14:textFill>
            <w14:solidFill>
              <w14:schemeClr w14:val="tx1"/>
            </w14:solidFill>
          </w14:textFill>
        </w:rPr>
      </w:pPr>
      <w:bookmarkStart w:id="76" w:name="_Toc197530136"/>
      <w:bookmarkStart w:id="77" w:name="_Toc195459461"/>
      <w:r>
        <w:rPr>
          <w:rFonts w:hint="eastAsia" w:ascii="宋体" w:hAnsi="宋体" w:eastAsia="宋体"/>
          <w:color w:val="000000" w:themeColor="text1"/>
          <w:sz w:val="30"/>
          <w:szCs w:val="30"/>
          <w14:textFill>
            <w14:solidFill>
              <w14:schemeClr w14:val="tx1"/>
            </w14:solidFill>
          </w14:textFill>
        </w:rPr>
        <w:t>第二部分 通用合同条款</w:t>
      </w:r>
      <w:bookmarkEnd w:id="76"/>
      <w:bookmarkEnd w:id="77"/>
    </w:p>
    <w:p w14:paraId="3B327732">
      <w:pPr>
        <w:spacing w:line="360" w:lineRule="auto"/>
        <w:ind w:firstLine="420" w:firstLineChars="200"/>
        <w:rPr>
          <w:rFonts w:hint="eastAsia" w:hAnsi="宋体"/>
          <w:color w:val="000000" w:themeColor="text1"/>
          <w:kern w:val="0"/>
          <w14:textFill>
            <w14:solidFill>
              <w14:schemeClr w14:val="tx1"/>
            </w14:solidFill>
          </w14:textFill>
        </w:rPr>
      </w:pPr>
    </w:p>
    <w:p w14:paraId="1A13964D">
      <w:pPr>
        <w:spacing w:line="360" w:lineRule="auto"/>
        <w:ind w:firstLine="422" w:firstLineChars="200"/>
        <w:rPr>
          <w:rFonts w:hint="eastAsia" w:hAnsi="宋体" w:cs="宋体"/>
          <w:b/>
          <w:bCs/>
          <w:color w:val="000000" w:themeColor="text1"/>
          <w:kern w:val="0"/>
          <w14:textFill>
            <w14:solidFill>
              <w14:schemeClr w14:val="tx1"/>
            </w14:solidFill>
          </w14:textFill>
        </w:rPr>
      </w:pPr>
      <w:r>
        <w:rPr>
          <w:rFonts w:hint="eastAsia" w:hAnsi="宋体" w:cs="宋体"/>
          <w:b/>
          <w:bCs/>
          <w:color w:val="000000" w:themeColor="text1"/>
          <w:kern w:val="0"/>
          <w14:textFill>
            <w14:solidFill>
              <w14:schemeClr w14:val="tx1"/>
            </w14:solidFill>
          </w14:textFill>
        </w:rPr>
        <w:t>采用《建设工程施工合同（示范文本）》（</w:t>
      </w:r>
      <w:r>
        <w:rPr>
          <w:rFonts w:hAnsi="宋体"/>
          <w:b/>
          <w:bCs/>
          <w:color w:val="000000" w:themeColor="text1"/>
          <w:kern w:val="0"/>
          <w14:textFill>
            <w14:solidFill>
              <w14:schemeClr w14:val="tx1"/>
            </w14:solidFill>
          </w14:textFill>
        </w:rPr>
        <w:t>GF</w:t>
      </w:r>
      <w:r>
        <w:rPr>
          <w:rFonts w:hAnsi="宋体" w:cs="宋体"/>
          <w:b/>
          <w:bCs/>
          <w:color w:val="000000" w:themeColor="text1"/>
          <w:kern w:val="0"/>
          <w14:textFill>
            <w14:solidFill>
              <w14:schemeClr w14:val="tx1"/>
            </w14:solidFill>
          </w14:textFill>
        </w:rPr>
        <w:t>—</w:t>
      </w:r>
      <w:r>
        <w:rPr>
          <w:rFonts w:hAnsi="宋体"/>
          <w:b/>
          <w:bCs/>
          <w:color w:val="000000" w:themeColor="text1"/>
          <w:kern w:val="0"/>
          <w14:textFill>
            <w14:solidFill>
              <w14:schemeClr w14:val="tx1"/>
            </w14:solidFill>
          </w14:textFill>
        </w:rPr>
        <w:t>201</w:t>
      </w:r>
      <w:r>
        <w:rPr>
          <w:rFonts w:hint="eastAsia" w:hAnsi="宋体"/>
          <w:b/>
          <w:bCs/>
          <w:color w:val="000000" w:themeColor="text1"/>
          <w:kern w:val="0"/>
          <w14:textFill>
            <w14:solidFill>
              <w14:schemeClr w14:val="tx1"/>
            </w14:solidFill>
          </w14:textFill>
        </w:rPr>
        <w:t>7</w:t>
      </w:r>
      <w:r>
        <w:rPr>
          <w:rFonts w:hAnsi="宋体" w:cs="宋体"/>
          <w:b/>
          <w:bCs/>
          <w:color w:val="000000" w:themeColor="text1"/>
          <w:kern w:val="0"/>
          <w14:textFill>
            <w14:solidFill>
              <w14:schemeClr w14:val="tx1"/>
            </w14:solidFill>
          </w14:textFill>
        </w:rPr>
        <w:t>—</w:t>
      </w:r>
      <w:r>
        <w:rPr>
          <w:rFonts w:hAnsi="宋体"/>
          <w:b/>
          <w:bCs/>
          <w:color w:val="000000" w:themeColor="text1"/>
          <w:kern w:val="0"/>
          <w14:textFill>
            <w14:solidFill>
              <w14:schemeClr w14:val="tx1"/>
            </w14:solidFill>
          </w14:textFill>
        </w:rPr>
        <w:t>0201</w:t>
      </w:r>
      <w:r>
        <w:rPr>
          <w:rFonts w:hint="eastAsia" w:hAnsi="宋体" w:cs="宋体"/>
          <w:b/>
          <w:bCs/>
          <w:color w:val="000000" w:themeColor="text1"/>
          <w:kern w:val="0"/>
          <w14:textFill>
            <w14:solidFill>
              <w14:schemeClr w14:val="tx1"/>
            </w14:solidFill>
          </w14:textFill>
        </w:rPr>
        <w:t>）。</w:t>
      </w:r>
    </w:p>
    <w:p w14:paraId="7C79D957">
      <w:pPr>
        <w:pStyle w:val="4"/>
        <w:jc w:val="left"/>
        <w:rPr>
          <w:rFonts w:hint="eastAsia" w:ascii="宋体" w:hAnsi="宋体" w:eastAsia="宋体"/>
          <w:color w:val="000000" w:themeColor="text1"/>
          <w:sz w:val="28"/>
          <w:szCs w:val="28"/>
          <w14:textFill>
            <w14:solidFill>
              <w14:schemeClr w14:val="tx1"/>
            </w14:solidFill>
          </w14:textFill>
        </w:rPr>
      </w:pPr>
      <w:bookmarkStart w:id="78" w:name="_Toc195459462"/>
      <w:bookmarkStart w:id="79" w:name="_Toc197530137"/>
      <w:r>
        <w:rPr>
          <w:rFonts w:hint="eastAsia" w:ascii="宋体" w:hAnsi="宋体" w:eastAsia="宋体"/>
          <w:color w:val="000000" w:themeColor="text1"/>
          <w:sz w:val="28"/>
          <w:szCs w:val="28"/>
          <w14:textFill>
            <w14:solidFill>
              <w14:schemeClr w14:val="tx1"/>
            </w14:solidFill>
          </w14:textFill>
        </w:rPr>
        <w:t>1.一般约定</w:t>
      </w:r>
      <w:bookmarkEnd w:id="78"/>
      <w:bookmarkEnd w:id="79"/>
    </w:p>
    <w:p w14:paraId="6993E8D9">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1.1词语定义与解释</w:t>
      </w:r>
    </w:p>
    <w:p w14:paraId="6A58AB9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合同协议书、通用合同条款、专用合同条款中的下列词语具有本款所赋予的含义：</w:t>
      </w:r>
    </w:p>
    <w:p w14:paraId="66BC9D9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1.1.1合同</w:t>
      </w:r>
    </w:p>
    <w:p w14:paraId="6CF7B2B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1.1.1.1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758F8A5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1.1.1.2合同协议书：是指构成合同的由发包人和承包人共同签署的称为“合同协议书”的书面文件。</w:t>
      </w:r>
    </w:p>
    <w:p w14:paraId="1EBB1BA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1.1.1.3中标通知书：是指构成合同的由发包人通知承包人中标的书面文件。</w:t>
      </w:r>
    </w:p>
    <w:p w14:paraId="0B1F91E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1.1.1.4投标函：是指构成合同的由承包人填写并签署的用于投标的称为“投标函”的文件。</w:t>
      </w:r>
    </w:p>
    <w:p w14:paraId="552C4CE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1.1.1.5投标函附录：是指构成合同的附在投标函后的称为“投标函附录”的文件。</w:t>
      </w:r>
    </w:p>
    <w:p w14:paraId="1F8E8CB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1.1.1.6技术标准和要求：是指构成合同的施工应当遵守的或指导施工的国家、行业或地方的技术标准和要求，以及合同约定的技术标准和要求。</w:t>
      </w:r>
    </w:p>
    <w:p w14:paraId="3AB9F43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1.1.1.7图纸：是指构成合同的图纸，包括由发包人按照合同约定提供或经发包人批准的设计文件、施工图、鸟瞰图及模型等，以及在合同履行过程中形成的图纸文件。图纸应当按照法律规定审查合格。</w:t>
      </w:r>
    </w:p>
    <w:p w14:paraId="0AD9EB3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1.1.1.8已标价工程量清单：是指构成合同的由承包人按照规定的格式和要求填写并标明价格的工程量清单，包括说明和表格。</w:t>
      </w:r>
    </w:p>
    <w:p w14:paraId="6521A10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1.1.1.9预算书：是指构成合同的由承包人按照发包人规定的格式和要求编制的工程预算文件。</w:t>
      </w:r>
    </w:p>
    <w:p w14:paraId="562A7F2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1.1.1.10其他合同文件：是指经合同当事人约定的与工程施工有关的具有合同约束力的文件或书面协议。合同当事人可以在专用合同条款中进行约定。</w:t>
      </w:r>
    </w:p>
    <w:p w14:paraId="375CC23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1.1.2合同当事人及其他相关方</w:t>
      </w:r>
    </w:p>
    <w:p w14:paraId="7C92FFD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1.1.2.1合同当事人：是指发包人和（或）承包人。</w:t>
      </w:r>
    </w:p>
    <w:p w14:paraId="2E6E72E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1.1.2.2发包人：是指与承包人签订合同协议书的当事人及取得该当事人资格的合法继承人。</w:t>
      </w:r>
    </w:p>
    <w:p w14:paraId="5E3A51E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1.1.2.3承包人：是指与发包人签订合同协议书的，具有相应工程施工承包资质的当事人及取得该当事人资格的合法继承人。</w:t>
      </w:r>
    </w:p>
    <w:p w14:paraId="7E64997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1.1.2.4监理人：是指在专用合同条款中指明的，受发包人委托按照法律规定进行工程监督管理的法人或其他组织。</w:t>
      </w:r>
    </w:p>
    <w:p w14:paraId="745FDA1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1.1.2.5设计人：是指在专用合同条款中指明的，受发包人委托负责工程设计并具备相应工程设计资质的法人或其他组织。</w:t>
      </w:r>
    </w:p>
    <w:p w14:paraId="1C3FAF2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1.1.2.6分包人：是指按照法律规定和合同约定，分包部分工程或工作，并与承包人签订分包合同的具有相应资质的法人。</w:t>
      </w:r>
    </w:p>
    <w:p w14:paraId="522F478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1.1.2.7发包人代表：是指由发包人任命并派驻施工现场在发包人授权范围内行使发包人权利的人。</w:t>
      </w:r>
    </w:p>
    <w:p w14:paraId="7AD8EB0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1.1.2.8项目经理：是指由承包人任命并派驻施工现场，在承包人授权范围内负责合同履行，且按照法律规定具有相应资格的项目负责人。</w:t>
      </w:r>
    </w:p>
    <w:p w14:paraId="6EBC45B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1.1.2.9总监理工程师：是指由监理人任命并派驻施工现场进行工程监理的总负责人。</w:t>
      </w:r>
    </w:p>
    <w:p w14:paraId="47CBCB9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1.1.3工程和设备</w:t>
      </w:r>
    </w:p>
    <w:p w14:paraId="704EEDD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1.1.3.1工程：是指与合同协议书中工程承包范围对应的永久工程和（或）临时工程。</w:t>
      </w:r>
    </w:p>
    <w:p w14:paraId="1F067C7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1.1.3.2永久工程：是指按合同约定建造并移交给发包人的工程，包括工程设备。</w:t>
      </w:r>
    </w:p>
    <w:p w14:paraId="56E0A4E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1.1.3.3临时工程：是指为完成合同约定的永久工程所修建的各类临时性工程，不包括施工设备。</w:t>
      </w:r>
    </w:p>
    <w:p w14:paraId="0324534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1.1.3.4单位工程：是指在合同协议书中指明的，具备独立施工条件并能形成独立使用功能的永久工程。</w:t>
      </w:r>
    </w:p>
    <w:p w14:paraId="239B4DD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1.1.3.5工程设备：是指构成永久工程的机电设备、金属结构设备、仪器及其他类似的设备和装置。</w:t>
      </w:r>
    </w:p>
    <w:p w14:paraId="1807024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1.1.3.6施工设备：是指为完成合同约定的各项工作所需的设备、器具和其他物品，但不包括工程设备、临时工程和材料。</w:t>
      </w:r>
    </w:p>
    <w:p w14:paraId="5FEF83A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1.1.3.7施工现场：是指用于工程施工的场所，以及在专用合同条款中指明作为施工场所组成部分的其他场所，包括永久占地和临时占地。</w:t>
      </w:r>
    </w:p>
    <w:p w14:paraId="029BB04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1.1.3.8临时设施：是指为完成合同约定的各项工作所服务的临时性生产和生活设施。</w:t>
      </w:r>
    </w:p>
    <w:p w14:paraId="29C5AC1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1.1.3.9永久占地：是指专用合同条款中指明为实施工程需永久占用的土地。</w:t>
      </w:r>
    </w:p>
    <w:p w14:paraId="1F67DF9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1.1.3.10临时占地：是指专用合同条款中指明为实施工程需要临时占用的土地。</w:t>
      </w:r>
    </w:p>
    <w:p w14:paraId="6EF8E67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1.1.4日期和期限</w:t>
      </w:r>
    </w:p>
    <w:p w14:paraId="5DAF2C5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1.1.4.1开工日期：包括计划开工日期和实际开工日期。计划开工日期是指合同协议书约定的开工日期；实际开工日期是指监理人按照第7.3.2项〔开工通知〕约定发出的符合法律规定的开工通知中载明的开工日期。</w:t>
      </w:r>
    </w:p>
    <w:p w14:paraId="2443F04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1.1.4.2竣工日期：包括计划竣工日期和实际竣工日期。计划竣工日期是指合同协议书约定的竣工日期；实际竣工日期按照第13.2.3项〔竣工日期〕的约定确定。</w:t>
      </w:r>
    </w:p>
    <w:p w14:paraId="5D6586E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1.1.4.3工期：是指在合同协议书约定的承包人完成工程所需的期限，包括按照合同约定所作的期限变更。</w:t>
      </w:r>
    </w:p>
    <w:p w14:paraId="1AF4D46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1.1.4.4缺陷责任期：是指承包人按照合同约定承担缺陷修复义务，且发包人预留质量保证金（已缴纳履约保证金的除外）的期限，自工程实际竣工日期起计算。</w:t>
      </w:r>
    </w:p>
    <w:p w14:paraId="3D84A19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1.1.4.5保修期：是指承包人按照合同约定对工程承担保修责任的期限，从工程竣工验收合格之日起计算。</w:t>
      </w:r>
    </w:p>
    <w:p w14:paraId="243836F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1.1.4.6基准日期：招标发包的工程以投标截止日前28天的日期为基准日期，直接发包的工程以合同签订日前28天的日期为基准日期。</w:t>
      </w:r>
    </w:p>
    <w:p w14:paraId="1BA04C3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1.1.4.7天：除特别指明外，均指日历天。合同中按天计算时间的，开始当天不计入，从次日开始计算，期限最后一天的截止时间为当天24：00时。</w:t>
      </w:r>
    </w:p>
    <w:p w14:paraId="6F978D5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1.1.5合同价格和费用</w:t>
      </w:r>
    </w:p>
    <w:p w14:paraId="24168D3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1.1.5.1签约合同价：是指发包人和承包人在合同协议书中确定的总金额，包括安全文明施工费、暂估价及暂列金额等。</w:t>
      </w:r>
    </w:p>
    <w:p w14:paraId="1034307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1.1.5.2合同价格：是指发包人用于支付承包人按照合同约定完成承包范围内全部工作的金额，包括合同履行过程中按合同约定发生的价格变化。</w:t>
      </w:r>
    </w:p>
    <w:p w14:paraId="3D3391D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1.1.5.3费用：是指为履行合同所发生的或将要发生的所有必需的开支，包括管理费和应分摊的其他费用，但不包括利润。</w:t>
      </w:r>
    </w:p>
    <w:p w14:paraId="7E6E5AF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1.1.5.4暂估价：是指发包人在工程量清单或预算书中提供的用于支付必然发生但暂时不能确定价格的材料、工程设备的单价、专业工程以及服务工作的金额。</w:t>
      </w:r>
    </w:p>
    <w:p w14:paraId="6AA5881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1.1.5.5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6B6358B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1.1.5.6计日工：是指合同履行过程中，承包人完成发包人提出的零星工作或需要采用计日工计价的变更工作时，按合同中约定的单价计价的一种方式。</w:t>
      </w:r>
    </w:p>
    <w:p w14:paraId="5D5017D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1.1.5.7质量保证金：是指按照第15.3款〔质量保证金〕约定承包人用于保证其在缺陷责任期内履行缺陷修补义务的担保。</w:t>
      </w:r>
    </w:p>
    <w:p w14:paraId="64AF4A2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1.1.5.8总价项目：是指在现行国家、行业以及地方的计量规则中无工程量计算规则，在已标价工程量清单或预算书中以总价或以费率形式计算的项目。</w:t>
      </w:r>
    </w:p>
    <w:p w14:paraId="33BD8D9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1.1.6其他</w:t>
      </w:r>
    </w:p>
    <w:p w14:paraId="09EDD39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1.1.6.1书面形式：是指合同文件、信函、电报、传真等可以有形地表现所载内容的形式。</w:t>
      </w:r>
    </w:p>
    <w:p w14:paraId="03DC0E3F">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1.2语言文字</w:t>
      </w:r>
    </w:p>
    <w:p w14:paraId="2C1B430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合同以中国的汉语简体文字编写、解释和说明。合同当事人在专用合同条款中约定使用两种以上语言时，汉语为优先解释和说明合同的语言。</w:t>
      </w:r>
    </w:p>
    <w:p w14:paraId="2CE84475">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1.3法律</w:t>
      </w:r>
    </w:p>
    <w:p w14:paraId="6597043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合同所称法律是指中华人民共和国法律、行政法规、部门规章，以及工程所在地的地方性法规、自治条例、单行条例和地方政府规章等。</w:t>
      </w:r>
    </w:p>
    <w:p w14:paraId="6D895EE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合同当事人可以在专用合同条款中约定合同适用的其他规范性文件。</w:t>
      </w:r>
    </w:p>
    <w:p w14:paraId="4A0BF66D">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1.4标准和规范</w:t>
      </w:r>
    </w:p>
    <w:p w14:paraId="47F99A5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1.4.1适用于工程的国家标准、行业标准、工程所在地的地方性标准，以及相应的规范、规程等，合同当事人有特别要求的，应在专用合同条款中约定。</w:t>
      </w:r>
    </w:p>
    <w:p w14:paraId="4DA23D1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1.4.2发包人要求使用国外标准、规范的，发包人负责提供原文版本和中文译本，并在专用合同条款中约定提供标准规范的名称、份数和时间。</w:t>
      </w:r>
    </w:p>
    <w:p w14:paraId="640F6F0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1.4.3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3F2261AA">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1.5合同文件的优先顺序</w:t>
      </w:r>
    </w:p>
    <w:p w14:paraId="25098A9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组成合同的各项文件应互相解释，互为说明。除专用合同条款另有约定外，解释合同文件的优先顺序如下：</w:t>
      </w:r>
    </w:p>
    <w:p w14:paraId="7A17199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（1）合同协议书；</w:t>
      </w:r>
    </w:p>
    <w:p w14:paraId="633DF2B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（2）中标通知书（如果有）；</w:t>
      </w:r>
    </w:p>
    <w:p w14:paraId="5A96867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（3）投标函及其附录（如果有）；</w:t>
      </w:r>
    </w:p>
    <w:p w14:paraId="5BB07CF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（4）专用合同条款及其附件；</w:t>
      </w:r>
    </w:p>
    <w:p w14:paraId="1CB6B00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（5）通用合同条款；</w:t>
      </w:r>
    </w:p>
    <w:p w14:paraId="278BBB0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（6）技术标准和要求；</w:t>
      </w:r>
    </w:p>
    <w:p w14:paraId="36930E7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（7）图纸；</w:t>
      </w:r>
    </w:p>
    <w:p w14:paraId="429F3FB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（8）已标价工程量清单或预算书；</w:t>
      </w:r>
    </w:p>
    <w:p w14:paraId="725CA18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（9）其他合同文件。</w:t>
      </w:r>
    </w:p>
    <w:p w14:paraId="66ACB10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上述各项合同文件包括合同当事人就该项合同文件所作出的补充和修改，属于同一类内容的文件，应以最新签署的为准。</w:t>
      </w:r>
    </w:p>
    <w:p w14:paraId="0A10010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在合同订立及履行过程中形成的与合同有关的文件均构成合同文件组成部分，并根据其性质确定优先解释顺序。</w:t>
      </w:r>
    </w:p>
    <w:p w14:paraId="23045F2F">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1.6图纸和承包人文件</w:t>
      </w:r>
    </w:p>
    <w:p w14:paraId="79C4484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1.6.1图纸的提供和交底</w:t>
      </w:r>
    </w:p>
    <w:p w14:paraId="7A16444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434557B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因发包人未按合同约定提供图纸导致承包人费用增加和（或）工期延误的，按照第7.5.1项〔因发包人原因导致工期延误〕约定办理。</w:t>
      </w:r>
    </w:p>
    <w:p w14:paraId="5643DDA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1.6.2图纸的错误</w:t>
      </w:r>
    </w:p>
    <w:p w14:paraId="049C24E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7540200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1.6.3图纸的修改和补充</w:t>
      </w:r>
    </w:p>
    <w:p w14:paraId="3818DD1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图纸需要修改和补充的，应经图纸原设计人及审批部门同意，并由监理人在工程或工程相应部位施工前将修改后的图纸或补充图纸提交给承包人，承包人应按修改或补充后的图纸施工。</w:t>
      </w:r>
    </w:p>
    <w:p w14:paraId="2CE7B36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1.6.4承包人文件</w:t>
      </w:r>
    </w:p>
    <w:p w14:paraId="4FDB02C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承包人应按照专用合同条款的约定提供应当由其编制的与工程施工有关的文件，并按照专用合同条款约定的期限、数量和形式提交监理人，并由监理人报送发包人。</w:t>
      </w:r>
    </w:p>
    <w:p w14:paraId="2007B17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622FFC2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1.6.5图纸和承包人文件的保管</w:t>
      </w:r>
    </w:p>
    <w:p w14:paraId="65E8F01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除专用合同条款另有约定外，承包人应在施工现场另外保存一套完整的图纸和承包人文件，供发包人、监理人及有关人员进行工程检查时使用。</w:t>
      </w:r>
    </w:p>
    <w:p w14:paraId="344F2AE6">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1.7联络</w:t>
      </w:r>
    </w:p>
    <w:p w14:paraId="5C2D882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1.7.1与合同有关的通知、批准、证明、证书、指示、指令、要求、请求、同意、意见、确定和决定等，均应采用书面形式，并应在合同约定的期限内送达接收人和送达地点。</w:t>
      </w:r>
    </w:p>
    <w:p w14:paraId="59CD2EC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1.7.2发包人和承包人应在专用合同条款中约定各自的送达接收人和送达地点。任何一方合同当事人指定的接收人或送达地点发生变动的，应提前3天以书面形式通知对方。</w:t>
      </w:r>
    </w:p>
    <w:p w14:paraId="2F87CC9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1.7.3发包人和承包人应当及时签收另一方送达至送达地点和指定接收人的来往信函。拒不签收的，由此增加的费用和（或）延误的工期由拒绝接收一方承担。</w:t>
      </w:r>
    </w:p>
    <w:p w14:paraId="07C00629">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1.8严禁贿赂</w:t>
      </w:r>
    </w:p>
    <w:p w14:paraId="6CB915C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合同当事人不得以贿赂或变相贿赂的方式，谋取非法利益或损害对方权益。因一方合同当事人的贿赂造成对方损失的，应赔偿损失，并承担相应的法律责任。</w:t>
      </w:r>
    </w:p>
    <w:p w14:paraId="1386618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承包人不得与监理人或发包人聘请的第三方串通损害发包人利益。未经发包人书面同意，承包人不得为监理人提供合同约定以外的通讯设备、交通工具及其他任何形式的利益，不得向监理人支付报酬。</w:t>
      </w:r>
    </w:p>
    <w:p w14:paraId="2558E5F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1.9化石、文物</w:t>
      </w:r>
    </w:p>
    <w:p w14:paraId="5E7A1D3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0DC0094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发包人、监理人和承包人应按有关政府行政管理部门要求采取妥善的保护措施，由此增加的费用和（或）延误的工期由发包人承担。</w:t>
      </w:r>
    </w:p>
    <w:p w14:paraId="1B3075A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承包人发现文物后不及时报告或隐瞒不报，致使文物丢失或损坏的，应赔偿损失，并承担相应的法律责任。</w:t>
      </w:r>
    </w:p>
    <w:p w14:paraId="2D1F7758">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1.10交通运输</w:t>
      </w:r>
    </w:p>
    <w:p w14:paraId="2B322A5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1.10.1出入现场的权利</w:t>
      </w:r>
    </w:p>
    <w:p w14:paraId="3E8FD88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2F72630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承包人应在订立合同前查勘施工现场，并根据工程规模及技术参数合理预见工程施工所需的进出施工现场的方式、手段、路径等。因承包人未合理预见所增加的费用和（或）延误的工期由承包人承担。</w:t>
      </w:r>
    </w:p>
    <w:p w14:paraId="524CB41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1.10.2场外交通</w:t>
      </w:r>
    </w:p>
    <w:p w14:paraId="63A4CB7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441D6AA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1.10.3场内交通</w:t>
      </w:r>
    </w:p>
    <w:p w14:paraId="3791F9F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762E418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6794D3F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场外交通和场内交通的边界由合同当事人在专用合同条款中约定。</w:t>
      </w:r>
    </w:p>
    <w:p w14:paraId="5394E21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1.10.4超大件和超重件的运输</w:t>
      </w:r>
    </w:p>
    <w:p w14:paraId="11B2055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7582A50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1.10.5道路和桥梁的损坏责任</w:t>
      </w:r>
    </w:p>
    <w:p w14:paraId="3002DF8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因承包人运输造成施工场地内外公共道路和桥梁损坏的，由承包人承担修复损坏的全部费用和可能引起的赔偿。</w:t>
      </w:r>
    </w:p>
    <w:p w14:paraId="7945346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1.10.6水路和航空运输</w:t>
      </w:r>
    </w:p>
    <w:p w14:paraId="6EF8136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本款前述各项的内容适用于水路运输和航空运输，其中“道路”一词的涵义包括河道、航线、船闸、机场、码头、堤防以及水路或航空运输中其他相似结构物；“车辆”一词的涵义包括船舶和飞机等。</w:t>
      </w:r>
    </w:p>
    <w:p w14:paraId="3E0D5B6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1.11知识产权</w:t>
      </w:r>
    </w:p>
    <w:p w14:paraId="2178DB3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1.11.1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347F4B9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1.11.2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12839B9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1.11.3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DF4275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1.11.4除专用合同条款另有约定外，承包人在合同签订前和签订时已确定采用的专利、专有技术、技术秘密的使用费已包含在签约合同价中。</w:t>
      </w:r>
    </w:p>
    <w:p w14:paraId="7A957B95">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1.12保密</w:t>
      </w:r>
    </w:p>
    <w:p w14:paraId="53B2FA9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除法律规定或合同另有约定外，未经发包人同意，承包人不得将发包人提供的图纸、文件以及声明需要保密的资料信息等商业秘密泄露给第三方。</w:t>
      </w:r>
    </w:p>
    <w:p w14:paraId="144354D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除法律规定或合同另有约定外，未经承包人同意，发包人不得将承包人提供的技术秘密及声明需要保密的资料信息等商业秘密泄露给第三方。</w:t>
      </w:r>
    </w:p>
    <w:p w14:paraId="761A4625">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1.13工程量清单错误的修正</w:t>
      </w:r>
    </w:p>
    <w:p w14:paraId="6901E05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除专用合同条款另有约定外，发包人提供的工程量清单，应被认为是准确的和完整的。出现下列情形之一时，发包人应予以修正，并相应调整合同价格：</w:t>
      </w:r>
    </w:p>
    <w:p w14:paraId="08076C6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（1）工程量清单存在缺项、漏项的；</w:t>
      </w:r>
    </w:p>
    <w:p w14:paraId="1FD6714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（2）工程量清单偏差超出专用合同条款约定的工程量偏差范围的；</w:t>
      </w:r>
    </w:p>
    <w:p w14:paraId="00C3892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（3）未按照国家现行计量规范强制性规定计量的。</w:t>
      </w:r>
    </w:p>
    <w:p w14:paraId="687276E3">
      <w:pPr>
        <w:pStyle w:val="4"/>
        <w:jc w:val="left"/>
        <w:rPr>
          <w:rFonts w:hint="eastAsia" w:ascii="宋体" w:hAnsi="宋体" w:eastAsia="宋体"/>
          <w:color w:val="000000" w:themeColor="text1"/>
          <w:sz w:val="28"/>
          <w:szCs w:val="28"/>
          <w14:textFill>
            <w14:solidFill>
              <w14:schemeClr w14:val="tx1"/>
            </w14:solidFill>
          </w14:textFill>
        </w:rPr>
      </w:pPr>
      <w:bookmarkStart w:id="80" w:name="_Toc195459463"/>
      <w:bookmarkStart w:id="81" w:name="_Toc197530138"/>
      <w:r>
        <w:rPr>
          <w:rFonts w:hint="eastAsia" w:ascii="宋体" w:hAnsi="宋体" w:eastAsia="宋体"/>
          <w:color w:val="000000" w:themeColor="text1"/>
          <w:sz w:val="28"/>
          <w:szCs w:val="28"/>
          <w14:textFill>
            <w14:solidFill>
              <w14:schemeClr w14:val="tx1"/>
            </w14:solidFill>
          </w14:textFill>
        </w:rPr>
        <w:t>2.发包人</w:t>
      </w:r>
      <w:bookmarkEnd w:id="80"/>
      <w:bookmarkEnd w:id="81"/>
    </w:p>
    <w:p w14:paraId="0A47BFC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2.1许可或批准</w:t>
      </w:r>
    </w:p>
    <w:p w14:paraId="7D94138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34BDCF4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因发包人原因未能及时办理完毕前述许可、批准或备案，由发包人承担由此增加的费用和（或）延误的工期，并支付承包人合理的利润。</w:t>
      </w:r>
    </w:p>
    <w:p w14:paraId="70C68BB8">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2.2发包人代表</w:t>
      </w:r>
    </w:p>
    <w:p w14:paraId="0BEB0E6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53934E8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发包人代表不能按照合同约定履行其职责及义务，并导致合同无法继续正常履行的，承包人可以要求发包人撤换发包人代表。</w:t>
      </w:r>
    </w:p>
    <w:p w14:paraId="55380F6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不属于法定必须监理的工程，监理人的职权可以由发包人代表或发包人指定的其他人员行使。</w:t>
      </w:r>
    </w:p>
    <w:p w14:paraId="62B36FA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2.3发包人人员</w:t>
      </w:r>
    </w:p>
    <w:p w14:paraId="18D045D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发包人应要求在施工现场的发包人人员遵守法律及有关安全、质量、环境保护、文明施工等规定，并保障承包人免于承受因发包人人员未遵守上述要求给承包人造成的损失和责任。</w:t>
      </w:r>
    </w:p>
    <w:p w14:paraId="09135A7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发包人人员包括发包人代表及其他由发包人派驻施工现场的人员。</w:t>
      </w:r>
    </w:p>
    <w:p w14:paraId="468149A9">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2.4施工现场、施工条件和基础资料的提供</w:t>
      </w:r>
    </w:p>
    <w:p w14:paraId="68F3C37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2.4.1提供施工现场</w:t>
      </w:r>
    </w:p>
    <w:p w14:paraId="6A9E9BB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除专用合同条款另有约定外，发包人应最迟于开工日期7天前向承包人移交施工现场。</w:t>
      </w:r>
    </w:p>
    <w:p w14:paraId="61C8ECD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2.4.2提供施工条件</w:t>
      </w:r>
    </w:p>
    <w:p w14:paraId="7432A56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除专用合同条款另有约定外，发包人应负责提供施工所需要的条件，包括：</w:t>
      </w:r>
    </w:p>
    <w:p w14:paraId="5600748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（1）将施工用水、电力、通讯线路等施工所必需的条件接至施工现场内；</w:t>
      </w:r>
    </w:p>
    <w:p w14:paraId="6A84231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（2）保证向承包人提供正常施工所需要的进入施工现场的交通条件；</w:t>
      </w:r>
    </w:p>
    <w:p w14:paraId="6A43B38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（3）协调处理施工现场周围地下管线和邻近建筑物、构筑物、古树名木的保护工作，并承担相关费用；</w:t>
      </w:r>
    </w:p>
    <w:p w14:paraId="424A168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（4）按照专用合同条款约定应提供的其他设施和条件。</w:t>
      </w:r>
    </w:p>
    <w:p w14:paraId="2F4F41D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2.4.3提供基础资料</w:t>
      </w:r>
    </w:p>
    <w:p w14:paraId="0E9E88B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2EE93C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按照法律规定确需在开工后方能提供的基础资料，发包人应尽其努力及时地在相应工程施工前的合理期限内提供，合理期限应以不影响承包人的正常施工为限。</w:t>
      </w:r>
    </w:p>
    <w:p w14:paraId="45A7992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2.4.4逾期提供的责任</w:t>
      </w:r>
    </w:p>
    <w:p w14:paraId="49AB23A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因发包人原因未能按合同约定及时向承包人提供施工现场、施工条件、基础资料的，由发包人承担由此增加的费用和（或）延误的工期。</w:t>
      </w:r>
    </w:p>
    <w:p w14:paraId="4583267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2.5资金来源证明及支付担保</w:t>
      </w:r>
    </w:p>
    <w:p w14:paraId="53668B0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除专用合同条款另有约定外，发包人应在收到承包人要求提供资金来源证明的书面通知后28天内，向承包人提供能够按照合同约定支付合同价款的相应资金来源证明。</w:t>
      </w:r>
    </w:p>
    <w:p w14:paraId="1FF14EF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除专用合同条款另有约定外，发包人要求承包人提供履约担保的，发包人应当向承包人提供支付担保。支付担保可以采用银行保函或担保公司担保等形式，具体由合同当事人在专用合同条款中约定。</w:t>
      </w:r>
    </w:p>
    <w:p w14:paraId="076DFF2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2.6支付合同价款</w:t>
      </w:r>
    </w:p>
    <w:p w14:paraId="21E2CE0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发包人应按合同约定向承包人及时支付合同价款。</w:t>
      </w:r>
    </w:p>
    <w:p w14:paraId="15064E8A">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2.7组织竣工验收</w:t>
      </w:r>
    </w:p>
    <w:p w14:paraId="2DFFCAD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发包人应按合同约定及时组织竣工验收。</w:t>
      </w:r>
    </w:p>
    <w:p w14:paraId="49166C1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2.8现场统一管理协议</w:t>
      </w:r>
    </w:p>
    <w:p w14:paraId="7C3E304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发包人应与承包人、由发包人直接发包的专业工程的承包人签订施工现场统一管理协议，明确各方的权利义务。施工现场统一管理协议作为专用合同条款的附件。</w:t>
      </w:r>
    </w:p>
    <w:p w14:paraId="78CE35C1">
      <w:pPr>
        <w:pStyle w:val="4"/>
        <w:jc w:val="left"/>
        <w:rPr>
          <w:rFonts w:hint="eastAsia" w:ascii="宋体" w:hAnsi="宋体" w:eastAsia="宋体"/>
          <w:color w:val="000000" w:themeColor="text1"/>
          <w:sz w:val="28"/>
          <w:szCs w:val="28"/>
          <w14:textFill>
            <w14:solidFill>
              <w14:schemeClr w14:val="tx1"/>
            </w14:solidFill>
          </w14:textFill>
        </w:rPr>
      </w:pPr>
      <w:bookmarkStart w:id="82" w:name="_Toc195459464"/>
      <w:bookmarkStart w:id="83" w:name="_Toc197530139"/>
      <w:r>
        <w:rPr>
          <w:rFonts w:hint="eastAsia" w:ascii="宋体" w:hAnsi="宋体" w:eastAsia="宋体"/>
          <w:color w:val="000000" w:themeColor="text1"/>
          <w:sz w:val="28"/>
          <w:szCs w:val="28"/>
          <w14:textFill>
            <w14:solidFill>
              <w14:schemeClr w14:val="tx1"/>
            </w14:solidFill>
          </w14:textFill>
        </w:rPr>
        <w:t>3.承包人</w:t>
      </w:r>
      <w:bookmarkEnd w:id="82"/>
      <w:bookmarkEnd w:id="83"/>
    </w:p>
    <w:p w14:paraId="19F12EF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3.1承包人的一般义务</w:t>
      </w:r>
    </w:p>
    <w:p w14:paraId="54A38B5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承包人在履行合同过程中应遵守法律和工程建设标准规范，并履行以下义务：</w:t>
      </w:r>
    </w:p>
    <w:p w14:paraId="2124E7F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（1）办理法律规定应由承包人办理的许可和批准，并将办理结果书面报送发包人留存；</w:t>
      </w:r>
    </w:p>
    <w:p w14:paraId="1FE2B48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（2）按法律规定和合同约定完成工程，并在保修期内承担保修义务；</w:t>
      </w:r>
    </w:p>
    <w:p w14:paraId="5734B72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（3）按法律规定和合同约定采取施工安全和环境保护措施，办理工伤保险，确保工程及人员、材料、设备和设施的安全；</w:t>
      </w:r>
    </w:p>
    <w:p w14:paraId="1C62FC4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（4）按合同约定的工作内容和施工进度要求，编制施工组织设计和施工措施计划，并对所有施工作业和施工方法的完备性和安全可靠性负责；</w:t>
      </w:r>
    </w:p>
    <w:p w14:paraId="1C760B7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77A2808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（6）按照第6.3款〔环境保护〕约定负责施工场地及其周边环境与生态的保护工作；</w:t>
      </w:r>
    </w:p>
    <w:p w14:paraId="302908D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（7）按照第6.1款〔安全文明施工〕约定采取施工安全措施，确保工程及其人员、材料、设备和设施的安全，防止因工程施工造成的人身伤害和财产损失；</w:t>
      </w:r>
    </w:p>
    <w:p w14:paraId="314505A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（8）将发包人按合同约定支付的各项价款专用于合同工程，且应及时支付其雇用人员工资，并及时向分包人支付合同价款；</w:t>
      </w:r>
    </w:p>
    <w:p w14:paraId="3FF5F66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（9）按照法律规定和合同约定编制竣工资料，完成竣工资料立卷及归档，并按专用合同条款约定的竣工资料的套数、内容、时间等要求移交发包人；</w:t>
      </w:r>
    </w:p>
    <w:p w14:paraId="59FAFCD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（10）应履行的其他义务。</w:t>
      </w:r>
    </w:p>
    <w:p w14:paraId="0CC20CF6">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3.2项目经理</w:t>
      </w:r>
    </w:p>
    <w:p w14:paraId="0B77F8D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3.2.1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1491D77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3A0328F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承包人违反上述约定的，应按照专用合同条款的约定，承担违约责任。</w:t>
      </w:r>
    </w:p>
    <w:p w14:paraId="2647BC4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3.2.2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90E2E1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3.2.3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200AAA0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3.2.4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5428C20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3.2.5项目经理因特殊情况授权其下属人员履行其某项工作职责的，该下属人员应具备履行相应职责的能力，并应提前7天将上述人员的姓名和授权范围书面通知监理人，并征得发包人书面同意。</w:t>
      </w:r>
    </w:p>
    <w:p w14:paraId="3AA956D2">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3.3承包人人员</w:t>
      </w:r>
    </w:p>
    <w:p w14:paraId="0D7497E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3.3.1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4CF5063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3.3.2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EFC186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特殊工种作业人员均应持有相应的资格证明，监理人可以随时检查。</w:t>
      </w:r>
    </w:p>
    <w:p w14:paraId="5841695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3.3.3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6072BF0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3.3.4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2D16CDD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3.3.5承包人擅自更换主要施工管理人员，或前述人员未经监理人或发包人同意擅自离开施工现场的，应按照专用合同条款约定承担违约责任。</w:t>
      </w:r>
    </w:p>
    <w:p w14:paraId="5EE2FB88">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3.4承包人现场查勘</w:t>
      </w:r>
    </w:p>
    <w:p w14:paraId="44D86F1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承包人应对基于发包人按照第2.4.3项〔提供基础资料〕提交的基础资料所做出的解释和推断负责，但因基础资料存在错误、遗漏导致承包人解释或推断失实的，由发包人承担责任。</w:t>
      </w:r>
    </w:p>
    <w:p w14:paraId="3E2B9C2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A125E3C">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3.5分包</w:t>
      </w:r>
    </w:p>
    <w:p w14:paraId="1DB5E40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3.5.1分包的一般约定</w:t>
      </w:r>
    </w:p>
    <w:p w14:paraId="65F9141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1F85924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承包人不得以劳务分包的名义转包或违法分包工程。</w:t>
      </w:r>
    </w:p>
    <w:p w14:paraId="6248627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3.5.2分包的确定</w:t>
      </w:r>
    </w:p>
    <w:p w14:paraId="0DF53D9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144816E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3.5.3分包管理</w:t>
      </w:r>
    </w:p>
    <w:p w14:paraId="2CA3885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承包人应向监理人提交分包人的主要施工管理人员表，并对分包人的施工人员进行实名制管理，包括但不限于进出场管理、登记造册以及各种证照的办理。</w:t>
      </w:r>
    </w:p>
    <w:p w14:paraId="18B2451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3.5.4分包合同价款</w:t>
      </w:r>
    </w:p>
    <w:p w14:paraId="0A10D11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（1）除本项第（2）目约定的情况或专用合同条款另有约定外，分包合同价款由承包人与分包人结算，未经承包人同意，发包人不得向分包人支付分包工程价款；</w:t>
      </w:r>
    </w:p>
    <w:p w14:paraId="4231CAA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（2）生效法律文书要求发包人向分包人支付分包合同价款的，发包人有权从应付承包人工程款中扣除该部分款项。</w:t>
      </w:r>
    </w:p>
    <w:p w14:paraId="0B39239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3.5.5分包合同权益的转让</w:t>
      </w:r>
    </w:p>
    <w:p w14:paraId="2A17426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595B4E7F">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3.6工程照管与成品、半成品保护</w:t>
      </w:r>
    </w:p>
    <w:p w14:paraId="1EDF394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（1）除专用合同条款另有约定外，自发包人向承包人移交施工现场之日起，承包人应负责照管工程及工程相关的材料、工程设备，直到颁发工程接收证书之日止。</w:t>
      </w:r>
    </w:p>
    <w:p w14:paraId="74A4214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（2）在承包人负责照管期间，因承包人原因造成工程、材料、工程设备损坏的，由承包人负责修复或更换，并承担由此增加的费用和（或）延误的工期。</w:t>
      </w:r>
    </w:p>
    <w:p w14:paraId="579E1A4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（3）对合同内分期完成的成品和半成品，在工程接收证书颁发前，由承包人承担保护责任。因承包人原因造成成品或半成品损坏的，由承包人负责修复或更换，并承担由此增加的费用和（或）延误的工期。</w:t>
      </w:r>
    </w:p>
    <w:p w14:paraId="6763F714">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3.7履约担保</w:t>
      </w:r>
    </w:p>
    <w:p w14:paraId="010AA4D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1061A4A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因承包人原因导致工期延长的，继续提供履约担保所增加的费用由承包人承担；非因承包人原因导致工期延长的，继续提供履约担保所增加的费用由发包人承担。</w:t>
      </w:r>
    </w:p>
    <w:p w14:paraId="0CF602B2">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3.8联合体</w:t>
      </w:r>
    </w:p>
    <w:p w14:paraId="54D220D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3.8.1联合体各方应共同与发包人签订合同协议书。联合体各方应为履行合同向发包人承担连带责任。</w:t>
      </w:r>
    </w:p>
    <w:p w14:paraId="1C42ED2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3.8.2联合体协议经发包人确认后作为合同附件。在履行合同过程中，未经发包人同意，不得修改联合体协议。</w:t>
      </w:r>
    </w:p>
    <w:p w14:paraId="4E91AC5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3.8.3联合体牵头人负责与发包人和监理人联系，并接受指示，负责组织联合体各成员全面履行合同。</w:t>
      </w:r>
    </w:p>
    <w:p w14:paraId="458C7884">
      <w:pPr>
        <w:pStyle w:val="4"/>
        <w:jc w:val="left"/>
        <w:rPr>
          <w:rFonts w:hint="eastAsia" w:ascii="宋体" w:hAnsi="宋体" w:eastAsia="宋体"/>
          <w:color w:val="000000" w:themeColor="text1"/>
          <w:sz w:val="28"/>
          <w:szCs w:val="28"/>
          <w14:textFill>
            <w14:solidFill>
              <w14:schemeClr w14:val="tx1"/>
            </w14:solidFill>
          </w14:textFill>
        </w:rPr>
      </w:pPr>
      <w:bookmarkStart w:id="84" w:name="_Toc195459465"/>
      <w:bookmarkStart w:id="85" w:name="_Toc197530140"/>
      <w:r>
        <w:rPr>
          <w:rFonts w:hint="eastAsia" w:ascii="宋体" w:hAnsi="宋体" w:eastAsia="宋体"/>
          <w:color w:val="000000" w:themeColor="text1"/>
          <w:sz w:val="28"/>
          <w:szCs w:val="28"/>
          <w14:textFill>
            <w14:solidFill>
              <w14:schemeClr w14:val="tx1"/>
            </w14:solidFill>
          </w14:textFill>
        </w:rPr>
        <w:t>4.监理人</w:t>
      </w:r>
      <w:bookmarkEnd w:id="84"/>
      <w:bookmarkEnd w:id="85"/>
    </w:p>
    <w:p w14:paraId="38F838A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4.1监理人的一般规定</w:t>
      </w:r>
    </w:p>
    <w:p w14:paraId="25A2D45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72B997E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除专用合同条款另有约定外，监理人在施工现场的办公场所、生活场所由承包人提供，所发生的费用由发包人承担。</w:t>
      </w:r>
    </w:p>
    <w:p w14:paraId="55054186">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4.2监理人员</w:t>
      </w:r>
    </w:p>
    <w:p w14:paraId="45AF8BF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7A997E36">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4.3监理人的指示</w:t>
      </w:r>
    </w:p>
    <w:p w14:paraId="6D8BC4A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2603BE7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78AFA57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承包人对监理人发出的指示有疑问的，应向监理人提出书面异议，监理人应在48小时内对该指示予以确认、更改或撤销，监理人逾期未回复的，承包人有权拒绝执行上述指示。</w:t>
      </w:r>
    </w:p>
    <w:p w14:paraId="056AA65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监理人对承包人的任何工作、工程或其采用的材料和工程设备未在约定的或合理期限内提出意见的，视为批准，但不免除或减轻承包人对该工作、工程、材料、工程设备等应承担的责任和义务。</w:t>
      </w:r>
    </w:p>
    <w:p w14:paraId="677BF36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4.4商定或确定</w:t>
      </w:r>
    </w:p>
    <w:p w14:paraId="19359F2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合同当事人进行商定或确定时，总监理工程师应当会同合同当事人尽量通过协商达成一致，不能达成一致的，由总监理工程师按照合同约定审慎做出公正的确定。</w:t>
      </w:r>
    </w:p>
    <w:p w14:paraId="39280BE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505DDAEF">
      <w:pPr>
        <w:pStyle w:val="4"/>
        <w:jc w:val="left"/>
        <w:rPr>
          <w:rFonts w:hint="eastAsia" w:ascii="宋体" w:hAnsi="宋体" w:eastAsia="宋体"/>
          <w:color w:val="000000" w:themeColor="text1"/>
          <w:sz w:val="28"/>
          <w:szCs w:val="28"/>
          <w14:textFill>
            <w14:solidFill>
              <w14:schemeClr w14:val="tx1"/>
            </w14:solidFill>
          </w14:textFill>
        </w:rPr>
      </w:pPr>
      <w:bookmarkStart w:id="86" w:name="_Toc195459466"/>
      <w:bookmarkStart w:id="87" w:name="_Toc197530141"/>
      <w:r>
        <w:rPr>
          <w:rFonts w:hint="eastAsia" w:ascii="宋体" w:hAnsi="宋体" w:eastAsia="宋体"/>
          <w:color w:val="000000" w:themeColor="text1"/>
          <w:sz w:val="28"/>
          <w:szCs w:val="28"/>
          <w14:textFill>
            <w14:solidFill>
              <w14:schemeClr w14:val="tx1"/>
            </w14:solidFill>
          </w14:textFill>
        </w:rPr>
        <w:t>5.工程质量</w:t>
      </w:r>
      <w:bookmarkEnd w:id="86"/>
      <w:bookmarkEnd w:id="87"/>
    </w:p>
    <w:p w14:paraId="3BA4F53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5.1质量要求</w:t>
      </w:r>
    </w:p>
    <w:p w14:paraId="42610D0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5.1.1工程质量标准必须符合现行国家有关工程施工质量验收规范和标准的要求。有关工程质量的特殊标准或要求由合同当事人在专用合同条款中约定。</w:t>
      </w:r>
    </w:p>
    <w:p w14:paraId="203CFC7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5.1.2因发包人原因造成工程质量未达到合同约定标准的，由发包人承担由此增加的费用和（或）延误的工期，并支付承包人合理的利润。</w:t>
      </w:r>
    </w:p>
    <w:p w14:paraId="5EAF1D6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5.1.3因承包人原因造成工程质量未达到合同约定标准的，发包人有权要求承包人返工直至工程质量达到合同约定的标准为止，并由承包人承担由此增加的费用和（或）延误的工期。</w:t>
      </w:r>
    </w:p>
    <w:p w14:paraId="7F08CC84">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5.2质量保证措施</w:t>
      </w:r>
    </w:p>
    <w:p w14:paraId="0F9ACFB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5.2.1发包人的质量管理</w:t>
      </w:r>
    </w:p>
    <w:p w14:paraId="411EE7A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发包人应按照法律规定及合同约定完成与工程质量有关的各项工作。</w:t>
      </w:r>
    </w:p>
    <w:p w14:paraId="59AA0BD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5.2.2承包人的质量管理</w:t>
      </w:r>
    </w:p>
    <w:p w14:paraId="6B963CC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7DA7A00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承包人应对施工人员进行质量教育和技术培训，定期考核施工人员的劳动技能，严格执行施工规范和操作规程。</w:t>
      </w:r>
    </w:p>
    <w:p w14:paraId="22B2E35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3C76BD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5.2.3监理人的质量检查和检验</w:t>
      </w:r>
    </w:p>
    <w:p w14:paraId="548234D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2232B68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0E908A39">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5.3隐蔽工程检查</w:t>
      </w:r>
    </w:p>
    <w:p w14:paraId="5A135CE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5.3.1承包人自检</w:t>
      </w:r>
    </w:p>
    <w:p w14:paraId="33DF427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承包人应当对工程隐蔽部位进行自检，并经自检确认是否具备覆盖条件。</w:t>
      </w:r>
    </w:p>
    <w:p w14:paraId="1704919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5.3.2检查程序</w:t>
      </w:r>
    </w:p>
    <w:p w14:paraId="25520B9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5793B9D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594D04A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7AB7960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5.3.3重新检查</w:t>
      </w:r>
    </w:p>
    <w:p w14:paraId="7003D9A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EC16AE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5.3.4承包人私自覆盖</w:t>
      </w:r>
    </w:p>
    <w:p w14:paraId="3D2E0EC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承包人未通知监理人到场检查，私自将工程隐蔽部位覆盖的，监理人有权指示承包人钻孔探测或揭开检查，无论工程隐蔽部位质量是否合格，由此增加的费用和（或）延误的工期均由承包人承担。</w:t>
      </w:r>
    </w:p>
    <w:p w14:paraId="2AF9EEB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5.4不合格工程的处理</w:t>
      </w:r>
    </w:p>
    <w:p w14:paraId="5147B71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5.4.1因承包人原因造成工程不合格的，发包人有权随时要求承包人采取补救措施，直至达到合同要求的质量标准，由此增加的费用和（或）延误的工期由承包人承担。无法补救的，按照第13.2.4项〔拒绝接收全部或部分工程〕约定执行。</w:t>
      </w:r>
    </w:p>
    <w:p w14:paraId="4747308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5.4.2因发包人原因造成工程不合格的，由此增加的费用和（或）延误的工期由发包人承担，并支付承包人合理的利润。</w:t>
      </w:r>
    </w:p>
    <w:p w14:paraId="111CFEEA">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5.5质量争议检测</w:t>
      </w:r>
    </w:p>
    <w:p w14:paraId="206C0B0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合同当事人对工程质量有争议的，由双方协商确定的工程质量检测机构鉴定，由此产生的费用及因此造成的损失，由责任方承担。</w:t>
      </w:r>
    </w:p>
    <w:p w14:paraId="6BEF27D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合同当事人均有责任的，由双方根据其责任分别承担。合同当事人无法达成一致的，按照第4.4款〔商定或确定〕执行。</w:t>
      </w:r>
    </w:p>
    <w:p w14:paraId="50D73978">
      <w:pPr>
        <w:pStyle w:val="4"/>
        <w:jc w:val="left"/>
        <w:rPr>
          <w:rFonts w:hint="eastAsia" w:ascii="宋体" w:hAnsi="宋体" w:eastAsia="宋体"/>
          <w:color w:val="000000" w:themeColor="text1"/>
          <w:sz w:val="28"/>
          <w:szCs w:val="28"/>
          <w14:textFill>
            <w14:solidFill>
              <w14:schemeClr w14:val="tx1"/>
            </w14:solidFill>
          </w14:textFill>
        </w:rPr>
      </w:pPr>
      <w:bookmarkStart w:id="88" w:name="_Toc197530142"/>
      <w:bookmarkStart w:id="89" w:name="_Toc195459467"/>
      <w:r>
        <w:rPr>
          <w:rFonts w:hint="eastAsia" w:ascii="宋体" w:hAnsi="宋体" w:eastAsia="宋体"/>
          <w:color w:val="000000" w:themeColor="text1"/>
          <w:sz w:val="28"/>
          <w:szCs w:val="28"/>
          <w14:textFill>
            <w14:solidFill>
              <w14:schemeClr w14:val="tx1"/>
            </w14:solidFill>
          </w14:textFill>
        </w:rPr>
        <w:t>6.安全文明施工与环境保护</w:t>
      </w:r>
      <w:bookmarkEnd w:id="88"/>
      <w:bookmarkEnd w:id="89"/>
    </w:p>
    <w:p w14:paraId="6BC48170">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6.1安全文明施工</w:t>
      </w:r>
    </w:p>
    <w:p w14:paraId="6CA6A58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6.1.1安全生产要求</w:t>
      </w:r>
    </w:p>
    <w:p w14:paraId="50288E4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EE7CF4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在施工过程中，如遇到突发的地质变动、事先未知的地下施工障碍等影响施工安全的紧急情况，承包人应及时报告监理人和发包人，发包人应当及时下令停工并报政府有关行政管理部门采取应急措施。</w:t>
      </w:r>
    </w:p>
    <w:p w14:paraId="5E06BBB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因安全生产需要暂停施工的，按照第7.8款〔暂停施工〕的约定执行。</w:t>
      </w:r>
    </w:p>
    <w:p w14:paraId="435B4F4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6.1.2安全生产保证措施</w:t>
      </w:r>
    </w:p>
    <w:p w14:paraId="20FDA97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3E5C17E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6.1.3特别安全生产事项</w:t>
      </w:r>
    </w:p>
    <w:p w14:paraId="6E0E87B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E7915D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承包人在动力设备、输电线路、地下管道、密封防震车间、易燃易爆地段以及临街交通要道附近施工时，施工开始前应向发包人和监理人提出安全防护措施，经发包人认可后实施。</w:t>
      </w:r>
    </w:p>
    <w:p w14:paraId="46472F3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实施爆破作业，在放射、毒害性环境中施工（含储存、运输、使用）及使用毒害性、腐蚀性物品施工时，承包人应在施工前7天以书面通知发包人和监理人，并报送相应的安全防护措施，经发包人认可后实施。</w:t>
      </w:r>
    </w:p>
    <w:p w14:paraId="33EB62F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需单独编制危险性较大分部分项专项工程施工方案的，及要求进行专家论证的超过一定规模的危险性较大的分部分项工程，承包人应及时编制和组织论证。</w:t>
      </w:r>
    </w:p>
    <w:p w14:paraId="683F8B1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6.1.4治安保卫</w:t>
      </w:r>
    </w:p>
    <w:p w14:paraId="68C805D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除专用合同条款另有约定外，发包人应与当地公安部门协商，在现场建立治安管理机构或联防组织，统一管理施工场地的治安保卫事项，履行合同工程的治安保卫职责。</w:t>
      </w:r>
    </w:p>
    <w:p w14:paraId="5C95C99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发包人和承包人除应协助现场治安管理机构或联防组织维护施工场地的社会治安外，还应做好包括生活区在内的各自管辖区的治安保卫工作。</w:t>
      </w:r>
    </w:p>
    <w:p w14:paraId="7962E18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6172925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6.1.5文明施工</w:t>
      </w:r>
    </w:p>
    <w:p w14:paraId="03650A8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56514DE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0826A2F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6.1.6安全文明施工费</w:t>
      </w:r>
    </w:p>
    <w:p w14:paraId="4D467D8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安全文明施工费由发包人承担，发包人不得以任何形式扣减该部分费用。因基准日期后合同所适用的法律或政府有关规定发生变化，增加的安全文明施工费由发包人承担。</w:t>
      </w:r>
    </w:p>
    <w:p w14:paraId="244971F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30A4E73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4148144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053FEBE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6.1.7紧急情况处理</w:t>
      </w:r>
    </w:p>
    <w:p w14:paraId="004A92A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7E9DDC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6.1.8事故处理</w:t>
      </w:r>
    </w:p>
    <w:p w14:paraId="71EECAF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0EDC85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6.1.9安全生产责任</w:t>
      </w:r>
    </w:p>
    <w:p w14:paraId="6D2A89B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6.1.9.1发包人的安全责任</w:t>
      </w:r>
    </w:p>
    <w:p w14:paraId="13F1230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发包人应负责赔偿以下各种情况造成的损失：</w:t>
      </w:r>
    </w:p>
    <w:p w14:paraId="24DA2B7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（1）工程或工程的任何部分对土地的占用所造成的第三者财产损失；</w:t>
      </w:r>
    </w:p>
    <w:p w14:paraId="60C1951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（2）由于发包人原因在施工场地及其毗邻地带造成的第三者人身伤亡和财产损失；</w:t>
      </w:r>
    </w:p>
    <w:p w14:paraId="7D80B98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（3）由于发包人原因对承包人、监理人造成的人员人身伤亡和财产损失；</w:t>
      </w:r>
    </w:p>
    <w:p w14:paraId="4E59DEF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（4）由于发包人原因造成的发包人自身人员的人身伤害以及财产损失。</w:t>
      </w:r>
    </w:p>
    <w:p w14:paraId="68CB4D5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6.1.9.2承包人的安全责任</w:t>
      </w:r>
    </w:p>
    <w:p w14:paraId="5A62275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由于承包人原因在施工场地内及其毗邻地带造成的发包人、监理人以及第三者人员伤亡和财产损失，由承包人负责赔偿。</w:t>
      </w:r>
    </w:p>
    <w:p w14:paraId="028C2BAC">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6.2职业健康</w:t>
      </w:r>
    </w:p>
    <w:p w14:paraId="56740AA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6.2.1劳动保护</w:t>
      </w:r>
    </w:p>
    <w:p w14:paraId="3CC95FB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46AD9E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623689F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承包人应按法律规定安排工作时间，保证其雇佣人员享有休息和休假的权利。因工程施工的特殊需要占用休假日或延长工作时间的，应不超过法律规定的限度，并按法律规定给予补休或付酬。</w:t>
      </w:r>
    </w:p>
    <w:p w14:paraId="6157F67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6.2.2生活条件</w:t>
      </w:r>
    </w:p>
    <w:p w14:paraId="0697FBD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为其履行合同所雇用的人员提供必要的膳宿条件和生活环境；承包人应采取有效措施预防传染病，保证施工人员的健康，并定期对施工现场、施工人员生活基地和工程进行防疫和卫生的专业检查和处理，在远离城镇的施工场地，还应配备必要的伤病防治和急救的医务人员与医疗设施。</w:t>
      </w:r>
    </w:p>
    <w:p w14:paraId="0FA6410D">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6.3环境保护</w:t>
      </w:r>
    </w:p>
    <w:p w14:paraId="781A5B8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2637032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承包人应当承担因其原因引起的环境污染侵权损害赔偿责任，因上述环境污染引起纠纷而导致暂停施工的，由此增加的费用和（或）延误的工期由承包人承担。</w:t>
      </w:r>
    </w:p>
    <w:p w14:paraId="27816576">
      <w:pPr>
        <w:pStyle w:val="4"/>
        <w:jc w:val="left"/>
        <w:rPr>
          <w:rFonts w:hint="eastAsia" w:ascii="宋体" w:hAnsi="宋体" w:eastAsia="宋体"/>
          <w:color w:val="000000" w:themeColor="text1"/>
          <w:sz w:val="28"/>
          <w:szCs w:val="28"/>
          <w14:textFill>
            <w14:solidFill>
              <w14:schemeClr w14:val="tx1"/>
            </w14:solidFill>
          </w14:textFill>
        </w:rPr>
      </w:pPr>
      <w:bookmarkStart w:id="90" w:name="_Toc195459468"/>
      <w:bookmarkStart w:id="91" w:name="_Toc197530143"/>
      <w:r>
        <w:rPr>
          <w:rFonts w:hint="eastAsia" w:ascii="宋体" w:hAnsi="宋体" w:eastAsia="宋体"/>
          <w:color w:val="000000" w:themeColor="text1"/>
          <w:sz w:val="28"/>
          <w:szCs w:val="28"/>
          <w14:textFill>
            <w14:solidFill>
              <w14:schemeClr w14:val="tx1"/>
            </w14:solidFill>
          </w14:textFill>
        </w:rPr>
        <w:t>7.工期和进度</w:t>
      </w:r>
      <w:bookmarkEnd w:id="90"/>
      <w:bookmarkEnd w:id="91"/>
    </w:p>
    <w:p w14:paraId="2A1E155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7.1施工组织设计</w:t>
      </w:r>
    </w:p>
    <w:p w14:paraId="5F26852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7.1.1施工组织设计的内容</w:t>
      </w:r>
    </w:p>
    <w:p w14:paraId="63CEE00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施工组织设计应包含以下内容：</w:t>
      </w:r>
    </w:p>
    <w:p w14:paraId="1274D1C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（1）施工方案；</w:t>
      </w:r>
    </w:p>
    <w:p w14:paraId="26A1388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（2）施工现场平面布置图；</w:t>
      </w:r>
    </w:p>
    <w:p w14:paraId="12018BF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（3）施工进度计划和保证措施；</w:t>
      </w:r>
    </w:p>
    <w:p w14:paraId="6062B00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（4）劳动力及材料供应计划；</w:t>
      </w:r>
    </w:p>
    <w:p w14:paraId="4507288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（5）施工机械设备的选用；</w:t>
      </w:r>
    </w:p>
    <w:p w14:paraId="3EAB6B4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（6）质量保证体系及措施；</w:t>
      </w:r>
    </w:p>
    <w:p w14:paraId="5140977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（7）安全生产、文明施工措施；</w:t>
      </w:r>
    </w:p>
    <w:p w14:paraId="3600251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（8）环境保护、成本控制措施；</w:t>
      </w:r>
    </w:p>
    <w:p w14:paraId="3E9BFAA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（9）合同当事人约定的其他内容。</w:t>
      </w:r>
    </w:p>
    <w:p w14:paraId="00EB0EC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7.1.2施工组织设计的提交和修改</w:t>
      </w:r>
    </w:p>
    <w:p w14:paraId="54A3317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13ADE3D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施工进度计划的编制和修改按照第7.2款〔施工进度计划〕执行。</w:t>
      </w:r>
    </w:p>
    <w:p w14:paraId="110AC890">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7.2施工进度计划</w:t>
      </w:r>
    </w:p>
    <w:p w14:paraId="65BCEFC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7.2.1施工进度计划的编制</w:t>
      </w:r>
    </w:p>
    <w:p w14:paraId="1C47EA0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0DEAF47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7.2.2施工进度计划的修订</w:t>
      </w:r>
    </w:p>
    <w:p w14:paraId="09B1BA8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024E589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7.3开工</w:t>
      </w:r>
    </w:p>
    <w:p w14:paraId="12AA4B0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7.3.1开工准备</w:t>
      </w:r>
    </w:p>
    <w:p w14:paraId="2A0C92F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3F6F45F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除专用合同条款另有约定外，合同当事人应按约定完成开工准备工作。</w:t>
      </w:r>
    </w:p>
    <w:p w14:paraId="2ADC7AC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7.3.2开工通知</w:t>
      </w:r>
    </w:p>
    <w:p w14:paraId="675E56B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93290F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13EF1FD5">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7.4测量放线</w:t>
      </w:r>
    </w:p>
    <w:p w14:paraId="57A4DD4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7.4.1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6ACA081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63A6557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7.4.2承包人负责施工过程中的全部施工测量放线工作，并配置具有相应资质的人员、合格的仪器、设备和其他物品。承包人应矫正工程的位置、标高、尺寸或准线中出现的任何差错，并对工程各部分的定位负责。</w:t>
      </w:r>
    </w:p>
    <w:p w14:paraId="7F2AA08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施工过程中对施工现场内水准点等测量标志物的保护工作由承包人负责。</w:t>
      </w:r>
    </w:p>
    <w:p w14:paraId="215C7DFC">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7.5工期延误</w:t>
      </w:r>
    </w:p>
    <w:p w14:paraId="7459EF9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7.5.1因发包人原因导致工期延误</w:t>
      </w:r>
    </w:p>
    <w:p w14:paraId="3949FCF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在合同履行过程中，因下列情况导致工期延误和（或）费用增加的，由发包人承担由此延误的工期和（或）增加的费用，且发包人应支付承包人合理的利润：</w:t>
      </w:r>
    </w:p>
    <w:p w14:paraId="6679E8F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（1）发包人未能按合同约定提供图纸或所提供图纸不符合合同约定的；</w:t>
      </w:r>
    </w:p>
    <w:p w14:paraId="6DEC35A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（2）发包人未能按合同约定提供施工现场、施工条件、基础资料、许可、批准等开工条件的；</w:t>
      </w:r>
    </w:p>
    <w:p w14:paraId="19D26E2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（3）发包人提供的测量基准点、基准线和水准点及其书面资料存在错误或疏漏的；</w:t>
      </w:r>
    </w:p>
    <w:p w14:paraId="38D7BF9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（4）发包人未能在计划开工日期之日起7天内同意下达开工通知的；</w:t>
      </w:r>
    </w:p>
    <w:p w14:paraId="47DD779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（5）发包人未能按合同约定日期支付工程预付款、进度款或竣工结算款的；</w:t>
      </w:r>
    </w:p>
    <w:p w14:paraId="1640D79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（6）监理人未按合同约定发出指示、批准等文件的；</w:t>
      </w:r>
    </w:p>
    <w:p w14:paraId="509C3EA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（7）专用合同条款中约定的其他情形。</w:t>
      </w:r>
    </w:p>
    <w:p w14:paraId="151C9BB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058E3F1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7.5.2因承包人原因导致工期延误</w:t>
      </w:r>
    </w:p>
    <w:p w14:paraId="3D16B15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因承包人原因造成工期延误的，可以在专用合同条款中约定逾期竣工违约金的计算方法和逾期竣工违约金的上限。承包人支付逾期竣工违约金后，不免除承包人继续完成工程及修补缺陷的义务。</w:t>
      </w:r>
    </w:p>
    <w:p w14:paraId="2A9D3C1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7.6不利物质条件</w:t>
      </w:r>
    </w:p>
    <w:p w14:paraId="6D179CD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3DE7E2E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03F9989C">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7.7异常恶劣的气候条件</w:t>
      </w:r>
    </w:p>
    <w:p w14:paraId="19604B7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E3C40A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0888ABB3">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7.8暂停施工</w:t>
      </w:r>
    </w:p>
    <w:p w14:paraId="7E2F968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7.8.1发包人原因引起的暂停施工</w:t>
      </w:r>
    </w:p>
    <w:p w14:paraId="02AE316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因发包人原因引起暂停施工的，监理人经发包人同意后，应及时下达暂停施工指示。情况紧急且监理人未及时下达暂停施工指示的，按照第7.8.4项〔紧急情况下的暂停施工〕执行。</w:t>
      </w:r>
    </w:p>
    <w:p w14:paraId="6FAA022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因发包人原因引起的暂停施工，发包人应承担由此增加的费用和（或）延误的工期，并支付承包人合理的利润。</w:t>
      </w:r>
    </w:p>
    <w:p w14:paraId="6822564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7.8.2承包人原因引起的暂停施工</w:t>
      </w:r>
    </w:p>
    <w:p w14:paraId="0855FD1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65DA9CB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7.8.3指示暂停施工</w:t>
      </w:r>
    </w:p>
    <w:p w14:paraId="0EBAF80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监理人认为有必要时，并经发包人批准后，可向承包人作出暂停施工的指示，承包人应按监理人指示暂停施工。</w:t>
      </w:r>
    </w:p>
    <w:p w14:paraId="35C97BA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7.8.4紧急情况下的暂停施工</w:t>
      </w:r>
    </w:p>
    <w:p w14:paraId="0D98C8F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3961D69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7.8.5暂停施工后的复工</w:t>
      </w:r>
    </w:p>
    <w:p w14:paraId="797311A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4E7A5FC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承包人无故拖延和拒绝复工的，承包人承担由此增加的费用和（或）延误的工期；因发包人原因无法按时复工的，按照第7.5.1项〔因发包人原因导致工期延误〕约定办理。</w:t>
      </w:r>
    </w:p>
    <w:p w14:paraId="47BA5E2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7.8.6暂停施工持续56天以上</w:t>
      </w:r>
    </w:p>
    <w:p w14:paraId="53BA720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32B5666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7426AB4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7.8.7暂停施工期间的工程照管</w:t>
      </w:r>
    </w:p>
    <w:p w14:paraId="0A849FA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暂停施工期间，承包人应负责妥善照管工程并提供安全保障，由此增加的费用由责任方承担。</w:t>
      </w:r>
    </w:p>
    <w:p w14:paraId="1CEE793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7.8.8暂停施工的措施</w:t>
      </w:r>
    </w:p>
    <w:p w14:paraId="03AC931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暂停施工期间，发包人和承包人均应采取必要的措施确保工程质量及安全，防止因暂停施工扩大损失。</w:t>
      </w:r>
    </w:p>
    <w:p w14:paraId="0E92981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7.9提前竣工</w:t>
      </w:r>
    </w:p>
    <w:p w14:paraId="28E27F6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7.9.1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143F723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7.9.2发包人要求承包人提前竣工，或承包人提出提前竣工的建议能够给发包人带来效益的，合同当事人可以在专用合同条款中约定提前竣工的奖励。</w:t>
      </w:r>
    </w:p>
    <w:p w14:paraId="610D2D86">
      <w:pPr>
        <w:pStyle w:val="4"/>
        <w:jc w:val="left"/>
        <w:rPr>
          <w:rFonts w:hint="eastAsia" w:ascii="宋体" w:hAnsi="宋体" w:eastAsia="宋体"/>
          <w:color w:val="000000" w:themeColor="text1"/>
          <w:sz w:val="28"/>
          <w:szCs w:val="28"/>
          <w14:textFill>
            <w14:solidFill>
              <w14:schemeClr w14:val="tx1"/>
            </w14:solidFill>
          </w14:textFill>
        </w:rPr>
      </w:pPr>
      <w:bookmarkStart w:id="92" w:name="_Toc195459469"/>
      <w:bookmarkStart w:id="93" w:name="_Toc197530144"/>
      <w:r>
        <w:rPr>
          <w:rFonts w:hint="eastAsia" w:ascii="宋体" w:hAnsi="宋体" w:eastAsia="宋体"/>
          <w:color w:val="000000" w:themeColor="text1"/>
          <w:sz w:val="28"/>
          <w:szCs w:val="28"/>
          <w14:textFill>
            <w14:solidFill>
              <w14:schemeClr w14:val="tx1"/>
            </w14:solidFill>
          </w14:textFill>
        </w:rPr>
        <w:t>8.材料与设备</w:t>
      </w:r>
      <w:bookmarkEnd w:id="92"/>
      <w:bookmarkEnd w:id="93"/>
    </w:p>
    <w:p w14:paraId="51985874">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8.1发包人供应材料与工程设备</w:t>
      </w:r>
    </w:p>
    <w:p w14:paraId="5C862DC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发包人自行供应材料、工程设备的，应在签订合同时在专用合同条款的附件《发包人供应材料设备一览表》中明确材料、工程设备的品种、规格、型号、数量、单价、质量等级和送达地点。</w:t>
      </w:r>
    </w:p>
    <w:p w14:paraId="2296609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7E045705">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8.2承包人采购材料与工程设备</w:t>
      </w:r>
    </w:p>
    <w:p w14:paraId="078B56A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0788E81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8.3材料与工程设备的接收与拒收</w:t>
      </w:r>
    </w:p>
    <w:p w14:paraId="2A3B970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8.3.1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4B1D28D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发包人提供的材料和工程设备的规格、数量或质量不符合合同约定的，或因发包人原因导致交货日期延误或交货地点变更等情况的，按照第16.1款〔发包人违约〕约定办理。</w:t>
      </w:r>
    </w:p>
    <w:p w14:paraId="38B4259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8.3.2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7212936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4DAEB5A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8.4材料与工程设备的保管与使用</w:t>
      </w:r>
    </w:p>
    <w:p w14:paraId="427CC26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8.4.1发包人供应材料与工程设备的保管与使用</w:t>
      </w:r>
    </w:p>
    <w:p w14:paraId="473BD73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5DBC505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发包人供应的材料和工程设备使用前，由承包人负责检验，检验费用由发包人承担，不合格的不得使用。</w:t>
      </w:r>
    </w:p>
    <w:p w14:paraId="1C63010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8.4.2承包人采购材料与工程设备的保管与使用</w:t>
      </w:r>
    </w:p>
    <w:p w14:paraId="1D2A76A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0117B99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发包人或监理人发现承包人使用不符合设计或有关标准要求的材料和工程设备时，有权要求承包人进行修复、拆除或重新采购，由此增加的费用和（或）延误的工期，由承包人承担。</w:t>
      </w:r>
    </w:p>
    <w:p w14:paraId="0637C188">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8.5禁止使用不合格的材料和工程设备</w:t>
      </w:r>
    </w:p>
    <w:p w14:paraId="2408328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8.5.1监理人有权拒绝承包人提供的不合格材料或工程设备，并要求承包人立即进行更换。监理人应在更换后再次进行检查和检验，由此增加的费用和（或）延误的工期由承包人承担。</w:t>
      </w:r>
    </w:p>
    <w:p w14:paraId="6988671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8.5.2监理人发现承包人使用了不合格的材料和工程设备，承包人应按照监理人的指示立即改正，并禁止在工程中继续使用不合格的材料和工程设备。</w:t>
      </w:r>
    </w:p>
    <w:p w14:paraId="30E8587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8.5.3发包人提供的材料或工程设备不符合合同要求的，承包人有权拒绝，并可要求发包人更换，由此增加的费用和（或）延误的工期由发包人承担，并支付承包人合理的利润。</w:t>
      </w:r>
    </w:p>
    <w:p w14:paraId="5C97246C">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8.6样品</w:t>
      </w:r>
    </w:p>
    <w:p w14:paraId="2D5D36D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8.6.1样品的报送与封存</w:t>
      </w:r>
    </w:p>
    <w:p w14:paraId="6C0E071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需要承包人报送样品的材料或工程设备，样品的种类、名称、规格、数量等要求均应在专用合同条款中约定。样品的报送程序如下：</w:t>
      </w:r>
    </w:p>
    <w:p w14:paraId="7132B22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0EA6AC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7C0FF71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（3）经发包人和监理人审批确认的样品应按约定的方法封样，封存的样品作为检验工程相关部分的标准之一。承包人在施工过程中不得使用与样品不符的材料或工程设备。</w:t>
      </w:r>
    </w:p>
    <w:p w14:paraId="0B87052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55DE3E5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8.6.2样品的保管</w:t>
      </w:r>
    </w:p>
    <w:p w14:paraId="4A09F21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经批准的样品应由监理人负责封存于现场，承包人应在现场为保存样品提供适当和固定的场所并保持适当和良好的存储环境条件。</w:t>
      </w:r>
    </w:p>
    <w:p w14:paraId="7A98FA19">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8.7材料与工程设备的替代</w:t>
      </w:r>
    </w:p>
    <w:p w14:paraId="59BF958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8.7.1出现下列情况需要使用替代材料和工程设备的，承包人应按照第8.7.2项约定的程序执行：</w:t>
      </w:r>
    </w:p>
    <w:p w14:paraId="25D947D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（1）基准日期后生效的法律规定禁止使用的；</w:t>
      </w:r>
    </w:p>
    <w:p w14:paraId="1BA517F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（2）发包人要求使用替代品的；</w:t>
      </w:r>
    </w:p>
    <w:p w14:paraId="2794F59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（3）因其他原因必须使用替代品的。</w:t>
      </w:r>
    </w:p>
    <w:p w14:paraId="189E3E5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8.7.2承包人应在使用替代材料和工程设备28天前书面通知监理人，并附下列文件：</w:t>
      </w:r>
    </w:p>
    <w:p w14:paraId="09C9F74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（1）被替代的材料和工程设备的名称、数量、规格、型号、品牌、性能、价格及其他相关资料；</w:t>
      </w:r>
    </w:p>
    <w:p w14:paraId="241F512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（2）替代品的名称、数量、规格、型号、品牌、性能、价格及其他相关资料；</w:t>
      </w:r>
    </w:p>
    <w:p w14:paraId="607A200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（3）替代品与被替代产品之间的差异以及使用替代品可能对工程产生的影响；</w:t>
      </w:r>
    </w:p>
    <w:p w14:paraId="482AE5C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（4）替代品与被替代产品的价格差异；</w:t>
      </w:r>
    </w:p>
    <w:p w14:paraId="30BF246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（5）使用替代品的理由和原因说明；</w:t>
      </w:r>
    </w:p>
    <w:p w14:paraId="2FE4FE2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（6）监理人要求的其他文件。</w:t>
      </w:r>
    </w:p>
    <w:p w14:paraId="7EF608F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监理人应在收到通知后14天内向承包人发出经发包人签认的书面指示；监理人逾期发出书面指示的，视为发包人和监理人同意使用替代品。</w:t>
      </w:r>
    </w:p>
    <w:p w14:paraId="3FC392F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8.7.3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4CE9413A">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8.8施工设备和临时设施</w:t>
      </w:r>
    </w:p>
    <w:p w14:paraId="2B783CD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8.8.1承包人提供的施工设备和临时设施</w:t>
      </w:r>
    </w:p>
    <w:p w14:paraId="3EC1E33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承包人应按合同进度计划的要求，及时配置施工设备和修建临时设施。进入施工场地的承包人设备需经监理人核查后才能投入使用。承包人更换合同约定的承包人设备的，应报监理人批准。</w:t>
      </w:r>
    </w:p>
    <w:p w14:paraId="2F374F5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除专用合同条款另有约定外，承包人应自行承担修建临时设施的费用，需要临时占地的，应由发包人办理申请手续并承担相应费用。</w:t>
      </w:r>
    </w:p>
    <w:p w14:paraId="77EA73B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8.8.2发包人提供的施工设备和临时设施</w:t>
      </w:r>
    </w:p>
    <w:p w14:paraId="78665AD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发包人提供的施工设备或临时设施在专用合同条款中约定。</w:t>
      </w:r>
    </w:p>
    <w:p w14:paraId="09B8EEC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8.8.3要求承包人增加或更换施工设备</w:t>
      </w:r>
    </w:p>
    <w:p w14:paraId="16AC68E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承包人使用的施工设备不能满足合同进度计划和（或）质量要求时，监理人有权要求承包人增加或更换施工设备，承包人应及时增加或更换，由此增加的费用和（或）延误的工期由承包人承担。</w:t>
      </w:r>
    </w:p>
    <w:p w14:paraId="6F4183B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8.9材料与设备专用要求</w:t>
      </w:r>
    </w:p>
    <w:p w14:paraId="3F66F1D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w:t>
      </w:r>
    </w:p>
    <w:p w14:paraId="6B590119">
      <w:pPr>
        <w:pStyle w:val="4"/>
        <w:jc w:val="left"/>
        <w:rPr>
          <w:rFonts w:hint="eastAsia" w:ascii="宋体" w:hAnsi="宋体" w:eastAsia="宋体"/>
          <w:color w:val="000000" w:themeColor="text1"/>
          <w:sz w:val="28"/>
          <w:szCs w:val="28"/>
          <w14:textFill>
            <w14:solidFill>
              <w14:schemeClr w14:val="tx1"/>
            </w14:solidFill>
          </w14:textFill>
        </w:rPr>
      </w:pPr>
      <w:bookmarkStart w:id="94" w:name="_Toc197530145"/>
      <w:bookmarkStart w:id="95" w:name="_Toc195459470"/>
      <w:r>
        <w:rPr>
          <w:rFonts w:hint="eastAsia" w:ascii="宋体" w:hAnsi="宋体" w:eastAsia="宋体"/>
          <w:color w:val="000000" w:themeColor="text1"/>
          <w:sz w:val="28"/>
          <w:szCs w:val="28"/>
          <w14:textFill>
            <w14:solidFill>
              <w14:schemeClr w14:val="tx1"/>
            </w14:solidFill>
          </w14:textFill>
        </w:rPr>
        <w:t>9.试验与检验</w:t>
      </w:r>
      <w:bookmarkEnd w:id="94"/>
      <w:bookmarkEnd w:id="95"/>
    </w:p>
    <w:p w14:paraId="508C122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9.1试验设备与试验人员</w:t>
      </w:r>
    </w:p>
    <w:p w14:paraId="28A1DFA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9.1.1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650DCFF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9.1.2承包人应按专用合同条款的约定提供试验设备、取样装置、试验场所和试验条件，并向监理人提交相应进场计划表。</w:t>
      </w:r>
    </w:p>
    <w:p w14:paraId="5DEF85A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承包人配置的试验设备要符合相应试验规程的要求并经过具有资质的检测单位检测，且在正式使用该试验设备前，需要经过监理人与承包人共同校定。</w:t>
      </w:r>
    </w:p>
    <w:p w14:paraId="48E7327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9.1.3承包人应向监理人提交试验人员的名单及其岗位、资格等证明资料，试验人员必须能够熟练进行相应的检测试验，承包人对试验人员的试验程序和试验结果的正确性负责。</w:t>
      </w:r>
    </w:p>
    <w:p w14:paraId="6888783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9.2取样</w:t>
      </w:r>
    </w:p>
    <w:p w14:paraId="5678C68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试验属于自检性质的，承包人可以单独取样。试验属于监理人抽检性质的，可由监理人取样，也可由承包人的试验人员在监理人的监督下取样。</w:t>
      </w:r>
    </w:p>
    <w:p w14:paraId="7264D5C6">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9.3材料、工程设备和工程的试验和检验</w:t>
      </w:r>
    </w:p>
    <w:p w14:paraId="2169F7A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94DA82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3383FF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0FFA2339">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9.4现场工艺试验</w:t>
      </w:r>
    </w:p>
    <w:p w14:paraId="0A26024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承包人应按合同约定或监理人指示进行现场工艺试验。对大型的现场工艺试验，监理人认为必要时，承包人应根据监理人提出的工艺试验要求，编制工艺试验措施计划，报送监理人审查。</w:t>
      </w:r>
    </w:p>
    <w:p w14:paraId="6F32E71D">
      <w:pPr>
        <w:pStyle w:val="4"/>
        <w:jc w:val="left"/>
        <w:rPr>
          <w:rFonts w:hint="eastAsia" w:ascii="宋体" w:hAnsi="宋体" w:eastAsia="宋体"/>
          <w:color w:val="000000" w:themeColor="text1"/>
          <w:sz w:val="28"/>
          <w:szCs w:val="28"/>
          <w14:textFill>
            <w14:solidFill>
              <w14:schemeClr w14:val="tx1"/>
            </w14:solidFill>
          </w14:textFill>
        </w:rPr>
      </w:pPr>
      <w:bookmarkStart w:id="96" w:name="_Toc197530146"/>
      <w:bookmarkStart w:id="97" w:name="_Toc195459471"/>
      <w:r>
        <w:rPr>
          <w:rFonts w:hint="eastAsia" w:ascii="宋体" w:hAnsi="宋体" w:eastAsia="宋体"/>
          <w:color w:val="000000" w:themeColor="text1"/>
          <w:sz w:val="28"/>
          <w:szCs w:val="28"/>
          <w14:textFill>
            <w14:solidFill>
              <w14:schemeClr w14:val="tx1"/>
            </w14:solidFill>
          </w14:textFill>
        </w:rPr>
        <w:t>10.变更</w:t>
      </w:r>
      <w:bookmarkEnd w:id="96"/>
      <w:bookmarkEnd w:id="97"/>
    </w:p>
    <w:p w14:paraId="0ED924A5">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10.1变更的范围</w:t>
      </w:r>
    </w:p>
    <w:p w14:paraId="3B5F910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除专用合同条款另有约定外，合同履行过程中发生以下情形的，应按照本条约定进行变更：</w:t>
      </w:r>
    </w:p>
    <w:p w14:paraId="5C4A9CA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（1）增加或减少合同中任何工作，或追加额外的工作；</w:t>
      </w:r>
    </w:p>
    <w:p w14:paraId="3568322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（2）取消合同中任何工作，但转由他人实施的工作除外；</w:t>
      </w:r>
    </w:p>
    <w:p w14:paraId="795884D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（3）改变合同中任何工作的质量标准或其他特性；</w:t>
      </w:r>
    </w:p>
    <w:p w14:paraId="53EE00C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（4）改变工程的基线、标高、位置和尺寸；</w:t>
      </w:r>
    </w:p>
    <w:p w14:paraId="6CA1B5A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（5）改变工程的时间安排或实施顺序。</w:t>
      </w:r>
    </w:p>
    <w:p w14:paraId="12C39BB2">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10.2变更权</w:t>
      </w:r>
    </w:p>
    <w:p w14:paraId="7538BA3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1C4D369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涉及设计变更的，应由设计人提供变更后的图纸和说明。如变更超过原设计标准或批准的建设规模时，发包人应及时办理规划、设计变更等审批手续。</w:t>
      </w:r>
    </w:p>
    <w:p w14:paraId="5934DC1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10.3变更程序</w:t>
      </w:r>
    </w:p>
    <w:p w14:paraId="5BECE50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10.3.1发包人提出变更</w:t>
      </w:r>
    </w:p>
    <w:p w14:paraId="2A1C1D7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发包人提出变更的，应通过监理人向承包人发出变更指示，变更指示应说明计划变更的工程范围和变更的内容。</w:t>
      </w:r>
    </w:p>
    <w:p w14:paraId="13A3D7E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10.3.2监理人提出变更建议</w:t>
      </w:r>
    </w:p>
    <w:p w14:paraId="0F9E285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417F25C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10.3.3变更执行</w:t>
      </w:r>
    </w:p>
    <w:p w14:paraId="45D9A47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986C976">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10.4变更估价</w:t>
      </w:r>
    </w:p>
    <w:p w14:paraId="52EB8D1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10.4.1变更估价原则</w:t>
      </w:r>
    </w:p>
    <w:p w14:paraId="31912B7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除专用合同条款另有约定外，变更估价按照本款约定处理：</w:t>
      </w:r>
    </w:p>
    <w:p w14:paraId="293D21D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（1）已标价工程量清单或预算书有相同项目的，按照相同项目单价认定；</w:t>
      </w:r>
    </w:p>
    <w:p w14:paraId="2948E68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（2）已标价工程量清单或预算书中无相同项目，但有类似项目的，参照类似项目的单价认定；</w:t>
      </w:r>
    </w:p>
    <w:p w14:paraId="6CC0178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2052FA5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10.4.2变更估价程序</w:t>
      </w:r>
    </w:p>
    <w:p w14:paraId="2A59EDD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5706009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因变更引起的价格调整应计入最近一期的进度款中支付。</w:t>
      </w:r>
    </w:p>
    <w:p w14:paraId="1C5240A8">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10.5承包人的合理化建议</w:t>
      </w:r>
    </w:p>
    <w:p w14:paraId="1A873AA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承包人提出合理化建议的，应向监理人提交合理化建议说明，说明建议的内容和理由，以及实施该建议对合同价格和工期的影响。</w:t>
      </w:r>
    </w:p>
    <w:p w14:paraId="50E21FC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0DE968C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合理化建议降低了合同价格或者提高了工程经济效益的，发包人可对承包人给予奖励，奖励的方法和金额在专用合同条款中约定。</w:t>
      </w:r>
    </w:p>
    <w:p w14:paraId="4E65C4E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10.6变更引起的工期调整</w:t>
      </w:r>
    </w:p>
    <w:p w14:paraId="313FC29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因变更引起工期变化的，合同当事人均可要求调整合同工期，由合同当事人按照第4.4款〔商定或确定〕并参考工程所在地的工期定额标准确定增减工期天数。</w:t>
      </w:r>
    </w:p>
    <w:p w14:paraId="7619BBB3">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10.7暂估价</w:t>
      </w:r>
    </w:p>
    <w:p w14:paraId="5442CAD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暂估价专业分包工程、服务、材料和工程设备的明细由合同当事人在专用合同条款中约定。</w:t>
      </w:r>
    </w:p>
    <w:p w14:paraId="216CB46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10.7.1依法必须招标的暂估价项目</w:t>
      </w:r>
    </w:p>
    <w:p w14:paraId="6250ED5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对于依法必须招标的暂估价项目，采取以下第1种方式确定。合同当事人也可以在专用合同条款中选择其他招标方式。</w:t>
      </w:r>
    </w:p>
    <w:p w14:paraId="55AEF9D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第1种方式：对于依法必须招标的暂估价项目，由承包人招标，对该暂估价项目的确认和批准按照以下约定执行：</w:t>
      </w:r>
    </w:p>
    <w:p w14:paraId="34B3FDB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7818D69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6BEDC79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1C0E7FD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734C07F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10.7.2不属于依法必须招标的暂估价项目</w:t>
      </w:r>
    </w:p>
    <w:p w14:paraId="46D98D6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除专用合同条款另有约定外，对于不属于依法必须招标的暂估价项目，采取以下第1种方式确定：</w:t>
      </w:r>
    </w:p>
    <w:p w14:paraId="2312952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第1种方式：对于不属于依法必须招标的暂估价项目，按本项约定确认和批准：</w:t>
      </w:r>
    </w:p>
    <w:p w14:paraId="1AF04F1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015C92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（2）发包人认为承包人确定的供应商、分包人无法满足工程质量或合同要求的，发包人可以要求承包人重新确定暂估价项目的供应商、分包人；</w:t>
      </w:r>
    </w:p>
    <w:p w14:paraId="2ED249F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（3）承包人应当在签订暂估价合同后7天内，将暂估价合同副本报送发包人留存。</w:t>
      </w:r>
    </w:p>
    <w:p w14:paraId="546D359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第2种方式：承包人按照第10.7.1项〔依法必须招标的暂估价项目〕约定的第1种方式确定暂估价项目。</w:t>
      </w:r>
    </w:p>
    <w:p w14:paraId="7CACE08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第3种方式：承包人直接实施的暂估价项目</w:t>
      </w:r>
    </w:p>
    <w:p w14:paraId="0F2E879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承包人具备实施暂估价项目的资格和条件的，经发包人和承包人协商一致后，可由承包人自行实施暂估价项目，合同当事人可以在专用合同条款约定具体事项。</w:t>
      </w:r>
    </w:p>
    <w:p w14:paraId="0715738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10.7.3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CFD74D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10.8暂列金额</w:t>
      </w:r>
    </w:p>
    <w:p w14:paraId="0278D09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暂列金额应按照发包人的要求使用，发包人的要求应通过监理人发出。合同当事人可以在专用合同条款中协商确定有关事项。</w:t>
      </w:r>
    </w:p>
    <w:p w14:paraId="6FE74BA8">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10.9计日工</w:t>
      </w:r>
    </w:p>
    <w:p w14:paraId="174E503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326812D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采用计日工计价的任何一项工作，承包人应在该项工作实施过程中，每天提交以下报表和有关凭证报送监理人审查：</w:t>
      </w:r>
    </w:p>
    <w:p w14:paraId="5DA7992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（1）工作名称、内容和数量；</w:t>
      </w:r>
    </w:p>
    <w:p w14:paraId="01AC096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（2）投入该工作的所有人员的姓名、专业、工种、级别和耗用工时；</w:t>
      </w:r>
    </w:p>
    <w:p w14:paraId="3FF059E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（3）投入该工作的材料类别和数量；</w:t>
      </w:r>
    </w:p>
    <w:p w14:paraId="02B6BFD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（4）投入该工作的施工设备型号、台数和耗用台时；</w:t>
      </w:r>
    </w:p>
    <w:p w14:paraId="37E9F39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（5）其他有关资料和凭证。</w:t>
      </w:r>
    </w:p>
    <w:p w14:paraId="2533D8C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计日工由承包人汇总后，列入最近一期进度付款申请单，由监理人审查并经发包人批准后列入进度付款。</w:t>
      </w:r>
    </w:p>
    <w:p w14:paraId="51113099">
      <w:pPr>
        <w:pStyle w:val="4"/>
        <w:jc w:val="left"/>
        <w:rPr>
          <w:rFonts w:hint="eastAsia" w:ascii="宋体" w:hAnsi="宋体" w:eastAsia="宋体"/>
          <w:color w:val="000000" w:themeColor="text1"/>
          <w:sz w:val="28"/>
          <w:szCs w:val="28"/>
          <w14:textFill>
            <w14:solidFill>
              <w14:schemeClr w14:val="tx1"/>
            </w14:solidFill>
          </w14:textFill>
        </w:rPr>
      </w:pPr>
      <w:bookmarkStart w:id="98" w:name="_Toc197530147"/>
      <w:bookmarkStart w:id="99" w:name="_Toc195459472"/>
      <w:r>
        <w:rPr>
          <w:rFonts w:hint="eastAsia" w:ascii="宋体" w:hAnsi="宋体" w:eastAsia="宋体"/>
          <w:color w:val="000000" w:themeColor="text1"/>
          <w:sz w:val="28"/>
          <w:szCs w:val="28"/>
          <w14:textFill>
            <w14:solidFill>
              <w14:schemeClr w14:val="tx1"/>
            </w14:solidFill>
          </w14:textFill>
        </w:rPr>
        <w:t>11.价格调整</w:t>
      </w:r>
      <w:bookmarkEnd w:id="98"/>
      <w:bookmarkEnd w:id="99"/>
    </w:p>
    <w:p w14:paraId="1B824EA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11.1市场价格波动引起的调整</w:t>
      </w:r>
    </w:p>
    <w:p w14:paraId="711013D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除专用合同条款另有约定外，市场价格波动超过合同当事人约定的范围，合同价格应当调整。合同当事人可以在专用合同条款中约定选择以下一种方式对合同价格进行调整：</w:t>
      </w:r>
    </w:p>
    <w:p w14:paraId="10D506C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第1种方式：采用价格指数进行价格调整。</w:t>
      </w:r>
    </w:p>
    <w:p w14:paraId="5771CFA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（1）价格调整公式</w:t>
      </w:r>
    </w:p>
    <w:p w14:paraId="4437AE2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因人工、材料和设备等价格波动影响合同价格时，根据专用合同条款中约定的数据，按以下公式计算差额并调整合同价格：</w:t>
      </w:r>
    </w:p>
    <w:p w14:paraId="272002E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公式中：ΔP——需调整的价格差额；</w:t>
      </w:r>
    </w:p>
    <w:p w14:paraId="121B31E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——约定的付款证书中承包人应得到的已完成工程量的金额。此项金额应不包括价格调整、不计质量保证金的扣留和支付、预付款的支付和扣回。约定的变更及其他金额已按现行价格计价的，也不计在内；</w:t>
      </w:r>
    </w:p>
    <w:p w14:paraId="38554AC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A——定值权重（即不调部分的权重）；</w:t>
      </w:r>
    </w:p>
    <w:p w14:paraId="3B23479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——各可调因子的变值权重（即可调部分的权重），为各可调因子在签约合同价中所占的比例；</w:t>
      </w:r>
    </w:p>
    <w:p w14:paraId="537DDFF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——各可调因子的现行价格指数，指约定的付款证书相关周期最后一天的前42天的各可调因子的价格指数；</w:t>
      </w:r>
    </w:p>
    <w:p w14:paraId="1F04FEF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——各可调因子的基本价格指数，指基准日期的各可调因子的价格指数。</w:t>
      </w:r>
    </w:p>
    <w:p w14:paraId="1DB5F81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68FC34B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（2）暂时确定调整差额</w:t>
      </w:r>
    </w:p>
    <w:p w14:paraId="2E7F5BE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在计算调整差额时无现行价格指数的，合同当事人同意暂用前次价格指数计算。实际价格指数有调整的，合同当事人进行相应调整。</w:t>
      </w:r>
    </w:p>
    <w:p w14:paraId="66F647D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（3）权重的调整</w:t>
      </w:r>
    </w:p>
    <w:p w14:paraId="112F24E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因变更导致合同约定的权重不合理时，按照第4.4款〔商定或确定〕执行。</w:t>
      </w:r>
    </w:p>
    <w:p w14:paraId="58A6856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（4）因承包人原因工期延误后的价格调整</w:t>
      </w:r>
    </w:p>
    <w:p w14:paraId="0759C7E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因承包人原因未按期竣工的，对合同约定的竣工日期后继续施工的工程，在使用价格调整公式时，应采用计划竣工日期与实际竣工日期的两个价格指数中较低的一个作为现行价格指数。</w:t>
      </w:r>
    </w:p>
    <w:p w14:paraId="1A575EF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第2种方式：采用造价信息进行价格调整。</w:t>
      </w:r>
    </w:p>
    <w:p w14:paraId="24E3B08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4DF71F3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1C75D02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（2）材料、工程设备价格变化的价款调整按照发包人提供的基准价格，按以下风险范围规定执行：</w:t>
      </w:r>
    </w:p>
    <w:p w14:paraId="6EBF716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416FA68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7354AF4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③承包人在已标价工程量清单或预算书中载明材料单价等于基准价格的：除专用合同条款另有约定外，合同履行期间材料单价涨跌幅以基准价格为基础超过±5%时，其超过部分据实调整。</w:t>
      </w:r>
    </w:p>
    <w:p w14:paraId="12D645D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4142F2F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前述基准价格是指由发包人在招标文件或专用合同条款中给定的材料、工程设备的价格，该价格原则上应当按照省级或行业建设主管部门或其授权的工程造价管理机构发布的信息价编制。</w:t>
      </w:r>
    </w:p>
    <w:p w14:paraId="406F089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（3）施工机械台班单价或施工机械使用费发生变化超过省级或行业建设主管部门或其授权的工程造价管理机构规定的范围时，按规定调整合同价格。</w:t>
      </w:r>
    </w:p>
    <w:p w14:paraId="7EA8E75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第3种方式：专用合同条款约定的其他方式。</w:t>
      </w:r>
    </w:p>
    <w:p w14:paraId="30C0AD35">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11.2法律变化引起的调整</w:t>
      </w:r>
    </w:p>
    <w:p w14:paraId="6AC19C9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0A18B5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因法律变化引起的合同价格和工期调整，合同当事人无法达成一致的，由总监理工程师按第4.4款〔商定或确定〕的约定处理。</w:t>
      </w:r>
    </w:p>
    <w:p w14:paraId="706ABEA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因承包人原因造成工期延误，在工期延误期间出现法律变化的，由此增加的费用和（或）延误的工期由承包人承担。</w:t>
      </w:r>
    </w:p>
    <w:p w14:paraId="4A20DBCB">
      <w:pPr>
        <w:pStyle w:val="4"/>
        <w:jc w:val="left"/>
        <w:rPr>
          <w:rFonts w:hint="eastAsia" w:ascii="宋体" w:hAnsi="宋体" w:eastAsia="宋体"/>
          <w:color w:val="000000" w:themeColor="text1"/>
          <w:sz w:val="28"/>
          <w:szCs w:val="28"/>
          <w14:textFill>
            <w14:solidFill>
              <w14:schemeClr w14:val="tx1"/>
            </w14:solidFill>
          </w14:textFill>
        </w:rPr>
      </w:pPr>
      <w:bookmarkStart w:id="100" w:name="_Toc195459473"/>
      <w:bookmarkStart w:id="101" w:name="_Toc197530148"/>
      <w:r>
        <w:rPr>
          <w:rFonts w:hint="eastAsia" w:ascii="宋体" w:hAnsi="宋体" w:eastAsia="宋体"/>
          <w:color w:val="000000" w:themeColor="text1"/>
          <w:sz w:val="28"/>
          <w:szCs w:val="28"/>
          <w14:textFill>
            <w14:solidFill>
              <w14:schemeClr w14:val="tx1"/>
            </w14:solidFill>
          </w14:textFill>
        </w:rPr>
        <w:t>12.合同价格、计量与支付</w:t>
      </w:r>
      <w:bookmarkEnd w:id="100"/>
      <w:bookmarkEnd w:id="101"/>
    </w:p>
    <w:p w14:paraId="699CCD64">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12.1合同价格形式</w:t>
      </w:r>
    </w:p>
    <w:p w14:paraId="3F805C9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发包人和承包人应在合同协议书中选择下列一种合同价格形式：</w:t>
      </w:r>
    </w:p>
    <w:p w14:paraId="3A6C7F2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1.单价合同</w:t>
      </w:r>
    </w:p>
    <w:p w14:paraId="6F567F1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645573B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2.总价合同</w:t>
      </w:r>
    </w:p>
    <w:p w14:paraId="3D45D4E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3B067BF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3.其它价格形式</w:t>
      </w:r>
    </w:p>
    <w:p w14:paraId="02CD78F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合同当事人可在专用合同条款中约定其他合同价格形式。</w:t>
      </w:r>
    </w:p>
    <w:p w14:paraId="1FA72A60">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12.2预付款</w:t>
      </w:r>
    </w:p>
    <w:p w14:paraId="6B115BA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12.2.1预付款的支付</w:t>
      </w:r>
    </w:p>
    <w:p w14:paraId="13F5D7A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预付款的支付按照专用合同条款约定执行，但至迟应在开工通知载明的开工日期7天前支付。预付款应当用于材料、工程设备、施工设备的采购及修建临时工程、组织施工队伍进场等。</w:t>
      </w:r>
    </w:p>
    <w:p w14:paraId="5960091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除专用合同条款另有约定外，预付款在进度付款中同比例扣回。在颁发工程接收证书前，提前解除合同的，尚未扣完的预付款应与合同价款一并结算。</w:t>
      </w:r>
    </w:p>
    <w:p w14:paraId="5449EA9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发包人逾期支付预付款超过7天的，承包人有权向发包人发出要求预付的催告通知，发包人收到通知后7天内仍未支付的，承包人有权暂停施工，并按第16.1.1项〔发包人违约的情形〕执行。</w:t>
      </w:r>
    </w:p>
    <w:p w14:paraId="32B9428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12.2.2预付款担保</w:t>
      </w:r>
    </w:p>
    <w:p w14:paraId="083AEEB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57E3E37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发包人在工程款中逐期扣回预付款后，预付款担保额度应相应减少，但剩余的预付款担保金额不得低于未被扣回的预付款金额。</w:t>
      </w:r>
    </w:p>
    <w:p w14:paraId="5C9A9DB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12.3计量</w:t>
      </w:r>
    </w:p>
    <w:p w14:paraId="32A1E3A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12.3.1计量原则</w:t>
      </w:r>
    </w:p>
    <w:p w14:paraId="07A84E6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工程量计量按照合同约定的工程量计算规则、图纸及变更指示等进行计量。工程量计算规则应以相关的国家标准、行业标准等为依据，由合同当事人在专用合同条款中约定。</w:t>
      </w:r>
    </w:p>
    <w:p w14:paraId="5ED45DC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12.3.2计量周期</w:t>
      </w:r>
    </w:p>
    <w:p w14:paraId="141E29A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除专用合同条款另有约定外，工程量的计量按月进行。</w:t>
      </w:r>
    </w:p>
    <w:p w14:paraId="6431CD4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12.3.3单价合同的计量</w:t>
      </w:r>
    </w:p>
    <w:p w14:paraId="659C16A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除专用合同条款另有约定外，单价合同的计量按照本项约定执行：</w:t>
      </w:r>
    </w:p>
    <w:p w14:paraId="301E991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（1）承包人应于每月25日向监理人报送上月20日至当月19日已完成的工程量报告，并附具进度付款申请单、已完成工程量报表和有关资料。</w:t>
      </w:r>
    </w:p>
    <w:p w14:paraId="20E370E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506E2EB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（3）监理人未在收到承包人提交的工程量报表后的7天内完成审核的，承包人报送的工程量报告中的工程量视为承包人实际完成的工程量，据此计算工程价款。</w:t>
      </w:r>
    </w:p>
    <w:p w14:paraId="2E023D0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12.3.4总价合同的计量</w:t>
      </w:r>
    </w:p>
    <w:p w14:paraId="26EC11A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除专用合同条款另有约定外，按月计量支付的总价合同，按照本项约定执行：</w:t>
      </w:r>
    </w:p>
    <w:p w14:paraId="496D306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（1）承包人应于每月25日向监理人报送上月20日至当月19日已完成的工程量报告，并附具进度付款申请单、已完成工程量报表和有关资料。</w:t>
      </w:r>
    </w:p>
    <w:p w14:paraId="7CE6638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2D857E9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（3）监理人未在收到承包人提交的工程量报表后的7天内完成复核的，承包人提交的工程量报告中的工程量视为承包人实际完成的工程量。</w:t>
      </w:r>
    </w:p>
    <w:p w14:paraId="755688E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12.3.5总价合同采用支付分解表计量支付的，可以按照第12.3.4项〔总价合同的计量〕约定进行计量，但合同价款按照支付分解表进行支付。</w:t>
      </w:r>
    </w:p>
    <w:p w14:paraId="13CFC1A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12.3.6其他价格形式合同的计量</w:t>
      </w:r>
    </w:p>
    <w:p w14:paraId="2445816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合同当事人可在专用合同条款中约定其他价格形式合同的计量方式和程序。</w:t>
      </w:r>
    </w:p>
    <w:p w14:paraId="1981524A">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12.4工程进度款支付</w:t>
      </w:r>
    </w:p>
    <w:p w14:paraId="113E918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12.4.1付款周期</w:t>
      </w:r>
    </w:p>
    <w:p w14:paraId="2861240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除专用合同条款另有约定外，付款周期应按照第12.3.2项〔计量周期〕的约定与计量周期保持一致。</w:t>
      </w:r>
    </w:p>
    <w:p w14:paraId="31AF3D4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12.4.2进度付款申请单的编制</w:t>
      </w:r>
    </w:p>
    <w:p w14:paraId="2ACE19B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除专用合同条款另有约定外，进度付款申请单应包括下列内容：</w:t>
      </w:r>
    </w:p>
    <w:p w14:paraId="3FBC79C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（1）截至本次付款周期已完成工作对应的金额；</w:t>
      </w:r>
    </w:p>
    <w:p w14:paraId="3C98EFB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（2）根据第10条〔变更〕应增加和扣减的变更金额；</w:t>
      </w:r>
    </w:p>
    <w:p w14:paraId="5231BF5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（3）根据第12.2款〔预付款〕约定应支付的预付款和扣减的返还预付款；</w:t>
      </w:r>
    </w:p>
    <w:p w14:paraId="598711E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（4）根据第15.3款〔质量保证金〕约定应扣减的质量保证金；</w:t>
      </w:r>
    </w:p>
    <w:p w14:paraId="2DC595F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（5）根据第19条〔索赔〕应增加和扣减的索赔金额；</w:t>
      </w:r>
    </w:p>
    <w:p w14:paraId="10170B8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（6）对已签发的进度款支付证书中出现错误的修正，应在本次进度付款中支付或扣除的金额；</w:t>
      </w:r>
    </w:p>
    <w:p w14:paraId="5F22425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（7）根据合同约定应增加和扣减的其他金额。</w:t>
      </w:r>
    </w:p>
    <w:p w14:paraId="4057C69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12.4.3进度付款申请单的提交</w:t>
      </w:r>
    </w:p>
    <w:p w14:paraId="026A778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（1）单价合同进度付款申请单的提交</w:t>
      </w:r>
    </w:p>
    <w:p w14:paraId="49786CB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2BF010F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（2）总价合同进度付款申请单的提交</w:t>
      </w:r>
    </w:p>
    <w:p w14:paraId="33C8763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总价合同按月计量支付的，承包人按照第12.3.4项〔总价合同的计量〕约定的时间按月向监理人提交进度付款申请单，并附上已完成工程量报表和有关资料。</w:t>
      </w:r>
    </w:p>
    <w:p w14:paraId="2C6C716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总价合同按支付分解表支付的，承包人应按照第12.4.6项〔支付分解表〕及第12.4.2项〔进度付款申请单的编制〕的约定向监理人提交进度付款申请单。</w:t>
      </w:r>
    </w:p>
    <w:p w14:paraId="574655B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（3）其他价格形式合同的进度付款申请单的提交</w:t>
      </w:r>
    </w:p>
    <w:p w14:paraId="4052AE7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合同当事人可在专用合同条款中约定其他价格形式合同的进度付款申请单的编制和提交程序。</w:t>
      </w:r>
    </w:p>
    <w:p w14:paraId="3EFBB71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12.4.4进度款审核和支付</w:t>
      </w:r>
    </w:p>
    <w:p w14:paraId="59AAC49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0745B92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8DC687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（2）除专用合同条款另有约定外，发包人应在进度款支付证书或临时进度款支付证书签发后14天内完成支付，发包人逾期支付进度款的，应按照中国人民银行发布的同期同类贷款基准利率支付违约金。</w:t>
      </w:r>
    </w:p>
    <w:p w14:paraId="5AA003D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（3）发包人签发进度款支付证书或临时进度款支付证书，不表明发包人已同意、批准或接受了承包人完成的相应部分的工作。</w:t>
      </w:r>
    </w:p>
    <w:p w14:paraId="47BFC61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12.4.5进度付款的修正</w:t>
      </w:r>
    </w:p>
    <w:p w14:paraId="2320282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在对已签发的进度款支付证书进行阶段汇总和复核中发现错误、遗漏或重复的，发包人和承包人均有权提出修正申请。经发包人和承包人同意的修正，应在下期进度付款中支付或扣除。</w:t>
      </w:r>
    </w:p>
    <w:p w14:paraId="23B1C71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12.4.6支付分解表</w:t>
      </w:r>
    </w:p>
    <w:p w14:paraId="762FDCE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1.支付分解表的编制要求</w:t>
      </w:r>
    </w:p>
    <w:p w14:paraId="2539729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（1）支付分解表中所列的每期付款金额，应为第12.4.2项〔进度付款申请单的编制〕第（1）目的估算金额；</w:t>
      </w:r>
    </w:p>
    <w:p w14:paraId="27ECDB7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（2）实际进度与施工进度计划不一致的，合同当事人可按照第4.4款〔商定或确定〕修改支付分解表；</w:t>
      </w:r>
    </w:p>
    <w:p w14:paraId="44AB9C2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（3）不采用支付分解表的，承包人应向发包人和监理人提交按季度编制的支付估算分解表，用于支付参考。</w:t>
      </w:r>
    </w:p>
    <w:p w14:paraId="069241B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2.总价合同支付分解表的编制与审批</w:t>
      </w:r>
    </w:p>
    <w:p w14:paraId="33EEB54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67AD7BC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（2）监理人应在收到支付分解表后7天内完成审核并报送发包人。发包人应在收到经监理人审核的支付分解表后7天内完成审批，经发包人批准的支付分解表为有约束力的支付分解表。</w:t>
      </w:r>
    </w:p>
    <w:p w14:paraId="057234F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（3）发包人逾期未完成支付分解表审批的，也未及时要求承包人进行修正和提供补充资料的，则承包人提交的支付分解表视为已经获得发包人批准。</w:t>
      </w:r>
    </w:p>
    <w:p w14:paraId="0967DAD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3.单价合同的总价项目支付分解表的编制与审批</w:t>
      </w:r>
    </w:p>
    <w:p w14:paraId="7043AA3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6EE61C0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12.5支付账户</w:t>
      </w:r>
    </w:p>
    <w:p w14:paraId="0CCF2CB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发包人应将合同价款支付至合同协议书中约定的承包人账户。</w:t>
      </w:r>
    </w:p>
    <w:p w14:paraId="02F3240D">
      <w:pPr>
        <w:pStyle w:val="4"/>
        <w:jc w:val="left"/>
        <w:rPr>
          <w:rFonts w:hint="eastAsia" w:ascii="宋体" w:hAnsi="宋体" w:eastAsia="宋体"/>
          <w:color w:val="000000" w:themeColor="text1"/>
          <w:sz w:val="28"/>
          <w:szCs w:val="28"/>
          <w14:textFill>
            <w14:solidFill>
              <w14:schemeClr w14:val="tx1"/>
            </w14:solidFill>
          </w14:textFill>
        </w:rPr>
      </w:pPr>
      <w:bookmarkStart w:id="102" w:name="_Toc195459474"/>
      <w:bookmarkStart w:id="103" w:name="_Toc197530149"/>
      <w:r>
        <w:rPr>
          <w:rFonts w:hint="eastAsia" w:ascii="宋体" w:hAnsi="宋体" w:eastAsia="宋体"/>
          <w:color w:val="000000" w:themeColor="text1"/>
          <w:sz w:val="28"/>
          <w:szCs w:val="28"/>
          <w14:textFill>
            <w14:solidFill>
              <w14:schemeClr w14:val="tx1"/>
            </w14:solidFill>
          </w14:textFill>
        </w:rPr>
        <w:t>13.验收和工程试车</w:t>
      </w:r>
      <w:bookmarkEnd w:id="102"/>
      <w:bookmarkEnd w:id="103"/>
    </w:p>
    <w:p w14:paraId="44BAC9B5">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13.1分部分项工程验收</w:t>
      </w:r>
    </w:p>
    <w:p w14:paraId="4CD90D6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13.1.1分部分项工程质量应符合国家有关工程施工验收规范、标准及合同约定，承包人应按照施工组织设计的要求完成分部分项工程施工。</w:t>
      </w:r>
    </w:p>
    <w:p w14:paraId="3DE51C4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13.1.2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197B08D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分部分项工程的验收资料应当作为竣工资料的组成部分。</w:t>
      </w:r>
    </w:p>
    <w:p w14:paraId="200FF92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13.2竣工验收</w:t>
      </w:r>
    </w:p>
    <w:p w14:paraId="1FD6121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13.2.1竣工验收条件</w:t>
      </w:r>
    </w:p>
    <w:p w14:paraId="72814D7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工程具备以下条件的，承包人可以申请竣工验收：</w:t>
      </w:r>
    </w:p>
    <w:p w14:paraId="65863FF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（1）除发包人同意的甩项工作和缺陷修补工作外，合同范围内的全部工程以及有关工作，包括合同要求的试验、试运行以及检验均已完成，并符合合同要求；</w:t>
      </w:r>
    </w:p>
    <w:p w14:paraId="6A50263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（2）已按合同约定编制了甩项工作和缺陷修补工作清单以及相应的施工计划；</w:t>
      </w:r>
    </w:p>
    <w:p w14:paraId="1FD6FD2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（3）已按合同约定的内容和份数备齐竣工资料。</w:t>
      </w:r>
    </w:p>
    <w:p w14:paraId="15B972B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13.2.2竣工验收程序</w:t>
      </w:r>
    </w:p>
    <w:p w14:paraId="0673ACC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除专用合同条款另有约定外，承包人申请竣工验收的，应当按照以下程序进行：</w:t>
      </w:r>
    </w:p>
    <w:p w14:paraId="1EB737C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75E310E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230C385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（3）竣工验收合格的，发包人应在验收合格后14天内向承包人签发工程接收证书。发包人无正当理由逾期不颁发工程接收证书的，自验收合格后第15天起视为已颁发工程接收证书。</w:t>
      </w:r>
    </w:p>
    <w:p w14:paraId="26D989D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28AC89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13E128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除专用合同条款另有约定外，发包人不按照本项约定组织竣工验收、颁发工程接收证书的，每逾期一天，应以签约合同价为基数，按照中国人民银行发布的同期同类贷款基准利率支付违约金。</w:t>
      </w:r>
    </w:p>
    <w:p w14:paraId="6558F44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13.2.3竣工日期</w:t>
      </w:r>
    </w:p>
    <w:p w14:paraId="209FF34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14:paraId="3343C59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13.2.4拒绝接收全部或部分工程</w:t>
      </w:r>
    </w:p>
    <w:p w14:paraId="49FF84C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6A94864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13.2.5移交、接收全部与部分工程</w:t>
      </w:r>
    </w:p>
    <w:p w14:paraId="5EEF308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除专用合同条款另有约定外，合同当事人应当在颁发工程接收证书后7天内完成工程的移交。</w:t>
      </w:r>
    </w:p>
    <w:p w14:paraId="192648E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发包人无正当理由不接收工程的，发包人自应当接收工程之日起，承担工程照管、成品保护、保管等与工程有关的各项费用，合同当事人可以在专用合同条款中另行约定发包人逾期接收工程的违约责任。</w:t>
      </w:r>
    </w:p>
    <w:p w14:paraId="6CC7517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承包人无正当理由不移交工程的，承包人应承担工程照管、成品保护、保管等与工程有关的各项费用，合同当事人可以在专用合同条款中另行约定承包人无正当理由不移交工程的违约责任。</w:t>
      </w:r>
    </w:p>
    <w:p w14:paraId="358CCE4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13.3工程试车</w:t>
      </w:r>
    </w:p>
    <w:p w14:paraId="75D2F68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13.3.1试车程序</w:t>
      </w:r>
    </w:p>
    <w:p w14:paraId="3948665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工程需要试车的，除专用合同条款另有约定外，试车内容应与承包人承包范围相一致，试车费用由承包人承担。工程试车应按如下程序进行：</w:t>
      </w:r>
    </w:p>
    <w:p w14:paraId="298C0F5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7D36869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2FD5B82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350688A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13.3.2试车中的责任</w:t>
      </w:r>
    </w:p>
    <w:p w14:paraId="56B582B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C64F06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1767D9F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13.3.3投料试车</w:t>
      </w:r>
    </w:p>
    <w:p w14:paraId="0622A3B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如需进行投料试车的，发包人应在工程竣工验收后组织投料试车。发包人要求在工程竣工验收前进行或需要承包人配合时，应征得承包人同意，并在专用合同条款中约定有关事项。</w:t>
      </w:r>
    </w:p>
    <w:p w14:paraId="79EE7C8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4D2C9FA9">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13.4提前交付单位工程的验收</w:t>
      </w:r>
    </w:p>
    <w:p w14:paraId="43F5F50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13.4.1发包人需要在工程竣工前使用单位工程的，或承包人提出提前交付已经竣工的单位工程且经发包人同意的，可进行单位工程验收，验收的程序按照第13.2款〔竣工验收〕的约定进行。</w:t>
      </w:r>
    </w:p>
    <w:p w14:paraId="4DC5F73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验收合格后，由监理人向承包人出具经发包人签认的单位工程接收证书。已签发单位工程接收证书的单位工程由发包人负责照管。单位工程的验收成果和结论作为整体工程竣工验收申请报告的附件。</w:t>
      </w:r>
    </w:p>
    <w:p w14:paraId="3EA8F0F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13.4.2发包人要求在工程竣工前交付单位工程，由此导致承包人费用增加和（或）工期延误的，由发包人承担由此增加的费用和（或）延误的工期，并支付承包人合理的利润。</w:t>
      </w:r>
    </w:p>
    <w:p w14:paraId="7231D9BF">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13.5施工期运行</w:t>
      </w:r>
    </w:p>
    <w:p w14:paraId="7D7B6B4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13.5.1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2D026A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13.5.2在施工期运行中发现工程或工程设备损坏或存在缺陷的，由承包人按第15.2款〔缺陷责任期〕约定进行修复。</w:t>
      </w:r>
    </w:p>
    <w:p w14:paraId="066727F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13.6竣工退场</w:t>
      </w:r>
    </w:p>
    <w:p w14:paraId="3E73EB2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13.6.1竣工退场</w:t>
      </w:r>
    </w:p>
    <w:p w14:paraId="0011BE5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颁发工程接收证书后，承包人应按以下要求对施工现场进行清理：</w:t>
      </w:r>
    </w:p>
    <w:p w14:paraId="43BEA44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（1）施工现场内残留的垃圾已全部清除出场；</w:t>
      </w:r>
    </w:p>
    <w:p w14:paraId="03B03D5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（2）临时工程已拆除，场地已进行清理、平整或复原；</w:t>
      </w:r>
    </w:p>
    <w:p w14:paraId="1B2EE18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（3）按合同约定应撤离的人员、承包人施工设备和剩余的材料，包括废弃的施工设备和材料，已按计划撤离施工现场；</w:t>
      </w:r>
    </w:p>
    <w:p w14:paraId="708F534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（4）施工现场周边及其附近道路、河道的施工堆积物，已全部清理；</w:t>
      </w:r>
    </w:p>
    <w:p w14:paraId="457ADD6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（5）施工现场其他场地清理工作已全部完成。</w:t>
      </w:r>
    </w:p>
    <w:p w14:paraId="158D8A9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7209D30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13.6.2地表还原</w:t>
      </w:r>
    </w:p>
    <w:p w14:paraId="7DF2E65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承包人应按发包人要求恢复临时占地及清理场地，承包人未按发包人的要求恢复临时占地，或者场地清理未达到合同约定要求的，发包人有权委托其他人恢复或清理，所发生的费用由承包人承担。</w:t>
      </w:r>
    </w:p>
    <w:p w14:paraId="6A7BE6EE">
      <w:pPr>
        <w:pStyle w:val="4"/>
        <w:jc w:val="left"/>
        <w:rPr>
          <w:rFonts w:hint="eastAsia" w:ascii="宋体" w:hAnsi="宋体" w:eastAsia="宋体"/>
          <w:color w:val="000000" w:themeColor="text1"/>
          <w:sz w:val="28"/>
          <w:szCs w:val="28"/>
          <w14:textFill>
            <w14:solidFill>
              <w14:schemeClr w14:val="tx1"/>
            </w14:solidFill>
          </w14:textFill>
        </w:rPr>
      </w:pPr>
      <w:bookmarkStart w:id="104" w:name="_Toc197530150"/>
      <w:bookmarkStart w:id="105" w:name="_Toc195459475"/>
      <w:r>
        <w:rPr>
          <w:rFonts w:hint="eastAsia" w:ascii="宋体" w:hAnsi="宋体" w:eastAsia="宋体"/>
          <w:color w:val="000000" w:themeColor="text1"/>
          <w:sz w:val="28"/>
          <w:szCs w:val="28"/>
          <w14:textFill>
            <w14:solidFill>
              <w14:schemeClr w14:val="tx1"/>
            </w14:solidFill>
          </w14:textFill>
        </w:rPr>
        <w:t>14.竣工结算</w:t>
      </w:r>
      <w:bookmarkEnd w:id="104"/>
      <w:bookmarkEnd w:id="105"/>
    </w:p>
    <w:p w14:paraId="2E57296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14.1竣工结算申请</w:t>
      </w:r>
    </w:p>
    <w:p w14:paraId="60DB3DC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55DF2AA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除专用合同条款另有约定外，竣工结算申请单应包括以下内容：</w:t>
      </w:r>
    </w:p>
    <w:p w14:paraId="6D743D8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（1）竣工结算合同价格；</w:t>
      </w:r>
    </w:p>
    <w:p w14:paraId="1F6A583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（2）发包人已支付承包人的款项；</w:t>
      </w:r>
    </w:p>
    <w:p w14:paraId="4DC6F18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（3）应扣留的质量保证金。已缴纳履约保证金的或提供其他工程质量担保方式的除外；</w:t>
      </w:r>
    </w:p>
    <w:p w14:paraId="642D713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（4）发包人应支付承包人的合同价款。</w:t>
      </w:r>
    </w:p>
    <w:p w14:paraId="3E5CE6E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14.2竣工结算审核</w:t>
      </w:r>
    </w:p>
    <w:p w14:paraId="0D1408C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54A1D61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5F9E3C3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除专用合同条款另有约定外，发包人应在签发竣工付款证书后的14天内，完成对承包人的竣工付款。发包人逾期支付的，按照中国人民银行发布的同期同类贷款基准利率支付违约金；逾期支付超过56天的，按照中国人民银行发布的同期同类贷款基准利率的两倍支付违约金。</w:t>
      </w:r>
    </w:p>
    <w:p w14:paraId="5478F55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3F6962B3">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14.3甩项竣工协议</w:t>
      </w:r>
    </w:p>
    <w:p w14:paraId="48FC412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要求甩项竣工的，合同当事人应签订甩项竣工协议。在甩项竣工协议中应明确，合同当事人按照第14.1款〔竣工结算申请〕及14.2款〔竣工结算审核〕的约定，对已完合格工程进行结算，并支付相应合同价款。</w:t>
      </w:r>
    </w:p>
    <w:p w14:paraId="105D0E2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14.4最终结清</w:t>
      </w:r>
    </w:p>
    <w:p w14:paraId="5CF4A77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14.4.1最终结清申请单</w:t>
      </w:r>
    </w:p>
    <w:p w14:paraId="30CA3E8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（1）除专用合同条款另有约定外，承包人应在缺陷责任期终止证书颁发后7天内，按专用合同条款约定的份数向发包人提交最终结清申请单，并提供相关证明材料。</w:t>
      </w:r>
    </w:p>
    <w:p w14:paraId="59CD8BE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除专用合同条款另有约定外，最终结清申请单应列明质量保证金、应扣除的质量保证金、缺陷责任期内发生的增减费用。</w:t>
      </w:r>
    </w:p>
    <w:p w14:paraId="3D7CBBA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（2）发包人对最终结清申请单内容有异议的，有权要求承包人进行修正和提供补充资料，承包人应向发包人提交修正后的最终结清申请单。</w:t>
      </w:r>
    </w:p>
    <w:p w14:paraId="7537482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14.4.2最终结清证书和支付</w:t>
      </w:r>
    </w:p>
    <w:p w14:paraId="64D9297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A186D6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162A0AF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（3）承包人对发包人颁发的最终结清证书有异议的，按第20条〔争议解决〕的约定办理。</w:t>
      </w:r>
    </w:p>
    <w:p w14:paraId="65F2A993">
      <w:pPr>
        <w:pStyle w:val="4"/>
        <w:jc w:val="left"/>
        <w:rPr>
          <w:rFonts w:hint="eastAsia" w:ascii="宋体" w:hAnsi="宋体" w:eastAsia="宋体"/>
          <w:color w:val="000000" w:themeColor="text1"/>
          <w:sz w:val="28"/>
          <w:szCs w:val="28"/>
          <w14:textFill>
            <w14:solidFill>
              <w14:schemeClr w14:val="tx1"/>
            </w14:solidFill>
          </w14:textFill>
        </w:rPr>
      </w:pPr>
      <w:bookmarkStart w:id="106" w:name="_Toc195459476"/>
      <w:bookmarkStart w:id="107" w:name="_Toc197530151"/>
      <w:r>
        <w:rPr>
          <w:rFonts w:hint="eastAsia" w:ascii="宋体" w:hAnsi="宋体" w:eastAsia="宋体"/>
          <w:color w:val="000000" w:themeColor="text1"/>
          <w:sz w:val="28"/>
          <w:szCs w:val="28"/>
          <w14:textFill>
            <w14:solidFill>
              <w14:schemeClr w14:val="tx1"/>
            </w14:solidFill>
          </w14:textFill>
        </w:rPr>
        <w:t>15.缺陷责任与保修</w:t>
      </w:r>
      <w:bookmarkEnd w:id="106"/>
      <w:bookmarkEnd w:id="107"/>
    </w:p>
    <w:p w14:paraId="2960471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15.1工程保修的原则</w:t>
      </w:r>
    </w:p>
    <w:p w14:paraId="6D9328C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在工程移交发包人后，因承包人原因产生的质量缺陷，承包人应承担质量缺陷责任和保修义务。缺陷责任期届满，承包人仍应按合同约定的工程各部位保修年限承担保修义务。</w:t>
      </w:r>
    </w:p>
    <w:p w14:paraId="4190065A">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15.2缺陷责任期</w:t>
      </w:r>
    </w:p>
    <w:p w14:paraId="4D507D0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15.2.1缺陷责任期从工程通过竣工验收之日起计算，合同当事人应在专用合同条款约定缺陷责任期的具体期限，但该期限最长不超过24个月。</w:t>
      </w:r>
    </w:p>
    <w:p w14:paraId="23D9DA6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779B645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应在原缺陷责任期届满前发出延长通知。但缺陷责任期（含延长部分）最长不能超过24个月。</w:t>
      </w:r>
    </w:p>
    <w:p w14:paraId="1F66860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由他人原因造成的缺陷，发包人负责组织维修，承包人不承担费用，且发包人不得从保证金中扣除费用。</w:t>
      </w:r>
    </w:p>
    <w:p w14:paraId="3B2F80A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15.2.3任何一项缺陷或损坏修复后，经检查证明其影响了工程或工程设备的使用性能，承包人应重新进行合同约定的试验和试运行，试验和试运行的全部费用应由责任方承担。</w:t>
      </w:r>
    </w:p>
    <w:p w14:paraId="2867213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17713A2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15.3质量保证金</w:t>
      </w:r>
    </w:p>
    <w:p w14:paraId="6DD1C75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经合同当事人协商一致扣留质量保证金的，应在专用合同条款中予以明确。</w:t>
      </w:r>
    </w:p>
    <w:p w14:paraId="23D8F2C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在工程项目竣工前，承包人已经提供履约担保的，发包人不得同时预留工程质量保证金。</w:t>
      </w:r>
    </w:p>
    <w:p w14:paraId="54E7841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15.3.1承包人提供质量保证金的方式</w:t>
      </w:r>
    </w:p>
    <w:p w14:paraId="50C3CD4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承包人提供质量保证金有以下三种方式：</w:t>
      </w:r>
    </w:p>
    <w:p w14:paraId="02A73C5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（1）质量保证金保函；</w:t>
      </w:r>
    </w:p>
    <w:p w14:paraId="64C1BE4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（2）相应比例的工程款；</w:t>
      </w:r>
    </w:p>
    <w:p w14:paraId="77AC7A6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（3）双方约定的其他方式。</w:t>
      </w:r>
    </w:p>
    <w:p w14:paraId="2EE0105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除专用合同条款另有约定外，质量保证金原则上采用上述第（1）种方式。</w:t>
      </w:r>
    </w:p>
    <w:p w14:paraId="64DFB47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15.3.2质量保证金的扣留</w:t>
      </w:r>
    </w:p>
    <w:p w14:paraId="751C2C4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质量保证金的扣留有以下三种方式：</w:t>
      </w:r>
    </w:p>
    <w:p w14:paraId="54DB65D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（1）在支付工程进度款时逐次扣留，在此情形下，质量保证金的计算基数不包括预付款的支付、扣回以及价格调整的金额；</w:t>
      </w:r>
    </w:p>
    <w:p w14:paraId="7FDF2FB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（2）工程竣工结算时一次性扣留质量保证金；</w:t>
      </w:r>
    </w:p>
    <w:p w14:paraId="303753C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（3）双方约定的其他扣留方式。</w:t>
      </w:r>
    </w:p>
    <w:p w14:paraId="5596E04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除专用合同条款另有约定外，质量保证金的扣留原则上采用上述第（1）种方式。</w:t>
      </w:r>
    </w:p>
    <w:p w14:paraId="1826C07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21B333D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发包人在退还质量保证金的同时按照中国人民银行发布的同期同类贷款基准利率支付利息。</w:t>
      </w:r>
    </w:p>
    <w:p w14:paraId="72D8439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15.3.3质量保证金的退还</w:t>
      </w:r>
    </w:p>
    <w:p w14:paraId="6DA640E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缺陷责任期内，承包人认真履行合同约定的责任，到期后，承包人可向发包人申请返还保证金。</w:t>
      </w:r>
    </w:p>
    <w:p w14:paraId="1E142B7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06D5515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发包人和承包人对保证金预留、返还以及工程维修质量、费用有争议的，按本合同第20条约定的争议和纠纷解决程序处理。</w:t>
      </w:r>
    </w:p>
    <w:p w14:paraId="409D9ABE">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15.4保修</w:t>
      </w:r>
    </w:p>
    <w:p w14:paraId="794650B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15.4.1保修责任</w:t>
      </w:r>
    </w:p>
    <w:p w14:paraId="1992CF8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3030221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发包人未经竣工验收擅自使用工程的，保修期自转移占有之日起算。</w:t>
      </w:r>
    </w:p>
    <w:p w14:paraId="4199BBF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15.4.2修复费用</w:t>
      </w:r>
    </w:p>
    <w:p w14:paraId="41CC5E6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保修期内，修复的费用按照以下约定处理：</w:t>
      </w:r>
    </w:p>
    <w:p w14:paraId="584F4CD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（1）保修期内，因承包人原因造成工程的缺陷、损坏，承包人应负责修复，并承担修复的费用以及因工程的缺陷、损坏造成的人身伤害和财产损失；</w:t>
      </w:r>
    </w:p>
    <w:p w14:paraId="7542EA3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（2）保修期内，因发包人使用不当造成工程的缺陷、损坏，可以委托承包人修复，但发包人应承担修复的费用，并支付承包人合理利润；</w:t>
      </w:r>
    </w:p>
    <w:p w14:paraId="2320C06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（3）因其他原因造成工程的缺陷、损坏，可以委托承包人修复，发包人应承担修复的费用，并支付承包人合理的利润，因工程的缺陷、损坏造成的人身伤害和财产损失由责任方承担。</w:t>
      </w:r>
    </w:p>
    <w:p w14:paraId="3A815F9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15.4.3修复通知</w:t>
      </w:r>
    </w:p>
    <w:p w14:paraId="103E1F7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3A49133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15.4.4未能修复</w:t>
      </w:r>
    </w:p>
    <w:p w14:paraId="2073AED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1106C02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15.4.5承包人出入权</w:t>
      </w:r>
    </w:p>
    <w:p w14:paraId="4B074AE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71D231FF">
      <w:pPr>
        <w:pStyle w:val="4"/>
        <w:jc w:val="left"/>
        <w:rPr>
          <w:rFonts w:hint="eastAsia" w:ascii="宋体" w:hAnsi="宋体" w:eastAsia="宋体"/>
          <w:color w:val="000000" w:themeColor="text1"/>
          <w:sz w:val="28"/>
          <w:szCs w:val="28"/>
          <w14:textFill>
            <w14:solidFill>
              <w14:schemeClr w14:val="tx1"/>
            </w14:solidFill>
          </w14:textFill>
        </w:rPr>
      </w:pPr>
      <w:bookmarkStart w:id="108" w:name="_Toc197530152"/>
      <w:bookmarkStart w:id="109" w:name="_Toc195459477"/>
      <w:r>
        <w:rPr>
          <w:rFonts w:hint="eastAsia" w:ascii="宋体" w:hAnsi="宋体" w:eastAsia="宋体"/>
          <w:color w:val="000000" w:themeColor="text1"/>
          <w:sz w:val="28"/>
          <w:szCs w:val="28"/>
          <w14:textFill>
            <w14:solidFill>
              <w14:schemeClr w14:val="tx1"/>
            </w14:solidFill>
          </w14:textFill>
        </w:rPr>
        <w:t>16.违约</w:t>
      </w:r>
      <w:bookmarkEnd w:id="108"/>
      <w:bookmarkEnd w:id="109"/>
    </w:p>
    <w:p w14:paraId="27D503EA">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16.1发包人违约</w:t>
      </w:r>
    </w:p>
    <w:p w14:paraId="320400A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16.1.1发包人违约的情形</w:t>
      </w:r>
    </w:p>
    <w:p w14:paraId="5E99B59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在合同履行过程中发生的下列情形，属于发包人违约：</w:t>
      </w:r>
    </w:p>
    <w:p w14:paraId="49D7970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（1）因发包人原因未能在计划开工日期前7天内下达开工通知的；</w:t>
      </w:r>
    </w:p>
    <w:p w14:paraId="6EC8C99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（2）因发包人原因未能按合同约定支付合同价款的；</w:t>
      </w:r>
    </w:p>
    <w:p w14:paraId="27EAA9F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（3）发包人违反第10.1款〔变更的范围〕第（2）项约定，自行实施被取消的工作或转由他人实施的；</w:t>
      </w:r>
    </w:p>
    <w:p w14:paraId="7086D87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（4）发包人提供的材料、工程设备的规格、数量或质量不符合合同约定，或因发包人原因导致交货日期延误或交货地点变更等情况的；</w:t>
      </w:r>
    </w:p>
    <w:p w14:paraId="002B63D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（5）因发包人违反合同约定造成暂停施工的；</w:t>
      </w:r>
    </w:p>
    <w:p w14:paraId="1BA1E67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（6）发包人无正当理由没有在约定期限内发出复工指示，导致承包人无法复工的；</w:t>
      </w:r>
    </w:p>
    <w:p w14:paraId="2D13B91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（7）发包人明确表示或者以其行为表明不履行合同主要义务的；</w:t>
      </w:r>
    </w:p>
    <w:p w14:paraId="68B0059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（8）发包人未能按照合同约定履行其他义务的。</w:t>
      </w:r>
    </w:p>
    <w:p w14:paraId="43D2423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443678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16.1.2发包人违约的责任</w:t>
      </w:r>
    </w:p>
    <w:p w14:paraId="58E7E30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发包人应承担因其违约给承包人增加的费用和（或）延误的工期，并支付承包人合理的利润。此外，合同当事人可在专用合同条款中另行约定发包人违约责任的承担方式和计算方法。</w:t>
      </w:r>
    </w:p>
    <w:p w14:paraId="52FCC7D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16.1.3因发包人违约解除合同</w:t>
      </w:r>
    </w:p>
    <w:p w14:paraId="468ACC6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55D09B0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16.1.4因发包人违约解除合同后的付款</w:t>
      </w:r>
    </w:p>
    <w:p w14:paraId="3ED949C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承包人按照本款约定解除合同的，发包人应在解除合同后28天内支付下列款项，并解除履约担保：</w:t>
      </w:r>
    </w:p>
    <w:p w14:paraId="30F0C53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（1）合同解除前所完成工作的价款；</w:t>
      </w:r>
    </w:p>
    <w:p w14:paraId="1FC9B77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（2）承包人为工程施工订购并已付款的材料、工程设备和其他物品的价款；</w:t>
      </w:r>
    </w:p>
    <w:p w14:paraId="1890928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（3）承包人撤离施工现场以及遣散承包人人员的款项；</w:t>
      </w:r>
    </w:p>
    <w:p w14:paraId="7D51D1E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（4）按照合同约定在合同解除前应支付的违约金；</w:t>
      </w:r>
    </w:p>
    <w:p w14:paraId="46EF7A9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（5）按照合同约定应当支付给承包人的其他款项；</w:t>
      </w:r>
    </w:p>
    <w:p w14:paraId="6C3ED8A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（6）按照合同约定应退还的质量保证金；</w:t>
      </w:r>
    </w:p>
    <w:p w14:paraId="420B85A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（7）因解除合同给承包人造成的损失。</w:t>
      </w:r>
    </w:p>
    <w:p w14:paraId="4F12DD4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合同当事人未能就解除合同后的结清达成一致的，按照第20条〔争议解决〕的约定处理。</w:t>
      </w:r>
    </w:p>
    <w:p w14:paraId="21C02B4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承包人应妥善做好已完工程和与工程有关的已购材料、工程设备的保护和移交工作，并将施工设备和人员撤出施工现场，发包人应为承包人撤出提供必要条件。</w:t>
      </w:r>
    </w:p>
    <w:p w14:paraId="644878D6">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16.2承包人违约</w:t>
      </w:r>
    </w:p>
    <w:p w14:paraId="4B509F3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16.2.1承包人违约的情形</w:t>
      </w:r>
    </w:p>
    <w:p w14:paraId="6EF96D1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在合同履行过程中发生的下列情形，属于承包人违约：</w:t>
      </w:r>
    </w:p>
    <w:p w14:paraId="71DA7F8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（1）承包人违反合同约定进行转包或违法分包的；</w:t>
      </w:r>
    </w:p>
    <w:p w14:paraId="665AD07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（2）承包人违反合同约定采购和使用不合格的材料和工程设备的；</w:t>
      </w:r>
    </w:p>
    <w:p w14:paraId="44FCDD5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（3）因承包人原因导致工程质量不符合合同要求的；</w:t>
      </w:r>
    </w:p>
    <w:p w14:paraId="33C3561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（4）承包人违反第8.9款〔材料与设备专用要求〕的约定，未经批准，私自将已按照合同约定进入施工现场的材料或设备撤离施工现场的；</w:t>
      </w:r>
    </w:p>
    <w:p w14:paraId="67C9F51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（5）承包人未能按施工进度计划及时完成合同约定的工作，造成工期延误的；</w:t>
      </w:r>
    </w:p>
    <w:p w14:paraId="49CC333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（6）承包人在缺陷责任期及保修期内，未能在合理期限对工程缺陷进行修复，或拒绝按发包人要求进行修复的；</w:t>
      </w:r>
    </w:p>
    <w:p w14:paraId="39D4D5B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（7）承包人明确表示或者以其行为表明不履行合同主要义务的；</w:t>
      </w:r>
    </w:p>
    <w:p w14:paraId="35178B1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（8）承包人未能按照合同约定履行其他义务的。</w:t>
      </w:r>
    </w:p>
    <w:p w14:paraId="633F173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承包人发生除本项第（7）目约定以外的其他违约情况时，监理人可向承包人发出整改通知，要求其在指定的期限内改正。</w:t>
      </w:r>
    </w:p>
    <w:p w14:paraId="066A857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16.2.2承包人违约的责任</w:t>
      </w:r>
    </w:p>
    <w:p w14:paraId="3F8F73C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承包人应承担因其违约行为而增加的费用和（或）延误的工期。此外，合同当事人可在专用合同条款中另行约定承包人违约责任的承担方式和计算方法。</w:t>
      </w:r>
    </w:p>
    <w:p w14:paraId="7D58BC8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16.2.3因承包人违约解除合同</w:t>
      </w:r>
    </w:p>
    <w:p w14:paraId="50458C3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1720051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16.2.4因承包人违约解除合同后的处理</w:t>
      </w:r>
    </w:p>
    <w:p w14:paraId="42706CF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因承包人原因导致合同解除的，则合同当事人应在合同解除后28天内完成估价、付款和清算，并按以下约定执行：</w:t>
      </w:r>
    </w:p>
    <w:p w14:paraId="6E122F1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（1）合同解除后，按第4.4款〔商定或确定〕商定或确定承包人实际完成工作对应的合同价款，以及承包人已提供的材料、工程设备、施工设备和临时工程等的价值；</w:t>
      </w:r>
    </w:p>
    <w:p w14:paraId="4AA5E8B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（2）合同解除后，承包人应支付的违约金；</w:t>
      </w:r>
    </w:p>
    <w:p w14:paraId="59DC85A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（3）合同解除后，因解除合同给发包人造成的损失；</w:t>
      </w:r>
    </w:p>
    <w:p w14:paraId="7C00FA3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（4）合同解除后，承包人应按照发包人要求和监理人的指示完成现场的清理和撤离；</w:t>
      </w:r>
    </w:p>
    <w:p w14:paraId="4C8CDF6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（5）发包人和承包人应在合同解除后进行清算，出具最终结清付款证书，结清全部款项。</w:t>
      </w:r>
    </w:p>
    <w:p w14:paraId="5364871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因承包人违约解除合同的，发包人有权暂停对承包人的付款，查清各项付款和已扣款项。发包人和承包人未能就合同解除后的清算和款项支付达成一致的，按照第20条〔争议解决〕的约定处理。</w:t>
      </w:r>
    </w:p>
    <w:p w14:paraId="529FF23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16.2.5采购合同权益转让</w:t>
      </w:r>
    </w:p>
    <w:p w14:paraId="5D1C3F4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1FB3BCEA">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16.3第三人造成的违约</w:t>
      </w:r>
    </w:p>
    <w:p w14:paraId="4D63331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14:paraId="71AC3AF8">
      <w:pPr>
        <w:pStyle w:val="4"/>
        <w:jc w:val="left"/>
        <w:rPr>
          <w:rFonts w:hint="eastAsia" w:ascii="宋体" w:hAnsi="宋体" w:eastAsia="宋体"/>
          <w:color w:val="000000" w:themeColor="text1"/>
          <w:sz w:val="28"/>
          <w:szCs w:val="28"/>
          <w14:textFill>
            <w14:solidFill>
              <w14:schemeClr w14:val="tx1"/>
            </w14:solidFill>
          </w14:textFill>
        </w:rPr>
      </w:pPr>
      <w:bookmarkStart w:id="110" w:name="_Toc197530153"/>
      <w:bookmarkStart w:id="111" w:name="_Toc195459478"/>
      <w:r>
        <w:rPr>
          <w:rFonts w:hint="eastAsia" w:ascii="宋体" w:hAnsi="宋体" w:eastAsia="宋体"/>
          <w:color w:val="000000" w:themeColor="text1"/>
          <w:sz w:val="28"/>
          <w:szCs w:val="28"/>
          <w14:textFill>
            <w14:solidFill>
              <w14:schemeClr w14:val="tx1"/>
            </w14:solidFill>
          </w14:textFill>
        </w:rPr>
        <w:t>17.不可抗力</w:t>
      </w:r>
      <w:bookmarkEnd w:id="110"/>
      <w:bookmarkEnd w:id="111"/>
    </w:p>
    <w:p w14:paraId="775F23B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17.1不可抗力的确认</w:t>
      </w:r>
    </w:p>
    <w:p w14:paraId="17EA2BC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不可抗力是指合同当事人在签订合同时不可预见，在合同履行过程中不可避免且不能克服的自然灾害和社会性突发事件，如地震、海啸、瘟疫、骚乱、戒严、暴动、战争和专用合同条款中约定的其他情形。</w:t>
      </w:r>
    </w:p>
    <w:p w14:paraId="0D9E345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094B5058">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17.2不可抗力的通知</w:t>
      </w:r>
    </w:p>
    <w:p w14:paraId="2955E5C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合同一方当事人遇到不可抗力事件，使其履行合同义务受到阻碍时，应立即通知合同另一方当事人和监理人，书面说明不可抗力和受阻碍的详细情况，并提供必要的证明。</w:t>
      </w:r>
    </w:p>
    <w:p w14:paraId="5F5E059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不可抗力持续发生的，合同一方当事人应及时向合同另一方当事人和监理人提交中间报告，说明不可抗力和履行合同受阻的情况，并于不可抗力事件结束后28天内提交最终报告及有关资料。</w:t>
      </w:r>
    </w:p>
    <w:p w14:paraId="350A9348">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17.3不可抗力后果的承担</w:t>
      </w:r>
    </w:p>
    <w:p w14:paraId="71C107E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17.3.1不可抗力引起的后果及造成的损失由合同当事人按照法律规定及合同约定各自承担。不可抗力发生前已完成的工程应当按照合同约定进行计量支付。</w:t>
      </w:r>
    </w:p>
    <w:p w14:paraId="1559CF9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17.3.2不可抗力导致的人员伤亡、财产损失、费用增加和（或）工期延误等后果，由合同当事人按以下原则承担：</w:t>
      </w:r>
    </w:p>
    <w:p w14:paraId="317E7CA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（1）永久工程、已运至施工现场的材料和工程设备的损坏，以及因工程损坏造成的第三人人员伤亡和财产损失由发包人承担；</w:t>
      </w:r>
    </w:p>
    <w:p w14:paraId="5C80B22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（2）承包人施工设备的损坏由承包人承担；</w:t>
      </w:r>
    </w:p>
    <w:p w14:paraId="503ECDA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（3）发包人和承包人承担各自人员伤亡和财产的损失；</w:t>
      </w:r>
    </w:p>
    <w:p w14:paraId="1464001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（4）因不可抗力影响承包人履行合同约定的义务，已经引起或将引起工期延误的，应当顺延工期，由此导致承包人停工的费用损失由发包人和承包人合理分担，停工期间必须支付的工人工资由发包人承担；</w:t>
      </w:r>
    </w:p>
    <w:p w14:paraId="5B655C2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（5）因不可抗力引起或将引起工期延误，发包人要求赶工的，由此增加的赶工费用由发包人承担；</w:t>
      </w:r>
    </w:p>
    <w:p w14:paraId="5A8E566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（6）承包人在停工期间按照发包人要求照管、清理和修复工程的费用由发包人承担。</w:t>
      </w:r>
    </w:p>
    <w:p w14:paraId="2194C93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不可抗力发生后，合同当事人均应采取措施尽量避免和减少损失的扩大，任何一方当事人没有采取有效措施导致损失扩大的，应对扩大的损失承担责任。</w:t>
      </w:r>
    </w:p>
    <w:p w14:paraId="63F9089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因合同一方迟延履行合同义务，在迟延履行期间遭遇不可抗力的，不免除其违约责任。</w:t>
      </w:r>
    </w:p>
    <w:p w14:paraId="63CC7EF8">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17.4因不可抗力解除合同</w:t>
      </w:r>
    </w:p>
    <w:p w14:paraId="372FEDA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因不可抗力导致合同无法履行连续超过84天或累计超过140天的，发包人和承包人均有权解除合同。合同解除后，由双方当事人按照第4.4款〔商定或确定〕商定或确定发包人应支付的款项，该款项包括：</w:t>
      </w:r>
    </w:p>
    <w:p w14:paraId="44BDC9C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（1）合同解除前承包人已完成工作的价款；</w:t>
      </w:r>
    </w:p>
    <w:p w14:paraId="3FF3DA5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（2）承包人为工程订购的并已交付给承包人，或承包人有责任接受交付的材料、工程设备和其他物品的价款；</w:t>
      </w:r>
    </w:p>
    <w:p w14:paraId="090D55F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（3）发包人要求承包人退货或解除订货合同而产生的费用，或因不能退货或解除合同而产生的损失；</w:t>
      </w:r>
    </w:p>
    <w:p w14:paraId="5FA89ED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（4）承包人撤离施工现场以及遣散承包人人员的费用；</w:t>
      </w:r>
    </w:p>
    <w:p w14:paraId="62E215A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（5）按照合同约定在合同解除前应支付给承包人的其他款项；</w:t>
      </w:r>
    </w:p>
    <w:p w14:paraId="1664FA4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（6）扣减承包人按照合同约定应向发包人支付的款项；</w:t>
      </w:r>
    </w:p>
    <w:p w14:paraId="3AE1B35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（7）双方商定或确定的其他款项。</w:t>
      </w:r>
    </w:p>
    <w:p w14:paraId="7FA9994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除专用合同条款另有约定外，合同解除后，发包人应在商定或确定上述款项后28天内完成上述款项的支付。</w:t>
      </w:r>
    </w:p>
    <w:p w14:paraId="286AD526">
      <w:pPr>
        <w:pStyle w:val="4"/>
        <w:jc w:val="left"/>
        <w:rPr>
          <w:rFonts w:hint="eastAsia" w:ascii="宋体" w:hAnsi="宋体" w:eastAsia="宋体"/>
          <w:color w:val="000000" w:themeColor="text1"/>
          <w:sz w:val="28"/>
          <w:szCs w:val="28"/>
          <w14:textFill>
            <w14:solidFill>
              <w14:schemeClr w14:val="tx1"/>
            </w14:solidFill>
          </w14:textFill>
        </w:rPr>
      </w:pPr>
      <w:bookmarkStart w:id="112" w:name="_Toc195459479"/>
      <w:bookmarkStart w:id="113" w:name="_Toc197530154"/>
      <w:r>
        <w:rPr>
          <w:rFonts w:hint="eastAsia" w:ascii="宋体" w:hAnsi="宋体" w:eastAsia="宋体"/>
          <w:color w:val="000000" w:themeColor="text1"/>
          <w:sz w:val="28"/>
          <w:szCs w:val="28"/>
          <w14:textFill>
            <w14:solidFill>
              <w14:schemeClr w14:val="tx1"/>
            </w14:solidFill>
          </w14:textFill>
        </w:rPr>
        <w:t>18.保险</w:t>
      </w:r>
      <w:bookmarkEnd w:id="112"/>
      <w:bookmarkEnd w:id="113"/>
    </w:p>
    <w:p w14:paraId="257FD2DF">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18.1工程保险</w:t>
      </w:r>
    </w:p>
    <w:p w14:paraId="33C9741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除专用合同条款另有约定外，发包人应投保建筑工程一切险或安装工程一切险；发包人委托承包人投保的，因投保产生的保险费和其他相关费用由发包人承担。</w:t>
      </w:r>
    </w:p>
    <w:p w14:paraId="5277E109">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18.2工伤保险</w:t>
      </w:r>
    </w:p>
    <w:p w14:paraId="5C00FD1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18.2.1发包人应依照法律规定参加工伤保险，并为在施工现场的全部员工办理工伤保险，缴纳工伤保险费，并要求监理人及由发包人为履行合同聘请的第三方依法参加工伤保险。</w:t>
      </w:r>
    </w:p>
    <w:p w14:paraId="2CF97D7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18.2.2承包人应依照法律规定参加工伤保险，并为其履行合同的全部员工办理工伤保险，缴纳工伤保险费，并要求分包人及由承包人为履行合同聘请的第三方依法参加工伤保险。</w:t>
      </w:r>
    </w:p>
    <w:p w14:paraId="7A4F4DF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18.3其他保险</w:t>
      </w:r>
    </w:p>
    <w:p w14:paraId="4F6DFF3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发包人和承包人可以为其施工现场的全部人员办理意外伤害保险并支付保险费，包括其员工及为履行合同聘请的第三方的人员，具体事项由合同当事人在专用合同条款约定。</w:t>
      </w:r>
    </w:p>
    <w:p w14:paraId="49E5247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除专用合同条款另有约定外，承包人应为其施工设备等办理财产保险。</w:t>
      </w:r>
    </w:p>
    <w:p w14:paraId="76B4E59C">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18.4持续保险</w:t>
      </w:r>
    </w:p>
    <w:p w14:paraId="14D97F9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合同当事人应与保险人保持联系，使保险人能够随时了解工程实施中的变动，并确保按保险合同条款要求持续保险。</w:t>
      </w:r>
    </w:p>
    <w:p w14:paraId="7700AFAD">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18.5保险凭证</w:t>
      </w:r>
    </w:p>
    <w:p w14:paraId="7060684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合同当事人应及时向另一方当事人提交其已投保的各项保险的凭证和保险单复印件。</w:t>
      </w:r>
    </w:p>
    <w:p w14:paraId="3D8E0D8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18.6未按约定投保的补救</w:t>
      </w:r>
    </w:p>
    <w:p w14:paraId="0DAA508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18.6.1发包人未按合同约定办理保险，或未能使保险持续有效的，则承包人可代为办理，所需费用由发包人承担。发包人未按合同约定办理保险，导致未能得到足额赔偿的，由发包人负责补足。</w:t>
      </w:r>
    </w:p>
    <w:p w14:paraId="59E1473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18.6.2承包人未按合同约定办理保险，或未能使保险持续有效的，则发包人可代为办理，所需费用由承包人承担。承包人未按合同约定办理保险，导致未能得到足额赔偿的，由承包人负责补足。</w:t>
      </w:r>
    </w:p>
    <w:p w14:paraId="32766EA3">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18.7通知义务</w:t>
      </w:r>
    </w:p>
    <w:p w14:paraId="047F32A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除专用合同条款另有约定外，发包人变更除工伤保险之外的保险合同时，应事先征得承包人同意，并通知监理人；承包人变更除工伤保险之外的保险合同时，应事先征得发包人同意，并通知监理人。</w:t>
      </w:r>
    </w:p>
    <w:p w14:paraId="1EC685B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保险事故发生时，投保人应按照保险合同规定的条件和期限及时向保险人报告。发包人和承包人应当在知道保险事故发生后及时通知对方。</w:t>
      </w:r>
    </w:p>
    <w:p w14:paraId="41055410">
      <w:pPr>
        <w:pStyle w:val="4"/>
        <w:jc w:val="left"/>
        <w:rPr>
          <w:rFonts w:hint="eastAsia" w:ascii="宋体" w:hAnsi="宋体" w:eastAsia="宋体"/>
          <w:color w:val="000000" w:themeColor="text1"/>
          <w:sz w:val="28"/>
          <w:szCs w:val="28"/>
          <w14:textFill>
            <w14:solidFill>
              <w14:schemeClr w14:val="tx1"/>
            </w14:solidFill>
          </w14:textFill>
        </w:rPr>
      </w:pPr>
      <w:bookmarkStart w:id="114" w:name="_Toc195459480"/>
      <w:bookmarkStart w:id="115" w:name="_Toc197530155"/>
      <w:r>
        <w:rPr>
          <w:rFonts w:hint="eastAsia" w:ascii="宋体" w:hAnsi="宋体" w:eastAsia="宋体"/>
          <w:color w:val="000000" w:themeColor="text1"/>
          <w:sz w:val="28"/>
          <w:szCs w:val="28"/>
          <w14:textFill>
            <w14:solidFill>
              <w14:schemeClr w14:val="tx1"/>
            </w14:solidFill>
          </w14:textFill>
        </w:rPr>
        <w:t>19.索赔</w:t>
      </w:r>
      <w:bookmarkEnd w:id="114"/>
      <w:bookmarkEnd w:id="115"/>
    </w:p>
    <w:p w14:paraId="0476D0B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19.1承包人的索赔</w:t>
      </w:r>
    </w:p>
    <w:p w14:paraId="5D30D8D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根据合同约定，承包人认为有权得到追加付款和（或）延长工期的，应按以下程序向发包人提出索赔：</w:t>
      </w:r>
    </w:p>
    <w:p w14:paraId="35FB6EF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09DD092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（2）承包人应在发出索赔意向通知书后28天内，向监理人正式递交索赔报告；索赔报告应详细说明索赔理由以及要求追加的付款金额和（或）延长的工期，并附必要的记录和证明材料；</w:t>
      </w:r>
    </w:p>
    <w:p w14:paraId="7FB49D3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（3）索赔事件具有持续影响的，承包人应按合理时间间隔继续递交延续索赔通知，说明持续影响的实际情况和记录，列出累计的追加付款金额和（或）工期延长天数；</w:t>
      </w:r>
    </w:p>
    <w:p w14:paraId="4F01345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（4）在索赔事件影响结束后28天内，承包人应向监理人递交最终索赔报告，说明最终要求索赔的追加付款金额和（或）延长的工期，并附必要的记录和证明材料。</w:t>
      </w:r>
    </w:p>
    <w:p w14:paraId="7C416E6D">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19.2对承包人索赔的处理</w:t>
      </w:r>
    </w:p>
    <w:p w14:paraId="75364BB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对承包人索赔的处理如下：</w:t>
      </w:r>
    </w:p>
    <w:p w14:paraId="3F03E96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（1）监理人应在收到索赔报告后14天内完成审查并报送发包人。监理人对索赔报告存在异议的，有权要求承包人提交全部原始记录副本；</w:t>
      </w:r>
    </w:p>
    <w:p w14:paraId="141EBFC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（2）发包人应在监理人收到索赔报告或有关索赔的进一步证明材料后的28天内，由监理人向承包人出具经发包人签认的索赔处理结果。发包人逾期答复的，则视为认可承包人的索赔要求；</w:t>
      </w:r>
    </w:p>
    <w:p w14:paraId="7AAF420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（3）承包人接受索赔处理结果的，索赔款项在当期进度款中进行支付；承包人不接受索赔处理结果的，按照第20条〔争议解决〕约定处理。</w:t>
      </w:r>
    </w:p>
    <w:p w14:paraId="3085DEFD">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19.3发包人的索赔</w:t>
      </w:r>
    </w:p>
    <w:p w14:paraId="1AC869E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根据合同约定，发包人认为有权得到赔付金额和（或）延长缺陷责任期的，监理人应向承包人发出通知并附有详细的证明。</w:t>
      </w:r>
    </w:p>
    <w:p w14:paraId="15937C2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560F2867">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19.4对发包人索赔的处理</w:t>
      </w:r>
    </w:p>
    <w:p w14:paraId="1E8DECC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对发包人索赔的处理如下：</w:t>
      </w:r>
    </w:p>
    <w:p w14:paraId="45C0933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（1）承包人收到发包人提交的索赔报告后，应及时审查索赔报告的内容、查验发包人证明材料；</w:t>
      </w:r>
    </w:p>
    <w:p w14:paraId="07DB619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（2）承包人应在收到索赔报告或有关索赔的进一步证明材料后28天内，将索赔处理结果答复发包人。如果承包人未在上述期限内作出答复的，则视为对发包人索赔要求的认可；</w:t>
      </w:r>
    </w:p>
    <w:p w14:paraId="063ADC4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（3）承包人接受索赔处理结果的，发包人可从应支付给承包人的合同价款中扣除赔付的金额或延长缺陷责任期；发包人不接受索赔处理结果的，按第20条〔争议解决〕约定处理。</w:t>
      </w:r>
    </w:p>
    <w:p w14:paraId="1B227401">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19.5提出索赔的期限</w:t>
      </w:r>
    </w:p>
    <w:p w14:paraId="13C911C6">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（1）承包人按第14.2款〔竣工结算审核〕约定接收竣工付款证书后，应被视为已无权再提出在工程接收证书颁发前所发生的任何索赔。</w:t>
      </w:r>
    </w:p>
    <w:p w14:paraId="23BB906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（2）承包人按第14.4款〔最终结清〕提交的最终结清申请单中，只限于提出工程接收证书颁发后发生的索赔。提出索赔的期限自接受最终结清证书时终止。</w:t>
      </w:r>
    </w:p>
    <w:p w14:paraId="6D9E9C99">
      <w:pPr>
        <w:pStyle w:val="4"/>
        <w:jc w:val="left"/>
        <w:rPr>
          <w:rFonts w:hint="eastAsia" w:ascii="宋体" w:hAnsi="宋体" w:eastAsia="宋体"/>
          <w:color w:val="000000" w:themeColor="text1"/>
          <w:sz w:val="28"/>
          <w:szCs w:val="28"/>
          <w14:textFill>
            <w14:solidFill>
              <w14:schemeClr w14:val="tx1"/>
            </w14:solidFill>
          </w14:textFill>
        </w:rPr>
      </w:pPr>
      <w:bookmarkStart w:id="116" w:name="_Toc197530156"/>
      <w:bookmarkStart w:id="117" w:name="_Toc195459481"/>
      <w:r>
        <w:rPr>
          <w:rFonts w:hint="eastAsia" w:ascii="宋体" w:hAnsi="宋体" w:eastAsia="宋体"/>
          <w:color w:val="000000" w:themeColor="text1"/>
          <w:sz w:val="28"/>
          <w:szCs w:val="28"/>
          <w14:textFill>
            <w14:solidFill>
              <w14:schemeClr w14:val="tx1"/>
            </w14:solidFill>
          </w14:textFill>
        </w:rPr>
        <w:t>20.争议解决</w:t>
      </w:r>
      <w:bookmarkEnd w:id="116"/>
      <w:bookmarkEnd w:id="117"/>
    </w:p>
    <w:p w14:paraId="78EA7EB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20.1和解</w:t>
      </w:r>
    </w:p>
    <w:p w14:paraId="570CD48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合同当事人可以就争议自行和解，自行和解达成协议的经双方签字并盖章后作为合同补充文件，双方均应遵照执行。</w:t>
      </w:r>
    </w:p>
    <w:p w14:paraId="22421DFB">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20.2调解</w:t>
      </w:r>
    </w:p>
    <w:p w14:paraId="5D84DEFA">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合同当事人可以就争议请求建设行政主管部门、行业协会或其他第三方进行调解，调解达成协议的，经双方签字并盖章后作为合同补充文件，双方均应遵照执行。</w:t>
      </w:r>
    </w:p>
    <w:p w14:paraId="4D6B10E2">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20.3争议评审</w:t>
      </w:r>
    </w:p>
    <w:p w14:paraId="1F7395C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合同当事人在专用合同条款中约定采取争议评审方式解决争议以及评审规则，并按下列约定执行：</w:t>
      </w:r>
    </w:p>
    <w:p w14:paraId="3046C24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20.3.1争议评审小组的确定</w:t>
      </w:r>
    </w:p>
    <w:p w14:paraId="2598BBD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合同当事人可以共同选择一名或三名争议评审员，组成争议评审小组。除专用合同条款另有约定外，合同当事人应当自合同签订后28天内，或者争议发生后14天内，选定争议评审员。</w:t>
      </w:r>
    </w:p>
    <w:p w14:paraId="6F6C20D1">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2233E4B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除专用合同条款另有约定外，评审员报酬由发包人和承包人各承担一半。</w:t>
      </w:r>
    </w:p>
    <w:p w14:paraId="3BDA24C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20.3.2争议评审小组的决定</w:t>
      </w:r>
    </w:p>
    <w:p w14:paraId="3AC2FB5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6531A9F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20.3.3争议评审小组决定的效力</w:t>
      </w:r>
    </w:p>
    <w:p w14:paraId="3D51AB9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争议评审小组作出的书面决定经合同当事人签字确认后，对双方具有约束力，双方应遵照执行。</w:t>
      </w:r>
    </w:p>
    <w:p w14:paraId="0130914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任何一方当事人不接受争议评审小组决定或不履行争议评审小组决定的，双方可选择采用其他争议解决方式。</w:t>
      </w:r>
    </w:p>
    <w:p w14:paraId="3F4321D2">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20.4仲裁或诉讼</w:t>
      </w:r>
    </w:p>
    <w:p w14:paraId="0D754FE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因合同及合同有关事项产生的争议，合同当事人可以在专用合同条款中约定以下一种方式解决争议：</w:t>
      </w:r>
    </w:p>
    <w:p w14:paraId="688640D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（1）向约定的仲裁委员会申请仲裁；</w:t>
      </w:r>
    </w:p>
    <w:p w14:paraId="0171F9E8">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（2）向有管辖权的人民法院起诉。</w:t>
      </w:r>
    </w:p>
    <w:p w14:paraId="0C8CFA8C">
      <w:pPr>
        <w:pStyle w:val="5"/>
        <w:ind w:firstLine="422" w:firstLineChars="20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20.5争议解决条款效力</w:t>
      </w:r>
    </w:p>
    <w:p w14:paraId="1774885B">
      <w:pPr>
        <w:pStyle w:val="63"/>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合同有关争议解决的条款独立存在，合同的变更、解除、终止、无效或者被撤销均不影响其效力。</w:t>
      </w:r>
    </w:p>
    <w:p w14:paraId="4161F85F">
      <w:pPr>
        <w:pStyle w:val="63"/>
        <w:spacing w:line="360" w:lineRule="auto"/>
        <w:ind w:firstLine="420" w:firstLineChars="200"/>
        <w:rPr>
          <w:rFonts w:hint="eastAsia" w:ascii="宋体" w:hAnsi="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4A5E4CD9">
      <w:pPr>
        <w:pStyle w:val="3"/>
        <w:spacing w:before="0" w:after="0" w:line="240" w:lineRule="auto"/>
        <w:jc w:val="center"/>
        <w:rPr>
          <w:rFonts w:hint="eastAsia" w:ascii="宋体" w:hAnsi="宋体" w:eastAsia="宋体"/>
          <w:color w:val="000000" w:themeColor="text1"/>
          <w:sz w:val="30"/>
          <w:szCs w:val="30"/>
          <w14:textFill>
            <w14:solidFill>
              <w14:schemeClr w14:val="tx1"/>
            </w14:solidFill>
          </w14:textFill>
        </w:rPr>
      </w:pPr>
      <w:bookmarkStart w:id="118" w:name="_Toc181816511"/>
      <w:bookmarkStart w:id="119" w:name="_Toc195459482"/>
      <w:bookmarkStart w:id="120" w:name="_Toc197530157"/>
      <w:r>
        <w:rPr>
          <w:rFonts w:hint="eastAsia" w:ascii="宋体" w:hAnsi="宋体" w:eastAsia="宋体"/>
          <w:color w:val="000000" w:themeColor="text1"/>
          <w:sz w:val="30"/>
          <w:szCs w:val="30"/>
          <w14:textFill>
            <w14:solidFill>
              <w14:schemeClr w14:val="tx1"/>
            </w14:solidFill>
          </w14:textFill>
        </w:rPr>
        <w:t>第三部分 专用合同条款</w:t>
      </w:r>
      <w:bookmarkEnd w:id="118"/>
      <w:bookmarkEnd w:id="119"/>
      <w:bookmarkEnd w:id="120"/>
    </w:p>
    <w:p w14:paraId="1EB6F13C">
      <w:pPr>
        <w:pStyle w:val="4"/>
        <w:jc w:val="left"/>
        <w:rPr>
          <w:rFonts w:hint="eastAsia" w:ascii="宋体" w:hAnsi="宋体" w:eastAsia="宋体"/>
          <w:color w:val="000000" w:themeColor="text1"/>
          <w:sz w:val="28"/>
          <w:szCs w:val="28"/>
          <w14:textFill>
            <w14:solidFill>
              <w14:schemeClr w14:val="tx1"/>
            </w14:solidFill>
          </w14:textFill>
        </w:rPr>
      </w:pPr>
      <w:bookmarkStart w:id="121" w:name="_Toc197530158"/>
      <w:bookmarkStart w:id="122" w:name="_Toc195459483"/>
      <w:bookmarkStart w:id="123" w:name="_Toc181816512"/>
      <w:r>
        <w:rPr>
          <w:rFonts w:hint="eastAsia" w:ascii="宋体" w:hAnsi="宋体" w:eastAsia="宋体"/>
          <w:color w:val="000000" w:themeColor="text1"/>
          <w:sz w:val="28"/>
          <w:szCs w:val="28"/>
          <w14:textFill>
            <w14:solidFill>
              <w14:schemeClr w14:val="tx1"/>
            </w14:solidFill>
          </w14:textFill>
        </w:rPr>
        <w:t>一、词语定义及合同文件</w:t>
      </w:r>
      <w:bookmarkEnd w:id="121"/>
      <w:bookmarkEnd w:id="122"/>
    </w:p>
    <w:p w14:paraId="6B513A7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1.语言文字和适用法律、标准及规范</w:t>
      </w:r>
    </w:p>
    <w:p w14:paraId="263C3BB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1.1本合同除使用汉语外，无其它语言文字。</w:t>
      </w:r>
    </w:p>
    <w:p w14:paraId="6FCB077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1.2适用法律和法规</w:t>
      </w:r>
    </w:p>
    <w:p w14:paraId="5AEB087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需要明示的法律、行政法规：</w:t>
      </w:r>
      <w:r>
        <w:rPr>
          <w:rFonts w:hint="eastAsia" w:ascii="宋体" w:hAnsi="宋体" w:eastAsia="宋体"/>
          <w:color w:val="000000" w:themeColor="text1"/>
          <w:szCs w:val="21"/>
          <w:u w:val="single"/>
          <w14:textFill>
            <w14:solidFill>
              <w14:schemeClr w14:val="tx1"/>
            </w14:solidFill>
          </w14:textFill>
        </w:rPr>
        <w:t>现行的国家法律、法规，工程所在地行政主管部门的规定、制度和文件</w:t>
      </w:r>
      <w:r>
        <w:rPr>
          <w:rFonts w:hint="eastAsia" w:ascii="宋体" w:hAnsi="宋体" w:eastAsia="宋体"/>
          <w:color w:val="000000" w:themeColor="text1"/>
          <w:szCs w:val="21"/>
          <w14:textFill>
            <w14:solidFill>
              <w14:schemeClr w14:val="tx1"/>
            </w14:solidFill>
          </w14:textFill>
        </w:rPr>
        <w:t>。</w:t>
      </w:r>
    </w:p>
    <w:p w14:paraId="05B1D21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1.3适用标准、规范</w:t>
      </w:r>
    </w:p>
    <w:p w14:paraId="11D4BF8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适用标准、规范的名称：</w:t>
      </w:r>
      <w:r>
        <w:rPr>
          <w:rFonts w:hint="eastAsia" w:ascii="宋体" w:hAnsi="宋体" w:eastAsia="宋体"/>
          <w:color w:val="000000" w:themeColor="text1"/>
          <w:szCs w:val="21"/>
          <w:u w:val="single"/>
          <w14:textFill>
            <w14:solidFill>
              <w14:schemeClr w14:val="tx1"/>
            </w14:solidFill>
          </w14:textFill>
        </w:rPr>
        <w:t>国家、行业、本工程所在地现行的标准、规范等</w:t>
      </w:r>
      <w:r>
        <w:rPr>
          <w:rFonts w:hint="eastAsia" w:ascii="宋体" w:hAnsi="宋体" w:eastAsia="宋体"/>
          <w:color w:val="000000" w:themeColor="text1"/>
          <w:szCs w:val="21"/>
          <w14:textFill>
            <w14:solidFill>
              <w14:schemeClr w14:val="tx1"/>
            </w14:solidFill>
          </w14:textFill>
        </w:rPr>
        <w:t>。</w:t>
      </w:r>
    </w:p>
    <w:p w14:paraId="29C4605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发包人提供标准、规范的时间：</w:t>
      </w:r>
      <w:r>
        <w:rPr>
          <w:rFonts w:hint="eastAsia" w:ascii="宋体" w:hAnsi="宋体" w:eastAsia="宋体"/>
          <w:color w:val="000000" w:themeColor="text1"/>
          <w:szCs w:val="21"/>
          <w:u w:val="single"/>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w:t>
      </w:r>
    </w:p>
    <w:p w14:paraId="6DB1536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1.4合同文件的优先顺序</w:t>
      </w:r>
    </w:p>
    <w:p w14:paraId="46D8A5A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组成合同的各项文件应互相解释，互为说明。除专用合同条款另有约定外，解释合同文件的优先顺序如下：</w:t>
      </w:r>
    </w:p>
    <w:p w14:paraId="0057C36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（1）合同协议书；</w:t>
      </w:r>
    </w:p>
    <w:p w14:paraId="41F0D23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（2）成交通知书；</w:t>
      </w:r>
    </w:p>
    <w:p w14:paraId="4EBD428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（3）竞争性磋商函、竞争性磋商报价表及最终报价表；</w:t>
      </w:r>
    </w:p>
    <w:p w14:paraId="4DAD0B6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（4）本合同专用合同条款及其附件；</w:t>
      </w:r>
    </w:p>
    <w:p w14:paraId="029B65A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（5）通用合同条款；</w:t>
      </w:r>
    </w:p>
    <w:p w14:paraId="1E96AAF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（6）标准、规范及有关技术文件；</w:t>
      </w:r>
    </w:p>
    <w:p w14:paraId="152927D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（7）图纸；</w:t>
      </w:r>
    </w:p>
    <w:p w14:paraId="66EA1B6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（8）已标价工程量清单或预算书（须与发包人的</w:t>
      </w:r>
      <w:r>
        <w:rPr>
          <w:rFonts w:hint="eastAsia" w:ascii="宋体" w:hAnsi="宋体" w:eastAsia="宋体"/>
          <w:color w:val="000000" w:themeColor="text1"/>
          <w:szCs w:val="21"/>
          <w:u w:val="single"/>
          <w14:textFill>
            <w14:solidFill>
              <w14:schemeClr w14:val="tx1"/>
            </w14:solidFill>
          </w14:textFill>
        </w:rPr>
        <w:t>固定</w:t>
      </w:r>
      <w:r>
        <w:rPr>
          <w:rFonts w:hint="eastAsia" w:ascii="宋体" w:hAnsi="宋体" w:eastAsia="宋体"/>
          <w:color w:val="000000" w:themeColor="text1"/>
          <w:szCs w:val="21"/>
          <w14:textFill>
            <w14:solidFill>
              <w14:schemeClr w14:val="tx1"/>
            </w14:solidFill>
          </w14:textFill>
        </w:rPr>
        <w:t>综合单价相同，否则以发包人的为准）；</w:t>
      </w:r>
    </w:p>
    <w:p w14:paraId="3E291B8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其他合同文件：《中华人民共和国建筑法》《中华人民共和国民法典》《中华人民共和国政府采购法》《中华人民共和国政府采购法实施条例》《政府采购竞争性磋商采购方式管理暂行办法》《财政部关于政府采购竞争性磋商采购方式管理暂行办法有关问题的补充通知》《中华人民共和国土地管理法》《中华人民共和国城市规划法》《中华人民共和国环境保护法》《中华人民共和国环境影响评价法》《建设工程质量管理条例》《建设工程安全生产管理条例》《建设工程勘察设计管理条例》《中华人民共和国土地管理法实施条例》《工程勘察通用规范》（GB55017-2021）、《广西壮族自治区岩土工程勘察规范》（DBJ/T45-066--2018）、《建筑装饰装修工程质量验收标准》《建筑工程施工发包与承包计价管理办法》《建筑工程</w:t>
      </w:r>
      <w:r>
        <w:rPr>
          <w:rFonts w:hint="eastAsia" w:ascii="宋体" w:hAnsi="宋体" w:eastAsia="宋体"/>
          <w:color w:val="000000" w:themeColor="text1"/>
          <w:szCs w:val="21"/>
          <w:highlight w:val="none"/>
          <w14:textFill>
            <w14:solidFill>
              <w14:schemeClr w14:val="tx1"/>
            </w14:solidFill>
          </w14:textFill>
        </w:rPr>
        <w:t>施工许可管理办法》《实施工程建设强制性标准监督规定》《房屋建筑工程质量保修办法》《房屋建筑工程和市政基础设施工程竣工验收备案管理暂行办法》《建设工程施工现场管理规定》《建筑安全生产监督管理规定》《工程建设重大事故报告和调查程序规定》《城市建设档案管理规定》《建设工程工程量清单计价规范（GB50500-</w:t>
      </w:r>
      <w:r>
        <w:rPr>
          <w:rFonts w:ascii="宋体" w:hAnsi="宋体" w:eastAsia="宋体"/>
          <w:color w:val="000000" w:themeColor="text1"/>
          <w:szCs w:val="21"/>
          <w:highlight w:val="none"/>
          <w14:textFill>
            <w14:solidFill>
              <w14:schemeClr w14:val="tx1"/>
            </w14:solidFill>
          </w14:textFill>
        </w:rPr>
        <w:t>2013</w:t>
      </w:r>
      <w:r>
        <w:rPr>
          <w:rFonts w:hint="eastAsia" w:ascii="宋体" w:hAnsi="宋体" w:eastAsia="宋体"/>
          <w:color w:val="000000" w:themeColor="text1"/>
          <w:szCs w:val="21"/>
          <w:highlight w:val="none"/>
          <w14:textFill>
            <w14:solidFill>
              <w14:schemeClr w14:val="tx1"/>
            </w14:solidFill>
          </w14:textFill>
        </w:rPr>
        <w:t>）》及其广西实施细则及《关于建筑业实施营业税改征增值税后广西壮族自治区建设工程计价依据调整的通知》（桂建标</w:t>
      </w:r>
      <w:r>
        <w:rPr>
          <w:rFonts w:hint="eastAsia" w:ascii="宋体" w:hAnsi="宋体" w:eastAsia="宋体"/>
          <w:color w:val="000000" w:themeColor="text1"/>
          <w:szCs w:val="21"/>
          <w14:textFill>
            <w14:solidFill>
              <w14:schemeClr w14:val="tx1"/>
            </w14:solidFill>
          </w14:textFill>
        </w:rPr>
        <w:t>〔2016〕17号）、《自治区住房城乡建设厅关于调整建设工程计价增值税税率的通知》（桂建标〔2019〕12号）、《建设工程工程量计算规范（GB50854～50862-2013）》及其广西实施细则（修订本）等国家、自治区颁布的计价定额及有关规定。其它有关本工程的洽商、变更等书面协议，经发包人认可的工程签证单，经发包人审核书面同意的施工组织设计及各项施工方案，经发包人、承包人确认的会议纪要、备忘录、往来函件等文件。</w:t>
      </w:r>
    </w:p>
    <w:p w14:paraId="4A11C1DD">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上述各项合同文件包括合同当事人就该项合同文件所作出的补充和修改，属于同一类内容的文件，应以最新签署的为准。</w:t>
      </w:r>
    </w:p>
    <w:p w14:paraId="2647217D">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在合同订立及履行过程中形成的与合同有关的文件均构成合同文件组成部分，并根据其性质确定优先解释顺序。</w:t>
      </w:r>
    </w:p>
    <w:p w14:paraId="11DC88F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2.图纸</w:t>
      </w:r>
    </w:p>
    <w:p w14:paraId="547F02F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2.1发包人向承包人提供图纸日期和套数：</w:t>
      </w:r>
      <w:r>
        <w:rPr>
          <w:rFonts w:hint="eastAsia" w:ascii="宋体" w:hAnsi="宋体" w:eastAsia="宋体"/>
          <w:color w:val="000000" w:themeColor="text1"/>
          <w:szCs w:val="21"/>
          <w:u w:val="single"/>
          <w14:textFill>
            <w14:solidFill>
              <w14:schemeClr w14:val="tx1"/>
            </w14:solidFill>
          </w14:textFill>
        </w:rPr>
        <w:t>开工前14日内提供一式肆套</w:t>
      </w:r>
      <w:r>
        <w:rPr>
          <w:rFonts w:hint="eastAsia" w:ascii="宋体" w:hAnsi="宋体" w:eastAsia="宋体"/>
          <w:color w:val="000000" w:themeColor="text1"/>
          <w:szCs w:val="21"/>
          <w14:textFill>
            <w14:solidFill>
              <w14:schemeClr w14:val="tx1"/>
            </w14:solidFill>
          </w14:textFill>
        </w:rPr>
        <w:t>。</w:t>
      </w:r>
    </w:p>
    <w:p w14:paraId="27A156A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发包人对图纸的保密要求：</w:t>
      </w:r>
      <w:r>
        <w:rPr>
          <w:rFonts w:hint="eastAsia" w:ascii="宋体" w:hAnsi="宋体" w:eastAsia="宋体"/>
          <w:color w:val="000000" w:themeColor="text1"/>
          <w:szCs w:val="21"/>
          <w:u w:val="single"/>
          <w14:textFill>
            <w14:solidFill>
              <w14:schemeClr w14:val="tx1"/>
            </w14:solidFill>
          </w14:textFill>
        </w:rPr>
        <w:t>保密</w:t>
      </w:r>
      <w:r>
        <w:rPr>
          <w:rFonts w:hint="eastAsia" w:ascii="宋体" w:hAnsi="宋体" w:eastAsia="宋体"/>
          <w:color w:val="000000" w:themeColor="text1"/>
          <w:szCs w:val="21"/>
          <w14:textFill>
            <w14:solidFill>
              <w14:schemeClr w14:val="tx1"/>
            </w14:solidFill>
          </w14:textFill>
        </w:rPr>
        <w:t>。</w:t>
      </w:r>
    </w:p>
    <w:p w14:paraId="73873DB4">
      <w:pPr>
        <w:pStyle w:val="4"/>
        <w:jc w:val="left"/>
        <w:rPr>
          <w:rFonts w:hint="eastAsia" w:ascii="宋体" w:hAnsi="宋体" w:eastAsia="宋体"/>
          <w:color w:val="000000" w:themeColor="text1"/>
          <w:sz w:val="28"/>
          <w:szCs w:val="28"/>
          <w14:textFill>
            <w14:solidFill>
              <w14:schemeClr w14:val="tx1"/>
            </w14:solidFill>
          </w14:textFill>
        </w:rPr>
      </w:pPr>
      <w:bookmarkStart w:id="124" w:name="_Toc195459484"/>
      <w:bookmarkStart w:id="125" w:name="_Toc197530159"/>
      <w:r>
        <w:rPr>
          <w:rFonts w:hint="eastAsia" w:ascii="宋体" w:hAnsi="宋体" w:eastAsia="宋体"/>
          <w:color w:val="000000" w:themeColor="text1"/>
          <w:sz w:val="28"/>
          <w:szCs w:val="28"/>
          <w14:textFill>
            <w14:solidFill>
              <w14:schemeClr w14:val="tx1"/>
            </w14:solidFill>
          </w14:textFill>
        </w:rPr>
        <w:t>二、双方一般权利和义务</w:t>
      </w:r>
      <w:bookmarkEnd w:id="124"/>
      <w:bookmarkEnd w:id="125"/>
    </w:p>
    <w:p w14:paraId="2657233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3.工程师</w:t>
      </w:r>
    </w:p>
    <w:p w14:paraId="77EDF1E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3.1监理单位委派的工程师</w:t>
      </w:r>
    </w:p>
    <w:p w14:paraId="7E671D3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姓名：</w:t>
      </w:r>
      <w:r>
        <w:rPr>
          <w:rFonts w:ascii="宋体" w:hAnsi="宋体" w:eastAsia="宋体"/>
          <w:color w:val="000000" w:themeColor="text1"/>
          <w:szCs w:val="21"/>
          <w14:textFill>
            <w14:solidFill>
              <w14:schemeClr w14:val="tx1"/>
            </w14:solidFill>
          </w14:textFill>
        </w:rPr>
        <w:t>_________，</w:t>
      </w:r>
      <w:r>
        <w:rPr>
          <w:rFonts w:hint="eastAsia" w:ascii="宋体" w:hAnsi="宋体" w:eastAsia="宋体"/>
          <w:color w:val="000000" w:themeColor="text1"/>
          <w:szCs w:val="21"/>
          <w14:textFill>
            <w14:solidFill>
              <w14:schemeClr w14:val="tx1"/>
            </w14:solidFill>
          </w14:textFill>
        </w:rPr>
        <w:t>职务：</w:t>
      </w:r>
      <w:r>
        <w:rPr>
          <w:rFonts w:ascii="宋体" w:hAnsi="宋体" w:eastAsia="宋体"/>
          <w:color w:val="000000" w:themeColor="text1"/>
          <w:szCs w:val="21"/>
          <w14:textFill>
            <w14:solidFill>
              <w14:schemeClr w14:val="tx1"/>
            </w14:solidFill>
          </w14:textFill>
        </w:rPr>
        <w:t>_________</w:t>
      </w:r>
    </w:p>
    <w:p w14:paraId="54D8943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执业资格证书号：</w:t>
      </w:r>
      <w:r>
        <w:rPr>
          <w:rFonts w:ascii="宋体" w:hAnsi="宋体" w:eastAsia="宋体"/>
          <w:color w:val="000000" w:themeColor="text1"/>
          <w:szCs w:val="21"/>
          <w14:textFill>
            <w14:solidFill>
              <w14:schemeClr w14:val="tx1"/>
            </w14:solidFill>
          </w14:textFill>
        </w:rPr>
        <w:t>_________，</w:t>
      </w:r>
      <w:r>
        <w:rPr>
          <w:rFonts w:hint="eastAsia" w:ascii="宋体" w:hAnsi="宋体" w:eastAsia="宋体"/>
          <w:color w:val="000000" w:themeColor="text1"/>
          <w:szCs w:val="21"/>
          <w14:textFill>
            <w14:solidFill>
              <w14:schemeClr w14:val="tx1"/>
            </w14:solidFill>
          </w14:textFill>
        </w:rPr>
        <w:t>联系电话：</w:t>
      </w:r>
      <w:r>
        <w:rPr>
          <w:rFonts w:ascii="宋体" w:hAnsi="宋体" w:eastAsia="宋体"/>
          <w:color w:val="000000" w:themeColor="text1"/>
          <w:szCs w:val="21"/>
          <w14:textFill>
            <w14:solidFill>
              <w14:schemeClr w14:val="tx1"/>
            </w14:solidFill>
          </w14:textFill>
        </w:rPr>
        <w:t>_________</w:t>
      </w:r>
    </w:p>
    <w:p w14:paraId="13BB7FC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发包人委托的职权：</w:t>
      </w:r>
      <w:r>
        <w:rPr>
          <w:rFonts w:hint="eastAsia" w:ascii="宋体" w:hAnsi="宋体" w:eastAsia="宋体"/>
          <w:color w:val="000000" w:themeColor="text1"/>
          <w:szCs w:val="21"/>
          <w:u w:val="single"/>
          <w14:textFill>
            <w14:solidFill>
              <w14:schemeClr w14:val="tx1"/>
            </w14:solidFill>
          </w14:textFill>
        </w:rPr>
        <w:t>按监理合同约定</w:t>
      </w:r>
    </w:p>
    <w:p w14:paraId="1B213E0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需要取得发包人批准才能行使的职权：</w:t>
      </w:r>
      <w:r>
        <w:rPr>
          <w:rFonts w:hint="eastAsia" w:ascii="宋体" w:hAnsi="宋体" w:eastAsia="宋体"/>
          <w:color w:val="000000" w:themeColor="text1"/>
          <w:szCs w:val="21"/>
          <w:u w:val="single"/>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w:t>
      </w:r>
    </w:p>
    <w:p w14:paraId="6554378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3.2发包人派驻的工程师</w:t>
      </w:r>
    </w:p>
    <w:p w14:paraId="6AE3125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姓名：</w:t>
      </w:r>
      <w:r>
        <w:rPr>
          <w:rFonts w:ascii="宋体" w:hAnsi="宋体" w:eastAsia="宋体"/>
          <w:color w:val="000000" w:themeColor="text1"/>
          <w:szCs w:val="21"/>
          <w14:textFill>
            <w14:solidFill>
              <w14:schemeClr w14:val="tx1"/>
            </w14:solidFill>
          </w14:textFill>
        </w:rPr>
        <w:t>_________，</w:t>
      </w:r>
      <w:r>
        <w:rPr>
          <w:rFonts w:hint="eastAsia" w:ascii="宋体" w:hAnsi="宋体" w:eastAsia="宋体"/>
          <w:color w:val="000000" w:themeColor="text1"/>
          <w:szCs w:val="21"/>
          <w14:textFill>
            <w14:solidFill>
              <w14:schemeClr w14:val="tx1"/>
            </w14:solidFill>
          </w14:textFill>
        </w:rPr>
        <w:t>职务：</w:t>
      </w:r>
      <w:r>
        <w:rPr>
          <w:rFonts w:ascii="宋体" w:hAnsi="宋体" w:eastAsia="宋体"/>
          <w:color w:val="000000" w:themeColor="text1"/>
          <w:szCs w:val="21"/>
          <w14:textFill>
            <w14:solidFill>
              <w14:schemeClr w14:val="tx1"/>
            </w14:solidFill>
          </w14:textFill>
        </w:rPr>
        <w:t>_________</w:t>
      </w:r>
    </w:p>
    <w:p w14:paraId="2443FE8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联系电话：</w:t>
      </w:r>
      <w:r>
        <w:rPr>
          <w:rFonts w:ascii="宋体" w:hAnsi="宋体" w:eastAsia="宋体"/>
          <w:color w:val="000000" w:themeColor="text1"/>
          <w:szCs w:val="21"/>
          <w14:textFill>
            <w14:solidFill>
              <w14:schemeClr w14:val="tx1"/>
            </w14:solidFill>
          </w14:textFill>
        </w:rPr>
        <w:t>_________</w:t>
      </w:r>
    </w:p>
    <w:p w14:paraId="5F8785C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职权：</w:t>
      </w:r>
      <w:r>
        <w:rPr>
          <w:rFonts w:hint="eastAsia" w:ascii="宋体" w:hAnsi="宋体" w:eastAsia="宋体"/>
          <w:color w:val="000000" w:themeColor="text1"/>
          <w:szCs w:val="21"/>
          <w:u w:val="single"/>
          <w14:textFill>
            <w14:solidFill>
              <w14:schemeClr w14:val="tx1"/>
            </w14:solidFill>
          </w14:textFill>
        </w:rPr>
        <w:t>发包人委派的职权范围</w:t>
      </w:r>
      <w:r>
        <w:rPr>
          <w:rFonts w:hint="eastAsia" w:ascii="宋体" w:hAnsi="宋体" w:eastAsia="宋体"/>
          <w:color w:val="000000" w:themeColor="text1"/>
          <w:szCs w:val="21"/>
          <w14:textFill>
            <w14:solidFill>
              <w14:schemeClr w14:val="tx1"/>
            </w14:solidFill>
          </w14:textFill>
        </w:rPr>
        <w:t>。</w:t>
      </w:r>
    </w:p>
    <w:p w14:paraId="6D24519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3.3不实行监理的，工程师的职权：</w:t>
      </w:r>
      <w:r>
        <w:rPr>
          <w:rFonts w:hint="eastAsia" w:ascii="宋体" w:hAnsi="宋体" w:eastAsia="宋体"/>
          <w:color w:val="000000" w:themeColor="text1"/>
          <w:szCs w:val="21"/>
          <w:u w:val="single"/>
          <w14:textFill>
            <w14:solidFill>
              <w14:schemeClr w14:val="tx1"/>
            </w14:solidFill>
          </w14:textFill>
        </w:rPr>
        <w:t>经发包人授权行使</w:t>
      </w:r>
    </w:p>
    <w:p w14:paraId="255A614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4.承包人项目经理</w:t>
      </w:r>
    </w:p>
    <w:p w14:paraId="1752916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4.1姓名：</w:t>
      </w:r>
      <w:r>
        <w:rPr>
          <w:rFonts w:ascii="宋体" w:hAnsi="宋体" w:eastAsia="宋体"/>
          <w:color w:val="000000" w:themeColor="text1"/>
          <w:szCs w:val="21"/>
          <w14:textFill>
            <w14:solidFill>
              <w14:schemeClr w14:val="tx1"/>
            </w14:solidFill>
          </w14:textFill>
        </w:rPr>
        <w:t>_________，</w:t>
      </w:r>
      <w:r>
        <w:rPr>
          <w:rFonts w:hint="eastAsia" w:ascii="宋体" w:hAnsi="宋体" w:eastAsia="宋体"/>
          <w:color w:val="000000" w:themeColor="text1"/>
          <w:szCs w:val="21"/>
          <w14:textFill>
            <w14:solidFill>
              <w14:schemeClr w14:val="tx1"/>
            </w14:solidFill>
          </w14:textFill>
        </w:rPr>
        <w:t>执业资格等级：</w:t>
      </w:r>
      <w:r>
        <w:rPr>
          <w:rFonts w:ascii="宋体" w:hAnsi="宋体" w:eastAsia="宋体"/>
          <w:color w:val="000000" w:themeColor="text1"/>
          <w:szCs w:val="21"/>
          <w14:textFill>
            <w14:solidFill>
              <w14:schemeClr w14:val="tx1"/>
            </w14:solidFill>
          </w14:textFill>
        </w:rPr>
        <w:t>_________</w:t>
      </w:r>
    </w:p>
    <w:p w14:paraId="55A1B1A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职务：</w:t>
      </w:r>
      <w:r>
        <w:rPr>
          <w:rFonts w:ascii="宋体" w:hAnsi="宋体" w:eastAsia="宋体"/>
          <w:color w:val="000000" w:themeColor="text1"/>
          <w:szCs w:val="21"/>
          <w14:textFill>
            <w14:solidFill>
              <w14:schemeClr w14:val="tx1"/>
            </w14:solidFill>
          </w14:textFill>
        </w:rPr>
        <w:t>_________，</w:t>
      </w:r>
      <w:r>
        <w:rPr>
          <w:rFonts w:hint="eastAsia" w:ascii="宋体" w:hAnsi="宋体" w:eastAsia="宋体"/>
          <w:color w:val="000000" w:themeColor="text1"/>
          <w:szCs w:val="21"/>
          <w14:textFill>
            <w14:solidFill>
              <w14:schemeClr w14:val="tx1"/>
            </w14:solidFill>
          </w14:textFill>
        </w:rPr>
        <w:t>联系电话：</w:t>
      </w:r>
      <w:r>
        <w:rPr>
          <w:rFonts w:ascii="宋体" w:hAnsi="宋体" w:eastAsia="宋体"/>
          <w:color w:val="000000" w:themeColor="text1"/>
          <w:szCs w:val="21"/>
          <w14:textFill>
            <w14:solidFill>
              <w14:schemeClr w14:val="tx1"/>
            </w14:solidFill>
          </w14:textFill>
        </w:rPr>
        <w:t>_________</w:t>
      </w:r>
    </w:p>
    <w:p w14:paraId="3729303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5.发包人工作</w:t>
      </w:r>
    </w:p>
    <w:p w14:paraId="422B213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5.1发包人应按约定的时间和要求完成以下工作：</w:t>
      </w:r>
    </w:p>
    <w:p w14:paraId="0BA7260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（1）施工场地具备施工条件的要求及完成的时间：</w:t>
      </w:r>
      <w:r>
        <w:rPr>
          <w:rFonts w:hint="eastAsia" w:ascii="宋体" w:hAnsi="宋体" w:eastAsia="宋体"/>
          <w:color w:val="000000" w:themeColor="text1"/>
          <w:szCs w:val="21"/>
          <w:u w:val="single"/>
          <w14:textFill>
            <w14:solidFill>
              <w14:schemeClr w14:val="tx1"/>
            </w14:solidFill>
          </w14:textFill>
        </w:rPr>
        <w:t>开工前3日内</w:t>
      </w:r>
      <w:r>
        <w:rPr>
          <w:rFonts w:hint="eastAsia" w:ascii="宋体" w:hAnsi="宋体" w:eastAsia="宋体"/>
          <w:color w:val="000000" w:themeColor="text1"/>
          <w:szCs w:val="21"/>
          <w14:textFill>
            <w14:solidFill>
              <w14:schemeClr w14:val="tx1"/>
            </w14:solidFill>
          </w14:textFill>
        </w:rPr>
        <w:t>。</w:t>
      </w:r>
    </w:p>
    <w:p w14:paraId="2669F67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（2）将施工所需的水、电、电讯线路接至施工场地的时间、地点和供应要求：</w:t>
      </w:r>
      <w:r>
        <w:rPr>
          <w:rFonts w:hint="eastAsia" w:ascii="宋体" w:hAnsi="宋体" w:eastAsia="宋体"/>
          <w:color w:val="000000" w:themeColor="text1"/>
          <w:szCs w:val="21"/>
          <w:u w:val="single"/>
          <w14:textFill>
            <w14:solidFill>
              <w14:schemeClr w14:val="tx1"/>
            </w14:solidFill>
          </w14:textFill>
        </w:rPr>
        <w:t>开工前3日内明确水、电、电讯接入点</w:t>
      </w:r>
      <w:r>
        <w:rPr>
          <w:rFonts w:hint="eastAsia" w:ascii="宋体" w:hAnsi="宋体" w:eastAsia="宋体"/>
          <w:color w:val="000000" w:themeColor="text1"/>
          <w:szCs w:val="21"/>
          <w14:textFill>
            <w14:solidFill>
              <w14:schemeClr w14:val="tx1"/>
            </w14:solidFill>
          </w14:textFill>
        </w:rPr>
        <w:t>。施工水电费用约定：</w:t>
      </w:r>
      <w:r>
        <w:rPr>
          <w:rFonts w:hint="eastAsia" w:ascii="宋体" w:hAnsi="宋体" w:eastAsia="宋体"/>
          <w:color w:val="000000" w:themeColor="text1"/>
          <w:szCs w:val="21"/>
          <w:u w:val="single"/>
          <w14:textFill>
            <w14:solidFill>
              <w14:schemeClr w14:val="tx1"/>
            </w14:solidFill>
          </w14:textFill>
        </w:rPr>
        <w:t>①开工前成交供应商应到采购人水电管理部门办理用水用电手续，签订施工用水用电协议，并以现金转账方式缴纳水电预收款，水电预收款为本工程合同价的 3%（最高不超过50 万元），采购人开通用水用电；现场施工用水、用电费用按月以实际计量收费（单价：以发包人水电部门核准为准）向采购人缴纳；项目竣工验收前，成交供应商应与采购人结算水电费用，待结算完成后，由成交供应商申请，采购人15 个工作日内退还水电预收款（无息）。</w:t>
      </w:r>
    </w:p>
    <w:p w14:paraId="4A200D1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（3）施工场地与公共道路的通道开通时间和要求：</w:t>
      </w:r>
      <w:r>
        <w:rPr>
          <w:rFonts w:hint="eastAsia" w:ascii="宋体" w:hAnsi="宋体" w:eastAsia="宋体"/>
          <w:color w:val="000000" w:themeColor="text1"/>
          <w:szCs w:val="21"/>
          <w:u w:val="single"/>
          <w14:textFill>
            <w14:solidFill>
              <w14:schemeClr w14:val="tx1"/>
            </w14:solidFill>
          </w14:textFill>
        </w:rPr>
        <w:t>使用现有道路</w:t>
      </w:r>
      <w:r>
        <w:rPr>
          <w:rFonts w:hint="eastAsia" w:ascii="宋体" w:hAnsi="宋体" w:eastAsia="宋体"/>
          <w:color w:val="000000" w:themeColor="text1"/>
          <w:szCs w:val="21"/>
          <w14:textFill>
            <w14:solidFill>
              <w14:schemeClr w14:val="tx1"/>
            </w14:solidFill>
          </w14:textFill>
        </w:rPr>
        <w:t>。</w:t>
      </w:r>
    </w:p>
    <w:p w14:paraId="4AA3F6F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（4）工程地质和地下管线资料的提供时间：</w:t>
      </w:r>
      <w:r>
        <w:rPr>
          <w:rFonts w:hint="eastAsia" w:ascii="宋体" w:hAnsi="宋体" w:eastAsia="宋体"/>
          <w:color w:val="000000" w:themeColor="text1"/>
          <w:szCs w:val="21"/>
          <w:u w:val="single"/>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w:t>
      </w:r>
    </w:p>
    <w:p w14:paraId="0F471F8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（5）由发包人办理的施工所需证件、批件的名称和完成时间：</w:t>
      </w:r>
      <w:r>
        <w:rPr>
          <w:rFonts w:hint="eastAsia" w:ascii="宋体" w:hAnsi="宋体" w:eastAsia="宋体"/>
          <w:color w:val="000000" w:themeColor="text1"/>
          <w:szCs w:val="21"/>
          <w:u w:val="single"/>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w:t>
      </w:r>
    </w:p>
    <w:p w14:paraId="3690584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（6）水准点与坐标控制点交验要求：</w:t>
      </w:r>
      <w:r>
        <w:rPr>
          <w:rFonts w:hint="eastAsia" w:ascii="宋体" w:hAnsi="宋体" w:eastAsia="宋体"/>
          <w:color w:val="000000" w:themeColor="text1"/>
          <w:szCs w:val="21"/>
          <w:u w:val="single"/>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w:t>
      </w:r>
    </w:p>
    <w:p w14:paraId="5A9863E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（7）图纸会审和设计交底时间：</w:t>
      </w:r>
      <w:r>
        <w:rPr>
          <w:rFonts w:hint="eastAsia" w:ascii="宋体" w:hAnsi="宋体" w:eastAsia="宋体"/>
          <w:color w:val="000000" w:themeColor="text1"/>
          <w:szCs w:val="21"/>
          <w:u w:val="single"/>
          <w14:textFill>
            <w14:solidFill>
              <w14:schemeClr w14:val="tx1"/>
            </w14:solidFill>
          </w14:textFill>
        </w:rPr>
        <w:t>开工前3日内由发包人负责</w:t>
      </w:r>
      <w:r>
        <w:rPr>
          <w:rFonts w:hint="eastAsia" w:ascii="宋体" w:hAnsi="宋体" w:eastAsia="宋体"/>
          <w:color w:val="000000" w:themeColor="text1"/>
          <w:szCs w:val="21"/>
          <w14:textFill>
            <w14:solidFill>
              <w14:schemeClr w14:val="tx1"/>
            </w14:solidFill>
          </w14:textFill>
        </w:rPr>
        <w:t>。</w:t>
      </w:r>
    </w:p>
    <w:p w14:paraId="233D7E4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（8）协调处理施工场地周围地下管线和邻近建筑物、构筑物（含文物保护建筑）、古树名木的保护工作：</w:t>
      </w:r>
      <w:r>
        <w:rPr>
          <w:rFonts w:hint="eastAsia" w:ascii="宋体" w:hAnsi="宋体" w:eastAsia="宋体"/>
          <w:color w:val="000000" w:themeColor="text1"/>
          <w:szCs w:val="21"/>
          <w:u w:val="single"/>
          <w14:textFill>
            <w14:solidFill>
              <w14:schemeClr w14:val="tx1"/>
            </w14:solidFill>
          </w14:textFill>
        </w:rPr>
        <w:t>发包人负责与相关部门协商处理，承包人积极配合</w:t>
      </w:r>
      <w:r>
        <w:rPr>
          <w:rFonts w:hint="eastAsia" w:ascii="宋体" w:hAnsi="宋体" w:eastAsia="宋体"/>
          <w:color w:val="000000" w:themeColor="text1"/>
          <w:szCs w:val="21"/>
          <w14:textFill>
            <w14:solidFill>
              <w14:schemeClr w14:val="tx1"/>
            </w14:solidFill>
          </w14:textFill>
        </w:rPr>
        <w:t>。</w:t>
      </w:r>
    </w:p>
    <w:p w14:paraId="0921DF6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（9）双方约定发包人应做的其他工作：</w:t>
      </w:r>
      <w:r>
        <w:rPr>
          <w:rFonts w:hint="eastAsia" w:ascii="宋体" w:hAnsi="宋体" w:eastAsia="宋体"/>
          <w:color w:val="000000" w:themeColor="text1"/>
          <w:szCs w:val="21"/>
          <w:u w:val="single"/>
          <w14:textFill>
            <w14:solidFill>
              <w14:schemeClr w14:val="tx1"/>
            </w14:solidFill>
          </w14:textFill>
        </w:rPr>
        <w:t>无</w:t>
      </w:r>
    </w:p>
    <w:p w14:paraId="73835C8F">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5.2发包人委托承包人办理的工作：</w:t>
      </w:r>
      <w:r>
        <w:rPr>
          <w:rFonts w:hint="eastAsia" w:ascii="宋体" w:hAnsi="宋体" w:eastAsia="宋体"/>
          <w:color w:val="000000" w:themeColor="text1"/>
          <w:szCs w:val="21"/>
          <w:u w:val="single"/>
          <w14:textFill>
            <w14:solidFill>
              <w14:schemeClr w14:val="tx1"/>
            </w14:solidFill>
          </w14:textFill>
        </w:rPr>
        <w:t>无</w:t>
      </w:r>
    </w:p>
    <w:p w14:paraId="1182CF5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6.承包人工作</w:t>
      </w:r>
    </w:p>
    <w:p w14:paraId="6259EE8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6.1承包人应按约定时间和要求，完成以下工作：</w:t>
      </w:r>
    </w:p>
    <w:p w14:paraId="2F20F01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（1）需由设计资质等级和业务范围允许的承包人完成的设计文件提交时间：</w:t>
      </w:r>
      <w:r>
        <w:rPr>
          <w:rFonts w:hint="eastAsia" w:ascii="宋体" w:hAnsi="宋体" w:eastAsia="宋体"/>
          <w:color w:val="000000" w:themeColor="text1"/>
          <w:szCs w:val="21"/>
          <w:u w:val="single"/>
          <w14:textFill>
            <w14:solidFill>
              <w14:schemeClr w14:val="tx1"/>
            </w14:solidFill>
          </w14:textFill>
        </w:rPr>
        <w:t>无</w:t>
      </w:r>
      <w:r>
        <w:rPr>
          <w:rFonts w:hint="eastAsia" w:ascii="宋体" w:hAnsi="宋体" w:eastAsia="宋体"/>
          <w:color w:val="000000" w:themeColor="text1"/>
          <w:szCs w:val="21"/>
          <w14:textFill>
            <w14:solidFill>
              <w14:schemeClr w14:val="tx1"/>
            </w14:solidFill>
          </w14:textFill>
        </w:rPr>
        <w:t>。</w:t>
      </w:r>
    </w:p>
    <w:p w14:paraId="1DA8430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（2）应提供计划、报表的名称及完成时间：</w:t>
      </w:r>
      <w:r>
        <w:rPr>
          <w:rFonts w:hint="eastAsia" w:ascii="宋体" w:hAnsi="宋体" w:eastAsia="宋体"/>
          <w:color w:val="000000" w:themeColor="text1"/>
          <w:szCs w:val="21"/>
          <w:u w:val="single"/>
          <w14:textFill>
            <w14:solidFill>
              <w14:schemeClr w14:val="tx1"/>
            </w14:solidFill>
          </w14:textFill>
        </w:rPr>
        <w:t>每月25日前</w:t>
      </w:r>
      <w:r>
        <w:rPr>
          <w:rFonts w:hint="eastAsia" w:ascii="宋体" w:hAnsi="宋体" w:eastAsia="宋体"/>
          <w:color w:val="000000" w:themeColor="text1"/>
          <w:szCs w:val="21"/>
          <w14:textFill>
            <w14:solidFill>
              <w14:schemeClr w14:val="tx1"/>
            </w14:solidFill>
          </w14:textFill>
        </w:rPr>
        <w:t>。</w:t>
      </w:r>
    </w:p>
    <w:p w14:paraId="5B21449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（3）承担施工安全保卫工作及非夜间施工照明的责任和要求：</w:t>
      </w:r>
      <w:r>
        <w:rPr>
          <w:rFonts w:hint="eastAsia" w:ascii="宋体" w:hAnsi="宋体" w:eastAsia="宋体"/>
          <w:color w:val="000000" w:themeColor="text1"/>
          <w:szCs w:val="21"/>
          <w:u w:val="single"/>
          <w14:textFill>
            <w14:solidFill>
              <w14:schemeClr w14:val="tx1"/>
            </w14:solidFill>
          </w14:textFill>
        </w:rPr>
        <w:t>由承包人承担费用</w:t>
      </w:r>
      <w:r>
        <w:rPr>
          <w:rFonts w:hint="eastAsia" w:ascii="宋体" w:hAnsi="宋体" w:eastAsia="宋体"/>
          <w:color w:val="000000" w:themeColor="text1"/>
          <w:szCs w:val="21"/>
          <w14:textFill>
            <w14:solidFill>
              <w14:schemeClr w14:val="tx1"/>
            </w14:solidFill>
          </w14:textFill>
        </w:rPr>
        <w:t>。</w:t>
      </w:r>
    </w:p>
    <w:p w14:paraId="2651C3F4">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（4）向发包人提供的办公和生活房屋及设施的要求：</w:t>
      </w:r>
      <w:r>
        <w:rPr>
          <w:rFonts w:hint="eastAsia" w:ascii="宋体" w:hAnsi="宋体" w:eastAsia="宋体"/>
          <w:color w:val="000000" w:themeColor="text1"/>
          <w:szCs w:val="21"/>
          <w:u w:val="single"/>
          <w14:textFill>
            <w14:solidFill>
              <w14:schemeClr w14:val="tx1"/>
            </w14:solidFill>
          </w14:textFill>
        </w:rPr>
        <w:t>无</w:t>
      </w:r>
    </w:p>
    <w:p w14:paraId="29D732B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（5）需承包人办理的有关施工场地交通、环卫和施工噪音管理等手续：</w:t>
      </w:r>
      <w:r>
        <w:rPr>
          <w:rFonts w:hint="eastAsia" w:ascii="宋体" w:hAnsi="宋体" w:eastAsia="宋体"/>
          <w:color w:val="000000" w:themeColor="text1"/>
          <w:szCs w:val="21"/>
          <w:u w:val="single"/>
          <w14:textFill>
            <w14:solidFill>
              <w14:schemeClr w14:val="tx1"/>
            </w14:solidFill>
          </w14:textFill>
        </w:rPr>
        <w:t>由承包人办理，费用由承包人承担</w:t>
      </w:r>
      <w:r>
        <w:rPr>
          <w:rFonts w:hint="eastAsia" w:ascii="宋体" w:hAnsi="宋体" w:eastAsia="宋体"/>
          <w:color w:val="000000" w:themeColor="text1"/>
          <w:szCs w:val="21"/>
          <w14:textFill>
            <w14:solidFill>
              <w14:schemeClr w14:val="tx1"/>
            </w14:solidFill>
          </w14:textFill>
        </w:rPr>
        <w:t>。</w:t>
      </w:r>
    </w:p>
    <w:p w14:paraId="3FC196D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（6）已完工程成品保护的特殊要求及费用承担：</w:t>
      </w:r>
      <w:r>
        <w:rPr>
          <w:rFonts w:hint="eastAsia" w:ascii="宋体" w:hAnsi="宋体" w:eastAsia="宋体"/>
          <w:color w:val="000000" w:themeColor="text1"/>
          <w:szCs w:val="21"/>
          <w:u w:val="single"/>
          <w14:textFill>
            <w14:solidFill>
              <w14:schemeClr w14:val="tx1"/>
            </w14:solidFill>
          </w14:textFill>
        </w:rPr>
        <w:t>由承包人负责实施，费用由承包人承担</w:t>
      </w:r>
      <w:r>
        <w:rPr>
          <w:rFonts w:hint="eastAsia" w:ascii="宋体" w:hAnsi="宋体" w:eastAsia="宋体"/>
          <w:color w:val="000000" w:themeColor="text1"/>
          <w:szCs w:val="21"/>
          <w14:textFill>
            <w14:solidFill>
              <w14:schemeClr w14:val="tx1"/>
            </w14:solidFill>
          </w14:textFill>
        </w:rPr>
        <w:t>。</w:t>
      </w:r>
    </w:p>
    <w:p w14:paraId="00C448F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（7）施工场地周围地下管线和邻近建筑物、构筑物（含文物保护建筑）、古树名木的保护要求及费用承担：</w:t>
      </w:r>
      <w:r>
        <w:rPr>
          <w:rFonts w:hint="eastAsia" w:ascii="宋体" w:hAnsi="宋体" w:eastAsia="宋体"/>
          <w:color w:val="000000" w:themeColor="text1"/>
          <w:szCs w:val="21"/>
          <w:u w:val="single"/>
          <w14:textFill>
            <w14:solidFill>
              <w14:schemeClr w14:val="tx1"/>
            </w14:solidFill>
          </w14:textFill>
        </w:rPr>
        <w:t>由承包人负责实施，费用由发包人承担</w:t>
      </w:r>
      <w:r>
        <w:rPr>
          <w:rFonts w:hint="eastAsia" w:ascii="宋体" w:hAnsi="宋体" w:eastAsia="宋体"/>
          <w:color w:val="000000" w:themeColor="text1"/>
          <w:szCs w:val="21"/>
          <w14:textFill>
            <w14:solidFill>
              <w14:schemeClr w14:val="tx1"/>
            </w14:solidFill>
          </w14:textFill>
        </w:rPr>
        <w:t>。</w:t>
      </w:r>
    </w:p>
    <w:p w14:paraId="0530E31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（8）施工场清洁卫生的要求：</w:t>
      </w:r>
      <w:r>
        <w:rPr>
          <w:rFonts w:hint="eastAsia" w:ascii="宋体" w:hAnsi="宋体" w:eastAsia="宋体"/>
          <w:color w:val="000000" w:themeColor="text1"/>
          <w:szCs w:val="21"/>
          <w:u w:val="single"/>
          <w14:textFill>
            <w14:solidFill>
              <w14:schemeClr w14:val="tx1"/>
            </w14:solidFill>
          </w14:textFill>
        </w:rPr>
        <w:t>由承包人负责</w:t>
      </w:r>
      <w:r>
        <w:rPr>
          <w:rFonts w:hint="eastAsia" w:ascii="宋体" w:hAnsi="宋体" w:eastAsia="宋体"/>
          <w:color w:val="000000" w:themeColor="text1"/>
          <w:szCs w:val="21"/>
          <w14:textFill>
            <w14:solidFill>
              <w14:schemeClr w14:val="tx1"/>
            </w14:solidFill>
          </w14:textFill>
        </w:rPr>
        <w:t>。</w:t>
      </w:r>
    </w:p>
    <w:p w14:paraId="3F83856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（9）双方约定承包人应做的其他工作：</w:t>
      </w:r>
    </w:p>
    <w:p w14:paraId="33A276CE">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1）配合发包人做好安全文明宣传、领导检查宣传等工作，相关费用由承包人承担。</w:t>
      </w:r>
    </w:p>
    <w:p w14:paraId="7AB48D02">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2）承包人生活设施及施工场地，应自费配备消防设备，防止火灾发生。</w:t>
      </w:r>
    </w:p>
    <w:p w14:paraId="7B926D33">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3）承包人的临时用地（含项目部驻地等）租用费（含拆迁补偿）、临时用地的环保、恢复、临时用地的青苗补偿及地面附着物拆除等费用均由承包人负责，以上费用在磋商报价中综合考虑。</w:t>
      </w:r>
    </w:p>
    <w:p w14:paraId="3B7437E3">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4）取土场及弃土场由承包人自行解决，但不得违反相关管理规定，并承担相关费用。</w:t>
      </w:r>
    </w:p>
    <w:p w14:paraId="7490CAC4">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5）经过城市道路的施工车辆，必须按交警、城管、运输等部门相关规定执行。由于施工车辆造成的道路、环境等污染，其责任和费用均由承包人承担。</w:t>
      </w:r>
    </w:p>
    <w:p w14:paraId="71BFB018">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6）承包人负责合同实施期间其合同段内临时交通道路（含场内外连接公共交通道路）和交通设施的修建、维修、养护和交通管理工作，并承担一切费用。</w:t>
      </w:r>
    </w:p>
    <w:p w14:paraId="61D38253">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227A604">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（10）承包人应履行的其他义务：</w:t>
      </w:r>
    </w:p>
    <w:p w14:paraId="6BC7A1F4">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1）承包人应按时提供办理项目施工许可所需材料，如施工组织设计、安全文明施工费支付计划等，并配合发包人办理相关手续。</w:t>
      </w:r>
    </w:p>
    <w:p w14:paraId="4367E898">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 xml:space="preserve">2）承包人必须如期开工、竣工并按时保质移交整个工程。在任何情况下（除发生不可抗力之外），未经发包人书面同意承包人均不能擅自停工。 </w:t>
      </w:r>
    </w:p>
    <w:p w14:paraId="5841222A">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 xml:space="preserve">3）执行发包人项目现场代表和总监理工程师的指令，如有异议，应立即向发包人的项目现场代表、总监理工程师提出。 </w:t>
      </w:r>
    </w:p>
    <w:p w14:paraId="2E6526B3">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 xml:space="preserve">4）承包人必须严格执行发包人现场代表和总监理工程师的指令，如承包人对发出指令存有异议的，应立即向发包人现场代表、总监理工程师提出，但不得拒绝执行或消极执行。 </w:t>
      </w:r>
    </w:p>
    <w:p w14:paraId="46607DC1">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 xml:space="preserve">5）承包人要听从发包人、监理人现场管理人员的统筹指挥，认真做好施工组织设计，涉及到与其他施工单位配合的，应服从发包人、监理人现场管理人员的统筹安排。 </w:t>
      </w:r>
    </w:p>
    <w:p w14:paraId="6F4AEC0E">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 xml:space="preserve">6）施工时全面协调好周边关系，如因承包人原因未处理好周边环境关系而导致工程停工的后果由承包人自行承担，发包人将不承担由此引起的工期延误及其他损失。 </w:t>
      </w:r>
    </w:p>
    <w:p w14:paraId="0A3BA2D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6.2履约担保</w:t>
      </w:r>
    </w:p>
    <w:p w14:paraId="246B24A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bookmarkStart w:id="126" w:name="_Hlk198378765"/>
      <w:r>
        <w:rPr>
          <w:rFonts w:hint="eastAsia" w:ascii="宋体" w:hAnsi="宋体" w:eastAsia="宋体"/>
          <w:color w:val="000000" w:themeColor="text1"/>
          <w:szCs w:val="21"/>
          <w14:textFill>
            <w14:solidFill>
              <w14:schemeClr w14:val="tx1"/>
            </w14:solidFill>
          </w14:textFill>
        </w:rPr>
        <w:t>承包人</w:t>
      </w:r>
      <w:bookmarkEnd w:id="126"/>
      <w:r>
        <w:rPr>
          <w:rFonts w:hint="eastAsia" w:ascii="宋体" w:hAnsi="宋体" w:eastAsia="宋体"/>
          <w:color w:val="000000" w:themeColor="text1"/>
          <w:szCs w:val="21"/>
          <w14:textFill>
            <w14:solidFill>
              <w14:schemeClr w14:val="tx1"/>
            </w14:solidFill>
          </w14:textFill>
        </w:rPr>
        <w:t>是否提供履约担保： 是 。</w:t>
      </w:r>
    </w:p>
    <w:p w14:paraId="3D6B245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承包人提供履约担保的形式、金额及期限：承包人在收到成交通知书或任务委托书后须在10日历天内向发包人提交履约保证金（银行转账或者银行出具的无条件保函非现金方式、无息），履约保证金金额按合同价款扣除发包人材料设备价款、暂估专业工程、暂列金额后的2%收取。履约担保的有效期应当自本合同生效之日起至项目竣工结算完成止。</w:t>
      </w:r>
    </w:p>
    <w:p w14:paraId="525E047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履约保证金提交方式：银行转账或者银行出具的无条件保函非现金方式（无息）。</w:t>
      </w:r>
    </w:p>
    <w:p w14:paraId="7BDECB9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统一社会信用代码：124500004985009929</w:t>
      </w:r>
    </w:p>
    <w:p w14:paraId="2D34F85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户名：广西大学</w:t>
      </w:r>
    </w:p>
    <w:p w14:paraId="6428A42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开户行：中国银行广西南宁市西大支行</w:t>
      </w:r>
    </w:p>
    <w:p w14:paraId="062F72D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账号：6184 5748 4938</w:t>
      </w:r>
    </w:p>
    <w:p w14:paraId="797A8891">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lang w:eastAsia="zh-CN"/>
          <w14:textFill>
            <w14:solidFill>
              <w14:schemeClr w14:val="tx1"/>
            </w14:solidFill>
          </w14:textFill>
        </w:rPr>
        <w:t>）承包人应在原履约担保到期前提供新的履约担保，未能按时提供新的履约担保的，视为承包人违约，承包人按履约担保金额的4‰/日向发包人支付违约金，并且发包人有权终止向承包人支付任何合同款项，直至承包人提供新的履约担保。</w:t>
      </w:r>
    </w:p>
    <w:p w14:paraId="14C9C6B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）履约保证金的退还：</w:t>
      </w:r>
      <w:r>
        <w:rPr>
          <w:rFonts w:hint="eastAsia" w:ascii="宋体" w:hAnsi="宋体" w:eastAsia="宋体"/>
          <w:color w:val="000000" w:themeColor="text1"/>
          <w:szCs w:val="21"/>
          <w:u w:val="single"/>
          <w14:textFill>
            <w14:solidFill>
              <w14:schemeClr w14:val="tx1"/>
            </w14:solidFill>
          </w14:textFill>
        </w:rPr>
        <w:t>履约保证金在工程竣工验收合格并对验收发现的问题完成整改后的5个工作日内，退付履约金的50%；承包人向发包人完成（施工）竣工资料移交手续后并提交完整的竣工结算资料，竣工结算审核完成，双方在竣工结算审定单签字盖章后14天可向发包人申请退还剩余的履约保证金，发包人应在收到申请之日起5个工作日内扣减承包人赔偿金和其他应从承包人扣回的款项后，将履约保证金的余额退还给承包人（无息）。</w:t>
      </w:r>
    </w:p>
    <w:p w14:paraId="1BD87F98">
      <w:pPr>
        <w:pStyle w:val="4"/>
        <w:jc w:val="left"/>
        <w:rPr>
          <w:rFonts w:hint="eastAsia" w:ascii="宋体" w:hAnsi="宋体" w:eastAsia="宋体"/>
          <w:color w:val="000000" w:themeColor="text1"/>
          <w:sz w:val="28"/>
          <w:szCs w:val="28"/>
          <w14:textFill>
            <w14:solidFill>
              <w14:schemeClr w14:val="tx1"/>
            </w14:solidFill>
          </w14:textFill>
        </w:rPr>
      </w:pPr>
      <w:bookmarkStart w:id="127" w:name="_Toc197530160"/>
      <w:bookmarkStart w:id="128" w:name="_Toc195459485"/>
      <w:r>
        <w:rPr>
          <w:rFonts w:hint="eastAsia" w:ascii="宋体" w:hAnsi="宋体" w:eastAsia="宋体"/>
          <w:color w:val="000000" w:themeColor="text1"/>
          <w:sz w:val="28"/>
          <w:szCs w:val="28"/>
          <w14:textFill>
            <w14:solidFill>
              <w14:schemeClr w14:val="tx1"/>
            </w14:solidFill>
          </w14:textFill>
        </w:rPr>
        <w:t>三、施工组织设计和工期</w:t>
      </w:r>
      <w:bookmarkEnd w:id="127"/>
      <w:bookmarkEnd w:id="128"/>
    </w:p>
    <w:p w14:paraId="5BA3B76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7.进度计划</w:t>
      </w:r>
    </w:p>
    <w:p w14:paraId="32BF7AF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7.1承包人提供施工组织设计（施工方案）和进度计划的时间：</w:t>
      </w:r>
      <w:r>
        <w:rPr>
          <w:rFonts w:hint="eastAsia" w:ascii="宋体" w:hAnsi="宋体" w:eastAsia="宋体"/>
          <w:color w:val="000000" w:themeColor="text1"/>
          <w:szCs w:val="21"/>
          <w:u w:val="single"/>
          <w14:textFill>
            <w14:solidFill>
              <w14:schemeClr w14:val="tx1"/>
            </w14:solidFill>
          </w14:textFill>
        </w:rPr>
        <w:t>开工前3日内</w:t>
      </w:r>
      <w:r>
        <w:rPr>
          <w:rFonts w:hint="eastAsia" w:ascii="宋体" w:hAnsi="宋体" w:eastAsia="宋体"/>
          <w:color w:val="000000" w:themeColor="text1"/>
          <w:szCs w:val="21"/>
          <w14:textFill>
            <w14:solidFill>
              <w14:schemeClr w14:val="tx1"/>
            </w14:solidFill>
          </w14:textFill>
        </w:rPr>
        <w:t>。</w:t>
      </w:r>
    </w:p>
    <w:p w14:paraId="76DDA82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7.2工程师确认的时间：</w:t>
      </w:r>
      <w:r>
        <w:rPr>
          <w:rFonts w:hint="eastAsia" w:ascii="宋体" w:hAnsi="宋体" w:eastAsia="宋体"/>
          <w:color w:val="000000" w:themeColor="text1"/>
          <w:szCs w:val="21"/>
          <w:u w:val="single"/>
          <w14:textFill>
            <w14:solidFill>
              <w14:schemeClr w14:val="tx1"/>
            </w14:solidFill>
          </w14:textFill>
        </w:rPr>
        <w:t>收到施工组织设计（施工方案）和进度计划后5日内</w:t>
      </w:r>
      <w:r>
        <w:rPr>
          <w:rFonts w:hint="eastAsia" w:ascii="宋体" w:hAnsi="宋体" w:eastAsia="宋体"/>
          <w:color w:val="000000" w:themeColor="text1"/>
          <w:szCs w:val="21"/>
          <w14:textFill>
            <w14:solidFill>
              <w14:schemeClr w14:val="tx1"/>
            </w14:solidFill>
          </w14:textFill>
        </w:rPr>
        <w:t>。</w:t>
      </w:r>
    </w:p>
    <w:p w14:paraId="3087D5A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8.工期延误</w:t>
      </w:r>
    </w:p>
    <w:p w14:paraId="661B3AA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8.1工期顺延的确认：</w:t>
      </w:r>
      <w:r>
        <w:rPr>
          <w:rFonts w:hint="eastAsia" w:ascii="宋体" w:hAnsi="宋体" w:eastAsia="宋体"/>
          <w:color w:val="000000" w:themeColor="text1"/>
          <w:szCs w:val="21"/>
          <w:u w:val="single"/>
          <w14:textFill>
            <w14:solidFill>
              <w14:schemeClr w14:val="tx1"/>
            </w14:solidFill>
          </w14:textFill>
        </w:rPr>
        <w:t>承包人填报工期签证单申请顺延天数，经发包人确认后工期相应顺延，发包人无需承担其他任何责任，也不需做任何补偿</w:t>
      </w:r>
      <w:r>
        <w:rPr>
          <w:rFonts w:hint="eastAsia" w:ascii="宋体" w:hAnsi="宋体" w:eastAsia="宋体"/>
          <w:color w:val="000000" w:themeColor="text1"/>
          <w:szCs w:val="21"/>
          <w14:textFill>
            <w14:solidFill>
              <w14:schemeClr w14:val="tx1"/>
            </w14:solidFill>
          </w14:textFill>
        </w:rPr>
        <w:t>。</w:t>
      </w:r>
    </w:p>
    <w:p w14:paraId="3DA62F9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8.1.1双方约定工期顺延的情形：</w:t>
      </w:r>
      <w:r>
        <w:rPr>
          <w:rFonts w:hint="eastAsia" w:ascii="宋体" w:hAnsi="宋体" w:eastAsia="宋体"/>
          <w:color w:val="000000" w:themeColor="text1"/>
          <w:szCs w:val="21"/>
          <w:u w:val="single"/>
          <w14:textFill>
            <w14:solidFill>
              <w14:schemeClr w14:val="tx1"/>
            </w14:solidFill>
          </w14:textFill>
        </w:rPr>
        <w:t>（1）不可抗力的原因（含异常恶劣的气候条件，如连续大于3天超过40摄氏度的高温天气，8级以上（含）大风及六级以上的地震等）；（2）因发包人原因不能开工或中途停工的；（3）设计变更导致施工内容增加且对工期造成影响的。</w:t>
      </w:r>
    </w:p>
    <w:p w14:paraId="2B7BED8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8.2除8.1.1约定的情形外，承包人不能按合同约定的时间竣工的，承包人应承担违约责任。承包人应向发包人支付误期违约金（每天违约金数额为合同价款的万分之肆），工期延误天数=实际工期-合同工期-同意顺延天数（实际工期：从规定开工日起至竣工验收合格日止；合同工期：合同协议书中合同工期总日历天数；顺延天数：发包人同意顺延的天数），违约金最多不超过签约合同价的10%。发包人从应向承包人支付的任何款项中扣除此项违约金或承包人直接缴纳违约金，此项违约金的支付并不能免除承包人完成工程的义务和按照合同约定应当履行的其他义务。</w:t>
      </w:r>
    </w:p>
    <w:p w14:paraId="21FFF01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除了支付上述约定的违约金外，如因承包人的原因造成项目不能按合同约定的时间竣工的，累计延误超工期15天或施工组织计划中关键节点（6月20前完成电梯订购单、7月25日前完成工程量的60%）延误，发包人有权清退承包人，并委托第三方接续施工，委托差价由承包人承担，同时承包人应向发包人支付合同价5%的违约金。</w:t>
      </w:r>
    </w:p>
    <w:p w14:paraId="72AB14D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8.3因工程量变化和设计变更的工期予以顺延，即工期相应变化，工程质量要求不变。</w:t>
      </w:r>
    </w:p>
    <w:p w14:paraId="284AB46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8.4承包人必须按照合同约定的工期或发包人同意顺延的工期竣工。</w:t>
      </w:r>
    </w:p>
    <w:p w14:paraId="54F78D7D">
      <w:pPr>
        <w:pStyle w:val="4"/>
        <w:jc w:val="left"/>
        <w:rPr>
          <w:rFonts w:hint="eastAsia" w:ascii="宋体" w:hAnsi="宋体" w:eastAsia="宋体"/>
          <w:color w:val="000000" w:themeColor="text1"/>
          <w:sz w:val="28"/>
          <w:szCs w:val="28"/>
          <w14:textFill>
            <w14:solidFill>
              <w14:schemeClr w14:val="tx1"/>
            </w14:solidFill>
          </w14:textFill>
        </w:rPr>
      </w:pPr>
      <w:bookmarkStart w:id="129" w:name="_Toc197530161"/>
      <w:bookmarkStart w:id="130" w:name="_Toc195459486"/>
      <w:r>
        <w:rPr>
          <w:rFonts w:hint="eastAsia" w:ascii="宋体" w:hAnsi="宋体" w:eastAsia="宋体"/>
          <w:color w:val="000000" w:themeColor="text1"/>
          <w:sz w:val="28"/>
          <w:szCs w:val="28"/>
          <w14:textFill>
            <w14:solidFill>
              <w14:schemeClr w14:val="tx1"/>
            </w14:solidFill>
          </w14:textFill>
        </w:rPr>
        <w:t>四、质量与验收</w:t>
      </w:r>
      <w:bookmarkEnd w:id="129"/>
      <w:bookmarkEnd w:id="130"/>
    </w:p>
    <w:p w14:paraId="37FBC57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9.工程质量</w:t>
      </w:r>
    </w:p>
    <w:p w14:paraId="50D3EE0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9.1发包人对工程质量的要求：</w:t>
      </w:r>
      <w:r>
        <w:rPr>
          <w:rFonts w:hint="eastAsia" w:ascii="宋体" w:hAnsi="宋体" w:eastAsia="宋体"/>
          <w:color w:val="000000" w:themeColor="text1"/>
          <w:szCs w:val="21"/>
          <w:u w:val="single"/>
          <w14:textFill>
            <w14:solidFill>
              <w14:schemeClr w14:val="tx1"/>
            </w14:solidFill>
          </w14:textFill>
        </w:rPr>
        <w:t>符合国家、行业、工程所在地的标准和规范，并必须达到合格要求</w:t>
      </w:r>
      <w:r>
        <w:rPr>
          <w:rFonts w:hint="eastAsia" w:ascii="宋体" w:hAnsi="宋体" w:eastAsia="宋体"/>
          <w:color w:val="000000" w:themeColor="text1"/>
          <w:szCs w:val="21"/>
          <w14:textFill>
            <w14:solidFill>
              <w14:schemeClr w14:val="tx1"/>
            </w14:solidFill>
          </w14:textFill>
        </w:rPr>
        <w:t>。</w:t>
      </w:r>
    </w:p>
    <w:p w14:paraId="6D6057E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9.2双方对工程质量有争议时，委托第三方检测机构检测，检测后如无质量问题，检测费用由发包人负责，如检测结果有质量问题，则检测费用由承包人负责。</w:t>
      </w:r>
    </w:p>
    <w:p w14:paraId="24199B2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10.隐蔽工程和中间验收</w:t>
      </w:r>
    </w:p>
    <w:p w14:paraId="056102D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10.1双方约定中间验收部位：</w:t>
      </w:r>
      <w:r>
        <w:rPr>
          <w:rFonts w:hint="eastAsia" w:ascii="宋体" w:hAnsi="宋体" w:eastAsia="宋体"/>
          <w:color w:val="000000" w:themeColor="text1"/>
          <w:szCs w:val="21"/>
          <w:u w:val="single"/>
          <w14:textFill>
            <w14:solidFill>
              <w14:schemeClr w14:val="tx1"/>
            </w14:solidFill>
          </w14:textFill>
        </w:rPr>
        <w:t>工程隐蔽或中间验收前3个工作日内，承包人以书面形式通知监理单位和发包人参加验收，说明验收的内容、时间、地点，并在验收前准备好相关验收资料。验收合格，承包人可进行隐蔽和继续施工，验收不合格，承包人整改后按上述顺序重新验收</w:t>
      </w:r>
      <w:r>
        <w:rPr>
          <w:rFonts w:hint="eastAsia" w:ascii="宋体" w:hAnsi="宋体" w:eastAsia="宋体"/>
          <w:color w:val="000000" w:themeColor="text1"/>
          <w:szCs w:val="21"/>
          <w14:textFill>
            <w14:solidFill>
              <w14:schemeClr w14:val="tx1"/>
            </w14:solidFill>
          </w14:textFill>
        </w:rPr>
        <w:t>。</w:t>
      </w:r>
    </w:p>
    <w:p w14:paraId="678C6DFD">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11.安全文明施工</w:t>
      </w:r>
    </w:p>
    <w:p w14:paraId="2210FC0B">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11.1项目安全生产的达标目标及相应事项的约定：承包人对项目的施工应达到《建筑施工安全检查标准》（JGJ59-2011）要求，同时承包人应严格遵守《建设工程安全生产管理条例》和建设部《建筑工程安全防护、文明施工措施费及使用管理规定》、《广西壮族自治区建筑工程安全防护、文明施工措施费及使用管理细则》以及《南宁市建设工程施工现场管理若干规定》、南宁市建设工程施工现场安全文明施工实施细则的有关规定，严格组织实施，并随时接受行业安全检查人员依法实施的监督检查，采取必要的安全防护措施，消除事故隐患，确保无安全生产事故发生，承包人承担因承包人责任而引发的任何事故。</w:t>
      </w:r>
    </w:p>
    <w:p w14:paraId="47CA46C9">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关于安全文明施工奖项的约定：无。</w:t>
      </w:r>
    </w:p>
    <w:p w14:paraId="3A70C155">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11.2关于治安保卫的特别约定：承包人应承担施工安全保卫工作及非夜间施工照明的责任，承包人应采取一切合理的预防措施，防止人员伤亡、财产损失事故，费用由承包人承担。承包人生活设施及施工场地应自费配备消防设备，防止火灾发生。同时承包人应按照《广西大学消防安全管理规定》（西大保〔2021〕3号）做好安全管理工作。承包人承担因承包人责任而引发的任何事故。</w:t>
      </w:r>
    </w:p>
    <w:p w14:paraId="5698B59C">
      <w:pPr>
        <w:spacing w:line="360" w:lineRule="auto"/>
        <w:ind w:firstLine="420" w:firstLineChars="200"/>
        <w:rPr>
          <w:rFonts w:hint="eastAsia" w:ascii="宋体" w:hAnsi="宋体" w:eastAsia="宋体"/>
          <w:color w:val="000000" w:themeColor="text1"/>
          <w:szCs w:val="21"/>
          <w:u w:val="none"/>
          <w14:textFill>
            <w14:solidFill>
              <w14:schemeClr w14:val="tx1"/>
            </w14:solidFill>
          </w14:textFill>
        </w:rPr>
      </w:pPr>
      <w:r>
        <w:rPr>
          <w:rFonts w:hint="eastAsia" w:ascii="宋体" w:hAnsi="宋体" w:eastAsia="宋体"/>
          <w:color w:val="000000" w:themeColor="text1"/>
          <w:szCs w:val="21"/>
          <w:u w:val="none"/>
          <w14:textFill>
            <w14:solidFill>
              <w14:schemeClr w14:val="tx1"/>
            </w14:solidFill>
          </w14:textFill>
        </w:rPr>
        <w:t>关于编制施工场地治安管理计划的约定：必须严格按照《中华人民共和国治安管理处罚法》及《广西壮族自治区社会治安综合治理条例》要求编制治安管理计划，开工前提供经发包人同意的施工场地治安管理计划。</w:t>
      </w:r>
    </w:p>
    <w:p w14:paraId="75B73212">
      <w:pPr>
        <w:pStyle w:val="4"/>
        <w:jc w:val="left"/>
        <w:rPr>
          <w:rFonts w:hint="eastAsia" w:ascii="宋体" w:hAnsi="宋体" w:eastAsia="宋体"/>
          <w:color w:val="000000" w:themeColor="text1"/>
          <w:sz w:val="28"/>
          <w:szCs w:val="28"/>
          <w14:textFill>
            <w14:solidFill>
              <w14:schemeClr w14:val="tx1"/>
            </w14:solidFill>
          </w14:textFill>
        </w:rPr>
      </w:pPr>
      <w:bookmarkStart w:id="131" w:name="_Toc195459487"/>
      <w:bookmarkStart w:id="132" w:name="_Toc197530162"/>
      <w:r>
        <w:rPr>
          <w:rFonts w:hint="eastAsia" w:ascii="宋体" w:hAnsi="宋体" w:eastAsia="宋体"/>
          <w:color w:val="000000" w:themeColor="text1"/>
          <w:sz w:val="28"/>
          <w:szCs w:val="28"/>
          <w14:textFill>
            <w14:solidFill>
              <w14:schemeClr w14:val="tx1"/>
            </w14:solidFill>
          </w14:textFill>
        </w:rPr>
        <w:t>五、合同价款与支付</w:t>
      </w:r>
      <w:bookmarkEnd w:id="131"/>
      <w:bookmarkEnd w:id="132"/>
    </w:p>
    <w:p w14:paraId="1008C45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11.合同价款及调整</w:t>
      </w:r>
    </w:p>
    <w:p w14:paraId="3B6020E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11.1签约合同价（暂定）：人民币（大写）：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71DC2B9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其中：</w:t>
      </w:r>
    </w:p>
    <w:p w14:paraId="2680431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（1）安全文明施工费：人民币（大写）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219B05C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（2）材料和工程设备暂估价金额：人民币（大写）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533A5CA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（3）专业工程暂估价金额：人民币（大写）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0100F14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（4）暂列金额：人民币（大写）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1C33C66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11.1.1招标控制价：人民币（大写）：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094FCA1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其中：</w:t>
      </w:r>
    </w:p>
    <w:p w14:paraId="5509BEA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（1）安全文明施工费：人民币（大写）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71E49F8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（2）材料和工程设备暂估价金额：人民币（大写）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6AC96B9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（3）专业工程暂估价金额：人民币（大写）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4C306C0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（4）暂列金额：人民币（大写）</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w:t>
      </w:r>
    </w:p>
    <w:p w14:paraId="78ACEDA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（5）合同下浮系数：</w:t>
      </w:r>
      <w:r>
        <w:rPr>
          <w:rFonts w:ascii="宋体" w:hAnsi="宋体" w:eastAsia="宋体"/>
          <w:color w:val="000000" w:themeColor="text1"/>
          <w:szCs w:val="21"/>
          <w14:textFill>
            <w14:solidFill>
              <w14:schemeClr w14:val="tx1"/>
            </w14:solidFill>
          </w14:textFill>
        </w:rPr>
        <w:t>________</w:t>
      </w:r>
    </w:p>
    <w:p w14:paraId="1D25365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11.2合同价格形式：</w:t>
      </w:r>
      <w:r>
        <w:rPr>
          <w:rFonts w:hint="eastAsia" w:ascii="宋体" w:hAnsi="宋体" w:eastAsia="宋体"/>
          <w:color w:val="000000" w:themeColor="text1"/>
          <w:szCs w:val="21"/>
          <w:u w:val="single"/>
          <w14:textFill>
            <w14:solidFill>
              <w14:schemeClr w14:val="tx1"/>
            </w14:solidFill>
          </w14:textFill>
        </w:rPr>
        <w:t>固定综合单价合同</w:t>
      </w:r>
      <w:r>
        <w:rPr>
          <w:rFonts w:hint="eastAsia" w:ascii="宋体" w:hAnsi="宋体" w:eastAsia="宋体"/>
          <w:color w:val="000000" w:themeColor="text1"/>
          <w:szCs w:val="21"/>
          <w14:textFill>
            <w14:solidFill>
              <w14:schemeClr w14:val="tx1"/>
            </w14:solidFill>
          </w14:textFill>
        </w:rPr>
        <w:t>。</w:t>
      </w:r>
    </w:p>
    <w:p w14:paraId="531C920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11.2.1合同计价原则（含工程变更）：工程量按实际完成量，固定综合单价按以下顺序计取：</w:t>
      </w:r>
      <w:r>
        <w:rPr>
          <w:rFonts w:hint="eastAsia" w:ascii="宋体" w:hAnsi="宋体" w:eastAsia="宋体"/>
          <w:color w:val="000000" w:themeColor="text1"/>
          <w:szCs w:val="21"/>
          <w:u w:val="single"/>
          <w14:textFill>
            <w14:solidFill>
              <w14:schemeClr w14:val="tx1"/>
            </w14:solidFill>
          </w14:textFill>
        </w:rPr>
        <w:t>（1）招标控制价（最高限价）公布的单价乘以（1-下浮系数）；（2）《广西大学零星工程包干单价目录》（202</w:t>
      </w:r>
      <w:r>
        <w:rPr>
          <w:rFonts w:hint="eastAsia" w:ascii="宋体" w:hAnsi="宋体" w:eastAsia="宋体"/>
          <w:color w:val="000000" w:themeColor="text1"/>
          <w:szCs w:val="21"/>
          <w:u w:val="single"/>
          <w:lang w:val="en-US" w:eastAsia="zh-CN"/>
          <w14:textFill>
            <w14:solidFill>
              <w14:schemeClr w14:val="tx1"/>
            </w14:solidFill>
          </w14:textFill>
        </w:rPr>
        <w:t>6</w:t>
      </w:r>
      <w:r>
        <w:rPr>
          <w:rFonts w:hint="eastAsia" w:ascii="宋体" w:hAnsi="宋体" w:eastAsia="宋体"/>
          <w:color w:val="000000" w:themeColor="text1"/>
          <w:szCs w:val="21"/>
          <w:u w:val="single"/>
          <w14:textFill>
            <w14:solidFill>
              <w14:schemeClr w14:val="tx1"/>
            </w14:solidFill>
          </w14:textFill>
        </w:rPr>
        <w:t>年第</w:t>
      </w:r>
      <w:r>
        <w:rPr>
          <w:rFonts w:hint="eastAsia" w:ascii="宋体" w:hAnsi="宋体" w:eastAsia="宋体"/>
          <w:color w:val="000000" w:themeColor="text1"/>
          <w:szCs w:val="21"/>
          <w:u w:val="single"/>
          <w:lang w:val="en-US" w:eastAsia="zh-CN"/>
          <w14:textFill>
            <w14:solidFill>
              <w14:schemeClr w14:val="tx1"/>
            </w14:solidFill>
          </w14:textFill>
        </w:rPr>
        <w:t>2</w:t>
      </w:r>
      <w:r>
        <w:rPr>
          <w:rFonts w:hint="eastAsia" w:ascii="宋体" w:hAnsi="宋体" w:eastAsia="宋体"/>
          <w:color w:val="000000" w:themeColor="text1"/>
          <w:szCs w:val="21"/>
          <w:u w:val="single"/>
          <w14:textFill>
            <w14:solidFill>
              <w14:schemeClr w14:val="tx1"/>
            </w14:solidFill>
          </w14:textFill>
        </w:rPr>
        <w:t>期）有相同或类似子目的</w:t>
      </w:r>
      <w:r>
        <w:rPr>
          <w:rFonts w:hint="eastAsia" w:ascii="宋体" w:hAnsi="宋体" w:eastAsia="宋体"/>
          <w:color w:val="000000" w:themeColor="text1"/>
          <w:szCs w:val="21"/>
          <w:highlight w:val="none"/>
          <w:u w:val="single"/>
          <w14:textFill>
            <w14:solidFill>
              <w14:schemeClr w14:val="tx1"/>
            </w14:solidFill>
          </w14:textFill>
        </w:rPr>
        <w:t>按该子目计价，并乘以（1-下浮系数）；（3）《广西大学零星工程包干单价目录》（202</w:t>
      </w:r>
      <w:r>
        <w:rPr>
          <w:rFonts w:hint="eastAsia" w:ascii="宋体" w:hAnsi="宋体" w:eastAsia="宋体"/>
          <w:color w:val="000000" w:themeColor="text1"/>
          <w:szCs w:val="21"/>
          <w:highlight w:val="none"/>
          <w:u w:val="single"/>
          <w:lang w:val="en-US" w:eastAsia="zh-CN"/>
          <w14:textFill>
            <w14:solidFill>
              <w14:schemeClr w14:val="tx1"/>
            </w14:solidFill>
          </w14:textFill>
        </w:rPr>
        <w:t>6</w:t>
      </w:r>
      <w:r>
        <w:rPr>
          <w:rFonts w:hint="eastAsia" w:ascii="宋体" w:hAnsi="宋体" w:eastAsia="宋体"/>
          <w:color w:val="000000" w:themeColor="text1"/>
          <w:szCs w:val="21"/>
          <w:highlight w:val="none"/>
          <w:u w:val="single"/>
          <w14:textFill>
            <w14:solidFill>
              <w14:schemeClr w14:val="tx1"/>
            </w14:solidFill>
          </w14:textFill>
        </w:rPr>
        <w:t>年第</w:t>
      </w:r>
      <w:r>
        <w:rPr>
          <w:rFonts w:hint="eastAsia" w:ascii="宋体" w:hAnsi="宋体" w:eastAsia="宋体"/>
          <w:color w:val="000000" w:themeColor="text1"/>
          <w:szCs w:val="21"/>
          <w:highlight w:val="none"/>
          <w:u w:val="single"/>
          <w:lang w:val="en-US" w:eastAsia="zh-CN"/>
          <w14:textFill>
            <w14:solidFill>
              <w14:schemeClr w14:val="tx1"/>
            </w14:solidFill>
          </w14:textFill>
        </w:rPr>
        <w:t>2</w:t>
      </w:r>
      <w:r>
        <w:rPr>
          <w:rFonts w:hint="eastAsia" w:ascii="宋体" w:hAnsi="宋体" w:eastAsia="宋体"/>
          <w:color w:val="000000" w:themeColor="text1"/>
          <w:szCs w:val="21"/>
          <w:highlight w:val="none"/>
          <w:u w:val="single"/>
          <w14:textFill>
            <w14:solidFill>
              <w14:schemeClr w14:val="tx1"/>
            </w14:solidFill>
          </w14:textFill>
        </w:rPr>
        <w:t>期）没</w:t>
      </w:r>
      <w:r>
        <w:rPr>
          <w:rFonts w:hint="eastAsia" w:ascii="宋体" w:hAnsi="宋体" w:eastAsia="宋体"/>
          <w:color w:val="000000" w:themeColor="text1"/>
          <w:szCs w:val="21"/>
          <w:u w:val="single"/>
          <w14:textFill>
            <w14:solidFill>
              <w14:schemeClr w14:val="tx1"/>
            </w14:solidFill>
          </w14:textFill>
        </w:rPr>
        <w:t>有相同或类似子目，</w:t>
      </w:r>
      <w:r>
        <w:rPr>
          <w:rFonts w:hint="eastAsia" w:ascii="宋体" w:hAnsi="宋体" w:eastAsia="宋体"/>
          <w:color w:val="000000" w:themeColor="text1"/>
          <w:szCs w:val="21"/>
          <w:highlight w:val="none"/>
          <w:u w:val="single"/>
          <w14:textFill>
            <w14:solidFill>
              <w14:schemeClr w14:val="tx1"/>
            </w14:solidFill>
          </w14:textFill>
        </w:rPr>
        <w:t>但有现行定额可套的，按定额计算后乘以（1-下浮系数），材料价格按施工期间的《南宁建设工程造价信息》（202</w:t>
      </w:r>
      <w:r>
        <w:rPr>
          <w:rFonts w:hint="eastAsia" w:ascii="宋体" w:hAnsi="宋体" w:eastAsia="宋体"/>
          <w:color w:val="000000" w:themeColor="text1"/>
          <w:szCs w:val="21"/>
          <w:highlight w:val="none"/>
          <w:u w:val="single"/>
          <w:lang w:val="en-US" w:eastAsia="zh-CN"/>
          <w14:textFill>
            <w14:solidFill>
              <w14:schemeClr w14:val="tx1"/>
            </w14:solidFill>
          </w14:textFill>
        </w:rPr>
        <w:t>6</w:t>
      </w:r>
      <w:r>
        <w:rPr>
          <w:rFonts w:hint="eastAsia" w:ascii="宋体" w:hAnsi="宋体" w:eastAsia="宋体"/>
          <w:color w:val="000000" w:themeColor="text1"/>
          <w:szCs w:val="21"/>
          <w:highlight w:val="none"/>
          <w:u w:val="single"/>
          <w14:textFill>
            <w14:solidFill>
              <w14:schemeClr w14:val="tx1"/>
            </w14:solidFill>
          </w14:textFill>
        </w:rPr>
        <w:t>年第</w:t>
      </w:r>
      <w:r>
        <w:rPr>
          <w:rFonts w:hint="eastAsia" w:ascii="宋体" w:hAnsi="宋体" w:eastAsia="宋体"/>
          <w:color w:val="000000" w:themeColor="text1"/>
          <w:szCs w:val="21"/>
          <w:highlight w:val="none"/>
          <w:u w:val="single"/>
          <w:lang w:val="en-US" w:eastAsia="zh-CN"/>
          <w14:textFill>
            <w14:solidFill>
              <w14:schemeClr w14:val="tx1"/>
            </w14:solidFill>
          </w14:textFill>
        </w:rPr>
        <w:t>1期上</w:t>
      </w:r>
      <w:r>
        <w:rPr>
          <w:rFonts w:hint="eastAsia" w:ascii="宋体" w:hAnsi="宋体" w:eastAsia="宋体"/>
          <w:color w:val="000000" w:themeColor="text1"/>
          <w:szCs w:val="21"/>
          <w:highlight w:val="none"/>
          <w:u w:val="single"/>
          <w14:textFill>
            <w14:solidFill>
              <w14:schemeClr w14:val="tx1"/>
            </w14:solidFill>
          </w14:textFill>
        </w:rPr>
        <w:t>半月刊）相</w:t>
      </w:r>
      <w:r>
        <w:rPr>
          <w:rFonts w:hint="eastAsia" w:ascii="宋体" w:hAnsi="宋体" w:eastAsia="宋体"/>
          <w:color w:val="000000" w:themeColor="text1"/>
          <w:szCs w:val="21"/>
          <w:u w:val="single"/>
          <w14:textFill>
            <w14:solidFill>
              <w14:schemeClr w14:val="tx1"/>
            </w14:solidFill>
          </w14:textFill>
        </w:rPr>
        <w:t>应价格信息的算术平均值计取；（4）以上规则都不适用的，除发包人明确由甲供材的以外，其他的按市场价格计取，由承包人提供相应供应商的合同、供货单、发票、联系电话及地址、产品规格型号、合格证等支撑材料，经发包人查证后结算。若承包人无法提供的则按发包人核实的价格为准，若承包人提供的支撑材料弄虚作假或提供的报价超过经核查价格的15%的，发包人按超过部分的三倍扣罚承包人违约金；</w:t>
      </w:r>
      <w:r>
        <w:rPr>
          <w:rFonts w:hint="eastAsia" w:ascii="宋体" w:hAnsi="宋体" w:eastAsia="宋体"/>
          <w:color w:val="000000" w:themeColor="text1"/>
          <w:szCs w:val="21"/>
          <w:highlight w:val="none"/>
          <w:u w:val="single"/>
          <w14:textFill>
            <w14:solidFill>
              <w14:schemeClr w14:val="tx1"/>
            </w14:solidFill>
          </w14:textFill>
        </w:rPr>
        <w:t>（5）《广西大学零星工程包干单价目录》（202</w:t>
      </w:r>
      <w:r>
        <w:rPr>
          <w:rFonts w:hint="eastAsia" w:ascii="宋体" w:hAnsi="宋体" w:eastAsia="宋体"/>
          <w:color w:val="000000" w:themeColor="text1"/>
          <w:szCs w:val="21"/>
          <w:highlight w:val="none"/>
          <w:u w:val="single"/>
          <w:lang w:val="en-US" w:eastAsia="zh-CN"/>
          <w14:textFill>
            <w14:solidFill>
              <w14:schemeClr w14:val="tx1"/>
            </w14:solidFill>
          </w14:textFill>
        </w:rPr>
        <w:t>6</w:t>
      </w:r>
      <w:r>
        <w:rPr>
          <w:rFonts w:hint="eastAsia" w:ascii="宋体" w:hAnsi="宋体" w:eastAsia="宋体"/>
          <w:color w:val="000000" w:themeColor="text1"/>
          <w:szCs w:val="21"/>
          <w:highlight w:val="none"/>
          <w:u w:val="single"/>
          <w14:textFill>
            <w14:solidFill>
              <w14:schemeClr w14:val="tx1"/>
            </w14:solidFill>
          </w14:textFill>
        </w:rPr>
        <w:t>年第</w:t>
      </w:r>
      <w:r>
        <w:rPr>
          <w:rFonts w:hint="eastAsia" w:ascii="宋体" w:hAnsi="宋体" w:eastAsia="宋体"/>
          <w:color w:val="000000" w:themeColor="text1"/>
          <w:szCs w:val="21"/>
          <w:highlight w:val="none"/>
          <w:u w:val="single"/>
          <w:lang w:val="en-US" w:eastAsia="zh-CN"/>
          <w14:textFill>
            <w14:solidFill>
              <w14:schemeClr w14:val="tx1"/>
            </w14:solidFill>
          </w14:textFill>
        </w:rPr>
        <w:t>2</w:t>
      </w:r>
      <w:r>
        <w:rPr>
          <w:rFonts w:hint="eastAsia" w:ascii="宋体" w:hAnsi="宋体" w:eastAsia="宋体"/>
          <w:color w:val="000000" w:themeColor="text1"/>
          <w:szCs w:val="21"/>
          <w:highlight w:val="none"/>
          <w:u w:val="single"/>
          <w14:textFill>
            <w14:solidFill>
              <w14:schemeClr w14:val="tx1"/>
            </w14:solidFill>
          </w14:textFill>
        </w:rPr>
        <w:t>期）中单价为固定综合单价，已包含所有相关费用。</w:t>
      </w:r>
      <w:r>
        <w:rPr>
          <w:rFonts w:hint="eastAsia" w:ascii="宋体" w:hAnsi="宋体" w:eastAsia="宋体"/>
          <w:color w:val="000000" w:themeColor="text1"/>
          <w:szCs w:val="21"/>
          <w:u w:val="single"/>
          <w14:textFill>
            <w14:solidFill>
              <w14:schemeClr w14:val="tx1"/>
            </w14:solidFill>
          </w14:textFill>
        </w:rPr>
        <w:t>（6）</w:t>
      </w:r>
      <w:r>
        <w:rPr>
          <w:rFonts w:hint="eastAsia" w:ascii="宋体" w:hAnsi="宋体" w:eastAsia="宋体"/>
          <w:color w:val="000000" w:themeColor="text1"/>
          <w:szCs w:val="21"/>
          <w:u w:val="single"/>
          <w:lang w:val="en-US" w:eastAsia="zh-CN"/>
          <w14:textFill>
            <w14:solidFill>
              <w14:schemeClr w14:val="tx1"/>
            </w14:solidFill>
          </w14:textFill>
        </w:rPr>
        <w:t>原钢棚、铁门、栏杆、不锈钢水槽</w:t>
      </w:r>
      <w:r>
        <w:rPr>
          <w:rFonts w:hint="eastAsia" w:ascii="宋体" w:hAnsi="宋体" w:eastAsia="宋体"/>
          <w:color w:val="000000" w:themeColor="text1"/>
          <w:szCs w:val="21"/>
          <w:u w:val="single"/>
          <w14:textFill>
            <w14:solidFill>
              <w14:schemeClr w14:val="tx1"/>
            </w14:solidFill>
          </w14:textFill>
        </w:rPr>
        <w:t>等（如有）拆除按以料抵工计取，不另计拆除费用。</w:t>
      </w:r>
    </w:p>
    <w:p w14:paraId="37A1B2F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安全生产责任保险费按《自治区住房城乡建设厅关于印发广西壮族自治区房屋建筑和市政基础设施工程安全生产责任保险计价规定的通知》（桂建发〔2023〕6号）计算，工程结算时，由发承包双方根据工程实际情况确认的安全生产责任保险费进行结算。</w:t>
      </w:r>
    </w:p>
    <w:p w14:paraId="515AA88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11.2.3允许调价的情形：</w:t>
      </w:r>
    </w:p>
    <w:p w14:paraId="60D46A9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允许因市场价格波动是否调整合同价格，但因承包人原因造成的工期拖延，延误期间的价格下跌时按下跌价格调整，价格上涨时按原价格。按《建设工程工程量清单计价规范（GB50500-2013）广西壮族自治区实施细则》规定，本工程合同履行期间主要材料【仅指钢材、商品混凝土、电线电缆、砌块、水泥、砂】的材料价格调整幅度超过《南宁建设工程造价信息》 202</w:t>
      </w:r>
      <w:r>
        <w:rPr>
          <w:rFonts w:hint="eastAsia" w:ascii="宋体" w:hAnsi="宋体" w:eastAsia="宋体"/>
          <w:color w:val="000000" w:themeColor="text1"/>
          <w:szCs w:val="21"/>
          <w:lang w:val="en-US" w:eastAsia="zh-CN"/>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年第</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期（</w:t>
      </w:r>
      <w:r>
        <w:rPr>
          <w:rFonts w:hint="eastAsia" w:ascii="宋体" w:hAnsi="宋体" w:eastAsia="宋体"/>
          <w:color w:val="000000" w:themeColor="text1"/>
          <w:szCs w:val="21"/>
          <w:lang w:val="en-US" w:eastAsia="zh-CN"/>
          <w14:textFill>
            <w14:solidFill>
              <w14:schemeClr w14:val="tx1"/>
            </w14:solidFill>
          </w14:textFill>
        </w:rPr>
        <w:t>上</w:t>
      </w:r>
      <w:r>
        <w:rPr>
          <w:rFonts w:hint="eastAsia" w:ascii="宋体" w:hAnsi="宋体" w:eastAsia="宋体"/>
          <w:color w:val="000000" w:themeColor="text1"/>
          <w:szCs w:val="21"/>
          <w14:textFill>
            <w14:solidFill>
              <w14:schemeClr w14:val="tx1"/>
            </w14:solidFill>
          </w14:textFill>
        </w:rPr>
        <w:t>半月刊）公布的±5%，则超出部分按施工期间《南宁建设工程造价信息》公布价的算数平均值调整，调整部分仅计差额及相应的税金。要进行价格调整的材料，其单价和采购数应由监理人复核，发包人确认需调整的材料单价及数量，作为调整工程合同价格差额的依据。</w:t>
      </w:r>
    </w:p>
    <w:p w14:paraId="5493921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因市场价格波动调整合同价格，采用下列种方式对合同价格进行调整：</w:t>
      </w:r>
    </w:p>
    <w:p w14:paraId="63F0961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关于基准价格的约定：按《南</w:t>
      </w:r>
      <w:r>
        <w:rPr>
          <w:rFonts w:hint="eastAsia" w:ascii="宋体" w:hAnsi="宋体" w:eastAsia="宋体"/>
          <w:color w:val="000000" w:themeColor="text1"/>
          <w:szCs w:val="21"/>
          <w:highlight w:val="yellow"/>
          <w14:textFill>
            <w14:solidFill>
              <w14:schemeClr w14:val="tx1"/>
            </w14:solidFill>
          </w14:textFill>
        </w:rPr>
        <w:t>宁建设工程造价信息》202</w:t>
      </w:r>
      <w:r>
        <w:rPr>
          <w:rFonts w:hint="eastAsia" w:ascii="宋体" w:hAnsi="宋体" w:eastAsia="宋体"/>
          <w:color w:val="000000" w:themeColor="text1"/>
          <w:szCs w:val="21"/>
          <w:highlight w:val="yellow"/>
          <w:lang w:eastAsia="zh-CN"/>
          <w14:textFill>
            <w14:solidFill>
              <w14:schemeClr w14:val="tx1"/>
            </w14:solidFill>
          </w14:textFill>
        </w:rPr>
        <w:t>6</w:t>
      </w:r>
      <w:r>
        <w:rPr>
          <w:rFonts w:hint="eastAsia" w:ascii="宋体" w:hAnsi="宋体" w:eastAsia="宋体"/>
          <w:color w:val="000000" w:themeColor="text1"/>
          <w:szCs w:val="21"/>
          <w:highlight w:val="yellow"/>
          <w14:textFill>
            <w14:solidFill>
              <w14:schemeClr w14:val="tx1"/>
            </w14:solidFill>
          </w14:textFill>
        </w:rPr>
        <w:t>年第</w:t>
      </w:r>
      <w:r>
        <w:rPr>
          <w:rFonts w:hint="eastAsia" w:ascii="宋体" w:hAnsi="宋体" w:eastAsia="宋体"/>
          <w:color w:val="000000" w:themeColor="text1"/>
          <w:szCs w:val="21"/>
          <w:highlight w:val="yellow"/>
          <w:lang w:val="en-US" w:eastAsia="zh-CN"/>
          <w14:textFill>
            <w14:solidFill>
              <w14:schemeClr w14:val="tx1"/>
            </w14:solidFill>
          </w14:textFill>
        </w:rPr>
        <w:t>1</w:t>
      </w:r>
      <w:r>
        <w:rPr>
          <w:rFonts w:hint="eastAsia" w:ascii="宋体" w:hAnsi="宋体" w:eastAsia="宋体"/>
          <w:color w:val="000000" w:themeColor="text1"/>
          <w:szCs w:val="21"/>
          <w:highlight w:val="yellow"/>
          <w14:textFill>
            <w14:solidFill>
              <w14:schemeClr w14:val="tx1"/>
            </w14:solidFill>
          </w14:textFill>
        </w:rPr>
        <w:t>期（</w:t>
      </w:r>
      <w:r>
        <w:rPr>
          <w:rFonts w:hint="eastAsia" w:ascii="宋体" w:hAnsi="宋体" w:eastAsia="宋体"/>
          <w:color w:val="000000" w:themeColor="text1"/>
          <w:szCs w:val="21"/>
          <w:highlight w:val="yellow"/>
          <w:lang w:val="en-US" w:eastAsia="zh-CN"/>
          <w14:textFill>
            <w14:solidFill>
              <w14:schemeClr w14:val="tx1"/>
            </w14:solidFill>
          </w14:textFill>
        </w:rPr>
        <w:t>上</w:t>
      </w:r>
      <w:r>
        <w:rPr>
          <w:rFonts w:hint="eastAsia" w:ascii="宋体" w:hAnsi="宋体" w:eastAsia="宋体"/>
          <w:color w:val="000000" w:themeColor="text1"/>
          <w:szCs w:val="21"/>
          <w:highlight w:val="yellow"/>
          <w14:textFill>
            <w14:solidFill>
              <w14:schemeClr w14:val="tx1"/>
            </w14:solidFill>
          </w14:textFill>
        </w:rPr>
        <w:t>半月刊）。</w:t>
      </w:r>
    </w:p>
    <w:p w14:paraId="0E1AE38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①承包人在已标价工程量清单或预算书中载明的材料单价低于基准价格的：合同履行期间材料单价涨幅以基准价格为基础超过 5%时，或材料单价跌幅以已标价工程量清单或预算书中载明材料单价为基础超过 5%时，其超过部分据实调整。 </w:t>
      </w:r>
    </w:p>
    <w:p w14:paraId="088F972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②承包人在已标价工程量清单或预算书中载明的材料单价高于基准价格的：合同履行期间材料单价跌幅以基准价格为基础超过 5%时，材料单价涨幅以已标价工程量清单或预算书中载明材料单价为基础超过 5%时，其超过部分据实调整。</w:t>
      </w:r>
    </w:p>
    <w:p w14:paraId="4FDB88F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③承包人在已标价工程量清单或预算书中载明的材料单价等于基准单价的：合同履行期间材料单价涨跌幅以基准单价为基础超过±5%时，其超过部分据实调整。</w:t>
      </w:r>
    </w:p>
    <w:p w14:paraId="3671396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12.工程量确认：</w:t>
      </w:r>
    </w:p>
    <w:p w14:paraId="30B3A2B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12.1承包人向工程师提交已完工程量报告的时间：</w:t>
      </w:r>
      <w:r>
        <w:rPr>
          <w:rFonts w:hint="eastAsia" w:ascii="宋体" w:hAnsi="宋体" w:eastAsia="宋体"/>
          <w:color w:val="000000" w:themeColor="text1"/>
          <w:szCs w:val="21"/>
          <w:u w:val="single"/>
          <w14:textFill>
            <w14:solidFill>
              <w14:schemeClr w14:val="tx1"/>
            </w14:solidFill>
          </w14:textFill>
        </w:rPr>
        <w:t>每月25日前</w:t>
      </w:r>
      <w:r>
        <w:rPr>
          <w:rFonts w:hint="eastAsia" w:ascii="宋体" w:hAnsi="宋体" w:eastAsia="宋体"/>
          <w:color w:val="000000" w:themeColor="text1"/>
          <w:szCs w:val="21"/>
          <w14:textFill>
            <w14:solidFill>
              <w14:schemeClr w14:val="tx1"/>
            </w14:solidFill>
          </w14:textFill>
        </w:rPr>
        <w:t>。</w:t>
      </w:r>
    </w:p>
    <w:p w14:paraId="767559A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12.1.1工程量清单所列的工程量，不能作为承包人按合同履行其责任依据，实际施工中发生的工程量增加或减少并不影响承包人履行合同的责任，工程结算以完成的实际工程量为准。</w:t>
      </w:r>
    </w:p>
    <w:p w14:paraId="0EFE724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12.2除另有规定外，工程师应按照合同通过计量来核实确定已完成的工程量和价值，承包人应得到该价值扣除保留金后的价款。当工程师要对已完工的工程量进行计量时，应适时地通知承包人参加。</w:t>
      </w:r>
    </w:p>
    <w:p w14:paraId="5273EB2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12.3计量方法</w:t>
      </w:r>
    </w:p>
    <w:p w14:paraId="4412438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w:t>
      </w:r>
      <w:r>
        <w:rPr>
          <w:rFonts w:hint="eastAsia" w:ascii="宋体" w:hAnsi="宋体" w:eastAsia="宋体"/>
          <w:color w:val="000000" w:themeColor="text1"/>
          <w:szCs w:val="21"/>
          <w:highlight w:val="none"/>
          <w14:textFill>
            <w14:solidFill>
              <w14:schemeClr w14:val="tx1"/>
            </w14:solidFill>
          </w14:textFill>
        </w:rPr>
        <w:t>程的计量均以国家标准《建设工程工程量计算规范》（GB50854-50862－2013）和《建设工程工程量计算规范（GB50854-50862－2013）广西壮族自治区实施细则》计算的</w:t>
      </w:r>
      <w:r>
        <w:rPr>
          <w:rFonts w:hint="eastAsia" w:ascii="宋体" w:hAnsi="宋体" w:eastAsia="宋体"/>
          <w:color w:val="000000" w:themeColor="text1"/>
          <w:szCs w:val="21"/>
          <w14:textFill>
            <w14:solidFill>
              <w14:schemeClr w14:val="tx1"/>
            </w14:solidFill>
          </w14:textFill>
        </w:rPr>
        <w:t>净值为准，如有不明之处，应以造价管理部门或发包人指定的计量方法为准。</w:t>
      </w:r>
    </w:p>
    <w:p w14:paraId="0BB5DA5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12.4计量单位</w:t>
      </w:r>
    </w:p>
    <w:p w14:paraId="5A85902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除了合同另有规定外，所有计量单位均应符合本工程的工程量清单。</w:t>
      </w:r>
    </w:p>
    <w:p w14:paraId="50F7CE2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13.工程款（预付款、进度款）支付</w:t>
      </w:r>
    </w:p>
    <w:p w14:paraId="4DACB1E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13.1预付款</w:t>
      </w:r>
    </w:p>
    <w:p w14:paraId="71A304F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13.1.1预付款按以下第（2）种方式支付。</w:t>
      </w:r>
    </w:p>
    <w:p w14:paraId="311585A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（1）无预付款</w:t>
      </w:r>
    </w:p>
    <w:p w14:paraId="1373BE7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（2）按合同价款（扣除发包人材料价款、暂估专业工程、暂列金额）的10％</w:t>
      </w:r>
    </w:p>
    <w:p w14:paraId="695156E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13.1.2预付款支付时间：合同签订后，承包人已将履约保证金存入发包人指定账户或提交银行履约保函，承包人申请后支付。</w:t>
      </w:r>
    </w:p>
    <w:p w14:paraId="0E4BCE5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13.1.3预付款的扣回：如承包人将备料款挪作他用的，发包人有权要求承包人将工程预付款返还。预付款扣回的方式：按每次经审定已完工程量的 30%扣回，直到预付款金额足额扣回为止。</w:t>
      </w:r>
    </w:p>
    <w:p w14:paraId="76F9A31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13.2进度款</w:t>
      </w:r>
    </w:p>
    <w:p w14:paraId="61F316C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13.2.1进度款按以下第</w:t>
      </w:r>
      <w:r>
        <w:rPr>
          <w:rFonts w:hint="eastAsia" w:ascii="宋体" w:hAnsi="宋体" w:eastAsia="宋体"/>
          <w:color w:val="000000" w:themeColor="text1"/>
          <w:szCs w:val="21"/>
          <w:u w:val="single"/>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种方式支付。</w:t>
      </w:r>
    </w:p>
    <w:p w14:paraId="77404C82">
      <w:pPr>
        <w:spacing w:line="360" w:lineRule="auto"/>
        <w:ind w:firstLine="420" w:firstLineChars="200"/>
        <w:rPr>
          <w:rFonts w:ascii="宋体" w:hAnsi="宋体"/>
          <w:szCs w:val="21"/>
        </w:rPr>
      </w:pPr>
      <w:r>
        <w:rPr>
          <w:rFonts w:hint="eastAsia" w:ascii="宋体" w:hAnsi="宋体"/>
          <w:szCs w:val="21"/>
        </w:rPr>
        <w:t>（1）工程施工阶段无进度款（含变更部分），待工程竣工验收合格后</w:t>
      </w:r>
      <w:r>
        <w:rPr>
          <w:rFonts w:ascii="宋体" w:hAnsi="宋体"/>
          <w:szCs w:val="21"/>
        </w:rPr>
        <w:t>3</w:t>
      </w:r>
      <w:r>
        <w:rPr>
          <w:rFonts w:hint="eastAsia" w:ascii="宋体" w:hAnsi="宋体"/>
          <w:szCs w:val="21"/>
        </w:rPr>
        <w:t>个月内，承包人递交结算书及全部结算资料，经发包人检查完整合格，双方在《工程项目竣工结算送审资料表》签字确认后，发包人按照递交的结算价与签约合同价（扣除发包人材料价款、暂估专业工程、暂列金额）二者的低价，拨付工程进度款至70％。工程完工验收达到质量要求，结算经发包人审定，并提交完整合格的竣工资料给发包人，承包人先将工程价款结算总额的3%工程质量保证金缴纳至发包人的指定账户，发包人再将工程款支付至结算总价的100%（含已支付的工程进度款）。</w:t>
      </w:r>
    </w:p>
    <w:p w14:paraId="210E05CA">
      <w:pPr>
        <w:spacing w:line="360" w:lineRule="auto"/>
        <w:ind w:firstLine="420" w:firstLineChars="200"/>
        <w:rPr>
          <w:rFonts w:hint="eastAsia" w:ascii="宋体" w:hAnsi="宋体"/>
          <w:szCs w:val="21"/>
        </w:rPr>
      </w:pPr>
      <w:r>
        <w:rPr>
          <w:rFonts w:hint="eastAsia" w:ascii="宋体" w:hAnsi="宋体"/>
          <w:szCs w:val="21"/>
        </w:rPr>
        <w:t>（2）</w:t>
      </w:r>
      <w:r>
        <w:rPr>
          <w:rFonts w:hint="eastAsia" w:ascii="宋体"/>
        </w:rPr>
        <w:t>工程施工阶段完成合同内工程量的50％，经发包人审核，拨付工程进度款至合同价款（扣除采购人材料价款、暂估专业工程、暂列金额）的40％，工程变更部分无进度款，待工程竣工验收合格后3个月内，承包人按要求递交结算报告及全部结算资料，经发包人检查完整合格，双方在《工程项目竣工结算送审资料表》签字确认后, 发包人按照递交的结算价与签约合同价（扣除发包人材料价款、暂估专业工程、暂列金额）二者的低价，拨付工程进度款至70％，工程完工验收达到质量要求，结算经发包人审定，并提交完整合格的竣工资料给发包人，承包人先将工程价款结算总额的3%工程质量保修金缴纳至发包人的指定账户，发包人再将工程款支付至结算总价的100%（含已支付的工程进度款）。因承包人原因造成工程资料与工程进度不同步，或者资料不真实，发包人暂停支付工程进度款，另按（人民币）1000元/次的标准计收违约金。</w:t>
      </w:r>
    </w:p>
    <w:p w14:paraId="75A381C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（3）其他方式：</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w:t>
      </w:r>
    </w:p>
    <w:p w14:paraId="1CB5EA1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13.2.2进度付款申请</w:t>
      </w:r>
    </w:p>
    <w:p w14:paraId="09E1219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（1）进度付款申请单的份数：</w:t>
      </w:r>
      <w:r>
        <w:rPr>
          <w:rFonts w:hint="eastAsia" w:ascii="宋体" w:hAnsi="宋体" w:eastAsia="宋体"/>
          <w:color w:val="000000" w:themeColor="text1"/>
          <w:szCs w:val="21"/>
          <w:u w:val="single"/>
          <w14:textFill>
            <w14:solidFill>
              <w14:schemeClr w14:val="tx1"/>
            </w14:solidFill>
          </w14:textFill>
        </w:rPr>
        <w:t>一式伍份</w:t>
      </w:r>
      <w:r>
        <w:rPr>
          <w:rFonts w:hint="eastAsia" w:ascii="宋体" w:hAnsi="宋体" w:eastAsia="宋体"/>
          <w:color w:val="000000" w:themeColor="text1"/>
          <w:szCs w:val="21"/>
          <w14:textFill>
            <w14:solidFill>
              <w14:schemeClr w14:val="tx1"/>
            </w14:solidFill>
          </w14:textFill>
        </w:rPr>
        <w:t>。</w:t>
      </w:r>
    </w:p>
    <w:p w14:paraId="1CD22CB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（2）进度付款申请单的内容：</w:t>
      </w:r>
      <w:r>
        <w:rPr>
          <w:rFonts w:hint="eastAsia" w:ascii="宋体" w:hAnsi="宋体" w:eastAsia="宋体"/>
          <w:color w:val="000000" w:themeColor="text1"/>
          <w:szCs w:val="21"/>
          <w:u w:val="single"/>
          <w14:textFill>
            <w14:solidFill>
              <w14:schemeClr w14:val="tx1"/>
            </w14:solidFill>
          </w14:textFill>
        </w:rPr>
        <w:t>本次已完成工程的价款、累计已完成的工程价款、累计已支付的工程价款、增加和扣减的其他金额等</w:t>
      </w:r>
      <w:r>
        <w:rPr>
          <w:rFonts w:hint="eastAsia" w:ascii="宋体" w:hAnsi="宋体" w:eastAsia="宋体"/>
          <w:color w:val="000000" w:themeColor="text1"/>
          <w:szCs w:val="21"/>
          <w14:textFill>
            <w14:solidFill>
              <w14:schemeClr w14:val="tx1"/>
            </w14:solidFill>
          </w14:textFill>
        </w:rPr>
        <w:t>。</w:t>
      </w:r>
    </w:p>
    <w:p w14:paraId="46095AC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r>
        <w:rPr>
          <w:rFonts w:hint="eastAsia" w:ascii="宋体" w:hAnsi="宋体"/>
          <w:szCs w:val="21"/>
        </w:rPr>
        <w:t>为保证进度款申请额的准确性，双方约定，承包人报送的工程进度款（以下简称送审款），与发包人最终审定的工程进度款（以下简称审定款）相比，应保证其误差率≤5％，如误差率＞5％，承包人应承担违约责任并支付违约金；误差率为5％—10％（含）的，违约金＝（送审款-审定款）×5%×50％；误差率大于10％的，违约金=（送审款-审定款）×5%。</w:t>
      </w:r>
    </w:p>
    <w:p w14:paraId="6FECE51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注：误差率=（送审价-审定价）/送审价*100%</w:t>
      </w:r>
    </w:p>
    <w:p w14:paraId="6E1D071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（4）承包人应及时开具发票，未开具发票给发包人的，发包人不予支付工程进度款。</w:t>
      </w:r>
    </w:p>
    <w:p w14:paraId="232E1C4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13.2.3进度款支付</w:t>
      </w:r>
    </w:p>
    <w:p w14:paraId="3AFF641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（1）进度款支付方式：银行转账。</w:t>
      </w:r>
    </w:p>
    <w:p w14:paraId="72AFF589">
      <w:pPr>
        <w:spacing w:line="360" w:lineRule="auto"/>
        <w:ind w:firstLine="420" w:firstLineChars="200"/>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（2）人工费用是指发包人向承包人拨付的用于支付农民工工资的工程款；人工费</w:t>
      </w:r>
      <w:r>
        <w:rPr>
          <w:rFonts w:hint="eastAsia" w:ascii="宋体" w:hAnsi="宋体" w:eastAsia="宋体"/>
          <w:color w:val="000000" w:themeColor="text1"/>
          <w:szCs w:val="21"/>
          <w:highlight w:val="none"/>
          <w:u w:val="none"/>
          <w:lang w:val="en-US" w:eastAsia="zh-CN"/>
          <w14:textFill>
            <w14:solidFill>
              <w14:schemeClr w14:val="tx1"/>
            </w14:solidFill>
          </w14:textFill>
        </w:rPr>
        <w:t>原则上</w:t>
      </w:r>
      <w:r>
        <w:rPr>
          <w:rFonts w:hint="eastAsia" w:ascii="宋体" w:hAnsi="宋体" w:eastAsia="宋体"/>
          <w:color w:val="000000" w:themeColor="text1"/>
          <w:szCs w:val="21"/>
          <w:highlight w:val="none"/>
          <w:u w:val="none"/>
          <w14:textFill>
            <w14:solidFill>
              <w14:schemeClr w14:val="tx1"/>
            </w14:solidFill>
          </w14:textFill>
        </w:rPr>
        <w:t>应与工程进度款分账管理。</w:t>
      </w:r>
    </w:p>
    <w:p w14:paraId="636B7C88">
      <w:pPr>
        <w:spacing w:line="360" w:lineRule="auto"/>
        <w:ind w:firstLine="420" w:firstLineChars="200"/>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（3）发包人依据工程进度，审核承包人申报的工程进度款，将人工费及时足额拨付至承包人的账户，其余工程进度款项由发包人支付到承包人的单位基本户。</w:t>
      </w:r>
    </w:p>
    <w:p w14:paraId="56842366">
      <w:pPr>
        <w:spacing w:line="360" w:lineRule="auto"/>
        <w:ind w:firstLine="420" w:firstLineChars="200"/>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4</w:t>
      </w:r>
      <w:r>
        <w:rPr>
          <w:rFonts w:hint="eastAsia" w:ascii="宋体" w:hAnsi="宋体" w:eastAsia="宋体"/>
          <w:color w:val="000000" w:themeColor="text1"/>
          <w:szCs w:val="21"/>
          <w:highlight w:val="none"/>
          <w:u w:val="none"/>
          <w14:textFill>
            <w14:solidFill>
              <w14:schemeClr w14:val="tx1"/>
            </w14:solidFill>
          </w14:textFill>
        </w:rPr>
        <w:t>）人工费使用要求：人工费专款专用，除发放农民工工资外，不得用于其他用途。</w:t>
      </w:r>
    </w:p>
    <w:p w14:paraId="264ED8B2">
      <w:pPr>
        <w:spacing w:line="360" w:lineRule="auto"/>
        <w:ind w:firstLine="420" w:firstLineChars="200"/>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5</w:t>
      </w:r>
      <w:r>
        <w:rPr>
          <w:rFonts w:hint="eastAsia" w:ascii="宋体" w:hAnsi="宋体" w:eastAsia="宋体"/>
          <w:color w:val="000000" w:themeColor="text1"/>
          <w:szCs w:val="21"/>
          <w:highlight w:val="none"/>
          <w:u w:val="none"/>
          <w14:textFill>
            <w14:solidFill>
              <w14:schemeClr w14:val="tx1"/>
            </w14:solidFill>
          </w14:textFill>
        </w:rPr>
        <w:t>）承包人将人工费支付情况定期报告发包人和监理单位，并提供相应的材料接受建设行政主管部门和劳动保障行政主管部门对此事项监管。</w:t>
      </w:r>
    </w:p>
    <w:p w14:paraId="793D5D2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）承包人应及时开具发票，未开具发票给发包人的，发包人不予支付工程进度款。</w:t>
      </w:r>
    </w:p>
    <w:p w14:paraId="422AE97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7</w:t>
      </w:r>
      <w:r>
        <w:rPr>
          <w:rFonts w:hint="eastAsia" w:ascii="宋体" w:hAnsi="宋体" w:eastAsia="宋体"/>
          <w:color w:val="000000" w:themeColor="text1"/>
          <w:szCs w:val="21"/>
          <w14:textFill>
            <w14:solidFill>
              <w14:schemeClr w14:val="tx1"/>
            </w14:solidFill>
          </w14:textFill>
        </w:rPr>
        <w:t>）由于账户问题导致工程款无法按时支付的由承包人负责。</w:t>
      </w:r>
    </w:p>
    <w:p w14:paraId="034C88A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8</w:t>
      </w:r>
      <w:r>
        <w:rPr>
          <w:rFonts w:hint="eastAsia" w:ascii="宋体" w:hAnsi="宋体" w:eastAsia="宋体"/>
          <w:color w:val="000000" w:themeColor="text1"/>
          <w:szCs w:val="21"/>
          <w14:textFill>
            <w14:solidFill>
              <w14:schemeClr w14:val="tx1"/>
            </w14:solidFill>
          </w14:textFill>
        </w:rPr>
        <w:t>）承包人未按时向农民工支付工资而导致工程进度受到影响，发包人有权直接从承包人工程款代扣支付给农民工。</w:t>
      </w:r>
    </w:p>
    <w:p w14:paraId="38E033D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9</w:t>
      </w:r>
      <w:r>
        <w:rPr>
          <w:rFonts w:hint="eastAsia" w:ascii="宋体" w:hAnsi="宋体" w:eastAsia="宋体"/>
          <w:color w:val="000000" w:themeColor="text1"/>
          <w:szCs w:val="21"/>
          <w14:textFill>
            <w14:solidFill>
              <w14:schemeClr w14:val="tx1"/>
            </w14:solidFill>
          </w14:textFill>
        </w:rPr>
        <w:t>）承包人不得以任何借口将承包人与包括农民工在内的雇用人员的劳酬纠纷引发的矛盾转嫁发包人，如果出现雇用人员聚众向发包方闹事的情形，承包人须按（人民币）5万元/次的标准向发包人计付违约金，若因此造成发包人工作人员人身伤害、财产损毁的，承包人还须承担赔偿损失等法律责任。</w:t>
      </w:r>
    </w:p>
    <w:p w14:paraId="6AA684BA">
      <w:pPr>
        <w:pStyle w:val="4"/>
        <w:jc w:val="left"/>
        <w:rPr>
          <w:rFonts w:hint="eastAsia" w:ascii="宋体" w:hAnsi="宋体" w:eastAsia="宋体"/>
          <w:color w:val="000000" w:themeColor="text1"/>
          <w:sz w:val="28"/>
          <w:szCs w:val="28"/>
          <w14:textFill>
            <w14:solidFill>
              <w14:schemeClr w14:val="tx1"/>
            </w14:solidFill>
          </w14:textFill>
        </w:rPr>
      </w:pPr>
      <w:bookmarkStart w:id="133" w:name="_Toc195459488"/>
      <w:bookmarkStart w:id="134" w:name="_Toc197530163"/>
      <w:r>
        <w:rPr>
          <w:rFonts w:hint="eastAsia" w:ascii="宋体" w:hAnsi="宋体" w:eastAsia="宋体"/>
          <w:color w:val="000000" w:themeColor="text1"/>
          <w:sz w:val="28"/>
          <w:szCs w:val="28"/>
          <w14:textFill>
            <w14:solidFill>
              <w14:schemeClr w14:val="tx1"/>
            </w14:solidFill>
          </w14:textFill>
        </w:rPr>
        <w:t>六、材料设备供应</w:t>
      </w:r>
      <w:bookmarkEnd w:id="133"/>
      <w:bookmarkEnd w:id="134"/>
    </w:p>
    <w:p w14:paraId="113EBF6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14.发包人供应材料设备</w:t>
      </w:r>
    </w:p>
    <w:p w14:paraId="2F4147C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14.1发包人供应的材料设备与一览表不符时，双方约定发包人承担责任如下：</w:t>
      </w:r>
    </w:p>
    <w:p w14:paraId="766B7F1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（l）材料设备单价与一览表不符：</w:t>
      </w:r>
      <w:r>
        <w:rPr>
          <w:rFonts w:hint="eastAsia" w:ascii="宋体" w:hAnsi="宋体" w:eastAsia="宋体"/>
          <w:color w:val="000000" w:themeColor="text1"/>
          <w:szCs w:val="21"/>
          <w:u w:val="single"/>
          <w14:textFill>
            <w14:solidFill>
              <w14:schemeClr w14:val="tx1"/>
            </w14:solidFill>
          </w14:textFill>
        </w:rPr>
        <w:t>无</w:t>
      </w:r>
      <w:r>
        <w:rPr>
          <w:rFonts w:hint="eastAsia" w:ascii="宋体" w:hAnsi="宋体" w:eastAsia="宋体"/>
          <w:color w:val="000000" w:themeColor="text1"/>
          <w:szCs w:val="21"/>
          <w14:textFill>
            <w14:solidFill>
              <w14:schemeClr w14:val="tx1"/>
            </w14:solidFill>
          </w14:textFill>
        </w:rPr>
        <w:t>。</w:t>
      </w:r>
    </w:p>
    <w:p w14:paraId="14F6D75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（2）材料设备的品种、规格、型号、质量等级与一览表不符：</w:t>
      </w:r>
      <w:r>
        <w:rPr>
          <w:rFonts w:hint="eastAsia" w:ascii="宋体" w:hAnsi="宋体" w:eastAsia="宋体"/>
          <w:color w:val="000000" w:themeColor="text1"/>
          <w:szCs w:val="21"/>
          <w:u w:val="single"/>
          <w14:textFill>
            <w14:solidFill>
              <w14:schemeClr w14:val="tx1"/>
            </w14:solidFill>
          </w14:textFill>
        </w:rPr>
        <w:t>无</w:t>
      </w:r>
      <w:r>
        <w:rPr>
          <w:rFonts w:hint="eastAsia" w:ascii="宋体" w:hAnsi="宋体" w:eastAsia="宋体"/>
          <w:color w:val="000000" w:themeColor="text1"/>
          <w:szCs w:val="21"/>
          <w14:textFill>
            <w14:solidFill>
              <w14:schemeClr w14:val="tx1"/>
            </w14:solidFill>
          </w14:textFill>
        </w:rPr>
        <w:t>。</w:t>
      </w:r>
    </w:p>
    <w:p w14:paraId="5CAF08F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（3）承包人可代为调剂串换的材料：</w:t>
      </w:r>
      <w:r>
        <w:rPr>
          <w:rFonts w:hint="eastAsia" w:ascii="宋体" w:hAnsi="宋体" w:eastAsia="宋体"/>
          <w:color w:val="000000" w:themeColor="text1"/>
          <w:szCs w:val="21"/>
          <w:u w:val="single"/>
          <w14:textFill>
            <w14:solidFill>
              <w14:schemeClr w14:val="tx1"/>
            </w14:solidFill>
          </w14:textFill>
        </w:rPr>
        <w:t>无</w:t>
      </w:r>
      <w:r>
        <w:rPr>
          <w:rFonts w:hint="eastAsia" w:ascii="宋体" w:hAnsi="宋体" w:eastAsia="宋体"/>
          <w:color w:val="000000" w:themeColor="text1"/>
          <w:szCs w:val="21"/>
          <w14:textFill>
            <w14:solidFill>
              <w14:schemeClr w14:val="tx1"/>
            </w14:solidFill>
          </w14:textFill>
        </w:rPr>
        <w:t>。</w:t>
      </w:r>
    </w:p>
    <w:p w14:paraId="41F854C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（4）到货地点与一览表不符：</w:t>
      </w:r>
      <w:r>
        <w:rPr>
          <w:rFonts w:hint="eastAsia" w:ascii="宋体" w:hAnsi="宋体" w:eastAsia="宋体"/>
          <w:color w:val="000000" w:themeColor="text1"/>
          <w:szCs w:val="21"/>
          <w:u w:val="single"/>
          <w14:textFill>
            <w14:solidFill>
              <w14:schemeClr w14:val="tx1"/>
            </w14:solidFill>
          </w14:textFill>
        </w:rPr>
        <w:t>无</w:t>
      </w:r>
      <w:r>
        <w:rPr>
          <w:rFonts w:hint="eastAsia" w:ascii="宋体" w:hAnsi="宋体" w:eastAsia="宋体"/>
          <w:color w:val="000000" w:themeColor="text1"/>
          <w:szCs w:val="21"/>
          <w14:textFill>
            <w14:solidFill>
              <w14:schemeClr w14:val="tx1"/>
            </w14:solidFill>
          </w14:textFill>
        </w:rPr>
        <w:t>。</w:t>
      </w:r>
    </w:p>
    <w:p w14:paraId="6ED86C9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（5）供应数量与一览表不符：</w:t>
      </w:r>
      <w:r>
        <w:rPr>
          <w:rFonts w:hint="eastAsia" w:ascii="宋体" w:hAnsi="宋体" w:eastAsia="宋体"/>
          <w:color w:val="000000" w:themeColor="text1"/>
          <w:szCs w:val="21"/>
          <w:u w:val="single"/>
          <w14:textFill>
            <w14:solidFill>
              <w14:schemeClr w14:val="tx1"/>
            </w14:solidFill>
          </w14:textFill>
        </w:rPr>
        <w:t>无</w:t>
      </w:r>
      <w:r>
        <w:rPr>
          <w:rFonts w:hint="eastAsia" w:ascii="宋体" w:hAnsi="宋体" w:eastAsia="宋体"/>
          <w:color w:val="000000" w:themeColor="text1"/>
          <w:szCs w:val="21"/>
          <w14:textFill>
            <w14:solidFill>
              <w14:schemeClr w14:val="tx1"/>
            </w14:solidFill>
          </w14:textFill>
        </w:rPr>
        <w:t>。</w:t>
      </w:r>
    </w:p>
    <w:p w14:paraId="7FC9EB8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（6）到货时间与一览表不符：</w:t>
      </w:r>
      <w:r>
        <w:rPr>
          <w:rFonts w:hint="eastAsia" w:ascii="宋体" w:hAnsi="宋体" w:eastAsia="宋体"/>
          <w:color w:val="000000" w:themeColor="text1"/>
          <w:szCs w:val="21"/>
          <w:u w:val="single"/>
          <w14:textFill>
            <w14:solidFill>
              <w14:schemeClr w14:val="tx1"/>
            </w14:solidFill>
          </w14:textFill>
        </w:rPr>
        <w:t>如发生上述情况，发包人应立即补救改正</w:t>
      </w:r>
      <w:r>
        <w:rPr>
          <w:rFonts w:hint="eastAsia" w:ascii="宋体" w:hAnsi="宋体" w:eastAsia="宋体"/>
          <w:color w:val="000000" w:themeColor="text1"/>
          <w:szCs w:val="21"/>
          <w14:textFill>
            <w14:solidFill>
              <w14:schemeClr w14:val="tx1"/>
            </w14:solidFill>
          </w14:textFill>
        </w:rPr>
        <w:t>。</w:t>
      </w:r>
    </w:p>
    <w:p w14:paraId="005EDAF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15.承包人采购材料设备</w:t>
      </w:r>
    </w:p>
    <w:p w14:paraId="52020B1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15.1承包人采购材料设备的约定：</w:t>
      </w:r>
      <w:r>
        <w:rPr>
          <w:rFonts w:hint="eastAsia" w:ascii="宋体" w:hAnsi="宋体" w:eastAsia="宋体"/>
          <w:color w:val="000000" w:themeColor="text1"/>
          <w:szCs w:val="21"/>
          <w:u w:val="single"/>
          <w14:textFill>
            <w14:solidFill>
              <w14:schemeClr w14:val="tx1"/>
            </w14:solidFill>
          </w14:textFill>
        </w:rPr>
        <w:t>承包人采购材料设备的约定：本工程由承包人自行采购的工程材料和设备（政府集中采购的除外），采购前须征得发包人或其授权人认可同意。发包人在工程量清单中有“参照或相当于”约定材料的，承包人在施工过程中必须按类似于或优于所约定材料品牌、厂家和型号（等级）进行采购，采购前必经发包人认可。当发包人对承包人采购的材料有异议的，发包人有权要求承包人按工程量清单中“参照或相当于”标明的材料品牌、厂家、型号（等级）进行采购，并在结算时按审定单价支付</w:t>
      </w:r>
      <w:r>
        <w:rPr>
          <w:rFonts w:hint="eastAsia" w:ascii="宋体" w:hAnsi="宋体" w:eastAsia="宋体"/>
          <w:color w:val="000000" w:themeColor="text1"/>
          <w:szCs w:val="21"/>
          <w14:textFill>
            <w14:solidFill>
              <w14:schemeClr w14:val="tx1"/>
            </w14:solidFill>
          </w14:textFill>
        </w:rPr>
        <w:t>。</w:t>
      </w:r>
    </w:p>
    <w:p w14:paraId="33716740">
      <w:pPr>
        <w:pStyle w:val="4"/>
        <w:jc w:val="left"/>
        <w:rPr>
          <w:rFonts w:hint="eastAsia" w:ascii="宋体" w:hAnsi="宋体" w:eastAsia="宋体"/>
          <w:color w:val="000000" w:themeColor="text1"/>
          <w:sz w:val="28"/>
          <w:szCs w:val="28"/>
          <w14:textFill>
            <w14:solidFill>
              <w14:schemeClr w14:val="tx1"/>
            </w14:solidFill>
          </w14:textFill>
        </w:rPr>
      </w:pPr>
      <w:bookmarkStart w:id="135" w:name="_Toc197530164"/>
      <w:bookmarkStart w:id="136" w:name="_Toc195459489"/>
      <w:r>
        <w:rPr>
          <w:rFonts w:hint="eastAsia" w:ascii="宋体" w:hAnsi="宋体" w:eastAsia="宋体"/>
          <w:color w:val="000000" w:themeColor="text1"/>
          <w:sz w:val="28"/>
          <w:szCs w:val="28"/>
          <w14:textFill>
            <w14:solidFill>
              <w14:schemeClr w14:val="tx1"/>
            </w14:solidFill>
          </w14:textFill>
        </w:rPr>
        <w:t>七、竣工验收与结算</w:t>
      </w:r>
      <w:bookmarkEnd w:id="135"/>
      <w:bookmarkEnd w:id="136"/>
    </w:p>
    <w:p w14:paraId="2092D2F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16.竣工验收</w:t>
      </w:r>
    </w:p>
    <w:p w14:paraId="3BB37FC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16.1竣工验收条件：</w:t>
      </w:r>
      <w:r>
        <w:rPr>
          <w:rFonts w:hint="eastAsia" w:ascii="宋体" w:hAnsi="宋体" w:eastAsia="宋体"/>
          <w:color w:val="000000" w:themeColor="text1"/>
          <w:szCs w:val="21"/>
          <w:highlight w:val="none"/>
          <w:u w:val="single"/>
          <w14:textFill>
            <w14:solidFill>
              <w14:schemeClr w14:val="tx1"/>
            </w14:solidFill>
          </w14:textFill>
        </w:rPr>
        <w:t>项目完成后进行预验收，预验收后再进行竣工验收，承包人提交符合要求的完整的竣工资料及竣工验收报告。</w:t>
      </w:r>
    </w:p>
    <w:p w14:paraId="703ADF4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16.2竣工验收程序：</w:t>
      </w:r>
      <w:r>
        <w:rPr>
          <w:rFonts w:hint="eastAsia" w:ascii="宋体" w:hAnsi="宋体" w:eastAsia="宋体"/>
          <w:color w:val="000000" w:themeColor="text1"/>
          <w:szCs w:val="21"/>
          <w:u w:val="single"/>
          <w14:textFill>
            <w14:solidFill>
              <w14:schemeClr w14:val="tx1"/>
            </w14:solidFill>
          </w14:textFill>
        </w:rPr>
        <w:t>按国家有关验收规范执行</w:t>
      </w:r>
    </w:p>
    <w:p w14:paraId="1D94475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16.3承包人提供竣工图的约定</w:t>
      </w:r>
      <w:r>
        <w:rPr>
          <w:rFonts w:hint="eastAsia" w:ascii="宋体" w:hAnsi="宋体" w:eastAsia="宋体"/>
          <w:color w:val="000000" w:themeColor="text1"/>
          <w:szCs w:val="21"/>
          <w:u w:val="single"/>
          <w14:textFill>
            <w14:solidFill>
              <w14:schemeClr w14:val="tx1"/>
            </w14:solidFill>
          </w14:textFill>
        </w:rPr>
        <w:t>：竣工验收正式通过后5天提交发包人，纸质版一式3套，电子版2份（刻录成光盘），如涉及到地下管线的工程及道路工程还应提供1：500电子地形图（包括地下管线标高、线径走向等测量数据）</w:t>
      </w:r>
      <w:r>
        <w:rPr>
          <w:rFonts w:hint="eastAsia" w:ascii="宋体" w:hAnsi="宋体" w:eastAsia="宋体"/>
          <w:color w:val="000000" w:themeColor="text1"/>
          <w:szCs w:val="21"/>
          <w14:textFill>
            <w14:solidFill>
              <w14:schemeClr w14:val="tx1"/>
            </w14:solidFill>
          </w14:textFill>
        </w:rPr>
        <w:t>。</w:t>
      </w:r>
    </w:p>
    <w:p w14:paraId="5C809B9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16.4中间交工工程的范围和竣工时间：</w:t>
      </w:r>
      <w:r>
        <w:rPr>
          <w:rFonts w:hint="eastAsia" w:ascii="宋体" w:hAnsi="宋体" w:eastAsia="宋体"/>
          <w:color w:val="000000" w:themeColor="text1"/>
          <w:szCs w:val="21"/>
          <w:u w:val="single"/>
          <w14:textFill>
            <w14:solidFill>
              <w14:schemeClr w14:val="tx1"/>
            </w14:solidFill>
          </w14:textFill>
        </w:rPr>
        <w:t>另行约定</w:t>
      </w:r>
    </w:p>
    <w:p w14:paraId="4CDE777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17.竣工结算</w:t>
      </w:r>
    </w:p>
    <w:p w14:paraId="0D99776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17.1为了竣工结算能够顺利完成，保证发包人和承包人的合法权益，双方约定：</w:t>
      </w:r>
    </w:p>
    <w:p w14:paraId="53878C14">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（1）承包人应在工程竣工验收合格后</w:t>
      </w:r>
      <w:r>
        <w:rPr>
          <w:rFonts w:ascii="宋体" w:hAnsi="宋体" w:eastAsia="宋体"/>
          <w:color w:val="000000" w:themeColor="text1"/>
          <w:szCs w:val="21"/>
          <w:u w:val="single"/>
          <w14:textFill>
            <w14:solidFill>
              <w14:schemeClr w14:val="tx1"/>
            </w14:solidFill>
          </w14:textFill>
        </w:rPr>
        <w:t>3</w:t>
      </w:r>
      <w:r>
        <w:rPr>
          <w:rFonts w:hint="eastAsia" w:ascii="宋体" w:hAnsi="宋体" w:eastAsia="宋体"/>
          <w:color w:val="000000" w:themeColor="text1"/>
          <w:szCs w:val="21"/>
          <w:u w:val="single"/>
          <w14:textFill>
            <w14:solidFill>
              <w14:schemeClr w14:val="tx1"/>
            </w14:solidFill>
          </w14:textFill>
        </w:rPr>
        <w:t>个月内，递交结算书及全部结算资料提交给发包人，具体要求详见合同附件3。</w:t>
      </w:r>
    </w:p>
    <w:p w14:paraId="1215C24C">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承包人有以下情形的，发包人有权在竣工结算审核完成后的下一年度再支付剩余工程款。</w:t>
      </w:r>
    </w:p>
    <w:p w14:paraId="67CB87B8">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1）因承包人原因导致工期延误，造成实际竣工日期超过合同约定的竣工日期所属年度。</w:t>
      </w:r>
    </w:p>
    <w:p w14:paraId="06227AD5">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2）因承包人不按合同约定的时限提供完整的竣工结算资料导致竣工结算延误，造成发包人竣工结算审核完成日期超过合同约定的竣工结算审核完成日期所属年度。</w:t>
      </w:r>
    </w:p>
    <w:p w14:paraId="73CF00D0">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2）承包人应保证竣工结算价送审款（以下简称送审款）的真实性、准确性，承包人报送的送审款与发包人最终审定的工程结算价款（以下简称审定款）相比，应保证其误差率≤5％，如误差率＞5％，承包人应承担违约责任并支付违约金；误差率为5％—10％（含）的，违约金＝（送审款-审定款）×5%×50％；误差率大于10％的，违约金=（送审款-审定款）×5%。违约金由发包人从承包人工程结算款中扣除。注：误差率=（送审款-审定款）/送审款*100%。</w:t>
      </w:r>
    </w:p>
    <w:p w14:paraId="675F17A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3）发包人应按本专用条款约定和《建设工程价款结算暂行办法》（财建〔2004〕369号）规定及时办理工程竣工结算。办理时间从发包人收到承包人提交的《竣工结算报告》及完整合格的结算资料起算，因承包人原因造成结算工作拖延的，发包人审查时间应相应顺延</w:t>
      </w:r>
      <w:r>
        <w:rPr>
          <w:rFonts w:hint="eastAsia" w:ascii="宋体" w:hAnsi="宋体" w:eastAsia="宋体"/>
          <w:color w:val="000000" w:themeColor="text1"/>
          <w:szCs w:val="21"/>
          <w14:textFill>
            <w14:solidFill>
              <w14:schemeClr w14:val="tx1"/>
            </w14:solidFill>
          </w14:textFill>
        </w:rPr>
        <w:t>。</w:t>
      </w:r>
    </w:p>
    <w:p w14:paraId="180A84A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承包人向发包人递交竣工结算报告及完整的结算资料二套（含结算用竣工图纸电子文件光盘一套，结算用图纸、图纸电子文件光盘及相关资料应与现场施工实际情况相符，并且须报监理人确认，经发包人现场代表签字确认后方可作为结算依据，否则发包人有权拒绝签收相关资料，责任概由承包人负责）。同时，承包人提供采用符合当地造价管理机构要求使用的计价、计量软件的结算文件的电子光盘一套。双方按照合同约定内容，进行工程竣工结算。</w:t>
      </w:r>
    </w:p>
    <w:p w14:paraId="6690AF7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（5）竣工结算资料包括但不限于以下的内容：</w:t>
      </w:r>
    </w:p>
    <w:p w14:paraId="57A7A28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1）施工合同及补充协议：</w:t>
      </w:r>
    </w:p>
    <w:p w14:paraId="5512419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2）竣工图纸（经发包人盖章确认）：</w:t>
      </w:r>
    </w:p>
    <w:p w14:paraId="386A70E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3）设计变更资料：</w:t>
      </w:r>
    </w:p>
    <w:p w14:paraId="667A393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4）施工现场签证：</w:t>
      </w:r>
    </w:p>
    <w:p w14:paraId="79F1D10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5）竣工结算书（另附电子版软件版）：</w:t>
      </w:r>
    </w:p>
    <w:p w14:paraId="4CEC5EB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6）工程量计算书（另附电子版软件版）：</w:t>
      </w:r>
    </w:p>
    <w:p w14:paraId="22FA91C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7）开工报告或开工令</w:t>
      </w:r>
    </w:p>
    <w:p w14:paraId="01B796C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8）竣工验收意见书：</w:t>
      </w:r>
    </w:p>
    <w:p w14:paraId="7B20F49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9）其他与结算有关的资料。</w:t>
      </w:r>
    </w:p>
    <w:p w14:paraId="3A540E9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17.2竣工结算审核</w:t>
      </w:r>
    </w:p>
    <w:p w14:paraId="45C0773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承包人在现场施工过程中应派专人负责结算相关资料的收集和整理。承包人报送的任何资料，如与现场实际情况不符时，发包人有权对该部分内容不予进行结算，无论其是否已经监理人和发包人现场代表确认。</w:t>
      </w:r>
    </w:p>
    <w:p w14:paraId="03AA7A5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（2）最终审定造价以发包人委托的造价咨询机构出具的审定单的造价为准。</w:t>
      </w:r>
    </w:p>
    <w:p w14:paraId="3E22EFC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（3）发包人收到承包人递交的竣工结算报告及结算资料后应及时组织人员进行核实，给予确认或提出修改意见。修改期间的时间，应从发包人审核结算审计报告时间中相应扣除。</w:t>
      </w:r>
    </w:p>
    <w:p w14:paraId="5D569A2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（4）工程竣工验收合格后3个月内,承包人未能向发包人递交竣工结算报告及完整的结算资料造成工程竣工结算不能正常进行或工程竣工结算价款不能及时支付，由承包人负责。</w:t>
      </w:r>
    </w:p>
    <w:p w14:paraId="5E64048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（5）发包人承包人对工程竣工结算价款发生争议时，按本合同第 19 条关于争议的约定处理。如承包人无实质性理由拒绝签认竣工结算审定单，发包人有权依据《建设工程造价咨询规范B51095-2015》第8.3.8条规定，会同造价咨询机构单独出具竣工结算审定单，自行结算。</w:t>
      </w:r>
    </w:p>
    <w:p w14:paraId="5EE91032">
      <w:pPr>
        <w:spacing w:line="360" w:lineRule="auto"/>
        <w:ind w:firstLine="420" w:firstLineChars="200"/>
      </w:pPr>
      <w:r>
        <w:rPr>
          <w:rFonts w:hint="eastAsia" w:ascii="宋体" w:hAnsi="宋体" w:eastAsia="宋体"/>
          <w:color w:val="000000" w:themeColor="text1"/>
          <w:szCs w:val="21"/>
          <w14:textFill>
            <w14:solidFill>
              <w14:schemeClr w14:val="tx1"/>
            </w14:solidFill>
          </w14:textFill>
        </w:rPr>
        <w:t>（6）发包人委托的造价咨询机构对承包人提供的结算报告（或结算书）进行审核后提供结算审核初稿，承包人认为需要派造价人员和发包人委托的造价咨询机构核对的，承包人核对前必需提供授权委托书委托该造价人员处理结算对数所有事项，该造价人员签字认可的数据即为承包人认可的数据，且承包人必须对该造价人员确认的结算承担责任。承包人委托的造价人员必须具有中华人民共和国造价工程师执业资格证或造价员相关资格证书。</w:t>
      </w:r>
    </w:p>
    <w:p w14:paraId="79930C02">
      <w:pPr>
        <w:spacing w:line="360" w:lineRule="auto"/>
        <w:ind w:firstLine="420" w:firstLineChars="200"/>
        <w:rPr>
          <w:highlight w:val="none"/>
        </w:rPr>
      </w:pPr>
      <w:r>
        <w:rPr>
          <w:highlight w:val="none"/>
        </w:rPr>
        <w:t>（</w:t>
      </w:r>
      <w:r>
        <w:rPr>
          <w:rFonts w:hint="eastAsia"/>
          <w:highlight w:val="none"/>
        </w:rPr>
        <w:t>7</w:t>
      </w:r>
      <w:r>
        <w:rPr>
          <w:highlight w:val="none"/>
        </w:rPr>
        <w:t>）</w:t>
      </w:r>
      <w:r>
        <w:rPr>
          <w:rFonts w:hint="eastAsia"/>
          <w:highlight w:val="none"/>
        </w:rPr>
        <w:t>项目完成后进行预验收，预验收后再进行竣工验收，承包人提交符合要求的完整的竣工资料及竣工验收报告。</w:t>
      </w:r>
    </w:p>
    <w:p w14:paraId="461C729C">
      <w:pPr>
        <w:pStyle w:val="4"/>
        <w:jc w:val="left"/>
        <w:rPr>
          <w:rFonts w:hint="eastAsia" w:ascii="宋体" w:hAnsi="宋体" w:eastAsia="宋体"/>
          <w:color w:val="000000" w:themeColor="text1"/>
          <w:sz w:val="28"/>
          <w:szCs w:val="28"/>
          <w14:textFill>
            <w14:solidFill>
              <w14:schemeClr w14:val="tx1"/>
            </w14:solidFill>
          </w14:textFill>
        </w:rPr>
      </w:pPr>
      <w:bookmarkStart w:id="137" w:name="_Toc195459490"/>
      <w:bookmarkStart w:id="138" w:name="_Toc197530165"/>
      <w:r>
        <w:rPr>
          <w:rFonts w:hint="eastAsia" w:ascii="宋体" w:hAnsi="宋体" w:eastAsia="宋体"/>
          <w:color w:val="000000" w:themeColor="text1"/>
          <w:sz w:val="28"/>
          <w:szCs w:val="28"/>
          <w14:textFill>
            <w14:solidFill>
              <w14:schemeClr w14:val="tx1"/>
            </w14:solidFill>
          </w14:textFill>
        </w:rPr>
        <w:t>八、违约、索赔和争议</w:t>
      </w:r>
      <w:bookmarkEnd w:id="137"/>
      <w:bookmarkEnd w:id="138"/>
    </w:p>
    <w:p w14:paraId="4C65A2F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18.违约</w:t>
      </w:r>
    </w:p>
    <w:p w14:paraId="7228A9F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18.1本合同中关于发包人违约的具体责任：</w:t>
      </w:r>
      <w:r>
        <w:rPr>
          <w:rFonts w:hint="eastAsia" w:ascii="宋体" w:hAnsi="宋体" w:eastAsia="宋体"/>
          <w:color w:val="000000" w:themeColor="text1"/>
          <w:szCs w:val="21"/>
          <w:u w:val="single"/>
          <w14:textFill>
            <w14:solidFill>
              <w14:schemeClr w14:val="tx1"/>
            </w14:solidFill>
          </w14:textFill>
        </w:rPr>
        <w:t>除专用合同已有约定外，由双方另协商</w:t>
      </w:r>
      <w:r>
        <w:rPr>
          <w:rFonts w:hint="eastAsia" w:ascii="宋体" w:hAnsi="宋体" w:eastAsia="宋体"/>
          <w:color w:val="000000" w:themeColor="text1"/>
          <w:szCs w:val="21"/>
          <w14:textFill>
            <w14:solidFill>
              <w14:schemeClr w14:val="tx1"/>
            </w14:solidFill>
          </w14:textFill>
        </w:rPr>
        <w:t>。</w:t>
      </w:r>
    </w:p>
    <w:p w14:paraId="1D0DBF0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18.2本合同中关于承包人违约的具体责任：</w:t>
      </w:r>
      <w:r>
        <w:rPr>
          <w:rFonts w:hint="eastAsia" w:ascii="宋体" w:hAnsi="宋体" w:eastAsia="宋体"/>
          <w:color w:val="000000" w:themeColor="text1"/>
          <w:szCs w:val="21"/>
          <w:u w:val="single"/>
          <w14:textFill>
            <w14:solidFill>
              <w14:schemeClr w14:val="tx1"/>
            </w14:solidFill>
          </w14:textFill>
        </w:rPr>
        <w:t>承包人发生本合同通用条款中列出的违约情形的，应自行承担因其违约行为而增加的费用和工期延误损失，工期延误违约金按本专用条款第8.2条执行</w:t>
      </w:r>
      <w:r>
        <w:rPr>
          <w:rFonts w:hint="eastAsia" w:ascii="宋体" w:hAnsi="宋体" w:eastAsia="宋体"/>
          <w:color w:val="000000" w:themeColor="text1"/>
          <w:szCs w:val="21"/>
          <w14:textFill>
            <w14:solidFill>
              <w14:schemeClr w14:val="tx1"/>
            </w14:solidFill>
          </w14:textFill>
        </w:rPr>
        <w:t>。</w:t>
      </w:r>
    </w:p>
    <w:p w14:paraId="336635E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18.3因承包人违约解除合同：</w:t>
      </w:r>
      <w:r>
        <w:rPr>
          <w:rFonts w:hint="eastAsia" w:ascii="宋体" w:hAnsi="宋体" w:eastAsia="宋体"/>
          <w:color w:val="000000" w:themeColor="text1"/>
          <w:szCs w:val="21"/>
          <w:u w:val="single"/>
          <w14:textFill>
            <w14:solidFill>
              <w14:schemeClr w14:val="tx1"/>
            </w14:solidFill>
          </w14:textFill>
        </w:rPr>
        <w:t>（1）承包人出现《通用合同条款》（承包人违约的情形）约定的违约情况，监理人、发包人发出整改通知后15日内仍不纠正的；（2）承包人出现《专用合同条款》第20.2项的违约情况，监理人、发包人发出整改通知后15日内仍不纠正的；（3）承包人无故停工连续超过25天或累计超过30天的</w:t>
      </w:r>
      <w:r>
        <w:rPr>
          <w:rFonts w:hint="eastAsia" w:ascii="宋体" w:hAnsi="宋体" w:eastAsia="宋体"/>
          <w:color w:val="000000" w:themeColor="text1"/>
          <w:szCs w:val="21"/>
          <w14:textFill>
            <w14:solidFill>
              <w14:schemeClr w14:val="tx1"/>
            </w14:solidFill>
          </w14:textFill>
        </w:rPr>
        <w:t>。</w:t>
      </w:r>
    </w:p>
    <w:p w14:paraId="331AD72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18.4违约责任</w:t>
      </w:r>
    </w:p>
    <w:p w14:paraId="76A0CD9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(1)承包人擅自更换项目经理的违约责任：承包人项目经理必须与承包人投标时所承诺的人员一致，并在开工前到任，如开工后不能到任，视为违约，发包人有权解除合同，同时履约保证金不予退还。未经发包人书面同意，承包人擅自更换项目经理的视为违约，发包人有权解除合同并追究违约责任，违约金为（人民币）10000元/人•次。 </w:t>
      </w:r>
    </w:p>
    <w:p w14:paraId="3AC6719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(2)经发包人书面同意，承包人更换项目经理，除健康状况不能正常履职及其他不可抗力因素以外，承包人还需向发包人做出经济补偿：更换项目经理的补偿按 10000元/人•次。</w:t>
      </w:r>
    </w:p>
    <w:p w14:paraId="2FFD807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(3)承包人无正当理由拒绝更换项目经理的违约责任：因承包人项目经理不称职，发包人要求调换而未及时调换的，视为承包人违约，必须向发包人交纳处罚金10000元/人•次（人民币）。</w:t>
      </w:r>
    </w:p>
    <w:p w14:paraId="3D5FAD4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（4）其他违约情形：</w:t>
      </w:r>
    </w:p>
    <w:p w14:paraId="0122722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施工现场堆放或正在使用的建筑等材料必须为招标清单中明确的参考品牌之一，如发现其品牌、品种、规格、型号不是合同、清单约定的参考品牌及等级，或其性能参数指标不符合国家及有关规范、标准的要求，或被相关部门认定为假冒伪劣产品，每发现一次按（人民币）10000元/次的标准向承包人计收违约金，且承包人必须将相应材料清退出场。如不退场，发包人将在付款和结算时扣除涉及此材料的相应清单项目的全部费用，承包人还须承担由此产生的相应后果。</w:t>
      </w:r>
    </w:p>
    <w:p w14:paraId="7A97460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承包人不按设计图纸和施工规范施工的每被发现一次，按（人民币）5000-20000元/次的标准向发包人计付违约金；存在明显的施工质量问题的，每被发现一次，按违约金（人民币）5000-100000元/次的标准向发包人计付违约金，承包人且应负责整改；发现工程存在明显的施工质量缺陷的，发包人有权向承包人按（人民币）1000-5000元/处的标准向承包人计收违约金，承包人且应负责整改。</w:t>
      </w:r>
    </w:p>
    <w:p w14:paraId="50F09A8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3）前道工序未经监理人、发包人检查验收确认，承包人擅自进入下一道工序施工的，按（人民币）1000元/次的标准向发包人计付违约金。</w:t>
      </w:r>
    </w:p>
    <w:p w14:paraId="6C42DDE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4）承包人未按照广西壮族自治区建筑工程安全文明施工措施项目清单内容中规定的文明施工与环境保护、临时设施、安全施工、其他类别等要求执行，按（人民币）1000元/项从安全文明施工费中扣除。</w:t>
      </w:r>
    </w:p>
    <w:p w14:paraId="33F5144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5）因承包人原因发生人身、火灾等安全事故，视情节发包人按（人民币）10000元—100000元/次的计付标准从安全文明施工费中扣除。</w:t>
      </w:r>
    </w:p>
    <w:p w14:paraId="34D3895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加强校园安全文明的管理，在校园内发生下列行为的：承包人报备车辆不按报备的施工路线行驶、承包人报备车辆发生超速等不安全行为的，每发现一次，承包人向发包人支付违约金(人民币)5000元；施工车辆发生洒落不及时处理的，每发现一次，承包人向发包人支付违约金（人民币）2000元；施工人员出现不安全、不文明行为，每发现一次，承包人向发包人支付违约金（人民币）2000元。</w:t>
      </w:r>
    </w:p>
    <w:p w14:paraId="4DB7C47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在项目施工过程中，承包人被投诉至市长热线、住建部门、城管部门、发包人相关部门，经发包人核实，承包人须进行整改。第一次投诉属实，承包人向发包人支付违约金（人民币）1000元并进行整改。第二次投诉属实，承包人向发包人支付违约金（人民币）2000元并进行整改。第三次及之后投诉属实，承包人向发包人支付违约金（人民币）3000元并进行整改。</w:t>
      </w:r>
    </w:p>
    <w:p w14:paraId="732EA7E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19.争议</w:t>
      </w:r>
    </w:p>
    <w:p w14:paraId="5FEBF93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19.1双方约定，凡因本合同引起的或与本合同有关的任何争议，应向南宁市西乡塘区人民法院起诉。</w:t>
      </w:r>
    </w:p>
    <w:p w14:paraId="7AC5C5DE">
      <w:pPr>
        <w:pStyle w:val="4"/>
        <w:jc w:val="left"/>
        <w:rPr>
          <w:rFonts w:hint="eastAsia" w:ascii="宋体" w:hAnsi="宋体" w:eastAsia="宋体"/>
          <w:color w:val="000000" w:themeColor="text1"/>
          <w:sz w:val="28"/>
          <w:szCs w:val="28"/>
          <w14:textFill>
            <w14:solidFill>
              <w14:schemeClr w14:val="tx1"/>
            </w14:solidFill>
          </w14:textFill>
        </w:rPr>
      </w:pPr>
      <w:bookmarkStart w:id="139" w:name="_Toc195459491"/>
      <w:bookmarkStart w:id="140" w:name="_Toc197530166"/>
      <w:r>
        <w:rPr>
          <w:rFonts w:hint="eastAsia" w:ascii="宋体" w:hAnsi="宋体" w:eastAsia="宋体"/>
          <w:color w:val="000000" w:themeColor="text1"/>
          <w:sz w:val="28"/>
          <w:szCs w:val="28"/>
          <w14:textFill>
            <w14:solidFill>
              <w14:schemeClr w14:val="tx1"/>
            </w14:solidFill>
          </w14:textFill>
        </w:rPr>
        <w:t>九、其他</w:t>
      </w:r>
      <w:bookmarkEnd w:id="139"/>
      <w:bookmarkEnd w:id="140"/>
    </w:p>
    <w:p w14:paraId="1044C9A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20.工程分包</w:t>
      </w:r>
    </w:p>
    <w:p w14:paraId="39F852F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20.1本工程不允许分包，由发包人另行发包的专业工程除外。</w:t>
      </w:r>
    </w:p>
    <w:p w14:paraId="0692FAD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20.2承包人有以下情况之一者，应按合同总价的5％向发包人支付违约金，发包人有权解除合同，并向财政厅政府采购监督管理处反馈、投诉。</w:t>
      </w:r>
    </w:p>
    <w:p w14:paraId="4FAEA7C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20.2.1承包人交本单位或外单位人员个人承包本工程，发包人不承认其个人拥有任何资质等级及营业许可资格。</w:t>
      </w:r>
    </w:p>
    <w:p w14:paraId="7A687A8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20.2.2与其他人联合承包工程，就地组织暗分包队伍，不具备完成本工程的技术能力和必要设备条件。</w:t>
      </w:r>
    </w:p>
    <w:p w14:paraId="15316E1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20.2.3承包人就地转包全部的工程，以谋取高额转让费、管理费。</w:t>
      </w:r>
    </w:p>
    <w:p w14:paraId="2458B16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20.2.4承包人有部分分包行为（包括但不限于：冒充承包人下属单位的挂勾单位，凭口头协议参与施工的分包人及其他暗分包个体户），一经发现，发包人将驱逐该暗分包人。</w:t>
      </w:r>
    </w:p>
    <w:p w14:paraId="799BC3B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21.不可抗力</w:t>
      </w:r>
    </w:p>
    <w:p w14:paraId="67AF4B5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21.1双方关于不可抗力的约定：</w:t>
      </w:r>
      <w:r>
        <w:rPr>
          <w:rFonts w:hint="eastAsia" w:ascii="宋体" w:hAnsi="宋体" w:eastAsia="宋体"/>
          <w:color w:val="000000" w:themeColor="text1"/>
          <w:szCs w:val="21"/>
          <w:u w:val="single"/>
          <w14:textFill>
            <w14:solidFill>
              <w14:schemeClr w14:val="tx1"/>
            </w14:solidFill>
          </w14:textFill>
        </w:rPr>
        <w:t>按本合同通用条款约定和有关部门发布的文告或文件为准</w:t>
      </w:r>
      <w:r>
        <w:rPr>
          <w:rFonts w:hint="eastAsia" w:ascii="宋体" w:hAnsi="宋体" w:eastAsia="宋体"/>
          <w:color w:val="000000" w:themeColor="text1"/>
          <w:szCs w:val="21"/>
          <w14:textFill>
            <w14:solidFill>
              <w14:schemeClr w14:val="tx1"/>
            </w14:solidFill>
          </w14:textFill>
        </w:rPr>
        <w:t>。</w:t>
      </w:r>
    </w:p>
    <w:p w14:paraId="4AEB4EE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22.保险</w:t>
      </w:r>
    </w:p>
    <w:p w14:paraId="403EFA7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21.1本工程双方约定投保内容如下：</w:t>
      </w:r>
    </w:p>
    <w:p w14:paraId="4B1C6FF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（1）发包人投保内容：</w:t>
      </w:r>
      <w:r>
        <w:rPr>
          <w:rFonts w:hint="eastAsia" w:ascii="宋体" w:hAnsi="宋体" w:eastAsia="宋体"/>
          <w:color w:val="000000" w:themeColor="text1"/>
          <w:szCs w:val="21"/>
          <w:u w:val="single"/>
          <w14:textFill>
            <w14:solidFill>
              <w14:schemeClr w14:val="tx1"/>
            </w14:solidFill>
          </w14:textFill>
        </w:rPr>
        <w:t>自行负责办理</w:t>
      </w:r>
      <w:r>
        <w:rPr>
          <w:rFonts w:hint="eastAsia" w:ascii="宋体" w:hAnsi="宋体" w:eastAsia="宋体"/>
          <w:color w:val="000000" w:themeColor="text1"/>
          <w:szCs w:val="21"/>
          <w14:textFill>
            <w14:solidFill>
              <w14:schemeClr w14:val="tx1"/>
            </w14:solidFill>
          </w14:textFill>
        </w:rPr>
        <w:t>。</w:t>
      </w:r>
    </w:p>
    <w:p w14:paraId="1CFF44E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发包人委托承包人办理的保险事项：</w:t>
      </w:r>
      <w:r>
        <w:rPr>
          <w:rFonts w:hint="eastAsia" w:ascii="宋体" w:hAnsi="宋体" w:eastAsia="宋体"/>
          <w:color w:val="000000" w:themeColor="text1"/>
          <w:szCs w:val="21"/>
          <w:u w:val="single"/>
          <w14:textFill>
            <w14:solidFill>
              <w14:schemeClr w14:val="tx1"/>
            </w14:solidFill>
          </w14:textFill>
        </w:rPr>
        <w:t>无</w:t>
      </w:r>
      <w:r>
        <w:rPr>
          <w:rFonts w:hint="eastAsia" w:ascii="宋体" w:hAnsi="宋体" w:eastAsia="宋体"/>
          <w:color w:val="000000" w:themeColor="text1"/>
          <w:szCs w:val="21"/>
          <w14:textFill>
            <w14:solidFill>
              <w14:schemeClr w14:val="tx1"/>
            </w14:solidFill>
          </w14:textFill>
        </w:rPr>
        <w:t>。</w:t>
      </w:r>
    </w:p>
    <w:p w14:paraId="0803D97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（2）承包人投保内容：</w:t>
      </w:r>
      <w:r>
        <w:rPr>
          <w:rFonts w:hint="eastAsia" w:ascii="宋体" w:hAnsi="宋体" w:eastAsia="宋体"/>
          <w:color w:val="000000" w:themeColor="text1"/>
          <w:szCs w:val="21"/>
          <w:u w:val="single"/>
          <w14:textFill>
            <w14:solidFill>
              <w14:schemeClr w14:val="tx1"/>
            </w14:solidFill>
          </w14:textFill>
        </w:rPr>
        <w:t>承包人必须为施工现场从事施工的所有作业人员和管理人员办理意外伤害保险，并支付保险费</w:t>
      </w:r>
      <w:r>
        <w:rPr>
          <w:rFonts w:hint="eastAsia" w:ascii="宋体" w:hAnsi="宋体" w:eastAsia="宋体"/>
          <w:color w:val="000000" w:themeColor="text1"/>
          <w:szCs w:val="21"/>
          <w14:textFill>
            <w14:solidFill>
              <w14:schemeClr w14:val="tx1"/>
            </w14:solidFill>
          </w14:textFill>
        </w:rPr>
        <w:t>。</w:t>
      </w:r>
    </w:p>
    <w:p w14:paraId="16B9976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23.担保</w:t>
      </w:r>
    </w:p>
    <w:p w14:paraId="68F0F0C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23.1本工程双方约定担保事项如下：</w:t>
      </w:r>
      <w:r>
        <w:rPr>
          <w:rFonts w:hint="eastAsia" w:ascii="宋体" w:hAnsi="宋体" w:eastAsia="宋体"/>
          <w:color w:val="000000" w:themeColor="text1"/>
          <w:szCs w:val="21"/>
          <w:u w:val="single"/>
          <w14:textFill>
            <w14:solidFill>
              <w14:schemeClr w14:val="tx1"/>
            </w14:solidFill>
          </w14:textFill>
        </w:rPr>
        <w:t>无</w:t>
      </w:r>
    </w:p>
    <w:p w14:paraId="7E50DC6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23.2双方约定的其他担保事项：</w:t>
      </w:r>
      <w:r>
        <w:rPr>
          <w:rFonts w:hint="eastAsia" w:ascii="宋体" w:hAnsi="宋体" w:eastAsia="宋体"/>
          <w:color w:val="000000" w:themeColor="text1"/>
          <w:szCs w:val="21"/>
          <w:u w:val="single"/>
          <w14:textFill>
            <w14:solidFill>
              <w14:schemeClr w14:val="tx1"/>
            </w14:solidFill>
          </w14:textFill>
        </w:rPr>
        <w:t>无</w:t>
      </w:r>
    </w:p>
    <w:p w14:paraId="7F242F6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24.合同份数</w:t>
      </w:r>
    </w:p>
    <w:p w14:paraId="2A3BC0D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24.1双方约定合同份数：</w:t>
      </w:r>
      <w:r>
        <w:rPr>
          <w:rFonts w:hint="eastAsia" w:ascii="宋体" w:hAnsi="宋体" w:eastAsia="宋体"/>
          <w:color w:val="000000" w:themeColor="text1"/>
          <w:szCs w:val="21"/>
          <w:u w:val="single"/>
          <w14:textFill>
            <w14:solidFill>
              <w14:schemeClr w14:val="tx1"/>
            </w14:solidFill>
          </w14:textFill>
        </w:rPr>
        <w:t>壹拾伍份</w:t>
      </w:r>
      <w:r>
        <w:rPr>
          <w:rFonts w:hint="eastAsia" w:ascii="宋体" w:hAnsi="宋体" w:eastAsia="宋体"/>
          <w:color w:val="000000" w:themeColor="text1"/>
          <w:szCs w:val="21"/>
          <w14:textFill>
            <w14:solidFill>
              <w14:schemeClr w14:val="tx1"/>
            </w14:solidFill>
          </w14:textFill>
        </w:rPr>
        <w:t>。</w:t>
      </w:r>
    </w:p>
    <w:p w14:paraId="5160B42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25.补充条款</w:t>
      </w:r>
    </w:p>
    <w:p w14:paraId="05ECAFD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25.1发包人另行发包专业工程的，承包人应当给予配合、协调和服从管理，专业分包人需要承包人提供配合服务时，配合费由承包人与专业工程分包人根据配合、协调的内容另行协商。</w:t>
      </w:r>
    </w:p>
    <w:p w14:paraId="642272E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25.2承包人应按照合同约定（附件3）办理进度款申请、变更、签证、现场工程量收方、竣工验收、结算等事项，否则发包人不予办理相关事项，由此造成的损失由承包人负责。</w:t>
      </w:r>
    </w:p>
    <w:p w14:paraId="189E7FF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25.3承包人应按照竞争性磋商时响应文件的约定，配备服务于本项目的管理人员必须与响应文件一致，未经发包人同意不能擅自变更，否则发包人有权计收违约金1000元/次（人民币），如上述原因造成严重影响工程进度和质量的，发包人有权单方解除本合同。</w:t>
      </w:r>
    </w:p>
    <w:p w14:paraId="3D96DED6">
      <w:pPr>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25.4承包人更换项目经理的违约责任：承包人项目经理必须与承包人投标时所承诺的人员一致，并在开工前到任，如开工后不能到任，视为违约，发包人有权解除合同。承包人更换项目经理，除健康状况不能正常履职及其他不可抗力因素以外，承包人还需向发包人支付违约金：1万元/人•次。</w:t>
      </w:r>
    </w:p>
    <w:p w14:paraId="13A069E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w:t>
      </w:r>
      <w:r>
        <w:rPr>
          <w:rFonts w:hint="eastAsia" w:ascii="宋体" w:hAnsi="宋体" w:eastAsia="宋体"/>
          <w:color w:val="000000" w:themeColor="text1"/>
          <w:szCs w:val="21"/>
          <w:lang w:val="en-US" w:eastAsia="zh-CN"/>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验收产生的费用由承包人承担。</w:t>
      </w:r>
    </w:p>
    <w:p w14:paraId="0C0C3CE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w:t>
      </w:r>
      <w:r>
        <w:rPr>
          <w:rFonts w:hint="eastAsia" w:ascii="宋体" w:hAnsi="宋体" w:eastAsia="宋体"/>
          <w:color w:val="000000" w:themeColor="text1"/>
          <w:szCs w:val="21"/>
          <w:lang w:val="en-US" w:eastAsia="zh-CN"/>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室内空气、环境的检测按GB50325-2001《民用建筑工程室内环境污染控制规范》的标准执行，检测项目包括检测室内空气中的甲醛等指标参数。检测由发包人委托第三方检测机构进行检测，检测费用由发包人支付。若检测不合格，承担以下责任：（1）承包人按（人民币）10万元/次向发包人支付违约金，（2）因检测不合格导致发包人不能按时使用学生公寓，发包人将安排相应受到此状况影响的学生入住酒店，由此产生的一切费用（住宿费、交通费等）将由发包人从应向承包人支付的任何款项中扣除，（3）由承包人负责整改，直至检测合格为止，再次发生的检测费用由承包人支付。</w:t>
      </w:r>
    </w:p>
    <w:p w14:paraId="22A39FC3">
      <w:pPr>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25.7承包人应承担施工安全保卫工作及非夜间施工照明的责任，承包人应采取一切合理的预防措施，防止人员伤亡、财产损失事故，费用由承包人承担。承包人生活设施及施工场地应自费配备消防设备，防止火灾发生。同时承包人应按照《广西大学消防安全管理规定》（西大保〔2021〕3号）做好安全管理工作。承包人承担因承包人责任而引发的任何事故。因承包人原因发生人身、火灾等安全事故，视情节发包人按（人民币）10000元—300000元/次的计付标准从安全文明施工费中扣除。</w:t>
      </w:r>
    </w:p>
    <w:p w14:paraId="4C885BC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w:t>
      </w:r>
      <w:r>
        <w:rPr>
          <w:rFonts w:hint="eastAsia" w:ascii="宋体" w:hAnsi="宋体" w:eastAsia="宋体"/>
          <w:color w:val="000000" w:themeColor="text1"/>
          <w:szCs w:val="21"/>
          <w:lang w:val="en-US" w:eastAsia="zh-CN"/>
          <w14:textFill>
            <w14:solidFill>
              <w14:schemeClr w14:val="tx1"/>
            </w14:solidFill>
          </w14:textFill>
        </w:rPr>
        <w:t>8</w:t>
      </w:r>
      <w:r>
        <w:rPr>
          <w:rFonts w:hint="eastAsia" w:ascii="宋体" w:hAnsi="宋体" w:eastAsia="宋体"/>
          <w:color w:val="000000" w:themeColor="text1"/>
          <w:szCs w:val="21"/>
          <w14:textFill>
            <w14:solidFill>
              <w14:schemeClr w14:val="tx1"/>
            </w14:solidFill>
          </w14:textFill>
        </w:rPr>
        <w:t>本《专用条款》未作约定的事项，按本合同《通用条款》执行或由双方另行协商确定。</w:t>
      </w:r>
    </w:p>
    <w:p w14:paraId="580101AA">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78CE5CB3">
      <w:pPr>
        <w:pStyle w:val="3"/>
        <w:spacing w:before="0" w:after="0" w:line="240" w:lineRule="auto"/>
        <w:jc w:val="center"/>
        <w:rPr>
          <w:rFonts w:hint="eastAsia" w:ascii="宋体" w:hAnsi="宋体" w:eastAsia="宋体"/>
          <w:color w:val="000000" w:themeColor="text1"/>
          <w:sz w:val="30"/>
          <w:szCs w:val="30"/>
          <w14:textFill>
            <w14:solidFill>
              <w14:schemeClr w14:val="tx1"/>
            </w14:solidFill>
          </w14:textFill>
        </w:rPr>
      </w:pPr>
      <w:bookmarkStart w:id="141" w:name="_Toc181816532"/>
      <w:bookmarkStart w:id="142" w:name="_Toc197530167"/>
      <w:bookmarkStart w:id="143" w:name="_Toc195459492"/>
      <w:r>
        <w:rPr>
          <w:rFonts w:hint="eastAsia" w:ascii="宋体" w:hAnsi="宋体" w:eastAsia="宋体"/>
          <w:color w:val="000000" w:themeColor="text1"/>
          <w:sz w:val="30"/>
          <w:szCs w:val="30"/>
          <w14:textFill>
            <w14:solidFill>
              <w14:schemeClr w14:val="tx1"/>
            </w14:solidFill>
          </w14:textFill>
        </w:rPr>
        <w:t>第四部分 专用合同条款附件</w:t>
      </w:r>
      <w:bookmarkEnd w:id="141"/>
      <w:bookmarkEnd w:id="142"/>
      <w:bookmarkEnd w:id="143"/>
    </w:p>
    <w:p w14:paraId="1FC72AA0">
      <w:pPr>
        <w:pStyle w:val="4"/>
        <w:jc w:val="left"/>
        <w:rPr>
          <w:rFonts w:hint="eastAsia" w:ascii="宋体" w:hAnsi="宋体" w:eastAsia="宋体"/>
          <w:color w:val="000000" w:themeColor="text1"/>
          <w:sz w:val="28"/>
          <w:szCs w:val="28"/>
          <w14:textFill>
            <w14:solidFill>
              <w14:schemeClr w14:val="tx1"/>
            </w14:solidFill>
          </w14:textFill>
        </w:rPr>
      </w:pPr>
      <w:bookmarkStart w:id="144" w:name="_Toc195459493"/>
      <w:bookmarkStart w:id="145" w:name="_Toc197530168"/>
      <w:r>
        <w:rPr>
          <w:rFonts w:hint="eastAsia" w:ascii="宋体" w:hAnsi="宋体" w:eastAsia="宋体"/>
          <w:color w:val="000000" w:themeColor="text1"/>
          <w:sz w:val="28"/>
          <w:szCs w:val="28"/>
          <w14:textFill>
            <w14:solidFill>
              <w14:schemeClr w14:val="tx1"/>
            </w14:solidFill>
          </w14:textFill>
        </w:rPr>
        <w:t>附件1：工程质量保修书</w:t>
      </w:r>
      <w:bookmarkEnd w:id="144"/>
      <w:bookmarkEnd w:id="145"/>
    </w:p>
    <w:p w14:paraId="36BB0FAC">
      <w:pPr>
        <w:spacing w:line="360" w:lineRule="auto"/>
        <w:jc w:val="center"/>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工程质量保修书</w:t>
      </w:r>
    </w:p>
    <w:p w14:paraId="41550144">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51E67F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发包人（全称）：广西大学</w:t>
      </w:r>
    </w:p>
    <w:p w14:paraId="2A88506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承包人（全称）：</w:t>
      </w:r>
      <w:r>
        <w:rPr>
          <w:rFonts w:ascii="宋体" w:hAnsi="宋体" w:eastAsia="宋体"/>
          <w:color w:val="000000" w:themeColor="text1"/>
          <w:szCs w:val="21"/>
          <w14:textFill>
            <w14:solidFill>
              <w14:schemeClr w14:val="tx1"/>
            </w14:solidFill>
          </w14:textFill>
        </w:rPr>
        <w:t>________</w:t>
      </w:r>
    </w:p>
    <w:p w14:paraId="4A80F35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为保证</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（工程名称）在合理使用期限内可以正常使用，发包人、承包人协商一致签订本工程质量保修书。承包人在质量保修期内应当按照法律、法规、规章规定和其他有关规定及双方约定承担工程质量保修责任。</w:t>
      </w:r>
    </w:p>
    <w:p w14:paraId="5004BA88">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一、工程质量保修范围和内容</w:t>
      </w:r>
    </w:p>
    <w:p w14:paraId="6074D06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承包人在质量保修期内，按照有关法律、法规、规章规定和其他有关规定及双方约定，承担本工程质量保修责任。</w:t>
      </w:r>
    </w:p>
    <w:p w14:paraId="7C6B762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质量保修范围包括：地基基础工程、主体结构工程、屋面防水工程和双方约定的其他土建工程，以及电气管线、上下水管线的安装工程，供热、供冷系统工程等项目。</w:t>
      </w:r>
    </w:p>
    <w:p w14:paraId="419F95B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具体质量保修内容双方约定如下：</w:t>
      </w:r>
    </w:p>
    <w:p w14:paraId="22409E6D">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1.缺陷责任期内，如发生属承包人责任的质量问题，按工程质量保修书约定执行。承包人未按照法律法规有关规定和合同约定履行质量保修义务的，发包人有权从质量保证金中扣留用于质量保修的各项支出；若质量保证金不足以抵扣实际支出费用，发包人有权要求承包人补足差额。</w:t>
      </w:r>
    </w:p>
    <w:p w14:paraId="240A6D80">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2.缺陷责任期结束后质保期结束前，如发生属承包人责任的质量问题，由承包人负责维修并承担相关鉴定及维修费用。如承包人未及时履行保修义务，导致建筑物毁损或者造成人身损害、财产损失的，承包人应当承担赔偿责任，同时发包人可以委托他人修理，修理费用由承包人承担。如承包人拒绝履行支付，发包人有权通过法律途径要求承包人支付。</w:t>
      </w:r>
    </w:p>
    <w:p w14:paraId="3F17A04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二、质量保修期</w:t>
      </w:r>
    </w:p>
    <w:p w14:paraId="086D1A1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质量保修期从工程实际竣工验收通过之日起算。分单项竣工验收的工程，按单项工程分别计算质量保修期。</w:t>
      </w:r>
    </w:p>
    <w:p w14:paraId="5C8EAAB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双方根据国家有关规定，结合具体工程约定质量保修期如下：</w:t>
      </w:r>
    </w:p>
    <w:p w14:paraId="6837F77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1.地基基础工程和主体结构工程为设计文件规定的该工程合理使用年限；</w:t>
      </w:r>
    </w:p>
    <w:p w14:paraId="461D408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2.屋面防水工程、有防水要求的卫生间、房间和外墙面的防渗漏为5年；</w:t>
      </w:r>
    </w:p>
    <w:p w14:paraId="6B428DD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3.供热及供冷系统为</w:t>
      </w:r>
      <w:r>
        <w:rPr>
          <w:rFonts w:hint="eastAsia" w:ascii="宋体" w:hAnsi="宋体" w:eastAsia="宋体"/>
          <w:color w:val="000000" w:themeColor="text1"/>
          <w:szCs w:val="21"/>
          <w:u w:val="single"/>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个采暖期及供冷期；</w:t>
      </w:r>
    </w:p>
    <w:p w14:paraId="7348F79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4.电气管线、给排水管道、设备安装[含电气（器）、通风、照明、消防、防雷等设备]为</w:t>
      </w:r>
      <w:r>
        <w:rPr>
          <w:rFonts w:hint="eastAsia" w:ascii="宋体" w:hAnsi="宋体" w:eastAsia="宋体"/>
          <w:color w:val="000000" w:themeColor="text1"/>
          <w:szCs w:val="21"/>
          <w:u w:val="single"/>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年；</w:t>
      </w:r>
    </w:p>
    <w:p w14:paraId="514ECDB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5.装修工程为</w:t>
      </w:r>
      <w:r>
        <w:rPr>
          <w:rFonts w:hint="eastAsia" w:ascii="宋体" w:hAnsi="宋体" w:eastAsia="宋体"/>
          <w:color w:val="000000" w:themeColor="text1"/>
          <w:szCs w:val="21"/>
          <w:u w:val="single"/>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年；</w:t>
      </w:r>
    </w:p>
    <w:p w14:paraId="5735F2E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6.住宅小区内的给排水设施、道路等配套工程为</w:t>
      </w:r>
      <w:r>
        <w:rPr>
          <w:rFonts w:hint="eastAsia" w:ascii="宋体" w:hAnsi="宋体" w:eastAsia="宋体"/>
          <w:color w:val="000000" w:themeColor="text1"/>
          <w:szCs w:val="21"/>
          <w:u w:val="single"/>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年；</w:t>
      </w:r>
    </w:p>
    <w:p w14:paraId="4BB4DF4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7.绿化工程为工程验收合格后</w:t>
      </w:r>
      <w:r>
        <w:rPr>
          <w:rFonts w:hint="eastAsia" w:ascii="宋体" w:hAnsi="宋体" w:eastAsia="宋体"/>
          <w:color w:val="000000" w:themeColor="text1"/>
          <w:szCs w:val="21"/>
          <w:u w:val="single"/>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个月（养护期以工程量清单为准）；</w:t>
      </w:r>
    </w:p>
    <w:p w14:paraId="74E5E88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8.其他项目：</w:t>
      </w:r>
      <w:r>
        <w:rPr>
          <w:rFonts w:hint="eastAsia" w:ascii="宋体" w:hAnsi="宋体" w:eastAsia="宋体"/>
          <w:color w:val="000000" w:themeColor="text1"/>
          <w:szCs w:val="21"/>
          <w:u w:val="single"/>
          <w14:textFill>
            <w14:solidFill>
              <w14:schemeClr w14:val="tx1"/>
            </w14:solidFill>
          </w14:textFill>
        </w:rPr>
        <w:t>1年</w:t>
      </w:r>
    </w:p>
    <w:p w14:paraId="33165F0E">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质量保修期自工程竣工验收合格之日起计算。供应商在响应文件中有优于上述要求的，按供应商承诺执行。</w:t>
      </w:r>
    </w:p>
    <w:p w14:paraId="7C497805">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三、缺陷责任期</w:t>
      </w:r>
    </w:p>
    <w:p w14:paraId="298E532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工程缺陷责任期为</w:t>
      </w:r>
      <w:r>
        <w:rPr>
          <w:rFonts w:hint="eastAsia" w:ascii="宋体" w:hAnsi="宋体" w:eastAsia="宋体"/>
          <w:color w:val="000000" w:themeColor="text1"/>
          <w:szCs w:val="21"/>
          <w:u w:val="single"/>
          <w14:textFill>
            <w14:solidFill>
              <w14:schemeClr w14:val="tx1"/>
            </w14:solidFill>
          </w14:textFill>
        </w:rPr>
        <w:t>24</w:t>
      </w:r>
      <w:r>
        <w:rPr>
          <w:rFonts w:hint="eastAsia" w:ascii="宋体" w:hAnsi="宋体" w:eastAsia="宋体"/>
          <w:color w:val="000000" w:themeColor="text1"/>
          <w:szCs w:val="21"/>
          <w14:textFill>
            <w14:solidFill>
              <w14:schemeClr w14:val="tx1"/>
            </w14:solidFill>
          </w14:textFill>
        </w:rPr>
        <w:t>个月（最长不超过24个月），缺陷责任期自工程竣工验收合格之日起计算。单位工程先于全部工程进行验收，单位工程缺陷责任期自单位工程验收合格之日起算。</w:t>
      </w:r>
    </w:p>
    <w:p w14:paraId="5418B20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缺陷责任期满之日起</w:t>
      </w:r>
      <w:r>
        <w:rPr>
          <w:rFonts w:hint="eastAsia" w:ascii="宋体" w:hAnsi="宋体" w:eastAsia="宋体"/>
          <w:color w:val="000000" w:themeColor="text1"/>
          <w:szCs w:val="21"/>
          <w:u w:val="single"/>
          <w14:textFill>
            <w14:solidFill>
              <w14:schemeClr w14:val="tx1"/>
            </w14:solidFill>
          </w14:textFill>
        </w:rPr>
        <w:t>14</w:t>
      </w:r>
      <w:r>
        <w:rPr>
          <w:rFonts w:hint="eastAsia" w:ascii="宋体" w:hAnsi="宋体" w:eastAsia="宋体"/>
          <w:color w:val="000000" w:themeColor="text1"/>
          <w:szCs w:val="21"/>
          <w14:textFill>
            <w14:solidFill>
              <w14:schemeClr w14:val="tx1"/>
            </w14:solidFill>
          </w14:textFill>
        </w:rPr>
        <w:t>天（按合同约定期限），发包人应退还剩余的工程质量保修金。</w:t>
      </w:r>
    </w:p>
    <w:p w14:paraId="527336A6">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四、质量保修保质责任</w:t>
      </w:r>
    </w:p>
    <w:p w14:paraId="2904524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1.属于保修范围和内容的项目，承包人应在接到修理通知之日后2天内派人修理。承包人不在约定期限内派人修理，发包人可委托其他人员修理，保修费用从工程质量保修金内扣除。</w:t>
      </w:r>
    </w:p>
    <w:p w14:paraId="25D61F3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2.发生须紧急抢修事故的，承包人接到事故通知后，应立即到达事故现场抢修。非承包人施工质量引起的事故，抢修费用由发包人承担。</w:t>
      </w:r>
    </w:p>
    <w:p w14:paraId="2277CF7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695E6C8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4.保修完成后，由发包人组织有关单位人员验收。</w:t>
      </w:r>
    </w:p>
    <w:p w14:paraId="6675891F">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五、其他</w:t>
      </w:r>
    </w:p>
    <w:p w14:paraId="461A588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双方约定的其他工程质量保修事项：</w:t>
      </w:r>
    </w:p>
    <w:p w14:paraId="7BC427C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本工程质量保修书作为施工合同附件，由施工合同发包人和承包人双方共同签署。</w:t>
      </w:r>
    </w:p>
    <w:p w14:paraId="2F382371">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2"/>
      </w:tblGrid>
      <w:tr w14:paraId="02F6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17B4679E">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发包人（公章）：广西大学</w:t>
            </w:r>
          </w:p>
        </w:tc>
        <w:tc>
          <w:tcPr>
            <w:tcW w:w="4672" w:type="dxa"/>
          </w:tcPr>
          <w:p w14:paraId="7EF7C966">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承包人（公章）：</w:t>
            </w:r>
          </w:p>
        </w:tc>
      </w:tr>
      <w:tr w14:paraId="7B33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3CF4596F">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法定代表人（签字或盖章）：</w:t>
            </w:r>
          </w:p>
        </w:tc>
        <w:tc>
          <w:tcPr>
            <w:tcW w:w="4672" w:type="dxa"/>
          </w:tcPr>
          <w:p w14:paraId="0517C029">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法定代表人（签字或盖章）：</w:t>
            </w:r>
          </w:p>
        </w:tc>
      </w:tr>
      <w:tr w14:paraId="3A70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gridSpan w:val="2"/>
          </w:tcPr>
          <w:p w14:paraId="064C5BF8">
            <w:pPr>
              <w:spacing w:line="36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日</w:t>
            </w:r>
          </w:p>
        </w:tc>
      </w:tr>
    </w:tbl>
    <w:p w14:paraId="455D8BE1">
      <w:pPr>
        <w:spacing w:line="360" w:lineRule="auto"/>
        <w:jc w:val="center"/>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150ACD4D">
      <w:pPr>
        <w:pStyle w:val="4"/>
        <w:jc w:val="left"/>
        <w:rPr>
          <w:rFonts w:hint="eastAsia" w:ascii="宋体" w:hAnsi="宋体" w:eastAsia="宋体"/>
          <w:color w:val="000000" w:themeColor="text1"/>
          <w:sz w:val="28"/>
          <w:szCs w:val="28"/>
          <w14:textFill>
            <w14:solidFill>
              <w14:schemeClr w14:val="tx1"/>
            </w14:solidFill>
          </w14:textFill>
        </w:rPr>
      </w:pPr>
      <w:bookmarkStart w:id="146" w:name="_Toc195459494"/>
      <w:bookmarkStart w:id="147" w:name="_Toc197530169"/>
      <w:r>
        <w:rPr>
          <w:rFonts w:hint="eastAsia" w:ascii="宋体" w:hAnsi="宋体" w:eastAsia="宋体"/>
          <w:color w:val="000000" w:themeColor="text1"/>
          <w:sz w:val="28"/>
          <w:szCs w:val="28"/>
          <w14:textFill>
            <w14:solidFill>
              <w14:schemeClr w14:val="tx1"/>
            </w14:solidFill>
          </w14:textFill>
        </w:rPr>
        <w:t>附件2：安全生产合同</w:t>
      </w:r>
      <w:bookmarkEnd w:id="146"/>
      <w:bookmarkEnd w:id="147"/>
    </w:p>
    <w:p w14:paraId="5A72BEC4">
      <w:pPr>
        <w:spacing w:line="360" w:lineRule="auto"/>
        <w:jc w:val="center"/>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安全生产合同</w:t>
      </w:r>
    </w:p>
    <w:p w14:paraId="7F0D3D1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为在</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工程施工合同的实施过程中创造安全、高效的施工环境，切实做好本项目的安全管理工作，本项目发包人</w:t>
      </w:r>
      <w:r>
        <w:rPr>
          <w:rFonts w:hint="eastAsia" w:ascii="宋体" w:hAnsi="宋体" w:eastAsia="宋体"/>
          <w:color w:val="000000" w:themeColor="text1"/>
          <w:szCs w:val="21"/>
          <w:u w:val="single"/>
          <w14:textFill>
            <w14:solidFill>
              <w14:schemeClr w14:val="tx1"/>
            </w14:solidFill>
          </w14:textFill>
        </w:rPr>
        <w:t>广西大学</w:t>
      </w:r>
      <w:r>
        <w:rPr>
          <w:rFonts w:hint="eastAsia" w:ascii="宋体" w:hAnsi="宋体" w:eastAsia="宋体"/>
          <w:color w:val="000000" w:themeColor="text1"/>
          <w:szCs w:val="21"/>
          <w14:textFill>
            <w14:solidFill>
              <w14:schemeClr w14:val="tx1"/>
            </w14:solidFill>
          </w14:textFill>
        </w:rPr>
        <w:t>（以下简称“甲方”）与承包人</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（以下简称“乙方”）特此签订安全生产合同：</w:t>
      </w:r>
    </w:p>
    <w:p w14:paraId="39ED9E08">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一、甲方职责</w:t>
      </w:r>
    </w:p>
    <w:p w14:paraId="6BD46A5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1.严格遵守国家有关安全生产的法律法规，认真执行工程承包合同中的有关安全要求。</w:t>
      </w:r>
    </w:p>
    <w:p w14:paraId="4F00E98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2.按照“安全第一、预防为主”和坚持“管生产必须管安全”的原则进行安全生产管理，做到生产与安全工作同时计划、布置、检查、总结和评比。</w:t>
      </w:r>
    </w:p>
    <w:p w14:paraId="710C543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3.重要的安全设施必须坚持与主体工程“三同时”的原则，即：同时设计、审批，同时施工，同时验收，投入使用。</w:t>
      </w:r>
    </w:p>
    <w:p w14:paraId="01085A5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4.定期召开安全生产调度会，及时传达中央及地方有关安全生产的精神。</w:t>
      </w:r>
    </w:p>
    <w:p w14:paraId="387F703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5.组织对乙方施工现场安全生产检查，监督乙方及时处理发现的各种安全隐患。</w:t>
      </w:r>
    </w:p>
    <w:p w14:paraId="0C018E76">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二、乙方职责</w:t>
      </w:r>
    </w:p>
    <w:p w14:paraId="32C2E99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1.严格遵守国家有关安全生产的法律法规及建筑工程有关安全生产的规定，认真执行工程承包合同中的有关安全要求。</w:t>
      </w:r>
    </w:p>
    <w:p w14:paraId="7A87D31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47BB058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CCF1D5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4.乙方在任何时候都应采取各种合理的预防措施，防止其员工发生任何违法、违禁、暴力或妨碍治安的行为。</w:t>
      </w:r>
    </w:p>
    <w:p w14:paraId="60A6BAD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775B020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796AAA2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7.操作人员上岗，必须按规定穿戴防护用品。项目经理和安全检查员应随时检查劳动防护用品的穿戴情况，不按规定穿戴防护用品的人员不得上岗。</w:t>
      </w:r>
    </w:p>
    <w:p w14:paraId="0C0E76B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8.所有施工机械设备和高空作业的设备均应定期检查，并有安全员的签字记录，保证其经常处于完好状态；不合格的机具、设备和劳动保护用品严禁使用。</w:t>
      </w:r>
    </w:p>
    <w:p w14:paraId="21ECBDD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9.施工中采用新技术、新工艺、新设备、新材料时，必须制定相应的安全技术措施，施工现场必须具有相关的安全标志牌。</w:t>
      </w:r>
    </w:p>
    <w:p w14:paraId="123AE06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77BEC0D4">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三、违约责任</w:t>
      </w:r>
    </w:p>
    <w:p w14:paraId="6BF86BD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甲方或乙方违反安全生产合同约定造成安全事故的，应按照法律、法规、规章的规定承担相应法律责任。</w:t>
      </w:r>
    </w:p>
    <w:p w14:paraId="344D12D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本合同作为主合同附件，正本和副本份数与本合同专用条款第24.1条的约定相同。由双方法定代表人或其授权的代理人签署与加盖公章后生效，全部工程竣工验收后失效。</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2"/>
      </w:tblGrid>
      <w:tr w14:paraId="6E1B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BD944FC">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发包人（公章）：广西大学</w:t>
            </w:r>
          </w:p>
        </w:tc>
        <w:tc>
          <w:tcPr>
            <w:tcW w:w="4672" w:type="dxa"/>
          </w:tcPr>
          <w:p w14:paraId="293840D4">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承包人（公章）：</w:t>
            </w:r>
          </w:p>
        </w:tc>
      </w:tr>
      <w:tr w14:paraId="5D13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3C3620C5">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法定代表人（签字或盖章）：</w:t>
            </w:r>
          </w:p>
        </w:tc>
        <w:tc>
          <w:tcPr>
            <w:tcW w:w="4672" w:type="dxa"/>
          </w:tcPr>
          <w:p w14:paraId="0393EDBA">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法定代表人（签字或盖章）：</w:t>
            </w:r>
          </w:p>
        </w:tc>
      </w:tr>
      <w:tr w14:paraId="5FF8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gridSpan w:val="2"/>
          </w:tcPr>
          <w:p w14:paraId="56463F55">
            <w:pPr>
              <w:spacing w:line="36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14:textFill>
                  <w14:solidFill>
                    <w14:schemeClr w14:val="tx1"/>
                  </w14:solidFill>
                </w14:textFill>
              </w:rPr>
              <w:t>________</w:t>
            </w:r>
            <w:r>
              <w:rPr>
                <w:rFonts w:hint="eastAsia" w:ascii="宋体" w:hAnsi="宋体" w:eastAsia="宋体"/>
                <w:color w:val="000000" w:themeColor="text1"/>
                <w:szCs w:val="21"/>
                <w14:textFill>
                  <w14:solidFill>
                    <w14:schemeClr w14:val="tx1"/>
                  </w14:solidFill>
                </w14:textFill>
              </w:rPr>
              <w:t>日</w:t>
            </w:r>
          </w:p>
        </w:tc>
      </w:tr>
    </w:tbl>
    <w:p w14:paraId="129CE910">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1F5A1A5E">
      <w:pPr>
        <w:pStyle w:val="4"/>
        <w:jc w:val="left"/>
        <w:rPr>
          <w:rFonts w:hint="eastAsia" w:ascii="宋体" w:hAnsi="宋体" w:eastAsia="宋体"/>
          <w:color w:val="000000" w:themeColor="text1"/>
          <w:sz w:val="28"/>
          <w:szCs w:val="28"/>
          <w14:textFill>
            <w14:solidFill>
              <w14:schemeClr w14:val="tx1"/>
            </w14:solidFill>
          </w14:textFill>
        </w:rPr>
      </w:pPr>
      <w:bookmarkStart w:id="148" w:name="_Toc197530170"/>
      <w:bookmarkStart w:id="149" w:name="_Toc195459495"/>
      <w:r>
        <w:rPr>
          <w:rFonts w:hint="eastAsia" w:ascii="宋体" w:hAnsi="宋体" w:eastAsia="宋体"/>
          <w:color w:val="000000" w:themeColor="text1"/>
          <w:sz w:val="28"/>
          <w:szCs w:val="28"/>
          <w14:textFill>
            <w14:solidFill>
              <w14:schemeClr w14:val="tx1"/>
            </w14:solidFill>
          </w14:textFill>
        </w:rPr>
        <w:t>附件3：发包人施工管理要求</w:t>
      </w:r>
      <w:bookmarkEnd w:id="148"/>
      <w:bookmarkEnd w:id="149"/>
    </w:p>
    <w:p w14:paraId="5EB254F3">
      <w:pPr>
        <w:spacing w:line="360" w:lineRule="auto"/>
        <w:jc w:val="center"/>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发包人施工管理要求</w:t>
      </w:r>
    </w:p>
    <w:p w14:paraId="7A71CF15">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7B224C8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一、安全、文明施工及环境保护措施</w:t>
      </w:r>
    </w:p>
    <w:p w14:paraId="6DDF4A5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承包人应该按照国家、南宁市及学校有关安全生产的要求，做好安全生产保证措施、特别安全生产事项、治安保卫、文明施工、紧急情况处理、事故处理、安全生产责任、职业健康、环境保护等工作。</w:t>
      </w:r>
    </w:p>
    <w:p w14:paraId="2A3396FE">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二、承包人项目经理（或项目负责人）到位情况、业务水平</w:t>
      </w:r>
    </w:p>
    <w:p w14:paraId="1834485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（一）要求项目经理常驻现场管理，具备较强的责任心，良好的沟通能力；具备较强的专业技术水平，能及时发现施工问题，并提出较好的解决方案；配合发包人管理并办理相关手续。</w:t>
      </w:r>
    </w:p>
    <w:p w14:paraId="28C8290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（二）承包人项目经理负责与发包人对接所有事宜，承包人未经发包人同意，不得调换项目经理。</w:t>
      </w:r>
    </w:p>
    <w:p w14:paraId="21DB5301">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三、控制工程质量的检测与保证措施</w:t>
      </w:r>
    </w:p>
    <w:p w14:paraId="760C163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承包人工程质量标准必须符合现行国家有关工程质量验收规范和标准的要求，有关工程质量的特殊标准或要求应符合专用合同条款约定。</w:t>
      </w:r>
    </w:p>
    <w:p w14:paraId="48BC44EB">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四、工程感观质量</w:t>
      </w:r>
    </w:p>
    <w:p w14:paraId="79ACD39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承包人应通过观察和必要的测量，对工程外在的布局、表面、色泽、整体协调性、局部做法以及使用的方便性等的质量是否符合发包人要求。</w:t>
      </w:r>
    </w:p>
    <w:p w14:paraId="763E6175">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五、施工进度计划及保证措施（合同工期）</w:t>
      </w:r>
    </w:p>
    <w:p w14:paraId="522DAD6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除了按照合同约定的可以顺延的工期以外，承包人应该按期合同工期竣工验收。</w:t>
      </w:r>
    </w:p>
    <w:p w14:paraId="3D632C67">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六、主材及设备进场</w:t>
      </w:r>
    </w:p>
    <w:p w14:paraId="20AB444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（一）承包人采购的材料与设备应按照施工说明和设计有关标准要求采购，严禁以次充好；</w:t>
      </w:r>
    </w:p>
    <w:p w14:paraId="6567685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（二）主要材料及设备进场时，承包人应将其规格、品牌、合格证书等质保资料以及进场照片一并提交发包人确认</w:t>
      </w:r>
    </w:p>
    <w:p w14:paraId="4B1A471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（三）所有主料与设备必须经监理、发包人确认后方可安装。</w:t>
      </w:r>
    </w:p>
    <w:p w14:paraId="4A271341">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七、工程变更</w:t>
      </w:r>
    </w:p>
    <w:p w14:paraId="581A77C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（一）工程变更必须有发包人签发的变更通知单，否则发包人对该部分工程不予确认。</w:t>
      </w:r>
    </w:p>
    <w:p w14:paraId="0A72255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（二）承包人接到变更通知单后应立即实施，涉及工期顺延的应及时与发包人签证确认。</w:t>
      </w:r>
    </w:p>
    <w:p w14:paraId="580EA9A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（三）合同约定支付变更部分进度款的，承包人应及时编制变更预算报发包人审核，经发包人审核的变更预算仅作为支付变更部分工程进度款的依据，不作为结算依据。</w:t>
      </w:r>
    </w:p>
    <w:p w14:paraId="459071D2">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八、工程签证</w:t>
      </w:r>
    </w:p>
    <w:p w14:paraId="516B578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（一）工程签证必须由承包人填写签证单报发包人签认，签证单应写清楚签证原因、签证内容，因承包人填报签证不清楚所造成的一切后果由承包人负责。</w:t>
      </w:r>
    </w:p>
    <w:p w14:paraId="1E0AF3B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1.签证涉及工程量的，要有详细的图纸尺寸、计算式、说明及现场照片等资料，以满足在结算时能够准确的计算工程量和造价；</w:t>
      </w:r>
    </w:p>
    <w:p w14:paraId="2534D3D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2.发生零星用工或无法准确套用定额的用工，经发包人同意按工日数计算的，必须描述清楚事实、所需的工日数；</w:t>
      </w:r>
    </w:p>
    <w:p w14:paraId="76AF3AC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3.签机械台班的，要写明所用机械的名称、功率、斗容量及具体用时；</w:t>
      </w:r>
    </w:p>
    <w:p w14:paraId="3B6E475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4.发生二次搬运的要写清事由、运距；</w:t>
      </w:r>
    </w:p>
    <w:p w14:paraId="10B4DD2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5.工期签证要写清楚符合合同顺延工期条款约定的事实以及计算顺延天数的依据，并附支撑材料。</w:t>
      </w:r>
    </w:p>
    <w:p w14:paraId="0595129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（二）承包人应在签证事项发生后两周内及时填报签证单，承包人在递交竣工验收报告后填报签证的发包人不予签认，因承包人填报签证单不及时所造成的一切后果由承包人负责。</w:t>
      </w:r>
    </w:p>
    <w:p w14:paraId="42F7C4A9">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九、工程量收方</w:t>
      </w:r>
    </w:p>
    <w:p w14:paraId="3640670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一）工程变更、签证时不能确认工程量，或是不能以竣工图表示，需要现场收方确认工程量才能结算的，承包人应填写现场工程量收方单报发包人确认。因承包人填报工程量收方单不清楚、不详实所造成的一切后果由承包人负责。</w:t>
      </w:r>
    </w:p>
    <w:p w14:paraId="5FBC628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1.承包人需对现场收方工程量逐条列出，做到内容详实，条理清晰，尺寸准确，有必要的方位、部位等地点描述及每一单项的详细计算式及现场照片等资料；</w:t>
      </w:r>
    </w:p>
    <w:p w14:paraId="591C0A9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2.涉及隐蔽工程的现场收方，除以上要求外，承包人还需提交工程隐蔽前后的不少于10张且能清晰反映实际情况的纸质相片。</w:t>
      </w:r>
    </w:p>
    <w:p w14:paraId="23CE216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（二）承包人应在工程量收方事项发生后两周内及时填报工程量收方单，承包人在递交竣工验收报告后填报收方单的发包人不予签认，因承包人填报收方单不及时所造成的一切后果由承包人负责。</w:t>
      </w:r>
    </w:p>
    <w:p w14:paraId="35E39C19">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十、竣工结算</w:t>
      </w:r>
    </w:p>
    <w:p w14:paraId="77E8295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（一）承包人要对报送的结算资料的完整性、真实性、合法性负责，并按规范要求整理资料，因结算资料不完整、不真实、不合法所引起的一切责任及后果由承包人负责。</w:t>
      </w:r>
    </w:p>
    <w:p w14:paraId="2087130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发包人对结算资料中不合格的变更签证、收方等资料，如内容不明确、签字单位不齐全等情形按无效资料处理，不予计算相应造价。承包人有擅自篡改、伪造结算资料有关数据信息的，一经查实按篡改、伪造部分对应造价的三倍扣除承包人违约金。</w:t>
      </w:r>
    </w:p>
    <w:p w14:paraId="78F0AE8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（三）承包人应在工程竣工验收合格后3个月内，一次性递交结算书及全部结算资料给发包人，逾期未提交，每延期一天，按工程结算款的万分之</w:t>
      </w:r>
      <w:r>
        <w:rPr>
          <w:rFonts w:hint="eastAsia" w:ascii="宋体" w:hAnsi="宋体" w:eastAsia="宋体"/>
          <w:color w:val="000000" w:themeColor="text1"/>
          <w:szCs w:val="21"/>
          <w:lang w:val="en-US" w:eastAsia="zh-CN"/>
          <w14:textFill>
            <w14:solidFill>
              <w14:schemeClr w14:val="tx1"/>
            </w14:solidFill>
          </w14:textFill>
        </w:rPr>
        <w:t xml:space="preserve">二 </w:t>
      </w:r>
      <w:r>
        <w:rPr>
          <w:rFonts w:hint="eastAsia" w:ascii="宋体" w:hAnsi="宋体" w:eastAsia="宋体"/>
          <w:color w:val="000000" w:themeColor="text1"/>
          <w:szCs w:val="21"/>
          <w14:textFill>
            <w14:solidFill>
              <w14:schemeClr w14:val="tx1"/>
            </w14:solidFill>
          </w14:textFill>
        </w:rPr>
        <w:t xml:space="preserve"> 扣除违约金，违约金最多不超过合同价</w:t>
      </w:r>
      <w:r>
        <w:rPr>
          <w:rFonts w:hint="eastAsia" w:ascii="宋体" w:hAnsi="宋体" w:eastAsia="宋体"/>
          <w:color w:val="000000" w:themeColor="text1"/>
          <w:szCs w:val="21"/>
          <w:lang w:val="en-US" w:eastAsia="zh-CN"/>
          <w14:textFill>
            <w14:solidFill>
              <w14:schemeClr w14:val="tx1"/>
            </w14:solidFill>
          </w14:textFill>
        </w:rPr>
        <w:t>款</w:t>
      </w:r>
      <w:r>
        <w:rPr>
          <w:rFonts w:hint="eastAsia" w:ascii="宋体" w:hAnsi="宋体" w:eastAsia="宋体"/>
          <w:color w:val="000000" w:themeColor="text1"/>
          <w:szCs w:val="21"/>
          <w14:textFill>
            <w14:solidFill>
              <w14:schemeClr w14:val="tx1"/>
            </w14:solidFill>
          </w14:textFill>
        </w:rPr>
        <w:t>的</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 xml:space="preserve"> %，由发包人从承包人工程结算款中直接扣除，发包人在竣工结算审核过程中，承包人不得再补充任何项目资料。如有特殊情况，项目中确实存在因缺少或视同无效的计价依据（如收方、签证材料等）涉及金额超过结算送审金额3%且超过3万元（含）的，经发包人同意后，承包人将一次性在对数结束后14个工作日内补充要求提供的书面材料至发包人，逾期不提交的，则自动放弃补送机会，并视为同意前期对数的结算结果。</w:t>
      </w:r>
      <w:r>
        <w:rPr>
          <w:rFonts w:hint="eastAsia" w:ascii="宋体" w:hAnsi="宋体"/>
          <w:szCs w:val="21"/>
        </w:rPr>
        <w:t>承包人因报送结算资料不完整并进行补充的，按补充报送结算价的10%支付违约金，补充报送结算价送审误差率偏高的，按合同有关约定支付送审误差违约金。</w:t>
      </w:r>
      <w:r>
        <w:rPr>
          <w:rFonts w:hint="eastAsia" w:ascii="宋体" w:hAnsi="宋体" w:eastAsia="宋体"/>
          <w:color w:val="000000" w:themeColor="text1"/>
          <w:szCs w:val="21"/>
          <w14:textFill>
            <w14:solidFill>
              <w14:schemeClr w14:val="tx1"/>
            </w14:solidFill>
          </w14:textFill>
        </w:rPr>
        <w:t>但承包人补充材料的行为有可能会被发包人在考核中计为“较差”。因报送结算资料不完整并进行事后补充，被发包人列入“黑名单”的，其责任及后果由承包人承担。</w:t>
      </w:r>
    </w:p>
    <w:p w14:paraId="4465695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审核过程中发现送审的竣工结算资料中已有对应计价依据（含竣工图、收方或签证材料等），但送审工程量少计或漏计的，经审计部门同意，承包人可以补充报送该部分少计或漏计工程量的结算（说明）书，并同意按补充报送结算价的10%支付违约金，补充报送结算价送审误差率偏高的，按合同有关约定支付送审误差违约金。</w:t>
      </w:r>
    </w:p>
    <w:p w14:paraId="0186C38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（四）承包人应积极主动配合发包人勘察现场及开展其他相关工作。</w:t>
      </w:r>
    </w:p>
    <w:p w14:paraId="2A07461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承包人应在项目资料送审后10个工作日内作好相关准备工作，配合发包人现场实地核查，未能按时核查的，发包人有权中止结算审核工作，并退回所有项目结算资料，自停止之日起6个月内，不再安排对本工程项目的审核；</w:t>
      </w:r>
    </w:p>
    <w:p w14:paraId="7417CCF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承包人收到发包人结算审核初稿后6个工作日内，赴现场配合核对，未能按时对数的，每延误一天，发包人按合同金额的万分之伍扣除违约金，但累计不超过合同金额的3%，延误超过60天的，发包人有权中止结算审核工作，并退回所有项目结算资料，自中止之日起6个月内不再安排对本工程项目的审核。对现场核对后经过双方一致确认的内容，承包人在后期不再提出异议；</w:t>
      </w:r>
    </w:p>
    <w:p w14:paraId="501F46C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3.承包人在审核过程中需补充资料的，按第三条的要求；</w:t>
      </w:r>
    </w:p>
    <w:p w14:paraId="5AEB527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承包人在收到发包人的结算审核二稿后6个工作日内，应及时反馈意见，未能按时反馈的，每延误1天，发包人按合同金额的万分之伍扣除违约金，但累计不超过合同金额的3%，延误超过60天的，发包人则视为承包人同意审核结果，发包人出具正式结算审核报告，审核工作完结。</w:t>
      </w:r>
    </w:p>
    <w:p w14:paraId="5C18765F">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62EC3959">
      <w:pPr>
        <w:pStyle w:val="4"/>
        <w:jc w:val="left"/>
        <w:rPr>
          <w:rFonts w:hint="eastAsia" w:ascii="宋体" w:hAnsi="宋体" w:eastAsia="宋体"/>
          <w:color w:val="000000" w:themeColor="text1"/>
          <w:sz w:val="28"/>
          <w:szCs w:val="28"/>
          <w14:textFill>
            <w14:solidFill>
              <w14:schemeClr w14:val="tx1"/>
            </w14:solidFill>
          </w14:textFill>
        </w:rPr>
      </w:pPr>
      <w:bookmarkStart w:id="150" w:name="_Toc195459496"/>
      <w:bookmarkStart w:id="151" w:name="_Toc197530171"/>
      <w:r>
        <w:rPr>
          <w:rFonts w:hint="eastAsia" w:ascii="宋体" w:hAnsi="宋体" w:eastAsia="宋体"/>
          <w:color w:val="000000" w:themeColor="text1"/>
          <w:sz w:val="28"/>
          <w:szCs w:val="28"/>
          <w14:textFill>
            <w14:solidFill>
              <w14:schemeClr w14:val="tx1"/>
            </w14:solidFill>
          </w14:textFill>
        </w:rPr>
        <w:t>附件4：施工单位项目考核表</w:t>
      </w:r>
      <w:bookmarkEnd w:id="150"/>
      <w:bookmarkEnd w:id="151"/>
    </w:p>
    <w:p w14:paraId="1B60E6BF">
      <w:pPr>
        <w:spacing w:line="360" w:lineRule="auto"/>
        <w:jc w:val="center"/>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施工单位项目考核表</w:t>
      </w:r>
    </w:p>
    <w:p w14:paraId="6F80F7F0">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1B4A82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项目名称：</w:t>
      </w:r>
      <w:r>
        <w:rPr>
          <w:rFonts w:ascii="宋体" w:hAnsi="宋体" w:eastAsia="宋体"/>
          <w:color w:val="000000" w:themeColor="text1"/>
          <w:szCs w:val="21"/>
          <w14:textFill>
            <w14:solidFill>
              <w14:schemeClr w14:val="tx1"/>
            </w14:solidFill>
          </w14:textFill>
        </w:rPr>
        <w:t>________</w:t>
      </w:r>
    </w:p>
    <w:p w14:paraId="4AA2A9D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施工单位（承包人）：</w:t>
      </w:r>
      <w:r>
        <w:rPr>
          <w:rFonts w:ascii="宋体" w:hAnsi="宋体" w:eastAsia="宋体"/>
          <w:color w:val="000000" w:themeColor="text1"/>
          <w:szCs w:val="21"/>
          <w14:textFill>
            <w14:solidFill>
              <w14:schemeClr w14:val="tx1"/>
            </w14:solidFill>
          </w14:textFill>
        </w:rPr>
        <w:t>________</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843"/>
        <w:gridCol w:w="4253"/>
        <w:gridCol w:w="708"/>
        <w:gridCol w:w="709"/>
        <w:gridCol w:w="702"/>
      </w:tblGrid>
      <w:tr w14:paraId="645F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5D5B861C">
            <w:pPr>
              <w:spacing w:line="360" w:lineRule="auto"/>
              <w:jc w:val="center"/>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考核阶段</w:t>
            </w:r>
          </w:p>
        </w:tc>
        <w:tc>
          <w:tcPr>
            <w:tcW w:w="1843" w:type="dxa"/>
            <w:vAlign w:val="center"/>
          </w:tcPr>
          <w:p w14:paraId="1B34BF8F">
            <w:pPr>
              <w:spacing w:line="360" w:lineRule="auto"/>
              <w:jc w:val="center"/>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评价项目</w:t>
            </w:r>
          </w:p>
        </w:tc>
        <w:tc>
          <w:tcPr>
            <w:tcW w:w="4253" w:type="dxa"/>
            <w:vAlign w:val="center"/>
          </w:tcPr>
          <w:p w14:paraId="51A58D31">
            <w:pPr>
              <w:spacing w:line="360" w:lineRule="auto"/>
              <w:jc w:val="center"/>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考核内容</w:t>
            </w:r>
          </w:p>
        </w:tc>
        <w:tc>
          <w:tcPr>
            <w:tcW w:w="708" w:type="dxa"/>
            <w:vAlign w:val="center"/>
          </w:tcPr>
          <w:p w14:paraId="57266C23">
            <w:pPr>
              <w:spacing w:line="360" w:lineRule="auto"/>
              <w:jc w:val="center"/>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良好</w:t>
            </w:r>
          </w:p>
        </w:tc>
        <w:tc>
          <w:tcPr>
            <w:tcW w:w="709" w:type="dxa"/>
            <w:vAlign w:val="center"/>
          </w:tcPr>
          <w:p w14:paraId="780F64A9">
            <w:pPr>
              <w:spacing w:line="360" w:lineRule="auto"/>
              <w:jc w:val="center"/>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一般</w:t>
            </w:r>
          </w:p>
        </w:tc>
        <w:tc>
          <w:tcPr>
            <w:tcW w:w="702" w:type="dxa"/>
            <w:vAlign w:val="center"/>
          </w:tcPr>
          <w:p w14:paraId="0195A175">
            <w:pPr>
              <w:spacing w:line="360" w:lineRule="auto"/>
              <w:jc w:val="center"/>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较差</w:t>
            </w:r>
          </w:p>
        </w:tc>
      </w:tr>
      <w:tr w14:paraId="437B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46AD0DD7">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施工阶段</w:t>
            </w:r>
          </w:p>
        </w:tc>
        <w:tc>
          <w:tcPr>
            <w:tcW w:w="1843" w:type="dxa"/>
            <w:vAlign w:val="center"/>
          </w:tcPr>
          <w:p w14:paraId="77F8CE50">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*安全、文明施工及环境保护措施</w:t>
            </w:r>
          </w:p>
        </w:tc>
        <w:tc>
          <w:tcPr>
            <w:tcW w:w="4253" w:type="dxa"/>
            <w:vAlign w:val="center"/>
          </w:tcPr>
          <w:p w14:paraId="1F0FD1C5">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按合同附件3发包人施工管理相关要求</w:t>
            </w:r>
          </w:p>
        </w:tc>
        <w:tc>
          <w:tcPr>
            <w:tcW w:w="708" w:type="dxa"/>
            <w:vAlign w:val="center"/>
          </w:tcPr>
          <w:p w14:paraId="3CEF2C09">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3E793B53">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4BE5A1C3">
            <w:pPr>
              <w:spacing w:line="360" w:lineRule="auto"/>
              <w:jc w:val="center"/>
              <w:rPr>
                <w:rFonts w:hint="eastAsia" w:ascii="宋体" w:hAnsi="宋体" w:eastAsia="宋体"/>
                <w:color w:val="000000" w:themeColor="text1"/>
                <w:szCs w:val="21"/>
                <w14:textFill>
                  <w14:solidFill>
                    <w14:schemeClr w14:val="tx1"/>
                  </w14:solidFill>
                </w14:textFill>
              </w:rPr>
            </w:pPr>
          </w:p>
        </w:tc>
      </w:tr>
      <w:tr w14:paraId="7938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79041832">
            <w:pPr>
              <w:spacing w:line="360" w:lineRule="auto"/>
              <w:jc w:val="center"/>
              <w:rPr>
                <w:rFonts w:hint="eastAsia" w:ascii="宋体" w:hAnsi="宋体" w:eastAsia="宋体"/>
                <w:color w:val="000000" w:themeColor="text1"/>
                <w:szCs w:val="21"/>
                <w14:textFill>
                  <w14:solidFill>
                    <w14:schemeClr w14:val="tx1"/>
                  </w14:solidFill>
                </w14:textFill>
              </w:rPr>
            </w:pPr>
          </w:p>
        </w:tc>
        <w:tc>
          <w:tcPr>
            <w:tcW w:w="1843" w:type="dxa"/>
            <w:vAlign w:val="center"/>
          </w:tcPr>
          <w:p w14:paraId="2D2129B4">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*项目经理（或项目负责人）到位情况、业务水平</w:t>
            </w:r>
          </w:p>
        </w:tc>
        <w:tc>
          <w:tcPr>
            <w:tcW w:w="4253" w:type="dxa"/>
            <w:vAlign w:val="center"/>
          </w:tcPr>
          <w:p w14:paraId="6C49BBD3">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按合同附3发包人施工管理相关要求</w:t>
            </w:r>
          </w:p>
        </w:tc>
        <w:tc>
          <w:tcPr>
            <w:tcW w:w="708" w:type="dxa"/>
            <w:vAlign w:val="center"/>
          </w:tcPr>
          <w:p w14:paraId="63B77AE5">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10F29D1A">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4681B63A">
            <w:pPr>
              <w:spacing w:line="360" w:lineRule="auto"/>
              <w:jc w:val="center"/>
              <w:rPr>
                <w:rFonts w:hint="eastAsia" w:ascii="宋体" w:hAnsi="宋体" w:eastAsia="宋体"/>
                <w:color w:val="000000" w:themeColor="text1"/>
                <w:szCs w:val="21"/>
                <w14:textFill>
                  <w14:solidFill>
                    <w14:schemeClr w14:val="tx1"/>
                  </w14:solidFill>
                </w14:textFill>
              </w:rPr>
            </w:pPr>
          </w:p>
        </w:tc>
      </w:tr>
      <w:tr w14:paraId="6ECD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0DC6038B">
            <w:pPr>
              <w:spacing w:line="360" w:lineRule="auto"/>
              <w:jc w:val="center"/>
              <w:rPr>
                <w:rFonts w:hint="eastAsia" w:ascii="宋体" w:hAnsi="宋体" w:eastAsia="宋体"/>
                <w:color w:val="000000" w:themeColor="text1"/>
                <w:szCs w:val="21"/>
                <w14:textFill>
                  <w14:solidFill>
                    <w14:schemeClr w14:val="tx1"/>
                  </w14:solidFill>
                </w14:textFill>
              </w:rPr>
            </w:pPr>
          </w:p>
        </w:tc>
        <w:tc>
          <w:tcPr>
            <w:tcW w:w="1843" w:type="dxa"/>
            <w:vAlign w:val="center"/>
          </w:tcPr>
          <w:p w14:paraId="0082AC2A">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*控制工程质量的检测与保证措施</w:t>
            </w:r>
          </w:p>
        </w:tc>
        <w:tc>
          <w:tcPr>
            <w:tcW w:w="4253" w:type="dxa"/>
            <w:vAlign w:val="center"/>
          </w:tcPr>
          <w:p w14:paraId="3013715E">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按合同附件3发包人施工管理相关要求</w:t>
            </w:r>
          </w:p>
        </w:tc>
        <w:tc>
          <w:tcPr>
            <w:tcW w:w="708" w:type="dxa"/>
            <w:vAlign w:val="center"/>
          </w:tcPr>
          <w:p w14:paraId="74F10022">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5C9F0DA6">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5CDB941C">
            <w:pPr>
              <w:spacing w:line="360" w:lineRule="auto"/>
              <w:jc w:val="center"/>
              <w:rPr>
                <w:rFonts w:hint="eastAsia" w:ascii="宋体" w:hAnsi="宋体" w:eastAsia="宋体"/>
                <w:color w:val="000000" w:themeColor="text1"/>
                <w:szCs w:val="21"/>
                <w14:textFill>
                  <w14:solidFill>
                    <w14:schemeClr w14:val="tx1"/>
                  </w14:solidFill>
                </w14:textFill>
              </w:rPr>
            </w:pPr>
          </w:p>
        </w:tc>
      </w:tr>
      <w:tr w14:paraId="2EC4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6CC545D0">
            <w:pPr>
              <w:spacing w:line="360" w:lineRule="auto"/>
              <w:jc w:val="center"/>
              <w:rPr>
                <w:rFonts w:hint="eastAsia" w:ascii="宋体" w:hAnsi="宋体" w:eastAsia="宋体"/>
                <w:color w:val="000000" w:themeColor="text1"/>
                <w:szCs w:val="21"/>
                <w14:textFill>
                  <w14:solidFill>
                    <w14:schemeClr w14:val="tx1"/>
                  </w14:solidFill>
                </w14:textFill>
              </w:rPr>
            </w:pPr>
          </w:p>
        </w:tc>
        <w:tc>
          <w:tcPr>
            <w:tcW w:w="1843" w:type="dxa"/>
            <w:vAlign w:val="center"/>
          </w:tcPr>
          <w:p w14:paraId="67143C9D">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*工程感观质量</w:t>
            </w:r>
          </w:p>
        </w:tc>
        <w:tc>
          <w:tcPr>
            <w:tcW w:w="4253" w:type="dxa"/>
            <w:vAlign w:val="center"/>
          </w:tcPr>
          <w:p w14:paraId="0E663D36">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按合同附件3发包人施工管理相关要求</w:t>
            </w:r>
          </w:p>
        </w:tc>
        <w:tc>
          <w:tcPr>
            <w:tcW w:w="708" w:type="dxa"/>
            <w:vAlign w:val="center"/>
          </w:tcPr>
          <w:p w14:paraId="034702DC">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564554EA">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3CD7682E">
            <w:pPr>
              <w:spacing w:line="360" w:lineRule="auto"/>
              <w:jc w:val="center"/>
              <w:rPr>
                <w:rFonts w:hint="eastAsia" w:ascii="宋体" w:hAnsi="宋体" w:eastAsia="宋体"/>
                <w:color w:val="000000" w:themeColor="text1"/>
                <w:szCs w:val="21"/>
                <w14:textFill>
                  <w14:solidFill>
                    <w14:schemeClr w14:val="tx1"/>
                  </w14:solidFill>
                </w14:textFill>
              </w:rPr>
            </w:pPr>
          </w:p>
        </w:tc>
      </w:tr>
      <w:tr w14:paraId="564C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45AF7248">
            <w:pPr>
              <w:spacing w:line="360" w:lineRule="auto"/>
              <w:jc w:val="center"/>
              <w:rPr>
                <w:rFonts w:hint="eastAsia" w:ascii="宋体" w:hAnsi="宋体" w:eastAsia="宋体"/>
                <w:color w:val="000000" w:themeColor="text1"/>
                <w:szCs w:val="21"/>
                <w14:textFill>
                  <w14:solidFill>
                    <w14:schemeClr w14:val="tx1"/>
                  </w14:solidFill>
                </w14:textFill>
              </w:rPr>
            </w:pPr>
          </w:p>
        </w:tc>
        <w:tc>
          <w:tcPr>
            <w:tcW w:w="1843" w:type="dxa"/>
            <w:vAlign w:val="center"/>
          </w:tcPr>
          <w:p w14:paraId="76C00839">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*施工进度计划及保证措施（合同工期）</w:t>
            </w:r>
          </w:p>
        </w:tc>
        <w:tc>
          <w:tcPr>
            <w:tcW w:w="4253" w:type="dxa"/>
            <w:vAlign w:val="center"/>
          </w:tcPr>
          <w:p w14:paraId="40086B44">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按合同附件3发包人施工管理相关要求（注：扣除承包人确认的工期顺延天数后，按期竣工为“良好”；超工期不到20天的为“一般”；超工期20天以上的为“较差”）</w:t>
            </w:r>
          </w:p>
        </w:tc>
        <w:tc>
          <w:tcPr>
            <w:tcW w:w="708" w:type="dxa"/>
            <w:vAlign w:val="center"/>
          </w:tcPr>
          <w:p w14:paraId="1E07F396">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321879D7">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7006F75B">
            <w:pPr>
              <w:spacing w:line="360" w:lineRule="auto"/>
              <w:jc w:val="center"/>
              <w:rPr>
                <w:rFonts w:hint="eastAsia" w:ascii="宋体" w:hAnsi="宋体" w:eastAsia="宋体"/>
                <w:color w:val="000000" w:themeColor="text1"/>
                <w:szCs w:val="21"/>
                <w14:textFill>
                  <w14:solidFill>
                    <w14:schemeClr w14:val="tx1"/>
                  </w14:solidFill>
                </w14:textFill>
              </w:rPr>
            </w:pPr>
          </w:p>
        </w:tc>
      </w:tr>
      <w:tr w14:paraId="3323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4AD1A1C6">
            <w:pPr>
              <w:spacing w:line="360" w:lineRule="auto"/>
              <w:jc w:val="center"/>
              <w:rPr>
                <w:rFonts w:hint="eastAsia" w:ascii="宋体" w:hAnsi="宋体" w:eastAsia="宋体"/>
                <w:color w:val="000000" w:themeColor="text1"/>
                <w:szCs w:val="21"/>
                <w14:textFill>
                  <w14:solidFill>
                    <w14:schemeClr w14:val="tx1"/>
                  </w14:solidFill>
                </w14:textFill>
              </w:rPr>
            </w:pPr>
          </w:p>
        </w:tc>
        <w:tc>
          <w:tcPr>
            <w:tcW w:w="1843" w:type="dxa"/>
            <w:vAlign w:val="center"/>
          </w:tcPr>
          <w:p w14:paraId="673803E4">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材料与设备</w:t>
            </w:r>
          </w:p>
        </w:tc>
        <w:tc>
          <w:tcPr>
            <w:tcW w:w="4253" w:type="dxa"/>
            <w:vAlign w:val="center"/>
          </w:tcPr>
          <w:p w14:paraId="6AFA2F4C">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按合同附件3发包人施工管理相关要求</w:t>
            </w:r>
          </w:p>
        </w:tc>
        <w:tc>
          <w:tcPr>
            <w:tcW w:w="708" w:type="dxa"/>
            <w:vAlign w:val="center"/>
          </w:tcPr>
          <w:p w14:paraId="1AF55EEA">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5246E47D">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04B87312">
            <w:pPr>
              <w:spacing w:line="360" w:lineRule="auto"/>
              <w:jc w:val="center"/>
              <w:rPr>
                <w:rFonts w:hint="eastAsia" w:ascii="宋体" w:hAnsi="宋体" w:eastAsia="宋体"/>
                <w:color w:val="000000" w:themeColor="text1"/>
                <w:szCs w:val="21"/>
                <w14:textFill>
                  <w14:solidFill>
                    <w14:schemeClr w14:val="tx1"/>
                  </w14:solidFill>
                </w14:textFill>
              </w:rPr>
            </w:pPr>
          </w:p>
        </w:tc>
      </w:tr>
      <w:tr w14:paraId="543A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651B9FCC">
            <w:pPr>
              <w:spacing w:line="360" w:lineRule="auto"/>
              <w:jc w:val="center"/>
              <w:rPr>
                <w:rFonts w:hint="eastAsia" w:ascii="宋体" w:hAnsi="宋体" w:eastAsia="宋体"/>
                <w:color w:val="000000" w:themeColor="text1"/>
                <w:szCs w:val="21"/>
                <w14:textFill>
                  <w14:solidFill>
                    <w14:schemeClr w14:val="tx1"/>
                  </w14:solidFill>
                </w14:textFill>
              </w:rPr>
            </w:pPr>
          </w:p>
        </w:tc>
        <w:tc>
          <w:tcPr>
            <w:tcW w:w="1843" w:type="dxa"/>
            <w:vAlign w:val="center"/>
          </w:tcPr>
          <w:p w14:paraId="6FCE5469">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工程变更</w:t>
            </w:r>
          </w:p>
        </w:tc>
        <w:tc>
          <w:tcPr>
            <w:tcW w:w="4253" w:type="dxa"/>
            <w:vAlign w:val="center"/>
          </w:tcPr>
          <w:p w14:paraId="59893149">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按合同附件3发包人施工管理相关要求</w:t>
            </w:r>
          </w:p>
        </w:tc>
        <w:tc>
          <w:tcPr>
            <w:tcW w:w="708" w:type="dxa"/>
            <w:vAlign w:val="center"/>
          </w:tcPr>
          <w:p w14:paraId="7F34A225">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213D6379">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4B1DE083">
            <w:pPr>
              <w:spacing w:line="360" w:lineRule="auto"/>
              <w:jc w:val="center"/>
              <w:rPr>
                <w:rFonts w:hint="eastAsia" w:ascii="宋体" w:hAnsi="宋体" w:eastAsia="宋体"/>
                <w:color w:val="000000" w:themeColor="text1"/>
                <w:szCs w:val="21"/>
                <w14:textFill>
                  <w14:solidFill>
                    <w14:schemeClr w14:val="tx1"/>
                  </w14:solidFill>
                </w14:textFill>
              </w:rPr>
            </w:pPr>
          </w:p>
        </w:tc>
      </w:tr>
      <w:tr w14:paraId="551D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73AFDDB9">
            <w:pPr>
              <w:spacing w:line="360" w:lineRule="auto"/>
              <w:jc w:val="center"/>
              <w:rPr>
                <w:rFonts w:hint="eastAsia" w:ascii="宋体" w:hAnsi="宋体" w:eastAsia="宋体"/>
                <w:color w:val="000000" w:themeColor="text1"/>
                <w:szCs w:val="21"/>
                <w14:textFill>
                  <w14:solidFill>
                    <w14:schemeClr w14:val="tx1"/>
                  </w14:solidFill>
                </w14:textFill>
              </w:rPr>
            </w:pPr>
          </w:p>
        </w:tc>
        <w:tc>
          <w:tcPr>
            <w:tcW w:w="1843" w:type="dxa"/>
            <w:vAlign w:val="center"/>
          </w:tcPr>
          <w:p w14:paraId="3CD9E81C">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工程签证</w:t>
            </w:r>
          </w:p>
        </w:tc>
        <w:tc>
          <w:tcPr>
            <w:tcW w:w="4253" w:type="dxa"/>
            <w:vAlign w:val="center"/>
          </w:tcPr>
          <w:p w14:paraId="0EAA5537">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按合同附件3发包人施工管理相关要求</w:t>
            </w:r>
          </w:p>
        </w:tc>
        <w:tc>
          <w:tcPr>
            <w:tcW w:w="708" w:type="dxa"/>
            <w:vAlign w:val="center"/>
          </w:tcPr>
          <w:p w14:paraId="3793C6B1">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3B3A587B">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48613AE7">
            <w:pPr>
              <w:spacing w:line="360" w:lineRule="auto"/>
              <w:jc w:val="center"/>
              <w:rPr>
                <w:rFonts w:hint="eastAsia" w:ascii="宋体" w:hAnsi="宋体" w:eastAsia="宋体"/>
                <w:color w:val="000000" w:themeColor="text1"/>
                <w:szCs w:val="21"/>
                <w14:textFill>
                  <w14:solidFill>
                    <w14:schemeClr w14:val="tx1"/>
                  </w14:solidFill>
                </w14:textFill>
              </w:rPr>
            </w:pPr>
          </w:p>
        </w:tc>
      </w:tr>
      <w:tr w14:paraId="0709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6A2C1E48">
            <w:pPr>
              <w:spacing w:line="360" w:lineRule="auto"/>
              <w:jc w:val="center"/>
              <w:rPr>
                <w:rFonts w:hint="eastAsia" w:ascii="宋体" w:hAnsi="宋体" w:eastAsia="宋体"/>
                <w:color w:val="000000" w:themeColor="text1"/>
                <w:szCs w:val="21"/>
                <w14:textFill>
                  <w14:solidFill>
                    <w14:schemeClr w14:val="tx1"/>
                  </w14:solidFill>
                </w14:textFill>
              </w:rPr>
            </w:pPr>
          </w:p>
        </w:tc>
        <w:tc>
          <w:tcPr>
            <w:tcW w:w="1843" w:type="dxa"/>
            <w:vAlign w:val="center"/>
          </w:tcPr>
          <w:p w14:paraId="3992AF03">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工程量现场收方</w:t>
            </w:r>
          </w:p>
        </w:tc>
        <w:tc>
          <w:tcPr>
            <w:tcW w:w="4253" w:type="dxa"/>
            <w:vAlign w:val="center"/>
          </w:tcPr>
          <w:p w14:paraId="4B50CD6C">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按合同附件3发包人施工管理相关要求</w:t>
            </w:r>
          </w:p>
        </w:tc>
        <w:tc>
          <w:tcPr>
            <w:tcW w:w="708" w:type="dxa"/>
            <w:vAlign w:val="center"/>
          </w:tcPr>
          <w:p w14:paraId="75E57F13">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0048E9C0">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083C2952">
            <w:pPr>
              <w:spacing w:line="360" w:lineRule="auto"/>
              <w:jc w:val="center"/>
              <w:rPr>
                <w:rFonts w:hint="eastAsia" w:ascii="宋体" w:hAnsi="宋体" w:eastAsia="宋体"/>
                <w:color w:val="000000" w:themeColor="text1"/>
                <w:szCs w:val="21"/>
                <w14:textFill>
                  <w14:solidFill>
                    <w14:schemeClr w14:val="tx1"/>
                  </w14:solidFill>
                </w14:textFill>
              </w:rPr>
            </w:pPr>
          </w:p>
        </w:tc>
      </w:tr>
      <w:tr w14:paraId="12A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1F54609C">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竣工阶段</w:t>
            </w:r>
          </w:p>
        </w:tc>
        <w:tc>
          <w:tcPr>
            <w:tcW w:w="1843" w:type="dxa"/>
            <w:vAlign w:val="center"/>
          </w:tcPr>
          <w:p w14:paraId="030B0BEF">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竣工结算</w:t>
            </w:r>
          </w:p>
        </w:tc>
        <w:tc>
          <w:tcPr>
            <w:tcW w:w="4253" w:type="dxa"/>
            <w:vAlign w:val="center"/>
          </w:tcPr>
          <w:p w14:paraId="59D57271">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按合同附件3发包人施工管理相关要求</w:t>
            </w:r>
          </w:p>
        </w:tc>
        <w:tc>
          <w:tcPr>
            <w:tcW w:w="708" w:type="dxa"/>
            <w:vAlign w:val="center"/>
          </w:tcPr>
          <w:p w14:paraId="6C942FBE">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0BF882F0">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57C3EEDA">
            <w:pPr>
              <w:spacing w:line="360" w:lineRule="auto"/>
              <w:jc w:val="center"/>
              <w:rPr>
                <w:rFonts w:hint="eastAsia" w:ascii="宋体" w:hAnsi="宋体" w:eastAsia="宋体"/>
                <w:color w:val="000000" w:themeColor="text1"/>
                <w:szCs w:val="21"/>
                <w14:textFill>
                  <w14:solidFill>
                    <w14:schemeClr w14:val="tx1"/>
                  </w14:solidFill>
                </w14:textFill>
              </w:rPr>
            </w:pPr>
          </w:p>
        </w:tc>
      </w:tr>
      <w:tr w14:paraId="4C2D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60B2D97B">
            <w:pPr>
              <w:spacing w:line="360" w:lineRule="auto"/>
              <w:jc w:val="center"/>
              <w:rPr>
                <w:rFonts w:hint="eastAsia" w:ascii="宋体" w:hAnsi="宋体" w:eastAsia="宋体"/>
                <w:color w:val="000000" w:themeColor="text1"/>
                <w:szCs w:val="21"/>
                <w14:textFill>
                  <w14:solidFill>
                    <w14:schemeClr w14:val="tx1"/>
                  </w14:solidFill>
                </w14:textFill>
              </w:rPr>
            </w:pPr>
          </w:p>
        </w:tc>
        <w:tc>
          <w:tcPr>
            <w:tcW w:w="1843" w:type="dxa"/>
            <w:vAlign w:val="center"/>
          </w:tcPr>
          <w:p w14:paraId="484E1E7F">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*廉政及反商业贿赂方面的情况、其他事项</w:t>
            </w:r>
          </w:p>
        </w:tc>
        <w:tc>
          <w:tcPr>
            <w:tcW w:w="4253" w:type="dxa"/>
            <w:vAlign w:val="center"/>
          </w:tcPr>
          <w:p w14:paraId="77F4CDAB">
            <w:pPr>
              <w:spacing w:line="36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发现有违反廉政及反商业贿赂规定的；在审计过程中发现有违反法律规定，或者有严重违反合同约定的其他事项为较差，如果没有发现的，应划斜杠表示不评价</w:t>
            </w:r>
          </w:p>
        </w:tc>
        <w:tc>
          <w:tcPr>
            <w:tcW w:w="708" w:type="dxa"/>
            <w:vAlign w:val="center"/>
          </w:tcPr>
          <w:p w14:paraId="058309AB">
            <w:pPr>
              <w:spacing w:line="360" w:lineRule="auto"/>
              <w:jc w:val="center"/>
              <w:rPr>
                <w:rFonts w:hint="eastAsia" w:ascii="宋体" w:hAnsi="宋体" w:eastAsia="宋体"/>
                <w:color w:val="000000" w:themeColor="text1"/>
                <w:szCs w:val="21"/>
                <w14:textFill>
                  <w14:solidFill>
                    <w14:schemeClr w14:val="tx1"/>
                  </w14:solidFill>
                </w14:textFill>
              </w:rPr>
            </w:pPr>
          </w:p>
        </w:tc>
        <w:tc>
          <w:tcPr>
            <w:tcW w:w="709" w:type="dxa"/>
            <w:vAlign w:val="center"/>
          </w:tcPr>
          <w:p w14:paraId="0F169202">
            <w:pPr>
              <w:spacing w:line="360" w:lineRule="auto"/>
              <w:jc w:val="center"/>
              <w:rPr>
                <w:rFonts w:hint="eastAsia" w:ascii="宋体" w:hAnsi="宋体" w:eastAsia="宋体"/>
                <w:color w:val="000000" w:themeColor="text1"/>
                <w:szCs w:val="21"/>
                <w14:textFill>
                  <w14:solidFill>
                    <w14:schemeClr w14:val="tx1"/>
                  </w14:solidFill>
                </w14:textFill>
              </w:rPr>
            </w:pPr>
          </w:p>
        </w:tc>
        <w:tc>
          <w:tcPr>
            <w:tcW w:w="702" w:type="dxa"/>
            <w:vAlign w:val="center"/>
          </w:tcPr>
          <w:p w14:paraId="6FEC02A2">
            <w:pPr>
              <w:spacing w:line="360" w:lineRule="auto"/>
              <w:jc w:val="center"/>
              <w:rPr>
                <w:rFonts w:hint="eastAsia" w:ascii="宋体" w:hAnsi="宋体" w:eastAsia="宋体"/>
                <w:color w:val="000000" w:themeColor="text1"/>
                <w:szCs w:val="21"/>
                <w14:textFill>
                  <w14:solidFill>
                    <w14:schemeClr w14:val="tx1"/>
                  </w14:solidFill>
                </w14:textFill>
              </w:rPr>
            </w:pPr>
          </w:p>
        </w:tc>
      </w:tr>
    </w:tbl>
    <w:p w14:paraId="18B52CD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承包人有下列情形之一的，承包人及其项目负责人将被发包人列入“黑名单”，纳入发包人（学校）内部制度管理：</w:t>
      </w:r>
    </w:p>
    <w:p w14:paraId="79854A0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（一）承包人在单次项目施工阶段的考核评价中出现2项以上“较差”的；</w:t>
      </w:r>
    </w:p>
    <w:p w14:paraId="097500C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（二）承包人在累计项目施工阶段的考核评价中出现3项以上“较差”的；</w:t>
      </w:r>
    </w:p>
    <w:p w14:paraId="68AB81D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（三）承包人在累计项目竣工阶段的考核评价中出现3项以上“较差”的；</w:t>
      </w:r>
    </w:p>
    <w:p w14:paraId="16A22EF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（四）承包人在年度考核评价中总体评价为“一般”的；</w:t>
      </w:r>
    </w:p>
    <w:p w14:paraId="66F0833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（五）承包人违反合同约定被解除合同的；</w:t>
      </w:r>
    </w:p>
    <w:p w14:paraId="33E775E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（六）承包人存在违法行为或违反相关制度，损害发包人利益的；</w:t>
      </w:r>
    </w:p>
    <w:p w14:paraId="51A3085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（七）经发现有其他重大违法记录的情形。</w:t>
      </w:r>
    </w:p>
    <w:p w14:paraId="7D21A46A">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3C652074">
      <w:pPr>
        <w:pStyle w:val="4"/>
        <w:jc w:val="left"/>
        <w:rPr>
          <w:rFonts w:hint="eastAsia" w:ascii="宋体" w:hAnsi="宋体" w:eastAsia="宋体"/>
          <w:color w:val="000000" w:themeColor="text1"/>
          <w:sz w:val="28"/>
          <w:szCs w:val="28"/>
          <w14:textFill>
            <w14:solidFill>
              <w14:schemeClr w14:val="tx1"/>
            </w14:solidFill>
          </w14:textFill>
        </w:rPr>
      </w:pPr>
      <w:bookmarkStart w:id="152" w:name="_Toc197530172"/>
      <w:bookmarkStart w:id="153" w:name="_Toc195459497"/>
      <w:r>
        <w:rPr>
          <w:rFonts w:hint="eastAsia" w:ascii="宋体" w:hAnsi="宋体" w:eastAsia="宋体"/>
          <w:color w:val="000000" w:themeColor="text1"/>
          <w:sz w:val="28"/>
          <w:szCs w:val="28"/>
          <w14:textFill>
            <w14:solidFill>
              <w14:schemeClr w14:val="tx1"/>
            </w14:solidFill>
          </w14:textFill>
        </w:rPr>
        <w:t>附件5：履约保函示范文本</w:t>
      </w:r>
      <w:bookmarkEnd w:id="152"/>
      <w:bookmarkEnd w:id="153"/>
    </w:p>
    <w:p w14:paraId="0E9AD1A5">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4694FB3">
      <w:pPr>
        <w:spacing w:line="360" w:lineRule="auto"/>
        <w:jc w:val="center"/>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履约保函示范文本</w:t>
      </w:r>
    </w:p>
    <w:p w14:paraId="37237F0A">
      <w:pPr>
        <w:spacing w:line="360" w:lineRule="auto"/>
        <w:jc w:val="center"/>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（独立保函）</w:t>
      </w:r>
    </w:p>
    <w:p w14:paraId="67CD638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编号：</w:t>
      </w:r>
    </w:p>
    <w:p w14:paraId="4D6FCAB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申请人：</w:t>
      </w:r>
    </w:p>
    <w:p w14:paraId="54BFDF4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p>
    <w:p w14:paraId="5FE5DE7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受益人：</w:t>
      </w:r>
    </w:p>
    <w:p w14:paraId="1093769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p>
    <w:p w14:paraId="043A052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开立人：</w:t>
      </w:r>
    </w:p>
    <w:p w14:paraId="40E58CA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p>
    <w:p w14:paraId="4150CAF0">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38639D8">
      <w:pPr>
        <w:spacing w:line="360" w:lineRule="auto"/>
        <w:rPr>
          <w:rFonts w:hint="eastAsia" w:ascii="宋体" w:hAnsi="宋体" w:eastAsia="宋体"/>
          <w:color w:val="000000" w:themeColor="text1"/>
          <w:szCs w:val="21"/>
          <w14:textFill>
            <w14:solidFill>
              <w14:schemeClr w14:val="tx1"/>
            </w14:solidFill>
          </w14:textFill>
        </w:rPr>
      </w:pPr>
      <w:bookmarkStart w:id="154" w:name="OLE_LINK50"/>
      <w:bookmarkStart w:id="155" w:name="OLE_LINK51"/>
      <w:r>
        <w:rPr>
          <w:rFonts w:ascii="宋体" w:hAnsi="宋体" w:eastAsia="宋体"/>
          <w:color w:val="000000" w:themeColor="text1"/>
          <w:szCs w:val="21"/>
          <w14:textFill>
            <w14:solidFill>
              <w14:schemeClr w14:val="tx1"/>
            </w14:solidFill>
          </w14:textFill>
        </w:rPr>
        <w:t>______</w:t>
      </w:r>
      <w:bookmarkEnd w:id="154"/>
      <w:bookmarkEnd w:id="155"/>
      <w:r>
        <w:rPr>
          <w:rFonts w:hint="eastAsia" w:ascii="宋体" w:hAnsi="宋体" w:eastAsia="宋体"/>
          <w:color w:val="000000" w:themeColor="text1"/>
          <w:szCs w:val="21"/>
          <w14:textFill>
            <w14:solidFill>
              <w14:schemeClr w14:val="tx1"/>
            </w14:solidFill>
          </w14:textFill>
        </w:rPr>
        <w:t>（受益人名称）：</w:t>
      </w:r>
    </w:p>
    <w:p w14:paraId="5F65F97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鉴于</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（以下简称“受益人”）与</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（以下简称“申请人”）于</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日就</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工程（以下简称“本工程”）施工和有关事项协商一致共同签订《</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w:t>
      </w:r>
    </w:p>
    <w:p w14:paraId="661F6C6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一、本保函担保范围：承包人未按照基础合同的约定履行义务，应当向贵方承担的违约责任和赔偿因此造成的损失、利息、律师费、诉讼费用、财产保全费用、强制执行申请费等实现债权的费用。</w:t>
      </w:r>
    </w:p>
    <w:p w14:paraId="5E8F353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二、本保函担保金额最高不超过人民币（大写）</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w:t>
      </w:r>
    </w:p>
    <w:p w14:paraId="36F856F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三、本保函有效期自开立之日起至基础合同约定的缺陷责任期后日止，最迟不超过</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w:t>
      </w:r>
    </w:p>
    <w:p w14:paraId="702E1EF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四、我方承诺，在收到受益人发来的书面付款通知后的</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日内无条件支付，前述书面付款通知即为付款要求之单据，且应满足以下要求：</w:t>
      </w:r>
    </w:p>
    <w:p w14:paraId="346701F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（1）付款通知到达的日期在本保函的有效期内；</w:t>
      </w:r>
    </w:p>
    <w:p w14:paraId="6EC3FDF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（2）载明要求支付的金额；</w:t>
      </w:r>
    </w:p>
    <w:p w14:paraId="6FF3736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（3）载明申请人违反合同义务的条款和内容；</w:t>
      </w:r>
    </w:p>
    <w:p w14:paraId="69A0168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（4）声明不存在合同文件约定或我国法律规定免除申请人或开立人支付责任的情形；</w:t>
      </w:r>
    </w:p>
    <w:p w14:paraId="3D8C411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（5）付款通知应在本保函有效期内到达的地址是：</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w:t>
      </w:r>
    </w:p>
    <w:p w14:paraId="48A9A3E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受益人发出的书面付款通知应由其为鉴明受益人法定代表人（负责人）或授权代理人签字并加盖公章。</w:t>
      </w:r>
    </w:p>
    <w:p w14:paraId="2F010C7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五、本保函项下的权利不得转让，不得设定担保。贵方未经我方书面同意转让本保函或其项下任何权利，对我方不发生法律效力。</w:t>
      </w:r>
    </w:p>
    <w:p w14:paraId="5647F24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六、与本保函有关的基础合同不成立、不生效、无效、被撤销、被解除，不影响本保函的独立有效。</w:t>
      </w:r>
    </w:p>
    <w:p w14:paraId="21260E0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七、贵方应在本保函到期后的七日内将本保函正本退回我方注销，但是不论贵方是否按此要求将本保函正本退回我方，我方在本保函项下的义务和责任均在保函有效期到期后自动消灭。</w:t>
      </w:r>
    </w:p>
    <w:p w14:paraId="4BF49E3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八、本保函适用的法律为中华人民共和国法律，争议裁判管辖地为中华人民共和国</w:t>
      </w:r>
      <w:r>
        <w:rPr>
          <w:rFonts w:hint="eastAsia" w:ascii="宋体" w:hAnsi="宋体" w:eastAsia="宋体"/>
          <w:color w:val="000000" w:themeColor="text1"/>
          <w:szCs w:val="21"/>
          <w:u w:val="single"/>
          <w14:textFill>
            <w14:solidFill>
              <w14:schemeClr w14:val="tx1"/>
            </w14:solidFill>
          </w14:textFill>
        </w:rPr>
        <w:t>广西壮族自治区南宁市西乡塘区</w:t>
      </w:r>
      <w:r>
        <w:rPr>
          <w:rFonts w:hint="eastAsia" w:ascii="宋体" w:hAnsi="宋体" w:eastAsia="宋体"/>
          <w:color w:val="000000" w:themeColor="text1"/>
          <w:szCs w:val="21"/>
          <w14:textFill>
            <w14:solidFill>
              <w14:schemeClr w14:val="tx1"/>
            </w14:solidFill>
          </w14:textFill>
        </w:rPr>
        <w:t>。</w:t>
      </w:r>
    </w:p>
    <w:p w14:paraId="0265CFD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九、本保函自我方法定代表人或授权代表签字并加盖公章之日起生效。</w:t>
      </w:r>
    </w:p>
    <w:p w14:paraId="16E31F4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开立人：</w:t>
      </w:r>
      <w:bookmarkStart w:id="156" w:name="OLE_LINK52"/>
      <w:r>
        <w:rPr>
          <w:rFonts w:ascii="宋体" w:hAnsi="宋体" w:eastAsia="宋体"/>
          <w:color w:val="000000" w:themeColor="text1"/>
          <w:szCs w:val="21"/>
          <w14:textFill>
            <w14:solidFill>
              <w14:schemeClr w14:val="tx1"/>
            </w14:solidFill>
          </w14:textFill>
        </w:rPr>
        <w:t>______</w:t>
      </w:r>
      <w:bookmarkEnd w:id="156"/>
      <w:r>
        <w:rPr>
          <w:rFonts w:hint="eastAsia" w:ascii="宋体" w:hAnsi="宋体" w:eastAsia="宋体"/>
          <w:color w:val="000000" w:themeColor="text1"/>
          <w:szCs w:val="21"/>
          <w14:textFill>
            <w14:solidFill>
              <w14:schemeClr w14:val="tx1"/>
            </w14:solidFill>
          </w14:textFill>
        </w:rPr>
        <w:t>（公章）</w:t>
      </w:r>
    </w:p>
    <w:p w14:paraId="2232EAA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法定代表人（或授权代表）：</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（签字）</w:t>
      </w:r>
    </w:p>
    <w:p w14:paraId="166060E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宋体" w:hAnsi="宋体" w:eastAsia="宋体"/>
          <w:color w:val="000000" w:themeColor="text1"/>
          <w:szCs w:val="21"/>
          <w14:textFill>
            <w14:solidFill>
              <w14:schemeClr w14:val="tx1"/>
            </w14:solidFill>
          </w14:textFill>
        </w:rPr>
        <w:t>______</w:t>
      </w:r>
    </w:p>
    <w:p w14:paraId="0A7186A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邮政编码：</w:t>
      </w:r>
      <w:r>
        <w:rPr>
          <w:rFonts w:ascii="宋体" w:hAnsi="宋体" w:eastAsia="宋体"/>
          <w:color w:val="000000" w:themeColor="text1"/>
          <w:szCs w:val="21"/>
          <w14:textFill>
            <w14:solidFill>
              <w14:schemeClr w14:val="tx1"/>
            </w14:solidFill>
          </w14:textFill>
        </w:rPr>
        <w:t>______</w:t>
      </w:r>
    </w:p>
    <w:p w14:paraId="4046C81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电话：</w:t>
      </w:r>
      <w:r>
        <w:rPr>
          <w:rFonts w:ascii="宋体" w:hAnsi="宋体" w:eastAsia="宋体"/>
          <w:color w:val="000000" w:themeColor="text1"/>
          <w:szCs w:val="21"/>
          <w14:textFill>
            <w14:solidFill>
              <w14:schemeClr w14:val="tx1"/>
            </w14:solidFill>
          </w14:textFill>
        </w:rPr>
        <w:t>______</w:t>
      </w:r>
    </w:p>
    <w:p w14:paraId="7677395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传真：</w:t>
      </w:r>
      <w:r>
        <w:rPr>
          <w:rFonts w:ascii="宋体" w:hAnsi="宋体" w:eastAsia="宋体"/>
          <w:color w:val="000000" w:themeColor="text1"/>
          <w:szCs w:val="21"/>
          <w14:textFill>
            <w14:solidFill>
              <w14:schemeClr w14:val="tx1"/>
            </w14:solidFill>
          </w14:textFill>
        </w:rPr>
        <w:t>______</w:t>
      </w:r>
    </w:p>
    <w:p w14:paraId="56E01C7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开立时间：</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14:textFill>
            <w14:solidFill>
              <w14:schemeClr w14:val="tx1"/>
            </w14:solidFill>
          </w14:textFill>
        </w:rPr>
        <w:t>______</w:t>
      </w:r>
      <w:bookmarkEnd w:id="123"/>
    </w:p>
    <w:p w14:paraId="15C620F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CEC63BF">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3BB8E6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0D539EC7">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BFEEE17">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E00D23A">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08DEE29">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FF674B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CE921F7">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46C9007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8246359">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704200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144E80F2">
      <w:pPr>
        <w:pStyle w:val="2"/>
        <w:jc w:val="center"/>
        <w:rPr>
          <w:color w:val="000000" w:themeColor="text1"/>
          <w14:textFill>
            <w14:solidFill>
              <w14:schemeClr w14:val="tx1"/>
            </w14:solidFill>
          </w14:textFill>
        </w:rPr>
      </w:pPr>
      <w:bookmarkStart w:id="157" w:name="_Toc145955960"/>
      <w:bookmarkStart w:id="158" w:name="_Toc197530174"/>
      <w:r>
        <w:rPr>
          <w:rFonts w:hint="eastAsia"/>
          <w:color w:val="000000" w:themeColor="text1"/>
          <w14:textFill>
            <w14:solidFill>
              <w14:schemeClr w14:val="tx1"/>
            </w14:solidFill>
          </w14:textFill>
        </w:rPr>
        <w:t>第八</w:t>
      </w:r>
      <w:r>
        <w:rPr>
          <w:rFonts w:hint="eastAsia" w:ascii="宋体" w:hAnsi="宋体" w:eastAsia="宋体"/>
          <w:color w:val="000000" w:themeColor="text1"/>
          <w:spacing w:val="100"/>
          <w14:textFill>
            <w14:solidFill>
              <w14:schemeClr w14:val="tx1"/>
            </w14:solidFill>
          </w14:textFill>
        </w:rPr>
        <w:t>章</w:t>
      </w:r>
      <w:r>
        <w:rPr>
          <w:rFonts w:hint="eastAsia"/>
          <w:color w:val="000000" w:themeColor="text1"/>
          <w14:textFill>
            <w14:solidFill>
              <w14:schemeClr w14:val="tx1"/>
            </w14:solidFill>
          </w14:textFill>
        </w:rPr>
        <w:t>质疑、投诉材料格式</w:t>
      </w:r>
      <w:bookmarkEnd w:id="157"/>
      <w:bookmarkEnd w:id="158"/>
    </w:p>
    <w:p w14:paraId="2D5561D2">
      <w:pPr>
        <w:rPr>
          <w:color w:val="000000" w:themeColor="text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27CE9C33">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质疑函（格式）</w:t>
      </w:r>
    </w:p>
    <w:p w14:paraId="3C4B1191">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一、质疑供应商基本信息：</w:t>
      </w:r>
    </w:p>
    <w:p w14:paraId="26EDB4A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质疑供应商：</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14:paraId="08374CD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_______________________________________</w:t>
      </w:r>
    </w:p>
    <w:p w14:paraId="4C8CCC5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联系人：</w:t>
      </w:r>
      <w:r>
        <w:rPr>
          <w:rFonts w:ascii="Times New Roman" w:hAnsi="Times New Roman" w:eastAsia="宋体" w:cs="Times New Roman"/>
          <w:color w:val="000000" w:themeColor="text1"/>
          <w:szCs w:val="21"/>
          <w14:textFill>
            <w14:solidFill>
              <w14:schemeClr w14:val="tx1"/>
            </w14:solidFill>
          </w14:textFill>
        </w:rPr>
        <w:t>____________________________________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w:t>
      </w:r>
    </w:p>
    <w:p w14:paraId="5087404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授权代表：</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14:paraId="6FBAB3F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14:paraId="6898184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14:paraId="2DE913B9">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二、质疑项目基本情况：</w:t>
      </w:r>
    </w:p>
    <w:p w14:paraId="61A65A33">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质疑项目的名称：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w:t>
      </w:r>
    </w:p>
    <w:p w14:paraId="45DF46FF">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质疑项目的编号：</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w:t>
      </w:r>
    </w:p>
    <w:p w14:paraId="21B370C4">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采购人名称：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w:t>
      </w:r>
    </w:p>
    <w:p w14:paraId="7BF9D7A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质疑事项：</w:t>
      </w:r>
    </w:p>
    <w:p w14:paraId="3AD33AA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□采购文件，采购文件获取日期：</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w:t>
      </w:r>
    </w:p>
    <w:p w14:paraId="547EAF0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□采购过程</w:t>
      </w:r>
    </w:p>
    <w:p w14:paraId="1B0D718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□成交结果</w:t>
      </w:r>
    </w:p>
    <w:p w14:paraId="6DC8A3D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三、质疑事项具体内容</w:t>
      </w:r>
    </w:p>
    <w:p w14:paraId="4542C64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质疑事项1：</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14:paraId="2DBE453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事实依据：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14:paraId="77727FF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法律依据：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14:paraId="7EA3DB8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质疑事项2：</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14:paraId="6F2AB2A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14:paraId="54155377">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四、与质疑事项相关的质疑请求：</w:t>
      </w:r>
    </w:p>
    <w:p w14:paraId="512FD41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请求：</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__________________________________________________________________________________</w:t>
      </w:r>
    </w:p>
    <w:p w14:paraId="32E9859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签字（签章）：</w:t>
      </w:r>
      <w:r>
        <w:rPr>
          <w:rFonts w:ascii="Times New Roman" w:hAnsi="Times New Roman" w:eastAsia="宋体" w:cs="Times New Roman"/>
          <w:color w:val="000000" w:themeColor="text1"/>
          <w:szCs w:val="21"/>
          <w14:textFill>
            <w14:solidFill>
              <w14:schemeClr w14:val="tx1"/>
            </w14:solidFill>
          </w14:textFill>
        </w:rPr>
        <w:t>____________________________________</w:t>
      </w:r>
      <w:r>
        <w:rPr>
          <w:rFonts w:hint="eastAsia" w:ascii="宋体" w:hAnsi="宋体" w:eastAsia="宋体"/>
          <w:color w:val="000000" w:themeColor="text1"/>
          <w:szCs w:val="21"/>
          <w14:textFill>
            <w14:solidFill>
              <w14:schemeClr w14:val="tx1"/>
            </w14:solidFill>
          </w14:textFill>
        </w:rPr>
        <w:t>公章：</w:t>
      </w:r>
      <w:r>
        <w:rPr>
          <w:rFonts w:ascii="Times New Roman" w:hAnsi="Times New Roman" w:eastAsia="宋体" w:cs="Times New Roman"/>
          <w:color w:val="000000" w:themeColor="text1"/>
          <w:szCs w:val="21"/>
          <w14:textFill>
            <w14:solidFill>
              <w14:schemeClr w14:val="tx1"/>
            </w14:solidFill>
          </w14:textFill>
        </w:rPr>
        <w:t>___________________________________</w:t>
      </w:r>
    </w:p>
    <w:p w14:paraId="43B629D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w:t>
      </w:r>
    </w:p>
    <w:p w14:paraId="3E7054AE">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说明：</w:t>
      </w:r>
    </w:p>
    <w:p w14:paraId="766D71CC">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1.供应商提出质疑时，应提交质疑函和必要的证明材料。</w:t>
      </w:r>
    </w:p>
    <w:p w14:paraId="5FB3901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AC0BFE">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3.质疑函的质疑事项应具体、明确，并有必要的事实依据和法律依据。</w:t>
      </w:r>
    </w:p>
    <w:p w14:paraId="1154BAE3">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4.质疑函的质疑请求应与质疑事项相关。</w:t>
      </w:r>
    </w:p>
    <w:p w14:paraId="7A923EFF">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5.质疑供应商为法人或者其他组织的，质疑函应由法定代表人、主要负责人，或者其授权代表签字或者盖章，并加盖公章。</w:t>
      </w:r>
    </w:p>
    <w:p w14:paraId="2397651C">
      <w:pPr>
        <w:spacing w:line="360" w:lineRule="auto"/>
        <w:ind w:firstLine="422" w:firstLineChars="200"/>
        <w:rPr>
          <w:rFonts w:hint="eastAsia" w:ascii="宋体" w:hAnsi="宋体" w:eastAsia="宋体"/>
          <w:b/>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0EEE2410">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投诉书（格式）</w:t>
      </w:r>
    </w:p>
    <w:p w14:paraId="60EA37B4">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一、投诉相关主体基本情况：</w:t>
      </w:r>
    </w:p>
    <w:p w14:paraId="1467CF9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14:paraId="6D933CC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14:paraId="448F7A3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法定代表人/主要负责人：</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w:t>
      </w:r>
    </w:p>
    <w:p w14:paraId="4F50FE7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14:paraId="713F6E6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授权代表：</w:t>
      </w:r>
      <w:r>
        <w:rPr>
          <w:rFonts w:ascii="Times New Roman" w:hAnsi="Times New Roman" w:eastAsia="宋体" w:cs="Times New Roman"/>
          <w:color w:val="000000" w:themeColor="text1"/>
          <w:szCs w:val="21"/>
          <w14:textFill>
            <w14:solidFill>
              <w14:schemeClr w14:val="tx1"/>
            </w14:solidFill>
          </w14:textFill>
        </w:rPr>
        <w:t>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w:t>
      </w:r>
    </w:p>
    <w:p w14:paraId="297A53D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14:paraId="54EEEF1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14:paraId="6D562D1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被投诉人1：</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14:paraId="1E0D14B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14:paraId="76DF807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14:paraId="7750884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联系人：</w:t>
      </w:r>
      <w:r>
        <w:rPr>
          <w:rFonts w:ascii="Times New Roman" w:hAnsi="Times New Roman" w:eastAsia="宋体" w:cs="Times New Roman"/>
          <w:color w:val="000000" w:themeColor="text1"/>
          <w:szCs w:val="21"/>
          <w14:textFill>
            <w14:solidFill>
              <w14:schemeClr w14:val="tx1"/>
            </w14:solidFill>
          </w14:textFill>
        </w:rPr>
        <w:t>__________________________________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w:t>
      </w:r>
    </w:p>
    <w:p w14:paraId="678A1D5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被投诉人2：</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14:paraId="38942F9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14:paraId="27F30C1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相关供应商：</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14:paraId="3223FD2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14:paraId="29B4052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联系人：</w:t>
      </w:r>
      <w:r>
        <w:rPr>
          <w:rFonts w:ascii="Times New Roman" w:hAnsi="Times New Roman" w:eastAsia="宋体" w:cs="Times New Roman"/>
          <w:color w:val="000000" w:themeColor="text1"/>
          <w:szCs w:val="21"/>
          <w14:textFill>
            <w14:solidFill>
              <w14:schemeClr w14:val="tx1"/>
            </w14:solidFill>
          </w14:textFill>
        </w:rPr>
        <w:t>__________________________________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w:t>
      </w:r>
    </w:p>
    <w:p w14:paraId="7A379624">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二、投诉项目基本情况：</w:t>
      </w:r>
    </w:p>
    <w:p w14:paraId="4187DA84">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采购项目的名称：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w:t>
      </w:r>
    </w:p>
    <w:p w14:paraId="13D6C21D">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采购项目的编号：</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w:t>
      </w:r>
    </w:p>
    <w:p w14:paraId="30E182F1">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采购人名称：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w:t>
      </w:r>
    </w:p>
    <w:p w14:paraId="56691810">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代理机构名称：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w:t>
      </w:r>
    </w:p>
    <w:p w14:paraId="18CD06B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招标文件公告：</w:t>
      </w:r>
      <w:r>
        <w:rPr>
          <w:rFonts w:hint="eastAsia" w:ascii="宋体" w:hAnsi="宋体" w:eastAsia="宋体"/>
          <w:color w:val="000000" w:themeColor="text1"/>
          <w:szCs w:val="21"/>
          <w:u w:val="single"/>
          <w14:textFill>
            <w14:solidFill>
              <w14:schemeClr w14:val="tx1"/>
            </w14:solidFill>
          </w14:textFill>
        </w:rPr>
        <w:t>是/否</w:t>
      </w:r>
      <w:r>
        <w:rPr>
          <w:rFonts w:hint="eastAsia" w:ascii="宋体" w:hAnsi="宋体" w:eastAsia="宋体"/>
          <w:color w:val="000000" w:themeColor="text1"/>
          <w:szCs w:val="21"/>
          <w14:textFill>
            <w14:solidFill>
              <w14:schemeClr w14:val="tx1"/>
            </w14:solidFill>
          </w14:textFill>
        </w:rPr>
        <w:t>公告期限：</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w:t>
      </w:r>
    </w:p>
    <w:p w14:paraId="0C87595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采购结果公告：是/否公告期限：</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w:t>
      </w:r>
    </w:p>
    <w:p w14:paraId="3F7B6E05">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三、质疑基本情况</w:t>
      </w:r>
    </w:p>
    <w:p w14:paraId="7D38829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投诉人于</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日，向</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提出质疑，质疑事项为：</w:t>
      </w:r>
      <w:r>
        <w:rPr>
          <w:rFonts w:ascii="Times New Roman" w:hAnsi="Times New Roman" w:eastAsia="宋体" w:cs="Times New Roman"/>
          <w:color w:val="000000" w:themeColor="text1"/>
          <w:szCs w:val="21"/>
          <w14:textFill>
            <w14:solidFill>
              <w14:schemeClr w14:val="tx1"/>
            </w14:solidFill>
          </w14:textFill>
        </w:rPr>
        <w:t>_______________________</w:t>
      </w:r>
    </w:p>
    <w:p w14:paraId="7BF7C83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采购人/代理机构</w:t>
      </w:r>
      <w:r>
        <w:rPr>
          <w:rFonts w:hint="eastAsia" w:ascii="宋体" w:hAnsi="宋体" w:eastAsia="宋体"/>
          <w:color w:val="000000" w:themeColor="text1"/>
          <w:szCs w:val="21"/>
          <w14:textFill>
            <w14:solidFill>
              <w14:schemeClr w14:val="tx1"/>
            </w14:solidFill>
          </w14:textFill>
        </w:rPr>
        <w:t>于</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日，就质疑事项作出了答复/没有在法定期限内作出答复。</w:t>
      </w:r>
    </w:p>
    <w:p w14:paraId="6BC866CD">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四、投诉事项具体内容</w:t>
      </w:r>
    </w:p>
    <w:p w14:paraId="021CC6A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投诉事项1：</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14:paraId="24FEAC9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事实依据：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14:paraId="5930239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法律依据：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14:paraId="26D1C5E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投诉事项2：</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14:paraId="58A0E56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14:paraId="2F8EC2F8">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五、与投诉事项相关的投诉请求：</w:t>
      </w:r>
    </w:p>
    <w:p w14:paraId="12DA704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请求：</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14:paraId="6112E308">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2C9C986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签字（签章）：</w:t>
      </w:r>
      <w:r>
        <w:rPr>
          <w:rFonts w:ascii="Times New Roman" w:hAnsi="Times New Roman" w:eastAsia="宋体" w:cs="Times New Roman"/>
          <w:color w:val="000000" w:themeColor="text1"/>
          <w:szCs w:val="21"/>
          <w14:textFill>
            <w14:solidFill>
              <w14:schemeClr w14:val="tx1"/>
            </w14:solidFill>
          </w14:textFill>
        </w:rPr>
        <w:t>___________________________________</w:t>
      </w:r>
      <w:r>
        <w:rPr>
          <w:rFonts w:hint="eastAsia" w:ascii="宋体" w:hAnsi="宋体" w:eastAsia="宋体"/>
          <w:color w:val="000000" w:themeColor="text1"/>
          <w:szCs w:val="21"/>
          <w14:textFill>
            <w14:solidFill>
              <w14:schemeClr w14:val="tx1"/>
            </w14:solidFill>
          </w14:textFill>
        </w:rPr>
        <w:t>公章：</w:t>
      </w:r>
      <w:r>
        <w:rPr>
          <w:rFonts w:ascii="Times New Roman" w:hAnsi="Times New Roman" w:eastAsia="宋体" w:cs="Times New Roman"/>
          <w:color w:val="000000" w:themeColor="text1"/>
          <w:szCs w:val="21"/>
          <w14:textFill>
            <w14:solidFill>
              <w14:schemeClr w14:val="tx1"/>
            </w14:solidFill>
          </w14:textFill>
        </w:rPr>
        <w:t>__________________________________</w:t>
      </w:r>
    </w:p>
    <w:p w14:paraId="0E90645E">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54672AA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w:t>
      </w:r>
    </w:p>
    <w:p w14:paraId="14DC7E4C">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69E5E879">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14:paraId="34145302">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说明：</w:t>
      </w:r>
    </w:p>
    <w:p w14:paraId="0AC14088">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1.投诉人提起投诉时，应当提交投诉书和必要的证明材料，并按照被投诉人和与投诉事项有关的供应商数量提供投诉书副本。</w:t>
      </w:r>
    </w:p>
    <w:p w14:paraId="32D55BDA">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E3187BF">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3.投诉书应简要列明质疑事项，质疑函、质疑答复等作为附件材料提供。</w:t>
      </w:r>
    </w:p>
    <w:p w14:paraId="0D318427">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4.投诉书的投诉事项应具体、明确，并有必要的事实依据和法律依据。</w:t>
      </w:r>
    </w:p>
    <w:p w14:paraId="3FA796DF">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5.投诉书的投诉请求应与投诉事项相关。</w:t>
      </w:r>
    </w:p>
    <w:p w14:paraId="1B53C686">
      <w:pPr>
        <w:spacing w:line="360" w:lineRule="auto"/>
        <w:ind w:firstLine="422"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6.投诉人为法人或者其他组织的，投诉书应由法定代表人、主要负责人，或者其授权代表签字或者盖章，并加盖公章。</w:t>
      </w:r>
    </w:p>
    <w:p w14:paraId="77F3D087">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sectPr>
      <w:pgSz w:w="11906" w:h="16838"/>
      <w:pgMar w:top="1440" w:right="1134"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5BEABDAA-1BE3-4833-B4BF-384A7186A069}"/>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2" w:fontKey="{833A257E-D285-453F-96F8-1E70D97F1801}"/>
  </w:font>
  <w:font w:name="微软雅黑">
    <w:panose1 w:val="020B0503020204020204"/>
    <w:charset w:val="86"/>
    <w:family w:val="swiss"/>
    <w:pitch w:val="default"/>
    <w:sig w:usb0="80000287" w:usb1="2ACF3C50" w:usb2="00000016" w:usb3="00000000" w:csb0="0004001F" w:csb1="00000000"/>
    <w:embedRegular r:id="rId3" w:fontKey="{B0488C67-3735-43A7-9B26-C9C2D1FFCCB4}"/>
  </w:font>
  <w:font w:name="方正小标宋简体">
    <w:panose1 w:val="02010600010101010101"/>
    <w:charset w:val="86"/>
    <w:family w:val="script"/>
    <w:pitch w:val="default"/>
    <w:sig w:usb0="00000001" w:usb1="080E0000" w:usb2="00000000" w:usb3="00000000" w:csb0="00040000" w:csb1="00000000"/>
    <w:embedRegular r:id="rId4" w:fontKey="{0C5894D4-E1E7-4DFB-85E3-D81CDF79F67D}"/>
  </w:font>
  <w:font w:name="WPSEMBED1">
    <w:panose1 w:val="05020102010507070707"/>
    <w:charset w:val="00"/>
    <w:family w:val="auto"/>
    <w:pitch w:val="default"/>
    <w:sig w:usb0="00000000" w:usb1="00000000" w:usb2="00000000" w:usb3="00000000" w:csb0="80000000" w:csb1="00000000"/>
  </w:font>
  <w:font w:name="WPSEMBED2">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5054276"/>
    </w:sdtPr>
    <w:sdtContent>
      <w:p w14:paraId="0B1E55A8">
        <w:pPr>
          <w:pStyle w:val="26"/>
          <w:jc w:val="center"/>
        </w:pPr>
        <w:r>
          <w:fldChar w:fldCharType="begin"/>
        </w:r>
        <w:r>
          <w:instrText xml:space="preserve">PAGE   \* MERGEFORMAT</w:instrText>
        </w:r>
        <w:r>
          <w:fldChar w:fldCharType="separate"/>
        </w:r>
        <w:r>
          <w:rPr>
            <w:lang w:val="zh-CN"/>
          </w:rPr>
          <w:t>2</w:t>
        </w:r>
        <w:r>
          <w:rPr>
            <w:lang w:val="zh-CN"/>
          </w:rPr>
          <w:fldChar w:fldCharType="end"/>
        </w:r>
      </w:p>
    </w:sdtContent>
  </w:sdt>
  <w:p w14:paraId="25C8C5B4">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1213757"/>
    </w:sdtPr>
    <w:sdtContent>
      <w:p w14:paraId="40B69FD2">
        <w:pPr>
          <w:pStyle w:val="26"/>
          <w:jc w:val="center"/>
        </w:pPr>
        <w:r>
          <w:fldChar w:fldCharType="begin"/>
        </w:r>
        <w:r>
          <w:instrText xml:space="preserve">PAGE   \* MERGEFORMAT</w:instrText>
        </w:r>
        <w:r>
          <w:fldChar w:fldCharType="separate"/>
        </w:r>
        <w:r>
          <w:rPr>
            <w:lang w:val="zh-CN"/>
          </w:rPr>
          <w:t>17</w:t>
        </w:r>
        <w:r>
          <w:rPr>
            <w:lang w:val="zh-CN"/>
          </w:rPr>
          <w:fldChar w:fldCharType="end"/>
        </w:r>
      </w:p>
    </w:sdtContent>
  </w:sdt>
  <w:p w14:paraId="391E1E7F">
    <w:pPr>
      <w:pStyle w:val="2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3ZWFlZjMzYTIzYWEzNThmZmUyZWQ0MDdkYWRkYjQifQ=="/>
    <w:docVar w:name="KSO_WPS_MARK_KEY" w:val="4ad9e56a-09ce-4a91-9a4f-480a10e03d06"/>
  </w:docVars>
  <w:rsids>
    <w:rsidRoot w:val="000C7F7F"/>
    <w:rsid w:val="00000469"/>
    <w:rsid w:val="000004B9"/>
    <w:rsid w:val="000011A4"/>
    <w:rsid w:val="00004EBB"/>
    <w:rsid w:val="00006940"/>
    <w:rsid w:val="00006DAB"/>
    <w:rsid w:val="00007965"/>
    <w:rsid w:val="0001238C"/>
    <w:rsid w:val="00012627"/>
    <w:rsid w:val="000129D1"/>
    <w:rsid w:val="00012B78"/>
    <w:rsid w:val="0001356F"/>
    <w:rsid w:val="00013793"/>
    <w:rsid w:val="00014E74"/>
    <w:rsid w:val="00014F88"/>
    <w:rsid w:val="00015887"/>
    <w:rsid w:val="00016881"/>
    <w:rsid w:val="00017946"/>
    <w:rsid w:val="00021A1E"/>
    <w:rsid w:val="00022515"/>
    <w:rsid w:val="00022A56"/>
    <w:rsid w:val="00022D30"/>
    <w:rsid w:val="00023CAD"/>
    <w:rsid w:val="0002404E"/>
    <w:rsid w:val="00027F56"/>
    <w:rsid w:val="00030CE3"/>
    <w:rsid w:val="0003171A"/>
    <w:rsid w:val="00032C31"/>
    <w:rsid w:val="000352BB"/>
    <w:rsid w:val="00035F35"/>
    <w:rsid w:val="000366E0"/>
    <w:rsid w:val="000379ED"/>
    <w:rsid w:val="00037B44"/>
    <w:rsid w:val="00037BE8"/>
    <w:rsid w:val="00037EC6"/>
    <w:rsid w:val="00040A38"/>
    <w:rsid w:val="00041525"/>
    <w:rsid w:val="00042B8A"/>
    <w:rsid w:val="00042D78"/>
    <w:rsid w:val="00043E08"/>
    <w:rsid w:val="0004453A"/>
    <w:rsid w:val="00044767"/>
    <w:rsid w:val="00044B86"/>
    <w:rsid w:val="0004552B"/>
    <w:rsid w:val="00047840"/>
    <w:rsid w:val="000502EA"/>
    <w:rsid w:val="00050367"/>
    <w:rsid w:val="0005091C"/>
    <w:rsid w:val="000515A3"/>
    <w:rsid w:val="00053A1C"/>
    <w:rsid w:val="00053E09"/>
    <w:rsid w:val="00053F5D"/>
    <w:rsid w:val="00054334"/>
    <w:rsid w:val="00054D5C"/>
    <w:rsid w:val="000552B5"/>
    <w:rsid w:val="0005658E"/>
    <w:rsid w:val="000571F6"/>
    <w:rsid w:val="000606A8"/>
    <w:rsid w:val="00061631"/>
    <w:rsid w:val="0006319A"/>
    <w:rsid w:val="00063484"/>
    <w:rsid w:val="000643B6"/>
    <w:rsid w:val="000669EA"/>
    <w:rsid w:val="000669EC"/>
    <w:rsid w:val="000700D0"/>
    <w:rsid w:val="000702E2"/>
    <w:rsid w:val="00071F4E"/>
    <w:rsid w:val="000729FC"/>
    <w:rsid w:val="00072C9A"/>
    <w:rsid w:val="00073735"/>
    <w:rsid w:val="0007675C"/>
    <w:rsid w:val="000774FC"/>
    <w:rsid w:val="00080AAC"/>
    <w:rsid w:val="000813CD"/>
    <w:rsid w:val="000822E5"/>
    <w:rsid w:val="00085705"/>
    <w:rsid w:val="00085AFD"/>
    <w:rsid w:val="00085CA0"/>
    <w:rsid w:val="00085D81"/>
    <w:rsid w:val="00085EBD"/>
    <w:rsid w:val="00086B72"/>
    <w:rsid w:val="000917E3"/>
    <w:rsid w:val="00092B5E"/>
    <w:rsid w:val="0009308B"/>
    <w:rsid w:val="00094A4E"/>
    <w:rsid w:val="00094AB0"/>
    <w:rsid w:val="00095770"/>
    <w:rsid w:val="000A006D"/>
    <w:rsid w:val="000A168D"/>
    <w:rsid w:val="000A2712"/>
    <w:rsid w:val="000A2825"/>
    <w:rsid w:val="000A311E"/>
    <w:rsid w:val="000A545C"/>
    <w:rsid w:val="000B0A69"/>
    <w:rsid w:val="000B281E"/>
    <w:rsid w:val="000B4548"/>
    <w:rsid w:val="000C07C3"/>
    <w:rsid w:val="000C0F7C"/>
    <w:rsid w:val="000C1A45"/>
    <w:rsid w:val="000C2780"/>
    <w:rsid w:val="000C2F38"/>
    <w:rsid w:val="000C3887"/>
    <w:rsid w:val="000C4174"/>
    <w:rsid w:val="000C5656"/>
    <w:rsid w:val="000C7320"/>
    <w:rsid w:val="000C7F7F"/>
    <w:rsid w:val="000D0283"/>
    <w:rsid w:val="000D155E"/>
    <w:rsid w:val="000D18C8"/>
    <w:rsid w:val="000D2025"/>
    <w:rsid w:val="000D4631"/>
    <w:rsid w:val="000D6443"/>
    <w:rsid w:val="000E1743"/>
    <w:rsid w:val="000E4FE8"/>
    <w:rsid w:val="000E5641"/>
    <w:rsid w:val="000E5C09"/>
    <w:rsid w:val="000E6D4B"/>
    <w:rsid w:val="000F0A70"/>
    <w:rsid w:val="000F0A7F"/>
    <w:rsid w:val="000F1C5E"/>
    <w:rsid w:val="000F28CA"/>
    <w:rsid w:val="000F38A4"/>
    <w:rsid w:val="000F53AF"/>
    <w:rsid w:val="000F628E"/>
    <w:rsid w:val="00100362"/>
    <w:rsid w:val="00101F51"/>
    <w:rsid w:val="00102138"/>
    <w:rsid w:val="0010362E"/>
    <w:rsid w:val="00103760"/>
    <w:rsid w:val="00103866"/>
    <w:rsid w:val="0010413E"/>
    <w:rsid w:val="0010422A"/>
    <w:rsid w:val="00104CDF"/>
    <w:rsid w:val="001073FB"/>
    <w:rsid w:val="00111618"/>
    <w:rsid w:val="00112191"/>
    <w:rsid w:val="00112C8E"/>
    <w:rsid w:val="00112FE5"/>
    <w:rsid w:val="0011383D"/>
    <w:rsid w:val="00116490"/>
    <w:rsid w:val="00116797"/>
    <w:rsid w:val="00117831"/>
    <w:rsid w:val="00117DB2"/>
    <w:rsid w:val="00120A35"/>
    <w:rsid w:val="00121B13"/>
    <w:rsid w:val="00123697"/>
    <w:rsid w:val="001238E8"/>
    <w:rsid w:val="001301B9"/>
    <w:rsid w:val="00130270"/>
    <w:rsid w:val="00130DDA"/>
    <w:rsid w:val="001313A1"/>
    <w:rsid w:val="00131D05"/>
    <w:rsid w:val="0013250F"/>
    <w:rsid w:val="00132E24"/>
    <w:rsid w:val="001332A4"/>
    <w:rsid w:val="001353FC"/>
    <w:rsid w:val="00136317"/>
    <w:rsid w:val="00136439"/>
    <w:rsid w:val="00140BE1"/>
    <w:rsid w:val="00141508"/>
    <w:rsid w:val="00143507"/>
    <w:rsid w:val="0014354F"/>
    <w:rsid w:val="00143ACB"/>
    <w:rsid w:val="0014472F"/>
    <w:rsid w:val="00146995"/>
    <w:rsid w:val="00146E1A"/>
    <w:rsid w:val="00147BF3"/>
    <w:rsid w:val="00151C02"/>
    <w:rsid w:val="00151E23"/>
    <w:rsid w:val="00151F3C"/>
    <w:rsid w:val="00154183"/>
    <w:rsid w:val="00155123"/>
    <w:rsid w:val="00156595"/>
    <w:rsid w:val="00156DBE"/>
    <w:rsid w:val="00156E76"/>
    <w:rsid w:val="00157818"/>
    <w:rsid w:val="00160219"/>
    <w:rsid w:val="00161651"/>
    <w:rsid w:val="00161B59"/>
    <w:rsid w:val="00162CCC"/>
    <w:rsid w:val="0016380C"/>
    <w:rsid w:val="00164B7E"/>
    <w:rsid w:val="00164EF5"/>
    <w:rsid w:val="0016537D"/>
    <w:rsid w:val="001663D7"/>
    <w:rsid w:val="00173348"/>
    <w:rsid w:val="00173B3F"/>
    <w:rsid w:val="0017607B"/>
    <w:rsid w:val="00176249"/>
    <w:rsid w:val="001768B4"/>
    <w:rsid w:val="00176BA6"/>
    <w:rsid w:val="00177DF7"/>
    <w:rsid w:val="00184C40"/>
    <w:rsid w:val="001875BE"/>
    <w:rsid w:val="00192389"/>
    <w:rsid w:val="00192A46"/>
    <w:rsid w:val="00192B1B"/>
    <w:rsid w:val="00193AAE"/>
    <w:rsid w:val="001975DF"/>
    <w:rsid w:val="00197CE8"/>
    <w:rsid w:val="00197E44"/>
    <w:rsid w:val="001A0B98"/>
    <w:rsid w:val="001A2403"/>
    <w:rsid w:val="001A3E7A"/>
    <w:rsid w:val="001A480D"/>
    <w:rsid w:val="001A4B74"/>
    <w:rsid w:val="001A513F"/>
    <w:rsid w:val="001A5A95"/>
    <w:rsid w:val="001A5FE1"/>
    <w:rsid w:val="001A66C2"/>
    <w:rsid w:val="001B2B12"/>
    <w:rsid w:val="001B31E4"/>
    <w:rsid w:val="001B5613"/>
    <w:rsid w:val="001B59F5"/>
    <w:rsid w:val="001C037C"/>
    <w:rsid w:val="001C103A"/>
    <w:rsid w:val="001C35C2"/>
    <w:rsid w:val="001C38F8"/>
    <w:rsid w:val="001C6778"/>
    <w:rsid w:val="001C6F3C"/>
    <w:rsid w:val="001C7EA1"/>
    <w:rsid w:val="001C7FBE"/>
    <w:rsid w:val="001D019B"/>
    <w:rsid w:val="001D15C3"/>
    <w:rsid w:val="001D1C3C"/>
    <w:rsid w:val="001D27A3"/>
    <w:rsid w:val="001D5A41"/>
    <w:rsid w:val="001D61D9"/>
    <w:rsid w:val="001D6497"/>
    <w:rsid w:val="001D6FFB"/>
    <w:rsid w:val="001D70D6"/>
    <w:rsid w:val="001D7F4A"/>
    <w:rsid w:val="001D7F9E"/>
    <w:rsid w:val="001E019E"/>
    <w:rsid w:val="001E0399"/>
    <w:rsid w:val="001E15F3"/>
    <w:rsid w:val="001E1DC2"/>
    <w:rsid w:val="001E44D1"/>
    <w:rsid w:val="001E51CD"/>
    <w:rsid w:val="001E5346"/>
    <w:rsid w:val="001E6341"/>
    <w:rsid w:val="001E6897"/>
    <w:rsid w:val="001E7B0F"/>
    <w:rsid w:val="001E7F3C"/>
    <w:rsid w:val="001F179C"/>
    <w:rsid w:val="001F19DD"/>
    <w:rsid w:val="001F28A8"/>
    <w:rsid w:val="001F2919"/>
    <w:rsid w:val="001F2D10"/>
    <w:rsid w:val="001F328E"/>
    <w:rsid w:val="001F3DAB"/>
    <w:rsid w:val="001F503B"/>
    <w:rsid w:val="001F5E77"/>
    <w:rsid w:val="001F60EB"/>
    <w:rsid w:val="001F7363"/>
    <w:rsid w:val="001F76E5"/>
    <w:rsid w:val="001F7863"/>
    <w:rsid w:val="001F7B66"/>
    <w:rsid w:val="001F7BA3"/>
    <w:rsid w:val="0020036A"/>
    <w:rsid w:val="00200ABD"/>
    <w:rsid w:val="0020135E"/>
    <w:rsid w:val="00202239"/>
    <w:rsid w:val="00202838"/>
    <w:rsid w:val="00204068"/>
    <w:rsid w:val="0020527A"/>
    <w:rsid w:val="002064B9"/>
    <w:rsid w:val="0020667A"/>
    <w:rsid w:val="00206F47"/>
    <w:rsid w:val="0020788E"/>
    <w:rsid w:val="0021037A"/>
    <w:rsid w:val="00212C25"/>
    <w:rsid w:val="00213158"/>
    <w:rsid w:val="0021338A"/>
    <w:rsid w:val="0021344A"/>
    <w:rsid w:val="00214155"/>
    <w:rsid w:val="00214510"/>
    <w:rsid w:val="00215964"/>
    <w:rsid w:val="00217D9C"/>
    <w:rsid w:val="00217DE9"/>
    <w:rsid w:val="00217E3B"/>
    <w:rsid w:val="002200B2"/>
    <w:rsid w:val="002200F9"/>
    <w:rsid w:val="00220345"/>
    <w:rsid w:val="00220D89"/>
    <w:rsid w:val="0022117E"/>
    <w:rsid w:val="002218E4"/>
    <w:rsid w:val="00222374"/>
    <w:rsid w:val="00223536"/>
    <w:rsid w:val="00224F30"/>
    <w:rsid w:val="00225ADE"/>
    <w:rsid w:val="00227150"/>
    <w:rsid w:val="0023407E"/>
    <w:rsid w:val="00237652"/>
    <w:rsid w:val="00241DEE"/>
    <w:rsid w:val="00242EBE"/>
    <w:rsid w:val="00247086"/>
    <w:rsid w:val="00250324"/>
    <w:rsid w:val="00250CDA"/>
    <w:rsid w:val="00252301"/>
    <w:rsid w:val="00254821"/>
    <w:rsid w:val="00254D90"/>
    <w:rsid w:val="00255FE9"/>
    <w:rsid w:val="00261435"/>
    <w:rsid w:val="002625C8"/>
    <w:rsid w:val="00263F2E"/>
    <w:rsid w:val="002640DD"/>
    <w:rsid w:val="002642C4"/>
    <w:rsid w:val="0026582D"/>
    <w:rsid w:val="002676D7"/>
    <w:rsid w:val="00267B5A"/>
    <w:rsid w:val="00271BB1"/>
    <w:rsid w:val="00272EF5"/>
    <w:rsid w:val="0027323A"/>
    <w:rsid w:val="00273733"/>
    <w:rsid w:val="00273AC2"/>
    <w:rsid w:val="00273C11"/>
    <w:rsid w:val="002744DA"/>
    <w:rsid w:val="00274962"/>
    <w:rsid w:val="0027680F"/>
    <w:rsid w:val="002806F0"/>
    <w:rsid w:val="00280A07"/>
    <w:rsid w:val="00280A09"/>
    <w:rsid w:val="00280BBF"/>
    <w:rsid w:val="002830A7"/>
    <w:rsid w:val="00283DFC"/>
    <w:rsid w:val="00285CD0"/>
    <w:rsid w:val="0028605C"/>
    <w:rsid w:val="002907F5"/>
    <w:rsid w:val="00290D04"/>
    <w:rsid w:val="00294881"/>
    <w:rsid w:val="002948E4"/>
    <w:rsid w:val="00294B01"/>
    <w:rsid w:val="00294E34"/>
    <w:rsid w:val="002951C9"/>
    <w:rsid w:val="002956A1"/>
    <w:rsid w:val="002963A2"/>
    <w:rsid w:val="002A0559"/>
    <w:rsid w:val="002A1BCA"/>
    <w:rsid w:val="002A4870"/>
    <w:rsid w:val="002A5A68"/>
    <w:rsid w:val="002B0388"/>
    <w:rsid w:val="002B0632"/>
    <w:rsid w:val="002B0FFC"/>
    <w:rsid w:val="002B1CEB"/>
    <w:rsid w:val="002B240D"/>
    <w:rsid w:val="002B3107"/>
    <w:rsid w:val="002B45F2"/>
    <w:rsid w:val="002B4BAB"/>
    <w:rsid w:val="002B4DC1"/>
    <w:rsid w:val="002B655A"/>
    <w:rsid w:val="002B6C6C"/>
    <w:rsid w:val="002B7592"/>
    <w:rsid w:val="002C0360"/>
    <w:rsid w:val="002C0C59"/>
    <w:rsid w:val="002C20A2"/>
    <w:rsid w:val="002C2B39"/>
    <w:rsid w:val="002C2FCB"/>
    <w:rsid w:val="002C3810"/>
    <w:rsid w:val="002C3933"/>
    <w:rsid w:val="002C4432"/>
    <w:rsid w:val="002C46C2"/>
    <w:rsid w:val="002C49A8"/>
    <w:rsid w:val="002C68A1"/>
    <w:rsid w:val="002C6BEF"/>
    <w:rsid w:val="002C7364"/>
    <w:rsid w:val="002C7AD6"/>
    <w:rsid w:val="002D0460"/>
    <w:rsid w:val="002D1097"/>
    <w:rsid w:val="002D1CB0"/>
    <w:rsid w:val="002D263E"/>
    <w:rsid w:val="002D48D9"/>
    <w:rsid w:val="002D5F30"/>
    <w:rsid w:val="002D672E"/>
    <w:rsid w:val="002E0227"/>
    <w:rsid w:val="002E1A6A"/>
    <w:rsid w:val="002E253F"/>
    <w:rsid w:val="002E3C78"/>
    <w:rsid w:val="002E4593"/>
    <w:rsid w:val="002E56CA"/>
    <w:rsid w:val="002E6393"/>
    <w:rsid w:val="002E74D1"/>
    <w:rsid w:val="002F05A7"/>
    <w:rsid w:val="002F08E0"/>
    <w:rsid w:val="002F0AE7"/>
    <w:rsid w:val="002F791F"/>
    <w:rsid w:val="00301E72"/>
    <w:rsid w:val="00302315"/>
    <w:rsid w:val="003024A3"/>
    <w:rsid w:val="00302D4D"/>
    <w:rsid w:val="00302FBF"/>
    <w:rsid w:val="00303CCD"/>
    <w:rsid w:val="003058D0"/>
    <w:rsid w:val="003067DF"/>
    <w:rsid w:val="00311F8D"/>
    <w:rsid w:val="00312D26"/>
    <w:rsid w:val="00313ADB"/>
    <w:rsid w:val="00314860"/>
    <w:rsid w:val="00314A4F"/>
    <w:rsid w:val="00315085"/>
    <w:rsid w:val="00315C04"/>
    <w:rsid w:val="00317320"/>
    <w:rsid w:val="00317EC8"/>
    <w:rsid w:val="003208C7"/>
    <w:rsid w:val="00323FD6"/>
    <w:rsid w:val="0032409F"/>
    <w:rsid w:val="00324364"/>
    <w:rsid w:val="00324394"/>
    <w:rsid w:val="00324D76"/>
    <w:rsid w:val="00325118"/>
    <w:rsid w:val="00325140"/>
    <w:rsid w:val="00326069"/>
    <w:rsid w:val="00326BB4"/>
    <w:rsid w:val="00326C6E"/>
    <w:rsid w:val="00330195"/>
    <w:rsid w:val="00330AA4"/>
    <w:rsid w:val="00333331"/>
    <w:rsid w:val="00334978"/>
    <w:rsid w:val="003353CD"/>
    <w:rsid w:val="00341CBC"/>
    <w:rsid w:val="0034215D"/>
    <w:rsid w:val="00343073"/>
    <w:rsid w:val="00343A92"/>
    <w:rsid w:val="003460A2"/>
    <w:rsid w:val="0034689C"/>
    <w:rsid w:val="003479E9"/>
    <w:rsid w:val="003502D7"/>
    <w:rsid w:val="00350311"/>
    <w:rsid w:val="003523D0"/>
    <w:rsid w:val="00355D2C"/>
    <w:rsid w:val="003566B8"/>
    <w:rsid w:val="00356F57"/>
    <w:rsid w:val="003572E6"/>
    <w:rsid w:val="00357A65"/>
    <w:rsid w:val="003605B8"/>
    <w:rsid w:val="00361F7E"/>
    <w:rsid w:val="003625C1"/>
    <w:rsid w:val="00364104"/>
    <w:rsid w:val="00371037"/>
    <w:rsid w:val="00371177"/>
    <w:rsid w:val="00374152"/>
    <w:rsid w:val="0037434D"/>
    <w:rsid w:val="00375345"/>
    <w:rsid w:val="00375443"/>
    <w:rsid w:val="00375487"/>
    <w:rsid w:val="003754DE"/>
    <w:rsid w:val="003763CF"/>
    <w:rsid w:val="003767E9"/>
    <w:rsid w:val="00376B5D"/>
    <w:rsid w:val="00377C17"/>
    <w:rsid w:val="00380CDD"/>
    <w:rsid w:val="00380D18"/>
    <w:rsid w:val="00383774"/>
    <w:rsid w:val="00383DA5"/>
    <w:rsid w:val="00386BBA"/>
    <w:rsid w:val="00386E6E"/>
    <w:rsid w:val="00387293"/>
    <w:rsid w:val="00390C6A"/>
    <w:rsid w:val="00394AC8"/>
    <w:rsid w:val="00395110"/>
    <w:rsid w:val="00395366"/>
    <w:rsid w:val="003965ED"/>
    <w:rsid w:val="0039758D"/>
    <w:rsid w:val="003A230E"/>
    <w:rsid w:val="003A2DEA"/>
    <w:rsid w:val="003A3335"/>
    <w:rsid w:val="003A3B44"/>
    <w:rsid w:val="003A4363"/>
    <w:rsid w:val="003A7A1D"/>
    <w:rsid w:val="003A7C22"/>
    <w:rsid w:val="003B1AE5"/>
    <w:rsid w:val="003C1B67"/>
    <w:rsid w:val="003C1D3A"/>
    <w:rsid w:val="003C2742"/>
    <w:rsid w:val="003C51C7"/>
    <w:rsid w:val="003C6C5E"/>
    <w:rsid w:val="003C7641"/>
    <w:rsid w:val="003C782D"/>
    <w:rsid w:val="003C7917"/>
    <w:rsid w:val="003D2D13"/>
    <w:rsid w:val="003D3148"/>
    <w:rsid w:val="003D4E1A"/>
    <w:rsid w:val="003D5004"/>
    <w:rsid w:val="003D5F73"/>
    <w:rsid w:val="003E0EA2"/>
    <w:rsid w:val="003E126B"/>
    <w:rsid w:val="003E1509"/>
    <w:rsid w:val="003E15DD"/>
    <w:rsid w:val="003E18D1"/>
    <w:rsid w:val="003E1CC7"/>
    <w:rsid w:val="003E2568"/>
    <w:rsid w:val="003E2D04"/>
    <w:rsid w:val="003E3F6C"/>
    <w:rsid w:val="003E40A5"/>
    <w:rsid w:val="003E5EBC"/>
    <w:rsid w:val="003E708F"/>
    <w:rsid w:val="003E7E45"/>
    <w:rsid w:val="003E7F72"/>
    <w:rsid w:val="003F158B"/>
    <w:rsid w:val="003F1C9D"/>
    <w:rsid w:val="003F213F"/>
    <w:rsid w:val="003F2BC4"/>
    <w:rsid w:val="003F4451"/>
    <w:rsid w:val="003F4BAF"/>
    <w:rsid w:val="003F5B0D"/>
    <w:rsid w:val="003F69C1"/>
    <w:rsid w:val="003F7DDF"/>
    <w:rsid w:val="004009D6"/>
    <w:rsid w:val="00401148"/>
    <w:rsid w:val="004018C1"/>
    <w:rsid w:val="00402CF9"/>
    <w:rsid w:val="0040450C"/>
    <w:rsid w:val="00405780"/>
    <w:rsid w:val="00407D19"/>
    <w:rsid w:val="00410A5A"/>
    <w:rsid w:val="00410DAB"/>
    <w:rsid w:val="004135BC"/>
    <w:rsid w:val="004172EA"/>
    <w:rsid w:val="00417F55"/>
    <w:rsid w:val="00420432"/>
    <w:rsid w:val="00421063"/>
    <w:rsid w:val="004223D1"/>
    <w:rsid w:val="0042291D"/>
    <w:rsid w:val="004233D9"/>
    <w:rsid w:val="00425024"/>
    <w:rsid w:val="0042568C"/>
    <w:rsid w:val="0042627D"/>
    <w:rsid w:val="00426CD1"/>
    <w:rsid w:val="00430A18"/>
    <w:rsid w:val="00431A38"/>
    <w:rsid w:val="00432788"/>
    <w:rsid w:val="00433393"/>
    <w:rsid w:val="00435697"/>
    <w:rsid w:val="004364AC"/>
    <w:rsid w:val="00442632"/>
    <w:rsid w:val="004435DD"/>
    <w:rsid w:val="0044483A"/>
    <w:rsid w:val="00445A20"/>
    <w:rsid w:val="004460B2"/>
    <w:rsid w:val="00446CE5"/>
    <w:rsid w:val="00446E44"/>
    <w:rsid w:val="00447FE9"/>
    <w:rsid w:val="00450FC4"/>
    <w:rsid w:val="00451052"/>
    <w:rsid w:val="00451D08"/>
    <w:rsid w:val="00451FB0"/>
    <w:rsid w:val="00451FB4"/>
    <w:rsid w:val="0045386A"/>
    <w:rsid w:val="004548AD"/>
    <w:rsid w:val="00454F4B"/>
    <w:rsid w:val="004556D1"/>
    <w:rsid w:val="00455767"/>
    <w:rsid w:val="0045657A"/>
    <w:rsid w:val="00457444"/>
    <w:rsid w:val="004608FD"/>
    <w:rsid w:val="004611C3"/>
    <w:rsid w:val="004615E5"/>
    <w:rsid w:val="0046311F"/>
    <w:rsid w:val="00463A33"/>
    <w:rsid w:val="00464782"/>
    <w:rsid w:val="004672E6"/>
    <w:rsid w:val="00467B37"/>
    <w:rsid w:val="00470299"/>
    <w:rsid w:val="004707CF"/>
    <w:rsid w:val="00470CEA"/>
    <w:rsid w:val="004716E0"/>
    <w:rsid w:val="00472D7E"/>
    <w:rsid w:val="0047366E"/>
    <w:rsid w:val="004744A2"/>
    <w:rsid w:val="00474D3C"/>
    <w:rsid w:val="00474DF2"/>
    <w:rsid w:val="004756D9"/>
    <w:rsid w:val="00477055"/>
    <w:rsid w:val="0047779A"/>
    <w:rsid w:val="00480129"/>
    <w:rsid w:val="00480B88"/>
    <w:rsid w:val="00481D5D"/>
    <w:rsid w:val="00482AD5"/>
    <w:rsid w:val="00482DF8"/>
    <w:rsid w:val="00483DEA"/>
    <w:rsid w:val="00485D65"/>
    <w:rsid w:val="00485E6A"/>
    <w:rsid w:val="004865B9"/>
    <w:rsid w:val="0049278B"/>
    <w:rsid w:val="0049288F"/>
    <w:rsid w:val="00492E3F"/>
    <w:rsid w:val="00493A1B"/>
    <w:rsid w:val="00494839"/>
    <w:rsid w:val="00494935"/>
    <w:rsid w:val="004958B9"/>
    <w:rsid w:val="004A0D52"/>
    <w:rsid w:val="004A0D92"/>
    <w:rsid w:val="004A0F32"/>
    <w:rsid w:val="004A1FAD"/>
    <w:rsid w:val="004A25C8"/>
    <w:rsid w:val="004A3C9F"/>
    <w:rsid w:val="004A4263"/>
    <w:rsid w:val="004A7174"/>
    <w:rsid w:val="004B14E7"/>
    <w:rsid w:val="004B1C35"/>
    <w:rsid w:val="004B1F18"/>
    <w:rsid w:val="004B2C63"/>
    <w:rsid w:val="004B340A"/>
    <w:rsid w:val="004B4C58"/>
    <w:rsid w:val="004B5263"/>
    <w:rsid w:val="004B53B0"/>
    <w:rsid w:val="004B553B"/>
    <w:rsid w:val="004B5706"/>
    <w:rsid w:val="004B7B2B"/>
    <w:rsid w:val="004B7DE1"/>
    <w:rsid w:val="004C0922"/>
    <w:rsid w:val="004C1374"/>
    <w:rsid w:val="004C1E47"/>
    <w:rsid w:val="004C21F3"/>
    <w:rsid w:val="004C3D62"/>
    <w:rsid w:val="004C6136"/>
    <w:rsid w:val="004C69D9"/>
    <w:rsid w:val="004C6BB2"/>
    <w:rsid w:val="004C73D8"/>
    <w:rsid w:val="004D01E2"/>
    <w:rsid w:val="004D04D7"/>
    <w:rsid w:val="004D0C86"/>
    <w:rsid w:val="004D16C6"/>
    <w:rsid w:val="004D23FE"/>
    <w:rsid w:val="004D2A48"/>
    <w:rsid w:val="004D3CDD"/>
    <w:rsid w:val="004D4C4E"/>
    <w:rsid w:val="004D5879"/>
    <w:rsid w:val="004D5ED4"/>
    <w:rsid w:val="004D6A7A"/>
    <w:rsid w:val="004E084C"/>
    <w:rsid w:val="004E1353"/>
    <w:rsid w:val="004E3217"/>
    <w:rsid w:val="004E3FCA"/>
    <w:rsid w:val="004E450B"/>
    <w:rsid w:val="004E5515"/>
    <w:rsid w:val="004E5ADD"/>
    <w:rsid w:val="004E5FF4"/>
    <w:rsid w:val="004E6ADF"/>
    <w:rsid w:val="004E7187"/>
    <w:rsid w:val="004E74B1"/>
    <w:rsid w:val="004E7665"/>
    <w:rsid w:val="004F2AF5"/>
    <w:rsid w:val="004F377A"/>
    <w:rsid w:val="004F3E76"/>
    <w:rsid w:val="004F516F"/>
    <w:rsid w:val="004F64C8"/>
    <w:rsid w:val="004F7573"/>
    <w:rsid w:val="004F7AEF"/>
    <w:rsid w:val="004F7B6A"/>
    <w:rsid w:val="00501EE6"/>
    <w:rsid w:val="00502DDA"/>
    <w:rsid w:val="00504545"/>
    <w:rsid w:val="00504C90"/>
    <w:rsid w:val="00506613"/>
    <w:rsid w:val="00511DD9"/>
    <w:rsid w:val="00513230"/>
    <w:rsid w:val="00515CBF"/>
    <w:rsid w:val="005164F5"/>
    <w:rsid w:val="00517202"/>
    <w:rsid w:val="00521928"/>
    <w:rsid w:val="005240BE"/>
    <w:rsid w:val="00524D7E"/>
    <w:rsid w:val="0052502B"/>
    <w:rsid w:val="0052555D"/>
    <w:rsid w:val="00527AD1"/>
    <w:rsid w:val="005325CD"/>
    <w:rsid w:val="0053290D"/>
    <w:rsid w:val="00533071"/>
    <w:rsid w:val="00535FBD"/>
    <w:rsid w:val="00537FD2"/>
    <w:rsid w:val="00540BD1"/>
    <w:rsid w:val="00540D91"/>
    <w:rsid w:val="0054176D"/>
    <w:rsid w:val="00544140"/>
    <w:rsid w:val="0054486B"/>
    <w:rsid w:val="00546486"/>
    <w:rsid w:val="00546CCE"/>
    <w:rsid w:val="005503AF"/>
    <w:rsid w:val="0055059C"/>
    <w:rsid w:val="00552D6F"/>
    <w:rsid w:val="00553547"/>
    <w:rsid w:val="005546D1"/>
    <w:rsid w:val="005547C6"/>
    <w:rsid w:val="0055566D"/>
    <w:rsid w:val="0055668E"/>
    <w:rsid w:val="0055711A"/>
    <w:rsid w:val="0056002B"/>
    <w:rsid w:val="00562BC3"/>
    <w:rsid w:val="005650CC"/>
    <w:rsid w:val="005669AF"/>
    <w:rsid w:val="0056780A"/>
    <w:rsid w:val="00567D4B"/>
    <w:rsid w:val="00567E67"/>
    <w:rsid w:val="00570832"/>
    <w:rsid w:val="00570B4C"/>
    <w:rsid w:val="00573DD5"/>
    <w:rsid w:val="0057471C"/>
    <w:rsid w:val="0057680F"/>
    <w:rsid w:val="00577BCC"/>
    <w:rsid w:val="0058055B"/>
    <w:rsid w:val="00581B50"/>
    <w:rsid w:val="0058398D"/>
    <w:rsid w:val="00583A4B"/>
    <w:rsid w:val="00584E7A"/>
    <w:rsid w:val="00585C99"/>
    <w:rsid w:val="005868A5"/>
    <w:rsid w:val="005869F2"/>
    <w:rsid w:val="0058792F"/>
    <w:rsid w:val="00587C87"/>
    <w:rsid w:val="00590D41"/>
    <w:rsid w:val="0059178A"/>
    <w:rsid w:val="00592CAF"/>
    <w:rsid w:val="00594739"/>
    <w:rsid w:val="005956E0"/>
    <w:rsid w:val="00596811"/>
    <w:rsid w:val="005A031C"/>
    <w:rsid w:val="005A1BF2"/>
    <w:rsid w:val="005A2455"/>
    <w:rsid w:val="005A353B"/>
    <w:rsid w:val="005A3BE5"/>
    <w:rsid w:val="005A417B"/>
    <w:rsid w:val="005A6198"/>
    <w:rsid w:val="005A620B"/>
    <w:rsid w:val="005B02CC"/>
    <w:rsid w:val="005B1E97"/>
    <w:rsid w:val="005B2424"/>
    <w:rsid w:val="005B2F6D"/>
    <w:rsid w:val="005B329B"/>
    <w:rsid w:val="005B3520"/>
    <w:rsid w:val="005B384B"/>
    <w:rsid w:val="005B4FCB"/>
    <w:rsid w:val="005B66B4"/>
    <w:rsid w:val="005B6ADC"/>
    <w:rsid w:val="005B7AF4"/>
    <w:rsid w:val="005B7EF8"/>
    <w:rsid w:val="005C13C0"/>
    <w:rsid w:val="005C18AF"/>
    <w:rsid w:val="005C22CD"/>
    <w:rsid w:val="005C4197"/>
    <w:rsid w:val="005C4275"/>
    <w:rsid w:val="005C5AA8"/>
    <w:rsid w:val="005C68AF"/>
    <w:rsid w:val="005C6DE3"/>
    <w:rsid w:val="005D2888"/>
    <w:rsid w:val="005D44F3"/>
    <w:rsid w:val="005D4D38"/>
    <w:rsid w:val="005D564D"/>
    <w:rsid w:val="005D58E1"/>
    <w:rsid w:val="005D78CA"/>
    <w:rsid w:val="005D7ACA"/>
    <w:rsid w:val="005D7D3E"/>
    <w:rsid w:val="005D7F71"/>
    <w:rsid w:val="005E0016"/>
    <w:rsid w:val="005E1924"/>
    <w:rsid w:val="005E2AD2"/>
    <w:rsid w:val="005E466A"/>
    <w:rsid w:val="005E50C2"/>
    <w:rsid w:val="005E5D14"/>
    <w:rsid w:val="005E5F43"/>
    <w:rsid w:val="005F078E"/>
    <w:rsid w:val="005F0BFF"/>
    <w:rsid w:val="005F1FC0"/>
    <w:rsid w:val="005F2106"/>
    <w:rsid w:val="005F2A43"/>
    <w:rsid w:val="005F4FEC"/>
    <w:rsid w:val="005F5924"/>
    <w:rsid w:val="005F5CA6"/>
    <w:rsid w:val="005F6E7B"/>
    <w:rsid w:val="0060229E"/>
    <w:rsid w:val="00602C83"/>
    <w:rsid w:val="00604CF9"/>
    <w:rsid w:val="006110C8"/>
    <w:rsid w:val="00612922"/>
    <w:rsid w:val="00613E15"/>
    <w:rsid w:val="00615419"/>
    <w:rsid w:val="00615A83"/>
    <w:rsid w:val="006163D8"/>
    <w:rsid w:val="00616E99"/>
    <w:rsid w:val="00617B20"/>
    <w:rsid w:val="00620751"/>
    <w:rsid w:val="00622A28"/>
    <w:rsid w:val="0062415A"/>
    <w:rsid w:val="00625FA9"/>
    <w:rsid w:val="006261C5"/>
    <w:rsid w:val="0062628A"/>
    <w:rsid w:val="00626D67"/>
    <w:rsid w:val="00626E71"/>
    <w:rsid w:val="00627E09"/>
    <w:rsid w:val="006327FE"/>
    <w:rsid w:val="00632CE1"/>
    <w:rsid w:val="006340DA"/>
    <w:rsid w:val="00634713"/>
    <w:rsid w:val="006347B2"/>
    <w:rsid w:val="00636454"/>
    <w:rsid w:val="0063724A"/>
    <w:rsid w:val="006414A2"/>
    <w:rsid w:val="0064260F"/>
    <w:rsid w:val="00642DDE"/>
    <w:rsid w:val="00643DE3"/>
    <w:rsid w:val="00644880"/>
    <w:rsid w:val="00645B6D"/>
    <w:rsid w:val="00646EA3"/>
    <w:rsid w:val="00647226"/>
    <w:rsid w:val="0065105C"/>
    <w:rsid w:val="0065391C"/>
    <w:rsid w:val="006540A7"/>
    <w:rsid w:val="00656ABA"/>
    <w:rsid w:val="0066085D"/>
    <w:rsid w:val="00660F7A"/>
    <w:rsid w:val="006619E7"/>
    <w:rsid w:val="0066235F"/>
    <w:rsid w:val="00662774"/>
    <w:rsid w:val="00662877"/>
    <w:rsid w:val="00662CF2"/>
    <w:rsid w:val="00663B2E"/>
    <w:rsid w:val="00664C15"/>
    <w:rsid w:val="00664F8B"/>
    <w:rsid w:val="00665018"/>
    <w:rsid w:val="006651E5"/>
    <w:rsid w:val="006658DA"/>
    <w:rsid w:val="00666034"/>
    <w:rsid w:val="00670D58"/>
    <w:rsid w:val="00672B2F"/>
    <w:rsid w:val="00672E84"/>
    <w:rsid w:val="006746AC"/>
    <w:rsid w:val="00674A06"/>
    <w:rsid w:val="00674E11"/>
    <w:rsid w:val="006752EA"/>
    <w:rsid w:val="00676DB0"/>
    <w:rsid w:val="006824AA"/>
    <w:rsid w:val="006825D4"/>
    <w:rsid w:val="00682781"/>
    <w:rsid w:val="00685F09"/>
    <w:rsid w:val="00690684"/>
    <w:rsid w:val="006923D2"/>
    <w:rsid w:val="0069452B"/>
    <w:rsid w:val="006945FF"/>
    <w:rsid w:val="00694DB0"/>
    <w:rsid w:val="00695072"/>
    <w:rsid w:val="00695470"/>
    <w:rsid w:val="00696538"/>
    <w:rsid w:val="00696873"/>
    <w:rsid w:val="006A07AE"/>
    <w:rsid w:val="006A2117"/>
    <w:rsid w:val="006A27F5"/>
    <w:rsid w:val="006A3C76"/>
    <w:rsid w:val="006A5932"/>
    <w:rsid w:val="006A60F5"/>
    <w:rsid w:val="006A7CAC"/>
    <w:rsid w:val="006B1231"/>
    <w:rsid w:val="006B18A0"/>
    <w:rsid w:val="006B1F85"/>
    <w:rsid w:val="006B1FD2"/>
    <w:rsid w:val="006B2E17"/>
    <w:rsid w:val="006B4FF1"/>
    <w:rsid w:val="006B55D2"/>
    <w:rsid w:val="006B6437"/>
    <w:rsid w:val="006B79F3"/>
    <w:rsid w:val="006C11A9"/>
    <w:rsid w:val="006C242D"/>
    <w:rsid w:val="006C3018"/>
    <w:rsid w:val="006C31F6"/>
    <w:rsid w:val="006C4D6C"/>
    <w:rsid w:val="006C596D"/>
    <w:rsid w:val="006C7CA1"/>
    <w:rsid w:val="006D011E"/>
    <w:rsid w:val="006D1552"/>
    <w:rsid w:val="006D15B9"/>
    <w:rsid w:val="006D2914"/>
    <w:rsid w:val="006D2B17"/>
    <w:rsid w:val="006D30B6"/>
    <w:rsid w:val="006D4351"/>
    <w:rsid w:val="006D5BF7"/>
    <w:rsid w:val="006D6093"/>
    <w:rsid w:val="006D64BE"/>
    <w:rsid w:val="006E0044"/>
    <w:rsid w:val="006E1E73"/>
    <w:rsid w:val="006E2BDC"/>
    <w:rsid w:val="006E313E"/>
    <w:rsid w:val="006E35D8"/>
    <w:rsid w:val="006E3A6C"/>
    <w:rsid w:val="006E4BC2"/>
    <w:rsid w:val="006E53FD"/>
    <w:rsid w:val="006E61CF"/>
    <w:rsid w:val="006E70F1"/>
    <w:rsid w:val="006E73EC"/>
    <w:rsid w:val="006F4316"/>
    <w:rsid w:val="006F4B22"/>
    <w:rsid w:val="006F51AD"/>
    <w:rsid w:val="006F5EB6"/>
    <w:rsid w:val="006F613A"/>
    <w:rsid w:val="006F6631"/>
    <w:rsid w:val="007005D0"/>
    <w:rsid w:val="00700A50"/>
    <w:rsid w:val="00700DEF"/>
    <w:rsid w:val="00701502"/>
    <w:rsid w:val="007017B4"/>
    <w:rsid w:val="00702416"/>
    <w:rsid w:val="00702458"/>
    <w:rsid w:val="00703060"/>
    <w:rsid w:val="00706D40"/>
    <w:rsid w:val="007119ED"/>
    <w:rsid w:val="0071231A"/>
    <w:rsid w:val="007129E7"/>
    <w:rsid w:val="00713AF0"/>
    <w:rsid w:val="007146B5"/>
    <w:rsid w:val="007153D7"/>
    <w:rsid w:val="007157A0"/>
    <w:rsid w:val="00716AB6"/>
    <w:rsid w:val="00716AEC"/>
    <w:rsid w:val="00717C66"/>
    <w:rsid w:val="00717E4B"/>
    <w:rsid w:val="007218BD"/>
    <w:rsid w:val="00721C86"/>
    <w:rsid w:val="00721FA8"/>
    <w:rsid w:val="007239BB"/>
    <w:rsid w:val="00726780"/>
    <w:rsid w:val="00726B3B"/>
    <w:rsid w:val="00726CF1"/>
    <w:rsid w:val="007315E7"/>
    <w:rsid w:val="00732D2F"/>
    <w:rsid w:val="0073317B"/>
    <w:rsid w:val="00733F55"/>
    <w:rsid w:val="00736E89"/>
    <w:rsid w:val="007408CD"/>
    <w:rsid w:val="00741308"/>
    <w:rsid w:val="0074166D"/>
    <w:rsid w:val="00741781"/>
    <w:rsid w:val="00741BE8"/>
    <w:rsid w:val="0074675C"/>
    <w:rsid w:val="00750282"/>
    <w:rsid w:val="007522E7"/>
    <w:rsid w:val="00752CF2"/>
    <w:rsid w:val="00752E63"/>
    <w:rsid w:val="00756EBF"/>
    <w:rsid w:val="00760AB5"/>
    <w:rsid w:val="00760F02"/>
    <w:rsid w:val="00761EA6"/>
    <w:rsid w:val="00762206"/>
    <w:rsid w:val="00762387"/>
    <w:rsid w:val="007647AC"/>
    <w:rsid w:val="00764C09"/>
    <w:rsid w:val="00764ED9"/>
    <w:rsid w:val="00765CCF"/>
    <w:rsid w:val="007666DC"/>
    <w:rsid w:val="00766C01"/>
    <w:rsid w:val="007705B1"/>
    <w:rsid w:val="0077151A"/>
    <w:rsid w:val="00773261"/>
    <w:rsid w:val="00775277"/>
    <w:rsid w:val="00777140"/>
    <w:rsid w:val="00780240"/>
    <w:rsid w:val="00783D45"/>
    <w:rsid w:val="00786254"/>
    <w:rsid w:val="00790007"/>
    <w:rsid w:val="00790CAC"/>
    <w:rsid w:val="00793F11"/>
    <w:rsid w:val="00795169"/>
    <w:rsid w:val="007953A0"/>
    <w:rsid w:val="00796061"/>
    <w:rsid w:val="007961F2"/>
    <w:rsid w:val="007965F2"/>
    <w:rsid w:val="0079781D"/>
    <w:rsid w:val="007A0276"/>
    <w:rsid w:val="007A033C"/>
    <w:rsid w:val="007A0C35"/>
    <w:rsid w:val="007A0FDA"/>
    <w:rsid w:val="007A2DFF"/>
    <w:rsid w:val="007A35D8"/>
    <w:rsid w:val="007A3C14"/>
    <w:rsid w:val="007A3E1A"/>
    <w:rsid w:val="007A6350"/>
    <w:rsid w:val="007A65A9"/>
    <w:rsid w:val="007B1FF2"/>
    <w:rsid w:val="007B2FBC"/>
    <w:rsid w:val="007B431B"/>
    <w:rsid w:val="007B44E8"/>
    <w:rsid w:val="007B4F68"/>
    <w:rsid w:val="007B5FC6"/>
    <w:rsid w:val="007B7CA2"/>
    <w:rsid w:val="007C01E6"/>
    <w:rsid w:val="007C2076"/>
    <w:rsid w:val="007C3F15"/>
    <w:rsid w:val="007C4BE1"/>
    <w:rsid w:val="007C503F"/>
    <w:rsid w:val="007C5E2C"/>
    <w:rsid w:val="007C6489"/>
    <w:rsid w:val="007D01E5"/>
    <w:rsid w:val="007D0221"/>
    <w:rsid w:val="007D047C"/>
    <w:rsid w:val="007D1DEB"/>
    <w:rsid w:val="007D3453"/>
    <w:rsid w:val="007D4483"/>
    <w:rsid w:val="007D7BBF"/>
    <w:rsid w:val="007E183F"/>
    <w:rsid w:val="007E2843"/>
    <w:rsid w:val="007E52A9"/>
    <w:rsid w:val="007E5508"/>
    <w:rsid w:val="007E5EB7"/>
    <w:rsid w:val="007E6D4E"/>
    <w:rsid w:val="007F1EB2"/>
    <w:rsid w:val="007F208E"/>
    <w:rsid w:val="007F20FF"/>
    <w:rsid w:val="007F4D3F"/>
    <w:rsid w:val="007F528F"/>
    <w:rsid w:val="007F5EED"/>
    <w:rsid w:val="007F6511"/>
    <w:rsid w:val="008055CF"/>
    <w:rsid w:val="0080747A"/>
    <w:rsid w:val="00807A97"/>
    <w:rsid w:val="008104A2"/>
    <w:rsid w:val="0081199C"/>
    <w:rsid w:val="00813C59"/>
    <w:rsid w:val="00814BD3"/>
    <w:rsid w:val="00815C54"/>
    <w:rsid w:val="00824CBC"/>
    <w:rsid w:val="00825CB1"/>
    <w:rsid w:val="008260B5"/>
    <w:rsid w:val="008265FD"/>
    <w:rsid w:val="00830997"/>
    <w:rsid w:val="00833B13"/>
    <w:rsid w:val="0083630B"/>
    <w:rsid w:val="008367A0"/>
    <w:rsid w:val="008409D8"/>
    <w:rsid w:val="0084154A"/>
    <w:rsid w:val="008431EE"/>
    <w:rsid w:val="008436A7"/>
    <w:rsid w:val="00844BEA"/>
    <w:rsid w:val="0084699C"/>
    <w:rsid w:val="00846BE8"/>
    <w:rsid w:val="008501D1"/>
    <w:rsid w:val="00850FB3"/>
    <w:rsid w:val="00851E36"/>
    <w:rsid w:val="0085237A"/>
    <w:rsid w:val="00853298"/>
    <w:rsid w:val="008537C1"/>
    <w:rsid w:val="008539E7"/>
    <w:rsid w:val="00853DF0"/>
    <w:rsid w:val="0085514E"/>
    <w:rsid w:val="00856CFB"/>
    <w:rsid w:val="00856DA7"/>
    <w:rsid w:val="008622BA"/>
    <w:rsid w:val="008648EA"/>
    <w:rsid w:val="00865112"/>
    <w:rsid w:val="00866BA6"/>
    <w:rsid w:val="00867073"/>
    <w:rsid w:val="00867A3C"/>
    <w:rsid w:val="00867B12"/>
    <w:rsid w:val="00867D71"/>
    <w:rsid w:val="00870836"/>
    <w:rsid w:val="0087084D"/>
    <w:rsid w:val="00871EF5"/>
    <w:rsid w:val="00874C1F"/>
    <w:rsid w:val="00874D71"/>
    <w:rsid w:val="00876692"/>
    <w:rsid w:val="00876777"/>
    <w:rsid w:val="0087752D"/>
    <w:rsid w:val="00880548"/>
    <w:rsid w:val="00881831"/>
    <w:rsid w:val="00881B82"/>
    <w:rsid w:val="00882E4A"/>
    <w:rsid w:val="00885BE0"/>
    <w:rsid w:val="008860A7"/>
    <w:rsid w:val="008865D2"/>
    <w:rsid w:val="00886EB8"/>
    <w:rsid w:val="00890DD5"/>
    <w:rsid w:val="00893A4D"/>
    <w:rsid w:val="00895573"/>
    <w:rsid w:val="008955DD"/>
    <w:rsid w:val="00896596"/>
    <w:rsid w:val="00896AD1"/>
    <w:rsid w:val="00896B91"/>
    <w:rsid w:val="00896E48"/>
    <w:rsid w:val="008A048C"/>
    <w:rsid w:val="008A0E39"/>
    <w:rsid w:val="008A2667"/>
    <w:rsid w:val="008A34E6"/>
    <w:rsid w:val="008A3BB2"/>
    <w:rsid w:val="008A4BB2"/>
    <w:rsid w:val="008A4F71"/>
    <w:rsid w:val="008A6AA6"/>
    <w:rsid w:val="008A72C5"/>
    <w:rsid w:val="008A7536"/>
    <w:rsid w:val="008A7A37"/>
    <w:rsid w:val="008A7F71"/>
    <w:rsid w:val="008B018A"/>
    <w:rsid w:val="008B2879"/>
    <w:rsid w:val="008B325E"/>
    <w:rsid w:val="008B3D95"/>
    <w:rsid w:val="008B41AA"/>
    <w:rsid w:val="008B4C3B"/>
    <w:rsid w:val="008B533F"/>
    <w:rsid w:val="008B64CC"/>
    <w:rsid w:val="008B6902"/>
    <w:rsid w:val="008B7377"/>
    <w:rsid w:val="008C09AA"/>
    <w:rsid w:val="008C1358"/>
    <w:rsid w:val="008C26F9"/>
    <w:rsid w:val="008C33AE"/>
    <w:rsid w:val="008C5C69"/>
    <w:rsid w:val="008C6E88"/>
    <w:rsid w:val="008D05B6"/>
    <w:rsid w:val="008D0E1C"/>
    <w:rsid w:val="008D398D"/>
    <w:rsid w:val="008D3EA2"/>
    <w:rsid w:val="008D45AC"/>
    <w:rsid w:val="008D68C8"/>
    <w:rsid w:val="008D693D"/>
    <w:rsid w:val="008E0D3D"/>
    <w:rsid w:val="008E1269"/>
    <w:rsid w:val="008E1937"/>
    <w:rsid w:val="008E1AE3"/>
    <w:rsid w:val="008E2E46"/>
    <w:rsid w:val="008E4CB3"/>
    <w:rsid w:val="008E50A9"/>
    <w:rsid w:val="008E5AF7"/>
    <w:rsid w:val="008F04C5"/>
    <w:rsid w:val="008F0DA8"/>
    <w:rsid w:val="008F0F87"/>
    <w:rsid w:val="008F13B9"/>
    <w:rsid w:val="008F1E1A"/>
    <w:rsid w:val="008F292C"/>
    <w:rsid w:val="008F56EA"/>
    <w:rsid w:val="008F752C"/>
    <w:rsid w:val="00903411"/>
    <w:rsid w:val="00905981"/>
    <w:rsid w:val="00907131"/>
    <w:rsid w:val="00907E7E"/>
    <w:rsid w:val="00910FA5"/>
    <w:rsid w:val="00914773"/>
    <w:rsid w:val="00915B64"/>
    <w:rsid w:val="00921E33"/>
    <w:rsid w:val="009221FE"/>
    <w:rsid w:val="009222CF"/>
    <w:rsid w:val="0092506B"/>
    <w:rsid w:val="00927820"/>
    <w:rsid w:val="009304B8"/>
    <w:rsid w:val="00930952"/>
    <w:rsid w:val="00931769"/>
    <w:rsid w:val="00932E47"/>
    <w:rsid w:val="0093458E"/>
    <w:rsid w:val="00936D74"/>
    <w:rsid w:val="00937E58"/>
    <w:rsid w:val="00940638"/>
    <w:rsid w:val="00941030"/>
    <w:rsid w:val="00941080"/>
    <w:rsid w:val="00942951"/>
    <w:rsid w:val="00943283"/>
    <w:rsid w:val="009436D0"/>
    <w:rsid w:val="00943B1A"/>
    <w:rsid w:val="009448FA"/>
    <w:rsid w:val="009456AF"/>
    <w:rsid w:val="009459D2"/>
    <w:rsid w:val="009477C8"/>
    <w:rsid w:val="00947951"/>
    <w:rsid w:val="00951387"/>
    <w:rsid w:val="00952127"/>
    <w:rsid w:val="00952CCE"/>
    <w:rsid w:val="00954A38"/>
    <w:rsid w:val="009569A7"/>
    <w:rsid w:val="0095722B"/>
    <w:rsid w:val="00957708"/>
    <w:rsid w:val="0096690F"/>
    <w:rsid w:val="009714A0"/>
    <w:rsid w:val="00971D66"/>
    <w:rsid w:val="00972AE8"/>
    <w:rsid w:val="009752E3"/>
    <w:rsid w:val="009764D7"/>
    <w:rsid w:val="009778F1"/>
    <w:rsid w:val="00977E5A"/>
    <w:rsid w:val="009828F2"/>
    <w:rsid w:val="00982F51"/>
    <w:rsid w:val="009839C0"/>
    <w:rsid w:val="0098558E"/>
    <w:rsid w:val="009905BB"/>
    <w:rsid w:val="009929D2"/>
    <w:rsid w:val="00992D21"/>
    <w:rsid w:val="00993856"/>
    <w:rsid w:val="009940FE"/>
    <w:rsid w:val="00994E76"/>
    <w:rsid w:val="00997573"/>
    <w:rsid w:val="009A0865"/>
    <w:rsid w:val="009A2642"/>
    <w:rsid w:val="009A2DEF"/>
    <w:rsid w:val="009A431B"/>
    <w:rsid w:val="009A44F3"/>
    <w:rsid w:val="009A7C7B"/>
    <w:rsid w:val="009B0B62"/>
    <w:rsid w:val="009B0E70"/>
    <w:rsid w:val="009B1DC2"/>
    <w:rsid w:val="009B3E90"/>
    <w:rsid w:val="009B4B09"/>
    <w:rsid w:val="009B58CC"/>
    <w:rsid w:val="009B7B18"/>
    <w:rsid w:val="009C018A"/>
    <w:rsid w:val="009C0590"/>
    <w:rsid w:val="009C1171"/>
    <w:rsid w:val="009C1CBE"/>
    <w:rsid w:val="009C250E"/>
    <w:rsid w:val="009C32F8"/>
    <w:rsid w:val="009C447E"/>
    <w:rsid w:val="009C602D"/>
    <w:rsid w:val="009C64CB"/>
    <w:rsid w:val="009C71F4"/>
    <w:rsid w:val="009C77D6"/>
    <w:rsid w:val="009D1395"/>
    <w:rsid w:val="009D13CE"/>
    <w:rsid w:val="009D34CE"/>
    <w:rsid w:val="009D433C"/>
    <w:rsid w:val="009D637C"/>
    <w:rsid w:val="009D6C65"/>
    <w:rsid w:val="009D6F3B"/>
    <w:rsid w:val="009E0037"/>
    <w:rsid w:val="009E1452"/>
    <w:rsid w:val="009E1C1C"/>
    <w:rsid w:val="009E1CF2"/>
    <w:rsid w:val="009E1E04"/>
    <w:rsid w:val="009E2254"/>
    <w:rsid w:val="009E29FF"/>
    <w:rsid w:val="009E3D61"/>
    <w:rsid w:val="009E3F7A"/>
    <w:rsid w:val="009E42AE"/>
    <w:rsid w:val="009E4777"/>
    <w:rsid w:val="009E7169"/>
    <w:rsid w:val="009F0E27"/>
    <w:rsid w:val="009F11F0"/>
    <w:rsid w:val="009F186E"/>
    <w:rsid w:val="009F2060"/>
    <w:rsid w:val="009F3220"/>
    <w:rsid w:val="009F35B0"/>
    <w:rsid w:val="009F3E84"/>
    <w:rsid w:val="009F4B52"/>
    <w:rsid w:val="009F4DBC"/>
    <w:rsid w:val="009F5EF8"/>
    <w:rsid w:val="00A001C4"/>
    <w:rsid w:val="00A0090E"/>
    <w:rsid w:val="00A00D40"/>
    <w:rsid w:val="00A01101"/>
    <w:rsid w:val="00A01390"/>
    <w:rsid w:val="00A01662"/>
    <w:rsid w:val="00A0360F"/>
    <w:rsid w:val="00A03830"/>
    <w:rsid w:val="00A05824"/>
    <w:rsid w:val="00A07BFE"/>
    <w:rsid w:val="00A1114A"/>
    <w:rsid w:val="00A116E1"/>
    <w:rsid w:val="00A12426"/>
    <w:rsid w:val="00A128A6"/>
    <w:rsid w:val="00A134A8"/>
    <w:rsid w:val="00A14B23"/>
    <w:rsid w:val="00A17E15"/>
    <w:rsid w:val="00A17EAC"/>
    <w:rsid w:val="00A20DAA"/>
    <w:rsid w:val="00A22CD0"/>
    <w:rsid w:val="00A24787"/>
    <w:rsid w:val="00A25AAE"/>
    <w:rsid w:val="00A262E7"/>
    <w:rsid w:val="00A263C2"/>
    <w:rsid w:val="00A27728"/>
    <w:rsid w:val="00A27BEE"/>
    <w:rsid w:val="00A300C9"/>
    <w:rsid w:val="00A323A0"/>
    <w:rsid w:val="00A3499F"/>
    <w:rsid w:val="00A3556F"/>
    <w:rsid w:val="00A355D8"/>
    <w:rsid w:val="00A35778"/>
    <w:rsid w:val="00A3606C"/>
    <w:rsid w:val="00A36BB5"/>
    <w:rsid w:val="00A3729E"/>
    <w:rsid w:val="00A37723"/>
    <w:rsid w:val="00A37A44"/>
    <w:rsid w:val="00A40C77"/>
    <w:rsid w:val="00A414D5"/>
    <w:rsid w:val="00A41AC4"/>
    <w:rsid w:val="00A41E5D"/>
    <w:rsid w:val="00A438B5"/>
    <w:rsid w:val="00A43D63"/>
    <w:rsid w:val="00A452EE"/>
    <w:rsid w:val="00A46CC3"/>
    <w:rsid w:val="00A478F0"/>
    <w:rsid w:val="00A51203"/>
    <w:rsid w:val="00A52202"/>
    <w:rsid w:val="00A5357D"/>
    <w:rsid w:val="00A53DB2"/>
    <w:rsid w:val="00A569C5"/>
    <w:rsid w:val="00A60645"/>
    <w:rsid w:val="00A62590"/>
    <w:rsid w:val="00A62790"/>
    <w:rsid w:val="00A652A5"/>
    <w:rsid w:val="00A65864"/>
    <w:rsid w:val="00A65999"/>
    <w:rsid w:val="00A65F97"/>
    <w:rsid w:val="00A66892"/>
    <w:rsid w:val="00A66DBD"/>
    <w:rsid w:val="00A67DD2"/>
    <w:rsid w:val="00A7076B"/>
    <w:rsid w:val="00A7097F"/>
    <w:rsid w:val="00A73BC4"/>
    <w:rsid w:val="00A76978"/>
    <w:rsid w:val="00A76C1A"/>
    <w:rsid w:val="00A7792B"/>
    <w:rsid w:val="00A80EC6"/>
    <w:rsid w:val="00A8101E"/>
    <w:rsid w:val="00A812B9"/>
    <w:rsid w:val="00A81396"/>
    <w:rsid w:val="00A81D81"/>
    <w:rsid w:val="00A81EAC"/>
    <w:rsid w:val="00A82567"/>
    <w:rsid w:val="00A83789"/>
    <w:rsid w:val="00A83CEA"/>
    <w:rsid w:val="00A83D94"/>
    <w:rsid w:val="00A84087"/>
    <w:rsid w:val="00A84B1A"/>
    <w:rsid w:val="00A85333"/>
    <w:rsid w:val="00A86276"/>
    <w:rsid w:val="00A862C9"/>
    <w:rsid w:val="00A90390"/>
    <w:rsid w:val="00A90980"/>
    <w:rsid w:val="00A90D62"/>
    <w:rsid w:val="00A912ED"/>
    <w:rsid w:val="00A9495D"/>
    <w:rsid w:val="00A94F1B"/>
    <w:rsid w:val="00A9536C"/>
    <w:rsid w:val="00A969EF"/>
    <w:rsid w:val="00A97941"/>
    <w:rsid w:val="00A97DEF"/>
    <w:rsid w:val="00A97DFA"/>
    <w:rsid w:val="00AA173F"/>
    <w:rsid w:val="00AA1DE8"/>
    <w:rsid w:val="00AA405E"/>
    <w:rsid w:val="00AA5F84"/>
    <w:rsid w:val="00AA718C"/>
    <w:rsid w:val="00AA71A3"/>
    <w:rsid w:val="00AB067C"/>
    <w:rsid w:val="00AB0F98"/>
    <w:rsid w:val="00AB1D5C"/>
    <w:rsid w:val="00AB2530"/>
    <w:rsid w:val="00AB2EB8"/>
    <w:rsid w:val="00AB31D8"/>
    <w:rsid w:val="00AB5001"/>
    <w:rsid w:val="00AB6870"/>
    <w:rsid w:val="00AC0555"/>
    <w:rsid w:val="00AC0F1F"/>
    <w:rsid w:val="00AC3B2F"/>
    <w:rsid w:val="00AC3DA9"/>
    <w:rsid w:val="00AC4E69"/>
    <w:rsid w:val="00AC500D"/>
    <w:rsid w:val="00AC59A7"/>
    <w:rsid w:val="00AC5A9D"/>
    <w:rsid w:val="00AC7225"/>
    <w:rsid w:val="00AD0780"/>
    <w:rsid w:val="00AD1E5F"/>
    <w:rsid w:val="00AD303C"/>
    <w:rsid w:val="00AD41F6"/>
    <w:rsid w:val="00AD479B"/>
    <w:rsid w:val="00AD4F28"/>
    <w:rsid w:val="00AD544D"/>
    <w:rsid w:val="00AE25BC"/>
    <w:rsid w:val="00AF0169"/>
    <w:rsid w:val="00AF2849"/>
    <w:rsid w:val="00AF2951"/>
    <w:rsid w:val="00AF2A9E"/>
    <w:rsid w:val="00AF2E9F"/>
    <w:rsid w:val="00AF37B2"/>
    <w:rsid w:val="00AF4C47"/>
    <w:rsid w:val="00AF4FC9"/>
    <w:rsid w:val="00AF53EB"/>
    <w:rsid w:val="00AF5689"/>
    <w:rsid w:val="00AF69A2"/>
    <w:rsid w:val="00AF6B5D"/>
    <w:rsid w:val="00B004B1"/>
    <w:rsid w:val="00B00CEC"/>
    <w:rsid w:val="00B01930"/>
    <w:rsid w:val="00B025EB"/>
    <w:rsid w:val="00B03079"/>
    <w:rsid w:val="00B033F2"/>
    <w:rsid w:val="00B05982"/>
    <w:rsid w:val="00B06AE4"/>
    <w:rsid w:val="00B06ED5"/>
    <w:rsid w:val="00B070B7"/>
    <w:rsid w:val="00B11327"/>
    <w:rsid w:val="00B12524"/>
    <w:rsid w:val="00B1338F"/>
    <w:rsid w:val="00B15956"/>
    <w:rsid w:val="00B1641E"/>
    <w:rsid w:val="00B17513"/>
    <w:rsid w:val="00B20EFF"/>
    <w:rsid w:val="00B21137"/>
    <w:rsid w:val="00B23481"/>
    <w:rsid w:val="00B23649"/>
    <w:rsid w:val="00B2438C"/>
    <w:rsid w:val="00B27329"/>
    <w:rsid w:val="00B27700"/>
    <w:rsid w:val="00B27FDB"/>
    <w:rsid w:val="00B3028D"/>
    <w:rsid w:val="00B32723"/>
    <w:rsid w:val="00B33CE5"/>
    <w:rsid w:val="00B3529C"/>
    <w:rsid w:val="00B36273"/>
    <w:rsid w:val="00B36814"/>
    <w:rsid w:val="00B40C1A"/>
    <w:rsid w:val="00B427C3"/>
    <w:rsid w:val="00B42A79"/>
    <w:rsid w:val="00B4319E"/>
    <w:rsid w:val="00B4355C"/>
    <w:rsid w:val="00B444C4"/>
    <w:rsid w:val="00B459D0"/>
    <w:rsid w:val="00B45D57"/>
    <w:rsid w:val="00B45F6D"/>
    <w:rsid w:val="00B469FE"/>
    <w:rsid w:val="00B471EC"/>
    <w:rsid w:val="00B502F8"/>
    <w:rsid w:val="00B50370"/>
    <w:rsid w:val="00B5046A"/>
    <w:rsid w:val="00B53673"/>
    <w:rsid w:val="00B55419"/>
    <w:rsid w:val="00B602AF"/>
    <w:rsid w:val="00B60E4B"/>
    <w:rsid w:val="00B63310"/>
    <w:rsid w:val="00B642DD"/>
    <w:rsid w:val="00B65AB9"/>
    <w:rsid w:val="00B6622D"/>
    <w:rsid w:val="00B665D5"/>
    <w:rsid w:val="00B67B00"/>
    <w:rsid w:val="00B67B2D"/>
    <w:rsid w:val="00B7141B"/>
    <w:rsid w:val="00B7307F"/>
    <w:rsid w:val="00B73148"/>
    <w:rsid w:val="00B76CFB"/>
    <w:rsid w:val="00B771B1"/>
    <w:rsid w:val="00B77344"/>
    <w:rsid w:val="00B776D9"/>
    <w:rsid w:val="00B80316"/>
    <w:rsid w:val="00B806AB"/>
    <w:rsid w:val="00B82118"/>
    <w:rsid w:val="00B825E2"/>
    <w:rsid w:val="00B82884"/>
    <w:rsid w:val="00B83445"/>
    <w:rsid w:val="00B848F1"/>
    <w:rsid w:val="00B84A41"/>
    <w:rsid w:val="00B85442"/>
    <w:rsid w:val="00B908D8"/>
    <w:rsid w:val="00B912DC"/>
    <w:rsid w:val="00B93071"/>
    <w:rsid w:val="00B930EB"/>
    <w:rsid w:val="00B9385A"/>
    <w:rsid w:val="00B963A6"/>
    <w:rsid w:val="00B96AE9"/>
    <w:rsid w:val="00B96FC0"/>
    <w:rsid w:val="00B97435"/>
    <w:rsid w:val="00BA158F"/>
    <w:rsid w:val="00BA247C"/>
    <w:rsid w:val="00BA3A3A"/>
    <w:rsid w:val="00BA44D3"/>
    <w:rsid w:val="00BA4ADC"/>
    <w:rsid w:val="00BA6447"/>
    <w:rsid w:val="00BA6781"/>
    <w:rsid w:val="00BA6B41"/>
    <w:rsid w:val="00BA6DC8"/>
    <w:rsid w:val="00BB0598"/>
    <w:rsid w:val="00BB1483"/>
    <w:rsid w:val="00BB2E67"/>
    <w:rsid w:val="00BB60B7"/>
    <w:rsid w:val="00BB6ED9"/>
    <w:rsid w:val="00BB7827"/>
    <w:rsid w:val="00BC2103"/>
    <w:rsid w:val="00BC3930"/>
    <w:rsid w:val="00BC4EE8"/>
    <w:rsid w:val="00BC586A"/>
    <w:rsid w:val="00BC6736"/>
    <w:rsid w:val="00BC7BB5"/>
    <w:rsid w:val="00BD0435"/>
    <w:rsid w:val="00BD2C02"/>
    <w:rsid w:val="00BD589B"/>
    <w:rsid w:val="00BD68EC"/>
    <w:rsid w:val="00BE166E"/>
    <w:rsid w:val="00BE2455"/>
    <w:rsid w:val="00BE34D3"/>
    <w:rsid w:val="00BE3CEB"/>
    <w:rsid w:val="00BE4424"/>
    <w:rsid w:val="00BE4AEF"/>
    <w:rsid w:val="00BE5317"/>
    <w:rsid w:val="00BE7A47"/>
    <w:rsid w:val="00BF23B8"/>
    <w:rsid w:val="00BF29C7"/>
    <w:rsid w:val="00BF3DD4"/>
    <w:rsid w:val="00BF411F"/>
    <w:rsid w:val="00BF6CA6"/>
    <w:rsid w:val="00BF7A63"/>
    <w:rsid w:val="00C000D6"/>
    <w:rsid w:val="00C00DC1"/>
    <w:rsid w:val="00C012EC"/>
    <w:rsid w:val="00C03780"/>
    <w:rsid w:val="00C046E4"/>
    <w:rsid w:val="00C04911"/>
    <w:rsid w:val="00C05206"/>
    <w:rsid w:val="00C060DC"/>
    <w:rsid w:val="00C064C9"/>
    <w:rsid w:val="00C06C3D"/>
    <w:rsid w:val="00C079F7"/>
    <w:rsid w:val="00C11BDD"/>
    <w:rsid w:val="00C13B3C"/>
    <w:rsid w:val="00C13EE4"/>
    <w:rsid w:val="00C14293"/>
    <w:rsid w:val="00C15094"/>
    <w:rsid w:val="00C16590"/>
    <w:rsid w:val="00C21941"/>
    <w:rsid w:val="00C22975"/>
    <w:rsid w:val="00C23113"/>
    <w:rsid w:val="00C24AC6"/>
    <w:rsid w:val="00C25C45"/>
    <w:rsid w:val="00C25CBC"/>
    <w:rsid w:val="00C25FF5"/>
    <w:rsid w:val="00C269CF"/>
    <w:rsid w:val="00C26F6D"/>
    <w:rsid w:val="00C274F7"/>
    <w:rsid w:val="00C2760D"/>
    <w:rsid w:val="00C2785B"/>
    <w:rsid w:val="00C31726"/>
    <w:rsid w:val="00C32A9F"/>
    <w:rsid w:val="00C35099"/>
    <w:rsid w:val="00C36141"/>
    <w:rsid w:val="00C36221"/>
    <w:rsid w:val="00C37228"/>
    <w:rsid w:val="00C37FE0"/>
    <w:rsid w:val="00C41F25"/>
    <w:rsid w:val="00C42DEB"/>
    <w:rsid w:val="00C42E7A"/>
    <w:rsid w:val="00C43999"/>
    <w:rsid w:val="00C43F47"/>
    <w:rsid w:val="00C51246"/>
    <w:rsid w:val="00C51415"/>
    <w:rsid w:val="00C545A9"/>
    <w:rsid w:val="00C55F9E"/>
    <w:rsid w:val="00C55FA5"/>
    <w:rsid w:val="00C5614E"/>
    <w:rsid w:val="00C5618F"/>
    <w:rsid w:val="00C630EA"/>
    <w:rsid w:val="00C64DE9"/>
    <w:rsid w:val="00C65991"/>
    <w:rsid w:val="00C67449"/>
    <w:rsid w:val="00C67D35"/>
    <w:rsid w:val="00C705D4"/>
    <w:rsid w:val="00C708F7"/>
    <w:rsid w:val="00C709BF"/>
    <w:rsid w:val="00C7180E"/>
    <w:rsid w:val="00C73B00"/>
    <w:rsid w:val="00C74587"/>
    <w:rsid w:val="00C74ECC"/>
    <w:rsid w:val="00C75E59"/>
    <w:rsid w:val="00C76940"/>
    <w:rsid w:val="00C76ABF"/>
    <w:rsid w:val="00C76F85"/>
    <w:rsid w:val="00C77CC1"/>
    <w:rsid w:val="00C83869"/>
    <w:rsid w:val="00C84404"/>
    <w:rsid w:val="00C847FD"/>
    <w:rsid w:val="00C84BA1"/>
    <w:rsid w:val="00C85499"/>
    <w:rsid w:val="00C85806"/>
    <w:rsid w:val="00C85900"/>
    <w:rsid w:val="00C85DCB"/>
    <w:rsid w:val="00C85F2A"/>
    <w:rsid w:val="00C86DFB"/>
    <w:rsid w:val="00C91138"/>
    <w:rsid w:val="00C91427"/>
    <w:rsid w:val="00C91A13"/>
    <w:rsid w:val="00C92667"/>
    <w:rsid w:val="00C92A1C"/>
    <w:rsid w:val="00C93148"/>
    <w:rsid w:val="00C93563"/>
    <w:rsid w:val="00C93950"/>
    <w:rsid w:val="00C94F00"/>
    <w:rsid w:val="00C94FC4"/>
    <w:rsid w:val="00C95A2A"/>
    <w:rsid w:val="00C9724D"/>
    <w:rsid w:val="00CA05D9"/>
    <w:rsid w:val="00CA0C32"/>
    <w:rsid w:val="00CA65CD"/>
    <w:rsid w:val="00CA6959"/>
    <w:rsid w:val="00CB3BBF"/>
    <w:rsid w:val="00CB41C7"/>
    <w:rsid w:val="00CB480E"/>
    <w:rsid w:val="00CB54E2"/>
    <w:rsid w:val="00CB55E4"/>
    <w:rsid w:val="00CB561A"/>
    <w:rsid w:val="00CB5AC3"/>
    <w:rsid w:val="00CB5B32"/>
    <w:rsid w:val="00CB6044"/>
    <w:rsid w:val="00CB631E"/>
    <w:rsid w:val="00CB7649"/>
    <w:rsid w:val="00CC07B9"/>
    <w:rsid w:val="00CC2D9A"/>
    <w:rsid w:val="00CC3033"/>
    <w:rsid w:val="00CC3C5F"/>
    <w:rsid w:val="00CC4EC4"/>
    <w:rsid w:val="00CC5183"/>
    <w:rsid w:val="00CC57BC"/>
    <w:rsid w:val="00CC6751"/>
    <w:rsid w:val="00CC7F8A"/>
    <w:rsid w:val="00CD1114"/>
    <w:rsid w:val="00CD209C"/>
    <w:rsid w:val="00CD2C48"/>
    <w:rsid w:val="00CD3CD9"/>
    <w:rsid w:val="00CD5D15"/>
    <w:rsid w:val="00CD6882"/>
    <w:rsid w:val="00CE0916"/>
    <w:rsid w:val="00CE1652"/>
    <w:rsid w:val="00CE1BB1"/>
    <w:rsid w:val="00CE3D59"/>
    <w:rsid w:val="00CE6407"/>
    <w:rsid w:val="00CE6E00"/>
    <w:rsid w:val="00CE7F8A"/>
    <w:rsid w:val="00CF11EF"/>
    <w:rsid w:val="00CF419A"/>
    <w:rsid w:val="00CF56F7"/>
    <w:rsid w:val="00CF5BF1"/>
    <w:rsid w:val="00CF77DD"/>
    <w:rsid w:val="00CF7911"/>
    <w:rsid w:val="00CF7A4F"/>
    <w:rsid w:val="00D01724"/>
    <w:rsid w:val="00D01894"/>
    <w:rsid w:val="00D024FA"/>
    <w:rsid w:val="00D02B12"/>
    <w:rsid w:val="00D0498B"/>
    <w:rsid w:val="00D04B1C"/>
    <w:rsid w:val="00D0624B"/>
    <w:rsid w:val="00D06E2B"/>
    <w:rsid w:val="00D10A3C"/>
    <w:rsid w:val="00D10BB2"/>
    <w:rsid w:val="00D11311"/>
    <w:rsid w:val="00D12FA4"/>
    <w:rsid w:val="00D13FF2"/>
    <w:rsid w:val="00D14A31"/>
    <w:rsid w:val="00D15721"/>
    <w:rsid w:val="00D15965"/>
    <w:rsid w:val="00D17D8A"/>
    <w:rsid w:val="00D205B7"/>
    <w:rsid w:val="00D2330C"/>
    <w:rsid w:val="00D24101"/>
    <w:rsid w:val="00D24CEB"/>
    <w:rsid w:val="00D250E3"/>
    <w:rsid w:val="00D2680B"/>
    <w:rsid w:val="00D26EBD"/>
    <w:rsid w:val="00D31B4E"/>
    <w:rsid w:val="00D325B4"/>
    <w:rsid w:val="00D3753A"/>
    <w:rsid w:val="00D37BDA"/>
    <w:rsid w:val="00D37C03"/>
    <w:rsid w:val="00D37CB1"/>
    <w:rsid w:val="00D37E0A"/>
    <w:rsid w:val="00D41A24"/>
    <w:rsid w:val="00D41D77"/>
    <w:rsid w:val="00D43E6F"/>
    <w:rsid w:val="00D4421C"/>
    <w:rsid w:val="00D44AB3"/>
    <w:rsid w:val="00D44FAF"/>
    <w:rsid w:val="00D4625E"/>
    <w:rsid w:val="00D47FEC"/>
    <w:rsid w:val="00D503B5"/>
    <w:rsid w:val="00D50BDF"/>
    <w:rsid w:val="00D51633"/>
    <w:rsid w:val="00D523C2"/>
    <w:rsid w:val="00D531D4"/>
    <w:rsid w:val="00D53BDF"/>
    <w:rsid w:val="00D541F2"/>
    <w:rsid w:val="00D547F8"/>
    <w:rsid w:val="00D55022"/>
    <w:rsid w:val="00D60C87"/>
    <w:rsid w:val="00D61494"/>
    <w:rsid w:val="00D6153A"/>
    <w:rsid w:val="00D61E1C"/>
    <w:rsid w:val="00D6206B"/>
    <w:rsid w:val="00D628DE"/>
    <w:rsid w:val="00D64013"/>
    <w:rsid w:val="00D66707"/>
    <w:rsid w:val="00D66C5F"/>
    <w:rsid w:val="00D66E50"/>
    <w:rsid w:val="00D67F52"/>
    <w:rsid w:val="00D71A92"/>
    <w:rsid w:val="00D72549"/>
    <w:rsid w:val="00D74578"/>
    <w:rsid w:val="00D749E8"/>
    <w:rsid w:val="00D74AA2"/>
    <w:rsid w:val="00D75FDE"/>
    <w:rsid w:val="00D7714C"/>
    <w:rsid w:val="00D7763B"/>
    <w:rsid w:val="00D80DF2"/>
    <w:rsid w:val="00D81C82"/>
    <w:rsid w:val="00D81D32"/>
    <w:rsid w:val="00D83A50"/>
    <w:rsid w:val="00D842D6"/>
    <w:rsid w:val="00D8540C"/>
    <w:rsid w:val="00D858EC"/>
    <w:rsid w:val="00D85928"/>
    <w:rsid w:val="00D8726F"/>
    <w:rsid w:val="00D876EB"/>
    <w:rsid w:val="00D87BFF"/>
    <w:rsid w:val="00D90497"/>
    <w:rsid w:val="00D91EA8"/>
    <w:rsid w:val="00D94D9C"/>
    <w:rsid w:val="00D95F37"/>
    <w:rsid w:val="00D97A43"/>
    <w:rsid w:val="00DA06A0"/>
    <w:rsid w:val="00DA2B23"/>
    <w:rsid w:val="00DA30A1"/>
    <w:rsid w:val="00DA466A"/>
    <w:rsid w:val="00DA5498"/>
    <w:rsid w:val="00DA61C0"/>
    <w:rsid w:val="00DA6F73"/>
    <w:rsid w:val="00DA7560"/>
    <w:rsid w:val="00DB22D5"/>
    <w:rsid w:val="00DB2ACC"/>
    <w:rsid w:val="00DB6B59"/>
    <w:rsid w:val="00DC03F3"/>
    <w:rsid w:val="00DC080D"/>
    <w:rsid w:val="00DC0A9F"/>
    <w:rsid w:val="00DC41A1"/>
    <w:rsid w:val="00DD043D"/>
    <w:rsid w:val="00DD0C20"/>
    <w:rsid w:val="00DD1A2D"/>
    <w:rsid w:val="00DD2279"/>
    <w:rsid w:val="00DD241E"/>
    <w:rsid w:val="00DD2674"/>
    <w:rsid w:val="00DD31C9"/>
    <w:rsid w:val="00DD6C9C"/>
    <w:rsid w:val="00DE0ECD"/>
    <w:rsid w:val="00DE1838"/>
    <w:rsid w:val="00DE4268"/>
    <w:rsid w:val="00DE432E"/>
    <w:rsid w:val="00DE4D1F"/>
    <w:rsid w:val="00DE50A7"/>
    <w:rsid w:val="00DE7284"/>
    <w:rsid w:val="00DF0197"/>
    <w:rsid w:val="00DF1698"/>
    <w:rsid w:val="00DF1725"/>
    <w:rsid w:val="00DF4372"/>
    <w:rsid w:val="00DF487D"/>
    <w:rsid w:val="00DF52C9"/>
    <w:rsid w:val="00DF5650"/>
    <w:rsid w:val="00DF5B63"/>
    <w:rsid w:val="00DF5C8A"/>
    <w:rsid w:val="00DF5EEE"/>
    <w:rsid w:val="00DF67A4"/>
    <w:rsid w:val="00DF76DA"/>
    <w:rsid w:val="00DF78E2"/>
    <w:rsid w:val="00DF7A5D"/>
    <w:rsid w:val="00E02516"/>
    <w:rsid w:val="00E02FD0"/>
    <w:rsid w:val="00E0350D"/>
    <w:rsid w:val="00E03AAC"/>
    <w:rsid w:val="00E05365"/>
    <w:rsid w:val="00E068E5"/>
    <w:rsid w:val="00E06BAB"/>
    <w:rsid w:val="00E07257"/>
    <w:rsid w:val="00E11A34"/>
    <w:rsid w:val="00E11A67"/>
    <w:rsid w:val="00E11B05"/>
    <w:rsid w:val="00E11B0B"/>
    <w:rsid w:val="00E11E09"/>
    <w:rsid w:val="00E124A0"/>
    <w:rsid w:val="00E12BEC"/>
    <w:rsid w:val="00E14272"/>
    <w:rsid w:val="00E1470C"/>
    <w:rsid w:val="00E14F75"/>
    <w:rsid w:val="00E150C1"/>
    <w:rsid w:val="00E15717"/>
    <w:rsid w:val="00E16640"/>
    <w:rsid w:val="00E17305"/>
    <w:rsid w:val="00E20FC0"/>
    <w:rsid w:val="00E233D4"/>
    <w:rsid w:val="00E235E8"/>
    <w:rsid w:val="00E23E94"/>
    <w:rsid w:val="00E2577E"/>
    <w:rsid w:val="00E26759"/>
    <w:rsid w:val="00E303E4"/>
    <w:rsid w:val="00E31828"/>
    <w:rsid w:val="00E31B18"/>
    <w:rsid w:val="00E323D7"/>
    <w:rsid w:val="00E33995"/>
    <w:rsid w:val="00E34B93"/>
    <w:rsid w:val="00E36664"/>
    <w:rsid w:val="00E369E9"/>
    <w:rsid w:val="00E400A8"/>
    <w:rsid w:val="00E4062C"/>
    <w:rsid w:val="00E4384E"/>
    <w:rsid w:val="00E44BC3"/>
    <w:rsid w:val="00E4511D"/>
    <w:rsid w:val="00E459EE"/>
    <w:rsid w:val="00E47109"/>
    <w:rsid w:val="00E47480"/>
    <w:rsid w:val="00E522E1"/>
    <w:rsid w:val="00E5315B"/>
    <w:rsid w:val="00E53760"/>
    <w:rsid w:val="00E54DE7"/>
    <w:rsid w:val="00E55978"/>
    <w:rsid w:val="00E55D71"/>
    <w:rsid w:val="00E5635D"/>
    <w:rsid w:val="00E57D1C"/>
    <w:rsid w:val="00E6068E"/>
    <w:rsid w:val="00E606BE"/>
    <w:rsid w:val="00E60C7F"/>
    <w:rsid w:val="00E6143B"/>
    <w:rsid w:val="00E6398A"/>
    <w:rsid w:val="00E64515"/>
    <w:rsid w:val="00E65CEA"/>
    <w:rsid w:val="00E66385"/>
    <w:rsid w:val="00E73E06"/>
    <w:rsid w:val="00E74117"/>
    <w:rsid w:val="00E80785"/>
    <w:rsid w:val="00E80FF9"/>
    <w:rsid w:val="00E82DCB"/>
    <w:rsid w:val="00E8380D"/>
    <w:rsid w:val="00E8519F"/>
    <w:rsid w:val="00E8521F"/>
    <w:rsid w:val="00E85A2B"/>
    <w:rsid w:val="00E87A4B"/>
    <w:rsid w:val="00E87FC2"/>
    <w:rsid w:val="00E930EF"/>
    <w:rsid w:val="00E939DE"/>
    <w:rsid w:val="00E96E3F"/>
    <w:rsid w:val="00E97BAA"/>
    <w:rsid w:val="00EA0980"/>
    <w:rsid w:val="00EA2272"/>
    <w:rsid w:val="00EA24E2"/>
    <w:rsid w:val="00EA3315"/>
    <w:rsid w:val="00EA3385"/>
    <w:rsid w:val="00EA3821"/>
    <w:rsid w:val="00EA5F70"/>
    <w:rsid w:val="00EA7C69"/>
    <w:rsid w:val="00EB16A0"/>
    <w:rsid w:val="00EB1E9E"/>
    <w:rsid w:val="00EB2860"/>
    <w:rsid w:val="00EB39E9"/>
    <w:rsid w:val="00EB5416"/>
    <w:rsid w:val="00EB7465"/>
    <w:rsid w:val="00EC2EE6"/>
    <w:rsid w:val="00EC3715"/>
    <w:rsid w:val="00EC3F6E"/>
    <w:rsid w:val="00EC5788"/>
    <w:rsid w:val="00EC5AF4"/>
    <w:rsid w:val="00EC6365"/>
    <w:rsid w:val="00EC6581"/>
    <w:rsid w:val="00EC6E9A"/>
    <w:rsid w:val="00EC7A75"/>
    <w:rsid w:val="00ED1921"/>
    <w:rsid w:val="00ED4480"/>
    <w:rsid w:val="00ED5AD9"/>
    <w:rsid w:val="00ED6C9D"/>
    <w:rsid w:val="00ED7382"/>
    <w:rsid w:val="00ED7BB9"/>
    <w:rsid w:val="00EE0468"/>
    <w:rsid w:val="00EE2A05"/>
    <w:rsid w:val="00EE2AD2"/>
    <w:rsid w:val="00EE3EB2"/>
    <w:rsid w:val="00EE4BFA"/>
    <w:rsid w:val="00EE50FE"/>
    <w:rsid w:val="00EE546F"/>
    <w:rsid w:val="00EE5C3C"/>
    <w:rsid w:val="00EE6A37"/>
    <w:rsid w:val="00EF05AD"/>
    <w:rsid w:val="00EF388F"/>
    <w:rsid w:val="00EF430B"/>
    <w:rsid w:val="00EF5928"/>
    <w:rsid w:val="00EF6DCE"/>
    <w:rsid w:val="00EF70B1"/>
    <w:rsid w:val="00EF7C4A"/>
    <w:rsid w:val="00EF7C5E"/>
    <w:rsid w:val="00F00200"/>
    <w:rsid w:val="00F004B0"/>
    <w:rsid w:val="00F03559"/>
    <w:rsid w:val="00F0355D"/>
    <w:rsid w:val="00F05011"/>
    <w:rsid w:val="00F05A35"/>
    <w:rsid w:val="00F05DDE"/>
    <w:rsid w:val="00F05FE9"/>
    <w:rsid w:val="00F06D81"/>
    <w:rsid w:val="00F07D2D"/>
    <w:rsid w:val="00F1012D"/>
    <w:rsid w:val="00F165B0"/>
    <w:rsid w:val="00F17C3A"/>
    <w:rsid w:val="00F17C53"/>
    <w:rsid w:val="00F203E3"/>
    <w:rsid w:val="00F20A84"/>
    <w:rsid w:val="00F2473C"/>
    <w:rsid w:val="00F24AAB"/>
    <w:rsid w:val="00F253F7"/>
    <w:rsid w:val="00F261B5"/>
    <w:rsid w:val="00F26C38"/>
    <w:rsid w:val="00F26FE9"/>
    <w:rsid w:val="00F308A2"/>
    <w:rsid w:val="00F32DCE"/>
    <w:rsid w:val="00F33623"/>
    <w:rsid w:val="00F337C0"/>
    <w:rsid w:val="00F33FE7"/>
    <w:rsid w:val="00F351AC"/>
    <w:rsid w:val="00F354DD"/>
    <w:rsid w:val="00F35B14"/>
    <w:rsid w:val="00F365E8"/>
    <w:rsid w:val="00F36B83"/>
    <w:rsid w:val="00F36BC0"/>
    <w:rsid w:val="00F3728C"/>
    <w:rsid w:val="00F37C79"/>
    <w:rsid w:val="00F404AC"/>
    <w:rsid w:val="00F44281"/>
    <w:rsid w:val="00F45411"/>
    <w:rsid w:val="00F45757"/>
    <w:rsid w:val="00F502EC"/>
    <w:rsid w:val="00F50485"/>
    <w:rsid w:val="00F50CCB"/>
    <w:rsid w:val="00F52CAD"/>
    <w:rsid w:val="00F537B4"/>
    <w:rsid w:val="00F551DD"/>
    <w:rsid w:val="00F605DD"/>
    <w:rsid w:val="00F61050"/>
    <w:rsid w:val="00F64BC7"/>
    <w:rsid w:val="00F65914"/>
    <w:rsid w:val="00F66D64"/>
    <w:rsid w:val="00F70CAB"/>
    <w:rsid w:val="00F7121B"/>
    <w:rsid w:val="00F71CC5"/>
    <w:rsid w:val="00F72D83"/>
    <w:rsid w:val="00F72E37"/>
    <w:rsid w:val="00F755FC"/>
    <w:rsid w:val="00F75C1F"/>
    <w:rsid w:val="00F75EF7"/>
    <w:rsid w:val="00F7658C"/>
    <w:rsid w:val="00F773C4"/>
    <w:rsid w:val="00F77C2B"/>
    <w:rsid w:val="00F801D2"/>
    <w:rsid w:val="00F822D2"/>
    <w:rsid w:val="00F82ACC"/>
    <w:rsid w:val="00F83CE3"/>
    <w:rsid w:val="00F84EBA"/>
    <w:rsid w:val="00F85571"/>
    <w:rsid w:val="00F86065"/>
    <w:rsid w:val="00F862A7"/>
    <w:rsid w:val="00F92427"/>
    <w:rsid w:val="00F933A1"/>
    <w:rsid w:val="00F93A14"/>
    <w:rsid w:val="00F95DCD"/>
    <w:rsid w:val="00F95DED"/>
    <w:rsid w:val="00F96204"/>
    <w:rsid w:val="00F967E0"/>
    <w:rsid w:val="00F973CA"/>
    <w:rsid w:val="00FA035F"/>
    <w:rsid w:val="00FA1533"/>
    <w:rsid w:val="00FA1EDF"/>
    <w:rsid w:val="00FA24CC"/>
    <w:rsid w:val="00FA29E9"/>
    <w:rsid w:val="00FA2C7D"/>
    <w:rsid w:val="00FA39A7"/>
    <w:rsid w:val="00FA4ADB"/>
    <w:rsid w:val="00FA4C93"/>
    <w:rsid w:val="00FA6186"/>
    <w:rsid w:val="00FA65E1"/>
    <w:rsid w:val="00FA73B9"/>
    <w:rsid w:val="00FA7EFB"/>
    <w:rsid w:val="00FB093E"/>
    <w:rsid w:val="00FB19FD"/>
    <w:rsid w:val="00FB2767"/>
    <w:rsid w:val="00FB47AD"/>
    <w:rsid w:val="00FB61C5"/>
    <w:rsid w:val="00FC0F40"/>
    <w:rsid w:val="00FC3FBF"/>
    <w:rsid w:val="00FD0C94"/>
    <w:rsid w:val="00FD1C8B"/>
    <w:rsid w:val="00FD299C"/>
    <w:rsid w:val="00FD3E06"/>
    <w:rsid w:val="00FD4946"/>
    <w:rsid w:val="00FD56DB"/>
    <w:rsid w:val="00FD6259"/>
    <w:rsid w:val="00FD79C1"/>
    <w:rsid w:val="00FD7B7C"/>
    <w:rsid w:val="00FD7C0E"/>
    <w:rsid w:val="00FE01B6"/>
    <w:rsid w:val="00FE0378"/>
    <w:rsid w:val="00FE1EC1"/>
    <w:rsid w:val="00FE41F2"/>
    <w:rsid w:val="00FE55E8"/>
    <w:rsid w:val="00FE692D"/>
    <w:rsid w:val="00FE773A"/>
    <w:rsid w:val="00FE77C4"/>
    <w:rsid w:val="00FF012D"/>
    <w:rsid w:val="00FF0DF8"/>
    <w:rsid w:val="00FF11E1"/>
    <w:rsid w:val="00FF53C8"/>
    <w:rsid w:val="00FF5A35"/>
    <w:rsid w:val="00FF77AC"/>
    <w:rsid w:val="01422674"/>
    <w:rsid w:val="028248BF"/>
    <w:rsid w:val="02A227A1"/>
    <w:rsid w:val="042F4508"/>
    <w:rsid w:val="04651CD8"/>
    <w:rsid w:val="04F27A0F"/>
    <w:rsid w:val="050B287F"/>
    <w:rsid w:val="05B922DB"/>
    <w:rsid w:val="05ED01D7"/>
    <w:rsid w:val="06D373CC"/>
    <w:rsid w:val="08313B80"/>
    <w:rsid w:val="0862434F"/>
    <w:rsid w:val="08FB2C0B"/>
    <w:rsid w:val="093C74AB"/>
    <w:rsid w:val="09C13EC2"/>
    <w:rsid w:val="09D27E0F"/>
    <w:rsid w:val="0A083831"/>
    <w:rsid w:val="0AA96DC2"/>
    <w:rsid w:val="0BDD2D84"/>
    <w:rsid w:val="0C1B6264"/>
    <w:rsid w:val="0C485EB3"/>
    <w:rsid w:val="0C6B752F"/>
    <w:rsid w:val="0CD30126"/>
    <w:rsid w:val="0DF540CC"/>
    <w:rsid w:val="0F5152E6"/>
    <w:rsid w:val="0F570705"/>
    <w:rsid w:val="10046849"/>
    <w:rsid w:val="1131366D"/>
    <w:rsid w:val="11961DF4"/>
    <w:rsid w:val="12137217"/>
    <w:rsid w:val="131A74E6"/>
    <w:rsid w:val="138403CC"/>
    <w:rsid w:val="14092680"/>
    <w:rsid w:val="1417590D"/>
    <w:rsid w:val="14720225"/>
    <w:rsid w:val="14FD2EFF"/>
    <w:rsid w:val="1600117C"/>
    <w:rsid w:val="16247C45"/>
    <w:rsid w:val="16C136E5"/>
    <w:rsid w:val="172B1B2C"/>
    <w:rsid w:val="17872239"/>
    <w:rsid w:val="17B86896"/>
    <w:rsid w:val="17C27715"/>
    <w:rsid w:val="17E7717C"/>
    <w:rsid w:val="17F70E8B"/>
    <w:rsid w:val="18820C52"/>
    <w:rsid w:val="18BD7EDC"/>
    <w:rsid w:val="18E23FC7"/>
    <w:rsid w:val="195425EF"/>
    <w:rsid w:val="198A6011"/>
    <w:rsid w:val="1A711864"/>
    <w:rsid w:val="1A9D122E"/>
    <w:rsid w:val="1ABA185C"/>
    <w:rsid w:val="1BE70553"/>
    <w:rsid w:val="1CC050EC"/>
    <w:rsid w:val="1CEC6DE8"/>
    <w:rsid w:val="1D3E783E"/>
    <w:rsid w:val="1E000DBF"/>
    <w:rsid w:val="1F665012"/>
    <w:rsid w:val="1FC16504"/>
    <w:rsid w:val="206A094A"/>
    <w:rsid w:val="20990887"/>
    <w:rsid w:val="20A0611A"/>
    <w:rsid w:val="21986A88"/>
    <w:rsid w:val="22552F34"/>
    <w:rsid w:val="22CB77A2"/>
    <w:rsid w:val="233852E4"/>
    <w:rsid w:val="23E12CD1"/>
    <w:rsid w:val="247973AD"/>
    <w:rsid w:val="248C5333"/>
    <w:rsid w:val="24AF2DCF"/>
    <w:rsid w:val="24B14D99"/>
    <w:rsid w:val="258C3110"/>
    <w:rsid w:val="25965D3D"/>
    <w:rsid w:val="26964247"/>
    <w:rsid w:val="269F0C21"/>
    <w:rsid w:val="275A1C1F"/>
    <w:rsid w:val="277B51EB"/>
    <w:rsid w:val="28500425"/>
    <w:rsid w:val="28537F15"/>
    <w:rsid w:val="290D6316"/>
    <w:rsid w:val="296F2DDD"/>
    <w:rsid w:val="29FA4AED"/>
    <w:rsid w:val="2A253601"/>
    <w:rsid w:val="2AF27EBA"/>
    <w:rsid w:val="2B4F0E68"/>
    <w:rsid w:val="2BB807BB"/>
    <w:rsid w:val="2BFC7534"/>
    <w:rsid w:val="2C25030A"/>
    <w:rsid w:val="2EA27501"/>
    <w:rsid w:val="305C6ED5"/>
    <w:rsid w:val="30B33C47"/>
    <w:rsid w:val="30B90ACC"/>
    <w:rsid w:val="30E20088"/>
    <w:rsid w:val="31090661"/>
    <w:rsid w:val="31BA26C4"/>
    <w:rsid w:val="31C83722"/>
    <w:rsid w:val="31ED3189"/>
    <w:rsid w:val="34511FEA"/>
    <w:rsid w:val="34D652ED"/>
    <w:rsid w:val="353E2C35"/>
    <w:rsid w:val="35466E38"/>
    <w:rsid w:val="358838F4"/>
    <w:rsid w:val="3699743B"/>
    <w:rsid w:val="36B07388"/>
    <w:rsid w:val="36D93CDC"/>
    <w:rsid w:val="38082ACA"/>
    <w:rsid w:val="38BD38B5"/>
    <w:rsid w:val="395F671A"/>
    <w:rsid w:val="39A46823"/>
    <w:rsid w:val="39E502BE"/>
    <w:rsid w:val="3A317351"/>
    <w:rsid w:val="3A551420"/>
    <w:rsid w:val="3A742699"/>
    <w:rsid w:val="3AC35133"/>
    <w:rsid w:val="3AC814FB"/>
    <w:rsid w:val="3AC86541"/>
    <w:rsid w:val="3ACF167E"/>
    <w:rsid w:val="3C03244A"/>
    <w:rsid w:val="3C1E28BD"/>
    <w:rsid w:val="3C397F0C"/>
    <w:rsid w:val="3E9055C8"/>
    <w:rsid w:val="3EA03A5D"/>
    <w:rsid w:val="3F125FDD"/>
    <w:rsid w:val="3F7266BD"/>
    <w:rsid w:val="3F9133A5"/>
    <w:rsid w:val="3FA63408"/>
    <w:rsid w:val="3FD64855"/>
    <w:rsid w:val="418D5DEE"/>
    <w:rsid w:val="41BE64DD"/>
    <w:rsid w:val="42E640C3"/>
    <w:rsid w:val="44676DCB"/>
    <w:rsid w:val="44C935E1"/>
    <w:rsid w:val="450B65DC"/>
    <w:rsid w:val="45AD3A6E"/>
    <w:rsid w:val="46164604"/>
    <w:rsid w:val="472965B9"/>
    <w:rsid w:val="477535AD"/>
    <w:rsid w:val="478B2DD0"/>
    <w:rsid w:val="47C772E0"/>
    <w:rsid w:val="4824765E"/>
    <w:rsid w:val="484A4A39"/>
    <w:rsid w:val="485E7440"/>
    <w:rsid w:val="488F069E"/>
    <w:rsid w:val="48C742DC"/>
    <w:rsid w:val="4A34774F"/>
    <w:rsid w:val="4AE72A13"/>
    <w:rsid w:val="4B0E6C8F"/>
    <w:rsid w:val="4B4F4773"/>
    <w:rsid w:val="4B685902"/>
    <w:rsid w:val="4D1D44CA"/>
    <w:rsid w:val="4D747F9E"/>
    <w:rsid w:val="4D993EA4"/>
    <w:rsid w:val="4E3C6BD2"/>
    <w:rsid w:val="4E7C3473"/>
    <w:rsid w:val="4EE96D5A"/>
    <w:rsid w:val="4F634093"/>
    <w:rsid w:val="4F8929A5"/>
    <w:rsid w:val="507013F6"/>
    <w:rsid w:val="50BE7D72"/>
    <w:rsid w:val="51E41A5B"/>
    <w:rsid w:val="51FA6914"/>
    <w:rsid w:val="526258C3"/>
    <w:rsid w:val="52B95EDB"/>
    <w:rsid w:val="531E2D4A"/>
    <w:rsid w:val="53395B77"/>
    <w:rsid w:val="53AF1317"/>
    <w:rsid w:val="54300F87"/>
    <w:rsid w:val="546615BB"/>
    <w:rsid w:val="55652EB2"/>
    <w:rsid w:val="556B354A"/>
    <w:rsid w:val="55A137FC"/>
    <w:rsid w:val="55D7740D"/>
    <w:rsid w:val="55EE4C56"/>
    <w:rsid w:val="562B7C58"/>
    <w:rsid w:val="562C577E"/>
    <w:rsid w:val="565D2977"/>
    <w:rsid w:val="57081D47"/>
    <w:rsid w:val="57234DD3"/>
    <w:rsid w:val="58254B7B"/>
    <w:rsid w:val="58670CF0"/>
    <w:rsid w:val="58913FBE"/>
    <w:rsid w:val="58B303D9"/>
    <w:rsid w:val="5A33532D"/>
    <w:rsid w:val="5AA5246A"/>
    <w:rsid w:val="5AC73CC7"/>
    <w:rsid w:val="5AE14D89"/>
    <w:rsid w:val="5B1909C7"/>
    <w:rsid w:val="5B2117AC"/>
    <w:rsid w:val="5B7616C4"/>
    <w:rsid w:val="5FF80ADF"/>
    <w:rsid w:val="6098238E"/>
    <w:rsid w:val="61CF60CD"/>
    <w:rsid w:val="61D07906"/>
    <w:rsid w:val="62B64D4D"/>
    <w:rsid w:val="630E6937"/>
    <w:rsid w:val="63AD6150"/>
    <w:rsid w:val="65540161"/>
    <w:rsid w:val="662A7F2C"/>
    <w:rsid w:val="66540B05"/>
    <w:rsid w:val="66A51361"/>
    <w:rsid w:val="66C739CD"/>
    <w:rsid w:val="66FC2F4B"/>
    <w:rsid w:val="6715641D"/>
    <w:rsid w:val="67530DBD"/>
    <w:rsid w:val="678C2521"/>
    <w:rsid w:val="67BF6452"/>
    <w:rsid w:val="68AF4719"/>
    <w:rsid w:val="68D9500C"/>
    <w:rsid w:val="692844CB"/>
    <w:rsid w:val="69313380"/>
    <w:rsid w:val="69670B4F"/>
    <w:rsid w:val="6985665A"/>
    <w:rsid w:val="69A223E1"/>
    <w:rsid w:val="69D837FB"/>
    <w:rsid w:val="6B081868"/>
    <w:rsid w:val="6B9A7D6E"/>
    <w:rsid w:val="6BCE4EB6"/>
    <w:rsid w:val="6BFA214F"/>
    <w:rsid w:val="6C77554D"/>
    <w:rsid w:val="6EE14426"/>
    <w:rsid w:val="6FEA573E"/>
    <w:rsid w:val="700319F3"/>
    <w:rsid w:val="700B699B"/>
    <w:rsid w:val="70545BA6"/>
    <w:rsid w:val="70657DB3"/>
    <w:rsid w:val="70A26911"/>
    <w:rsid w:val="70CC1520"/>
    <w:rsid w:val="70F108B8"/>
    <w:rsid w:val="71F47640"/>
    <w:rsid w:val="725E4ABA"/>
    <w:rsid w:val="72B312A9"/>
    <w:rsid w:val="73781BAB"/>
    <w:rsid w:val="73D4120F"/>
    <w:rsid w:val="749B3DA3"/>
    <w:rsid w:val="74C74B98"/>
    <w:rsid w:val="75A31161"/>
    <w:rsid w:val="760E4D91"/>
    <w:rsid w:val="77701517"/>
    <w:rsid w:val="77FF289B"/>
    <w:rsid w:val="78372035"/>
    <w:rsid w:val="785359DF"/>
    <w:rsid w:val="78BD33E4"/>
    <w:rsid w:val="78C338C8"/>
    <w:rsid w:val="79187897"/>
    <w:rsid w:val="79D12015"/>
    <w:rsid w:val="7A57076C"/>
    <w:rsid w:val="7A676AD2"/>
    <w:rsid w:val="7B405C62"/>
    <w:rsid w:val="7B5353D8"/>
    <w:rsid w:val="7C0C5586"/>
    <w:rsid w:val="7C38637B"/>
    <w:rsid w:val="7C490589"/>
    <w:rsid w:val="7C94443C"/>
    <w:rsid w:val="7D74113B"/>
    <w:rsid w:val="7E4861B5"/>
    <w:rsid w:val="7ED9425E"/>
    <w:rsid w:val="7EFE38AC"/>
    <w:rsid w:val="7F1B620C"/>
    <w:rsid w:val="7F8A1D82"/>
    <w:rsid w:val="7FAB5E2E"/>
    <w:rsid w:val="7FCC75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semiHidden="0" w:name="Normal Indent"/>
    <w:lsdException w:qFormat="1" w:unhideWhenUsed="0"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0"/>
    <w:qFormat/>
    <w:uiPriority w:val="99"/>
    <w:pPr>
      <w:keepNext/>
      <w:keepLines/>
      <w:spacing w:line="360" w:lineRule="auto"/>
      <w:outlineLvl w:val="3"/>
    </w:pPr>
    <w:rPr>
      <w:rFonts w:ascii="Arial" w:hAnsi="Arial" w:eastAsia="宋体" w:cs="Times New Roman"/>
      <w:b/>
      <w:bCs/>
      <w:sz w:val="28"/>
      <w:szCs w:val="28"/>
    </w:rPr>
  </w:style>
  <w:style w:type="paragraph" w:styleId="6">
    <w:name w:val="heading 5"/>
    <w:basedOn w:val="1"/>
    <w:next w:val="1"/>
    <w:link w:val="51"/>
    <w:qFormat/>
    <w:uiPriority w:val="99"/>
    <w:pPr>
      <w:keepNext/>
      <w:keepLines/>
      <w:spacing w:before="280" w:after="290" w:line="376" w:lineRule="auto"/>
      <w:outlineLvl w:val="4"/>
    </w:pPr>
    <w:rPr>
      <w:rFonts w:ascii="Calibri" w:hAnsi="Calibri" w:eastAsia="宋体" w:cs="Times New Roman"/>
      <w:b/>
      <w:bCs/>
      <w:sz w:val="28"/>
      <w:szCs w:val="28"/>
    </w:rPr>
  </w:style>
  <w:style w:type="paragraph" w:styleId="7">
    <w:name w:val="heading 6"/>
    <w:basedOn w:val="1"/>
    <w:next w:val="1"/>
    <w:link w:val="52"/>
    <w:qFormat/>
    <w:uiPriority w:val="9"/>
    <w:pPr>
      <w:keepNext/>
      <w:keepLines/>
      <w:spacing w:before="240" w:after="64" w:line="317" w:lineRule="auto"/>
      <w:outlineLvl w:val="5"/>
    </w:pPr>
    <w:rPr>
      <w:rFonts w:ascii="Cambria" w:hAnsi="Cambria" w:eastAsia="宋体" w:cs="Times New Roman"/>
      <w:b/>
      <w:bCs/>
      <w:kern w:val="0"/>
      <w:sz w:val="24"/>
      <w:szCs w:val="24"/>
      <w:lang w:val="zh-CN"/>
    </w:rPr>
  </w:style>
  <w:style w:type="paragraph" w:styleId="8">
    <w:name w:val="heading 7"/>
    <w:basedOn w:val="1"/>
    <w:next w:val="1"/>
    <w:link w:val="53"/>
    <w:qFormat/>
    <w:uiPriority w:val="9"/>
    <w:pPr>
      <w:keepNext/>
      <w:keepLines/>
      <w:spacing w:before="240" w:after="64" w:line="317" w:lineRule="auto"/>
      <w:outlineLvl w:val="6"/>
    </w:pPr>
    <w:rPr>
      <w:rFonts w:ascii="Calibri" w:hAnsi="Calibri" w:eastAsia="宋体" w:cs="Times New Roman"/>
      <w:b/>
      <w:bCs/>
      <w:kern w:val="0"/>
      <w:sz w:val="24"/>
      <w:szCs w:val="24"/>
      <w:lang w:val="zh-CN"/>
    </w:rPr>
  </w:style>
  <w:style w:type="paragraph" w:styleId="9">
    <w:name w:val="heading 8"/>
    <w:basedOn w:val="1"/>
    <w:next w:val="1"/>
    <w:link w:val="54"/>
    <w:qFormat/>
    <w:uiPriority w:val="9"/>
    <w:pPr>
      <w:keepNext/>
      <w:keepLines/>
      <w:spacing w:before="240" w:after="64" w:line="317" w:lineRule="auto"/>
      <w:outlineLvl w:val="7"/>
    </w:pPr>
    <w:rPr>
      <w:rFonts w:ascii="Cambria" w:hAnsi="Cambria" w:eastAsia="宋体" w:cs="Times New Roman"/>
      <w:kern w:val="0"/>
      <w:sz w:val="24"/>
      <w:szCs w:val="24"/>
      <w:lang w:val="zh-CN"/>
    </w:rPr>
  </w:style>
  <w:style w:type="paragraph" w:styleId="10">
    <w:name w:val="heading 9"/>
    <w:basedOn w:val="1"/>
    <w:next w:val="1"/>
    <w:link w:val="55"/>
    <w:qFormat/>
    <w:uiPriority w:val="9"/>
    <w:pPr>
      <w:keepNext/>
      <w:keepLines/>
      <w:spacing w:before="240" w:after="64" w:line="317" w:lineRule="auto"/>
      <w:outlineLvl w:val="8"/>
    </w:pPr>
    <w:rPr>
      <w:rFonts w:ascii="Cambria" w:hAnsi="Cambria" w:eastAsia="宋体" w:cs="Times New Roman"/>
      <w:kern w:val="0"/>
      <w:sz w:val="20"/>
      <w:lang w:val="zh-CN"/>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eastAsia="宋体" w:cs="Calibri"/>
    </w:rPr>
  </w:style>
  <w:style w:type="paragraph" w:styleId="12">
    <w:name w:val="Normal Indent"/>
    <w:basedOn w:val="1"/>
    <w:unhideWhenUsed/>
    <w:qFormat/>
    <w:uiPriority w:val="99"/>
    <w:pPr>
      <w:ind w:firstLine="420"/>
    </w:pPr>
    <w:rPr>
      <w:rFonts w:ascii="Times New Roman" w:hAnsi="Times New Roman" w:eastAsia="宋体" w:cs="Times New Roman"/>
      <w:szCs w:val="20"/>
    </w:rPr>
  </w:style>
  <w:style w:type="paragraph" w:styleId="13">
    <w:name w:val="caption"/>
    <w:basedOn w:val="1"/>
    <w:next w:val="1"/>
    <w:qFormat/>
    <w:uiPriority w:val="99"/>
    <w:rPr>
      <w:rFonts w:ascii="Cambria" w:hAnsi="Cambria" w:eastAsia="黑体" w:cs="Cambria"/>
      <w:sz w:val="20"/>
      <w:szCs w:val="20"/>
    </w:rPr>
  </w:style>
  <w:style w:type="paragraph" w:styleId="14">
    <w:name w:val="Document Map"/>
    <w:basedOn w:val="1"/>
    <w:link w:val="72"/>
    <w:semiHidden/>
    <w:qFormat/>
    <w:uiPriority w:val="99"/>
    <w:pPr>
      <w:shd w:val="clear" w:color="auto" w:fill="000080"/>
    </w:pPr>
    <w:rPr>
      <w:kern w:val="0"/>
      <w:sz w:val="24"/>
      <w:szCs w:val="24"/>
      <w:shd w:val="clear" w:color="auto" w:fill="000080"/>
    </w:rPr>
  </w:style>
  <w:style w:type="paragraph" w:styleId="15">
    <w:name w:val="annotation text"/>
    <w:basedOn w:val="1"/>
    <w:link w:val="56"/>
    <w:unhideWhenUsed/>
    <w:qFormat/>
    <w:uiPriority w:val="99"/>
    <w:pPr>
      <w:jc w:val="left"/>
    </w:pPr>
  </w:style>
  <w:style w:type="paragraph" w:styleId="16">
    <w:name w:val="Body Text"/>
    <w:basedOn w:val="1"/>
    <w:link w:val="97"/>
    <w:qFormat/>
    <w:uiPriority w:val="99"/>
    <w:pPr>
      <w:adjustRightInd w:val="0"/>
      <w:spacing w:after="60" w:line="360" w:lineRule="atLeast"/>
      <w:ind w:left="72" w:leftChars="30" w:right="30" w:rightChars="30"/>
      <w:jc w:val="center"/>
      <w:textAlignment w:val="baseline"/>
    </w:pPr>
    <w:rPr>
      <w:rFonts w:eastAsia="宋体"/>
      <w:kern w:val="0"/>
      <w:sz w:val="22"/>
      <w:szCs w:val="20"/>
    </w:rPr>
  </w:style>
  <w:style w:type="paragraph" w:styleId="17">
    <w:name w:val="Body Text Indent"/>
    <w:basedOn w:val="1"/>
    <w:link w:val="133"/>
    <w:qFormat/>
    <w:uiPriority w:val="99"/>
    <w:pPr>
      <w:spacing w:before="240" w:line="360" w:lineRule="auto"/>
      <w:ind w:firstLine="552" w:firstLineChars="263"/>
    </w:pPr>
    <w:rPr>
      <w:rFonts w:ascii="宋体" w:eastAsia="宋体" w:cs="宋体"/>
      <w:kern w:val="0"/>
      <w:sz w:val="20"/>
      <w:szCs w:val="21"/>
    </w:rPr>
  </w:style>
  <w:style w:type="paragraph" w:styleId="18">
    <w:name w:val="index 4"/>
    <w:basedOn w:val="1"/>
    <w:next w:val="1"/>
    <w:semiHidden/>
    <w:qFormat/>
    <w:uiPriority w:val="99"/>
    <w:pPr>
      <w:ind w:left="600" w:leftChars="600"/>
    </w:pPr>
    <w:rPr>
      <w:rFonts w:ascii="Calibri" w:hAnsi="Calibri" w:eastAsia="宋体" w:cs="Times New Roman"/>
    </w:rPr>
  </w:style>
  <w:style w:type="paragraph" w:styleId="19">
    <w:name w:val="toc 5"/>
    <w:basedOn w:val="1"/>
    <w:next w:val="1"/>
    <w:qFormat/>
    <w:uiPriority w:val="39"/>
    <w:pPr>
      <w:ind w:left="1680" w:leftChars="800"/>
    </w:pPr>
    <w:rPr>
      <w:rFonts w:ascii="Calibri" w:hAnsi="Calibri" w:eastAsia="宋体" w:cs="Calibri"/>
    </w:rPr>
  </w:style>
  <w:style w:type="paragraph" w:styleId="20">
    <w:name w:val="toc 3"/>
    <w:basedOn w:val="1"/>
    <w:next w:val="1"/>
    <w:unhideWhenUsed/>
    <w:qFormat/>
    <w:uiPriority w:val="39"/>
    <w:pPr>
      <w:ind w:left="840" w:leftChars="400"/>
    </w:pPr>
  </w:style>
  <w:style w:type="paragraph" w:styleId="21">
    <w:name w:val="Plain Text"/>
    <w:basedOn w:val="1"/>
    <w:link w:val="124"/>
    <w:qFormat/>
    <w:uiPriority w:val="0"/>
    <w:rPr>
      <w:rFonts w:ascii="宋体" w:hAnsi="Courier New" w:eastAsia="宋体" w:cs="宋体"/>
      <w:kern w:val="0"/>
      <w:sz w:val="24"/>
      <w:szCs w:val="24"/>
    </w:rPr>
  </w:style>
  <w:style w:type="paragraph" w:styleId="22">
    <w:name w:val="toc 8"/>
    <w:basedOn w:val="1"/>
    <w:next w:val="1"/>
    <w:qFormat/>
    <w:uiPriority w:val="39"/>
    <w:pPr>
      <w:ind w:left="2940" w:leftChars="1400"/>
    </w:pPr>
    <w:rPr>
      <w:rFonts w:ascii="Calibri" w:hAnsi="Calibri" w:eastAsia="宋体" w:cs="Calibri"/>
    </w:rPr>
  </w:style>
  <w:style w:type="paragraph" w:styleId="23">
    <w:name w:val="Date"/>
    <w:basedOn w:val="1"/>
    <w:next w:val="1"/>
    <w:link w:val="137"/>
    <w:qFormat/>
    <w:uiPriority w:val="99"/>
    <w:pPr>
      <w:ind w:left="100" w:leftChars="2500"/>
    </w:pPr>
    <w:rPr>
      <w:kern w:val="0"/>
      <w:sz w:val="24"/>
      <w:szCs w:val="24"/>
    </w:rPr>
  </w:style>
  <w:style w:type="paragraph" w:styleId="24">
    <w:name w:val="Body Text Indent 2"/>
    <w:basedOn w:val="1"/>
    <w:link w:val="129"/>
    <w:qFormat/>
    <w:uiPriority w:val="99"/>
    <w:pPr>
      <w:spacing w:after="120" w:line="480" w:lineRule="auto"/>
      <w:ind w:left="420" w:leftChars="200"/>
    </w:pPr>
    <w:rPr>
      <w:kern w:val="0"/>
      <w:sz w:val="24"/>
      <w:szCs w:val="24"/>
    </w:rPr>
  </w:style>
  <w:style w:type="paragraph" w:styleId="25">
    <w:name w:val="Balloon Text"/>
    <w:basedOn w:val="1"/>
    <w:link w:val="57"/>
    <w:semiHidden/>
    <w:unhideWhenUsed/>
    <w:qFormat/>
    <w:uiPriority w:val="99"/>
    <w:rPr>
      <w:sz w:val="18"/>
      <w:szCs w:val="18"/>
    </w:rPr>
  </w:style>
  <w:style w:type="paragraph" w:styleId="26">
    <w:name w:val="footer"/>
    <w:basedOn w:val="1"/>
    <w:link w:val="58"/>
    <w:unhideWhenUsed/>
    <w:qFormat/>
    <w:uiPriority w:val="99"/>
    <w:pPr>
      <w:tabs>
        <w:tab w:val="center" w:pos="4153"/>
        <w:tab w:val="right" w:pos="8306"/>
      </w:tabs>
      <w:snapToGrid w:val="0"/>
      <w:jc w:val="left"/>
    </w:pPr>
    <w:rPr>
      <w:sz w:val="18"/>
      <w:szCs w:val="18"/>
    </w:rPr>
  </w:style>
  <w:style w:type="paragraph" w:styleId="27">
    <w:name w:val="header"/>
    <w:basedOn w:val="1"/>
    <w:link w:val="59"/>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unhideWhenUsed/>
    <w:qFormat/>
    <w:uiPriority w:val="39"/>
  </w:style>
  <w:style w:type="paragraph" w:styleId="29">
    <w:name w:val="toc 4"/>
    <w:basedOn w:val="1"/>
    <w:next w:val="1"/>
    <w:qFormat/>
    <w:uiPriority w:val="39"/>
    <w:pPr>
      <w:ind w:left="1260" w:leftChars="600"/>
    </w:pPr>
    <w:rPr>
      <w:rFonts w:ascii="Calibri" w:hAnsi="Calibri" w:eastAsia="宋体" w:cs="Calibri"/>
    </w:rPr>
  </w:style>
  <w:style w:type="paragraph" w:styleId="30">
    <w:name w:val="Subtitle"/>
    <w:basedOn w:val="1"/>
    <w:next w:val="1"/>
    <w:link w:val="101"/>
    <w:qFormat/>
    <w:uiPriority w:val="11"/>
    <w:pPr>
      <w:spacing w:before="240" w:after="60" w:line="312" w:lineRule="auto"/>
      <w:jc w:val="center"/>
      <w:outlineLvl w:val="1"/>
    </w:pPr>
    <w:rPr>
      <w:rFonts w:ascii="Cambria" w:hAnsi="Cambria" w:cs="Times New Roman"/>
      <w:b/>
      <w:bCs/>
      <w:kern w:val="28"/>
      <w:sz w:val="32"/>
      <w:szCs w:val="32"/>
    </w:rPr>
  </w:style>
  <w:style w:type="paragraph" w:styleId="31">
    <w:name w:val="footnote text"/>
    <w:basedOn w:val="1"/>
    <w:link w:val="127"/>
    <w:semiHidden/>
    <w:qFormat/>
    <w:uiPriority w:val="99"/>
    <w:pPr>
      <w:adjustRightInd w:val="0"/>
      <w:spacing w:line="312" w:lineRule="atLeast"/>
      <w:jc w:val="left"/>
      <w:textAlignment w:val="baseline"/>
    </w:pPr>
    <w:rPr>
      <w:kern w:val="0"/>
      <w:sz w:val="18"/>
      <w:szCs w:val="18"/>
    </w:rPr>
  </w:style>
  <w:style w:type="paragraph" w:styleId="32">
    <w:name w:val="toc 6"/>
    <w:basedOn w:val="1"/>
    <w:next w:val="1"/>
    <w:qFormat/>
    <w:uiPriority w:val="39"/>
    <w:pPr>
      <w:ind w:left="2100" w:leftChars="1000"/>
    </w:pPr>
    <w:rPr>
      <w:rFonts w:ascii="Calibri" w:hAnsi="Calibri" w:eastAsia="宋体" w:cs="Calibri"/>
    </w:rPr>
  </w:style>
  <w:style w:type="paragraph" w:styleId="33">
    <w:name w:val="toc 2"/>
    <w:basedOn w:val="1"/>
    <w:next w:val="1"/>
    <w:unhideWhenUsed/>
    <w:qFormat/>
    <w:uiPriority w:val="39"/>
    <w:pPr>
      <w:ind w:left="420" w:leftChars="200"/>
    </w:pPr>
  </w:style>
  <w:style w:type="paragraph" w:styleId="34">
    <w:name w:val="toc 9"/>
    <w:basedOn w:val="1"/>
    <w:next w:val="1"/>
    <w:qFormat/>
    <w:uiPriority w:val="39"/>
    <w:pPr>
      <w:ind w:left="3360" w:leftChars="1600"/>
    </w:pPr>
    <w:rPr>
      <w:rFonts w:ascii="Calibri" w:hAnsi="Calibri" w:eastAsia="宋体" w:cs="Calibri"/>
    </w:rPr>
  </w:style>
  <w:style w:type="paragraph" w:styleId="3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36">
    <w:name w:val="Title"/>
    <w:basedOn w:val="1"/>
    <w:next w:val="1"/>
    <w:link w:val="84"/>
    <w:qFormat/>
    <w:uiPriority w:val="99"/>
    <w:pPr>
      <w:spacing w:before="240" w:after="60"/>
      <w:jc w:val="center"/>
      <w:outlineLvl w:val="0"/>
    </w:pPr>
    <w:rPr>
      <w:rFonts w:ascii="Cambria" w:hAnsi="Cambria" w:cs="Cambria"/>
      <w:b/>
      <w:bCs/>
      <w:kern w:val="0"/>
      <w:sz w:val="32"/>
      <w:szCs w:val="32"/>
    </w:rPr>
  </w:style>
  <w:style w:type="paragraph" w:styleId="37">
    <w:name w:val="annotation subject"/>
    <w:basedOn w:val="15"/>
    <w:next w:val="15"/>
    <w:link w:val="60"/>
    <w:semiHidden/>
    <w:unhideWhenUsed/>
    <w:qFormat/>
    <w:uiPriority w:val="99"/>
    <w:rPr>
      <w:b/>
      <w:bCs/>
    </w:rPr>
  </w:style>
  <w:style w:type="table" w:styleId="39">
    <w:name w:val="Table Grid"/>
    <w:basedOn w:val="3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22"/>
    <w:rPr>
      <w:b/>
      <w:bCs/>
    </w:rPr>
  </w:style>
  <w:style w:type="character" w:styleId="42">
    <w:name w:val="page number"/>
    <w:basedOn w:val="40"/>
    <w:qFormat/>
    <w:uiPriority w:val="99"/>
  </w:style>
  <w:style w:type="character" w:styleId="43">
    <w:name w:val="FollowedHyperlink"/>
    <w:qFormat/>
    <w:uiPriority w:val="99"/>
    <w:rPr>
      <w:color w:val="800080"/>
      <w:u w:val="single"/>
    </w:rPr>
  </w:style>
  <w:style w:type="character" w:styleId="44">
    <w:name w:val="Emphasis"/>
    <w:qFormat/>
    <w:uiPriority w:val="99"/>
    <w:rPr>
      <w:i/>
      <w:iCs/>
    </w:rPr>
  </w:style>
  <w:style w:type="character" w:styleId="45">
    <w:name w:val="Hyperlink"/>
    <w:basedOn w:val="40"/>
    <w:unhideWhenUsed/>
    <w:qFormat/>
    <w:uiPriority w:val="99"/>
    <w:rPr>
      <w:color w:val="0563C1" w:themeColor="hyperlink"/>
      <w:u w:val="single"/>
      <w14:textFill>
        <w14:solidFill>
          <w14:schemeClr w14:val="hlink"/>
        </w14:solidFill>
      </w14:textFill>
    </w:rPr>
  </w:style>
  <w:style w:type="character" w:styleId="46">
    <w:name w:val="annotation reference"/>
    <w:basedOn w:val="40"/>
    <w:unhideWhenUsed/>
    <w:qFormat/>
    <w:uiPriority w:val="99"/>
    <w:rPr>
      <w:sz w:val="21"/>
      <w:szCs w:val="21"/>
    </w:rPr>
  </w:style>
  <w:style w:type="character" w:customStyle="1" w:styleId="47">
    <w:name w:val="标题 2 字符"/>
    <w:basedOn w:val="40"/>
    <w:link w:val="3"/>
    <w:qFormat/>
    <w:uiPriority w:val="9"/>
    <w:rPr>
      <w:rFonts w:asciiTheme="majorHAnsi" w:hAnsiTheme="majorHAnsi" w:eastAsiaTheme="majorEastAsia" w:cstheme="majorBidi"/>
      <w:b/>
      <w:bCs/>
      <w:sz w:val="32"/>
      <w:szCs w:val="32"/>
    </w:rPr>
  </w:style>
  <w:style w:type="character" w:customStyle="1" w:styleId="48">
    <w:name w:val="标题 1 字符"/>
    <w:basedOn w:val="40"/>
    <w:link w:val="2"/>
    <w:qFormat/>
    <w:uiPriority w:val="9"/>
    <w:rPr>
      <w:b/>
      <w:bCs/>
      <w:kern w:val="44"/>
      <w:sz w:val="44"/>
      <w:szCs w:val="44"/>
    </w:rPr>
  </w:style>
  <w:style w:type="character" w:customStyle="1" w:styleId="49">
    <w:name w:val="标题 3 字符"/>
    <w:basedOn w:val="40"/>
    <w:link w:val="4"/>
    <w:qFormat/>
    <w:uiPriority w:val="9"/>
    <w:rPr>
      <w:b/>
      <w:bCs/>
      <w:sz w:val="32"/>
      <w:szCs w:val="32"/>
    </w:rPr>
  </w:style>
  <w:style w:type="character" w:customStyle="1" w:styleId="50">
    <w:name w:val="标题 4 字符"/>
    <w:basedOn w:val="40"/>
    <w:link w:val="5"/>
    <w:qFormat/>
    <w:uiPriority w:val="99"/>
    <w:rPr>
      <w:rFonts w:ascii="Arial" w:hAnsi="Arial" w:eastAsia="宋体" w:cs="Times New Roman"/>
      <w:b/>
      <w:bCs/>
      <w:kern w:val="2"/>
      <w:sz w:val="28"/>
      <w:szCs w:val="28"/>
    </w:rPr>
  </w:style>
  <w:style w:type="character" w:customStyle="1" w:styleId="51">
    <w:name w:val="标题 5 字符"/>
    <w:basedOn w:val="40"/>
    <w:link w:val="6"/>
    <w:qFormat/>
    <w:uiPriority w:val="99"/>
    <w:rPr>
      <w:rFonts w:ascii="Calibri" w:hAnsi="Calibri" w:eastAsia="宋体" w:cs="Times New Roman"/>
      <w:b/>
      <w:bCs/>
      <w:kern w:val="2"/>
      <w:sz w:val="28"/>
      <w:szCs w:val="28"/>
    </w:rPr>
  </w:style>
  <w:style w:type="character" w:customStyle="1" w:styleId="52">
    <w:name w:val="标题 6 字符"/>
    <w:basedOn w:val="40"/>
    <w:link w:val="7"/>
    <w:qFormat/>
    <w:uiPriority w:val="9"/>
    <w:rPr>
      <w:rFonts w:ascii="Cambria" w:hAnsi="Cambria" w:eastAsia="宋体" w:cs="Times New Roman"/>
      <w:b/>
      <w:bCs/>
      <w:sz w:val="24"/>
      <w:szCs w:val="24"/>
      <w:lang w:val="zh-CN" w:eastAsia="zh-CN"/>
    </w:rPr>
  </w:style>
  <w:style w:type="character" w:customStyle="1" w:styleId="53">
    <w:name w:val="标题 7 字符"/>
    <w:basedOn w:val="40"/>
    <w:link w:val="8"/>
    <w:qFormat/>
    <w:uiPriority w:val="9"/>
    <w:rPr>
      <w:rFonts w:ascii="Calibri" w:hAnsi="Calibri" w:eastAsia="宋体" w:cs="Times New Roman"/>
      <w:b/>
      <w:bCs/>
      <w:sz w:val="24"/>
      <w:szCs w:val="24"/>
      <w:lang w:val="zh-CN" w:eastAsia="zh-CN"/>
    </w:rPr>
  </w:style>
  <w:style w:type="character" w:customStyle="1" w:styleId="54">
    <w:name w:val="标题 8 字符"/>
    <w:basedOn w:val="40"/>
    <w:link w:val="9"/>
    <w:qFormat/>
    <w:uiPriority w:val="9"/>
    <w:rPr>
      <w:rFonts w:ascii="Cambria" w:hAnsi="Cambria" w:eastAsia="宋体" w:cs="Times New Roman"/>
      <w:sz w:val="24"/>
      <w:szCs w:val="24"/>
      <w:lang w:val="zh-CN" w:eastAsia="zh-CN"/>
    </w:rPr>
  </w:style>
  <w:style w:type="character" w:customStyle="1" w:styleId="55">
    <w:name w:val="标题 9 字符"/>
    <w:basedOn w:val="40"/>
    <w:link w:val="10"/>
    <w:qFormat/>
    <w:uiPriority w:val="9"/>
    <w:rPr>
      <w:rFonts w:ascii="Cambria" w:hAnsi="Cambria" w:eastAsia="宋体" w:cs="Times New Roman"/>
      <w:szCs w:val="22"/>
      <w:lang w:val="zh-CN" w:eastAsia="zh-CN"/>
    </w:rPr>
  </w:style>
  <w:style w:type="character" w:customStyle="1" w:styleId="56">
    <w:name w:val="批注文字 字符"/>
    <w:basedOn w:val="40"/>
    <w:link w:val="15"/>
    <w:qFormat/>
    <w:uiPriority w:val="99"/>
  </w:style>
  <w:style w:type="character" w:customStyle="1" w:styleId="57">
    <w:name w:val="批注框文本 字符"/>
    <w:basedOn w:val="40"/>
    <w:link w:val="25"/>
    <w:qFormat/>
    <w:uiPriority w:val="99"/>
    <w:rPr>
      <w:sz w:val="18"/>
      <w:szCs w:val="18"/>
    </w:rPr>
  </w:style>
  <w:style w:type="character" w:customStyle="1" w:styleId="58">
    <w:name w:val="页脚 字符"/>
    <w:basedOn w:val="40"/>
    <w:link w:val="26"/>
    <w:qFormat/>
    <w:uiPriority w:val="99"/>
    <w:rPr>
      <w:sz w:val="18"/>
      <w:szCs w:val="18"/>
    </w:rPr>
  </w:style>
  <w:style w:type="character" w:customStyle="1" w:styleId="59">
    <w:name w:val="页眉 字符"/>
    <w:basedOn w:val="40"/>
    <w:link w:val="27"/>
    <w:qFormat/>
    <w:uiPriority w:val="99"/>
    <w:rPr>
      <w:sz w:val="18"/>
      <w:szCs w:val="18"/>
    </w:rPr>
  </w:style>
  <w:style w:type="character" w:customStyle="1" w:styleId="60">
    <w:name w:val="批注主题 字符"/>
    <w:basedOn w:val="56"/>
    <w:link w:val="37"/>
    <w:qFormat/>
    <w:uiPriority w:val="99"/>
    <w:rPr>
      <w:b/>
      <w:bCs/>
    </w:rPr>
  </w:style>
  <w:style w:type="character" w:customStyle="1" w:styleId="61">
    <w:name w:val="批注文字 Char2"/>
    <w:qFormat/>
    <w:locked/>
    <w:uiPriority w:val="0"/>
    <w:rPr>
      <w:rFonts w:eastAsia="宋体"/>
      <w:kern w:val="2"/>
      <w:sz w:val="24"/>
      <w:szCs w:val="24"/>
      <w:lang w:val="en-US" w:eastAsia="zh-CN"/>
    </w:rPr>
  </w:style>
  <w:style w:type="paragraph" w:customStyle="1" w:styleId="62">
    <w:name w:val="修订1"/>
    <w:hidden/>
    <w:qFormat/>
    <w:uiPriority w:val="99"/>
    <w:rPr>
      <w:rFonts w:asciiTheme="minorHAnsi" w:hAnsiTheme="minorHAnsi" w:eastAsiaTheme="minorEastAsia" w:cstheme="minorBidi"/>
      <w:kern w:val="2"/>
      <w:sz w:val="21"/>
      <w:szCs w:val="22"/>
      <w:lang w:val="en-US" w:eastAsia="zh-CN" w:bidi="ar-SA"/>
    </w:rPr>
  </w:style>
  <w:style w:type="paragraph" w:customStyle="1" w:styleId="6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6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
    <w:name w:val="正文_2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批注文字 Char Char"/>
    <w:qFormat/>
    <w:uiPriority w:val="99"/>
    <w:rPr>
      <w:rFonts w:ascii="宋体" w:hAnsi="Times New Roman" w:eastAsia="宋体" w:cs="宋体"/>
      <w:sz w:val="20"/>
      <w:szCs w:val="20"/>
    </w:rPr>
  </w:style>
  <w:style w:type="character" w:customStyle="1" w:styleId="68">
    <w:name w:val="Heading 3 Char"/>
    <w:qFormat/>
    <w:uiPriority w:val="99"/>
    <w:rPr>
      <w:b/>
      <w:bCs/>
      <w:kern w:val="2"/>
      <w:sz w:val="32"/>
      <w:szCs w:val="32"/>
    </w:rPr>
  </w:style>
  <w:style w:type="character" w:customStyle="1" w:styleId="69">
    <w:name w:val="Heading 2 Char"/>
    <w:qFormat/>
    <w:uiPriority w:val="99"/>
    <w:rPr>
      <w:rFonts w:ascii="Arial" w:hAnsi="Arial" w:eastAsia="黑体" w:cs="Arial"/>
      <w:b/>
      <w:bCs/>
      <w:kern w:val="2"/>
      <w:sz w:val="32"/>
      <w:szCs w:val="32"/>
      <w:lang w:val="en-US" w:eastAsia="zh-CN"/>
    </w:rPr>
  </w:style>
  <w:style w:type="character" w:customStyle="1" w:styleId="70">
    <w:name w:val="Balloon Text Char"/>
    <w:qFormat/>
    <w:uiPriority w:val="99"/>
    <w:rPr>
      <w:sz w:val="18"/>
      <w:szCs w:val="18"/>
    </w:rPr>
  </w:style>
  <w:style w:type="character" w:customStyle="1" w:styleId="71">
    <w:name w:val="文档结构图 Char1"/>
    <w:qFormat/>
    <w:uiPriority w:val="99"/>
    <w:rPr>
      <w:rFonts w:ascii="宋体" w:hAnsi="Times New Roman" w:eastAsia="宋体" w:cs="宋体"/>
      <w:sz w:val="18"/>
      <w:szCs w:val="18"/>
    </w:rPr>
  </w:style>
  <w:style w:type="character" w:customStyle="1" w:styleId="72">
    <w:name w:val="文档结构图 字符"/>
    <w:link w:val="14"/>
    <w:qFormat/>
    <w:locked/>
    <w:uiPriority w:val="99"/>
    <w:rPr>
      <w:sz w:val="24"/>
      <w:szCs w:val="24"/>
      <w:shd w:val="clear" w:color="auto" w:fill="000080"/>
    </w:rPr>
  </w:style>
  <w:style w:type="character" w:customStyle="1" w:styleId="73">
    <w:name w:val="文档结构图 Char2"/>
    <w:basedOn w:val="40"/>
    <w:semiHidden/>
    <w:qFormat/>
    <w:uiPriority w:val="99"/>
    <w:rPr>
      <w:rFonts w:ascii="Microsoft YaHei UI" w:eastAsia="Microsoft YaHei UI"/>
      <w:kern w:val="2"/>
      <w:sz w:val="18"/>
      <w:szCs w:val="18"/>
    </w:rPr>
  </w:style>
  <w:style w:type="character" w:customStyle="1" w:styleId="74">
    <w:name w:val="Footnote Text Char"/>
    <w:qFormat/>
    <w:uiPriority w:val="99"/>
    <w:rPr>
      <w:rFonts w:eastAsia="宋体"/>
      <w:sz w:val="18"/>
      <w:szCs w:val="18"/>
      <w:lang w:val="en-US" w:eastAsia="zh-CN"/>
    </w:rPr>
  </w:style>
  <w:style w:type="character" w:customStyle="1" w:styleId="75">
    <w:name w:val="Char Char21"/>
    <w:qFormat/>
    <w:uiPriority w:val="99"/>
    <w:rPr>
      <w:rFonts w:ascii="Arial" w:hAnsi="Arial" w:eastAsia="黑体" w:cs="Arial"/>
      <w:b/>
      <w:bCs/>
      <w:sz w:val="32"/>
      <w:szCs w:val="32"/>
    </w:rPr>
  </w:style>
  <w:style w:type="character" w:customStyle="1" w:styleId="76">
    <w:name w:val="批注文字 Char1"/>
    <w:qFormat/>
    <w:uiPriority w:val="99"/>
    <w:rPr>
      <w:rFonts w:ascii="Times New Roman" w:hAnsi="Times New Roman" w:eastAsia="宋体" w:cs="Times New Roman"/>
      <w:sz w:val="24"/>
      <w:szCs w:val="24"/>
    </w:rPr>
  </w:style>
  <w:style w:type="character" w:customStyle="1" w:styleId="77">
    <w:name w:val="Body Text Indent Char"/>
    <w:qFormat/>
    <w:uiPriority w:val="99"/>
    <w:rPr>
      <w:rFonts w:ascii="宋体" w:hAnsi="宋体" w:eastAsia="宋体" w:cs="宋体"/>
      <w:kern w:val="2"/>
      <w:sz w:val="21"/>
      <w:szCs w:val="21"/>
      <w:lang w:val="en-US" w:eastAsia="zh-CN"/>
    </w:rPr>
  </w:style>
  <w:style w:type="character" w:customStyle="1" w:styleId="78">
    <w:name w:val="不明显参考1"/>
    <w:qFormat/>
    <w:uiPriority w:val="99"/>
    <w:rPr>
      <w:smallCaps/>
      <w:color w:val="auto"/>
      <w:u w:val="single"/>
    </w:rPr>
  </w:style>
  <w:style w:type="character" w:customStyle="1" w:styleId="79">
    <w:name w:val="Heading 4 Char"/>
    <w:qFormat/>
    <w:uiPriority w:val="99"/>
    <w:rPr>
      <w:rFonts w:ascii="Arial" w:hAnsi="Arial" w:eastAsia="宋体" w:cs="Arial"/>
      <w:b/>
      <w:bCs/>
      <w:kern w:val="2"/>
      <w:sz w:val="28"/>
      <w:szCs w:val="28"/>
      <w:lang w:val="en-US" w:eastAsia="zh-CN"/>
    </w:rPr>
  </w:style>
  <w:style w:type="character" w:customStyle="1" w:styleId="80">
    <w:name w:val="Char Char20"/>
    <w:qFormat/>
    <w:uiPriority w:val="99"/>
    <w:rPr>
      <w:rFonts w:ascii="Times New Roman" w:hAnsi="Times New Roman" w:eastAsia="宋体" w:cs="Times New Roman"/>
      <w:b/>
      <w:bCs/>
      <w:sz w:val="32"/>
      <w:szCs w:val="32"/>
    </w:rPr>
  </w:style>
  <w:style w:type="character" w:customStyle="1" w:styleId="81">
    <w:name w:val="Comment Subject Char"/>
    <w:qFormat/>
    <w:uiPriority w:val="99"/>
    <w:rPr>
      <w:b/>
      <w:bCs/>
      <w:sz w:val="24"/>
      <w:szCs w:val="24"/>
    </w:rPr>
  </w:style>
  <w:style w:type="character" w:customStyle="1" w:styleId="82">
    <w:name w:val="Heading 1 Char"/>
    <w:qFormat/>
    <w:uiPriority w:val="99"/>
    <w:rPr>
      <w:rFonts w:eastAsia="宋体"/>
      <w:b/>
      <w:bCs/>
      <w:kern w:val="44"/>
      <w:sz w:val="44"/>
      <w:szCs w:val="44"/>
      <w:lang w:val="en-US" w:eastAsia="zh-CN"/>
    </w:rPr>
  </w:style>
  <w:style w:type="character" w:customStyle="1" w:styleId="83">
    <w:name w:val="批注框文本 Char1"/>
    <w:qFormat/>
    <w:uiPriority w:val="99"/>
    <w:rPr>
      <w:rFonts w:ascii="Times New Roman" w:hAnsi="Times New Roman" w:eastAsia="宋体" w:cs="Times New Roman"/>
      <w:sz w:val="18"/>
      <w:szCs w:val="18"/>
    </w:rPr>
  </w:style>
  <w:style w:type="character" w:customStyle="1" w:styleId="84">
    <w:name w:val="标题 字符"/>
    <w:link w:val="36"/>
    <w:qFormat/>
    <w:locked/>
    <w:uiPriority w:val="99"/>
    <w:rPr>
      <w:rFonts w:ascii="Cambria" w:hAnsi="Cambria" w:cs="Cambria"/>
      <w:b/>
      <w:bCs/>
      <w:sz w:val="32"/>
      <w:szCs w:val="32"/>
    </w:rPr>
  </w:style>
  <w:style w:type="character" w:customStyle="1" w:styleId="85">
    <w:name w:val="标题 Char1"/>
    <w:basedOn w:val="40"/>
    <w:qFormat/>
    <w:uiPriority w:val="99"/>
    <w:rPr>
      <w:rFonts w:eastAsia="宋体" w:asciiTheme="majorHAnsi" w:hAnsiTheme="majorHAnsi" w:cstheme="majorBidi"/>
      <w:b/>
      <w:bCs/>
      <w:kern w:val="2"/>
      <w:sz w:val="32"/>
      <w:szCs w:val="32"/>
    </w:rPr>
  </w:style>
  <w:style w:type="character" w:customStyle="1" w:styleId="86">
    <w:name w:val="Char Char6"/>
    <w:qFormat/>
    <w:uiPriority w:val="99"/>
    <w:rPr>
      <w:rFonts w:eastAsia="宋体"/>
      <w:b/>
      <w:bCs/>
      <w:kern w:val="44"/>
      <w:sz w:val="44"/>
      <w:szCs w:val="44"/>
      <w:lang w:val="en-US" w:eastAsia="zh-CN"/>
    </w:rPr>
  </w:style>
  <w:style w:type="character" w:customStyle="1" w:styleId="87">
    <w:name w:val="Char Char18"/>
    <w:qFormat/>
    <w:uiPriority w:val="99"/>
    <w:rPr>
      <w:rFonts w:ascii="Times New Roman" w:hAnsi="Times New Roman" w:eastAsia="宋体" w:cs="Times New Roman"/>
      <w:b/>
      <w:bCs/>
      <w:sz w:val="28"/>
      <w:szCs w:val="28"/>
    </w:rPr>
  </w:style>
  <w:style w:type="character" w:customStyle="1" w:styleId="88">
    <w:name w:val="Body Text Indent 2 Char"/>
    <w:qFormat/>
    <w:uiPriority w:val="99"/>
    <w:rPr>
      <w:rFonts w:eastAsia="宋体"/>
      <w:kern w:val="2"/>
      <w:sz w:val="24"/>
      <w:szCs w:val="24"/>
      <w:lang w:val="en-US" w:eastAsia="zh-CN"/>
    </w:rPr>
  </w:style>
  <w:style w:type="character" w:customStyle="1" w:styleId="89">
    <w:name w:val="Comment Text Char1"/>
    <w:qFormat/>
    <w:uiPriority w:val="99"/>
    <w:rPr>
      <w:sz w:val="24"/>
      <w:szCs w:val="24"/>
    </w:rPr>
  </w:style>
  <w:style w:type="character" w:customStyle="1" w:styleId="90">
    <w:name w:val="正文文本 Char1"/>
    <w:qFormat/>
    <w:uiPriority w:val="99"/>
    <w:rPr>
      <w:kern w:val="2"/>
      <w:sz w:val="22"/>
      <w:szCs w:val="22"/>
    </w:rPr>
  </w:style>
  <w:style w:type="character" w:customStyle="1" w:styleId="91">
    <w:name w:val="标题5 Char Char"/>
    <w:link w:val="92"/>
    <w:qFormat/>
    <w:locked/>
    <w:uiPriority w:val="99"/>
    <w:rPr>
      <w:rFonts w:ascii="Arial" w:hAnsi="Arial" w:cs="Arial"/>
      <w:b/>
      <w:bCs/>
      <w:sz w:val="32"/>
      <w:szCs w:val="32"/>
    </w:rPr>
  </w:style>
  <w:style w:type="paragraph" w:customStyle="1" w:styleId="92">
    <w:name w:val="标题5"/>
    <w:basedOn w:val="4"/>
    <w:link w:val="91"/>
    <w:qFormat/>
    <w:uiPriority w:val="99"/>
    <w:pPr>
      <w:spacing w:line="413" w:lineRule="auto"/>
    </w:pPr>
    <w:rPr>
      <w:rFonts w:ascii="Arial" w:hAnsi="Arial" w:cs="Arial"/>
      <w:kern w:val="0"/>
    </w:rPr>
  </w:style>
  <w:style w:type="character" w:customStyle="1" w:styleId="93">
    <w:name w:val="批注主题 Char1"/>
    <w:qFormat/>
    <w:uiPriority w:val="99"/>
    <w:rPr>
      <w:rFonts w:ascii="Times New Roman" w:hAnsi="Times New Roman" w:eastAsia="宋体" w:cs="Times New Roman"/>
      <w:b/>
      <w:bCs/>
      <w:sz w:val="24"/>
      <w:szCs w:val="24"/>
    </w:rPr>
  </w:style>
  <w:style w:type="character" w:customStyle="1" w:styleId="94">
    <w:name w:val="Char Char24"/>
    <w:qFormat/>
    <w:uiPriority w:val="99"/>
    <w:rPr>
      <w:rFonts w:eastAsia="宋体"/>
      <w:b/>
      <w:bCs/>
      <w:kern w:val="44"/>
      <w:sz w:val="44"/>
      <w:szCs w:val="44"/>
      <w:lang w:val="en-US" w:eastAsia="zh-CN"/>
    </w:rPr>
  </w:style>
  <w:style w:type="character" w:customStyle="1" w:styleId="95">
    <w:name w:val="Footer Char"/>
    <w:qFormat/>
    <w:uiPriority w:val="99"/>
    <w:rPr>
      <w:rFonts w:eastAsia="宋体"/>
      <w:kern w:val="2"/>
      <w:sz w:val="18"/>
      <w:szCs w:val="18"/>
      <w:lang w:val="en-US" w:eastAsia="zh-CN"/>
    </w:rPr>
  </w:style>
  <w:style w:type="character" w:customStyle="1" w:styleId="96">
    <w:name w:val="Char Char9"/>
    <w:qFormat/>
    <w:uiPriority w:val="99"/>
    <w:rPr>
      <w:rFonts w:eastAsia="宋体"/>
      <w:b/>
      <w:bCs/>
      <w:kern w:val="44"/>
      <w:sz w:val="44"/>
      <w:szCs w:val="44"/>
      <w:lang w:val="en-US" w:eastAsia="zh-CN"/>
    </w:rPr>
  </w:style>
  <w:style w:type="character" w:customStyle="1" w:styleId="97">
    <w:name w:val="正文文本 字符"/>
    <w:link w:val="16"/>
    <w:qFormat/>
    <w:locked/>
    <w:uiPriority w:val="99"/>
    <w:rPr>
      <w:rFonts w:eastAsia="宋体"/>
      <w:sz w:val="22"/>
    </w:rPr>
  </w:style>
  <w:style w:type="character" w:customStyle="1" w:styleId="98">
    <w:name w:val="正文文本 Char2"/>
    <w:basedOn w:val="40"/>
    <w:semiHidden/>
    <w:qFormat/>
    <w:uiPriority w:val="99"/>
    <w:rPr>
      <w:kern w:val="2"/>
      <w:sz w:val="21"/>
      <w:szCs w:val="22"/>
    </w:rPr>
  </w:style>
  <w:style w:type="character" w:customStyle="1" w:styleId="99">
    <w:name w:val="Heading 3 Char1"/>
    <w:qFormat/>
    <w:uiPriority w:val="99"/>
    <w:rPr>
      <w:rFonts w:eastAsia="宋体"/>
      <w:b/>
      <w:bCs/>
      <w:kern w:val="2"/>
      <w:sz w:val="32"/>
      <w:szCs w:val="32"/>
      <w:lang w:val="en-US" w:eastAsia="zh-CN"/>
    </w:rPr>
  </w:style>
  <w:style w:type="character" w:customStyle="1" w:styleId="100">
    <w:name w:val="Document Map Char"/>
    <w:qFormat/>
    <w:uiPriority w:val="99"/>
    <w:rPr>
      <w:rFonts w:eastAsia="宋体"/>
      <w:kern w:val="2"/>
      <w:sz w:val="24"/>
      <w:szCs w:val="24"/>
      <w:lang w:val="en-US" w:eastAsia="zh-CN"/>
    </w:rPr>
  </w:style>
  <w:style w:type="character" w:customStyle="1" w:styleId="101">
    <w:name w:val="副标题 字符"/>
    <w:link w:val="30"/>
    <w:qFormat/>
    <w:uiPriority w:val="11"/>
    <w:rPr>
      <w:rFonts w:ascii="Cambria" w:hAnsi="Cambria" w:cs="Times New Roman"/>
      <w:b/>
      <w:bCs/>
      <w:kern w:val="28"/>
      <w:sz w:val="32"/>
      <w:szCs w:val="32"/>
    </w:rPr>
  </w:style>
  <w:style w:type="character" w:customStyle="1" w:styleId="102">
    <w:name w:val="副标题 Char1"/>
    <w:basedOn w:val="40"/>
    <w:qFormat/>
    <w:uiPriority w:val="11"/>
    <w:rPr>
      <w:rFonts w:eastAsia="宋体" w:asciiTheme="majorHAnsi" w:hAnsiTheme="majorHAnsi" w:cstheme="majorBidi"/>
      <w:b/>
      <w:bCs/>
      <w:kern w:val="28"/>
      <w:sz w:val="32"/>
      <w:szCs w:val="32"/>
    </w:rPr>
  </w:style>
  <w:style w:type="character" w:customStyle="1" w:styleId="103">
    <w:name w:val="Char Char22"/>
    <w:qFormat/>
    <w:uiPriority w:val="99"/>
    <w:rPr>
      <w:rFonts w:ascii="Times New Roman" w:hAnsi="Times New Roman" w:eastAsia="宋体" w:cs="Times New Roman"/>
      <w:b/>
      <w:bCs/>
      <w:kern w:val="44"/>
      <w:sz w:val="44"/>
      <w:szCs w:val="44"/>
    </w:rPr>
  </w:style>
  <w:style w:type="character" w:customStyle="1" w:styleId="104">
    <w:name w:val="明显引用 Char"/>
    <w:link w:val="105"/>
    <w:qFormat/>
    <w:locked/>
    <w:uiPriority w:val="99"/>
    <w:rPr>
      <w:b/>
      <w:bCs/>
      <w:i/>
      <w:iCs/>
      <w:color w:val="4F81BD"/>
    </w:rPr>
  </w:style>
  <w:style w:type="paragraph" w:customStyle="1" w:styleId="105">
    <w:name w:val="明显引用1"/>
    <w:basedOn w:val="1"/>
    <w:next w:val="1"/>
    <w:link w:val="104"/>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06">
    <w:name w:val="标题4 Char Char"/>
    <w:link w:val="107"/>
    <w:qFormat/>
    <w:locked/>
    <w:uiPriority w:val="99"/>
    <w:rPr>
      <w:rFonts w:ascii="Arial" w:hAnsi="Arial" w:cs="Arial"/>
      <w:b/>
      <w:bCs/>
      <w:sz w:val="32"/>
      <w:szCs w:val="32"/>
    </w:rPr>
  </w:style>
  <w:style w:type="paragraph" w:customStyle="1" w:styleId="107">
    <w:name w:val="标题4"/>
    <w:basedOn w:val="3"/>
    <w:next w:val="18"/>
    <w:link w:val="106"/>
    <w:qFormat/>
    <w:uiPriority w:val="99"/>
    <w:pPr>
      <w:spacing w:before="60" w:after="60" w:line="413" w:lineRule="auto"/>
    </w:pPr>
    <w:rPr>
      <w:rFonts w:ascii="Arial" w:hAnsi="Arial" w:cs="Arial" w:eastAsiaTheme="minorEastAsia"/>
      <w:kern w:val="0"/>
    </w:rPr>
  </w:style>
  <w:style w:type="character" w:customStyle="1" w:styleId="108">
    <w:name w:val="Header Char"/>
    <w:qFormat/>
    <w:uiPriority w:val="99"/>
    <w:rPr>
      <w:rFonts w:eastAsia="宋体"/>
      <w:kern w:val="2"/>
      <w:sz w:val="18"/>
      <w:szCs w:val="18"/>
      <w:lang w:val="en-US" w:eastAsia="zh-CN"/>
    </w:rPr>
  </w:style>
  <w:style w:type="character" w:customStyle="1" w:styleId="109">
    <w:name w:val="明显引用 Char1"/>
    <w:qFormat/>
    <w:uiPriority w:val="99"/>
    <w:rPr>
      <w:rFonts w:ascii="Times New Roman" w:hAnsi="Times New Roman" w:eastAsia="宋体" w:cs="Times New Roman"/>
      <w:b/>
      <w:bCs/>
      <w:i/>
      <w:iCs/>
      <w:color w:val="4F81BD"/>
      <w:sz w:val="24"/>
      <w:szCs w:val="24"/>
    </w:rPr>
  </w:style>
  <w:style w:type="character" w:customStyle="1" w:styleId="110">
    <w:name w:val="Comment Text Char"/>
    <w:qFormat/>
    <w:uiPriority w:val="99"/>
    <w:rPr>
      <w:sz w:val="24"/>
      <w:szCs w:val="24"/>
    </w:rPr>
  </w:style>
  <w:style w:type="character" w:customStyle="1" w:styleId="111">
    <w:name w:val="明显参考1"/>
    <w:qFormat/>
    <w:uiPriority w:val="99"/>
    <w:rPr>
      <w:b/>
      <w:bCs/>
      <w:smallCaps/>
      <w:color w:val="auto"/>
      <w:spacing w:val="5"/>
      <w:u w:val="single"/>
    </w:rPr>
  </w:style>
  <w:style w:type="character" w:customStyle="1" w:styleId="112">
    <w:name w:val="明显强调1"/>
    <w:qFormat/>
    <w:uiPriority w:val="99"/>
    <w:rPr>
      <w:b/>
      <w:bCs/>
      <w:i/>
      <w:iCs/>
      <w:color w:val="4F81BD"/>
    </w:rPr>
  </w:style>
  <w:style w:type="character" w:customStyle="1" w:styleId="113">
    <w:name w:val="引用 Char1"/>
    <w:qFormat/>
    <w:uiPriority w:val="99"/>
    <w:rPr>
      <w:rFonts w:ascii="Times New Roman" w:hAnsi="Times New Roman" w:eastAsia="宋体" w:cs="Times New Roman"/>
      <w:i/>
      <w:iCs/>
      <w:color w:val="000000"/>
      <w:sz w:val="24"/>
      <w:szCs w:val="24"/>
    </w:rPr>
  </w:style>
  <w:style w:type="character" w:customStyle="1" w:styleId="114">
    <w:name w:val="引用 Char"/>
    <w:link w:val="115"/>
    <w:qFormat/>
    <w:locked/>
    <w:uiPriority w:val="99"/>
    <w:rPr>
      <w:i/>
      <w:iCs/>
      <w:color w:val="000000"/>
    </w:rPr>
  </w:style>
  <w:style w:type="paragraph" w:customStyle="1" w:styleId="115">
    <w:name w:val="引用1"/>
    <w:basedOn w:val="1"/>
    <w:next w:val="1"/>
    <w:link w:val="114"/>
    <w:qFormat/>
    <w:uiPriority w:val="99"/>
    <w:rPr>
      <w:i/>
      <w:iCs/>
      <w:color w:val="000000"/>
      <w:kern w:val="0"/>
      <w:sz w:val="20"/>
      <w:szCs w:val="20"/>
    </w:rPr>
  </w:style>
  <w:style w:type="character" w:customStyle="1" w:styleId="116">
    <w:name w:val="标题 Char2"/>
    <w:qFormat/>
    <w:uiPriority w:val="99"/>
    <w:rPr>
      <w:rFonts w:ascii="Cambria" w:hAnsi="Cambria" w:eastAsia="宋体" w:cs="Cambria"/>
      <w:b/>
      <w:bCs/>
      <w:sz w:val="32"/>
      <w:szCs w:val="32"/>
    </w:rPr>
  </w:style>
  <w:style w:type="character" w:customStyle="1" w:styleId="117">
    <w:name w:val="Char Char23"/>
    <w:qFormat/>
    <w:uiPriority w:val="99"/>
    <w:rPr>
      <w:rFonts w:eastAsia="宋体"/>
      <w:b/>
      <w:bCs/>
      <w:kern w:val="44"/>
      <w:sz w:val="44"/>
      <w:szCs w:val="44"/>
      <w:lang w:val="en-US" w:eastAsia="zh-CN"/>
    </w:rPr>
  </w:style>
  <w:style w:type="character" w:customStyle="1" w:styleId="118">
    <w:name w:val="Plain Text Char"/>
    <w:qFormat/>
    <w:uiPriority w:val="99"/>
    <w:rPr>
      <w:rFonts w:ascii="宋体" w:hAnsi="Courier New" w:eastAsia="宋体" w:cs="宋体"/>
      <w:sz w:val="24"/>
      <w:szCs w:val="24"/>
    </w:rPr>
  </w:style>
  <w:style w:type="character" w:customStyle="1" w:styleId="119">
    <w:name w:val="Char Char91"/>
    <w:qFormat/>
    <w:uiPriority w:val="99"/>
    <w:rPr>
      <w:rFonts w:eastAsia="宋体"/>
      <w:b/>
      <w:bCs/>
      <w:kern w:val="44"/>
      <w:sz w:val="44"/>
      <w:szCs w:val="44"/>
      <w:lang w:val="en-US" w:eastAsia="zh-CN"/>
    </w:rPr>
  </w:style>
  <w:style w:type="character" w:customStyle="1" w:styleId="120">
    <w:name w:val="纯文本 Char1"/>
    <w:qFormat/>
    <w:uiPriority w:val="99"/>
    <w:rPr>
      <w:rFonts w:ascii="宋体" w:hAnsi="Courier New" w:eastAsia="宋体" w:cs="宋体"/>
      <w:sz w:val="21"/>
      <w:szCs w:val="21"/>
    </w:rPr>
  </w:style>
  <w:style w:type="character" w:customStyle="1" w:styleId="121">
    <w:name w:val="Char Char181"/>
    <w:qFormat/>
    <w:uiPriority w:val="99"/>
    <w:rPr>
      <w:b/>
      <w:bCs/>
      <w:kern w:val="44"/>
      <w:sz w:val="44"/>
      <w:szCs w:val="44"/>
    </w:rPr>
  </w:style>
  <w:style w:type="character" w:customStyle="1" w:styleId="122">
    <w:name w:val="Heading 5 Char"/>
    <w:qFormat/>
    <w:uiPriority w:val="99"/>
    <w:rPr>
      <w:rFonts w:eastAsia="宋体"/>
      <w:b/>
      <w:bCs/>
      <w:kern w:val="2"/>
      <w:sz w:val="28"/>
      <w:szCs w:val="28"/>
      <w:lang w:val="en-US" w:eastAsia="zh-CN"/>
    </w:rPr>
  </w:style>
  <w:style w:type="character" w:customStyle="1" w:styleId="123">
    <w:name w:val="Char Char19"/>
    <w:qFormat/>
    <w:uiPriority w:val="99"/>
    <w:rPr>
      <w:rFonts w:ascii="Arial" w:hAnsi="Arial" w:eastAsia="宋体" w:cs="Arial"/>
      <w:b/>
      <w:bCs/>
      <w:sz w:val="28"/>
      <w:szCs w:val="28"/>
    </w:rPr>
  </w:style>
  <w:style w:type="character" w:customStyle="1" w:styleId="124">
    <w:name w:val="纯文本 字符"/>
    <w:link w:val="21"/>
    <w:qFormat/>
    <w:locked/>
    <w:uiPriority w:val="0"/>
    <w:rPr>
      <w:rFonts w:ascii="宋体" w:hAnsi="Courier New" w:eastAsia="宋体" w:cs="宋体"/>
      <w:sz w:val="24"/>
      <w:szCs w:val="24"/>
    </w:rPr>
  </w:style>
  <w:style w:type="character" w:customStyle="1" w:styleId="125">
    <w:name w:val="纯文本 Char2"/>
    <w:basedOn w:val="40"/>
    <w:semiHidden/>
    <w:qFormat/>
    <w:uiPriority w:val="0"/>
    <w:rPr>
      <w:rFonts w:ascii="宋体" w:hAnsi="Courier New" w:eastAsia="宋体" w:cs="Courier New"/>
      <w:kern w:val="2"/>
      <w:sz w:val="21"/>
      <w:szCs w:val="21"/>
    </w:rPr>
  </w:style>
  <w:style w:type="character" w:customStyle="1" w:styleId="126">
    <w:name w:val="日期 Char1"/>
    <w:qFormat/>
    <w:uiPriority w:val="99"/>
    <w:rPr>
      <w:rFonts w:ascii="Times New Roman" w:hAnsi="Times New Roman" w:eastAsia="宋体" w:cs="Times New Roman"/>
      <w:sz w:val="24"/>
      <w:szCs w:val="24"/>
    </w:rPr>
  </w:style>
  <w:style w:type="character" w:customStyle="1" w:styleId="127">
    <w:name w:val="脚注文本 字符"/>
    <w:link w:val="31"/>
    <w:qFormat/>
    <w:locked/>
    <w:uiPriority w:val="99"/>
    <w:rPr>
      <w:sz w:val="18"/>
      <w:szCs w:val="18"/>
    </w:rPr>
  </w:style>
  <w:style w:type="character" w:customStyle="1" w:styleId="128">
    <w:name w:val="脚注文本 Char1"/>
    <w:basedOn w:val="40"/>
    <w:semiHidden/>
    <w:qFormat/>
    <w:uiPriority w:val="99"/>
    <w:rPr>
      <w:kern w:val="2"/>
      <w:sz w:val="18"/>
      <w:szCs w:val="18"/>
    </w:rPr>
  </w:style>
  <w:style w:type="character" w:customStyle="1" w:styleId="129">
    <w:name w:val="正文文本缩进 2 字符"/>
    <w:link w:val="24"/>
    <w:qFormat/>
    <w:locked/>
    <w:uiPriority w:val="99"/>
    <w:rPr>
      <w:sz w:val="24"/>
      <w:szCs w:val="24"/>
    </w:rPr>
  </w:style>
  <w:style w:type="character" w:customStyle="1" w:styleId="130">
    <w:name w:val="正文文本缩进 2 Char1"/>
    <w:basedOn w:val="40"/>
    <w:semiHidden/>
    <w:qFormat/>
    <w:uiPriority w:val="99"/>
    <w:rPr>
      <w:kern w:val="2"/>
      <w:sz w:val="21"/>
      <w:szCs w:val="22"/>
    </w:rPr>
  </w:style>
  <w:style w:type="character" w:customStyle="1" w:styleId="131">
    <w:name w:val="Date Char"/>
    <w:qFormat/>
    <w:uiPriority w:val="99"/>
    <w:rPr>
      <w:rFonts w:eastAsia="宋体"/>
      <w:kern w:val="2"/>
      <w:sz w:val="24"/>
      <w:szCs w:val="24"/>
      <w:lang w:val="en-US" w:eastAsia="zh-CN"/>
    </w:rPr>
  </w:style>
  <w:style w:type="character" w:customStyle="1" w:styleId="132">
    <w:name w:val="Title Char"/>
    <w:qFormat/>
    <w:uiPriority w:val="99"/>
    <w:rPr>
      <w:rFonts w:ascii="Cambria" w:hAnsi="Cambria" w:cs="Cambria"/>
      <w:b/>
      <w:bCs/>
      <w:sz w:val="32"/>
      <w:szCs w:val="32"/>
    </w:rPr>
  </w:style>
  <w:style w:type="character" w:customStyle="1" w:styleId="133">
    <w:name w:val="正文文本缩进 字符"/>
    <w:link w:val="17"/>
    <w:qFormat/>
    <w:locked/>
    <w:uiPriority w:val="99"/>
    <w:rPr>
      <w:rFonts w:ascii="宋体" w:eastAsia="宋体" w:cs="宋体"/>
      <w:szCs w:val="21"/>
    </w:rPr>
  </w:style>
  <w:style w:type="character" w:customStyle="1" w:styleId="134">
    <w:name w:val="正文文本缩进 Char1"/>
    <w:basedOn w:val="40"/>
    <w:semiHidden/>
    <w:qFormat/>
    <w:uiPriority w:val="99"/>
    <w:rPr>
      <w:kern w:val="2"/>
      <w:sz w:val="21"/>
      <w:szCs w:val="22"/>
    </w:rPr>
  </w:style>
  <w:style w:type="character" w:customStyle="1" w:styleId="135">
    <w:name w:val="书籍标题1"/>
    <w:qFormat/>
    <w:uiPriority w:val="99"/>
    <w:rPr>
      <w:b/>
      <w:bCs/>
      <w:smallCaps/>
      <w:spacing w:val="5"/>
    </w:rPr>
  </w:style>
  <w:style w:type="character" w:customStyle="1" w:styleId="136">
    <w:name w:val="不明显强调1"/>
    <w:qFormat/>
    <w:uiPriority w:val="99"/>
    <w:rPr>
      <w:i/>
      <w:iCs/>
      <w:color w:val="808080"/>
    </w:rPr>
  </w:style>
  <w:style w:type="character" w:customStyle="1" w:styleId="137">
    <w:name w:val="日期 字符"/>
    <w:link w:val="23"/>
    <w:qFormat/>
    <w:locked/>
    <w:uiPriority w:val="99"/>
    <w:rPr>
      <w:sz w:val="24"/>
      <w:szCs w:val="24"/>
    </w:rPr>
  </w:style>
  <w:style w:type="character" w:customStyle="1" w:styleId="138">
    <w:name w:val="日期 Char2"/>
    <w:basedOn w:val="40"/>
    <w:semiHidden/>
    <w:qFormat/>
    <w:uiPriority w:val="99"/>
    <w:rPr>
      <w:kern w:val="2"/>
      <w:sz w:val="21"/>
      <w:szCs w:val="22"/>
    </w:rPr>
  </w:style>
  <w:style w:type="character" w:customStyle="1" w:styleId="139">
    <w:name w:val="textcontents"/>
    <w:qFormat/>
    <w:uiPriority w:val="99"/>
  </w:style>
  <w:style w:type="paragraph" w:customStyle="1" w:styleId="140">
    <w:name w:val="样式1"/>
    <w:basedOn w:val="1"/>
    <w:next w:val="5"/>
    <w:qFormat/>
    <w:uiPriority w:val="99"/>
    <w:pPr>
      <w:spacing w:line="360" w:lineRule="auto"/>
      <w:ind w:firstLine="420" w:firstLineChars="200"/>
    </w:pPr>
    <w:rPr>
      <w:rFonts w:ascii="宋体" w:hAnsi="宋体" w:eastAsia="宋体" w:cs="宋体"/>
    </w:rPr>
  </w:style>
  <w:style w:type="paragraph" w:customStyle="1" w:styleId="141">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142">
    <w:name w:val="Char Char Char Char Char Char Char"/>
    <w:basedOn w:val="1"/>
    <w:qFormat/>
    <w:uiPriority w:val="99"/>
    <w:pPr>
      <w:widowControl/>
      <w:spacing w:after="160" w:line="240" w:lineRule="exact"/>
      <w:jc w:val="left"/>
    </w:pPr>
    <w:rPr>
      <w:rFonts w:ascii="Calibri" w:hAnsi="Calibri" w:eastAsia="宋体" w:cs="Times New Roman"/>
    </w:rPr>
  </w:style>
  <w:style w:type="paragraph" w:customStyle="1" w:styleId="143">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4">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5">
    <w:name w:val="TOC 标题1"/>
    <w:basedOn w:val="2"/>
    <w:next w:val="1"/>
    <w:qFormat/>
    <w:uiPriority w:val="99"/>
    <w:pPr>
      <w:spacing w:line="576" w:lineRule="auto"/>
      <w:outlineLvl w:val="9"/>
    </w:pPr>
    <w:rPr>
      <w:rFonts w:ascii="Calibri" w:hAnsi="Calibri" w:eastAsia="黑体" w:cs="Calibri"/>
      <w:lang w:val="zh-CN"/>
    </w:rPr>
  </w:style>
  <w:style w:type="paragraph" w:customStyle="1" w:styleId="146">
    <w:name w:val="空半行"/>
    <w:basedOn w:val="1"/>
    <w:qFormat/>
    <w:uiPriority w:val="99"/>
    <w:pPr>
      <w:adjustRightInd w:val="0"/>
      <w:spacing w:line="120" w:lineRule="exact"/>
      <w:textAlignment w:val="baseline"/>
    </w:pPr>
    <w:rPr>
      <w:rFonts w:ascii="Calibri" w:hAnsi="Calibri" w:eastAsia="仿宋_GB2312" w:cs="Times New Roman"/>
      <w:color w:val="FFFFFF"/>
      <w:kern w:val="0"/>
      <w:sz w:val="30"/>
      <w:szCs w:val="30"/>
    </w:rPr>
  </w:style>
  <w:style w:type="paragraph" w:customStyle="1" w:styleId="147">
    <w:name w:val="p0"/>
    <w:basedOn w:val="1"/>
    <w:qFormat/>
    <w:uiPriority w:val="99"/>
    <w:pPr>
      <w:widowControl/>
    </w:pPr>
    <w:rPr>
      <w:rFonts w:ascii="Calibri" w:hAnsi="Calibri" w:eastAsia="宋体" w:cs="Calibri"/>
      <w:kern w:val="0"/>
    </w:rPr>
  </w:style>
  <w:style w:type="paragraph" w:customStyle="1" w:styleId="148">
    <w:name w:val="Char"/>
    <w:basedOn w:val="1"/>
    <w:qFormat/>
    <w:uiPriority w:val="99"/>
    <w:pPr>
      <w:widowControl/>
      <w:spacing w:after="160" w:line="240" w:lineRule="exact"/>
      <w:jc w:val="left"/>
    </w:pPr>
    <w:rPr>
      <w:rFonts w:ascii="Calibri" w:hAnsi="Calibri" w:eastAsia="宋体" w:cs="Times New Roman"/>
    </w:rPr>
  </w:style>
  <w:style w:type="paragraph" w:customStyle="1" w:styleId="149">
    <w:name w:val="1"/>
    <w:basedOn w:val="1"/>
    <w:next w:val="1"/>
    <w:qFormat/>
    <w:uiPriority w:val="99"/>
    <w:rPr>
      <w:rFonts w:ascii="Calibri" w:hAnsi="Calibri" w:eastAsia="宋体" w:cs="Times New Roman"/>
    </w:rPr>
  </w:style>
  <w:style w:type="paragraph" w:customStyle="1" w:styleId="150">
    <w:name w:val="列出段落2"/>
    <w:basedOn w:val="1"/>
    <w:qFormat/>
    <w:uiPriority w:val="99"/>
    <w:pPr>
      <w:ind w:firstLine="420" w:firstLineChars="200"/>
    </w:pPr>
    <w:rPr>
      <w:rFonts w:ascii="Calibri" w:hAnsi="Calibri" w:eastAsia="宋体" w:cs="Calibri"/>
    </w:rPr>
  </w:style>
  <w:style w:type="paragraph" w:customStyle="1" w:styleId="151">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52">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cs="Times New Roman"/>
      <w:b w:val="0"/>
      <w:bCs w:val="0"/>
      <w:kern w:val="0"/>
      <w:sz w:val="28"/>
      <w:szCs w:val="28"/>
      <w:lang w:val="zh-CN"/>
    </w:rPr>
  </w:style>
  <w:style w:type="paragraph" w:customStyle="1" w:styleId="153">
    <w:name w:val="2-2ji"/>
    <w:basedOn w:val="3"/>
    <w:qFormat/>
    <w:uiPriority w:val="99"/>
    <w:pPr>
      <w:spacing w:before="0" w:after="0" w:line="360" w:lineRule="auto"/>
      <w:jc w:val="center"/>
    </w:pPr>
    <w:rPr>
      <w:rFonts w:ascii="宋体" w:hAnsi="宋体" w:eastAsia="宋体" w:cs="宋体"/>
      <w:sz w:val="36"/>
      <w:szCs w:val="36"/>
      <w:lang w:val="zh-CN"/>
    </w:rPr>
  </w:style>
  <w:style w:type="paragraph" w:customStyle="1" w:styleId="154">
    <w:name w:val="reader-word-layer"/>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55">
    <w:name w:val="标题 Char3"/>
    <w:basedOn w:val="40"/>
    <w:qFormat/>
    <w:uiPriority w:val="99"/>
    <w:rPr>
      <w:rFonts w:eastAsia="宋体" w:asciiTheme="majorHAnsi" w:hAnsiTheme="majorHAnsi" w:cstheme="majorBidi"/>
      <w:b/>
      <w:bCs/>
      <w:sz w:val="32"/>
      <w:szCs w:val="32"/>
    </w:rPr>
  </w:style>
  <w:style w:type="paragraph" w:customStyle="1" w:styleId="156">
    <w:name w:val="flNote"/>
    <w:basedOn w:val="1"/>
    <w:qFormat/>
    <w:uiPriority w:val="99"/>
    <w:pPr>
      <w:adjustRightInd w:val="0"/>
      <w:spacing w:before="320" w:after="160" w:line="360" w:lineRule="atLeast"/>
      <w:jc w:val="center"/>
      <w:textAlignment w:val="baseline"/>
    </w:pPr>
    <w:rPr>
      <w:rFonts w:ascii="Arial" w:hAnsi="Calibri" w:eastAsia="黑体" w:cs="Arial"/>
      <w:kern w:val="0"/>
      <w:sz w:val="30"/>
      <w:szCs w:val="30"/>
    </w:rPr>
  </w:style>
  <w:style w:type="paragraph" w:styleId="157">
    <w:name w:val="List Paragraph"/>
    <w:basedOn w:val="1"/>
    <w:qFormat/>
    <w:uiPriority w:val="34"/>
    <w:pPr>
      <w:ind w:firstLine="420" w:firstLineChars="200"/>
    </w:pPr>
    <w:rPr>
      <w:rFonts w:ascii="Calibri" w:hAnsi="Calibri" w:eastAsia="宋体" w:cs="Times New Roman"/>
    </w:rPr>
  </w:style>
  <w:style w:type="paragraph" w:customStyle="1" w:styleId="158">
    <w:name w:val="列出段落1"/>
    <w:basedOn w:val="1"/>
    <w:qFormat/>
    <w:uiPriority w:val="99"/>
    <w:pPr>
      <w:ind w:firstLine="420" w:firstLineChars="200"/>
    </w:pPr>
    <w:rPr>
      <w:rFonts w:ascii="Calibri" w:hAnsi="Calibri" w:eastAsia="宋体" w:cs="Calibri"/>
    </w:rPr>
  </w:style>
  <w:style w:type="paragraph" w:customStyle="1" w:styleId="159">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60">
    <w:name w:val="Char1"/>
    <w:basedOn w:val="1"/>
    <w:qFormat/>
    <w:uiPriority w:val="99"/>
    <w:pPr>
      <w:widowControl/>
      <w:spacing w:after="160" w:line="240" w:lineRule="exact"/>
      <w:jc w:val="left"/>
    </w:pPr>
    <w:rPr>
      <w:rFonts w:ascii="Calibri" w:hAnsi="Calibri" w:eastAsia="宋体" w:cs="Times New Roman"/>
    </w:rPr>
  </w:style>
  <w:style w:type="paragraph" w:customStyle="1" w:styleId="161">
    <w:name w:val="_Style 37"/>
    <w:basedOn w:val="1"/>
    <w:next w:val="1"/>
    <w:qFormat/>
    <w:uiPriority w:val="99"/>
    <w:rPr>
      <w:rFonts w:ascii="Calibri" w:hAnsi="Calibri" w:eastAsia="宋体" w:cs="Times New Roman"/>
    </w:rPr>
  </w:style>
  <w:style w:type="paragraph" w:customStyle="1" w:styleId="162">
    <w:name w:val="样式 标题 3 + (中文) 黑体 小四 非加粗 段前: 7.8 磅 段后: 0 磅 行距: 固定值 20 磅"/>
    <w:basedOn w:val="4"/>
    <w:qFormat/>
    <w:uiPriority w:val="99"/>
    <w:pPr>
      <w:spacing w:before="0" w:after="0" w:line="400" w:lineRule="exact"/>
    </w:pPr>
    <w:rPr>
      <w:rFonts w:ascii="Calibri" w:hAnsi="Calibri" w:eastAsia="黑体" w:cs="Times New Roman"/>
      <w:b w:val="0"/>
      <w:bCs w:val="0"/>
      <w:lang w:val="zh-CN"/>
    </w:rPr>
  </w:style>
  <w:style w:type="character" w:customStyle="1" w:styleId="163">
    <w:name w:val="fontstyle01"/>
    <w:qFormat/>
    <w:uiPriority w:val="0"/>
    <w:rPr>
      <w:rFonts w:hint="eastAsia" w:ascii="宋体" w:hAnsi="宋体" w:eastAsia="宋体"/>
      <w:color w:val="000000"/>
      <w:sz w:val="22"/>
      <w:szCs w:val="22"/>
    </w:rPr>
  </w:style>
  <w:style w:type="character" w:customStyle="1" w:styleId="164">
    <w:name w:val="fontstyle21"/>
    <w:qFormat/>
    <w:uiPriority w:val="0"/>
    <w:rPr>
      <w:rFonts w:hint="default" w:ascii="Times New Roman" w:hAnsi="Times New Roman" w:cs="Times New Roman"/>
      <w:b/>
      <w:bCs/>
      <w:color w:val="000000"/>
      <w:sz w:val="22"/>
      <w:szCs w:val="22"/>
    </w:rPr>
  </w:style>
  <w:style w:type="character" w:customStyle="1" w:styleId="165">
    <w:name w:val="fontstyle31"/>
    <w:qFormat/>
    <w:uiPriority w:val="0"/>
    <w:rPr>
      <w:rFonts w:hint="eastAsia" w:ascii="黑体" w:hAnsi="黑体" w:eastAsia="黑体"/>
      <w:color w:val="000000"/>
      <w:sz w:val="28"/>
      <w:szCs w:val="28"/>
    </w:rPr>
  </w:style>
  <w:style w:type="character" w:customStyle="1" w:styleId="166">
    <w:name w:val="fontstyle41"/>
    <w:qFormat/>
    <w:uiPriority w:val="0"/>
    <w:rPr>
      <w:rFonts w:hint="default" w:ascii="Times New Roman" w:hAnsi="Times New Roman" w:cs="Times New Roman"/>
      <w:color w:val="000000"/>
      <w:sz w:val="18"/>
      <w:szCs w:val="18"/>
    </w:rPr>
  </w:style>
  <w:style w:type="character" w:customStyle="1" w:styleId="167">
    <w:name w:val="fontstyle51"/>
    <w:qFormat/>
    <w:uiPriority w:val="0"/>
    <w:rPr>
      <w:rFonts w:hint="eastAsia" w:ascii="楷体" w:hAnsi="楷体" w:eastAsia="楷体"/>
      <w:color w:val="000000"/>
      <w:sz w:val="22"/>
      <w:szCs w:val="22"/>
    </w:rPr>
  </w:style>
  <w:style w:type="paragraph" w:styleId="16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9">
    <w:name w:val="超链接_0"/>
    <w:qFormat/>
    <w:uiPriority w:val="99"/>
    <w:rPr>
      <w:rFonts w:ascii="Calibri" w:hAnsi="Calibri"/>
      <w:color w:val="0000FF"/>
      <w:u w:val="single"/>
    </w:rPr>
  </w:style>
  <w:style w:type="paragraph" w:customStyle="1" w:styleId="170">
    <w:name w:val="标题 2_0"/>
    <w:basedOn w:val="63"/>
    <w:next w:val="63"/>
    <w:link w:val="171"/>
    <w:qFormat/>
    <w:uiPriority w:val="9"/>
    <w:pPr>
      <w:keepNext/>
      <w:keepLines/>
      <w:spacing w:before="260" w:after="260" w:line="412" w:lineRule="auto"/>
      <w:outlineLvl w:val="1"/>
    </w:pPr>
    <w:rPr>
      <w:rFonts w:ascii="Arial" w:hAnsi="Arial" w:eastAsia="黑体"/>
      <w:b/>
      <w:sz w:val="32"/>
      <w:szCs w:val="20"/>
    </w:rPr>
  </w:style>
  <w:style w:type="character" w:customStyle="1" w:styleId="171">
    <w:name w:val="标题 2 Char_0"/>
    <w:link w:val="170"/>
    <w:qFormat/>
    <w:uiPriority w:val="9"/>
    <w:rPr>
      <w:rFonts w:ascii="Arial" w:hAnsi="Arial" w:eastAsia="黑体" w:cs="Times New Roman"/>
      <w:b/>
      <w:kern w:val="2"/>
      <w:sz w:val="32"/>
    </w:rPr>
  </w:style>
  <w:style w:type="paragraph" w:customStyle="1" w:styleId="172">
    <w:name w:val="标题 3_0"/>
    <w:basedOn w:val="63"/>
    <w:next w:val="63"/>
    <w:link w:val="173"/>
    <w:unhideWhenUsed/>
    <w:qFormat/>
    <w:uiPriority w:val="9"/>
    <w:pPr>
      <w:keepNext/>
      <w:keepLines/>
      <w:spacing w:before="260" w:after="260" w:line="416" w:lineRule="auto"/>
      <w:outlineLvl w:val="2"/>
    </w:pPr>
    <w:rPr>
      <w:b/>
      <w:bCs/>
      <w:sz w:val="32"/>
      <w:szCs w:val="32"/>
    </w:rPr>
  </w:style>
  <w:style w:type="character" w:customStyle="1" w:styleId="173">
    <w:name w:val="标题 3 Char_0"/>
    <w:link w:val="172"/>
    <w:qFormat/>
    <w:uiPriority w:val="9"/>
    <w:rPr>
      <w:rFonts w:ascii="Calibri" w:hAnsi="Calibri" w:eastAsia="宋体" w:cs="Times New Roman"/>
      <w:b/>
      <w:bCs/>
      <w:kern w:val="2"/>
      <w:sz w:val="32"/>
      <w:szCs w:val="32"/>
    </w:rPr>
  </w:style>
  <w:style w:type="paragraph" w:customStyle="1" w:styleId="17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6">
    <w:name w:val="Normal_0"/>
    <w:qFormat/>
    <w:uiPriority w:val="0"/>
    <w:rPr>
      <w:rFonts w:ascii="Times New Roman" w:hAnsi="Times New Roman" w:eastAsia="Times New Roman" w:cs="Times New Roman"/>
      <w:sz w:val="24"/>
      <w:szCs w:val="24"/>
      <w:lang w:val="en-US" w:eastAsia="zh-CN" w:bidi="ar-SA"/>
    </w:rPr>
  </w:style>
  <w:style w:type="paragraph" w:customStyle="1" w:styleId="177">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8">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79">
    <w:name w:val="修订4"/>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26DF1-A400-438A-B9CF-91D9789F33F0}">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172</Pages>
  <Words>119</Words>
  <Characters>144</Characters>
  <Lines>2835</Lines>
  <Paragraphs>3196</Paragraphs>
  <TotalTime>66</TotalTime>
  <ScaleCrop>false</ScaleCrop>
  <LinksUpToDate>false</LinksUpToDate>
  <CharactersWithSpaces>144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2025-05-15T12:33:00Z</dcterms:created>
  <dc:creator>Windows 用户</dc:creator>
  <cp:lastModifiedBy>/</cp:lastModifiedBy>
  <cp:lastPrinted>2025-04-24T03:51:00Z</cp:lastPrinted>
  <dcterms:modified xsi:type="dcterms:W3CDTF">2026-08-07T06:19:16Z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CAD9A29B95EC4FCEB033CA46EF2CB17F_13</vt:lpwstr>
  </property>
  <property fmtid="{D5CDD505-2E9C-101B-9397-08002B2CF9AE}" pid="4" name="KSOTemplateDocerSaveRecord">
    <vt:lpwstr>eyJoZGlkIjoiNDZhMDIyNmU4ZTg3YTRlNjI0YTAzNjQwYjBlMDVmMzkiLCJ1c2VySWQiOiIyNjc0NzczOTQifQ==</vt:lpwstr>
  </property>
</Properties>
</file>