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C41D05">
      <w:pPr>
        <w:spacing w:before="240" w:beforeLines="100" w:after="120" w:afterLines="50" w:line="600" w:lineRule="exact"/>
        <w:jc w:val="center"/>
        <w:rPr>
          <w:rFonts w:hint="eastAsia" w:ascii="Arial Unicode MS" w:hAnsi="宋体" w:eastAsia="Arial Unicode MS"/>
          <w:color w:val="auto"/>
          <w:sz w:val="52"/>
          <w:szCs w:val="52"/>
          <w:highlight w:val="none"/>
        </w:rPr>
      </w:pPr>
    </w:p>
    <w:p w14:paraId="16DEDD6A">
      <w:pPr>
        <w:spacing w:before="120" w:beforeLines="50" w:line="360" w:lineRule="auto"/>
        <w:jc w:val="center"/>
        <w:rPr>
          <w:rFonts w:ascii="宋体" w:hAnsi="宋体"/>
          <w:color w:val="auto"/>
          <w:sz w:val="52"/>
          <w:szCs w:val="52"/>
          <w:highlight w:val="none"/>
        </w:rPr>
      </w:pPr>
      <w:r>
        <w:rPr>
          <w:color w:val="auto"/>
          <w:highlight w:val="none"/>
        </w:rPr>
        <w:drawing>
          <wp:inline distT="0" distB="0" distL="114300" distR="114300">
            <wp:extent cx="1887855" cy="1844040"/>
            <wp:effectExtent l="0" t="0" r="17145" b="3810"/>
            <wp:docPr id="1" name="图片 1" descr="TIM图片2019040917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IM图片20190409175741"/>
                    <pic:cNvPicPr>
                      <a:picLocks noChangeAspect="1"/>
                    </pic:cNvPicPr>
                  </pic:nvPicPr>
                  <pic:blipFill>
                    <a:blip r:embed="rId19"/>
                    <a:stretch>
                      <a:fillRect/>
                    </a:stretch>
                  </pic:blipFill>
                  <pic:spPr>
                    <a:xfrm>
                      <a:off x="0" y="0"/>
                      <a:ext cx="1887855" cy="1844040"/>
                    </a:xfrm>
                    <a:prstGeom prst="rect">
                      <a:avLst/>
                    </a:prstGeom>
                    <a:noFill/>
                    <a:ln>
                      <a:noFill/>
                    </a:ln>
                  </pic:spPr>
                </pic:pic>
              </a:graphicData>
            </a:graphic>
          </wp:inline>
        </w:drawing>
      </w:r>
    </w:p>
    <w:p w14:paraId="058316AF">
      <w:pPr>
        <w:spacing w:line="360" w:lineRule="auto"/>
        <w:jc w:val="center"/>
        <w:rPr>
          <w:rFonts w:hint="eastAsia" w:ascii="Arial Unicode MS" w:hAnsi="Arial Unicode MS" w:eastAsia="Arial Unicode MS" w:cs="Arial Unicode MS"/>
          <w:b/>
          <w:color w:val="auto"/>
          <w:sz w:val="44"/>
          <w:szCs w:val="44"/>
          <w:highlight w:val="none"/>
        </w:rPr>
      </w:pPr>
    </w:p>
    <w:p w14:paraId="175CC8D8">
      <w:pPr>
        <w:snapToGrid w:val="0"/>
        <w:spacing w:before="120" w:beforeLines="50" w:line="360" w:lineRule="auto"/>
        <w:jc w:val="center"/>
        <w:rPr>
          <w:rFonts w:hint="eastAsia" w:ascii="华文新魏" w:hAnsi="宋体" w:eastAsia="华文新魏"/>
          <w:color w:val="auto"/>
          <w:sz w:val="72"/>
          <w:szCs w:val="72"/>
          <w:highlight w:val="none"/>
        </w:rPr>
      </w:pPr>
      <w:r>
        <w:rPr>
          <w:rFonts w:hint="eastAsia" w:ascii="华文新魏" w:hAnsi="宋体" w:eastAsia="华文新魏"/>
          <w:color w:val="auto"/>
          <w:sz w:val="120"/>
          <w:szCs w:val="120"/>
          <w:highlight w:val="none"/>
        </w:rPr>
        <w:t>招 标 文 件</w:t>
      </w:r>
    </w:p>
    <w:p w14:paraId="5D70CBE8">
      <w:pPr>
        <w:snapToGrid w:val="0"/>
        <w:spacing w:before="120" w:beforeLines="50" w:line="360" w:lineRule="auto"/>
        <w:jc w:val="center"/>
        <w:rPr>
          <w:rFonts w:hint="eastAsia" w:ascii="仿宋_GB2312" w:hAnsi="宋体" w:eastAsia="仿宋_GB2312"/>
          <w:b/>
          <w:color w:val="auto"/>
          <w:sz w:val="48"/>
          <w:szCs w:val="48"/>
          <w:highlight w:val="none"/>
        </w:rPr>
      </w:pPr>
      <w:r>
        <w:rPr>
          <w:rFonts w:hint="eastAsia" w:ascii="仿宋_GB2312" w:hAnsi="宋体" w:eastAsia="仿宋_GB2312"/>
          <w:b/>
          <w:color w:val="auto"/>
          <w:sz w:val="48"/>
          <w:szCs w:val="48"/>
          <w:highlight w:val="none"/>
        </w:rPr>
        <w:t>（全流程电子化采购）</w:t>
      </w:r>
    </w:p>
    <w:p w14:paraId="74EBF80C">
      <w:pPr>
        <w:snapToGrid w:val="0"/>
        <w:spacing w:line="360" w:lineRule="auto"/>
        <w:rPr>
          <w:rFonts w:ascii="仿宋_GB2312" w:hAnsi="宋体" w:eastAsia="仿宋_GB2312"/>
          <w:color w:val="auto"/>
          <w:sz w:val="30"/>
          <w:szCs w:val="72"/>
          <w:highlight w:val="none"/>
        </w:rPr>
      </w:pPr>
    </w:p>
    <w:p w14:paraId="32281AFA">
      <w:pPr>
        <w:snapToGrid w:val="0"/>
        <w:spacing w:line="360" w:lineRule="auto"/>
        <w:rPr>
          <w:rFonts w:hint="eastAsia" w:ascii="仿宋_GB2312" w:hAnsi="宋体" w:eastAsia="仿宋_GB2312"/>
          <w:color w:val="auto"/>
          <w:sz w:val="30"/>
          <w:szCs w:val="72"/>
          <w:highlight w:val="none"/>
        </w:rPr>
      </w:pPr>
    </w:p>
    <w:p w14:paraId="30A3F1D8">
      <w:pPr>
        <w:snapToGrid w:val="0"/>
        <w:spacing w:line="360" w:lineRule="auto"/>
        <w:ind w:firstLine="1124" w:firstLineChars="400"/>
        <w:rPr>
          <w:rFonts w:hint="eastAsia" w:ascii="仿宋_GB2312" w:hAnsi="宋体" w:eastAsia="仿宋_GB2312"/>
          <w:b/>
          <w:bCs/>
          <w:color w:val="auto"/>
          <w:sz w:val="28"/>
          <w:szCs w:val="28"/>
          <w:highlight w:val="none"/>
          <w:lang w:eastAsia="zh-CN"/>
        </w:rPr>
      </w:pPr>
      <w:r>
        <w:rPr>
          <w:rFonts w:hint="eastAsia" w:ascii="仿宋_GB2312" w:hAnsi="宋体" w:eastAsia="仿宋_GB2312"/>
          <w:b/>
          <w:bCs/>
          <w:color w:val="auto"/>
          <w:sz w:val="28"/>
          <w:szCs w:val="28"/>
          <w:highlight w:val="none"/>
        </w:rPr>
        <w:t>项目</w:t>
      </w:r>
      <w:r>
        <w:rPr>
          <w:rFonts w:hint="eastAsia" w:ascii="仿宋_GB2312" w:hAnsi="宋体" w:eastAsia="仿宋_GB2312" w:cs="Courier New"/>
          <w:b/>
          <w:bCs/>
          <w:color w:val="auto"/>
          <w:w w:val="95"/>
          <w:sz w:val="28"/>
          <w:szCs w:val="28"/>
          <w:highlight w:val="none"/>
        </w:rPr>
        <w:t>名称</w:t>
      </w:r>
      <w:r>
        <w:rPr>
          <w:rFonts w:hint="eastAsia" w:ascii="仿宋_GB2312" w:hAnsi="宋体" w:eastAsia="仿宋_GB2312"/>
          <w:b/>
          <w:bCs/>
          <w:color w:val="auto"/>
          <w:sz w:val="28"/>
          <w:szCs w:val="28"/>
          <w:highlight w:val="none"/>
        </w:rPr>
        <w:t>：</w:t>
      </w:r>
      <w:r>
        <w:rPr>
          <w:rFonts w:hint="eastAsia" w:ascii="仿宋_GB2312" w:hAnsi="宋体" w:eastAsia="仿宋_GB2312"/>
          <w:b/>
          <w:bCs/>
          <w:color w:val="auto"/>
          <w:sz w:val="28"/>
          <w:szCs w:val="28"/>
          <w:highlight w:val="none"/>
          <w:lang w:eastAsia="zh-CN"/>
        </w:rPr>
        <w:t>广西壮族自治区交通运输厅财会监督检查和审计服务（重）</w:t>
      </w:r>
    </w:p>
    <w:p w14:paraId="753FC02F">
      <w:pPr>
        <w:snapToGrid w:val="0"/>
        <w:spacing w:line="360" w:lineRule="auto"/>
        <w:ind w:firstLine="1068" w:firstLineChars="400"/>
        <w:rPr>
          <w:rFonts w:hint="eastAsia" w:ascii="仿宋_GB2312" w:hAnsi="宋体" w:eastAsia="仿宋_GB2312"/>
          <w:color w:val="auto"/>
          <w:sz w:val="28"/>
          <w:szCs w:val="60"/>
          <w:highlight w:val="none"/>
          <w:lang w:eastAsia="zh-CN"/>
        </w:rPr>
      </w:pPr>
      <w:r>
        <w:rPr>
          <w:rFonts w:hint="eastAsia" w:ascii="仿宋_GB2312" w:hAnsi="宋体" w:eastAsia="仿宋_GB2312" w:cs="Courier New"/>
          <w:b/>
          <w:bCs/>
          <w:color w:val="auto"/>
          <w:w w:val="95"/>
          <w:sz w:val="28"/>
          <w:szCs w:val="28"/>
          <w:highlight w:val="none"/>
        </w:rPr>
        <w:t>项目</w:t>
      </w:r>
      <w:r>
        <w:rPr>
          <w:rFonts w:hint="eastAsia" w:ascii="仿宋_GB2312" w:hAnsi="宋体" w:eastAsia="仿宋_GB2312"/>
          <w:b/>
          <w:bCs/>
          <w:color w:val="auto"/>
          <w:sz w:val="28"/>
          <w:szCs w:val="28"/>
          <w:highlight w:val="none"/>
        </w:rPr>
        <w:t>编号</w:t>
      </w:r>
      <w:r>
        <w:rPr>
          <w:rFonts w:hint="eastAsia" w:ascii="仿宋_GB2312" w:hAnsi="宋体" w:eastAsia="仿宋_GB2312" w:cs="Courier New"/>
          <w:b/>
          <w:bCs/>
          <w:color w:val="auto"/>
          <w:w w:val="95"/>
          <w:sz w:val="28"/>
          <w:szCs w:val="28"/>
          <w:highlight w:val="none"/>
        </w:rPr>
        <w:t>：</w:t>
      </w:r>
      <w:r>
        <w:rPr>
          <w:rFonts w:hint="eastAsia" w:ascii="仿宋_GB2312" w:hAnsi="宋体" w:eastAsia="仿宋_GB2312"/>
          <w:b/>
          <w:color w:val="auto"/>
          <w:sz w:val="28"/>
          <w:szCs w:val="44"/>
          <w:highlight w:val="none"/>
          <w:lang w:eastAsia="zh-CN"/>
        </w:rPr>
        <w:t>GXZC2026-G3-001360-JGJD</w:t>
      </w:r>
    </w:p>
    <w:p w14:paraId="56BD832B">
      <w:pPr>
        <w:pStyle w:val="25"/>
        <w:snapToGrid w:val="0"/>
        <w:spacing w:line="360" w:lineRule="auto"/>
        <w:ind w:firstLine="1050" w:firstLineChars="393"/>
        <w:rPr>
          <w:rFonts w:hint="eastAsia" w:ascii="仿宋_GB2312" w:hAnsi="宋体" w:eastAsia="仿宋_GB2312"/>
          <w:b/>
          <w:bCs/>
          <w:color w:val="auto"/>
          <w:w w:val="95"/>
          <w:sz w:val="28"/>
          <w:szCs w:val="28"/>
          <w:highlight w:val="none"/>
          <w:lang w:eastAsia="zh-CN"/>
        </w:rPr>
      </w:pPr>
      <w:r>
        <w:rPr>
          <w:rFonts w:hint="eastAsia" w:ascii="仿宋_GB2312" w:hAnsi="宋体" w:eastAsia="仿宋_GB2312"/>
          <w:b/>
          <w:bCs/>
          <w:color w:val="auto"/>
          <w:w w:val="95"/>
          <w:sz w:val="28"/>
          <w:szCs w:val="28"/>
          <w:highlight w:val="none"/>
        </w:rPr>
        <w:t>采 购 人：</w:t>
      </w:r>
      <w:r>
        <w:rPr>
          <w:rFonts w:hint="eastAsia" w:ascii="仿宋_GB2312" w:hAnsi="宋体" w:eastAsia="仿宋_GB2312"/>
          <w:b/>
          <w:bCs/>
          <w:color w:val="auto"/>
          <w:w w:val="95"/>
          <w:sz w:val="28"/>
          <w:szCs w:val="28"/>
          <w:highlight w:val="none"/>
          <w:lang w:eastAsia="zh-CN"/>
        </w:rPr>
        <w:t>广西壮族自治区交通运输厅</w:t>
      </w:r>
    </w:p>
    <w:p w14:paraId="3F47AEC4">
      <w:pPr>
        <w:pStyle w:val="25"/>
        <w:snapToGrid w:val="0"/>
        <w:spacing w:line="360" w:lineRule="auto"/>
        <w:ind w:firstLine="1050" w:firstLineChars="393"/>
        <w:rPr>
          <w:rFonts w:hint="eastAsia" w:ascii="仿宋_GB2312" w:hAnsi="宋体" w:eastAsia="仿宋_GB2312"/>
          <w:b/>
          <w:bCs/>
          <w:color w:val="auto"/>
          <w:w w:val="95"/>
          <w:sz w:val="28"/>
          <w:szCs w:val="28"/>
          <w:highlight w:val="none"/>
          <w:lang w:eastAsia="zh-CN"/>
        </w:rPr>
      </w:pPr>
      <w:r>
        <w:rPr>
          <w:rFonts w:hint="eastAsia" w:ascii="仿宋_GB2312" w:hAnsi="宋体" w:eastAsia="仿宋_GB2312"/>
          <w:b/>
          <w:bCs/>
          <w:color w:val="auto"/>
          <w:w w:val="95"/>
          <w:sz w:val="28"/>
          <w:szCs w:val="28"/>
          <w:highlight w:val="none"/>
        </w:rPr>
        <w:t>采购代理机构：</w:t>
      </w:r>
      <w:r>
        <w:rPr>
          <w:rFonts w:hint="eastAsia" w:ascii="仿宋_GB2312" w:hAnsi="宋体" w:eastAsia="仿宋_GB2312"/>
          <w:b/>
          <w:bCs/>
          <w:color w:val="auto"/>
          <w:sz w:val="28"/>
          <w:szCs w:val="28"/>
          <w:highlight w:val="none"/>
          <w:lang w:eastAsia="zh-CN"/>
        </w:rPr>
        <w:t>广西建设工程机电设备招标中心有限公司</w:t>
      </w:r>
    </w:p>
    <w:p w14:paraId="1B771E33">
      <w:pPr>
        <w:pStyle w:val="25"/>
        <w:snapToGrid w:val="0"/>
        <w:spacing w:line="360" w:lineRule="auto"/>
        <w:ind w:firstLine="1050" w:firstLineChars="393"/>
        <w:rPr>
          <w:rFonts w:hint="eastAsia" w:ascii="仿宋_GB2312" w:hAnsi="宋体" w:eastAsia="仿宋_GB2312"/>
          <w:b/>
          <w:bCs/>
          <w:color w:val="auto"/>
          <w:w w:val="95"/>
          <w:sz w:val="28"/>
          <w:szCs w:val="28"/>
          <w:highlight w:val="none"/>
        </w:rPr>
      </w:pPr>
    </w:p>
    <w:p w14:paraId="1679BCE6">
      <w:pPr>
        <w:pStyle w:val="25"/>
        <w:snapToGrid w:val="0"/>
        <w:spacing w:line="360" w:lineRule="auto"/>
        <w:ind w:firstLine="1050" w:firstLineChars="393"/>
        <w:rPr>
          <w:rFonts w:hint="eastAsia" w:ascii="仿宋_GB2312" w:hAnsi="宋体" w:eastAsia="仿宋_GB2312"/>
          <w:b/>
          <w:bCs/>
          <w:color w:val="auto"/>
          <w:w w:val="95"/>
          <w:sz w:val="28"/>
          <w:szCs w:val="28"/>
          <w:highlight w:val="none"/>
        </w:rPr>
      </w:pPr>
    </w:p>
    <w:p w14:paraId="39D3E52B">
      <w:pPr>
        <w:pStyle w:val="25"/>
        <w:snapToGrid w:val="0"/>
        <w:spacing w:line="360" w:lineRule="auto"/>
        <w:ind w:firstLine="785" w:firstLineChars="294"/>
        <w:jc w:val="center"/>
        <w:rPr>
          <w:rFonts w:hint="eastAsia" w:ascii="仿宋_GB2312" w:eastAsia="仿宋_GB2312"/>
          <w:color w:val="auto"/>
          <w:sz w:val="18"/>
          <w:szCs w:val="18"/>
          <w:highlight w:val="none"/>
        </w:rPr>
      </w:pPr>
      <w:r>
        <w:rPr>
          <w:rFonts w:hint="eastAsia" w:ascii="仿宋_GB2312" w:hAnsi="宋体" w:eastAsia="仿宋_GB2312"/>
          <w:b/>
          <w:bCs/>
          <w:color w:val="auto"/>
          <w:w w:val="95"/>
          <w:sz w:val="28"/>
          <w:szCs w:val="28"/>
          <w:highlight w:val="none"/>
        </w:rPr>
        <w:t>202</w:t>
      </w:r>
      <w:r>
        <w:rPr>
          <w:rFonts w:hint="eastAsia" w:ascii="仿宋_GB2312" w:hAnsi="宋体" w:eastAsia="仿宋_GB2312"/>
          <w:b/>
          <w:bCs/>
          <w:color w:val="auto"/>
          <w:w w:val="95"/>
          <w:sz w:val="28"/>
          <w:szCs w:val="28"/>
          <w:highlight w:val="none"/>
          <w:lang w:val="en-US" w:eastAsia="zh-CN"/>
        </w:rPr>
        <w:t>6</w:t>
      </w:r>
      <w:r>
        <w:rPr>
          <w:rFonts w:hint="eastAsia" w:ascii="仿宋_GB2312" w:hAnsi="宋体" w:eastAsia="仿宋_GB2312"/>
          <w:b/>
          <w:bCs/>
          <w:color w:val="auto"/>
          <w:w w:val="95"/>
          <w:sz w:val="28"/>
          <w:szCs w:val="28"/>
          <w:highlight w:val="none"/>
        </w:rPr>
        <w:t>年</w:t>
      </w:r>
      <w:r>
        <w:rPr>
          <w:rFonts w:hint="eastAsia" w:ascii="仿宋_GB2312" w:hAnsi="宋体" w:eastAsia="仿宋_GB2312"/>
          <w:b/>
          <w:bCs/>
          <w:color w:val="auto"/>
          <w:w w:val="95"/>
          <w:sz w:val="28"/>
          <w:szCs w:val="28"/>
          <w:highlight w:val="none"/>
          <w:lang w:val="en-US" w:eastAsia="zh-CN"/>
        </w:rPr>
        <w:t>5</w:t>
      </w:r>
      <w:r>
        <w:rPr>
          <w:rFonts w:hint="eastAsia" w:ascii="仿宋_GB2312" w:hAnsi="宋体" w:eastAsia="仿宋_GB2312"/>
          <w:b/>
          <w:bCs/>
          <w:color w:val="auto"/>
          <w:w w:val="95"/>
          <w:sz w:val="28"/>
          <w:szCs w:val="28"/>
          <w:highlight w:val="none"/>
        </w:rPr>
        <w:t>月</w:t>
      </w:r>
      <w:r>
        <w:rPr>
          <w:rFonts w:hint="eastAsia" w:ascii="仿宋_GB2312" w:hAnsi="宋体" w:eastAsia="仿宋_GB2312"/>
          <w:b/>
          <w:bCs/>
          <w:color w:val="auto"/>
          <w:w w:val="95"/>
          <w:sz w:val="28"/>
          <w:szCs w:val="28"/>
          <w:highlight w:val="none"/>
          <w:lang w:val="en-US" w:eastAsia="zh-CN"/>
        </w:rPr>
        <w:t>19</w:t>
      </w:r>
      <w:r>
        <w:rPr>
          <w:rFonts w:hint="eastAsia" w:ascii="仿宋_GB2312" w:hAnsi="宋体" w:eastAsia="仿宋_GB2312"/>
          <w:b/>
          <w:bCs/>
          <w:color w:val="auto"/>
          <w:w w:val="95"/>
          <w:sz w:val="28"/>
          <w:szCs w:val="28"/>
          <w:highlight w:val="none"/>
        </w:rPr>
        <w:t>日</w:t>
      </w:r>
    </w:p>
    <w:p w14:paraId="40B7AC36">
      <w:pPr>
        <w:spacing w:line="360" w:lineRule="auto"/>
        <w:jc w:val="center"/>
        <w:rPr>
          <w:rFonts w:hint="eastAsia" w:ascii="宋体" w:hAnsi="宋体"/>
          <w:b/>
          <w:color w:val="auto"/>
          <w:sz w:val="44"/>
          <w:szCs w:val="44"/>
          <w:highlight w:val="none"/>
        </w:rPr>
      </w:pPr>
      <w:r>
        <w:rPr>
          <w:rFonts w:hint="eastAsia" w:ascii="宋体" w:hAnsi="宋体"/>
          <w:b/>
          <w:color w:val="auto"/>
          <w:sz w:val="44"/>
          <w:szCs w:val="44"/>
          <w:highlight w:val="none"/>
        </w:rPr>
        <w:br w:type="page"/>
      </w:r>
      <w:r>
        <w:rPr>
          <w:rFonts w:hint="eastAsia" w:ascii="宋体" w:hAnsi="宋体"/>
          <w:b/>
          <w:color w:val="auto"/>
          <w:sz w:val="44"/>
          <w:szCs w:val="44"/>
          <w:highlight w:val="none"/>
        </w:rPr>
        <w:t>目  录</w:t>
      </w:r>
    </w:p>
    <w:p w14:paraId="5ED73F60">
      <w:pPr>
        <w:spacing w:line="400" w:lineRule="exact"/>
        <w:jc w:val="center"/>
        <w:rPr>
          <w:rFonts w:hint="eastAsia" w:ascii="宋体" w:hAnsi="宋体"/>
          <w:b/>
          <w:color w:val="auto"/>
          <w:sz w:val="44"/>
          <w:szCs w:val="44"/>
          <w:highlight w:val="none"/>
        </w:rPr>
      </w:pPr>
    </w:p>
    <w:p w14:paraId="19977020">
      <w:pPr>
        <w:pStyle w:val="33"/>
        <w:tabs>
          <w:tab w:val="right" w:leader="dot" w:pos="8730"/>
          <w:tab w:val="clear" w:pos="8398"/>
        </w:tabs>
        <w:spacing w:line="360" w:lineRule="auto"/>
        <w:rPr>
          <w:color w:val="auto"/>
          <w:highlight w:val="none"/>
        </w:rPr>
      </w:pPr>
      <w:r>
        <w:rPr>
          <w:rFonts w:ascii="仿宋_GB2312" w:eastAsia="仿宋_GB2312"/>
          <w:b w:val="0"/>
          <w:color w:val="auto"/>
          <w:highlight w:val="none"/>
        </w:rPr>
        <w:fldChar w:fldCharType="begin"/>
      </w:r>
      <w:r>
        <w:rPr>
          <w:rFonts w:ascii="仿宋_GB2312" w:eastAsia="仿宋_GB2312"/>
          <w:b w:val="0"/>
          <w:color w:val="auto"/>
          <w:highlight w:val="none"/>
        </w:rPr>
        <w:instrText xml:space="preserve"> </w:instrText>
      </w:r>
      <w:r>
        <w:rPr>
          <w:rFonts w:hint="eastAsia" w:ascii="仿宋_GB2312" w:eastAsia="仿宋_GB2312"/>
          <w:b w:val="0"/>
          <w:color w:val="auto"/>
          <w:highlight w:val="none"/>
        </w:rPr>
        <w:instrText xml:space="preserve">TOC \o "1-2" \h \z \u</w:instrText>
      </w:r>
      <w:r>
        <w:rPr>
          <w:rFonts w:ascii="仿宋_GB2312" w:eastAsia="仿宋_GB2312"/>
          <w:b w:val="0"/>
          <w:color w:val="auto"/>
          <w:highlight w:val="none"/>
        </w:rPr>
        <w:instrText xml:space="preserve"> </w:instrText>
      </w:r>
      <w:r>
        <w:rPr>
          <w:rFonts w:ascii="仿宋_GB2312" w:eastAsia="仿宋_GB2312"/>
          <w:b w:val="0"/>
          <w:color w:val="auto"/>
          <w:highlight w:val="none"/>
        </w:rPr>
        <w:fldChar w:fldCharType="separate"/>
      </w:r>
      <w:r>
        <w:rPr>
          <w:rFonts w:ascii="仿宋_GB2312" w:eastAsia="仿宋_GB2312"/>
          <w:color w:val="auto"/>
          <w:highlight w:val="none"/>
        </w:rPr>
        <w:fldChar w:fldCharType="begin"/>
      </w:r>
      <w:r>
        <w:rPr>
          <w:rFonts w:ascii="仿宋_GB2312" w:eastAsia="仿宋_GB2312"/>
          <w:color w:val="auto"/>
          <w:highlight w:val="none"/>
        </w:rPr>
        <w:instrText xml:space="preserve"> HYPERLINK \l _Toc26956 </w:instrText>
      </w:r>
      <w:r>
        <w:rPr>
          <w:rFonts w:ascii="仿宋_GB2312" w:eastAsia="仿宋_GB2312"/>
          <w:color w:val="auto"/>
          <w:highlight w:val="none"/>
        </w:rPr>
        <w:fldChar w:fldCharType="separate"/>
      </w:r>
      <w:r>
        <w:rPr>
          <w:rFonts w:hint="eastAsia"/>
          <w:color w:val="auto"/>
          <w:highlight w:val="none"/>
        </w:rPr>
        <w:t xml:space="preserve">第一章 </w:t>
      </w:r>
      <w:r>
        <w:rPr>
          <w:rFonts w:hint="eastAsia"/>
          <w:color w:val="auto"/>
          <w:highlight w:val="none"/>
          <w:lang w:eastAsia="zh-CN"/>
        </w:rPr>
        <w:t xml:space="preserve"> </w:t>
      </w:r>
      <w:r>
        <w:rPr>
          <w:rFonts w:hint="eastAsia"/>
          <w:color w:val="auto"/>
          <w:highlight w:val="none"/>
        </w:rPr>
        <w:t>招标公告</w:t>
      </w:r>
      <w:r>
        <w:rPr>
          <w:color w:val="auto"/>
          <w:highlight w:val="none"/>
        </w:rPr>
        <w:tab/>
      </w:r>
      <w:r>
        <w:rPr>
          <w:color w:val="auto"/>
          <w:highlight w:val="none"/>
        </w:rPr>
        <w:fldChar w:fldCharType="begin"/>
      </w:r>
      <w:r>
        <w:rPr>
          <w:color w:val="auto"/>
          <w:highlight w:val="none"/>
        </w:rPr>
        <w:instrText xml:space="preserve"> PAGEREF _Toc26956 \h </w:instrText>
      </w:r>
      <w:r>
        <w:rPr>
          <w:color w:val="auto"/>
          <w:highlight w:val="none"/>
        </w:rPr>
        <w:fldChar w:fldCharType="separate"/>
      </w:r>
      <w:r>
        <w:rPr>
          <w:color w:val="auto"/>
          <w:highlight w:val="none"/>
        </w:rPr>
        <w:t>3</w:t>
      </w:r>
      <w:r>
        <w:rPr>
          <w:color w:val="auto"/>
          <w:highlight w:val="none"/>
        </w:rPr>
        <w:fldChar w:fldCharType="end"/>
      </w:r>
      <w:r>
        <w:rPr>
          <w:rFonts w:ascii="仿宋_GB2312" w:eastAsia="仿宋_GB2312"/>
          <w:color w:val="auto"/>
          <w:highlight w:val="none"/>
        </w:rPr>
        <w:fldChar w:fldCharType="end"/>
      </w:r>
    </w:p>
    <w:p w14:paraId="30AF70E0">
      <w:pPr>
        <w:pStyle w:val="33"/>
        <w:tabs>
          <w:tab w:val="right" w:leader="dot" w:pos="8730"/>
          <w:tab w:val="clear" w:pos="8398"/>
        </w:tabs>
        <w:spacing w:line="360" w:lineRule="auto"/>
        <w:ind w:firstLine="241"/>
        <w:rPr>
          <w:color w:val="auto"/>
          <w:highlight w:val="none"/>
        </w:rPr>
      </w:pPr>
      <w:r>
        <w:rPr>
          <w:rFonts w:ascii="仿宋_GB2312" w:eastAsia="仿宋_GB2312"/>
          <w:color w:val="auto"/>
          <w:highlight w:val="none"/>
        </w:rPr>
        <w:fldChar w:fldCharType="begin"/>
      </w:r>
      <w:r>
        <w:rPr>
          <w:rFonts w:ascii="仿宋_GB2312" w:eastAsia="仿宋_GB2312"/>
          <w:color w:val="auto"/>
          <w:highlight w:val="none"/>
        </w:rPr>
        <w:instrText xml:space="preserve"> HYPERLINK \l _Toc27979 </w:instrText>
      </w:r>
      <w:r>
        <w:rPr>
          <w:rFonts w:ascii="仿宋_GB2312" w:eastAsia="仿宋_GB2312"/>
          <w:color w:val="auto"/>
          <w:highlight w:val="none"/>
        </w:rPr>
        <w:fldChar w:fldCharType="separate"/>
      </w:r>
      <w:r>
        <w:rPr>
          <w:rFonts w:hint="eastAsia"/>
          <w:color w:val="auto"/>
          <w:highlight w:val="none"/>
        </w:rPr>
        <w:t>第二章  采购需</w:t>
      </w:r>
      <w:bookmarkStart w:id="0" w:name="_Hlt190281198"/>
      <w:bookmarkStart w:id="1" w:name="_Hlt190281197"/>
      <w:r>
        <w:rPr>
          <w:rFonts w:hint="eastAsia"/>
          <w:color w:val="auto"/>
          <w:highlight w:val="none"/>
        </w:rPr>
        <w:t>求</w:t>
      </w:r>
      <w:bookmarkEnd w:id="0"/>
      <w:bookmarkEnd w:id="1"/>
      <w:r>
        <w:rPr>
          <w:color w:val="auto"/>
          <w:highlight w:val="none"/>
        </w:rPr>
        <w:tab/>
      </w:r>
      <w:r>
        <w:rPr>
          <w:color w:val="auto"/>
          <w:highlight w:val="none"/>
        </w:rPr>
        <w:fldChar w:fldCharType="begin"/>
      </w:r>
      <w:r>
        <w:rPr>
          <w:color w:val="auto"/>
          <w:highlight w:val="none"/>
        </w:rPr>
        <w:instrText xml:space="preserve"> PAGEREF _Toc27979 \h </w:instrText>
      </w:r>
      <w:r>
        <w:rPr>
          <w:color w:val="auto"/>
          <w:highlight w:val="none"/>
        </w:rPr>
        <w:fldChar w:fldCharType="separate"/>
      </w:r>
      <w:r>
        <w:rPr>
          <w:color w:val="auto"/>
          <w:highlight w:val="none"/>
        </w:rPr>
        <w:t>7</w:t>
      </w:r>
      <w:r>
        <w:rPr>
          <w:color w:val="auto"/>
          <w:highlight w:val="none"/>
        </w:rPr>
        <w:fldChar w:fldCharType="end"/>
      </w:r>
      <w:r>
        <w:rPr>
          <w:rFonts w:ascii="仿宋_GB2312" w:eastAsia="仿宋_GB2312"/>
          <w:color w:val="auto"/>
          <w:highlight w:val="none"/>
        </w:rPr>
        <w:fldChar w:fldCharType="end"/>
      </w:r>
    </w:p>
    <w:p w14:paraId="0557D5CB">
      <w:pPr>
        <w:pStyle w:val="33"/>
        <w:tabs>
          <w:tab w:val="right" w:leader="dot" w:pos="8730"/>
          <w:tab w:val="clear" w:pos="8398"/>
        </w:tabs>
        <w:spacing w:line="360" w:lineRule="auto"/>
        <w:ind w:firstLine="241"/>
        <w:rPr>
          <w:color w:val="auto"/>
          <w:highlight w:val="none"/>
        </w:rPr>
      </w:pPr>
      <w:r>
        <w:rPr>
          <w:rFonts w:ascii="仿宋_GB2312" w:eastAsia="仿宋_GB2312"/>
          <w:color w:val="auto"/>
          <w:highlight w:val="none"/>
        </w:rPr>
        <w:fldChar w:fldCharType="begin"/>
      </w:r>
      <w:r>
        <w:rPr>
          <w:rFonts w:ascii="仿宋_GB2312" w:eastAsia="仿宋_GB2312"/>
          <w:color w:val="auto"/>
          <w:highlight w:val="none"/>
        </w:rPr>
        <w:instrText xml:space="preserve"> HYPERLINK \l _Toc25688 </w:instrText>
      </w:r>
      <w:r>
        <w:rPr>
          <w:rFonts w:ascii="仿宋_GB2312" w:eastAsia="仿宋_GB2312"/>
          <w:color w:val="auto"/>
          <w:highlight w:val="none"/>
        </w:rPr>
        <w:fldChar w:fldCharType="separate"/>
      </w:r>
      <w:r>
        <w:rPr>
          <w:rFonts w:hint="eastAsia"/>
          <w:color w:val="auto"/>
          <w:highlight w:val="none"/>
        </w:rPr>
        <w:t>第三章  投标人</w:t>
      </w:r>
      <w:bookmarkStart w:id="2" w:name="_Hlt192788119"/>
      <w:r>
        <w:rPr>
          <w:rFonts w:hint="eastAsia"/>
          <w:color w:val="auto"/>
          <w:highlight w:val="none"/>
        </w:rPr>
        <w:t>须</w:t>
      </w:r>
      <w:bookmarkEnd w:id="2"/>
      <w:bookmarkStart w:id="3" w:name="_Hlt190413298"/>
      <w:r>
        <w:rPr>
          <w:rFonts w:hint="eastAsia"/>
          <w:color w:val="auto"/>
          <w:highlight w:val="none"/>
        </w:rPr>
        <w:t>知</w:t>
      </w:r>
      <w:bookmarkEnd w:id="3"/>
      <w:bookmarkStart w:id="4" w:name="_Hlt190413167"/>
      <w:r>
        <w:rPr>
          <w:color w:val="auto"/>
          <w:highlight w:val="none"/>
        </w:rPr>
        <w:tab/>
      </w:r>
      <w:bookmarkEnd w:id="4"/>
      <w:r>
        <w:rPr>
          <w:color w:val="auto"/>
          <w:highlight w:val="none"/>
        </w:rPr>
        <w:fldChar w:fldCharType="begin"/>
      </w:r>
      <w:r>
        <w:rPr>
          <w:color w:val="auto"/>
          <w:highlight w:val="none"/>
        </w:rPr>
        <w:instrText xml:space="preserve"> PAGEREF _Toc25688 \h </w:instrText>
      </w:r>
      <w:r>
        <w:rPr>
          <w:color w:val="auto"/>
          <w:highlight w:val="none"/>
        </w:rPr>
        <w:fldChar w:fldCharType="separate"/>
      </w:r>
      <w:r>
        <w:rPr>
          <w:color w:val="auto"/>
          <w:highlight w:val="none"/>
        </w:rPr>
        <w:t>37</w:t>
      </w:r>
      <w:r>
        <w:rPr>
          <w:color w:val="auto"/>
          <w:highlight w:val="none"/>
        </w:rPr>
        <w:fldChar w:fldCharType="end"/>
      </w:r>
      <w:r>
        <w:rPr>
          <w:rFonts w:ascii="仿宋_GB2312" w:eastAsia="仿宋_GB2312"/>
          <w:color w:val="auto"/>
          <w:highlight w:val="none"/>
        </w:rPr>
        <w:fldChar w:fldCharType="end"/>
      </w:r>
    </w:p>
    <w:p w14:paraId="6F38FB7C">
      <w:pPr>
        <w:pStyle w:val="33"/>
        <w:tabs>
          <w:tab w:val="right" w:leader="dot" w:pos="8730"/>
          <w:tab w:val="clear" w:pos="8398"/>
        </w:tabs>
        <w:spacing w:line="360" w:lineRule="auto"/>
        <w:ind w:firstLine="241"/>
        <w:rPr>
          <w:color w:val="auto"/>
          <w:highlight w:val="none"/>
        </w:rPr>
      </w:pPr>
      <w:r>
        <w:rPr>
          <w:rFonts w:ascii="仿宋_GB2312" w:eastAsia="仿宋_GB2312"/>
          <w:color w:val="auto"/>
          <w:highlight w:val="none"/>
        </w:rPr>
        <w:fldChar w:fldCharType="begin"/>
      </w:r>
      <w:r>
        <w:rPr>
          <w:rFonts w:ascii="仿宋_GB2312" w:eastAsia="仿宋_GB2312"/>
          <w:color w:val="auto"/>
          <w:highlight w:val="none"/>
        </w:rPr>
        <w:instrText xml:space="preserve"> HYPERLINK \l _Toc15687 </w:instrText>
      </w:r>
      <w:r>
        <w:rPr>
          <w:rFonts w:ascii="仿宋_GB2312" w:eastAsia="仿宋_GB2312"/>
          <w:color w:val="auto"/>
          <w:highlight w:val="none"/>
        </w:rPr>
        <w:fldChar w:fldCharType="separate"/>
      </w:r>
      <w:r>
        <w:rPr>
          <w:rFonts w:hint="eastAsia"/>
          <w:color w:val="auto"/>
          <w:highlight w:val="none"/>
        </w:rPr>
        <w:t>第四章  评标方法及评标标准</w:t>
      </w:r>
      <w:r>
        <w:rPr>
          <w:color w:val="auto"/>
          <w:highlight w:val="none"/>
        </w:rPr>
        <w:tab/>
      </w:r>
      <w:r>
        <w:rPr>
          <w:color w:val="auto"/>
          <w:highlight w:val="none"/>
        </w:rPr>
        <w:fldChar w:fldCharType="begin"/>
      </w:r>
      <w:r>
        <w:rPr>
          <w:color w:val="auto"/>
          <w:highlight w:val="none"/>
        </w:rPr>
        <w:instrText xml:space="preserve"> PAGEREF _Toc15687 \h </w:instrText>
      </w:r>
      <w:r>
        <w:rPr>
          <w:color w:val="auto"/>
          <w:highlight w:val="none"/>
        </w:rPr>
        <w:fldChar w:fldCharType="separate"/>
      </w:r>
      <w:r>
        <w:rPr>
          <w:color w:val="auto"/>
          <w:highlight w:val="none"/>
        </w:rPr>
        <w:t>59</w:t>
      </w:r>
      <w:r>
        <w:rPr>
          <w:color w:val="auto"/>
          <w:highlight w:val="none"/>
        </w:rPr>
        <w:fldChar w:fldCharType="end"/>
      </w:r>
      <w:r>
        <w:rPr>
          <w:rFonts w:ascii="仿宋_GB2312" w:eastAsia="仿宋_GB2312"/>
          <w:color w:val="auto"/>
          <w:highlight w:val="none"/>
        </w:rPr>
        <w:fldChar w:fldCharType="end"/>
      </w:r>
    </w:p>
    <w:p w14:paraId="056A7692">
      <w:pPr>
        <w:pStyle w:val="33"/>
        <w:tabs>
          <w:tab w:val="right" w:leader="dot" w:pos="8730"/>
          <w:tab w:val="clear" w:pos="8398"/>
        </w:tabs>
        <w:spacing w:line="360" w:lineRule="auto"/>
        <w:ind w:firstLine="241"/>
        <w:rPr>
          <w:color w:val="auto"/>
          <w:highlight w:val="none"/>
        </w:rPr>
      </w:pPr>
      <w:r>
        <w:rPr>
          <w:rFonts w:ascii="仿宋_GB2312" w:eastAsia="仿宋_GB2312"/>
          <w:color w:val="auto"/>
          <w:highlight w:val="none"/>
        </w:rPr>
        <w:fldChar w:fldCharType="begin"/>
      </w:r>
      <w:r>
        <w:rPr>
          <w:rFonts w:ascii="仿宋_GB2312" w:eastAsia="仿宋_GB2312"/>
          <w:color w:val="auto"/>
          <w:highlight w:val="none"/>
        </w:rPr>
        <w:instrText xml:space="preserve"> HYPERLINK \l _Toc25250 </w:instrText>
      </w:r>
      <w:r>
        <w:rPr>
          <w:rFonts w:ascii="仿宋_GB2312" w:eastAsia="仿宋_GB2312"/>
          <w:color w:val="auto"/>
          <w:highlight w:val="none"/>
        </w:rPr>
        <w:fldChar w:fldCharType="separate"/>
      </w:r>
      <w:r>
        <w:rPr>
          <w:rFonts w:hint="eastAsia"/>
          <w:color w:val="auto"/>
          <w:highlight w:val="none"/>
        </w:rPr>
        <w:t>第五章  拟签订的</w:t>
      </w:r>
      <w:bookmarkStart w:id="5" w:name="_Hlt192677079"/>
      <w:r>
        <w:rPr>
          <w:rFonts w:hint="eastAsia"/>
          <w:color w:val="auto"/>
          <w:highlight w:val="none"/>
        </w:rPr>
        <w:t>合</w:t>
      </w:r>
      <w:bookmarkEnd w:id="5"/>
      <w:r>
        <w:rPr>
          <w:rFonts w:hint="eastAsia"/>
          <w:color w:val="auto"/>
          <w:highlight w:val="none"/>
        </w:rPr>
        <w:t>同文本</w:t>
      </w:r>
      <w:r>
        <w:rPr>
          <w:color w:val="auto"/>
          <w:highlight w:val="none"/>
        </w:rPr>
        <w:tab/>
      </w:r>
      <w:r>
        <w:rPr>
          <w:color w:val="auto"/>
          <w:highlight w:val="none"/>
        </w:rPr>
        <w:fldChar w:fldCharType="begin"/>
      </w:r>
      <w:r>
        <w:rPr>
          <w:color w:val="auto"/>
          <w:highlight w:val="none"/>
        </w:rPr>
        <w:instrText xml:space="preserve"> PAGEREF _Toc25250 \h </w:instrText>
      </w:r>
      <w:r>
        <w:rPr>
          <w:color w:val="auto"/>
          <w:highlight w:val="none"/>
        </w:rPr>
        <w:fldChar w:fldCharType="separate"/>
      </w:r>
      <w:r>
        <w:rPr>
          <w:color w:val="auto"/>
          <w:highlight w:val="none"/>
        </w:rPr>
        <w:t>72</w:t>
      </w:r>
      <w:r>
        <w:rPr>
          <w:color w:val="auto"/>
          <w:highlight w:val="none"/>
        </w:rPr>
        <w:fldChar w:fldCharType="end"/>
      </w:r>
      <w:r>
        <w:rPr>
          <w:rFonts w:ascii="仿宋_GB2312" w:eastAsia="仿宋_GB2312"/>
          <w:color w:val="auto"/>
          <w:highlight w:val="none"/>
        </w:rPr>
        <w:fldChar w:fldCharType="end"/>
      </w:r>
    </w:p>
    <w:p w14:paraId="6FFE3AF0">
      <w:pPr>
        <w:pStyle w:val="33"/>
        <w:tabs>
          <w:tab w:val="right" w:leader="dot" w:pos="8730"/>
          <w:tab w:val="clear" w:pos="8398"/>
        </w:tabs>
        <w:spacing w:line="360" w:lineRule="auto"/>
        <w:ind w:firstLine="241"/>
        <w:rPr>
          <w:color w:val="auto"/>
          <w:highlight w:val="none"/>
        </w:rPr>
      </w:pPr>
      <w:r>
        <w:rPr>
          <w:rFonts w:ascii="仿宋_GB2312" w:eastAsia="仿宋_GB2312"/>
          <w:color w:val="auto"/>
          <w:highlight w:val="none"/>
        </w:rPr>
        <w:fldChar w:fldCharType="begin"/>
      </w:r>
      <w:r>
        <w:rPr>
          <w:rFonts w:ascii="仿宋_GB2312" w:eastAsia="仿宋_GB2312"/>
          <w:color w:val="auto"/>
          <w:highlight w:val="none"/>
        </w:rPr>
        <w:instrText xml:space="preserve"> HYPERLINK \l _Toc25289 </w:instrText>
      </w:r>
      <w:r>
        <w:rPr>
          <w:rFonts w:ascii="仿宋_GB2312" w:eastAsia="仿宋_GB2312"/>
          <w:color w:val="auto"/>
          <w:highlight w:val="none"/>
        </w:rPr>
        <w:fldChar w:fldCharType="separate"/>
      </w:r>
      <w:r>
        <w:rPr>
          <w:rFonts w:hint="eastAsia"/>
          <w:color w:val="auto"/>
          <w:highlight w:val="none"/>
        </w:rPr>
        <w:t>第六章</w:t>
      </w:r>
      <w:r>
        <w:rPr>
          <w:rFonts w:hint="eastAsia"/>
          <w:color w:val="auto"/>
          <w:highlight w:val="none"/>
          <w:lang w:val="en-US" w:eastAsia="zh-CN"/>
        </w:rPr>
        <w:t xml:space="preserve">  </w:t>
      </w:r>
      <w:r>
        <w:rPr>
          <w:rFonts w:hint="eastAsia"/>
          <w:color w:val="auto"/>
          <w:highlight w:val="none"/>
        </w:rPr>
        <w:t>投标文件格式</w:t>
      </w:r>
      <w:r>
        <w:rPr>
          <w:color w:val="auto"/>
          <w:highlight w:val="none"/>
        </w:rPr>
        <w:tab/>
      </w:r>
      <w:r>
        <w:rPr>
          <w:color w:val="auto"/>
          <w:highlight w:val="none"/>
        </w:rPr>
        <w:fldChar w:fldCharType="begin"/>
      </w:r>
      <w:r>
        <w:rPr>
          <w:color w:val="auto"/>
          <w:highlight w:val="none"/>
        </w:rPr>
        <w:instrText xml:space="preserve"> PAGEREF _Toc25289 \h </w:instrText>
      </w:r>
      <w:r>
        <w:rPr>
          <w:color w:val="auto"/>
          <w:highlight w:val="none"/>
        </w:rPr>
        <w:fldChar w:fldCharType="separate"/>
      </w:r>
      <w:r>
        <w:rPr>
          <w:color w:val="auto"/>
          <w:highlight w:val="none"/>
        </w:rPr>
        <w:t>80</w:t>
      </w:r>
      <w:r>
        <w:rPr>
          <w:color w:val="auto"/>
          <w:highlight w:val="none"/>
        </w:rPr>
        <w:fldChar w:fldCharType="end"/>
      </w:r>
      <w:r>
        <w:rPr>
          <w:rFonts w:ascii="仿宋_GB2312" w:eastAsia="仿宋_GB2312"/>
          <w:color w:val="auto"/>
          <w:highlight w:val="none"/>
        </w:rPr>
        <w:fldChar w:fldCharType="end"/>
      </w:r>
    </w:p>
    <w:p w14:paraId="0393D029">
      <w:pPr>
        <w:tabs>
          <w:tab w:val="right" w:leader="dot" w:pos="8789"/>
        </w:tabs>
        <w:snapToGrid w:val="0"/>
        <w:spacing w:line="360" w:lineRule="auto"/>
        <w:rPr>
          <w:rFonts w:hint="eastAsia" w:ascii="仿宋_GB2312" w:hAnsi="宋体" w:eastAsia="仿宋_GB2312"/>
          <w:color w:val="auto"/>
          <w:sz w:val="24"/>
          <w:highlight w:val="none"/>
        </w:rPr>
      </w:pPr>
      <w:r>
        <w:rPr>
          <w:rFonts w:ascii="仿宋_GB2312" w:hAnsi="宋体" w:eastAsia="仿宋_GB2312"/>
          <w:color w:val="auto"/>
          <w:highlight w:val="none"/>
        </w:rPr>
        <w:fldChar w:fldCharType="end"/>
      </w:r>
    </w:p>
    <w:p w14:paraId="7754461B">
      <w:pPr>
        <w:spacing w:before="120" w:beforeLines="50" w:line="480" w:lineRule="exact"/>
        <w:rPr>
          <w:rFonts w:hint="eastAsia" w:ascii="仿宋_GB2312" w:hAnsi="宋体" w:eastAsia="仿宋_GB2312"/>
          <w:color w:val="auto"/>
          <w:sz w:val="30"/>
          <w:highlight w:val="none"/>
        </w:rPr>
      </w:pPr>
    </w:p>
    <w:p w14:paraId="5D5BC211">
      <w:pPr>
        <w:rPr>
          <w:rFonts w:hint="eastAsia"/>
          <w:color w:val="auto"/>
          <w:highlight w:val="none"/>
        </w:rPr>
      </w:pPr>
    </w:p>
    <w:p w14:paraId="78B13069">
      <w:pPr>
        <w:spacing w:before="120" w:beforeLines="50" w:line="480" w:lineRule="exact"/>
        <w:rPr>
          <w:rFonts w:hint="eastAsia" w:ascii="仿宋_GB2312" w:hAnsi="宋体" w:eastAsia="仿宋_GB2312"/>
          <w:color w:val="auto"/>
          <w:sz w:val="30"/>
          <w:highlight w:val="none"/>
        </w:rPr>
      </w:pPr>
    </w:p>
    <w:p w14:paraId="0D510720">
      <w:pPr>
        <w:spacing w:before="120" w:beforeLines="50" w:line="480" w:lineRule="exact"/>
        <w:rPr>
          <w:rFonts w:hint="eastAsia" w:ascii="仿宋_GB2312" w:hAnsi="宋体" w:eastAsia="仿宋_GB2312"/>
          <w:color w:val="auto"/>
          <w:sz w:val="30"/>
          <w:highlight w:val="none"/>
        </w:rPr>
      </w:pPr>
    </w:p>
    <w:p w14:paraId="28AA3925">
      <w:pPr>
        <w:pStyle w:val="16"/>
        <w:rPr>
          <w:rFonts w:hint="eastAsia" w:ascii="宋体" w:hAnsi="宋体" w:cs="宋体"/>
          <w:b/>
          <w:bCs/>
          <w:color w:val="auto"/>
          <w:highlight w:val="none"/>
        </w:rPr>
      </w:pPr>
      <w:bookmarkStart w:id="6" w:name="_Toc254970630"/>
      <w:bookmarkStart w:id="7" w:name="_Toc254970489"/>
    </w:p>
    <w:p w14:paraId="3D546B8E">
      <w:pPr>
        <w:pStyle w:val="2"/>
        <w:keepNext w:val="0"/>
        <w:keepLines w:val="0"/>
        <w:tabs>
          <w:tab w:val="left" w:pos="0"/>
          <w:tab w:val="left" w:pos="3165"/>
          <w:tab w:val="center" w:pos="4153"/>
        </w:tabs>
        <w:autoSpaceDE w:val="0"/>
        <w:autoSpaceDN w:val="0"/>
        <w:adjustRightInd w:val="0"/>
        <w:spacing w:before="0" w:after="0" w:line="360" w:lineRule="auto"/>
        <w:jc w:val="center"/>
        <w:rPr>
          <w:color w:val="auto"/>
          <w:highlight w:val="none"/>
        </w:rPr>
      </w:pPr>
      <w:r>
        <w:rPr>
          <w:rFonts w:ascii="宋体" w:hAnsi="宋体" w:cs="宋体"/>
          <w:b w:val="0"/>
          <w:bCs w:val="0"/>
          <w:color w:val="auto"/>
          <w:highlight w:val="none"/>
        </w:rPr>
        <w:br w:type="page"/>
      </w:r>
      <w:bookmarkStart w:id="8" w:name="_Toc26956"/>
      <w:r>
        <w:rPr>
          <w:rFonts w:hint="eastAsia"/>
          <w:color w:val="auto"/>
          <w:highlight w:val="none"/>
        </w:rPr>
        <w:t>第一章</w:t>
      </w:r>
      <w:bookmarkEnd w:id="6"/>
      <w:bookmarkEnd w:id="7"/>
      <w:bookmarkStart w:id="9" w:name="_Toc35393789"/>
      <w:bookmarkStart w:id="10" w:name="_Toc28359001"/>
      <w:r>
        <w:rPr>
          <w:rFonts w:hint="eastAsia"/>
          <w:color w:val="auto"/>
          <w:highlight w:val="none"/>
        </w:rPr>
        <w:t xml:space="preserve"> </w:t>
      </w:r>
      <w:bookmarkStart w:id="11" w:name="OLE_LINK15"/>
      <w:r>
        <w:rPr>
          <w:rFonts w:hint="eastAsia"/>
          <w:color w:val="auto"/>
          <w:highlight w:val="none"/>
        </w:rPr>
        <w:t>招标公告</w:t>
      </w:r>
      <w:bookmarkEnd w:id="8"/>
      <w:bookmarkEnd w:id="9"/>
      <w:bookmarkEnd w:id="10"/>
    </w:p>
    <w:p w14:paraId="5F5D36CF">
      <w:pPr>
        <w:spacing w:line="360" w:lineRule="auto"/>
        <w:rPr>
          <w:rFonts w:ascii="宋体" w:hAnsi="宋体"/>
          <w:color w:val="auto"/>
          <w:szCs w:val="21"/>
          <w:highlight w:val="none"/>
        </w:rPr>
      </w:pPr>
    </w:p>
    <w:p w14:paraId="64475660">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项目概况</w:t>
      </w:r>
    </w:p>
    <w:p w14:paraId="35C2D575">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highlight w:val="none"/>
        </w:rPr>
      </w:pPr>
      <w:r>
        <w:rPr>
          <w:rFonts w:hint="eastAsia" w:ascii="宋体" w:hAnsi="宋体"/>
          <w:color w:val="auto"/>
          <w:szCs w:val="21"/>
          <w:highlight w:val="none"/>
          <w:u w:val="single"/>
          <w:lang w:eastAsia="zh-CN"/>
        </w:rPr>
        <w:t>广西壮族自治区交通运输厅财会监督检查和审计服务（重）</w:t>
      </w:r>
      <w:r>
        <w:rPr>
          <w:rFonts w:hint="eastAsia" w:ascii="宋体" w:hAnsi="宋体"/>
          <w:color w:val="auto"/>
          <w:szCs w:val="21"/>
          <w:highlight w:val="none"/>
        </w:rPr>
        <w:t>招标项目的潜在投标人应在</w:t>
      </w:r>
      <w:r>
        <w:rPr>
          <w:rFonts w:ascii="宋体" w:hAnsi="宋体"/>
          <w:color w:val="auto"/>
          <w:szCs w:val="21"/>
          <w:highlight w:val="none"/>
        </w:rPr>
        <w:t>广西政府采购云平台</w:t>
      </w:r>
      <w:r>
        <w:rPr>
          <w:rFonts w:hint="eastAsia" w:ascii="宋体" w:hAnsi="宋体"/>
          <w:color w:val="auto"/>
          <w:szCs w:val="21"/>
          <w:highlight w:val="none"/>
        </w:rPr>
        <w:t>（</w:t>
      </w:r>
      <w:r>
        <w:rPr>
          <w:rFonts w:ascii="宋体" w:hAnsi="宋体"/>
          <w:bCs/>
          <w:color w:val="auto"/>
          <w:szCs w:val="21"/>
          <w:highlight w:val="none"/>
        </w:rPr>
        <w:t>https://www.gcy.zfcg.gxzf.gov.cn/</w:t>
      </w:r>
      <w:r>
        <w:rPr>
          <w:rFonts w:hint="eastAsia" w:ascii="宋体" w:hAnsi="宋体"/>
          <w:color w:val="auto"/>
          <w:szCs w:val="21"/>
          <w:highlight w:val="none"/>
        </w:rPr>
        <w:t>）获取（下载）招标文件，并于</w:t>
      </w:r>
      <w:r>
        <w:rPr>
          <w:rFonts w:hint="eastAsia" w:ascii="宋体" w:hAnsi="宋体"/>
          <w:color w:val="auto"/>
          <w:szCs w:val="21"/>
          <w:highlight w:val="none"/>
          <w:u w:val="single"/>
          <w:lang w:eastAsia="zh-CN"/>
        </w:rPr>
        <w:t>2026年6月</w:t>
      </w:r>
      <w:r>
        <w:rPr>
          <w:rFonts w:hint="eastAsia" w:ascii="宋体" w:hAnsi="宋体"/>
          <w:color w:val="auto"/>
          <w:szCs w:val="21"/>
          <w:highlight w:val="none"/>
          <w:u w:val="single"/>
          <w:lang w:val="en-US" w:eastAsia="zh-CN"/>
        </w:rPr>
        <w:t>9</w:t>
      </w:r>
      <w:r>
        <w:rPr>
          <w:rFonts w:hint="eastAsia" w:ascii="宋体" w:hAnsi="宋体"/>
          <w:color w:val="auto"/>
          <w:szCs w:val="21"/>
          <w:highlight w:val="none"/>
          <w:u w:val="single"/>
          <w:lang w:eastAsia="zh-CN"/>
        </w:rPr>
        <w:t>日</w:t>
      </w:r>
      <w:r>
        <w:rPr>
          <w:rFonts w:hint="eastAsia" w:ascii="宋体" w:hAnsi="宋体"/>
          <w:bCs/>
          <w:color w:val="auto"/>
          <w:szCs w:val="21"/>
          <w:highlight w:val="none"/>
          <w:u w:val="single"/>
        </w:rPr>
        <w:t>9时30分（</w:t>
      </w:r>
      <w:r>
        <w:rPr>
          <w:rFonts w:hint="eastAsia" w:ascii="宋体" w:hAnsi="宋体"/>
          <w:bCs/>
          <w:color w:val="auto"/>
          <w:szCs w:val="21"/>
          <w:highlight w:val="none"/>
        </w:rPr>
        <w:t>北京时间）前按要求递交（上传）投标</w:t>
      </w:r>
      <w:r>
        <w:rPr>
          <w:rFonts w:ascii="宋体" w:hAnsi="宋体"/>
          <w:bCs/>
          <w:color w:val="auto"/>
          <w:szCs w:val="21"/>
          <w:highlight w:val="none"/>
        </w:rPr>
        <w:t>文件</w:t>
      </w:r>
      <w:r>
        <w:rPr>
          <w:rFonts w:hint="eastAsia" w:ascii="宋体" w:hAnsi="宋体"/>
          <w:color w:val="auto"/>
          <w:szCs w:val="21"/>
          <w:highlight w:val="none"/>
        </w:rPr>
        <w:t>。</w:t>
      </w:r>
    </w:p>
    <w:p w14:paraId="7B649ED8">
      <w:pPr>
        <w:spacing w:line="360" w:lineRule="auto"/>
        <w:rPr>
          <w:rFonts w:ascii="宋体" w:hAnsi="宋体"/>
          <w:color w:val="auto"/>
          <w:szCs w:val="21"/>
          <w:highlight w:val="none"/>
        </w:rPr>
      </w:pPr>
    </w:p>
    <w:p w14:paraId="3B66F79B">
      <w:pPr>
        <w:spacing w:line="360" w:lineRule="auto"/>
        <w:rPr>
          <w:rFonts w:ascii="黑体" w:hAnsi="黑体" w:eastAsia="黑体"/>
          <w:b/>
          <w:bCs/>
          <w:color w:val="auto"/>
          <w:sz w:val="24"/>
          <w:highlight w:val="none"/>
        </w:rPr>
      </w:pPr>
      <w:bookmarkStart w:id="12" w:name="_Toc28359079"/>
      <w:bookmarkStart w:id="13" w:name="_Toc35393621"/>
      <w:bookmarkStart w:id="14" w:name="_Toc28359002"/>
      <w:bookmarkStart w:id="15" w:name="_Toc35393790"/>
      <w:bookmarkStart w:id="16" w:name="_Hlk24379207"/>
      <w:r>
        <w:rPr>
          <w:rFonts w:hint="eastAsia" w:ascii="黑体" w:hAnsi="黑体" w:eastAsia="黑体"/>
          <w:b/>
          <w:bCs/>
          <w:color w:val="auto"/>
          <w:sz w:val="24"/>
          <w:highlight w:val="none"/>
        </w:rPr>
        <w:t>一、项目基本情况</w:t>
      </w:r>
      <w:bookmarkEnd w:id="12"/>
      <w:bookmarkEnd w:id="13"/>
      <w:bookmarkEnd w:id="14"/>
      <w:bookmarkEnd w:id="15"/>
    </w:p>
    <w:bookmarkEnd w:id="16"/>
    <w:p w14:paraId="68F3147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项目编号：</w:t>
      </w:r>
      <w:r>
        <w:rPr>
          <w:rFonts w:hint="eastAsia" w:ascii="宋体" w:hAnsi="宋体"/>
          <w:color w:val="auto"/>
          <w:szCs w:val="21"/>
          <w:highlight w:val="none"/>
          <w:lang w:eastAsia="zh-CN"/>
        </w:rPr>
        <w:t>GXZC2026-G3-001360-JGJD</w:t>
      </w:r>
      <w:r>
        <w:rPr>
          <w:rFonts w:hint="eastAsia" w:ascii="宋体" w:hAnsi="宋体"/>
          <w:color w:val="auto"/>
          <w:szCs w:val="21"/>
          <w:highlight w:val="none"/>
        </w:rPr>
        <w:t>（采购计划编号：广西政采[2026]2183号）</w:t>
      </w:r>
    </w:p>
    <w:p w14:paraId="4ECF0366">
      <w:pPr>
        <w:spacing w:line="360" w:lineRule="auto"/>
        <w:ind w:firstLine="420" w:firstLineChars="200"/>
        <w:rPr>
          <w:rFonts w:hint="eastAsia" w:eastAsia="宋体"/>
          <w:color w:val="auto"/>
          <w:highlight w:val="none"/>
          <w:lang w:eastAsia="zh-CN"/>
        </w:rPr>
      </w:pPr>
      <w:r>
        <w:rPr>
          <w:rFonts w:hint="eastAsia" w:ascii="宋体" w:hAnsi="宋体"/>
          <w:color w:val="auto"/>
          <w:szCs w:val="21"/>
          <w:highlight w:val="none"/>
        </w:rPr>
        <w:t>项目名称：</w:t>
      </w:r>
      <w:r>
        <w:rPr>
          <w:rFonts w:hint="eastAsia" w:ascii="宋体" w:hAnsi="宋体"/>
          <w:color w:val="auto"/>
          <w:szCs w:val="21"/>
          <w:highlight w:val="none"/>
          <w:lang w:eastAsia="zh-CN"/>
        </w:rPr>
        <w:t>广西壮族自治区交通运输厅财会监督检查和审计服务（重）</w:t>
      </w:r>
    </w:p>
    <w:p w14:paraId="6B20B903">
      <w:pPr>
        <w:spacing w:line="360" w:lineRule="auto"/>
        <w:ind w:firstLine="420" w:firstLineChars="200"/>
        <w:rPr>
          <w:rFonts w:hint="eastAsia" w:ascii="宋体" w:hAnsi="宋体" w:eastAsia="宋体"/>
          <w:color w:val="auto"/>
          <w:szCs w:val="21"/>
          <w:highlight w:val="none"/>
          <w:lang w:eastAsia="zh-CN"/>
        </w:rPr>
      </w:pPr>
      <w:r>
        <w:rPr>
          <w:rFonts w:hint="eastAsia"/>
          <w:color w:val="auto"/>
          <w:highlight w:val="none"/>
        </w:rPr>
        <w:t>预算总金额（元）</w:t>
      </w:r>
      <w:r>
        <w:rPr>
          <w:rFonts w:hint="eastAsia" w:ascii="宋体" w:hAnsi="宋体"/>
          <w:color w:val="auto"/>
          <w:szCs w:val="21"/>
          <w:highlight w:val="none"/>
        </w:rPr>
        <w:t>：</w:t>
      </w: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5</w:t>
      </w:r>
      <w:r>
        <w:rPr>
          <w:rFonts w:hint="eastAsia" w:ascii="宋体" w:hAnsi="宋体"/>
          <w:color w:val="auto"/>
          <w:szCs w:val="21"/>
          <w:highlight w:val="none"/>
          <w:lang w:eastAsia="zh-CN"/>
        </w:rPr>
        <w:t>5.48万元（其中1分标：</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5.00万元；2分标：34.00万元；3分标：17.00万元；4分标：21.00万元；5分标：24.48万元；6分标：20.00万元；7分标：16.00万元；8分标：8.00万元。）</w:t>
      </w:r>
    </w:p>
    <w:p w14:paraId="065851E1">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最高限价（</w:t>
      </w:r>
      <w:r>
        <w:rPr>
          <w:rFonts w:hint="eastAsia"/>
          <w:color w:val="auto"/>
          <w:highlight w:val="none"/>
        </w:rPr>
        <w:t>元</w:t>
      </w:r>
      <w:r>
        <w:rPr>
          <w:rFonts w:hint="eastAsia" w:ascii="宋体" w:hAnsi="宋体"/>
          <w:color w:val="auto"/>
          <w:szCs w:val="21"/>
          <w:highlight w:val="none"/>
        </w:rPr>
        <w:t>）：</w:t>
      </w:r>
      <w:r>
        <w:rPr>
          <w:rFonts w:hint="eastAsia" w:ascii="宋体" w:hAnsi="宋体"/>
          <w:color w:val="auto"/>
          <w:szCs w:val="21"/>
          <w:highlight w:val="none"/>
          <w:lang w:eastAsia="zh-CN"/>
        </w:rPr>
        <w:t>145.48万元（其中1分标：5.00万元；2分标：34.00万元；3分标：17.00万元；4分标：21.00万元；5分标：24.48万元；6分标：20.00万元；7分标：16.00万元；8分标：8.00万元。）</w:t>
      </w:r>
    </w:p>
    <w:p w14:paraId="365F3C3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采购需求：</w:t>
      </w:r>
      <w:r>
        <w:rPr>
          <w:rFonts w:ascii="宋体" w:hAnsi="宋体"/>
          <w:color w:val="auto"/>
          <w:szCs w:val="21"/>
          <w:highlight w:val="none"/>
        </w:rPr>
        <w:t xml:space="preserve"> </w:t>
      </w:r>
    </w:p>
    <w:p w14:paraId="0F4D81DA">
      <w:pPr>
        <w:pStyle w:val="18"/>
        <w:ind w:firstLine="723" w:firstLineChars="300"/>
        <w:rPr>
          <w:b/>
          <w:bCs/>
          <w:color w:val="auto"/>
          <w:highlight w:val="none"/>
        </w:rPr>
      </w:pPr>
      <w:r>
        <w:rPr>
          <w:rFonts w:hint="eastAsia" w:ascii="宋体" w:hAnsi="宋体"/>
          <w:b/>
          <w:bCs/>
          <w:color w:val="auto"/>
          <w:szCs w:val="21"/>
          <w:highlight w:val="none"/>
          <w:lang w:eastAsia="zh-CN"/>
        </w:rPr>
        <w:t>1分标：</w:t>
      </w:r>
    </w:p>
    <w:tbl>
      <w:tblPr>
        <w:tblStyle w:val="4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7"/>
        <w:gridCol w:w="3502"/>
        <w:gridCol w:w="968"/>
        <w:gridCol w:w="3432"/>
      </w:tblGrid>
      <w:tr w14:paraId="29E354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 w:hRule="atLeast"/>
          <w:jc w:val="center"/>
        </w:trPr>
        <w:tc>
          <w:tcPr>
            <w:tcW w:w="697" w:type="dxa"/>
            <w:tcBorders>
              <w:top w:val="single" w:color="auto" w:sz="4" w:space="0"/>
              <w:left w:val="single" w:color="auto" w:sz="4" w:space="0"/>
              <w:bottom w:val="single" w:color="auto" w:sz="4" w:space="0"/>
              <w:right w:val="single" w:color="auto" w:sz="4" w:space="0"/>
            </w:tcBorders>
            <w:noWrap w:val="0"/>
            <w:vAlign w:val="center"/>
          </w:tcPr>
          <w:p w14:paraId="771968E0">
            <w:pPr>
              <w:snapToGrid w:val="0"/>
              <w:spacing w:line="400" w:lineRule="exact"/>
              <w:jc w:val="center"/>
              <w:rPr>
                <w:rFonts w:ascii="宋体" w:hAnsi="宋体"/>
                <w:color w:val="auto"/>
                <w:szCs w:val="21"/>
                <w:highlight w:val="none"/>
              </w:rPr>
            </w:pPr>
            <w:r>
              <w:rPr>
                <w:rFonts w:ascii="宋体" w:hAnsi="宋体"/>
                <w:color w:val="auto"/>
                <w:szCs w:val="21"/>
                <w:highlight w:val="none"/>
              </w:rPr>
              <w:t>序号</w:t>
            </w:r>
          </w:p>
        </w:tc>
        <w:tc>
          <w:tcPr>
            <w:tcW w:w="3502" w:type="dxa"/>
            <w:tcBorders>
              <w:top w:val="single" w:color="auto" w:sz="4" w:space="0"/>
              <w:left w:val="single" w:color="auto" w:sz="4" w:space="0"/>
              <w:bottom w:val="single" w:color="auto" w:sz="4" w:space="0"/>
              <w:right w:val="single" w:color="auto" w:sz="4" w:space="0"/>
            </w:tcBorders>
            <w:noWrap w:val="0"/>
            <w:vAlign w:val="center"/>
          </w:tcPr>
          <w:p w14:paraId="0AF58825">
            <w:pPr>
              <w:snapToGrid w:val="0"/>
              <w:spacing w:line="400" w:lineRule="exact"/>
              <w:jc w:val="center"/>
              <w:rPr>
                <w:rFonts w:ascii="宋体" w:hAnsi="宋体"/>
                <w:color w:val="auto"/>
                <w:szCs w:val="21"/>
                <w:highlight w:val="none"/>
              </w:rPr>
            </w:pPr>
            <w:r>
              <w:rPr>
                <w:rFonts w:ascii="宋体" w:hAnsi="宋体"/>
                <w:color w:val="auto"/>
                <w:szCs w:val="21"/>
                <w:highlight w:val="none"/>
              </w:rPr>
              <w:t>标的名称</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7B8ACF01">
            <w:pPr>
              <w:snapToGrid w:val="0"/>
              <w:spacing w:line="400" w:lineRule="exact"/>
              <w:jc w:val="center"/>
              <w:rPr>
                <w:rFonts w:ascii="宋体" w:hAnsi="宋体"/>
                <w:color w:val="auto"/>
                <w:szCs w:val="21"/>
                <w:highlight w:val="none"/>
              </w:rPr>
            </w:pPr>
            <w:r>
              <w:rPr>
                <w:rFonts w:ascii="宋体" w:hAnsi="宋体"/>
                <w:color w:val="auto"/>
                <w:szCs w:val="21"/>
                <w:highlight w:val="none"/>
              </w:rPr>
              <w:t>数量</w:t>
            </w:r>
          </w:p>
        </w:tc>
        <w:tc>
          <w:tcPr>
            <w:tcW w:w="3432" w:type="dxa"/>
            <w:tcBorders>
              <w:top w:val="single" w:color="auto" w:sz="4" w:space="0"/>
              <w:left w:val="single" w:color="auto" w:sz="4" w:space="0"/>
              <w:bottom w:val="single" w:color="auto" w:sz="4" w:space="0"/>
              <w:right w:val="single" w:color="auto" w:sz="4" w:space="0"/>
            </w:tcBorders>
            <w:noWrap w:val="0"/>
            <w:vAlign w:val="center"/>
          </w:tcPr>
          <w:p w14:paraId="7E54B4A7">
            <w:pPr>
              <w:snapToGrid w:val="0"/>
              <w:spacing w:line="400" w:lineRule="exact"/>
              <w:jc w:val="center"/>
              <w:rPr>
                <w:rFonts w:ascii="宋体" w:hAnsi="宋体"/>
                <w:color w:val="auto"/>
                <w:szCs w:val="21"/>
                <w:highlight w:val="none"/>
              </w:rPr>
            </w:pPr>
            <w:r>
              <w:rPr>
                <w:rFonts w:ascii="宋体" w:hAnsi="宋体"/>
                <w:color w:val="auto"/>
                <w:szCs w:val="21"/>
                <w:highlight w:val="none"/>
              </w:rPr>
              <w:t>简要技术需求或者服务要求</w:t>
            </w:r>
          </w:p>
        </w:tc>
      </w:tr>
      <w:tr w14:paraId="2A66BA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6" w:hRule="atLeast"/>
          <w:jc w:val="center"/>
        </w:trPr>
        <w:tc>
          <w:tcPr>
            <w:tcW w:w="697" w:type="dxa"/>
            <w:tcBorders>
              <w:top w:val="single" w:color="auto" w:sz="4" w:space="0"/>
              <w:left w:val="single" w:color="auto" w:sz="4" w:space="0"/>
              <w:bottom w:val="single" w:color="auto" w:sz="4" w:space="0"/>
              <w:right w:val="single" w:color="auto" w:sz="4" w:space="0"/>
            </w:tcBorders>
            <w:noWrap w:val="0"/>
            <w:vAlign w:val="top"/>
          </w:tcPr>
          <w:p w14:paraId="1F31A512">
            <w:pPr>
              <w:snapToGrid w:val="0"/>
              <w:spacing w:line="400" w:lineRule="exact"/>
              <w:jc w:val="center"/>
              <w:rPr>
                <w:rFonts w:ascii="宋体" w:hAnsi="宋体"/>
                <w:color w:val="auto"/>
                <w:szCs w:val="21"/>
                <w:highlight w:val="none"/>
              </w:rPr>
            </w:pPr>
            <w:r>
              <w:rPr>
                <w:rFonts w:ascii="宋体" w:hAnsi="宋体"/>
                <w:color w:val="auto"/>
                <w:szCs w:val="21"/>
                <w:highlight w:val="none"/>
              </w:rPr>
              <w:t>01</w:t>
            </w:r>
          </w:p>
        </w:tc>
        <w:tc>
          <w:tcPr>
            <w:tcW w:w="3502" w:type="dxa"/>
            <w:tcBorders>
              <w:top w:val="single" w:color="auto" w:sz="4" w:space="0"/>
              <w:left w:val="single" w:color="auto" w:sz="4" w:space="0"/>
              <w:bottom w:val="single" w:color="auto" w:sz="4" w:space="0"/>
              <w:right w:val="single" w:color="auto" w:sz="4" w:space="0"/>
            </w:tcBorders>
            <w:noWrap w:val="0"/>
            <w:vAlign w:val="top"/>
          </w:tcPr>
          <w:p w14:paraId="64488661">
            <w:pPr>
              <w:snapToGrid w:val="0"/>
              <w:spacing w:line="400" w:lineRule="exact"/>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自治区交通运输厅机关及4个中心2025年度财务收支审计服务采购</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6B01D036">
            <w:pPr>
              <w:snapToGrid w:val="0"/>
              <w:spacing w:line="400" w:lineRule="exact"/>
              <w:jc w:val="center"/>
              <w:rPr>
                <w:rFonts w:ascii="宋体" w:hAnsi="宋体"/>
                <w:color w:val="auto"/>
                <w:szCs w:val="21"/>
                <w:highlight w:val="none"/>
              </w:rPr>
            </w:pPr>
            <w:r>
              <w:rPr>
                <w:rFonts w:ascii="宋体" w:hAnsi="宋体"/>
                <w:color w:val="auto"/>
                <w:szCs w:val="21"/>
                <w:highlight w:val="none"/>
              </w:rPr>
              <w:t>1项</w:t>
            </w:r>
          </w:p>
        </w:tc>
        <w:tc>
          <w:tcPr>
            <w:tcW w:w="3432" w:type="dxa"/>
            <w:tcBorders>
              <w:top w:val="single" w:color="auto" w:sz="4" w:space="0"/>
              <w:left w:val="single" w:color="auto" w:sz="4" w:space="0"/>
              <w:bottom w:val="single" w:color="auto" w:sz="4" w:space="0"/>
              <w:right w:val="single" w:color="auto" w:sz="4" w:space="0"/>
            </w:tcBorders>
            <w:noWrap w:val="0"/>
            <w:vAlign w:val="center"/>
          </w:tcPr>
          <w:p w14:paraId="4918D0E7">
            <w:pPr>
              <w:adjustRightInd w:val="0"/>
              <w:snapToGrid w:val="0"/>
              <w:spacing w:line="400" w:lineRule="exact"/>
              <w:jc w:val="center"/>
              <w:rPr>
                <w:rFonts w:ascii="宋体" w:hAnsi="宋体"/>
                <w:color w:val="auto"/>
                <w:szCs w:val="21"/>
                <w:highlight w:val="none"/>
              </w:rPr>
            </w:pPr>
            <w:r>
              <w:rPr>
                <w:rFonts w:hint="eastAsia" w:ascii="宋体" w:hAnsi="宋体"/>
                <w:color w:val="auto"/>
                <w:szCs w:val="21"/>
                <w:highlight w:val="none"/>
              </w:rPr>
              <w:t>具体详见采购需求。</w:t>
            </w:r>
          </w:p>
        </w:tc>
      </w:tr>
    </w:tbl>
    <w:p w14:paraId="700335E9">
      <w:pPr>
        <w:pStyle w:val="18"/>
        <w:ind w:firstLine="723" w:firstLineChars="300"/>
        <w:rPr>
          <w:b/>
          <w:bCs/>
          <w:color w:val="auto"/>
          <w:highlight w:val="none"/>
        </w:rPr>
      </w:pPr>
      <w:r>
        <w:rPr>
          <w:rFonts w:hint="eastAsia" w:ascii="宋体" w:hAnsi="宋体"/>
          <w:b/>
          <w:bCs/>
          <w:color w:val="auto"/>
          <w:szCs w:val="21"/>
          <w:highlight w:val="none"/>
          <w:lang w:val="en-US" w:eastAsia="zh-CN"/>
        </w:rPr>
        <w:t>2</w:t>
      </w:r>
      <w:r>
        <w:rPr>
          <w:rFonts w:hint="eastAsia" w:ascii="宋体" w:hAnsi="宋体"/>
          <w:b/>
          <w:bCs/>
          <w:color w:val="auto"/>
          <w:szCs w:val="21"/>
          <w:highlight w:val="none"/>
          <w:lang w:eastAsia="zh-CN"/>
        </w:rPr>
        <w:t>分标：</w:t>
      </w:r>
    </w:p>
    <w:tbl>
      <w:tblPr>
        <w:tblStyle w:val="4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7"/>
        <w:gridCol w:w="3502"/>
        <w:gridCol w:w="968"/>
        <w:gridCol w:w="3432"/>
      </w:tblGrid>
      <w:tr w14:paraId="27B42A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 w:hRule="atLeast"/>
          <w:jc w:val="center"/>
        </w:trPr>
        <w:tc>
          <w:tcPr>
            <w:tcW w:w="697" w:type="dxa"/>
            <w:tcBorders>
              <w:top w:val="single" w:color="auto" w:sz="4" w:space="0"/>
              <w:left w:val="single" w:color="auto" w:sz="4" w:space="0"/>
              <w:bottom w:val="single" w:color="auto" w:sz="4" w:space="0"/>
              <w:right w:val="single" w:color="auto" w:sz="4" w:space="0"/>
            </w:tcBorders>
            <w:noWrap w:val="0"/>
            <w:vAlign w:val="center"/>
          </w:tcPr>
          <w:p w14:paraId="5F8F0727">
            <w:pPr>
              <w:snapToGrid w:val="0"/>
              <w:spacing w:line="400" w:lineRule="exact"/>
              <w:jc w:val="center"/>
              <w:rPr>
                <w:rFonts w:ascii="宋体" w:hAnsi="宋体"/>
                <w:color w:val="auto"/>
                <w:szCs w:val="21"/>
                <w:highlight w:val="none"/>
              </w:rPr>
            </w:pPr>
            <w:r>
              <w:rPr>
                <w:rFonts w:ascii="宋体" w:hAnsi="宋体"/>
                <w:color w:val="auto"/>
                <w:szCs w:val="21"/>
                <w:highlight w:val="none"/>
              </w:rPr>
              <w:t>序号</w:t>
            </w:r>
          </w:p>
        </w:tc>
        <w:tc>
          <w:tcPr>
            <w:tcW w:w="3502" w:type="dxa"/>
            <w:tcBorders>
              <w:top w:val="single" w:color="auto" w:sz="4" w:space="0"/>
              <w:left w:val="single" w:color="auto" w:sz="4" w:space="0"/>
              <w:bottom w:val="single" w:color="auto" w:sz="4" w:space="0"/>
              <w:right w:val="single" w:color="auto" w:sz="4" w:space="0"/>
            </w:tcBorders>
            <w:noWrap w:val="0"/>
            <w:vAlign w:val="center"/>
          </w:tcPr>
          <w:p w14:paraId="0602A7DB">
            <w:pPr>
              <w:snapToGrid w:val="0"/>
              <w:spacing w:line="400" w:lineRule="exact"/>
              <w:jc w:val="center"/>
              <w:rPr>
                <w:rFonts w:ascii="宋体" w:hAnsi="宋体"/>
                <w:color w:val="auto"/>
                <w:szCs w:val="21"/>
                <w:highlight w:val="none"/>
              </w:rPr>
            </w:pPr>
            <w:r>
              <w:rPr>
                <w:rFonts w:ascii="宋体" w:hAnsi="宋体"/>
                <w:color w:val="auto"/>
                <w:szCs w:val="21"/>
                <w:highlight w:val="none"/>
              </w:rPr>
              <w:t>标的名称</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70E78B9F">
            <w:pPr>
              <w:snapToGrid w:val="0"/>
              <w:spacing w:line="400" w:lineRule="exact"/>
              <w:jc w:val="center"/>
              <w:rPr>
                <w:rFonts w:ascii="宋体" w:hAnsi="宋体"/>
                <w:color w:val="auto"/>
                <w:szCs w:val="21"/>
                <w:highlight w:val="none"/>
              </w:rPr>
            </w:pPr>
            <w:r>
              <w:rPr>
                <w:rFonts w:ascii="宋体" w:hAnsi="宋体"/>
                <w:color w:val="auto"/>
                <w:szCs w:val="21"/>
                <w:highlight w:val="none"/>
              </w:rPr>
              <w:t>数量</w:t>
            </w:r>
          </w:p>
        </w:tc>
        <w:tc>
          <w:tcPr>
            <w:tcW w:w="3432" w:type="dxa"/>
            <w:tcBorders>
              <w:top w:val="single" w:color="auto" w:sz="4" w:space="0"/>
              <w:left w:val="single" w:color="auto" w:sz="4" w:space="0"/>
              <w:bottom w:val="single" w:color="auto" w:sz="4" w:space="0"/>
              <w:right w:val="single" w:color="auto" w:sz="4" w:space="0"/>
            </w:tcBorders>
            <w:noWrap w:val="0"/>
            <w:vAlign w:val="center"/>
          </w:tcPr>
          <w:p w14:paraId="0A360091">
            <w:pPr>
              <w:snapToGrid w:val="0"/>
              <w:spacing w:line="400" w:lineRule="exact"/>
              <w:jc w:val="center"/>
              <w:rPr>
                <w:rFonts w:ascii="宋体" w:hAnsi="宋体"/>
                <w:color w:val="auto"/>
                <w:szCs w:val="21"/>
                <w:highlight w:val="none"/>
              </w:rPr>
            </w:pPr>
            <w:r>
              <w:rPr>
                <w:rFonts w:ascii="宋体" w:hAnsi="宋体"/>
                <w:color w:val="auto"/>
                <w:szCs w:val="21"/>
                <w:highlight w:val="none"/>
              </w:rPr>
              <w:t>简要技术需求或者服务要求</w:t>
            </w:r>
          </w:p>
        </w:tc>
      </w:tr>
      <w:tr w14:paraId="3A0C82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6" w:hRule="atLeast"/>
          <w:jc w:val="center"/>
        </w:trPr>
        <w:tc>
          <w:tcPr>
            <w:tcW w:w="697" w:type="dxa"/>
            <w:tcBorders>
              <w:top w:val="single" w:color="auto" w:sz="4" w:space="0"/>
              <w:left w:val="single" w:color="auto" w:sz="4" w:space="0"/>
              <w:bottom w:val="single" w:color="auto" w:sz="4" w:space="0"/>
              <w:right w:val="single" w:color="auto" w:sz="4" w:space="0"/>
            </w:tcBorders>
            <w:noWrap w:val="0"/>
            <w:vAlign w:val="top"/>
          </w:tcPr>
          <w:p w14:paraId="4B514089">
            <w:pPr>
              <w:snapToGrid w:val="0"/>
              <w:spacing w:line="400" w:lineRule="exact"/>
              <w:jc w:val="center"/>
              <w:rPr>
                <w:rFonts w:ascii="宋体" w:hAnsi="宋体"/>
                <w:color w:val="auto"/>
                <w:szCs w:val="21"/>
                <w:highlight w:val="none"/>
              </w:rPr>
            </w:pPr>
            <w:r>
              <w:rPr>
                <w:rFonts w:ascii="宋体" w:hAnsi="宋体"/>
                <w:color w:val="auto"/>
                <w:szCs w:val="21"/>
                <w:highlight w:val="none"/>
              </w:rPr>
              <w:t>01</w:t>
            </w:r>
          </w:p>
        </w:tc>
        <w:tc>
          <w:tcPr>
            <w:tcW w:w="3502" w:type="dxa"/>
            <w:tcBorders>
              <w:top w:val="single" w:color="auto" w:sz="4" w:space="0"/>
              <w:left w:val="single" w:color="auto" w:sz="4" w:space="0"/>
              <w:bottom w:val="single" w:color="auto" w:sz="4" w:space="0"/>
              <w:right w:val="single" w:color="auto" w:sz="4" w:space="0"/>
            </w:tcBorders>
            <w:noWrap w:val="0"/>
            <w:vAlign w:val="top"/>
          </w:tcPr>
          <w:p w14:paraId="57D77943">
            <w:pPr>
              <w:snapToGrid w:val="0"/>
              <w:spacing w:line="400" w:lineRule="exact"/>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2026年财会监督检查服务1</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3DE27613">
            <w:pPr>
              <w:snapToGrid w:val="0"/>
              <w:spacing w:line="400" w:lineRule="exact"/>
              <w:jc w:val="center"/>
              <w:rPr>
                <w:rFonts w:ascii="宋体" w:hAnsi="宋体"/>
                <w:color w:val="auto"/>
                <w:szCs w:val="21"/>
                <w:highlight w:val="none"/>
              </w:rPr>
            </w:pPr>
            <w:r>
              <w:rPr>
                <w:rFonts w:ascii="宋体" w:hAnsi="宋体"/>
                <w:color w:val="auto"/>
                <w:szCs w:val="21"/>
                <w:highlight w:val="none"/>
              </w:rPr>
              <w:t>1项</w:t>
            </w:r>
          </w:p>
        </w:tc>
        <w:tc>
          <w:tcPr>
            <w:tcW w:w="3432" w:type="dxa"/>
            <w:tcBorders>
              <w:top w:val="single" w:color="auto" w:sz="4" w:space="0"/>
              <w:left w:val="single" w:color="auto" w:sz="4" w:space="0"/>
              <w:bottom w:val="single" w:color="auto" w:sz="4" w:space="0"/>
              <w:right w:val="single" w:color="auto" w:sz="4" w:space="0"/>
            </w:tcBorders>
            <w:noWrap w:val="0"/>
            <w:vAlign w:val="center"/>
          </w:tcPr>
          <w:p w14:paraId="4148523E">
            <w:pPr>
              <w:adjustRightInd w:val="0"/>
              <w:snapToGrid w:val="0"/>
              <w:spacing w:line="400" w:lineRule="exact"/>
              <w:jc w:val="center"/>
              <w:rPr>
                <w:rFonts w:ascii="宋体" w:hAnsi="宋体"/>
                <w:color w:val="auto"/>
                <w:szCs w:val="21"/>
                <w:highlight w:val="none"/>
              </w:rPr>
            </w:pPr>
            <w:r>
              <w:rPr>
                <w:rFonts w:hint="eastAsia" w:ascii="宋体" w:hAnsi="宋体"/>
                <w:color w:val="auto"/>
                <w:szCs w:val="21"/>
                <w:highlight w:val="none"/>
              </w:rPr>
              <w:t>具体详见采购需求。</w:t>
            </w:r>
          </w:p>
        </w:tc>
      </w:tr>
    </w:tbl>
    <w:p w14:paraId="49212AA9">
      <w:pPr>
        <w:pStyle w:val="18"/>
        <w:ind w:firstLine="723" w:firstLineChars="300"/>
        <w:rPr>
          <w:b/>
          <w:bCs/>
          <w:color w:val="auto"/>
          <w:highlight w:val="none"/>
        </w:rPr>
      </w:pPr>
      <w:r>
        <w:rPr>
          <w:rFonts w:hint="eastAsia" w:ascii="宋体" w:hAnsi="宋体"/>
          <w:b/>
          <w:bCs/>
          <w:color w:val="auto"/>
          <w:szCs w:val="21"/>
          <w:highlight w:val="none"/>
          <w:lang w:val="en-US" w:eastAsia="zh-CN"/>
        </w:rPr>
        <w:t>3</w:t>
      </w:r>
      <w:r>
        <w:rPr>
          <w:rFonts w:hint="eastAsia" w:ascii="宋体" w:hAnsi="宋体"/>
          <w:b/>
          <w:bCs/>
          <w:color w:val="auto"/>
          <w:szCs w:val="21"/>
          <w:highlight w:val="none"/>
          <w:lang w:eastAsia="zh-CN"/>
        </w:rPr>
        <w:t>分标：</w:t>
      </w:r>
    </w:p>
    <w:tbl>
      <w:tblPr>
        <w:tblStyle w:val="4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7"/>
        <w:gridCol w:w="3502"/>
        <w:gridCol w:w="968"/>
        <w:gridCol w:w="3432"/>
      </w:tblGrid>
      <w:tr w14:paraId="7B3001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 w:hRule="atLeast"/>
          <w:jc w:val="center"/>
        </w:trPr>
        <w:tc>
          <w:tcPr>
            <w:tcW w:w="697" w:type="dxa"/>
            <w:tcBorders>
              <w:top w:val="single" w:color="auto" w:sz="4" w:space="0"/>
              <w:left w:val="single" w:color="auto" w:sz="4" w:space="0"/>
              <w:bottom w:val="single" w:color="auto" w:sz="4" w:space="0"/>
              <w:right w:val="single" w:color="auto" w:sz="4" w:space="0"/>
            </w:tcBorders>
            <w:noWrap w:val="0"/>
            <w:vAlign w:val="center"/>
          </w:tcPr>
          <w:p w14:paraId="5E90272F">
            <w:pPr>
              <w:snapToGrid w:val="0"/>
              <w:spacing w:line="400" w:lineRule="exact"/>
              <w:jc w:val="center"/>
              <w:rPr>
                <w:rFonts w:ascii="宋体" w:hAnsi="宋体"/>
                <w:color w:val="auto"/>
                <w:szCs w:val="21"/>
                <w:highlight w:val="none"/>
              </w:rPr>
            </w:pPr>
            <w:r>
              <w:rPr>
                <w:rFonts w:ascii="宋体" w:hAnsi="宋体"/>
                <w:color w:val="auto"/>
                <w:szCs w:val="21"/>
                <w:highlight w:val="none"/>
              </w:rPr>
              <w:t>序号</w:t>
            </w:r>
          </w:p>
        </w:tc>
        <w:tc>
          <w:tcPr>
            <w:tcW w:w="3502" w:type="dxa"/>
            <w:tcBorders>
              <w:top w:val="single" w:color="auto" w:sz="4" w:space="0"/>
              <w:left w:val="single" w:color="auto" w:sz="4" w:space="0"/>
              <w:bottom w:val="single" w:color="auto" w:sz="4" w:space="0"/>
              <w:right w:val="single" w:color="auto" w:sz="4" w:space="0"/>
            </w:tcBorders>
            <w:noWrap w:val="0"/>
            <w:vAlign w:val="center"/>
          </w:tcPr>
          <w:p w14:paraId="20E5211A">
            <w:pPr>
              <w:snapToGrid w:val="0"/>
              <w:spacing w:line="400" w:lineRule="exact"/>
              <w:jc w:val="center"/>
              <w:rPr>
                <w:rFonts w:ascii="宋体" w:hAnsi="宋体"/>
                <w:color w:val="auto"/>
                <w:szCs w:val="21"/>
                <w:highlight w:val="none"/>
              </w:rPr>
            </w:pPr>
            <w:r>
              <w:rPr>
                <w:rFonts w:ascii="宋体" w:hAnsi="宋体"/>
                <w:color w:val="auto"/>
                <w:szCs w:val="21"/>
                <w:highlight w:val="none"/>
              </w:rPr>
              <w:t>标的名称</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29DEA131">
            <w:pPr>
              <w:snapToGrid w:val="0"/>
              <w:spacing w:line="400" w:lineRule="exact"/>
              <w:jc w:val="center"/>
              <w:rPr>
                <w:rFonts w:ascii="宋体" w:hAnsi="宋体"/>
                <w:color w:val="auto"/>
                <w:szCs w:val="21"/>
                <w:highlight w:val="none"/>
              </w:rPr>
            </w:pPr>
            <w:r>
              <w:rPr>
                <w:rFonts w:ascii="宋体" w:hAnsi="宋体"/>
                <w:color w:val="auto"/>
                <w:szCs w:val="21"/>
                <w:highlight w:val="none"/>
              </w:rPr>
              <w:t>数量</w:t>
            </w:r>
          </w:p>
        </w:tc>
        <w:tc>
          <w:tcPr>
            <w:tcW w:w="3432" w:type="dxa"/>
            <w:tcBorders>
              <w:top w:val="single" w:color="auto" w:sz="4" w:space="0"/>
              <w:left w:val="single" w:color="auto" w:sz="4" w:space="0"/>
              <w:bottom w:val="single" w:color="auto" w:sz="4" w:space="0"/>
              <w:right w:val="single" w:color="auto" w:sz="4" w:space="0"/>
            </w:tcBorders>
            <w:noWrap w:val="0"/>
            <w:vAlign w:val="center"/>
          </w:tcPr>
          <w:p w14:paraId="0FCB4DE3">
            <w:pPr>
              <w:snapToGrid w:val="0"/>
              <w:spacing w:line="400" w:lineRule="exact"/>
              <w:jc w:val="center"/>
              <w:rPr>
                <w:rFonts w:ascii="宋体" w:hAnsi="宋体"/>
                <w:color w:val="auto"/>
                <w:szCs w:val="21"/>
                <w:highlight w:val="none"/>
              </w:rPr>
            </w:pPr>
            <w:r>
              <w:rPr>
                <w:rFonts w:ascii="宋体" w:hAnsi="宋体"/>
                <w:color w:val="auto"/>
                <w:szCs w:val="21"/>
                <w:highlight w:val="none"/>
              </w:rPr>
              <w:t>简要技术需求或者服务要求</w:t>
            </w:r>
          </w:p>
        </w:tc>
      </w:tr>
      <w:tr w14:paraId="5E831B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6" w:hRule="atLeast"/>
          <w:jc w:val="center"/>
        </w:trPr>
        <w:tc>
          <w:tcPr>
            <w:tcW w:w="697" w:type="dxa"/>
            <w:tcBorders>
              <w:top w:val="single" w:color="auto" w:sz="4" w:space="0"/>
              <w:left w:val="single" w:color="auto" w:sz="4" w:space="0"/>
              <w:bottom w:val="single" w:color="auto" w:sz="4" w:space="0"/>
              <w:right w:val="single" w:color="auto" w:sz="4" w:space="0"/>
            </w:tcBorders>
            <w:noWrap w:val="0"/>
            <w:vAlign w:val="top"/>
          </w:tcPr>
          <w:p w14:paraId="76FBF4F9">
            <w:pPr>
              <w:snapToGrid w:val="0"/>
              <w:spacing w:line="400" w:lineRule="exact"/>
              <w:jc w:val="center"/>
              <w:rPr>
                <w:rFonts w:ascii="宋体" w:hAnsi="宋体"/>
                <w:color w:val="auto"/>
                <w:szCs w:val="21"/>
                <w:highlight w:val="none"/>
              </w:rPr>
            </w:pPr>
            <w:r>
              <w:rPr>
                <w:rFonts w:ascii="宋体" w:hAnsi="宋体"/>
                <w:color w:val="auto"/>
                <w:szCs w:val="21"/>
                <w:highlight w:val="none"/>
              </w:rPr>
              <w:t>01</w:t>
            </w:r>
          </w:p>
        </w:tc>
        <w:tc>
          <w:tcPr>
            <w:tcW w:w="3502" w:type="dxa"/>
            <w:tcBorders>
              <w:top w:val="single" w:color="auto" w:sz="4" w:space="0"/>
              <w:left w:val="single" w:color="auto" w:sz="4" w:space="0"/>
              <w:bottom w:val="single" w:color="auto" w:sz="4" w:space="0"/>
              <w:right w:val="single" w:color="auto" w:sz="4" w:space="0"/>
            </w:tcBorders>
            <w:noWrap w:val="0"/>
            <w:vAlign w:val="top"/>
          </w:tcPr>
          <w:p w14:paraId="698CF3E5">
            <w:pPr>
              <w:snapToGrid w:val="0"/>
              <w:spacing w:line="400" w:lineRule="exact"/>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2026年财会监督检查服务2</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2C1A1B0B">
            <w:pPr>
              <w:snapToGrid w:val="0"/>
              <w:spacing w:line="400" w:lineRule="exact"/>
              <w:jc w:val="center"/>
              <w:rPr>
                <w:rFonts w:ascii="宋体" w:hAnsi="宋体"/>
                <w:color w:val="auto"/>
                <w:szCs w:val="21"/>
                <w:highlight w:val="none"/>
              </w:rPr>
            </w:pPr>
            <w:r>
              <w:rPr>
                <w:rFonts w:ascii="宋体" w:hAnsi="宋体"/>
                <w:color w:val="auto"/>
                <w:szCs w:val="21"/>
                <w:highlight w:val="none"/>
              </w:rPr>
              <w:t>1项</w:t>
            </w:r>
          </w:p>
        </w:tc>
        <w:tc>
          <w:tcPr>
            <w:tcW w:w="3432" w:type="dxa"/>
            <w:tcBorders>
              <w:top w:val="single" w:color="auto" w:sz="4" w:space="0"/>
              <w:left w:val="single" w:color="auto" w:sz="4" w:space="0"/>
              <w:bottom w:val="single" w:color="auto" w:sz="4" w:space="0"/>
              <w:right w:val="single" w:color="auto" w:sz="4" w:space="0"/>
            </w:tcBorders>
            <w:noWrap w:val="0"/>
            <w:vAlign w:val="center"/>
          </w:tcPr>
          <w:p w14:paraId="5227E520">
            <w:pPr>
              <w:adjustRightInd w:val="0"/>
              <w:snapToGrid w:val="0"/>
              <w:spacing w:line="400" w:lineRule="exact"/>
              <w:jc w:val="center"/>
              <w:rPr>
                <w:rFonts w:ascii="宋体" w:hAnsi="宋体"/>
                <w:color w:val="auto"/>
                <w:szCs w:val="21"/>
                <w:highlight w:val="none"/>
              </w:rPr>
            </w:pPr>
            <w:r>
              <w:rPr>
                <w:rFonts w:hint="eastAsia" w:ascii="宋体" w:hAnsi="宋体"/>
                <w:color w:val="auto"/>
                <w:szCs w:val="21"/>
                <w:highlight w:val="none"/>
              </w:rPr>
              <w:t>具体详见采购需求。</w:t>
            </w:r>
          </w:p>
        </w:tc>
      </w:tr>
    </w:tbl>
    <w:p w14:paraId="369F8CAC">
      <w:pPr>
        <w:pStyle w:val="18"/>
        <w:ind w:firstLine="723" w:firstLineChars="300"/>
        <w:rPr>
          <w:b/>
          <w:bCs/>
          <w:color w:val="auto"/>
          <w:highlight w:val="none"/>
        </w:rPr>
      </w:pPr>
      <w:r>
        <w:rPr>
          <w:rFonts w:hint="eastAsia" w:ascii="宋体" w:hAnsi="宋体"/>
          <w:b/>
          <w:bCs/>
          <w:color w:val="auto"/>
          <w:szCs w:val="21"/>
          <w:highlight w:val="none"/>
          <w:lang w:val="en-US" w:eastAsia="zh-CN"/>
        </w:rPr>
        <w:t>4</w:t>
      </w:r>
      <w:r>
        <w:rPr>
          <w:rFonts w:hint="eastAsia" w:ascii="宋体" w:hAnsi="宋体"/>
          <w:b/>
          <w:bCs/>
          <w:color w:val="auto"/>
          <w:szCs w:val="21"/>
          <w:highlight w:val="none"/>
          <w:lang w:eastAsia="zh-CN"/>
        </w:rPr>
        <w:t>分标：</w:t>
      </w:r>
    </w:p>
    <w:tbl>
      <w:tblPr>
        <w:tblStyle w:val="4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7"/>
        <w:gridCol w:w="3502"/>
        <w:gridCol w:w="968"/>
        <w:gridCol w:w="3432"/>
      </w:tblGrid>
      <w:tr w14:paraId="7100F4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 w:hRule="atLeast"/>
          <w:jc w:val="center"/>
        </w:trPr>
        <w:tc>
          <w:tcPr>
            <w:tcW w:w="697" w:type="dxa"/>
            <w:tcBorders>
              <w:top w:val="single" w:color="auto" w:sz="4" w:space="0"/>
              <w:left w:val="single" w:color="auto" w:sz="4" w:space="0"/>
              <w:bottom w:val="single" w:color="auto" w:sz="4" w:space="0"/>
              <w:right w:val="single" w:color="auto" w:sz="4" w:space="0"/>
            </w:tcBorders>
            <w:noWrap w:val="0"/>
            <w:vAlign w:val="center"/>
          </w:tcPr>
          <w:p w14:paraId="03417AC4">
            <w:pPr>
              <w:snapToGrid w:val="0"/>
              <w:spacing w:line="400" w:lineRule="exact"/>
              <w:jc w:val="center"/>
              <w:rPr>
                <w:rFonts w:ascii="宋体" w:hAnsi="宋体"/>
                <w:color w:val="auto"/>
                <w:szCs w:val="21"/>
                <w:highlight w:val="none"/>
              </w:rPr>
            </w:pPr>
            <w:r>
              <w:rPr>
                <w:rFonts w:ascii="宋体" w:hAnsi="宋体"/>
                <w:color w:val="auto"/>
                <w:szCs w:val="21"/>
                <w:highlight w:val="none"/>
              </w:rPr>
              <w:t>序号</w:t>
            </w:r>
          </w:p>
        </w:tc>
        <w:tc>
          <w:tcPr>
            <w:tcW w:w="3502" w:type="dxa"/>
            <w:tcBorders>
              <w:top w:val="single" w:color="auto" w:sz="4" w:space="0"/>
              <w:left w:val="single" w:color="auto" w:sz="4" w:space="0"/>
              <w:bottom w:val="single" w:color="auto" w:sz="4" w:space="0"/>
              <w:right w:val="single" w:color="auto" w:sz="4" w:space="0"/>
            </w:tcBorders>
            <w:noWrap w:val="0"/>
            <w:vAlign w:val="center"/>
          </w:tcPr>
          <w:p w14:paraId="57BF78CE">
            <w:pPr>
              <w:snapToGrid w:val="0"/>
              <w:spacing w:line="400" w:lineRule="exact"/>
              <w:jc w:val="center"/>
              <w:rPr>
                <w:rFonts w:ascii="宋体" w:hAnsi="宋体"/>
                <w:color w:val="auto"/>
                <w:szCs w:val="21"/>
                <w:highlight w:val="none"/>
              </w:rPr>
            </w:pPr>
            <w:r>
              <w:rPr>
                <w:rFonts w:ascii="宋体" w:hAnsi="宋体"/>
                <w:color w:val="auto"/>
                <w:szCs w:val="21"/>
                <w:highlight w:val="none"/>
              </w:rPr>
              <w:t>标的名称</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65F6F2D0">
            <w:pPr>
              <w:snapToGrid w:val="0"/>
              <w:spacing w:line="400" w:lineRule="exact"/>
              <w:jc w:val="center"/>
              <w:rPr>
                <w:rFonts w:ascii="宋体" w:hAnsi="宋体"/>
                <w:color w:val="auto"/>
                <w:szCs w:val="21"/>
                <w:highlight w:val="none"/>
              </w:rPr>
            </w:pPr>
            <w:r>
              <w:rPr>
                <w:rFonts w:ascii="宋体" w:hAnsi="宋体"/>
                <w:color w:val="auto"/>
                <w:szCs w:val="21"/>
                <w:highlight w:val="none"/>
              </w:rPr>
              <w:t>数量</w:t>
            </w:r>
          </w:p>
        </w:tc>
        <w:tc>
          <w:tcPr>
            <w:tcW w:w="3432" w:type="dxa"/>
            <w:tcBorders>
              <w:top w:val="single" w:color="auto" w:sz="4" w:space="0"/>
              <w:left w:val="single" w:color="auto" w:sz="4" w:space="0"/>
              <w:bottom w:val="single" w:color="auto" w:sz="4" w:space="0"/>
              <w:right w:val="single" w:color="auto" w:sz="4" w:space="0"/>
            </w:tcBorders>
            <w:noWrap w:val="0"/>
            <w:vAlign w:val="center"/>
          </w:tcPr>
          <w:p w14:paraId="2076C35F">
            <w:pPr>
              <w:snapToGrid w:val="0"/>
              <w:spacing w:line="400" w:lineRule="exact"/>
              <w:jc w:val="center"/>
              <w:rPr>
                <w:rFonts w:ascii="宋体" w:hAnsi="宋体"/>
                <w:color w:val="auto"/>
                <w:szCs w:val="21"/>
                <w:highlight w:val="none"/>
              </w:rPr>
            </w:pPr>
            <w:r>
              <w:rPr>
                <w:rFonts w:ascii="宋体" w:hAnsi="宋体"/>
                <w:color w:val="auto"/>
                <w:szCs w:val="21"/>
                <w:highlight w:val="none"/>
              </w:rPr>
              <w:t>简要技术需求或者服务要求</w:t>
            </w:r>
          </w:p>
        </w:tc>
      </w:tr>
      <w:tr w14:paraId="19AD54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6" w:hRule="atLeast"/>
          <w:jc w:val="center"/>
        </w:trPr>
        <w:tc>
          <w:tcPr>
            <w:tcW w:w="697" w:type="dxa"/>
            <w:tcBorders>
              <w:top w:val="single" w:color="auto" w:sz="4" w:space="0"/>
              <w:left w:val="single" w:color="auto" w:sz="4" w:space="0"/>
              <w:bottom w:val="single" w:color="auto" w:sz="4" w:space="0"/>
              <w:right w:val="single" w:color="auto" w:sz="4" w:space="0"/>
            </w:tcBorders>
            <w:noWrap w:val="0"/>
            <w:vAlign w:val="top"/>
          </w:tcPr>
          <w:p w14:paraId="3FA575D5">
            <w:pPr>
              <w:snapToGrid w:val="0"/>
              <w:spacing w:line="400" w:lineRule="exact"/>
              <w:jc w:val="center"/>
              <w:rPr>
                <w:rFonts w:ascii="宋体" w:hAnsi="宋体"/>
                <w:color w:val="auto"/>
                <w:szCs w:val="21"/>
                <w:highlight w:val="none"/>
              </w:rPr>
            </w:pPr>
            <w:r>
              <w:rPr>
                <w:rFonts w:ascii="宋体" w:hAnsi="宋体"/>
                <w:color w:val="auto"/>
                <w:szCs w:val="21"/>
                <w:highlight w:val="none"/>
              </w:rPr>
              <w:t>01</w:t>
            </w:r>
          </w:p>
        </w:tc>
        <w:tc>
          <w:tcPr>
            <w:tcW w:w="3502" w:type="dxa"/>
            <w:tcBorders>
              <w:top w:val="single" w:color="auto" w:sz="4" w:space="0"/>
              <w:left w:val="single" w:color="auto" w:sz="4" w:space="0"/>
              <w:bottom w:val="single" w:color="auto" w:sz="4" w:space="0"/>
              <w:right w:val="single" w:color="auto" w:sz="4" w:space="0"/>
            </w:tcBorders>
            <w:noWrap w:val="0"/>
            <w:vAlign w:val="top"/>
          </w:tcPr>
          <w:p w14:paraId="7528A59B">
            <w:pPr>
              <w:snapToGrid w:val="0"/>
              <w:spacing w:line="400" w:lineRule="exact"/>
              <w:jc w:val="left"/>
              <w:rPr>
                <w:rFonts w:hint="default" w:ascii="宋体" w:hAnsi="宋体" w:eastAsia="宋体"/>
                <w:color w:val="auto"/>
                <w:szCs w:val="21"/>
                <w:highlight w:val="none"/>
                <w:lang w:val="en-US" w:eastAsia="zh-CN"/>
              </w:rPr>
            </w:pPr>
            <w:r>
              <w:rPr>
                <w:rFonts w:hint="eastAsia" w:ascii="宋体" w:hAnsi="宋体" w:eastAsia="宋体"/>
                <w:color w:val="auto"/>
                <w:szCs w:val="21"/>
                <w:highlight w:val="none"/>
                <w:lang w:eastAsia="zh-CN"/>
              </w:rPr>
              <w:t>2026年财会监督检查服务</w:t>
            </w:r>
            <w:r>
              <w:rPr>
                <w:rFonts w:hint="eastAsia" w:ascii="宋体" w:hAnsi="宋体"/>
                <w:color w:val="auto"/>
                <w:szCs w:val="21"/>
                <w:highlight w:val="none"/>
                <w:lang w:val="en-US" w:eastAsia="zh-CN"/>
              </w:rPr>
              <w:t>3</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3A04872E">
            <w:pPr>
              <w:snapToGrid w:val="0"/>
              <w:spacing w:line="400" w:lineRule="exact"/>
              <w:jc w:val="center"/>
              <w:rPr>
                <w:rFonts w:ascii="宋体" w:hAnsi="宋体"/>
                <w:color w:val="auto"/>
                <w:szCs w:val="21"/>
                <w:highlight w:val="none"/>
              </w:rPr>
            </w:pPr>
            <w:r>
              <w:rPr>
                <w:rFonts w:ascii="宋体" w:hAnsi="宋体"/>
                <w:color w:val="auto"/>
                <w:szCs w:val="21"/>
                <w:highlight w:val="none"/>
              </w:rPr>
              <w:t>1项</w:t>
            </w:r>
          </w:p>
        </w:tc>
        <w:tc>
          <w:tcPr>
            <w:tcW w:w="3432" w:type="dxa"/>
            <w:tcBorders>
              <w:top w:val="single" w:color="auto" w:sz="4" w:space="0"/>
              <w:left w:val="single" w:color="auto" w:sz="4" w:space="0"/>
              <w:bottom w:val="single" w:color="auto" w:sz="4" w:space="0"/>
              <w:right w:val="single" w:color="auto" w:sz="4" w:space="0"/>
            </w:tcBorders>
            <w:noWrap w:val="0"/>
            <w:vAlign w:val="center"/>
          </w:tcPr>
          <w:p w14:paraId="714B88B1">
            <w:pPr>
              <w:adjustRightInd w:val="0"/>
              <w:snapToGrid w:val="0"/>
              <w:spacing w:line="400" w:lineRule="exact"/>
              <w:jc w:val="center"/>
              <w:rPr>
                <w:rFonts w:ascii="宋体" w:hAnsi="宋体"/>
                <w:color w:val="auto"/>
                <w:szCs w:val="21"/>
                <w:highlight w:val="none"/>
              </w:rPr>
            </w:pPr>
            <w:r>
              <w:rPr>
                <w:rFonts w:hint="eastAsia" w:ascii="宋体" w:hAnsi="宋体"/>
                <w:color w:val="auto"/>
                <w:szCs w:val="21"/>
                <w:highlight w:val="none"/>
              </w:rPr>
              <w:t>具体详见采购需求。</w:t>
            </w:r>
          </w:p>
        </w:tc>
      </w:tr>
    </w:tbl>
    <w:p w14:paraId="65487727">
      <w:pPr>
        <w:pStyle w:val="18"/>
        <w:ind w:firstLine="723" w:firstLineChars="300"/>
        <w:rPr>
          <w:b/>
          <w:bCs/>
          <w:color w:val="auto"/>
          <w:highlight w:val="none"/>
        </w:rPr>
      </w:pPr>
      <w:r>
        <w:rPr>
          <w:rFonts w:hint="eastAsia" w:ascii="宋体" w:hAnsi="宋体"/>
          <w:b/>
          <w:bCs/>
          <w:color w:val="auto"/>
          <w:szCs w:val="21"/>
          <w:highlight w:val="none"/>
          <w:lang w:val="en-US" w:eastAsia="zh-CN"/>
        </w:rPr>
        <w:t>5</w:t>
      </w:r>
      <w:r>
        <w:rPr>
          <w:rFonts w:hint="eastAsia" w:ascii="宋体" w:hAnsi="宋体"/>
          <w:b/>
          <w:bCs/>
          <w:color w:val="auto"/>
          <w:szCs w:val="21"/>
          <w:highlight w:val="none"/>
          <w:lang w:eastAsia="zh-CN"/>
        </w:rPr>
        <w:t>分标：</w:t>
      </w:r>
    </w:p>
    <w:tbl>
      <w:tblPr>
        <w:tblStyle w:val="4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7"/>
        <w:gridCol w:w="3502"/>
        <w:gridCol w:w="968"/>
        <w:gridCol w:w="3432"/>
      </w:tblGrid>
      <w:tr w14:paraId="7AD6B7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 w:hRule="atLeast"/>
          <w:jc w:val="center"/>
        </w:trPr>
        <w:tc>
          <w:tcPr>
            <w:tcW w:w="697" w:type="dxa"/>
            <w:tcBorders>
              <w:top w:val="single" w:color="auto" w:sz="4" w:space="0"/>
              <w:left w:val="single" w:color="auto" w:sz="4" w:space="0"/>
              <w:bottom w:val="single" w:color="auto" w:sz="4" w:space="0"/>
              <w:right w:val="single" w:color="auto" w:sz="4" w:space="0"/>
            </w:tcBorders>
            <w:noWrap w:val="0"/>
            <w:vAlign w:val="center"/>
          </w:tcPr>
          <w:p w14:paraId="54132786">
            <w:pPr>
              <w:snapToGrid w:val="0"/>
              <w:spacing w:line="400" w:lineRule="exact"/>
              <w:jc w:val="center"/>
              <w:rPr>
                <w:rFonts w:ascii="宋体" w:hAnsi="宋体"/>
                <w:color w:val="auto"/>
                <w:szCs w:val="21"/>
                <w:highlight w:val="none"/>
              </w:rPr>
            </w:pPr>
            <w:r>
              <w:rPr>
                <w:rFonts w:ascii="宋体" w:hAnsi="宋体"/>
                <w:color w:val="auto"/>
                <w:szCs w:val="21"/>
                <w:highlight w:val="none"/>
              </w:rPr>
              <w:t>序号</w:t>
            </w:r>
          </w:p>
        </w:tc>
        <w:tc>
          <w:tcPr>
            <w:tcW w:w="3502" w:type="dxa"/>
            <w:tcBorders>
              <w:top w:val="single" w:color="auto" w:sz="4" w:space="0"/>
              <w:left w:val="single" w:color="auto" w:sz="4" w:space="0"/>
              <w:bottom w:val="single" w:color="auto" w:sz="4" w:space="0"/>
              <w:right w:val="single" w:color="auto" w:sz="4" w:space="0"/>
            </w:tcBorders>
            <w:noWrap w:val="0"/>
            <w:vAlign w:val="center"/>
          </w:tcPr>
          <w:p w14:paraId="1293A89B">
            <w:pPr>
              <w:snapToGrid w:val="0"/>
              <w:spacing w:line="400" w:lineRule="exact"/>
              <w:jc w:val="center"/>
              <w:rPr>
                <w:rFonts w:ascii="宋体" w:hAnsi="宋体"/>
                <w:color w:val="auto"/>
                <w:szCs w:val="21"/>
                <w:highlight w:val="none"/>
              </w:rPr>
            </w:pPr>
            <w:r>
              <w:rPr>
                <w:rFonts w:ascii="宋体" w:hAnsi="宋体"/>
                <w:color w:val="auto"/>
                <w:szCs w:val="21"/>
                <w:highlight w:val="none"/>
              </w:rPr>
              <w:t>标的名称</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7FE9B718">
            <w:pPr>
              <w:snapToGrid w:val="0"/>
              <w:spacing w:line="400" w:lineRule="exact"/>
              <w:jc w:val="center"/>
              <w:rPr>
                <w:rFonts w:ascii="宋体" w:hAnsi="宋体"/>
                <w:color w:val="auto"/>
                <w:szCs w:val="21"/>
                <w:highlight w:val="none"/>
              </w:rPr>
            </w:pPr>
            <w:r>
              <w:rPr>
                <w:rFonts w:ascii="宋体" w:hAnsi="宋体"/>
                <w:color w:val="auto"/>
                <w:szCs w:val="21"/>
                <w:highlight w:val="none"/>
              </w:rPr>
              <w:t>数量</w:t>
            </w:r>
          </w:p>
        </w:tc>
        <w:tc>
          <w:tcPr>
            <w:tcW w:w="3432" w:type="dxa"/>
            <w:tcBorders>
              <w:top w:val="single" w:color="auto" w:sz="4" w:space="0"/>
              <w:left w:val="single" w:color="auto" w:sz="4" w:space="0"/>
              <w:bottom w:val="single" w:color="auto" w:sz="4" w:space="0"/>
              <w:right w:val="single" w:color="auto" w:sz="4" w:space="0"/>
            </w:tcBorders>
            <w:noWrap w:val="0"/>
            <w:vAlign w:val="center"/>
          </w:tcPr>
          <w:p w14:paraId="317E00B8">
            <w:pPr>
              <w:snapToGrid w:val="0"/>
              <w:spacing w:line="400" w:lineRule="exact"/>
              <w:jc w:val="center"/>
              <w:rPr>
                <w:rFonts w:ascii="宋体" w:hAnsi="宋体"/>
                <w:color w:val="auto"/>
                <w:szCs w:val="21"/>
                <w:highlight w:val="none"/>
              </w:rPr>
            </w:pPr>
            <w:r>
              <w:rPr>
                <w:rFonts w:ascii="宋体" w:hAnsi="宋体"/>
                <w:color w:val="auto"/>
                <w:szCs w:val="21"/>
                <w:highlight w:val="none"/>
              </w:rPr>
              <w:t>简要技术需求或者服务要求</w:t>
            </w:r>
          </w:p>
        </w:tc>
      </w:tr>
      <w:tr w14:paraId="6909FB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6" w:hRule="atLeast"/>
          <w:jc w:val="center"/>
        </w:trPr>
        <w:tc>
          <w:tcPr>
            <w:tcW w:w="697" w:type="dxa"/>
            <w:tcBorders>
              <w:top w:val="single" w:color="auto" w:sz="4" w:space="0"/>
              <w:left w:val="single" w:color="auto" w:sz="4" w:space="0"/>
              <w:bottom w:val="single" w:color="auto" w:sz="4" w:space="0"/>
              <w:right w:val="single" w:color="auto" w:sz="4" w:space="0"/>
            </w:tcBorders>
            <w:noWrap w:val="0"/>
            <w:vAlign w:val="top"/>
          </w:tcPr>
          <w:p w14:paraId="45521CC0">
            <w:pPr>
              <w:snapToGrid w:val="0"/>
              <w:spacing w:line="400" w:lineRule="exact"/>
              <w:jc w:val="center"/>
              <w:rPr>
                <w:rFonts w:ascii="宋体" w:hAnsi="宋体"/>
                <w:color w:val="auto"/>
                <w:szCs w:val="21"/>
                <w:highlight w:val="none"/>
              </w:rPr>
            </w:pPr>
            <w:r>
              <w:rPr>
                <w:rFonts w:ascii="宋体" w:hAnsi="宋体"/>
                <w:color w:val="auto"/>
                <w:szCs w:val="21"/>
                <w:highlight w:val="none"/>
              </w:rPr>
              <w:t>01</w:t>
            </w:r>
          </w:p>
        </w:tc>
        <w:tc>
          <w:tcPr>
            <w:tcW w:w="3502" w:type="dxa"/>
            <w:tcBorders>
              <w:top w:val="single" w:color="auto" w:sz="4" w:space="0"/>
              <w:left w:val="single" w:color="auto" w:sz="4" w:space="0"/>
              <w:bottom w:val="single" w:color="auto" w:sz="4" w:space="0"/>
              <w:right w:val="single" w:color="auto" w:sz="4" w:space="0"/>
            </w:tcBorders>
            <w:noWrap w:val="0"/>
            <w:vAlign w:val="top"/>
          </w:tcPr>
          <w:p w14:paraId="3BD8829A">
            <w:pPr>
              <w:snapToGrid w:val="0"/>
              <w:spacing w:line="400" w:lineRule="exact"/>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2026年厅管领导干部经济责任审计服务1</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44D858CD">
            <w:pPr>
              <w:snapToGrid w:val="0"/>
              <w:spacing w:line="400" w:lineRule="exact"/>
              <w:jc w:val="center"/>
              <w:rPr>
                <w:rFonts w:ascii="宋体" w:hAnsi="宋体"/>
                <w:color w:val="auto"/>
                <w:szCs w:val="21"/>
                <w:highlight w:val="none"/>
              </w:rPr>
            </w:pPr>
            <w:r>
              <w:rPr>
                <w:rFonts w:ascii="宋体" w:hAnsi="宋体"/>
                <w:color w:val="auto"/>
                <w:szCs w:val="21"/>
                <w:highlight w:val="none"/>
              </w:rPr>
              <w:t>1项</w:t>
            </w:r>
          </w:p>
        </w:tc>
        <w:tc>
          <w:tcPr>
            <w:tcW w:w="3432" w:type="dxa"/>
            <w:tcBorders>
              <w:top w:val="single" w:color="auto" w:sz="4" w:space="0"/>
              <w:left w:val="single" w:color="auto" w:sz="4" w:space="0"/>
              <w:bottom w:val="single" w:color="auto" w:sz="4" w:space="0"/>
              <w:right w:val="single" w:color="auto" w:sz="4" w:space="0"/>
            </w:tcBorders>
            <w:noWrap w:val="0"/>
            <w:vAlign w:val="center"/>
          </w:tcPr>
          <w:p w14:paraId="18C3CACE">
            <w:pPr>
              <w:adjustRightInd w:val="0"/>
              <w:snapToGrid w:val="0"/>
              <w:spacing w:line="400" w:lineRule="exact"/>
              <w:jc w:val="center"/>
              <w:rPr>
                <w:rFonts w:ascii="宋体" w:hAnsi="宋体"/>
                <w:color w:val="auto"/>
                <w:szCs w:val="21"/>
                <w:highlight w:val="none"/>
              </w:rPr>
            </w:pPr>
            <w:r>
              <w:rPr>
                <w:rFonts w:hint="eastAsia" w:ascii="宋体" w:hAnsi="宋体"/>
                <w:color w:val="auto"/>
                <w:szCs w:val="21"/>
                <w:highlight w:val="none"/>
              </w:rPr>
              <w:t>具体详见采购需求。</w:t>
            </w:r>
          </w:p>
        </w:tc>
      </w:tr>
    </w:tbl>
    <w:p w14:paraId="3447EBB6">
      <w:pPr>
        <w:pStyle w:val="18"/>
        <w:ind w:firstLine="723" w:firstLineChars="300"/>
        <w:rPr>
          <w:b/>
          <w:bCs/>
          <w:color w:val="auto"/>
          <w:highlight w:val="none"/>
        </w:rPr>
      </w:pPr>
      <w:r>
        <w:rPr>
          <w:rFonts w:hint="eastAsia" w:ascii="宋体" w:hAnsi="宋体"/>
          <w:b/>
          <w:bCs/>
          <w:color w:val="auto"/>
          <w:szCs w:val="21"/>
          <w:highlight w:val="none"/>
          <w:lang w:val="en-US" w:eastAsia="zh-CN"/>
        </w:rPr>
        <w:t>6</w:t>
      </w:r>
      <w:r>
        <w:rPr>
          <w:rFonts w:hint="eastAsia" w:ascii="宋体" w:hAnsi="宋体"/>
          <w:b/>
          <w:bCs/>
          <w:color w:val="auto"/>
          <w:szCs w:val="21"/>
          <w:highlight w:val="none"/>
          <w:lang w:eastAsia="zh-CN"/>
        </w:rPr>
        <w:t>分标：</w:t>
      </w:r>
    </w:p>
    <w:tbl>
      <w:tblPr>
        <w:tblStyle w:val="4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7"/>
        <w:gridCol w:w="3502"/>
        <w:gridCol w:w="968"/>
        <w:gridCol w:w="3432"/>
      </w:tblGrid>
      <w:tr w14:paraId="2AA546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 w:hRule="atLeast"/>
          <w:jc w:val="center"/>
        </w:trPr>
        <w:tc>
          <w:tcPr>
            <w:tcW w:w="697" w:type="dxa"/>
            <w:tcBorders>
              <w:top w:val="single" w:color="auto" w:sz="4" w:space="0"/>
              <w:left w:val="single" w:color="auto" w:sz="4" w:space="0"/>
              <w:bottom w:val="single" w:color="auto" w:sz="4" w:space="0"/>
              <w:right w:val="single" w:color="auto" w:sz="4" w:space="0"/>
            </w:tcBorders>
            <w:noWrap w:val="0"/>
            <w:vAlign w:val="center"/>
          </w:tcPr>
          <w:p w14:paraId="7FA679B8">
            <w:pPr>
              <w:snapToGrid w:val="0"/>
              <w:spacing w:line="400" w:lineRule="exact"/>
              <w:jc w:val="center"/>
              <w:rPr>
                <w:rFonts w:ascii="宋体" w:hAnsi="宋体"/>
                <w:color w:val="auto"/>
                <w:szCs w:val="21"/>
                <w:highlight w:val="none"/>
              </w:rPr>
            </w:pPr>
            <w:r>
              <w:rPr>
                <w:rFonts w:ascii="宋体" w:hAnsi="宋体"/>
                <w:color w:val="auto"/>
                <w:szCs w:val="21"/>
                <w:highlight w:val="none"/>
              </w:rPr>
              <w:t>序号</w:t>
            </w:r>
          </w:p>
        </w:tc>
        <w:tc>
          <w:tcPr>
            <w:tcW w:w="3502" w:type="dxa"/>
            <w:tcBorders>
              <w:top w:val="single" w:color="auto" w:sz="4" w:space="0"/>
              <w:left w:val="single" w:color="auto" w:sz="4" w:space="0"/>
              <w:bottom w:val="single" w:color="auto" w:sz="4" w:space="0"/>
              <w:right w:val="single" w:color="auto" w:sz="4" w:space="0"/>
            </w:tcBorders>
            <w:noWrap w:val="0"/>
            <w:vAlign w:val="center"/>
          </w:tcPr>
          <w:p w14:paraId="33137605">
            <w:pPr>
              <w:snapToGrid w:val="0"/>
              <w:spacing w:line="400" w:lineRule="exact"/>
              <w:jc w:val="center"/>
              <w:rPr>
                <w:rFonts w:ascii="宋体" w:hAnsi="宋体"/>
                <w:color w:val="auto"/>
                <w:szCs w:val="21"/>
                <w:highlight w:val="none"/>
              </w:rPr>
            </w:pPr>
            <w:r>
              <w:rPr>
                <w:rFonts w:ascii="宋体" w:hAnsi="宋体"/>
                <w:color w:val="auto"/>
                <w:szCs w:val="21"/>
                <w:highlight w:val="none"/>
              </w:rPr>
              <w:t>标的名称</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09697840">
            <w:pPr>
              <w:snapToGrid w:val="0"/>
              <w:spacing w:line="400" w:lineRule="exact"/>
              <w:jc w:val="center"/>
              <w:rPr>
                <w:rFonts w:ascii="宋体" w:hAnsi="宋体"/>
                <w:color w:val="auto"/>
                <w:szCs w:val="21"/>
                <w:highlight w:val="none"/>
              </w:rPr>
            </w:pPr>
            <w:r>
              <w:rPr>
                <w:rFonts w:ascii="宋体" w:hAnsi="宋体"/>
                <w:color w:val="auto"/>
                <w:szCs w:val="21"/>
                <w:highlight w:val="none"/>
              </w:rPr>
              <w:t>数量</w:t>
            </w:r>
          </w:p>
        </w:tc>
        <w:tc>
          <w:tcPr>
            <w:tcW w:w="3432" w:type="dxa"/>
            <w:tcBorders>
              <w:top w:val="single" w:color="auto" w:sz="4" w:space="0"/>
              <w:left w:val="single" w:color="auto" w:sz="4" w:space="0"/>
              <w:bottom w:val="single" w:color="auto" w:sz="4" w:space="0"/>
              <w:right w:val="single" w:color="auto" w:sz="4" w:space="0"/>
            </w:tcBorders>
            <w:noWrap w:val="0"/>
            <w:vAlign w:val="center"/>
          </w:tcPr>
          <w:p w14:paraId="1054FCDE">
            <w:pPr>
              <w:snapToGrid w:val="0"/>
              <w:spacing w:line="400" w:lineRule="exact"/>
              <w:jc w:val="center"/>
              <w:rPr>
                <w:rFonts w:ascii="宋体" w:hAnsi="宋体"/>
                <w:color w:val="auto"/>
                <w:szCs w:val="21"/>
                <w:highlight w:val="none"/>
              </w:rPr>
            </w:pPr>
            <w:r>
              <w:rPr>
                <w:rFonts w:ascii="宋体" w:hAnsi="宋体"/>
                <w:color w:val="auto"/>
                <w:szCs w:val="21"/>
                <w:highlight w:val="none"/>
              </w:rPr>
              <w:t>简要技术需求或者服务要求</w:t>
            </w:r>
          </w:p>
        </w:tc>
      </w:tr>
      <w:tr w14:paraId="606D75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6" w:hRule="atLeast"/>
          <w:jc w:val="center"/>
        </w:trPr>
        <w:tc>
          <w:tcPr>
            <w:tcW w:w="697" w:type="dxa"/>
            <w:tcBorders>
              <w:top w:val="single" w:color="auto" w:sz="4" w:space="0"/>
              <w:left w:val="single" w:color="auto" w:sz="4" w:space="0"/>
              <w:bottom w:val="single" w:color="auto" w:sz="4" w:space="0"/>
              <w:right w:val="single" w:color="auto" w:sz="4" w:space="0"/>
            </w:tcBorders>
            <w:noWrap w:val="0"/>
            <w:vAlign w:val="top"/>
          </w:tcPr>
          <w:p w14:paraId="614A1544">
            <w:pPr>
              <w:snapToGrid w:val="0"/>
              <w:spacing w:line="400" w:lineRule="exact"/>
              <w:jc w:val="center"/>
              <w:rPr>
                <w:rFonts w:ascii="宋体" w:hAnsi="宋体"/>
                <w:color w:val="auto"/>
                <w:szCs w:val="21"/>
                <w:highlight w:val="none"/>
              </w:rPr>
            </w:pPr>
            <w:r>
              <w:rPr>
                <w:rFonts w:ascii="宋体" w:hAnsi="宋体"/>
                <w:color w:val="auto"/>
                <w:szCs w:val="21"/>
                <w:highlight w:val="none"/>
              </w:rPr>
              <w:t>01</w:t>
            </w:r>
          </w:p>
        </w:tc>
        <w:tc>
          <w:tcPr>
            <w:tcW w:w="3502" w:type="dxa"/>
            <w:tcBorders>
              <w:top w:val="single" w:color="auto" w:sz="4" w:space="0"/>
              <w:left w:val="single" w:color="auto" w:sz="4" w:space="0"/>
              <w:bottom w:val="single" w:color="auto" w:sz="4" w:space="0"/>
              <w:right w:val="single" w:color="auto" w:sz="4" w:space="0"/>
            </w:tcBorders>
            <w:noWrap w:val="0"/>
            <w:vAlign w:val="top"/>
          </w:tcPr>
          <w:p w14:paraId="7355B99C">
            <w:pPr>
              <w:snapToGrid w:val="0"/>
              <w:spacing w:line="400" w:lineRule="exact"/>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2026年厅管领导干部经济责任审计服务2</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51D97E7B">
            <w:pPr>
              <w:snapToGrid w:val="0"/>
              <w:spacing w:line="400" w:lineRule="exact"/>
              <w:jc w:val="center"/>
              <w:rPr>
                <w:rFonts w:ascii="宋体" w:hAnsi="宋体"/>
                <w:color w:val="auto"/>
                <w:szCs w:val="21"/>
                <w:highlight w:val="none"/>
              </w:rPr>
            </w:pPr>
            <w:r>
              <w:rPr>
                <w:rFonts w:ascii="宋体" w:hAnsi="宋体"/>
                <w:color w:val="auto"/>
                <w:szCs w:val="21"/>
                <w:highlight w:val="none"/>
              </w:rPr>
              <w:t>1项</w:t>
            </w:r>
          </w:p>
        </w:tc>
        <w:tc>
          <w:tcPr>
            <w:tcW w:w="3432" w:type="dxa"/>
            <w:tcBorders>
              <w:top w:val="single" w:color="auto" w:sz="4" w:space="0"/>
              <w:left w:val="single" w:color="auto" w:sz="4" w:space="0"/>
              <w:bottom w:val="single" w:color="auto" w:sz="4" w:space="0"/>
              <w:right w:val="single" w:color="auto" w:sz="4" w:space="0"/>
            </w:tcBorders>
            <w:noWrap w:val="0"/>
            <w:vAlign w:val="center"/>
          </w:tcPr>
          <w:p w14:paraId="0896CF1B">
            <w:pPr>
              <w:adjustRightInd w:val="0"/>
              <w:snapToGrid w:val="0"/>
              <w:spacing w:line="400" w:lineRule="exact"/>
              <w:jc w:val="center"/>
              <w:rPr>
                <w:rFonts w:ascii="宋体" w:hAnsi="宋体"/>
                <w:color w:val="auto"/>
                <w:szCs w:val="21"/>
                <w:highlight w:val="none"/>
              </w:rPr>
            </w:pPr>
            <w:r>
              <w:rPr>
                <w:rFonts w:hint="eastAsia" w:ascii="宋体" w:hAnsi="宋体"/>
                <w:color w:val="auto"/>
                <w:szCs w:val="21"/>
                <w:highlight w:val="none"/>
              </w:rPr>
              <w:t>具体详见采购需求。</w:t>
            </w:r>
          </w:p>
        </w:tc>
      </w:tr>
    </w:tbl>
    <w:p w14:paraId="671C1B3B">
      <w:pPr>
        <w:pStyle w:val="18"/>
        <w:ind w:firstLine="723" w:firstLineChars="300"/>
        <w:rPr>
          <w:b/>
          <w:bCs/>
          <w:color w:val="auto"/>
          <w:highlight w:val="none"/>
        </w:rPr>
      </w:pPr>
      <w:r>
        <w:rPr>
          <w:rFonts w:hint="eastAsia" w:ascii="宋体" w:hAnsi="宋体"/>
          <w:b/>
          <w:bCs/>
          <w:color w:val="auto"/>
          <w:szCs w:val="21"/>
          <w:highlight w:val="none"/>
          <w:lang w:val="en-US" w:eastAsia="zh-CN"/>
        </w:rPr>
        <w:t>7</w:t>
      </w:r>
      <w:r>
        <w:rPr>
          <w:rFonts w:hint="eastAsia" w:ascii="宋体" w:hAnsi="宋体"/>
          <w:b/>
          <w:bCs/>
          <w:color w:val="auto"/>
          <w:szCs w:val="21"/>
          <w:highlight w:val="none"/>
          <w:lang w:eastAsia="zh-CN"/>
        </w:rPr>
        <w:t>分标：</w:t>
      </w:r>
    </w:p>
    <w:tbl>
      <w:tblPr>
        <w:tblStyle w:val="4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7"/>
        <w:gridCol w:w="3502"/>
        <w:gridCol w:w="968"/>
        <w:gridCol w:w="3432"/>
      </w:tblGrid>
      <w:tr w14:paraId="318E6D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 w:hRule="atLeast"/>
          <w:jc w:val="center"/>
        </w:trPr>
        <w:tc>
          <w:tcPr>
            <w:tcW w:w="697" w:type="dxa"/>
            <w:tcBorders>
              <w:top w:val="single" w:color="auto" w:sz="4" w:space="0"/>
              <w:left w:val="single" w:color="auto" w:sz="4" w:space="0"/>
              <w:bottom w:val="single" w:color="auto" w:sz="4" w:space="0"/>
              <w:right w:val="single" w:color="auto" w:sz="4" w:space="0"/>
            </w:tcBorders>
            <w:noWrap w:val="0"/>
            <w:vAlign w:val="center"/>
          </w:tcPr>
          <w:p w14:paraId="4F7893F7">
            <w:pPr>
              <w:snapToGrid w:val="0"/>
              <w:spacing w:line="400" w:lineRule="exact"/>
              <w:jc w:val="center"/>
              <w:rPr>
                <w:rFonts w:ascii="宋体" w:hAnsi="宋体"/>
                <w:color w:val="auto"/>
                <w:szCs w:val="21"/>
                <w:highlight w:val="none"/>
              </w:rPr>
            </w:pPr>
            <w:r>
              <w:rPr>
                <w:rFonts w:ascii="宋体" w:hAnsi="宋体"/>
                <w:color w:val="auto"/>
                <w:szCs w:val="21"/>
                <w:highlight w:val="none"/>
              </w:rPr>
              <w:t>序号</w:t>
            </w:r>
          </w:p>
        </w:tc>
        <w:tc>
          <w:tcPr>
            <w:tcW w:w="3502" w:type="dxa"/>
            <w:tcBorders>
              <w:top w:val="single" w:color="auto" w:sz="4" w:space="0"/>
              <w:left w:val="single" w:color="auto" w:sz="4" w:space="0"/>
              <w:bottom w:val="single" w:color="auto" w:sz="4" w:space="0"/>
              <w:right w:val="single" w:color="auto" w:sz="4" w:space="0"/>
            </w:tcBorders>
            <w:noWrap w:val="0"/>
            <w:vAlign w:val="center"/>
          </w:tcPr>
          <w:p w14:paraId="3979B9BD">
            <w:pPr>
              <w:snapToGrid w:val="0"/>
              <w:spacing w:line="400" w:lineRule="exact"/>
              <w:jc w:val="center"/>
              <w:rPr>
                <w:rFonts w:ascii="宋体" w:hAnsi="宋体"/>
                <w:color w:val="auto"/>
                <w:szCs w:val="21"/>
                <w:highlight w:val="none"/>
              </w:rPr>
            </w:pPr>
            <w:r>
              <w:rPr>
                <w:rFonts w:ascii="宋体" w:hAnsi="宋体"/>
                <w:color w:val="auto"/>
                <w:szCs w:val="21"/>
                <w:highlight w:val="none"/>
              </w:rPr>
              <w:t>标的名称</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79C5D2A8">
            <w:pPr>
              <w:snapToGrid w:val="0"/>
              <w:spacing w:line="400" w:lineRule="exact"/>
              <w:jc w:val="center"/>
              <w:rPr>
                <w:rFonts w:ascii="宋体" w:hAnsi="宋体"/>
                <w:color w:val="auto"/>
                <w:szCs w:val="21"/>
                <w:highlight w:val="none"/>
              </w:rPr>
            </w:pPr>
            <w:r>
              <w:rPr>
                <w:rFonts w:ascii="宋体" w:hAnsi="宋体"/>
                <w:color w:val="auto"/>
                <w:szCs w:val="21"/>
                <w:highlight w:val="none"/>
              </w:rPr>
              <w:t>数量</w:t>
            </w:r>
          </w:p>
        </w:tc>
        <w:tc>
          <w:tcPr>
            <w:tcW w:w="3432" w:type="dxa"/>
            <w:tcBorders>
              <w:top w:val="single" w:color="auto" w:sz="4" w:space="0"/>
              <w:left w:val="single" w:color="auto" w:sz="4" w:space="0"/>
              <w:bottom w:val="single" w:color="auto" w:sz="4" w:space="0"/>
              <w:right w:val="single" w:color="auto" w:sz="4" w:space="0"/>
            </w:tcBorders>
            <w:noWrap w:val="0"/>
            <w:vAlign w:val="center"/>
          </w:tcPr>
          <w:p w14:paraId="69222E3C">
            <w:pPr>
              <w:snapToGrid w:val="0"/>
              <w:spacing w:line="400" w:lineRule="exact"/>
              <w:jc w:val="center"/>
              <w:rPr>
                <w:rFonts w:ascii="宋体" w:hAnsi="宋体"/>
                <w:color w:val="auto"/>
                <w:szCs w:val="21"/>
                <w:highlight w:val="none"/>
              </w:rPr>
            </w:pPr>
            <w:r>
              <w:rPr>
                <w:rFonts w:ascii="宋体" w:hAnsi="宋体"/>
                <w:color w:val="auto"/>
                <w:szCs w:val="21"/>
                <w:highlight w:val="none"/>
              </w:rPr>
              <w:t>简要技术需求或者服务要求</w:t>
            </w:r>
          </w:p>
        </w:tc>
      </w:tr>
      <w:tr w14:paraId="555ED0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6" w:hRule="atLeast"/>
          <w:jc w:val="center"/>
        </w:trPr>
        <w:tc>
          <w:tcPr>
            <w:tcW w:w="697" w:type="dxa"/>
            <w:tcBorders>
              <w:top w:val="single" w:color="auto" w:sz="4" w:space="0"/>
              <w:left w:val="single" w:color="auto" w:sz="4" w:space="0"/>
              <w:bottom w:val="single" w:color="auto" w:sz="4" w:space="0"/>
              <w:right w:val="single" w:color="auto" w:sz="4" w:space="0"/>
            </w:tcBorders>
            <w:noWrap w:val="0"/>
            <w:vAlign w:val="top"/>
          </w:tcPr>
          <w:p w14:paraId="778EFBA4">
            <w:pPr>
              <w:snapToGrid w:val="0"/>
              <w:spacing w:line="400" w:lineRule="exact"/>
              <w:jc w:val="center"/>
              <w:rPr>
                <w:rFonts w:ascii="宋体" w:hAnsi="宋体"/>
                <w:color w:val="auto"/>
                <w:szCs w:val="21"/>
                <w:highlight w:val="none"/>
              </w:rPr>
            </w:pPr>
            <w:r>
              <w:rPr>
                <w:rFonts w:ascii="宋体" w:hAnsi="宋体"/>
                <w:color w:val="auto"/>
                <w:szCs w:val="21"/>
                <w:highlight w:val="none"/>
              </w:rPr>
              <w:t>01</w:t>
            </w:r>
          </w:p>
        </w:tc>
        <w:tc>
          <w:tcPr>
            <w:tcW w:w="3502" w:type="dxa"/>
            <w:tcBorders>
              <w:top w:val="single" w:color="auto" w:sz="4" w:space="0"/>
              <w:left w:val="single" w:color="auto" w:sz="4" w:space="0"/>
              <w:bottom w:val="single" w:color="auto" w:sz="4" w:space="0"/>
              <w:right w:val="single" w:color="auto" w:sz="4" w:space="0"/>
            </w:tcBorders>
            <w:noWrap w:val="0"/>
            <w:vAlign w:val="top"/>
          </w:tcPr>
          <w:p w14:paraId="4C792250">
            <w:pPr>
              <w:snapToGrid w:val="0"/>
              <w:spacing w:line="400" w:lineRule="exact"/>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2026年厅管领导干部经济责任审计服务3</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68CE5E57">
            <w:pPr>
              <w:snapToGrid w:val="0"/>
              <w:spacing w:line="400" w:lineRule="exact"/>
              <w:jc w:val="center"/>
              <w:rPr>
                <w:rFonts w:ascii="宋体" w:hAnsi="宋体"/>
                <w:color w:val="auto"/>
                <w:szCs w:val="21"/>
                <w:highlight w:val="none"/>
              </w:rPr>
            </w:pPr>
            <w:r>
              <w:rPr>
                <w:rFonts w:ascii="宋体" w:hAnsi="宋体"/>
                <w:color w:val="auto"/>
                <w:szCs w:val="21"/>
                <w:highlight w:val="none"/>
              </w:rPr>
              <w:t>1项</w:t>
            </w:r>
          </w:p>
        </w:tc>
        <w:tc>
          <w:tcPr>
            <w:tcW w:w="3432" w:type="dxa"/>
            <w:tcBorders>
              <w:top w:val="single" w:color="auto" w:sz="4" w:space="0"/>
              <w:left w:val="single" w:color="auto" w:sz="4" w:space="0"/>
              <w:bottom w:val="single" w:color="auto" w:sz="4" w:space="0"/>
              <w:right w:val="single" w:color="auto" w:sz="4" w:space="0"/>
            </w:tcBorders>
            <w:noWrap w:val="0"/>
            <w:vAlign w:val="center"/>
          </w:tcPr>
          <w:p w14:paraId="48D51E6E">
            <w:pPr>
              <w:adjustRightInd w:val="0"/>
              <w:snapToGrid w:val="0"/>
              <w:spacing w:line="400" w:lineRule="exact"/>
              <w:jc w:val="center"/>
              <w:rPr>
                <w:rFonts w:ascii="宋体" w:hAnsi="宋体"/>
                <w:color w:val="auto"/>
                <w:szCs w:val="21"/>
                <w:highlight w:val="none"/>
              </w:rPr>
            </w:pPr>
            <w:r>
              <w:rPr>
                <w:rFonts w:hint="eastAsia" w:ascii="宋体" w:hAnsi="宋体"/>
                <w:color w:val="auto"/>
                <w:szCs w:val="21"/>
                <w:highlight w:val="none"/>
              </w:rPr>
              <w:t>具体详见采购需求。</w:t>
            </w:r>
          </w:p>
        </w:tc>
      </w:tr>
    </w:tbl>
    <w:p w14:paraId="75E6A0B1">
      <w:pPr>
        <w:pStyle w:val="18"/>
        <w:ind w:firstLine="723" w:firstLineChars="300"/>
        <w:rPr>
          <w:b/>
          <w:bCs/>
          <w:color w:val="auto"/>
          <w:highlight w:val="none"/>
        </w:rPr>
      </w:pPr>
      <w:r>
        <w:rPr>
          <w:rFonts w:hint="eastAsia" w:ascii="宋体" w:hAnsi="宋体"/>
          <w:b/>
          <w:bCs/>
          <w:color w:val="auto"/>
          <w:szCs w:val="21"/>
          <w:highlight w:val="none"/>
          <w:lang w:val="en-US" w:eastAsia="zh-CN"/>
        </w:rPr>
        <w:t>8</w:t>
      </w:r>
      <w:r>
        <w:rPr>
          <w:rFonts w:hint="eastAsia" w:ascii="宋体" w:hAnsi="宋体"/>
          <w:b/>
          <w:bCs/>
          <w:color w:val="auto"/>
          <w:szCs w:val="21"/>
          <w:highlight w:val="none"/>
          <w:lang w:eastAsia="zh-CN"/>
        </w:rPr>
        <w:t>分标：</w:t>
      </w:r>
    </w:p>
    <w:tbl>
      <w:tblPr>
        <w:tblStyle w:val="4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7"/>
        <w:gridCol w:w="3502"/>
        <w:gridCol w:w="968"/>
        <w:gridCol w:w="3432"/>
      </w:tblGrid>
      <w:tr w14:paraId="0D9E0D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 w:hRule="atLeast"/>
          <w:jc w:val="center"/>
        </w:trPr>
        <w:tc>
          <w:tcPr>
            <w:tcW w:w="697" w:type="dxa"/>
            <w:tcBorders>
              <w:top w:val="single" w:color="auto" w:sz="4" w:space="0"/>
              <w:left w:val="single" w:color="auto" w:sz="4" w:space="0"/>
              <w:bottom w:val="single" w:color="auto" w:sz="4" w:space="0"/>
              <w:right w:val="single" w:color="auto" w:sz="4" w:space="0"/>
            </w:tcBorders>
            <w:noWrap w:val="0"/>
            <w:vAlign w:val="center"/>
          </w:tcPr>
          <w:p w14:paraId="623E8D5D">
            <w:pPr>
              <w:snapToGrid w:val="0"/>
              <w:spacing w:line="400" w:lineRule="exact"/>
              <w:jc w:val="center"/>
              <w:rPr>
                <w:rFonts w:ascii="宋体" w:hAnsi="宋体"/>
                <w:color w:val="auto"/>
                <w:szCs w:val="21"/>
                <w:highlight w:val="none"/>
              </w:rPr>
            </w:pPr>
            <w:r>
              <w:rPr>
                <w:rFonts w:ascii="宋体" w:hAnsi="宋体"/>
                <w:color w:val="auto"/>
                <w:szCs w:val="21"/>
                <w:highlight w:val="none"/>
              </w:rPr>
              <w:t>序号</w:t>
            </w:r>
          </w:p>
        </w:tc>
        <w:tc>
          <w:tcPr>
            <w:tcW w:w="3502" w:type="dxa"/>
            <w:tcBorders>
              <w:top w:val="single" w:color="auto" w:sz="4" w:space="0"/>
              <w:left w:val="single" w:color="auto" w:sz="4" w:space="0"/>
              <w:bottom w:val="single" w:color="auto" w:sz="4" w:space="0"/>
              <w:right w:val="single" w:color="auto" w:sz="4" w:space="0"/>
            </w:tcBorders>
            <w:noWrap w:val="0"/>
            <w:vAlign w:val="center"/>
          </w:tcPr>
          <w:p w14:paraId="5A2BCEE8">
            <w:pPr>
              <w:snapToGrid w:val="0"/>
              <w:spacing w:line="400" w:lineRule="exact"/>
              <w:jc w:val="center"/>
              <w:rPr>
                <w:rFonts w:ascii="宋体" w:hAnsi="宋体"/>
                <w:color w:val="auto"/>
                <w:szCs w:val="21"/>
                <w:highlight w:val="none"/>
              </w:rPr>
            </w:pPr>
            <w:r>
              <w:rPr>
                <w:rFonts w:ascii="宋体" w:hAnsi="宋体"/>
                <w:color w:val="auto"/>
                <w:szCs w:val="21"/>
                <w:highlight w:val="none"/>
              </w:rPr>
              <w:t>标的名称</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5B1512C1">
            <w:pPr>
              <w:snapToGrid w:val="0"/>
              <w:spacing w:line="400" w:lineRule="exact"/>
              <w:jc w:val="center"/>
              <w:rPr>
                <w:rFonts w:ascii="宋体" w:hAnsi="宋体"/>
                <w:color w:val="auto"/>
                <w:szCs w:val="21"/>
                <w:highlight w:val="none"/>
              </w:rPr>
            </w:pPr>
            <w:r>
              <w:rPr>
                <w:rFonts w:ascii="宋体" w:hAnsi="宋体"/>
                <w:color w:val="auto"/>
                <w:szCs w:val="21"/>
                <w:highlight w:val="none"/>
              </w:rPr>
              <w:t>数量</w:t>
            </w:r>
          </w:p>
        </w:tc>
        <w:tc>
          <w:tcPr>
            <w:tcW w:w="3432" w:type="dxa"/>
            <w:tcBorders>
              <w:top w:val="single" w:color="auto" w:sz="4" w:space="0"/>
              <w:left w:val="single" w:color="auto" w:sz="4" w:space="0"/>
              <w:bottom w:val="single" w:color="auto" w:sz="4" w:space="0"/>
              <w:right w:val="single" w:color="auto" w:sz="4" w:space="0"/>
            </w:tcBorders>
            <w:noWrap w:val="0"/>
            <w:vAlign w:val="center"/>
          </w:tcPr>
          <w:p w14:paraId="04DD8816">
            <w:pPr>
              <w:snapToGrid w:val="0"/>
              <w:spacing w:line="400" w:lineRule="exact"/>
              <w:jc w:val="center"/>
              <w:rPr>
                <w:rFonts w:ascii="宋体" w:hAnsi="宋体"/>
                <w:color w:val="auto"/>
                <w:szCs w:val="21"/>
                <w:highlight w:val="none"/>
              </w:rPr>
            </w:pPr>
            <w:r>
              <w:rPr>
                <w:rFonts w:ascii="宋体" w:hAnsi="宋体"/>
                <w:color w:val="auto"/>
                <w:szCs w:val="21"/>
                <w:highlight w:val="none"/>
              </w:rPr>
              <w:t>简要技术需求或者服务要求</w:t>
            </w:r>
          </w:p>
        </w:tc>
      </w:tr>
      <w:tr w14:paraId="6DEEAB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6" w:hRule="atLeast"/>
          <w:jc w:val="center"/>
        </w:trPr>
        <w:tc>
          <w:tcPr>
            <w:tcW w:w="697" w:type="dxa"/>
            <w:tcBorders>
              <w:top w:val="single" w:color="auto" w:sz="4" w:space="0"/>
              <w:left w:val="single" w:color="auto" w:sz="4" w:space="0"/>
              <w:bottom w:val="single" w:color="auto" w:sz="4" w:space="0"/>
              <w:right w:val="single" w:color="auto" w:sz="4" w:space="0"/>
            </w:tcBorders>
            <w:noWrap w:val="0"/>
            <w:vAlign w:val="top"/>
          </w:tcPr>
          <w:p w14:paraId="0ED79BDF">
            <w:pPr>
              <w:snapToGrid w:val="0"/>
              <w:spacing w:line="400" w:lineRule="exact"/>
              <w:jc w:val="center"/>
              <w:rPr>
                <w:rFonts w:ascii="宋体" w:hAnsi="宋体"/>
                <w:color w:val="auto"/>
                <w:szCs w:val="21"/>
                <w:highlight w:val="none"/>
              </w:rPr>
            </w:pPr>
            <w:r>
              <w:rPr>
                <w:rFonts w:ascii="宋体" w:hAnsi="宋体"/>
                <w:color w:val="auto"/>
                <w:szCs w:val="21"/>
                <w:highlight w:val="none"/>
              </w:rPr>
              <w:t>01</w:t>
            </w:r>
          </w:p>
        </w:tc>
        <w:tc>
          <w:tcPr>
            <w:tcW w:w="3502" w:type="dxa"/>
            <w:tcBorders>
              <w:top w:val="single" w:color="auto" w:sz="4" w:space="0"/>
              <w:left w:val="single" w:color="auto" w:sz="4" w:space="0"/>
              <w:bottom w:val="single" w:color="auto" w:sz="4" w:space="0"/>
              <w:right w:val="single" w:color="auto" w:sz="4" w:space="0"/>
            </w:tcBorders>
            <w:noWrap w:val="0"/>
            <w:vAlign w:val="top"/>
          </w:tcPr>
          <w:p w14:paraId="79A72DB5">
            <w:pPr>
              <w:snapToGrid w:val="0"/>
              <w:spacing w:line="400" w:lineRule="exact"/>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柳江红花枢纽至石龙三江口Ⅱ级航道工程项目跟踪审计</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2023年10月至今）</w:t>
            </w:r>
          </w:p>
        </w:tc>
        <w:tc>
          <w:tcPr>
            <w:tcW w:w="968" w:type="dxa"/>
            <w:tcBorders>
              <w:top w:val="single" w:color="auto" w:sz="4" w:space="0"/>
              <w:left w:val="single" w:color="auto" w:sz="4" w:space="0"/>
              <w:bottom w:val="single" w:color="auto" w:sz="4" w:space="0"/>
              <w:right w:val="single" w:color="auto" w:sz="4" w:space="0"/>
            </w:tcBorders>
            <w:noWrap w:val="0"/>
            <w:vAlign w:val="center"/>
          </w:tcPr>
          <w:p w14:paraId="432B9DE8">
            <w:pPr>
              <w:snapToGrid w:val="0"/>
              <w:spacing w:line="400" w:lineRule="exact"/>
              <w:jc w:val="center"/>
              <w:rPr>
                <w:rFonts w:ascii="宋体" w:hAnsi="宋体"/>
                <w:color w:val="auto"/>
                <w:szCs w:val="21"/>
                <w:highlight w:val="none"/>
              </w:rPr>
            </w:pPr>
            <w:r>
              <w:rPr>
                <w:rFonts w:ascii="宋体" w:hAnsi="宋体"/>
                <w:color w:val="auto"/>
                <w:szCs w:val="21"/>
                <w:highlight w:val="none"/>
              </w:rPr>
              <w:t>1项</w:t>
            </w:r>
          </w:p>
        </w:tc>
        <w:tc>
          <w:tcPr>
            <w:tcW w:w="3432" w:type="dxa"/>
            <w:tcBorders>
              <w:top w:val="single" w:color="auto" w:sz="4" w:space="0"/>
              <w:left w:val="single" w:color="auto" w:sz="4" w:space="0"/>
              <w:bottom w:val="single" w:color="auto" w:sz="4" w:space="0"/>
              <w:right w:val="single" w:color="auto" w:sz="4" w:space="0"/>
            </w:tcBorders>
            <w:noWrap w:val="0"/>
            <w:vAlign w:val="center"/>
          </w:tcPr>
          <w:p w14:paraId="36373F67">
            <w:pPr>
              <w:adjustRightInd w:val="0"/>
              <w:snapToGrid w:val="0"/>
              <w:spacing w:line="400" w:lineRule="exact"/>
              <w:jc w:val="center"/>
              <w:rPr>
                <w:rFonts w:ascii="宋体" w:hAnsi="宋体"/>
                <w:color w:val="auto"/>
                <w:szCs w:val="21"/>
                <w:highlight w:val="none"/>
              </w:rPr>
            </w:pPr>
            <w:r>
              <w:rPr>
                <w:rFonts w:hint="eastAsia" w:ascii="宋体" w:hAnsi="宋体"/>
                <w:color w:val="auto"/>
                <w:szCs w:val="21"/>
                <w:highlight w:val="none"/>
              </w:rPr>
              <w:t>具体详见采购需求。</w:t>
            </w:r>
          </w:p>
        </w:tc>
      </w:tr>
    </w:tbl>
    <w:p w14:paraId="1E83359F">
      <w:pPr>
        <w:ind w:firstLine="420" w:firstLineChars="200"/>
        <w:rPr>
          <w:rFonts w:ascii="宋体" w:hAnsi="宋体"/>
          <w:color w:val="auto"/>
          <w:szCs w:val="21"/>
          <w:highlight w:val="none"/>
        </w:rPr>
      </w:pPr>
      <w:r>
        <w:rPr>
          <w:rFonts w:hint="eastAsia" w:ascii="宋体" w:hAnsi="宋体" w:cs="宋体"/>
          <w:color w:val="auto"/>
          <w:kern w:val="0"/>
          <w:szCs w:val="21"/>
          <w:highlight w:val="none"/>
        </w:rPr>
        <w:t>具体见招标文件。</w:t>
      </w:r>
    </w:p>
    <w:p w14:paraId="7184C0A5">
      <w:pPr>
        <w:spacing w:line="360" w:lineRule="auto"/>
        <w:ind w:firstLine="420" w:firstLineChars="200"/>
        <w:rPr>
          <w:rFonts w:hint="eastAsia" w:ascii="宋体" w:hAnsi="宋体" w:eastAsia="宋体"/>
          <w:color w:val="auto"/>
          <w:szCs w:val="21"/>
          <w:highlight w:val="none"/>
          <w:u w:val="single"/>
          <w:lang w:eastAsia="zh-CN"/>
        </w:rPr>
      </w:pPr>
      <w:r>
        <w:rPr>
          <w:rFonts w:hint="eastAsia" w:ascii="宋体" w:hAnsi="宋体"/>
          <w:color w:val="auto"/>
          <w:szCs w:val="21"/>
          <w:highlight w:val="none"/>
        </w:rPr>
        <w:t>合同履行期限：具体详见采购需求。</w:t>
      </w:r>
    </w:p>
    <w:p w14:paraId="21DA2D32">
      <w:pPr>
        <w:spacing w:line="360" w:lineRule="auto"/>
        <w:ind w:firstLine="422" w:firstLineChars="200"/>
        <w:rPr>
          <w:rFonts w:ascii="宋体" w:hAnsi="宋体"/>
          <w:b/>
          <w:bCs/>
          <w:color w:val="auto"/>
          <w:szCs w:val="21"/>
          <w:highlight w:val="none"/>
          <w:u w:val="single"/>
        </w:rPr>
      </w:pPr>
      <w:r>
        <w:rPr>
          <w:rFonts w:hint="eastAsia" w:ascii="宋体" w:hAnsi="宋体"/>
          <w:b/>
          <w:bCs/>
          <w:color w:val="auto"/>
          <w:szCs w:val="21"/>
          <w:highlight w:val="none"/>
          <w:u w:val="single"/>
        </w:rPr>
        <w:t>本项目不接受联合体投标。</w:t>
      </w:r>
    </w:p>
    <w:p w14:paraId="2CC3CC64">
      <w:pPr>
        <w:spacing w:line="360" w:lineRule="auto"/>
        <w:rPr>
          <w:rFonts w:ascii="黑体" w:hAnsi="黑体" w:eastAsia="黑体"/>
          <w:b/>
          <w:bCs/>
          <w:color w:val="auto"/>
          <w:sz w:val="24"/>
          <w:highlight w:val="none"/>
        </w:rPr>
      </w:pPr>
      <w:bookmarkStart w:id="17" w:name="_Toc28359080"/>
      <w:bookmarkStart w:id="18" w:name="_Toc35393622"/>
      <w:bookmarkStart w:id="19" w:name="_Toc28359003"/>
      <w:bookmarkStart w:id="20" w:name="_Toc35393791"/>
      <w:r>
        <w:rPr>
          <w:rFonts w:hint="eastAsia" w:ascii="黑体" w:hAnsi="黑体" w:eastAsia="黑体"/>
          <w:b/>
          <w:bCs/>
          <w:color w:val="auto"/>
          <w:sz w:val="24"/>
          <w:highlight w:val="none"/>
        </w:rPr>
        <w:t>二、申请人的资格要求：</w:t>
      </w:r>
      <w:bookmarkEnd w:id="17"/>
      <w:bookmarkEnd w:id="18"/>
      <w:bookmarkEnd w:id="19"/>
      <w:bookmarkEnd w:id="20"/>
    </w:p>
    <w:p w14:paraId="40DD4244">
      <w:pPr>
        <w:spacing w:line="360" w:lineRule="auto"/>
        <w:ind w:firstLine="420" w:firstLineChars="200"/>
        <w:rPr>
          <w:rFonts w:ascii="宋体" w:hAnsi="宋体"/>
          <w:color w:val="auto"/>
          <w:szCs w:val="21"/>
          <w:highlight w:val="none"/>
        </w:rPr>
      </w:pPr>
      <w:bookmarkStart w:id="21" w:name="_Hlk51746371"/>
      <w:bookmarkStart w:id="22" w:name="_Toc35393623"/>
      <w:bookmarkStart w:id="23" w:name="_Toc28359004"/>
      <w:bookmarkStart w:id="24" w:name="_Toc35393792"/>
      <w:bookmarkStart w:id="25" w:name="_Toc28359081"/>
      <w:r>
        <w:rPr>
          <w:rFonts w:hint="eastAsia" w:ascii="宋体" w:hAnsi="宋体"/>
          <w:color w:val="auto"/>
          <w:szCs w:val="21"/>
          <w:highlight w:val="none"/>
        </w:rPr>
        <w:t>1.满足《中华人民共和国政府采购法》第二十二条规定；</w:t>
      </w:r>
    </w:p>
    <w:p w14:paraId="6E3B4BC2">
      <w:pPr>
        <w:snapToGrid w:val="0"/>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.落实政府采购政策需满足的资格要求：</w:t>
      </w:r>
      <w:bookmarkStart w:id="26" w:name="OLE_LINK48"/>
      <w:bookmarkStart w:id="27" w:name="OLE_LINK3"/>
    </w:p>
    <w:p w14:paraId="3EB9D225">
      <w:pPr>
        <w:snapToGrid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专门面向中小企业采购的项目（供应商应为中小微企业、监狱企业、残疾人福利性单位)</w:t>
      </w:r>
      <w:r>
        <w:rPr>
          <w:rFonts w:hint="eastAsia" w:ascii="宋体" w:hAnsi="宋体" w:cs="宋体"/>
          <w:color w:val="auto"/>
          <w:szCs w:val="21"/>
          <w:highlight w:val="none"/>
          <w:lang w:eastAsia="zh-CN"/>
        </w:rPr>
        <w:t>；</w:t>
      </w:r>
    </w:p>
    <w:p w14:paraId="65D164A7">
      <w:pPr>
        <w:snapToGrid w:val="0"/>
        <w:spacing w:line="360" w:lineRule="auto"/>
        <w:ind w:firstLine="420" w:firstLineChars="200"/>
        <w:rPr>
          <w:rFonts w:ascii="宋体" w:hAnsi="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非专门面向中小企业采购的项目</w:t>
      </w:r>
      <w:r>
        <w:rPr>
          <w:rFonts w:hint="eastAsia" w:ascii="宋体" w:hAnsi="宋体"/>
          <w:color w:val="auto"/>
          <w:highlight w:val="none"/>
        </w:rPr>
        <w:t>；</w:t>
      </w:r>
      <w:bookmarkEnd w:id="26"/>
    </w:p>
    <w:bookmarkEnd w:id="27"/>
    <w:p w14:paraId="70CDA32C">
      <w:pPr>
        <w:spacing w:line="360" w:lineRule="auto"/>
        <w:ind w:firstLine="420" w:firstLineChars="200"/>
        <w:rPr>
          <w:rFonts w:hint="eastAsia" w:ascii="宋体" w:hAnsi="宋体" w:cs="宋体"/>
          <w:color w:val="auto"/>
          <w:szCs w:val="21"/>
          <w:highlight w:val="none"/>
          <w:u w:val="single"/>
        </w:rPr>
      </w:pPr>
      <w:r>
        <w:rPr>
          <w:rFonts w:hint="eastAsia" w:ascii="宋体" w:hAnsi="宋体"/>
          <w:color w:val="auto"/>
          <w:szCs w:val="21"/>
          <w:highlight w:val="none"/>
        </w:rPr>
        <w:t>3.本项目的特定资格要求：</w:t>
      </w:r>
      <w:bookmarkEnd w:id="21"/>
      <w:r>
        <w:rPr>
          <w:rFonts w:hint="eastAsia" w:ascii="宋体" w:hAnsi="宋体" w:cs="宋体"/>
          <w:b w:val="0"/>
          <w:bCs/>
          <w:color w:val="auto"/>
          <w:szCs w:val="21"/>
          <w:highlight w:val="none"/>
          <w:lang w:val="en-US" w:eastAsia="zh-CN"/>
        </w:rPr>
        <w:t>须具备财政部门登记批准的会计师事务</w:t>
      </w:r>
      <w:bookmarkStart w:id="191" w:name="_GoBack"/>
      <w:bookmarkEnd w:id="191"/>
      <w:r>
        <w:rPr>
          <w:rFonts w:hint="eastAsia" w:ascii="宋体" w:hAnsi="宋体" w:cs="宋体"/>
          <w:b w:val="0"/>
          <w:bCs/>
          <w:color w:val="auto"/>
          <w:szCs w:val="21"/>
          <w:highlight w:val="none"/>
          <w:lang w:val="en-US" w:eastAsia="zh-CN"/>
        </w:rPr>
        <w:t>所执业证书资格</w:t>
      </w:r>
      <w:r>
        <w:rPr>
          <w:rFonts w:hint="eastAsia" w:ascii="宋体" w:hAnsi="宋体"/>
          <w:color w:val="auto"/>
          <w:szCs w:val="21"/>
          <w:highlight w:val="none"/>
          <w:lang w:val="en-US" w:eastAsia="zh-CN"/>
        </w:rPr>
        <w:t>。</w:t>
      </w:r>
    </w:p>
    <w:p w14:paraId="030DCA6F">
      <w:pPr>
        <w:spacing w:line="360" w:lineRule="auto"/>
        <w:rPr>
          <w:rFonts w:ascii="黑体" w:hAnsi="黑体" w:eastAsia="黑体"/>
          <w:b/>
          <w:bCs/>
          <w:color w:val="auto"/>
          <w:sz w:val="24"/>
          <w:highlight w:val="none"/>
        </w:rPr>
      </w:pPr>
      <w:r>
        <w:rPr>
          <w:rFonts w:hint="eastAsia" w:ascii="黑体" w:hAnsi="黑体" w:eastAsia="黑体"/>
          <w:b/>
          <w:bCs/>
          <w:color w:val="auto"/>
          <w:sz w:val="24"/>
          <w:highlight w:val="none"/>
        </w:rPr>
        <w:t>三、获取招标文件</w:t>
      </w:r>
      <w:bookmarkEnd w:id="22"/>
      <w:bookmarkEnd w:id="23"/>
      <w:bookmarkEnd w:id="24"/>
      <w:bookmarkEnd w:id="25"/>
    </w:p>
    <w:p w14:paraId="3F49995E">
      <w:pPr>
        <w:spacing w:line="360" w:lineRule="auto"/>
        <w:ind w:firstLine="54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时间：</w:t>
      </w:r>
      <w:r>
        <w:rPr>
          <w:rFonts w:hint="eastAsia" w:ascii="宋体" w:hAnsi="宋体" w:cs="宋体"/>
          <w:bCs/>
          <w:color w:val="auto"/>
          <w:kern w:val="0"/>
          <w:szCs w:val="21"/>
          <w:highlight w:val="none"/>
          <w:u w:val="single"/>
        </w:rPr>
        <w:t>202</w:t>
      </w:r>
      <w:r>
        <w:rPr>
          <w:rFonts w:hint="eastAsia" w:ascii="宋体" w:hAnsi="宋体" w:cs="宋体"/>
          <w:bCs/>
          <w:color w:val="auto"/>
          <w:kern w:val="0"/>
          <w:szCs w:val="21"/>
          <w:highlight w:val="none"/>
          <w:u w:val="single"/>
          <w:lang w:val="en-US" w:eastAsia="zh-CN"/>
        </w:rPr>
        <w:t>6</w:t>
      </w:r>
      <w:r>
        <w:rPr>
          <w:rFonts w:hint="eastAsia" w:ascii="宋体" w:hAnsi="宋体" w:cs="宋体"/>
          <w:bCs/>
          <w:color w:val="auto"/>
          <w:kern w:val="0"/>
          <w:szCs w:val="21"/>
          <w:highlight w:val="none"/>
          <w:u w:val="single"/>
        </w:rPr>
        <w:t>年</w:t>
      </w:r>
      <w:r>
        <w:rPr>
          <w:rFonts w:hint="eastAsia" w:ascii="宋体" w:hAnsi="宋体" w:cs="宋体"/>
          <w:bCs/>
          <w:color w:val="auto"/>
          <w:kern w:val="0"/>
          <w:szCs w:val="21"/>
          <w:highlight w:val="none"/>
          <w:u w:val="single"/>
          <w:lang w:val="en-US" w:eastAsia="zh-CN"/>
        </w:rPr>
        <w:t>5</w:t>
      </w:r>
      <w:r>
        <w:rPr>
          <w:rFonts w:hint="eastAsia" w:ascii="宋体" w:hAnsi="宋体" w:cs="宋体"/>
          <w:bCs/>
          <w:color w:val="auto"/>
          <w:kern w:val="0"/>
          <w:szCs w:val="21"/>
          <w:highlight w:val="none"/>
          <w:u w:val="single"/>
        </w:rPr>
        <w:t>月</w:t>
      </w:r>
      <w:r>
        <w:rPr>
          <w:rFonts w:hint="eastAsia" w:ascii="宋体" w:hAnsi="宋体" w:cs="宋体"/>
          <w:bCs/>
          <w:color w:val="auto"/>
          <w:kern w:val="0"/>
          <w:szCs w:val="21"/>
          <w:highlight w:val="none"/>
          <w:u w:val="single"/>
          <w:lang w:val="en-US" w:eastAsia="zh-CN"/>
        </w:rPr>
        <w:t>19</w:t>
      </w:r>
      <w:r>
        <w:rPr>
          <w:rFonts w:hint="eastAsia" w:ascii="宋体" w:hAnsi="宋体" w:cs="宋体"/>
          <w:bCs/>
          <w:color w:val="auto"/>
          <w:kern w:val="0"/>
          <w:szCs w:val="21"/>
          <w:highlight w:val="none"/>
          <w:u w:val="single"/>
        </w:rPr>
        <w:t>日至202</w:t>
      </w:r>
      <w:r>
        <w:rPr>
          <w:rFonts w:hint="eastAsia" w:ascii="宋体" w:hAnsi="宋体" w:cs="宋体"/>
          <w:bCs/>
          <w:color w:val="auto"/>
          <w:kern w:val="0"/>
          <w:szCs w:val="21"/>
          <w:highlight w:val="none"/>
          <w:u w:val="single"/>
          <w:lang w:val="en-US" w:eastAsia="zh-CN"/>
        </w:rPr>
        <w:t>6</w:t>
      </w:r>
      <w:r>
        <w:rPr>
          <w:rFonts w:hint="eastAsia" w:ascii="宋体" w:hAnsi="宋体" w:cs="宋体"/>
          <w:bCs/>
          <w:color w:val="auto"/>
          <w:kern w:val="0"/>
          <w:szCs w:val="21"/>
          <w:highlight w:val="none"/>
          <w:u w:val="single"/>
        </w:rPr>
        <w:t>年</w:t>
      </w:r>
      <w:r>
        <w:rPr>
          <w:rFonts w:hint="eastAsia" w:ascii="宋体" w:hAnsi="宋体" w:cs="宋体"/>
          <w:bCs/>
          <w:color w:val="auto"/>
          <w:kern w:val="0"/>
          <w:szCs w:val="21"/>
          <w:highlight w:val="none"/>
          <w:u w:val="single"/>
          <w:lang w:val="en-US" w:eastAsia="zh-CN"/>
        </w:rPr>
        <w:t>5</w:t>
      </w:r>
      <w:r>
        <w:rPr>
          <w:rFonts w:hint="eastAsia" w:ascii="宋体" w:hAnsi="宋体" w:cs="宋体"/>
          <w:bCs/>
          <w:color w:val="auto"/>
          <w:kern w:val="0"/>
          <w:szCs w:val="21"/>
          <w:highlight w:val="none"/>
          <w:u w:val="single"/>
        </w:rPr>
        <w:t>月</w:t>
      </w:r>
      <w:r>
        <w:rPr>
          <w:rFonts w:hint="eastAsia" w:ascii="宋体" w:hAnsi="宋体" w:cs="宋体"/>
          <w:bCs/>
          <w:color w:val="auto"/>
          <w:kern w:val="0"/>
          <w:szCs w:val="21"/>
          <w:highlight w:val="none"/>
          <w:u w:val="single"/>
          <w:lang w:val="en-US" w:eastAsia="zh-CN"/>
        </w:rPr>
        <w:t>26</w:t>
      </w:r>
      <w:r>
        <w:rPr>
          <w:rFonts w:hint="eastAsia" w:ascii="宋体" w:hAnsi="宋体" w:cs="宋体"/>
          <w:bCs/>
          <w:color w:val="auto"/>
          <w:kern w:val="0"/>
          <w:szCs w:val="21"/>
          <w:highlight w:val="none"/>
          <w:u w:val="single"/>
        </w:rPr>
        <w:t>日</w:t>
      </w:r>
      <w:r>
        <w:rPr>
          <w:rFonts w:hint="eastAsia" w:ascii="宋体" w:hAnsi="宋体" w:cs="宋体"/>
          <w:bCs/>
          <w:color w:val="auto"/>
          <w:kern w:val="0"/>
          <w:szCs w:val="21"/>
          <w:highlight w:val="none"/>
        </w:rPr>
        <w:t>，每天上午</w:t>
      </w:r>
      <w:r>
        <w:rPr>
          <w:rFonts w:hint="eastAsia" w:ascii="宋体" w:hAnsi="宋体" w:cs="宋体"/>
          <w:bCs/>
          <w:color w:val="auto"/>
          <w:kern w:val="0"/>
          <w:szCs w:val="21"/>
          <w:highlight w:val="none"/>
          <w:u w:val="single"/>
        </w:rPr>
        <w:t>0:00至12:00</w:t>
      </w:r>
      <w:r>
        <w:rPr>
          <w:rFonts w:hint="eastAsia" w:ascii="宋体" w:hAnsi="宋体" w:cs="宋体"/>
          <w:bCs/>
          <w:color w:val="auto"/>
          <w:kern w:val="0"/>
          <w:szCs w:val="21"/>
          <w:highlight w:val="none"/>
        </w:rPr>
        <w:t>，</w:t>
      </w:r>
      <w:r>
        <w:rPr>
          <w:rFonts w:hint="eastAsia" w:ascii="宋体" w:hAnsi="宋体" w:cs="宋体"/>
          <w:bCs/>
          <w:color w:val="auto"/>
          <w:kern w:val="0"/>
          <w:szCs w:val="21"/>
          <w:highlight w:val="none"/>
          <w:u w:val="single"/>
        </w:rPr>
        <w:t>下午12:00至23:59</w:t>
      </w:r>
      <w:r>
        <w:rPr>
          <w:rFonts w:hint="eastAsia" w:ascii="宋体" w:hAnsi="宋体" w:cs="宋体"/>
          <w:bCs/>
          <w:color w:val="auto"/>
          <w:kern w:val="0"/>
          <w:szCs w:val="21"/>
          <w:highlight w:val="none"/>
        </w:rPr>
        <w:t>（北京时间，法定节假日除外）</w:t>
      </w:r>
    </w:p>
    <w:p w14:paraId="440D8C4C">
      <w:pPr>
        <w:spacing w:line="360" w:lineRule="auto"/>
        <w:ind w:firstLine="540"/>
        <w:rPr>
          <w:rFonts w:hint="eastAsia" w:ascii="宋体" w:hAnsi="宋体"/>
          <w:color w:val="auto"/>
          <w:szCs w:val="21"/>
          <w:highlight w:val="none"/>
        </w:rPr>
      </w:pPr>
      <w:r>
        <w:rPr>
          <w:rFonts w:hint="eastAsia" w:ascii="宋体" w:hAnsi="宋体" w:cs="宋体"/>
          <w:bCs/>
          <w:color w:val="auto"/>
          <w:kern w:val="0"/>
          <w:szCs w:val="21"/>
          <w:highlight w:val="none"/>
        </w:rPr>
        <w:t>地点：</w:t>
      </w:r>
      <w:bookmarkStart w:id="28" w:name="OLE_LINK5"/>
      <w:r>
        <w:rPr>
          <w:rFonts w:hint="eastAsia" w:ascii="宋体" w:hAnsi="宋体"/>
          <w:color w:val="auto"/>
          <w:szCs w:val="21"/>
          <w:highlight w:val="none"/>
        </w:rPr>
        <w:t>广西政府采购云平台（</w:t>
      </w:r>
      <w:r>
        <w:rPr>
          <w:rFonts w:hint="eastAsia" w:ascii="宋体" w:hAnsi="宋体"/>
          <w:bCs/>
          <w:color w:val="auto"/>
          <w:szCs w:val="21"/>
          <w:highlight w:val="none"/>
        </w:rPr>
        <w:t>https://www.gcy.zfcg.gxzf.gov.cn/</w:t>
      </w:r>
      <w:r>
        <w:rPr>
          <w:rFonts w:hint="eastAsia" w:ascii="宋体" w:hAnsi="宋体"/>
          <w:color w:val="auto"/>
          <w:szCs w:val="21"/>
          <w:highlight w:val="none"/>
        </w:rPr>
        <w:t>）</w:t>
      </w:r>
      <w:bookmarkEnd w:id="28"/>
    </w:p>
    <w:p w14:paraId="42289C3E">
      <w:pPr>
        <w:spacing w:line="360" w:lineRule="auto"/>
        <w:ind w:firstLine="54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方式：</w:t>
      </w:r>
      <w:bookmarkStart w:id="29" w:name="OLE_LINK4"/>
      <w:r>
        <w:rPr>
          <w:rFonts w:hint="eastAsia" w:ascii="宋体" w:hAnsi="宋体" w:cs="宋体"/>
          <w:bCs/>
          <w:color w:val="auto"/>
          <w:kern w:val="0"/>
          <w:szCs w:val="21"/>
          <w:highlight w:val="none"/>
        </w:rPr>
        <w:t>网上下载。本项目不提供纸质文件，潜在供应商需在</w:t>
      </w:r>
      <w:r>
        <w:rPr>
          <w:rFonts w:ascii="宋体" w:hAnsi="宋体"/>
          <w:color w:val="auto"/>
          <w:szCs w:val="21"/>
          <w:highlight w:val="none"/>
        </w:rPr>
        <w:t>广西政府采购云平台</w:t>
      </w:r>
      <w:r>
        <w:rPr>
          <w:rFonts w:hint="eastAsia" w:ascii="宋体" w:hAnsi="宋体"/>
          <w:color w:val="auto"/>
          <w:szCs w:val="21"/>
          <w:highlight w:val="none"/>
        </w:rPr>
        <w:t>（</w:t>
      </w:r>
      <w:r>
        <w:rPr>
          <w:rFonts w:ascii="宋体" w:hAnsi="宋体"/>
          <w:bCs/>
          <w:color w:val="auto"/>
          <w:szCs w:val="21"/>
          <w:highlight w:val="none"/>
        </w:rPr>
        <w:t>https://www.gcy.zfcg.gxzf.gov.cn/</w:t>
      </w:r>
      <w:r>
        <w:rPr>
          <w:rFonts w:hint="eastAsia" w:ascii="宋体" w:hAnsi="宋体"/>
          <w:color w:val="auto"/>
          <w:szCs w:val="21"/>
          <w:highlight w:val="none"/>
        </w:rPr>
        <w:t>）</w:t>
      </w:r>
      <w:r>
        <w:rPr>
          <w:rFonts w:hint="eastAsia" w:ascii="宋体" w:hAnsi="宋体" w:cs="宋体"/>
          <w:bCs/>
          <w:color w:val="auto"/>
          <w:kern w:val="0"/>
          <w:szCs w:val="21"/>
          <w:highlight w:val="none"/>
        </w:rPr>
        <w:t>-进入“项目采购”应用，在获取采购文件菜单中选择项目，获取招标文件。</w:t>
      </w:r>
      <w:r>
        <w:rPr>
          <w:rFonts w:hint="eastAsia" w:ascii="宋体" w:hAnsi="宋体"/>
          <w:color w:val="auto"/>
          <w:szCs w:val="21"/>
          <w:highlight w:val="none"/>
        </w:rPr>
        <w:t>电子投标文件制作需要基于</w:t>
      </w:r>
      <w:r>
        <w:rPr>
          <w:rFonts w:ascii="宋体" w:hAnsi="宋体"/>
          <w:color w:val="auto"/>
          <w:szCs w:val="21"/>
          <w:highlight w:val="none"/>
        </w:rPr>
        <w:t>广西政府采购云平台</w:t>
      </w:r>
      <w:r>
        <w:rPr>
          <w:rFonts w:hint="eastAsia" w:ascii="宋体" w:hAnsi="宋体"/>
          <w:color w:val="auto"/>
          <w:szCs w:val="21"/>
          <w:highlight w:val="none"/>
        </w:rPr>
        <w:t>获取的招标文件编制，</w:t>
      </w:r>
      <w:r>
        <w:rPr>
          <w:rFonts w:hint="eastAsia" w:ascii="宋体" w:hAnsi="宋体" w:cs="宋体"/>
          <w:bCs/>
          <w:color w:val="auto"/>
          <w:kern w:val="0"/>
          <w:szCs w:val="21"/>
          <w:highlight w:val="none"/>
        </w:rPr>
        <w:t>通过其他方式获取招标文件的，将有可能导致供应商无法在</w:t>
      </w:r>
      <w:r>
        <w:rPr>
          <w:rFonts w:ascii="宋体" w:hAnsi="宋体"/>
          <w:color w:val="auto"/>
          <w:szCs w:val="21"/>
          <w:highlight w:val="none"/>
        </w:rPr>
        <w:t>广西政府采购云平台</w:t>
      </w:r>
      <w:r>
        <w:rPr>
          <w:rFonts w:hint="eastAsia" w:ascii="宋体" w:hAnsi="宋体" w:cs="宋体"/>
          <w:bCs/>
          <w:color w:val="auto"/>
          <w:kern w:val="0"/>
          <w:szCs w:val="21"/>
          <w:highlight w:val="none"/>
        </w:rPr>
        <w:t>编制及上传投标文件。</w:t>
      </w:r>
    </w:p>
    <w:bookmarkEnd w:id="29"/>
    <w:p w14:paraId="1AD04D76">
      <w:pPr>
        <w:spacing w:line="360" w:lineRule="auto"/>
        <w:ind w:firstLine="540"/>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bCs/>
          <w:color w:val="auto"/>
          <w:kern w:val="0"/>
          <w:szCs w:val="21"/>
          <w:highlight w:val="none"/>
        </w:rPr>
        <w:t>售价：</w:t>
      </w:r>
      <w:r>
        <w:rPr>
          <w:rFonts w:hint="eastAsia" w:ascii="宋体" w:hAnsi="宋体" w:cs="宋体"/>
          <w:iCs/>
          <w:color w:val="auto"/>
          <w:szCs w:val="21"/>
          <w:highlight w:val="none"/>
          <w:u w:val="single"/>
        </w:rPr>
        <w:t>0</w:t>
      </w:r>
      <w:r>
        <w:rPr>
          <w:rFonts w:hint="eastAsia" w:ascii="宋体" w:hAnsi="宋体" w:cs="宋体"/>
          <w:color w:val="auto"/>
          <w:szCs w:val="21"/>
          <w:highlight w:val="none"/>
        </w:rPr>
        <w:t>元</w:t>
      </w:r>
    </w:p>
    <w:p w14:paraId="2A6E9BC2">
      <w:pPr>
        <w:spacing w:line="360" w:lineRule="auto"/>
        <w:rPr>
          <w:rFonts w:ascii="黑体" w:hAnsi="黑体" w:eastAsia="黑体"/>
          <w:b/>
          <w:bCs/>
          <w:color w:val="auto"/>
          <w:sz w:val="24"/>
          <w:highlight w:val="none"/>
        </w:rPr>
      </w:pPr>
      <w:bookmarkStart w:id="30" w:name="_Toc28359082"/>
      <w:bookmarkStart w:id="31" w:name="_Toc28359005"/>
      <w:bookmarkStart w:id="32" w:name="_Toc35393793"/>
      <w:bookmarkStart w:id="33" w:name="_Toc35393624"/>
      <w:r>
        <w:rPr>
          <w:rFonts w:hint="eastAsia" w:ascii="黑体" w:hAnsi="黑体" w:eastAsia="黑体"/>
          <w:b/>
          <w:bCs/>
          <w:color w:val="auto"/>
          <w:sz w:val="24"/>
          <w:highlight w:val="none"/>
        </w:rPr>
        <w:t>四、提交投标文件</w:t>
      </w:r>
      <w:bookmarkEnd w:id="30"/>
      <w:bookmarkEnd w:id="31"/>
      <w:r>
        <w:rPr>
          <w:rFonts w:hint="eastAsia" w:ascii="黑体" w:hAnsi="黑体" w:eastAsia="黑体"/>
          <w:b/>
          <w:bCs/>
          <w:color w:val="auto"/>
          <w:sz w:val="24"/>
          <w:highlight w:val="none"/>
        </w:rPr>
        <w:t>截止时间、开标时间和地点</w:t>
      </w:r>
      <w:bookmarkEnd w:id="32"/>
      <w:bookmarkEnd w:id="33"/>
    </w:p>
    <w:p w14:paraId="2BBB114F">
      <w:pPr>
        <w:spacing w:line="360" w:lineRule="auto"/>
        <w:ind w:firstLine="420" w:firstLineChars="200"/>
        <w:rPr>
          <w:rFonts w:ascii="宋体" w:hAnsi="宋体" w:cs="宋体"/>
          <w:color w:val="auto"/>
          <w:szCs w:val="21"/>
          <w:highlight w:val="none"/>
          <w:u w:val="single"/>
        </w:rPr>
      </w:pPr>
      <w:bookmarkStart w:id="34" w:name="_Toc28359084"/>
      <w:bookmarkStart w:id="35" w:name="_Toc28359007"/>
      <w:bookmarkStart w:id="36" w:name="_Toc35393625"/>
      <w:bookmarkStart w:id="37" w:name="_Toc35393794"/>
      <w:r>
        <w:rPr>
          <w:rFonts w:hint="eastAsia" w:ascii="宋体" w:hAnsi="宋体"/>
          <w:bCs/>
          <w:color w:val="auto"/>
          <w:szCs w:val="21"/>
          <w:highlight w:val="none"/>
          <w:u w:val="single"/>
          <w:lang w:eastAsia="zh-CN"/>
        </w:rPr>
        <w:t>2026年6月</w:t>
      </w:r>
      <w:r>
        <w:rPr>
          <w:rFonts w:hint="eastAsia" w:ascii="宋体" w:hAnsi="宋体"/>
          <w:bCs/>
          <w:color w:val="auto"/>
          <w:szCs w:val="21"/>
          <w:highlight w:val="none"/>
          <w:u w:val="single"/>
          <w:lang w:val="en-US" w:eastAsia="zh-CN"/>
        </w:rPr>
        <w:t>9</w:t>
      </w:r>
      <w:r>
        <w:rPr>
          <w:rFonts w:hint="eastAsia" w:ascii="宋体" w:hAnsi="宋体"/>
          <w:bCs/>
          <w:color w:val="auto"/>
          <w:szCs w:val="21"/>
          <w:highlight w:val="none"/>
          <w:u w:val="single"/>
          <w:lang w:eastAsia="zh-CN"/>
        </w:rPr>
        <w:t>日</w:t>
      </w:r>
      <w:r>
        <w:rPr>
          <w:rFonts w:hint="eastAsia" w:ascii="宋体" w:hAnsi="宋体"/>
          <w:bCs/>
          <w:color w:val="auto"/>
          <w:szCs w:val="21"/>
          <w:highlight w:val="none"/>
          <w:u w:val="single"/>
        </w:rPr>
        <w:t>9时30分</w:t>
      </w:r>
      <w:r>
        <w:rPr>
          <w:rFonts w:hint="eastAsia" w:ascii="宋体" w:hAnsi="宋体"/>
          <w:bCs/>
          <w:color w:val="auto"/>
          <w:szCs w:val="21"/>
          <w:highlight w:val="none"/>
        </w:rPr>
        <w:t>（北京时间）</w:t>
      </w:r>
    </w:p>
    <w:p w14:paraId="3FD483C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地点：</w:t>
      </w:r>
    </w:p>
    <w:p w14:paraId="52D2B0A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投标地点：</w:t>
      </w:r>
      <w:bookmarkStart w:id="38" w:name="OLE_LINK7"/>
      <w:r>
        <w:rPr>
          <w:rFonts w:ascii="宋体" w:hAnsi="宋体"/>
          <w:color w:val="auto"/>
          <w:szCs w:val="21"/>
          <w:highlight w:val="none"/>
        </w:rPr>
        <w:t>广西政府采购云平台</w:t>
      </w:r>
      <w:r>
        <w:rPr>
          <w:rFonts w:hint="eastAsia" w:ascii="宋体" w:hAnsi="宋体"/>
          <w:color w:val="auto"/>
          <w:szCs w:val="21"/>
          <w:highlight w:val="none"/>
        </w:rPr>
        <w:t>（</w:t>
      </w:r>
      <w:r>
        <w:rPr>
          <w:rFonts w:ascii="宋体" w:hAnsi="宋体"/>
          <w:bCs/>
          <w:color w:val="auto"/>
          <w:szCs w:val="21"/>
          <w:highlight w:val="none"/>
        </w:rPr>
        <w:t>https://www.gcy.zfcg.gxzf.gov.cn/</w:t>
      </w:r>
      <w:r>
        <w:rPr>
          <w:rFonts w:hint="eastAsia" w:ascii="宋体" w:hAnsi="宋体"/>
          <w:color w:val="auto"/>
          <w:szCs w:val="21"/>
          <w:highlight w:val="none"/>
        </w:rPr>
        <w:t>）</w:t>
      </w:r>
      <w:bookmarkEnd w:id="38"/>
    </w:p>
    <w:p w14:paraId="2C26DD5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开标地点：</w:t>
      </w:r>
      <w:bookmarkStart w:id="39" w:name="OLE_LINK6"/>
      <w:r>
        <w:rPr>
          <w:rFonts w:ascii="宋体" w:hAnsi="宋体"/>
          <w:color w:val="auto"/>
          <w:szCs w:val="21"/>
          <w:highlight w:val="none"/>
        </w:rPr>
        <w:t>广西政府采购云平台</w:t>
      </w:r>
      <w:r>
        <w:rPr>
          <w:rFonts w:hint="eastAsia" w:ascii="宋体" w:hAnsi="宋体"/>
          <w:color w:val="auto"/>
          <w:szCs w:val="21"/>
          <w:highlight w:val="none"/>
        </w:rPr>
        <w:t>电子开标大厅</w:t>
      </w:r>
      <w:bookmarkEnd w:id="39"/>
    </w:p>
    <w:p w14:paraId="25E1F4E6">
      <w:pPr>
        <w:spacing w:line="360" w:lineRule="auto"/>
        <w:rPr>
          <w:rFonts w:ascii="黑体" w:hAnsi="黑体" w:eastAsia="黑体"/>
          <w:b/>
          <w:bCs/>
          <w:color w:val="auto"/>
          <w:sz w:val="24"/>
          <w:highlight w:val="none"/>
        </w:rPr>
      </w:pPr>
      <w:r>
        <w:rPr>
          <w:rFonts w:hint="eastAsia" w:ascii="黑体" w:hAnsi="黑体" w:eastAsia="黑体"/>
          <w:b/>
          <w:bCs/>
          <w:color w:val="auto"/>
          <w:sz w:val="24"/>
          <w:highlight w:val="none"/>
        </w:rPr>
        <w:t>五、公告期限</w:t>
      </w:r>
      <w:bookmarkEnd w:id="34"/>
      <w:bookmarkEnd w:id="35"/>
      <w:bookmarkEnd w:id="36"/>
      <w:bookmarkEnd w:id="37"/>
    </w:p>
    <w:p w14:paraId="1420DCCA">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17D05F04">
      <w:pPr>
        <w:spacing w:line="360" w:lineRule="auto"/>
        <w:rPr>
          <w:rFonts w:ascii="黑体" w:hAnsi="黑体" w:eastAsia="黑体"/>
          <w:b/>
          <w:bCs/>
          <w:color w:val="auto"/>
          <w:sz w:val="24"/>
          <w:highlight w:val="none"/>
        </w:rPr>
      </w:pPr>
      <w:bookmarkStart w:id="40" w:name="_Toc35393626"/>
      <w:bookmarkStart w:id="41" w:name="_Toc35393795"/>
      <w:r>
        <w:rPr>
          <w:rFonts w:hint="eastAsia" w:ascii="黑体" w:hAnsi="黑体" w:eastAsia="黑体"/>
          <w:b/>
          <w:bCs/>
          <w:color w:val="auto"/>
          <w:sz w:val="24"/>
          <w:highlight w:val="none"/>
        </w:rPr>
        <w:t>六、其他补充事宜</w:t>
      </w:r>
      <w:bookmarkEnd w:id="40"/>
      <w:bookmarkEnd w:id="41"/>
    </w:p>
    <w:p w14:paraId="09A6F4AE">
      <w:pPr>
        <w:spacing w:line="360" w:lineRule="auto"/>
        <w:ind w:firstLine="420" w:firstLineChars="200"/>
        <w:rPr>
          <w:rFonts w:hint="eastAsia" w:ascii="宋体" w:hAnsi="宋体" w:cs="宋体"/>
          <w:color w:val="auto"/>
          <w:kern w:val="0"/>
          <w:szCs w:val="21"/>
          <w:highlight w:val="none"/>
        </w:rPr>
      </w:pPr>
      <w:bookmarkStart w:id="42" w:name="_Hlk37429595"/>
      <w:bookmarkStart w:id="43" w:name="_Hlk37429585"/>
      <w:bookmarkStart w:id="44" w:name="OLE_LINK9"/>
      <w:bookmarkStart w:id="45" w:name="_Toc28359008"/>
      <w:bookmarkStart w:id="46" w:name="_Toc35393627"/>
      <w:bookmarkStart w:id="47" w:name="_Toc35393796"/>
      <w:bookmarkStart w:id="48" w:name="_Toc28359085"/>
      <w:r>
        <w:rPr>
          <w:rFonts w:hint="eastAsia" w:ascii="宋体" w:hAnsi="宋体" w:cs="宋体"/>
          <w:color w:val="auto"/>
          <w:kern w:val="0"/>
          <w:szCs w:val="21"/>
          <w:highlight w:val="none"/>
        </w:rPr>
        <w:t>1.网上查询地址</w:t>
      </w:r>
    </w:p>
    <w:bookmarkEnd w:id="42"/>
    <w:bookmarkEnd w:id="43"/>
    <w:p w14:paraId="359E5293">
      <w:pPr>
        <w:spacing w:line="360" w:lineRule="auto"/>
        <w:ind w:firstLine="424" w:firstLineChars="202"/>
        <w:rPr>
          <w:rFonts w:ascii="宋体" w:hAnsi="宋体" w:cs="宋体"/>
          <w:iCs/>
          <w:color w:val="auto"/>
          <w:kern w:val="0"/>
          <w:szCs w:val="21"/>
          <w:highlight w:val="none"/>
        </w:rPr>
      </w:pPr>
      <w:bookmarkStart w:id="49" w:name="_Hlk37429674"/>
      <w:r>
        <w:rPr>
          <w:rFonts w:hint="eastAsia" w:ascii="宋体" w:hAnsi="宋体" w:cs="宋体"/>
          <w:iCs/>
          <w:color w:val="auto"/>
          <w:kern w:val="0"/>
          <w:szCs w:val="21"/>
          <w:highlight w:val="none"/>
        </w:rPr>
        <w:t>中国政府采购网（http://www.ccgp.gov.cn）、广西壮族自治区政府采购网（http://zfcg.gxzf.gov.cn）、广西壮族自治区公共资源交易中心（</w:t>
      </w:r>
      <w:r>
        <w:rPr>
          <w:rFonts w:hint="eastAsia" w:ascii="宋体" w:hAnsi="宋体" w:cs="宋体"/>
          <w:iCs/>
          <w:color w:val="auto"/>
          <w:kern w:val="0"/>
          <w:szCs w:val="21"/>
          <w:highlight w:val="none"/>
        </w:rPr>
        <w:fldChar w:fldCharType="begin"/>
      </w:r>
      <w:r>
        <w:rPr>
          <w:rFonts w:hint="eastAsia" w:ascii="宋体" w:hAnsi="宋体" w:cs="宋体"/>
          <w:iCs/>
          <w:color w:val="auto"/>
          <w:kern w:val="0"/>
          <w:szCs w:val="21"/>
          <w:highlight w:val="none"/>
        </w:rPr>
        <w:instrText xml:space="preserve">HYPERLINK "http://gxggzy.gxzf.gov.cn/"</w:instrText>
      </w:r>
      <w:r>
        <w:rPr>
          <w:rFonts w:hint="eastAsia" w:ascii="宋体" w:hAnsi="宋体" w:cs="宋体"/>
          <w:iCs/>
          <w:color w:val="auto"/>
          <w:kern w:val="0"/>
          <w:szCs w:val="21"/>
          <w:highlight w:val="none"/>
        </w:rPr>
        <w:fldChar w:fldCharType="separate"/>
      </w:r>
      <w:r>
        <w:rPr>
          <w:rFonts w:hint="eastAsia" w:ascii="宋体" w:hAnsi="宋体"/>
          <w:color w:val="auto"/>
          <w:highlight w:val="none"/>
        </w:rPr>
        <w:t>http://gxggzy.gxzf.gov.cn/</w:t>
      </w:r>
      <w:r>
        <w:rPr>
          <w:rFonts w:hint="eastAsia" w:ascii="宋体" w:hAnsi="宋体" w:cs="宋体"/>
          <w:iCs/>
          <w:color w:val="auto"/>
          <w:kern w:val="0"/>
          <w:szCs w:val="21"/>
          <w:highlight w:val="none"/>
        </w:rPr>
        <w:fldChar w:fldCharType="end"/>
      </w:r>
      <w:r>
        <w:rPr>
          <w:rFonts w:hint="eastAsia" w:ascii="宋体" w:hAnsi="宋体" w:cs="宋体"/>
          <w:iCs/>
          <w:color w:val="auto"/>
          <w:kern w:val="0"/>
          <w:szCs w:val="21"/>
          <w:highlight w:val="none"/>
        </w:rPr>
        <w:t>）</w:t>
      </w:r>
    </w:p>
    <w:p w14:paraId="6626ED9B">
      <w:pPr>
        <w:spacing w:line="360" w:lineRule="auto"/>
        <w:ind w:firstLine="424" w:firstLineChars="202"/>
        <w:rPr>
          <w:rFonts w:hint="eastAsia" w:ascii="宋体" w:hAnsi="宋体" w:cs="宋体"/>
          <w:color w:val="auto"/>
          <w:kern w:val="0"/>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s="宋体"/>
          <w:color w:val="auto"/>
          <w:kern w:val="0"/>
          <w:szCs w:val="21"/>
          <w:highlight w:val="none"/>
        </w:rPr>
        <w:t>本项目需要落实的政府采购政策</w:t>
      </w:r>
    </w:p>
    <w:p w14:paraId="5EA6B67E">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7ADAA108">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14:paraId="4A120266">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（3）强制采购节能产品；优先采购节能产品、环境标志产品。</w:t>
      </w:r>
    </w:p>
    <w:p w14:paraId="70783F94">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（4）政府采购促进残疾人就业政策。</w:t>
      </w:r>
    </w:p>
    <w:p w14:paraId="3FECC237">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（5）政府采购支持监狱企业发展。</w:t>
      </w:r>
    </w:p>
    <w:p w14:paraId="34E37D94">
      <w:pPr>
        <w:widowControl/>
        <w:spacing w:line="360" w:lineRule="auto"/>
        <w:ind w:firstLine="422" w:firstLineChars="200"/>
        <w:jc w:val="left"/>
        <w:rPr>
          <w:rFonts w:hint="eastAsia" w:ascii="宋体" w:hAnsi="宋体" w:eastAsia="宋体" w:cs="Times New Roman"/>
          <w:b/>
          <w:bCs/>
          <w:color w:val="auto"/>
          <w:szCs w:val="21"/>
          <w:highlight w:val="none"/>
          <w:lang w:val="zh-CN"/>
        </w:rPr>
      </w:pPr>
      <w:r>
        <w:rPr>
          <w:rFonts w:hint="eastAsia" w:ascii="宋体" w:hAnsi="宋体" w:eastAsia="宋体" w:cs="Times New Roman"/>
          <w:b/>
          <w:bCs/>
          <w:color w:val="auto"/>
          <w:szCs w:val="21"/>
          <w:highlight w:val="none"/>
          <w:lang w:val="en-US" w:eastAsia="zh-CN"/>
        </w:rPr>
        <w:t>3.</w:t>
      </w:r>
      <w:r>
        <w:rPr>
          <w:rFonts w:hint="eastAsia" w:ascii="宋体" w:hAnsi="宋体" w:eastAsia="宋体" w:cs="Times New Roman"/>
          <w:b/>
          <w:bCs/>
          <w:color w:val="auto"/>
          <w:szCs w:val="21"/>
          <w:highlight w:val="none"/>
          <w:lang w:val="zh-CN"/>
        </w:rPr>
        <w:t>同一投标人可同时参与所有分标的投标，但最多只能成为其中两个分标的中标人。中标候选人按分标1→2→3→4→5→6→7→8的顺序推荐，若投标人已被推荐为某两个分标的第一中标候选人，则不再推荐其为后续分标的中标候选人。各分标拟投入人员为同一批的，仅可中标排序最靠前的一个分标，投标人若拟中标两个分标，须投入两批不同的人员。本项目为重招项目，在本项目首次招标中已中标</w:t>
      </w:r>
      <w:r>
        <w:rPr>
          <w:rFonts w:hint="eastAsia" w:ascii="宋体" w:hAnsi="宋体" w:cs="Times New Roman"/>
          <w:b/>
          <w:bCs/>
          <w:color w:val="auto"/>
          <w:szCs w:val="21"/>
          <w:highlight w:val="none"/>
          <w:lang w:val="en-US" w:eastAsia="zh-CN"/>
        </w:rPr>
        <w:t>两</w:t>
      </w:r>
      <w:r>
        <w:rPr>
          <w:rFonts w:hint="eastAsia" w:ascii="宋体" w:hAnsi="宋体" w:eastAsia="宋体" w:cs="Times New Roman"/>
          <w:b/>
          <w:bCs/>
          <w:color w:val="auto"/>
          <w:szCs w:val="21"/>
          <w:highlight w:val="none"/>
          <w:lang w:val="zh-CN"/>
        </w:rPr>
        <w:t>个分标的投标人，不得再参加本次采购活动，已中标</w:t>
      </w:r>
      <w:r>
        <w:rPr>
          <w:rFonts w:hint="eastAsia" w:ascii="宋体" w:hAnsi="宋体" w:cs="Times New Roman"/>
          <w:b/>
          <w:bCs/>
          <w:color w:val="auto"/>
          <w:szCs w:val="21"/>
          <w:highlight w:val="none"/>
          <w:lang w:val="en-US" w:eastAsia="zh-CN"/>
        </w:rPr>
        <w:t>一</w:t>
      </w:r>
      <w:r>
        <w:rPr>
          <w:rFonts w:hint="eastAsia" w:ascii="宋体" w:hAnsi="宋体" w:eastAsia="宋体" w:cs="Times New Roman"/>
          <w:b/>
          <w:bCs/>
          <w:color w:val="auto"/>
          <w:szCs w:val="21"/>
          <w:highlight w:val="none"/>
          <w:lang w:val="zh-CN"/>
        </w:rPr>
        <w:t>个分标的投标人，可参加本次采购活动但最多只能中标一个分标。</w:t>
      </w:r>
      <w:bookmarkEnd w:id="49"/>
    </w:p>
    <w:p w14:paraId="57781BA7">
      <w:pPr>
        <w:widowControl/>
        <w:spacing w:line="360" w:lineRule="auto"/>
        <w:ind w:firstLine="420" w:firstLineChars="200"/>
        <w:jc w:val="left"/>
        <w:rPr>
          <w:rFonts w:hint="eastAsia" w:ascii="宋体" w:hAnsi="宋体" w:eastAsia="宋体"/>
          <w:color w:val="auto"/>
          <w:szCs w:val="21"/>
          <w:highlight w:val="none"/>
          <w:lang w:val="en-US" w:eastAsia="zh-CN"/>
        </w:rPr>
      </w:pP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.投标人</w:t>
      </w:r>
      <w:r>
        <w:rPr>
          <w:rFonts w:hint="eastAsia" w:ascii="宋体" w:hAnsi="宋体"/>
          <w:color w:val="auto"/>
          <w:szCs w:val="21"/>
          <w:highlight w:val="none"/>
        </w:rPr>
        <w:t>投标注意事项</w:t>
      </w:r>
    </w:p>
    <w:p w14:paraId="0F88F840">
      <w:pPr>
        <w:widowControl/>
        <w:wordWrap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（1）本项目为全流程电子化采购项目，通过广西政府采购云平台（</w:t>
      </w:r>
      <w:r>
        <w:rPr>
          <w:rFonts w:hint="eastAsia" w:ascii="宋体" w:hAnsi="宋体"/>
          <w:bCs/>
          <w:color w:val="auto"/>
          <w:szCs w:val="21"/>
          <w:highlight w:val="none"/>
        </w:rPr>
        <w:t>https://www.gcy.zfcg.gxzf.gov.cn/</w:t>
      </w:r>
      <w:r>
        <w:rPr>
          <w:rFonts w:hint="eastAsia" w:ascii="宋体" w:hAnsi="宋体"/>
          <w:color w:val="auto"/>
          <w:szCs w:val="21"/>
          <w:highlight w:val="none"/>
        </w:rPr>
        <w:t>）实行在线电子投标，投标人应按照本项目招标文件和广西政府采购云平台的要求编制、加密后在投标截止时间前通过网络上传至广西政府采购云平台（加密的电子投标文件是指</w:t>
      </w:r>
      <w:r>
        <w:rPr>
          <w:rFonts w:hint="eastAsia"/>
          <w:color w:val="auto"/>
          <w:highlight w:val="none"/>
        </w:rPr>
        <w:t>后缀名为“jm</w:t>
      </w:r>
      <w:r>
        <w:rPr>
          <w:color w:val="auto"/>
          <w:highlight w:val="none"/>
        </w:rPr>
        <w:t>bs</w:t>
      </w:r>
      <w:r>
        <w:rPr>
          <w:rFonts w:hint="eastAsia"/>
          <w:color w:val="auto"/>
          <w:highlight w:val="none"/>
        </w:rPr>
        <w:t>”的文件</w:t>
      </w:r>
      <w:r>
        <w:rPr>
          <w:rFonts w:hint="eastAsia" w:ascii="宋体" w:hAnsi="宋体"/>
          <w:color w:val="auto"/>
          <w:szCs w:val="21"/>
          <w:highlight w:val="none"/>
        </w:rPr>
        <w:t>），</w:t>
      </w:r>
      <w:r>
        <w:rPr>
          <w:rFonts w:hint="eastAsia" w:ascii="宋体" w:hAnsi="宋体"/>
          <w:b/>
          <w:color w:val="auto"/>
          <w:szCs w:val="21"/>
          <w:highlight w:val="none"/>
        </w:rPr>
        <w:t>投标人在</w:t>
      </w:r>
      <w:r>
        <w:rPr>
          <w:rFonts w:hint="eastAsia" w:ascii="宋体" w:hAnsi="宋体"/>
          <w:color w:val="auto"/>
          <w:szCs w:val="21"/>
          <w:highlight w:val="none"/>
        </w:rPr>
        <w:t>广西政府采购云平台</w:t>
      </w:r>
      <w:r>
        <w:rPr>
          <w:rFonts w:hint="eastAsia" w:ascii="宋体" w:hAnsi="宋体"/>
          <w:b/>
          <w:color w:val="auto"/>
          <w:szCs w:val="21"/>
          <w:highlight w:val="none"/>
        </w:rPr>
        <w:t>提交电子投标文件时，请填写参加远程开标活动经办人联系方式。</w:t>
      </w:r>
      <w:r>
        <w:rPr>
          <w:rFonts w:hint="eastAsia" w:ascii="宋体" w:hAnsi="宋体"/>
          <w:color w:val="auto"/>
          <w:szCs w:val="21"/>
          <w:highlight w:val="none"/>
        </w:rPr>
        <w:t>投标人登录广西政府采购云平台，依次进入“服务中心-项目采购-操作流程-电子招投标-</w:t>
      </w:r>
      <w:r>
        <w:rPr>
          <w:color w:val="auto"/>
          <w:highlight w:val="none"/>
        </w:rPr>
        <w:t>政府采购项目电子交易管理操作指南-供应商</w:t>
      </w:r>
      <w:r>
        <w:rPr>
          <w:rFonts w:hint="eastAsia" w:ascii="宋体" w:hAnsi="宋体"/>
          <w:color w:val="auto"/>
          <w:szCs w:val="21"/>
          <w:highlight w:val="none"/>
        </w:rPr>
        <w:t>”查看电子投标具体操作流程。</w:t>
      </w:r>
    </w:p>
    <w:p w14:paraId="674CD393">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w:t>
      </w:r>
      <w:r>
        <w:rPr>
          <w:rFonts w:hint="eastAsia" w:ascii="宋体" w:hAnsi="宋体" w:cs="宋体"/>
          <w:color w:val="auto"/>
          <w:kern w:val="0"/>
          <w:szCs w:val="21"/>
          <w:highlight w:val="none"/>
        </w:rPr>
        <w:t>，</w:t>
      </w:r>
      <w:r>
        <w:rPr>
          <w:rFonts w:hint="eastAsia" w:ascii="宋体" w:hAnsi="宋体"/>
          <w:color w:val="auto"/>
          <w:szCs w:val="21"/>
          <w:highlight w:val="none"/>
        </w:rPr>
        <w:t>依次进入“服务中心-入驻与配置”中查看CA数字证书办理操作流程。</w:t>
      </w:r>
      <w:r>
        <w:rPr>
          <w:rFonts w:hint="eastAsia" w:ascii="宋体" w:hAnsi="宋体" w:cs="宋体"/>
          <w:bCs/>
          <w:color w:val="auto"/>
          <w:kern w:val="0"/>
          <w:szCs w:val="21"/>
          <w:highlight w:val="none"/>
        </w:rPr>
        <w:t>如在操作过程中遇到问题或者需要技术支持，请致电客服热线：95763或者0771-3381253</w:t>
      </w:r>
      <w:r>
        <w:rPr>
          <w:rFonts w:hint="eastAsia" w:ascii="宋体" w:hAnsi="宋体"/>
          <w:color w:val="auto"/>
          <w:szCs w:val="21"/>
          <w:highlight w:val="none"/>
        </w:rPr>
        <w:t>）。</w:t>
      </w:r>
    </w:p>
    <w:p w14:paraId="2316A933">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（3）CA证书在线解密：投标人投标时，需凭制作投标文件时用来加密的有效数字证书（CA认证）登录</w:t>
      </w:r>
      <w:r>
        <w:rPr>
          <w:rFonts w:hint="eastAsia" w:ascii="宋体" w:hAnsi="宋体"/>
          <w:color w:val="auto"/>
          <w:szCs w:val="21"/>
          <w:highlight w:val="none"/>
        </w:rPr>
        <w:t>广西政府采购云平台</w:t>
      </w:r>
      <w:r>
        <w:rPr>
          <w:rFonts w:hint="eastAsia" w:ascii="宋体" w:hAnsi="宋体" w:cs="宋体"/>
          <w:color w:val="auto"/>
          <w:kern w:val="0"/>
          <w:szCs w:val="21"/>
          <w:highlight w:val="none"/>
        </w:rPr>
        <w:t>电子开标大厅现场按规定时间对加密的投标文件进行解密，否则后果自负。</w:t>
      </w:r>
    </w:p>
    <w:p w14:paraId="0B88DF08">
      <w:pPr>
        <w:spacing w:line="360" w:lineRule="auto"/>
        <w:ind w:firstLine="424" w:firstLineChars="202"/>
        <w:rPr>
          <w:rFonts w:hint="eastAsia" w:ascii="宋体" w:hAnsi="宋体" w:cs="宋体"/>
          <w:color w:val="auto"/>
          <w:kern w:val="0"/>
          <w:szCs w:val="21"/>
          <w:highlight w:val="none"/>
        </w:rPr>
      </w:pPr>
      <w:r>
        <w:rPr>
          <w:rFonts w:hint="eastAsia" w:ascii="宋体" w:hAnsi="宋体"/>
          <w:color w:val="auto"/>
          <w:szCs w:val="21"/>
          <w:highlight w:val="none"/>
        </w:rPr>
        <w:t>注：1）为确保网上操作合法、有效和安全，请投标人确保在电子投标过程中能够对相关数据电文进行加密和使用电子签章，妥善保管C</w:t>
      </w:r>
      <w:r>
        <w:rPr>
          <w:rFonts w:ascii="宋体" w:hAnsi="宋体"/>
          <w:color w:val="auto"/>
          <w:szCs w:val="21"/>
          <w:highlight w:val="none"/>
        </w:rPr>
        <w:t>A</w:t>
      </w:r>
      <w:r>
        <w:rPr>
          <w:rFonts w:hint="eastAsia" w:ascii="宋体" w:hAnsi="宋体"/>
          <w:color w:val="auto"/>
          <w:szCs w:val="21"/>
          <w:highlight w:val="none"/>
        </w:rPr>
        <w:t>数字证书并使用有效的CA数字证书参与整个招标活动。2）</w:t>
      </w:r>
      <w:r>
        <w:rPr>
          <w:rFonts w:hint="eastAsia" w:ascii="宋体" w:hAnsi="宋体"/>
          <w:bCs/>
          <w:color w:val="auto"/>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Pr>
          <w:rFonts w:hint="eastAsia" w:ascii="宋体" w:hAnsi="宋体"/>
          <w:color w:val="auto"/>
          <w:szCs w:val="21"/>
          <w:highlight w:val="none"/>
        </w:rPr>
        <w:t>广西政府采购云平台</w:t>
      </w:r>
      <w:r>
        <w:rPr>
          <w:rFonts w:hint="eastAsia" w:ascii="宋体" w:hAnsi="宋体"/>
          <w:bCs/>
          <w:color w:val="auto"/>
          <w:szCs w:val="21"/>
          <w:highlight w:val="none"/>
        </w:rPr>
        <w:t>将予以拒收。</w:t>
      </w:r>
    </w:p>
    <w:bookmarkEnd w:id="44"/>
    <w:p w14:paraId="25B43686">
      <w:pPr>
        <w:spacing w:line="360" w:lineRule="auto"/>
        <w:rPr>
          <w:rFonts w:ascii="黑体" w:hAnsi="黑体" w:eastAsia="黑体"/>
          <w:b/>
          <w:bCs/>
          <w:color w:val="auto"/>
          <w:sz w:val="24"/>
          <w:highlight w:val="none"/>
        </w:rPr>
      </w:pPr>
      <w:r>
        <w:rPr>
          <w:rFonts w:hint="eastAsia" w:ascii="黑体" w:hAnsi="黑体" w:eastAsia="黑体"/>
          <w:b/>
          <w:bCs/>
          <w:color w:val="auto"/>
          <w:sz w:val="24"/>
          <w:highlight w:val="none"/>
        </w:rPr>
        <w:t>七、对本次招标提出询问，请按</w:t>
      </w:r>
      <w:r>
        <w:rPr>
          <w:rFonts w:ascii="黑体" w:hAnsi="黑体" w:eastAsia="黑体"/>
          <w:b/>
          <w:bCs/>
          <w:color w:val="auto"/>
          <w:sz w:val="24"/>
          <w:highlight w:val="none"/>
        </w:rPr>
        <w:t>以下方式</w:t>
      </w:r>
      <w:r>
        <w:rPr>
          <w:rFonts w:hint="eastAsia" w:ascii="黑体" w:hAnsi="黑体" w:eastAsia="黑体"/>
          <w:b/>
          <w:bCs/>
          <w:color w:val="auto"/>
          <w:sz w:val="24"/>
          <w:highlight w:val="none"/>
        </w:rPr>
        <w:t>联系。</w:t>
      </w:r>
      <w:bookmarkEnd w:id="45"/>
      <w:bookmarkEnd w:id="46"/>
      <w:bookmarkEnd w:id="47"/>
      <w:bookmarkEnd w:id="48"/>
    </w:p>
    <w:p w14:paraId="1DEC3DFD">
      <w:pPr>
        <w:spacing w:line="360" w:lineRule="auto"/>
        <w:ind w:firstLine="424" w:firstLineChars="202"/>
        <w:jc w:val="left"/>
        <w:rPr>
          <w:rFonts w:hint="eastAsia" w:ascii="宋体" w:hAnsi="宋体"/>
          <w:color w:val="auto"/>
          <w:szCs w:val="21"/>
          <w:highlight w:val="none"/>
        </w:rPr>
      </w:pPr>
      <w:r>
        <w:rPr>
          <w:rFonts w:hint="eastAsia" w:ascii="宋体" w:hAnsi="宋体" w:cs="宋体"/>
          <w:color w:val="auto"/>
          <w:szCs w:val="21"/>
          <w:highlight w:val="none"/>
        </w:rPr>
        <w:t>1.采购人信息</w:t>
      </w:r>
    </w:p>
    <w:p w14:paraId="127445F8">
      <w:pPr>
        <w:spacing w:line="360" w:lineRule="auto"/>
        <w:ind w:firstLine="424" w:firstLineChars="202"/>
        <w:jc w:val="left"/>
        <w:rPr>
          <w:rFonts w:hint="eastAsia" w:ascii="宋体" w:hAnsi="宋体"/>
          <w:color w:val="auto"/>
          <w:szCs w:val="21"/>
          <w:highlight w:val="none"/>
          <w:lang w:eastAsia="zh-CN"/>
        </w:rPr>
      </w:pPr>
      <w:r>
        <w:rPr>
          <w:rFonts w:hint="eastAsia" w:ascii="宋体" w:hAnsi="宋体"/>
          <w:color w:val="auto"/>
          <w:szCs w:val="21"/>
          <w:highlight w:val="none"/>
        </w:rPr>
        <w:t>名  称：</w:t>
      </w:r>
      <w:bookmarkStart w:id="50" w:name="OLE_LINK12"/>
      <w:r>
        <w:rPr>
          <w:rFonts w:hint="eastAsia" w:ascii="宋体" w:hAnsi="宋体"/>
          <w:color w:val="auto"/>
          <w:szCs w:val="21"/>
          <w:highlight w:val="none"/>
          <w:lang w:eastAsia="zh-CN"/>
        </w:rPr>
        <w:t>广西壮族自治区交通运输厅</w:t>
      </w:r>
    </w:p>
    <w:p w14:paraId="1A3D87BD">
      <w:pPr>
        <w:spacing w:line="360" w:lineRule="auto"/>
        <w:ind w:firstLine="424" w:firstLineChars="202"/>
        <w:jc w:val="left"/>
        <w:rPr>
          <w:rFonts w:ascii="宋体" w:hAnsi="宋体"/>
          <w:color w:val="auto"/>
          <w:szCs w:val="21"/>
          <w:highlight w:val="none"/>
        </w:rPr>
      </w:pPr>
      <w:r>
        <w:rPr>
          <w:rFonts w:hint="eastAsia" w:ascii="宋体" w:hAnsi="宋体"/>
          <w:color w:val="auto"/>
          <w:szCs w:val="21"/>
          <w:highlight w:val="none"/>
        </w:rPr>
        <w:t>地  址：</w:t>
      </w:r>
      <w:r>
        <w:rPr>
          <w:rFonts w:hint="eastAsia" w:ascii="宋体" w:hAnsi="宋体"/>
          <w:color w:val="auto"/>
          <w:szCs w:val="21"/>
          <w:highlight w:val="none"/>
          <w:lang w:eastAsia="zh-CN"/>
        </w:rPr>
        <w:t>广西南宁市新民路67号</w:t>
      </w:r>
      <w:r>
        <w:rPr>
          <w:rFonts w:ascii="宋体" w:hAnsi="宋体"/>
          <w:color w:val="auto"/>
          <w:szCs w:val="21"/>
          <w:highlight w:val="none"/>
        </w:rPr>
        <w:t xml:space="preserve"> </w:t>
      </w:r>
    </w:p>
    <w:p w14:paraId="46AED8B7">
      <w:pPr>
        <w:spacing w:line="360" w:lineRule="auto"/>
        <w:ind w:firstLine="424" w:firstLineChars="202"/>
        <w:jc w:val="left"/>
        <w:rPr>
          <w:rFonts w:hint="eastAsia" w:ascii="宋体" w:hAnsi="宋体" w:eastAsia="宋体"/>
          <w:color w:val="auto"/>
          <w:szCs w:val="21"/>
          <w:highlight w:val="none"/>
          <w:lang w:eastAsia="zh-CN"/>
        </w:rPr>
      </w:pPr>
      <w:r>
        <w:rPr>
          <w:rFonts w:hint="eastAsia" w:ascii="宋体" w:hAnsi="宋体"/>
          <w:color w:val="auto"/>
          <w:szCs w:val="21"/>
          <w:highlight w:val="none"/>
        </w:rPr>
        <w:t>联系人：</w:t>
      </w:r>
      <w:r>
        <w:rPr>
          <w:rFonts w:hint="eastAsia" w:ascii="宋体" w:hAnsi="宋体"/>
          <w:color w:val="auto"/>
          <w:szCs w:val="21"/>
          <w:highlight w:val="none"/>
          <w:lang w:eastAsia="zh-CN"/>
        </w:rPr>
        <w:t>罗光睿</w:t>
      </w:r>
    </w:p>
    <w:p w14:paraId="0959CD6A">
      <w:pPr>
        <w:spacing w:line="360" w:lineRule="auto"/>
        <w:ind w:firstLine="424" w:firstLineChars="202"/>
        <w:jc w:val="left"/>
        <w:rPr>
          <w:rFonts w:hint="eastAsia" w:ascii="宋体" w:hAnsi="宋体" w:eastAsia="宋体"/>
          <w:color w:val="auto"/>
          <w:szCs w:val="21"/>
          <w:highlight w:val="none"/>
          <w:lang w:val="en-US" w:eastAsia="zh-CN"/>
        </w:rPr>
      </w:pPr>
      <w:bookmarkStart w:id="51" w:name="OLE_LINK10"/>
      <w:r>
        <w:rPr>
          <w:rFonts w:hint="eastAsia" w:ascii="宋体" w:hAnsi="宋体"/>
          <w:color w:val="auto"/>
          <w:szCs w:val="21"/>
          <w:highlight w:val="none"/>
        </w:rPr>
        <w:t>联系方式：</w:t>
      </w:r>
      <w:bookmarkStart w:id="52" w:name="_Toc28359086"/>
      <w:bookmarkStart w:id="53" w:name="_Toc28359009"/>
      <w:r>
        <w:rPr>
          <w:rFonts w:hint="eastAsia"/>
          <w:color w:val="auto"/>
          <w:highlight w:val="none"/>
        </w:rPr>
        <w:t>0771-2115629</w:t>
      </w:r>
    </w:p>
    <w:bookmarkEnd w:id="50"/>
    <w:bookmarkEnd w:id="51"/>
    <w:p w14:paraId="24730850">
      <w:pPr>
        <w:spacing w:line="360" w:lineRule="auto"/>
        <w:ind w:firstLine="424" w:firstLineChars="202"/>
        <w:jc w:val="left"/>
        <w:rPr>
          <w:rFonts w:ascii="宋体" w:hAnsi="宋体"/>
          <w:color w:val="auto"/>
          <w:szCs w:val="21"/>
          <w:highlight w:val="none"/>
        </w:rPr>
      </w:pPr>
      <w:r>
        <w:rPr>
          <w:rFonts w:hint="eastAsia" w:ascii="宋体" w:hAnsi="宋体" w:cs="宋体"/>
          <w:color w:val="auto"/>
          <w:szCs w:val="21"/>
          <w:highlight w:val="none"/>
        </w:rPr>
        <w:t>2.采购代理机构信息</w:t>
      </w:r>
      <w:bookmarkEnd w:id="52"/>
      <w:bookmarkEnd w:id="53"/>
    </w:p>
    <w:p w14:paraId="459AB816">
      <w:pPr>
        <w:spacing w:line="360" w:lineRule="auto"/>
        <w:ind w:firstLine="424" w:firstLineChars="202"/>
        <w:rPr>
          <w:rFonts w:hint="eastAsia" w:ascii="宋体" w:hAnsi="宋体" w:eastAsia="宋体"/>
          <w:color w:val="auto"/>
          <w:szCs w:val="21"/>
          <w:highlight w:val="none"/>
          <w:lang w:eastAsia="zh-CN"/>
        </w:rPr>
      </w:pPr>
      <w:r>
        <w:rPr>
          <w:rFonts w:hint="eastAsia" w:ascii="宋体" w:hAnsi="宋体"/>
          <w:color w:val="auto"/>
          <w:szCs w:val="21"/>
          <w:highlight w:val="none"/>
        </w:rPr>
        <w:t>名  称：</w:t>
      </w:r>
      <w:r>
        <w:rPr>
          <w:rFonts w:hint="eastAsia" w:ascii="宋体" w:hAnsi="宋体"/>
          <w:color w:val="auto"/>
          <w:szCs w:val="21"/>
          <w:highlight w:val="none"/>
          <w:lang w:eastAsia="zh-CN"/>
        </w:rPr>
        <w:t>广西建设工程机电设备招标中心有限公司</w:t>
      </w:r>
    </w:p>
    <w:p w14:paraId="5A4FA763">
      <w:pPr>
        <w:spacing w:line="360" w:lineRule="auto"/>
        <w:ind w:firstLine="424" w:firstLineChars="202"/>
        <w:rPr>
          <w:rFonts w:hint="eastAsia" w:ascii="宋体" w:hAnsi="宋体" w:eastAsia="宋体"/>
          <w:color w:val="auto"/>
          <w:szCs w:val="21"/>
          <w:highlight w:val="none"/>
          <w:lang w:eastAsia="zh-CN"/>
        </w:rPr>
      </w:pPr>
      <w:r>
        <w:rPr>
          <w:rFonts w:hint="eastAsia" w:ascii="宋体" w:hAnsi="宋体"/>
          <w:color w:val="auto"/>
          <w:szCs w:val="21"/>
          <w:highlight w:val="none"/>
        </w:rPr>
        <w:t>地　址：</w:t>
      </w:r>
      <w:r>
        <w:rPr>
          <w:rFonts w:hint="eastAsia" w:ascii="宋体" w:hAnsi="宋体"/>
          <w:color w:val="auto"/>
          <w:szCs w:val="21"/>
          <w:highlight w:val="none"/>
          <w:lang w:eastAsia="zh-CN"/>
        </w:rPr>
        <w:t>南宁市青秀区枫林路18号广西国控集团（枫林路办公区）裙楼三层</w:t>
      </w:r>
    </w:p>
    <w:p w14:paraId="0E7B10B6">
      <w:pPr>
        <w:spacing w:line="360" w:lineRule="auto"/>
        <w:ind w:firstLine="424" w:firstLineChars="202"/>
        <w:rPr>
          <w:rFonts w:hint="eastAsia" w:ascii="宋体" w:hAnsi="宋体" w:eastAsia="宋体"/>
          <w:color w:val="auto"/>
          <w:szCs w:val="21"/>
          <w:highlight w:val="none"/>
          <w:lang w:eastAsia="zh-CN"/>
        </w:rPr>
      </w:pPr>
      <w:r>
        <w:rPr>
          <w:rFonts w:hint="eastAsia" w:ascii="宋体" w:hAnsi="宋体"/>
          <w:color w:val="auto"/>
          <w:szCs w:val="21"/>
          <w:highlight w:val="none"/>
        </w:rPr>
        <w:t>联系方式：</w:t>
      </w:r>
      <w:r>
        <w:rPr>
          <w:rFonts w:hint="eastAsia" w:ascii="宋体" w:hAnsi="宋体"/>
          <w:color w:val="auto"/>
          <w:szCs w:val="21"/>
          <w:highlight w:val="none"/>
          <w:lang w:eastAsia="zh-CN"/>
        </w:rPr>
        <w:t>0771-2869912</w:t>
      </w:r>
    </w:p>
    <w:p w14:paraId="358CE0B3">
      <w:pPr>
        <w:spacing w:line="360" w:lineRule="auto"/>
        <w:ind w:firstLine="424" w:firstLineChars="202"/>
        <w:rPr>
          <w:rFonts w:hint="eastAsia" w:ascii="宋体" w:hAnsi="宋体"/>
          <w:color w:val="auto"/>
          <w:szCs w:val="21"/>
          <w:highlight w:val="none"/>
        </w:rPr>
      </w:pPr>
      <w:r>
        <w:rPr>
          <w:rFonts w:hint="eastAsia" w:ascii="宋体" w:hAnsi="宋体"/>
          <w:color w:val="auto"/>
          <w:szCs w:val="21"/>
          <w:highlight w:val="none"/>
        </w:rPr>
        <w:t>3.项目联系方式</w:t>
      </w:r>
    </w:p>
    <w:p w14:paraId="5841869F">
      <w:pPr>
        <w:spacing w:line="360" w:lineRule="auto"/>
        <w:ind w:firstLine="424" w:firstLineChars="202"/>
        <w:rPr>
          <w:rFonts w:hint="eastAsia" w:ascii="宋体" w:hAnsi="宋体" w:eastAsia="宋体"/>
          <w:color w:val="auto"/>
          <w:szCs w:val="21"/>
          <w:highlight w:val="none"/>
          <w:lang w:eastAsia="zh-CN"/>
        </w:rPr>
      </w:pPr>
      <w:r>
        <w:rPr>
          <w:rFonts w:hint="eastAsia" w:ascii="宋体" w:hAnsi="宋体"/>
          <w:color w:val="auto"/>
          <w:szCs w:val="21"/>
          <w:highlight w:val="none"/>
        </w:rPr>
        <w:t>项目联系人：</w:t>
      </w:r>
      <w:r>
        <w:rPr>
          <w:rFonts w:hint="eastAsia" w:ascii="宋体" w:hAnsi="宋体"/>
          <w:color w:val="auto"/>
          <w:szCs w:val="21"/>
          <w:highlight w:val="none"/>
          <w:lang w:eastAsia="zh-CN"/>
        </w:rPr>
        <w:t>陈蓉、庞雄庆、陈有弟</w:t>
      </w:r>
    </w:p>
    <w:p w14:paraId="30534EC9">
      <w:pPr>
        <w:spacing w:line="360" w:lineRule="auto"/>
        <w:ind w:firstLine="424" w:firstLineChars="202"/>
        <w:rPr>
          <w:rFonts w:hint="eastAsia" w:ascii="宋体" w:hAnsi="宋体" w:eastAsia="宋体"/>
          <w:color w:val="auto"/>
          <w:szCs w:val="21"/>
          <w:highlight w:val="none"/>
          <w:u w:val="single"/>
          <w:lang w:eastAsia="zh-CN"/>
        </w:rPr>
      </w:pPr>
      <w:r>
        <w:rPr>
          <w:rFonts w:hint="eastAsia" w:ascii="宋体" w:hAnsi="宋体"/>
          <w:color w:val="auto"/>
          <w:szCs w:val="21"/>
          <w:highlight w:val="none"/>
        </w:rPr>
        <w:t>电　话：</w:t>
      </w:r>
      <w:r>
        <w:rPr>
          <w:rFonts w:hint="eastAsia" w:ascii="宋体" w:hAnsi="宋体"/>
          <w:color w:val="auto"/>
          <w:szCs w:val="21"/>
          <w:highlight w:val="none"/>
          <w:lang w:eastAsia="zh-CN"/>
        </w:rPr>
        <w:t>0771-2869912</w:t>
      </w:r>
    </w:p>
    <w:bookmarkEnd w:id="11"/>
    <w:p w14:paraId="754C29ED">
      <w:pPr>
        <w:spacing w:line="360" w:lineRule="auto"/>
        <w:rPr>
          <w:rFonts w:ascii="宋体" w:hAnsi="宋体"/>
          <w:color w:val="auto"/>
          <w:szCs w:val="21"/>
          <w:highlight w:val="none"/>
        </w:rPr>
      </w:pPr>
    </w:p>
    <w:p w14:paraId="5699C009">
      <w:pPr>
        <w:spacing w:line="360" w:lineRule="exact"/>
        <w:ind w:firstLine="630" w:firstLineChars="300"/>
        <w:jc w:val="right"/>
        <w:textAlignment w:val="baseline"/>
        <w:rPr>
          <w:rFonts w:hint="eastAsia" w:ascii="宋体" w:hAnsi="宋体"/>
          <w:color w:val="auto"/>
          <w:szCs w:val="21"/>
          <w:highlight w:val="none"/>
          <w:lang w:eastAsia="zh-CN"/>
        </w:rPr>
      </w:pPr>
    </w:p>
    <w:p w14:paraId="3909D257">
      <w:pPr>
        <w:spacing w:line="360" w:lineRule="exact"/>
        <w:ind w:firstLine="630" w:firstLineChars="300"/>
        <w:jc w:val="right"/>
        <w:textAlignment w:val="baseline"/>
        <w:rPr>
          <w:rFonts w:hint="eastAsia" w:ascii="宋体" w:hAnsi="宋体" w:eastAsia="宋体"/>
          <w:color w:val="auto"/>
          <w:sz w:val="20"/>
          <w:szCs w:val="21"/>
          <w:highlight w:val="none"/>
          <w:lang w:eastAsia="zh-CN"/>
        </w:rPr>
      </w:pPr>
      <w:r>
        <w:rPr>
          <w:rFonts w:hint="eastAsia" w:ascii="宋体" w:hAnsi="宋体"/>
          <w:color w:val="auto"/>
          <w:szCs w:val="21"/>
          <w:highlight w:val="none"/>
          <w:lang w:eastAsia="zh-CN"/>
        </w:rPr>
        <w:t>广西建设工程机电设备招标中心有限公司</w:t>
      </w:r>
    </w:p>
    <w:p w14:paraId="249668B6">
      <w:pPr>
        <w:snapToGrid w:val="0"/>
        <w:spacing w:line="360" w:lineRule="exact"/>
        <w:ind w:firstLine="420" w:firstLineChars="200"/>
        <w:jc w:val="right"/>
        <w:textAlignment w:val="baseline"/>
        <w:rPr>
          <w:rFonts w:ascii="宋体" w:hAnsi="宋体"/>
          <w:color w:val="auto"/>
          <w:sz w:val="20"/>
          <w:szCs w:val="21"/>
          <w:highlight w:val="none"/>
        </w:rPr>
      </w:pPr>
      <w:r>
        <w:rPr>
          <w:rFonts w:ascii="宋体" w:hAnsi="宋体"/>
          <w:color w:val="auto"/>
          <w:szCs w:val="21"/>
          <w:highlight w:val="none"/>
        </w:rPr>
        <w:t>202</w:t>
      </w:r>
      <w:r>
        <w:rPr>
          <w:rFonts w:hint="eastAsia" w:ascii="宋体" w:hAnsi="宋体"/>
          <w:color w:val="auto"/>
          <w:szCs w:val="21"/>
          <w:highlight w:val="none"/>
          <w:lang w:val="en-US" w:eastAsia="zh-CN"/>
        </w:rPr>
        <w:t>6</w:t>
      </w:r>
      <w:r>
        <w:rPr>
          <w:rFonts w:ascii="宋体" w:hAnsi="宋体"/>
          <w:color w:val="auto"/>
          <w:szCs w:val="21"/>
          <w:highlight w:val="none"/>
        </w:rPr>
        <w:t>年</w:t>
      </w:r>
      <w:r>
        <w:rPr>
          <w:rFonts w:hint="eastAsia" w:ascii="宋体" w:hAnsi="宋体"/>
          <w:color w:val="auto"/>
          <w:szCs w:val="21"/>
          <w:highlight w:val="none"/>
          <w:lang w:val="en-US" w:eastAsia="zh-CN"/>
        </w:rPr>
        <w:t>5</w:t>
      </w:r>
      <w:r>
        <w:rPr>
          <w:rFonts w:ascii="宋体" w:hAnsi="宋体"/>
          <w:color w:val="auto"/>
          <w:szCs w:val="21"/>
          <w:highlight w:val="none"/>
        </w:rPr>
        <w:t>月</w:t>
      </w:r>
      <w:r>
        <w:rPr>
          <w:rFonts w:hint="eastAsia" w:ascii="宋体" w:hAnsi="宋体"/>
          <w:color w:val="auto"/>
          <w:szCs w:val="21"/>
          <w:highlight w:val="none"/>
          <w:lang w:val="en-US" w:eastAsia="zh-CN"/>
        </w:rPr>
        <w:t>19</w:t>
      </w:r>
      <w:r>
        <w:rPr>
          <w:rFonts w:ascii="宋体" w:hAnsi="宋体"/>
          <w:color w:val="auto"/>
          <w:szCs w:val="21"/>
          <w:highlight w:val="none"/>
        </w:rPr>
        <w:t>日</w:t>
      </w:r>
    </w:p>
    <w:p w14:paraId="2DDDB11E">
      <w:pPr>
        <w:pStyle w:val="2"/>
        <w:keepNext w:val="0"/>
        <w:keepLines w:val="0"/>
        <w:tabs>
          <w:tab w:val="left" w:pos="0"/>
          <w:tab w:val="left" w:pos="3165"/>
          <w:tab w:val="center" w:pos="4153"/>
        </w:tabs>
        <w:autoSpaceDE w:val="0"/>
        <w:autoSpaceDN w:val="0"/>
        <w:adjustRightInd w:val="0"/>
        <w:spacing w:before="0" w:after="0" w:line="360" w:lineRule="auto"/>
        <w:jc w:val="center"/>
        <w:rPr>
          <w:rFonts w:hint="eastAsia"/>
          <w:color w:val="auto"/>
          <w:highlight w:val="none"/>
        </w:rPr>
      </w:pPr>
      <w:r>
        <w:rPr>
          <w:rFonts w:ascii="仿宋_GB2312" w:hAnsi="宋体" w:eastAsia="仿宋_GB2312"/>
          <w:color w:val="auto"/>
          <w:sz w:val="24"/>
          <w:szCs w:val="20"/>
          <w:highlight w:val="none"/>
        </w:rPr>
        <w:br w:type="page"/>
      </w:r>
      <w:bookmarkStart w:id="54" w:name="_Toc27979"/>
      <w:r>
        <w:rPr>
          <w:rFonts w:hint="eastAsia"/>
          <w:color w:val="auto"/>
          <w:highlight w:val="none"/>
        </w:rPr>
        <w:t xml:space="preserve">第二章  </w:t>
      </w:r>
      <w:bookmarkStart w:id="55" w:name="OLE_LINK46"/>
      <w:r>
        <w:rPr>
          <w:rFonts w:hint="eastAsia"/>
          <w:color w:val="auto"/>
          <w:highlight w:val="none"/>
        </w:rPr>
        <w:t>采购需求</w:t>
      </w:r>
      <w:bookmarkEnd w:id="54"/>
    </w:p>
    <w:p w14:paraId="693F878E">
      <w:pPr>
        <w:spacing w:line="440" w:lineRule="exact"/>
        <w:jc w:val="left"/>
        <w:rPr>
          <w:rFonts w:ascii="宋体" w:hAnsi="宋体"/>
          <w:color w:val="auto"/>
          <w:szCs w:val="21"/>
          <w:highlight w:val="none"/>
        </w:rPr>
      </w:pPr>
      <w:bookmarkStart w:id="56" w:name="_Toc254970490"/>
      <w:bookmarkStart w:id="57" w:name="_Toc254970631"/>
      <w:r>
        <w:rPr>
          <w:rFonts w:hint="eastAsia" w:ascii="宋体" w:hAnsi="宋体"/>
          <w:color w:val="auto"/>
          <w:szCs w:val="21"/>
          <w:highlight w:val="none"/>
        </w:rPr>
        <w:t>说明：</w:t>
      </w:r>
    </w:p>
    <w:p w14:paraId="082D5BE1">
      <w:pPr>
        <w:spacing w:line="440" w:lineRule="exact"/>
        <w:ind w:firstLine="420" w:firstLineChars="200"/>
        <w:jc w:val="left"/>
        <w:rPr>
          <w:rFonts w:ascii="宋体" w:hAnsi="宋体"/>
          <w:color w:val="auto"/>
          <w:szCs w:val="21"/>
          <w:highlight w:val="none"/>
        </w:rPr>
      </w:pPr>
      <w:r>
        <w:rPr>
          <w:rFonts w:ascii="宋体" w:hAnsi="宋体"/>
          <w:color w:val="auto"/>
          <w:highlight w:val="none"/>
        </w:rPr>
        <w:t xml:space="preserve">1. </w:t>
      </w:r>
      <w:r>
        <w:rPr>
          <w:rFonts w:hint="eastAsia" w:ascii="宋体" w:hAnsi="宋体"/>
          <w:color w:val="auto"/>
          <w:highlight w:val="none"/>
        </w:rPr>
        <w:t>为落实政府采购政策需满足的要求：</w:t>
      </w:r>
    </w:p>
    <w:p w14:paraId="3CD16443">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1）本招标文件所称中小企业必须符合《政府采购促进中小企业发展管理办法》（财库〔2020〕46号）的规定。</w:t>
      </w:r>
    </w:p>
    <w:p w14:paraId="07910015">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s="宋体"/>
          <w:color w:val="auto"/>
          <w:szCs w:val="21"/>
          <w:highlight w:val="none"/>
        </w:rPr>
        <w:t>服务项目中伴随货物的，</w:t>
      </w:r>
      <w:r>
        <w:rPr>
          <w:rFonts w:ascii="宋体" w:hAnsi="宋体"/>
          <w:color w:val="auto"/>
          <w:szCs w:val="21"/>
          <w:highlight w:val="none"/>
        </w:rPr>
        <w:t>根据《财政部发展改革委生态环境部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投标人的投标货物必须使用政府强制采购的节能产品，投标人必须在投标文件中提供所投标产品的节能产品认证证书复印件（加盖投标人电子签章），</w:t>
      </w:r>
      <w:r>
        <w:rPr>
          <w:rFonts w:hint="eastAsia" w:ascii="宋体" w:hAnsi="宋体"/>
          <w:b/>
          <w:bCs/>
          <w:color w:val="auto"/>
          <w:szCs w:val="21"/>
          <w:highlight w:val="none"/>
        </w:rPr>
        <w:t>否则按无效投标处理</w:t>
      </w:r>
      <w:r>
        <w:rPr>
          <w:rFonts w:hint="eastAsia" w:ascii="宋体" w:hAnsi="宋体"/>
          <w:color w:val="auto"/>
          <w:szCs w:val="21"/>
          <w:highlight w:val="none"/>
        </w:rPr>
        <w:t>。如本项目包含的货物属于品目清单内非标注“★”的产品时，应优先采购，具体详见“第四章评标方法及评标标准”。</w:t>
      </w:r>
    </w:p>
    <w:p w14:paraId="0F52B834">
      <w:pPr>
        <w:tabs>
          <w:tab w:val="left" w:pos="1620"/>
        </w:tabs>
        <w:spacing w:line="440" w:lineRule="exact"/>
        <w:ind w:firstLine="420" w:firstLineChars="200"/>
        <w:rPr>
          <w:rFonts w:ascii="宋体" w:hAnsi="宋体"/>
          <w:color w:val="auto"/>
          <w:kern w:val="0"/>
          <w:szCs w:val="21"/>
          <w:highlight w:val="none"/>
        </w:rPr>
      </w:pPr>
      <w:r>
        <w:rPr>
          <w:rFonts w:ascii="宋体" w:hAnsi="宋体"/>
          <w:color w:val="auto"/>
          <w:kern w:val="0"/>
          <w:szCs w:val="21"/>
          <w:highlight w:val="none"/>
        </w:rPr>
        <w:t>2.“实质性要求”是指招标文件中已经指明不满足则投标无效的条款，或者不能负偏离的条款，或者采购需求中带“</w:t>
      </w:r>
      <w:r>
        <w:rPr>
          <w:rFonts w:hint="eastAsia" w:ascii="宋体" w:hAnsi="宋体" w:cs="宋体"/>
          <w:color w:val="auto"/>
          <w:szCs w:val="21"/>
          <w:highlight w:val="none"/>
        </w:rPr>
        <w:t>▲</w:t>
      </w:r>
      <w:r>
        <w:rPr>
          <w:rFonts w:ascii="宋体" w:hAnsi="宋体"/>
          <w:color w:val="auto"/>
          <w:kern w:val="0"/>
          <w:szCs w:val="21"/>
          <w:highlight w:val="none"/>
        </w:rPr>
        <w:t>”的条款。</w:t>
      </w:r>
    </w:p>
    <w:p w14:paraId="5397CB4B">
      <w:pPr>
        <w:tabs>
          <w:tab w:val="left" w:pos="1620"/>
        </w:tabs>
        <w:spacing w:line="440" w:lineRule="exact"/>
        <w:ind w:firstLine="420" w:firstLineChars="200"/>
        <w:rPr>
          <w:rFonts w:ascii="宋体" w:hAnsi="宋体"/>
          <w:color w:val="auto"/>
          <w:kern w:val="0"/>
          <w:szCs w:val="21"/>
          <w:highlight w:val="none"/>
        </w:rPr>
      </w:pPr>
      <w:r>
        <w:rPr>
          <w:rFonts w:ascii="宋体" w:hAnsi="宋体"/>
          <w:color w:val="auto"/>
          <w:kern w:val="0"/>
          <w:szCs w:val="21"/>
          <w:highlight w:val="none"/>
        </w:rPr>
        <w:t>3.</w:t>
      </w:r>
      <w:bookmarkStart w:id="58" w:name="_Hlk54774389"/>
      <w:r>
        <w:rPr>
          <w:rFonts w:ascii="宋体" w:hAnsi="宋体"/>
          <w:color w:val="auto"/>
          <w:kern w:val="0"/>
          <w:szCs w:val="21"/>
          <w:highlight w:val="none"/>
        </w:rPr>
        <w:t>服务项目中伴随货物的，</w:t>
      </w:r>
      <w:bookmarkEnd w:id="58"/>
      <w:r>
        <w:rPr>
          <w:rFonts w:ascii="宋体" w:hAnsi="宋体"/>
          <w:color w:val="auto"/>
          <w:kern w:val="0"/>
          <w:szCs w:val="21"/>
          <w:highlight w:val="none"/>
        </w:rPr>
        <w:t>采购需求中出现的品牌、型号或者生产厂家仅起参考作用，不属于指定品牌、型号或者生产厂家的情形。投标人可参照或者选用其他相当的品牌、型号或者生产厂家替代，但选用的投标产品参数性能必须满足实质性要求。</w:t>
      </w:r>
    </w:p>
    <w:p w14:paraId="5EB4A33B">
      <w:pPr>
        <w:tabs>
          <w:tab w:val="left" w:pos="1620"/>
        </w:tabs>
        <w:spacing w:line="44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lang w:val="en-US" w:eastAsia="zh-CN"/>
        </w:rPr>
        <w:t>4</w:t>
      </w:r>
      <w:r>
        <w:rPr>
          <w:rFonts w:ascii="宋体" w:hAnsi="宋体"/>
          <w:color w:val="auto"/>
          <w:kern w:val="0"/>
          <w:szCs w:val="21"/>
          <w:highlight w:val="none"/>
        </w:rPr>
        <w:t>.投标人必须自行为其投标产品侵犯他人的知识产权或者专利成果的行为承担相应法律责任。</w:t>
      </w:r>
    </w:p>
    <w:p w14:paraId="12DA6A21">
      <w:pPr>
        <w:tabs>
          <w:tab w:val="left" w:pos="1620"/>
        </w:tabs>
        <w:spacing w:line="44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lang w:val="en-US" w:eastAsia="zh-CN"/>
        </w:rPr>
        <w:t>5</w:t>
      </w:r>
      <w:r>
        <w:rPr>
          <w:rFonts w:ascii="宋体" w:hAnsi="宋体"/>
          <w:color w:val="auto"/>
          <w:kern w:val="0"/>
          <w:szCs w:val="21"/>
          <w:highlight w:val="none"/>
        </w:rPr>
        <w:t>.本服务需求一览表中内容如与第五章“合同条款及格式”相关条款不一致的，以本表为准。</w:t>
      </w:r>
    </w:p>
    <w:p w14:paraId="0BB065B4">
      <w:pPr>
        <w:widowControl/>
        <w:spacing w:line="360" w:lineRule="auto"/>
        <w:ind w:firstLine="422" w:firstLineChars="200"/>
        <w:jc w:val="left"/>
        <w:rPr>
          <w:color w:val="auto"/>
          <w:highlight w:val="none"/>
        </w:rPr>
      </w:pPr>
      <w:r>
        <w:rPr>
          <w:rFonts w:hint="eastAsia" w:ascii="宋体" w:hAnsi="宋体" w:eastAsia="宋体" w:cs="Times New Roman"/>
          <w:b/>
          <w:bCs/>
          <w:color w:val="auto"/>
          <w:szCs w:val="21"/>
          <w:highlight w:val="none"/>
          <w:lang w:val="en-US" w:eastAsia="zh-CN"/>
        </w:rPr>
        <w:t>6.</w:t>
      </w:r>
      <w:r>
        <w:rPr>
          <w:rFonts w:hint="eastAsia" w:ascii="宋体" w:hAnsi="宋体" w:eastAsia="宋体" w:cs="Times New Roman"/>
          <w:b/>
          <w:bCs/>
          <w:color w:val="auto"/>
          <w:szCs w:val="21"/>
          <w:highlight w:val="none"/>
          <w:lang w:val="zh-CN"/>
        </w:rPr>
        <w:t>同一投标人可同时参与所有分标的投标，但最多只能成为其中两个分标的中标人。中标候选人按分标1→2→3→4→5→6→7→8的顺序推荐，若投标人已被推荐为某两个分标的第一中标候选人，则不再推荐其为后续分标的中标候选人。各分标拟投入人员为同一批的，仅可中标排序最靠前的一个分标，投标人若拟中标两个分标，须投入两批不同的人员。本项目为重招项目，在本项目首次招标中已中标</w:t>
      </w:r>
      <w:r>
        <w:rPr>
          <w:rFonts w:hint="eastAsia" w:ascii="宋体" w:hAnsi="宋体" w:cs="Times New Roman"/>
          <w:b/>
          <w:bCs/>
          <w:color w:val="auto"/>
          <w:szCs w:val="21"/>
          <w:highlight w:val="none"/>
          <w:lang w:val="en-US" w:eastAsia="zh-CN"/>
        </w:rPr>
        <w:t>两</w:t>
      </w:r>
      <w:r>
        <w:rPr>
          <w:rFonts w:hint="eastAsia" w:ascii="宋体" w:hAnsi="宋体" w:eastAsia="宋体" w:cs="Times New Roman"/>
          <w:b/>
          <w:bCs/>
          <w:color w:val="auto"/>
          <w:szCs w:val="21"/>
          <w:highlight w:val="none"/>
          <w:lang w:val="zh-CN"/>
        </w:rPr>
        <w:t>个分标的投标人，不得再参加本次采购活动，已中标</w:t>
      </w:r>
      <w:r>
        <w:rPr>
          <w:rFonts w:hint="eastAsia" w:ascii="宋体" w:hAnsi="宋体" w:cs="Times New Roman"/>
          <w:b/>
          <w:bCs/>
          <w:color w:val="auto"/>
          <w:szCs w:val="21"/>
          <w:highlight w:val="none"/>
          <w:lang w:val="en-US" w:eastAsia="zh-CN"/>
        </w:rPr>
        <w:t>一</w:t>
      </w:r>
      <w:r>
        <w:rPr>
          <w:rFonts w:hint="eastAsia" w:ascii="宋体" w:hAnsi="宋体" w:eastAsia="宋体" w:cs="Times New Roman"/>
          <w:b/>
          <w:bCs/>
          <w:color w:val="auto"/>
          <w:szCs w:val="21"/>
          <w:highlight w:val="none"/>
          <w:lang w:val="zh-CN"/>
        </w:rPr>
        <w:t>个分标的投标人，可参加本次采购活动但最多只能中标一个分标。</w:t>
      </w:r>
    </w:p>
    <w:p w14:paraId="14A67B06">
      <w:pPr>
        <w:spacing w:line="360" w:lineRule="auto"/>
        <w:ind w:firstLine="422" w:firstLineChars="200"/>
        <w:rPr>
          <w:rFonts w:hint="eastAsia" w:ascii="宋体" w:hAnsi="宋体" w:eastAsia="宋体"/>
          <w:b/>
          <w:bCs/>
          <w:color w:val="auto"/>
          <w:szCs w:val="21"/>
          <w:highlight w:val="none"/>
          <w:lang w:eastAsia="zh-CN"/>
        </w:rPr>
      </w:pPr>
      <w:r>
        <w:rPr>
          <w:rFonts w:hint="eastAsia"/>
          <w:b/>
          <w:bCs/>
          <w:color w:val="auto"/>
          <w:highlight w:val="none"/>
          <w:lang w:val="en-US" w:eastAsia="zh-CN"/>
        </w:rPr>
        <w:t>7.</w:t>
      </w:r>
      <w:r>
        <w:rPr>
          <w:rFonts w:hint="eastAsia"/>
          <w:b/>
          <w:bCs/>
          <w:color w:val="auto"/>
          <w:highlight w:val="none"/>
        </w:rPr>
        <w:t>预算总金额（元）</w:t>
      </w:r>
      <w:r>
        <w:rPr>
          <w:rFonts w:hint="eastAsia" w:ascii="宋体" w:hAnsi="宋体"/>
          <w:b/>
          <w:bCs/>
          <w:color w:val="auto"/>
          <w:szCs w:val="21"/>
          <w:highlight w:val="none"/>
        </w:rPr>
        <w:t>：</w:t>
      </w:r>
      <w:r>
        <w:rPr>
          <w:rFonts w:hint="eastAsia" w:ascii="宋体" w:hAnsi="宋体"/>
          <w:b/>
          <w:bCs/>
          <w:color w:val="auto"/>
          <w:szCs w:val="21"/>
          <w:highlight w:val="none"/>
          <w:lang w:eastAsia="zh-CN"/>
        </w:rPr>
        <w:t>1</w:t>
      </w:r>
      <w:r>
        <w:rPr>
          <w:rFonts w:hint="eastAsia" w:ascii="宋体" w:hAnsi="宋体"/>
          <w:b/>
          <w:bCs/>
          <w:color w:val="auto"/>
          <w:szCs w:val="21"/>
          <w:highlight w:val="none"/>
          <w:lang w:val="en-US" w:eastAsia="zh-CN"/>
        </w:rPr>
        <w:t>5</w:t>
      </w:r>
      <w:r>
        <w:rPr>
          <w:rFonts w:hint="eastAsia" w:ascii="宋体" w:hAnsi="宋体"/>
          <w:b/>
          <w:bCs/>
          <w:color w:val="auto"/>
          <w:szCs w:val="21"/>
          <w:highlight w:val="none"/>
          <w:lang w:eastAsia="zh-CN"/>
        </w:rPr>
        <w:t>5.48万元（其中1分标：</w:t>
      </w:r>
      <w:r>
        <w:rPr>
          <w:rFonts w:hint="eastAsia" w:ascii="宋体" w:hAnsi="宋体"/>
          <w:b/>
          <w:bCs/>
          <w:color w:val="auto"/>
          <w:szCs w:val="21"/>
          <w:highlight w:val="none"/>
          <w:lang w:val="en-US" w:eastAsia="zh-CN"/>
        </w:rPr>
        <w:t>1</w:t>
      </w:r>
      <w:r>
        <w:rPr>
          <w:rFonts w:hint="eastAsia" w:ascii="宋体" w:hAnsi="宋体"/>
          <w:b/>
          <w:bCs/>
          <w:color w:val="auto"/>
          <w:szCs w:val="21"/>
          <w:highlight w:val="none"/>
          <w:lang w:eastAsia="zh-CN"/>
        </w:rPr>
        <w:t>5.00万元；2分标：34.00万元；3分标：17.00万元；4分标：21.00万元；5分标：24.48万元；6分标：20.00万元；7分标：16.00万元；8分标：8.00万元。）</w:t>
      </w:r>
    </w:p>
    <w:p w14:paraId="422DB1C8">
      <w:pPr>
        <w:spacing w:line="360" w:lineRule="auto"/>
        <w:ind w:firstLine="422" w:firstLineChars="200"/>
        <w:rPr>
          <w:rFonts w:hint="eastAsia" w:ascii="宋体" w:hAnsi="宋体" w:eastAsia="宋体"/>
          <w:b/>
          <w:bCs/>
          <w:color w:val="auto"/>
          <w:szCs w:val="21"/>
          <w:highlight w:val="none"/>
          <w:lang w:eastAsia="zh-CN"/>
        </w:rPr>
      </w:pPr>
      <w:r>
        <w:rPr>
          <w:rFonts w:hint="eastAsia" w:ascii="宋体" w:hAnsi="宋体"/>
          <w:b/>
          <w:bCs/>
          <w:color w:val="auto"/>
          <w:szCs w:val="21"/>
          <w:highlight w:val="none"/>
          <w:lang w:val="en-US" w:eastAsia="zh-CN"/>
        </w:rPr>
        <w:t>8.</w:t>
      </w:r>
      <w:r>
        <w:rPr>
          <w:rFonts w:hint="eastAsia" w:ascii="宋体" w:hAnsi="宋体"/>
          <w:b/>
          <w:bCs/>
          <w:color w:val="auto"/>
          <w:szCs w:val="21"/>
          <w:highlight w:val="none"/>
        </w:rPr>
        <w:t>最高限价（</w:t>
      </w:r>
      <w:r>
        <w:rPr>
          <w:rFonts w:hint="eastAsia"/>
          <w:b/>
          <w:bCs/>
          <w:color w:val="auto"/>
          <w:highlight w:val="none"/>
        </w:rPr>
        <w:t>元</w:t>
      </w:r>
      <w:r>
        <w:rPr>
          <w:rFonts w:hint="eastAsia" w:ascii="宋体" w:hAnsi="宋体"/>
          <w:b/>
          <w:bCs/>
          <w:color w:val="auto"/>
          <w:szCs w:val="21"/>
          <w:highlight w:val="none"/>
        </w:rPr>
        <w:t>）：</w:t>
      </w:r>
      <w:r>
        <w:rPr>
          <w:rFonts w:hint="eastAsia" w:ascii="宋体" w:hAnsi="宋体"/>
          <w:b/>
          <w:bCs/>
          <w:color w:val="auto"/>
          <w:szCs w:val="21"/>
          <w:highlight w:val="none"/>
          <w:lang w:eastAsia="zh-CN"/>
        </w:rPr>
        <w:t>145.48万元（其中1分标：5.00万元；2分标：34.00万元；3分标：17.00万元；4分标：21.00万元；5分标：24.48万元；6分标：20.00万元；7分标：16.00万元；8分标：8.00万元。）</w:t>
      </w:r>
    </w:p>
    <w:bookmarkEnd w:id="55"/>
    <w:bookmarkEnd w:id="56"/>
    <w:bookmarkEnd w:id="57"/>
    <w:tbl>
      <w:tblPr>
        <w:tblStyle w:val="47"/>
        <w:tblW w:w="994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8"/>
        <w:gridCol w:w="970"/>
        <w:gridCol w:w="852"/>
        <w:gridCol w:w="1061"/>
        <w:gridCol w:w="6139"/>
      </w:tblGrid>
      <w:tr w14:paraId="355C96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940" w:type="dxa"/>
            <w:gridSpan w:val="5"/>
            <w:tcBorders>
              <w:top w:val="single" w:color="auto" w:sz="4" w:space="0"/>
              <w:left w:val="single" w:color="auto" w:sz="4" w:space="0"/>
              <w:bottom w:val="single" w:color="auto" w:sz="4" w:space="0"/>
              <w:right w:val="single" w:color="auto" w:sz="4" w:space="0"/>
            </w:tcBorders>
            <w:noWrap w:val="0"/>
            <w:vAlign w:val="center"/>
          </w:tcPr>
          <w:p w14:paraId="408761A4">
            <w:pPr>
              <w:tabs>
                <w:tab w:val="left" w:pos="1440"/>
                <w:tab w:val="left" w:pos="1620"/>
              </w:tabs>
              <w:wordWrap w:val="0"/>
              <w:autoSpaceDE/>
              <w:autoSpaceDN/>
              <w:spacing w:line="312" w:lineRule="auto"/>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一、采购需求基本情况：</w:t>
            </w:r>
          </w:p>
        </w:tc>
      </w:tr>
      <w:tr w14:paraId="2F6A17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18" w:type="dxa"/>
            <w:tcBorders>
              <w:top w:val="single" w:color="auto" w:sz="4" w:space="0"/>
              <w:left w:val="single" w:color="auto" w:sz="4" w:space="0"/>
              <w:bottom w:val="single" w:color="auto" w:sz="4" w:space="0"/>
              <w:right w:val="single" w:color="auto" w:sz="4" w:space="0"/>
            </w:tcBorders>
            <w:noWrap w:val="0"/>
            <w:vAlign w:val="center"/>
          </w:tcPr>
          <w:p w14:paraId="6E97531D">
            <w:pPr>
              <w:wordWrap w:val="0"/>
              <w:spacing w:line="312" w:lineRule="auto"/>
              <w:jc w:val="center"/>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分标</w:t>
            </w:r>
          </w:p>
        </w:tc>
        <w:tc>
          <w:tcPr>
            <w:tcW w:w="970" w:type="dxa"/>
            <w:tcBorders>
              <w:top w:val="single" w:color="auto" w:sz="4" w:space="0"/>
              <w:left w:val="single" w:color="auto" w:sz="4" w:space="0"/>
              <w:bottom w:val="single" w:color="auto" w:sz="4" w:space="0"/>
              <w:right w:val="single" w:color="auto" w:sz="4" w:space="0"/>
            </w:tcBorders>
            <w:noWrap w:val="0"/>
            <w:vAlign w:val="center"/>
          </w:tcPr>
          <w:p w14:paraId="185A4BAD">
            <w:pPr>
              <w:wordWrap w:val="0"/>
              <w:spacing w:line="312" w:lineRule="auto"/>
              <w:jc w:val="center"/>
              <w:rPr>
                <w:rFonts w:hint="eastAsia" w:ascii="宋体" w:hAnsi="宋体" w:eastAsia="宋体" w:cs="宋体"/>
                <w:b/>
                <w:color w:val="auto"/>
                <w:sz w:val="21"/>
                <w:szCs w:val="21"/>
                <w:highlight w:val="none"/>
              </w:rPr>
            </w:pPr>
            <w:r>
              <w:rPr>
                <w:rFonts w:hint="eastAsia" w:ascii="宋体" w:hAnsi="宋体" w:cs="宋体"/>
                <w:b/>
                <w:bCs/>
                <w:color w:val="auto"/>
                <w:szCs w:val="21"/>
                <w:highlight w:val="none"/>
              </w:rPr>
              <w:t>标的名称</w:t>
            </w:r>
          </w:p>
        </w:tc>
        <w:tc>
          <w:tcPr>
            <w:tcW w:w="852" w:type="dxa"/>
            <w:tcBorders>
              <w:top w:val="single" w:color="auto" w:sz="4" w:space="0"/>
              <w:left w:val="single" w:color="auto" w:sz="4" w:space="0"/>
              <w:bottom w:val="single" w:color="auto" w:sz="4" w:space="0"/>
              <w:right w:val="single" w:color="auto" w:sz="4" w:space="0"/>
            </w:tcBorders>
            <w:noWrap w:val="0"/>
            <w:vAlign w:val="center"/>
          </w:tcPr>
          <w:p w14:paraId="6FE4CC72">
            <w:pPr>
              <w:wordWrap w:val="0"/>
              <w:spacing w:line="312"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数量</w:t>
            </w:r>
          </w:p>
        </w:tc>
        <w:tc>
          <w:tcPr>
            <w:tcW w:w="1061" w:type="dxa"/>
            <w:tcBorders>
              <w:top w:val="single" w:color="auto" w:sz="4" w:space="0"/>
              <w:left w:val="single" w:color="auto" w:sz="4" w:space="0"/>
              <w:bottom w:val="single" w:color="auto" w:sz="4" w:space="0"/>
              <w:right w:val="single" w:color="000000" w:sz="4" w:space="0"/>
            </w:tcBorders>
            <w:noWrap w:val="0"/>
            <w:vAlign w:val="center"/>
          </w:tcPr>
          <w:p w14:paraId="2D15A957">
            <w:pPr>
              <w:tabs>
                <w:tab w:val="left" w:pos="180"/>
                <w:tab w:val="left" w:pos="1620"/>
              </w:tabs>
              <w:wordWrap w:val="0"/>
              <w:spacing w:line="312" w:lineRule="auto"/>
              <w:jc w:val="center"/>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所属行业</w:t>
            </w:r>
          </w:p>
        </w:tc>
        <w:tc>
          <w:tcPr>
            <w:tcW w:w="6139" w:type="dxa"/>
            <w:tcBorders>
              <w:top w:val="single" w:color="auto" w:sz="4" w:space="0"/>
              <w:left w:val="single" w:color="000000" w:sz="4" w:space="0"/>
              <w:bottom w:val="single" w:color="auto" w:sz="4" w:space="0"/>
              <w:right w:val="single" w:color="auto" w:sz="4" w:space="0"/>
            </w:tcBorders>
            <w:noWrap w:val="0"/>
            <w:vAlign w:val="center"/>
          </w:tcPr>
          <w:p w14:paraId="264F13B0">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b/>
                <w:color w:val="auto"/>
                <w:sz w:val="21"/>
                <w:szCs w:val="21"/>
                <w:highlight w:val="none"/>
              </w:rPr>
            </w:pPr>
            <w:r>
              <w:rPr>
                <w:rFonts w:hint="eastAsia" w:ascii="宋体" w:hAnsi="宋体" w:cs="宋体"/>
                <w:color w:val="auto"/>
                <w:szCs w:val="21"/>
                <w:highlight w:val="none"/>
              </w:rPr>
              <w:t>▲</w:t>
            </w:r>
            <w:r>
              <w:rPr>
                <w:rFonts w:hint="eastAsia" w:ascii="宋体" w:hAnsi="宋体" w:eastAsia="宋体" w:cs="宋体"/>
                <w:b/>
                <w:color w:val="auto"/>
                <w:sz w:val="21"/>
                <w:szCs w:val="21"/>
                <w:highlight w:val="none"/>
              </w:rPr>
              <w:t>服务要求</w:t>
            </w:r>
          </w:p>
        </w:tc>
      </w:tr>
      <w:tr w14:paraId="5BB720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18" w:type="dxa"/>
            <w:tcBorders>
              <w:top w:val="single" w:color="auto" w:sz="4" w:space="0"/>
              <w:left w:val="single" w:color="auto" w:sz="4" w:space="0"/>
              <w:bottom w:val="single" w:color="auto" w:sz="4" w:space="0"/>
              <w:right w:val="single" w:color="auto" w:sz="4" w:space="0"/>
            </w:tcBorders>
            <w:noWrap w:val="0"/>
            <w:vAlign w:val="center"/>
          </w:tcPr>
          <w:p w14:paraId="5666D30C">
            <w:pPr>
              <w:keepNext w:val="0"/>
              <w:keepLines w:val="0"/>
              <w:pageBreakBefore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分标</w:t>
            </w:r>
          </w:p>
        </w:tc>
        <w:tc>
          <w:tcPr>
            <w:tcW w:w="970" w:type="dxa"/>
            <w:tcBorders>
              <w:top w:val="single" w:color="auto" w:sz="4" w:space="0"/>
              <w:left w:val="single" w:color="auto" w:sz="4" w:space="0"/>
              <w:bottom w:val="single" w:color="auto" w:sz="4" w:space="0"/>
              <w:right w:val="single" w:color="auto" w:sz="4" w:space="0"/>
            </w:tcBorders>
            <w:noWrap w:val="0"/>
            <w:vAlign w:val="center"/>
          </w:tcPr>
          <w:p w14:paraId="6B415AA3">
            <w:pPr>
              <w:keepNext w:val="0"/>
              <w:keepLines w:val="0"/>
              <w:pageBreakBefore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olor w:val="auto"/>
                <w:szCs w:val="21"/>
                <w:highlight w:val="none"/>
                <w:lang w:eastAsia="zh-CN"/>
              </w:rPr>
              <w:t>自治区交通运输厅机关及4个中心2025年度财务收支审计服务采购</w:t>
            </w:r>
          </w:p>
        </w:tc>
        <w:tc>
          <w:tcPr>
            <w:tcW w:w="852" w:type="dxa"/>
            <w:tcBorders>
              <w:top w:val="single" w:color="auto" w:sz="4" w:space="0"/>
              <w:left w:val="single" w:color="auto" w:sz="4" w:space="0"/>
              <w:bottom w:val="single" w:color="auto" w:sz="4" w:space="0"/>
              <w:right w:val="single" w:color="auto" w:sz="4" w:space="0"/>
            </w:tcBorders>
            <w:noWrap w:val="0"/>
            <w:vAlign w:val="center"/>
          </w:tcPr>
          <w:p w14:paraId="495B9C59">
            <w:pPr>
              <w:keepNext w:val="0"/>
              <w:keepLines w:val="0"/>
              <w:pageBreakBefore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1项</w:t>
            </w:r>
          </w:p>
        </w:tc>
        <w:tc>
          <w:tcPr>
            <w:tcW w:w="1061" w:type="dxa"/>
            <w:tcBorders>
              <w:top w:val="single" w:color="auto" w:sz="4" w:space="0"/>
              <w:left w:val="single" w:color="auto" w:sz="4" w:space="0"/>
              <w:bottom w:val="single" w:color="auto" w:sz="4" w:space="0"/>
              <w:right w:val="single" w:color="000000" w:sz="4" w:space="0"/>
            </w:tcBorders>
            <w:noWrap w:val="0"/>
            <w:vAlign w:val="center"/>
          </w:tcPr>
          <w:p w14:paraId="04EC2A41">
            <w:pPr>
              <w:keepNext w:val="0"/>
              <w:keepLines w:val="0"/>
              <w:pageBreakBefore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olor w:val="auto"/>
                <w:szCs w:val="21"/>
                <w:highlight w:val="none"/>
                <w:u w:val="none"/>
                <w:lang w:eastAsia="zh-CN"/>
              </w:rPr>
              <w:t>租赁和商务服务业</w:t>
            </w:r>
          </w:p>
        </w:tc>
        <w:tc>
          <w:tcPr>
            <w:tcW w:w="6139" w:type="dxa"/>
            <w:tcBorders>
              <w:top w:val="single" w:color="auto" w:sz="4" w:space="0"/>
              <w:left w:val="single" w:color="000000" w:sz="4" w:space="0"/>
              <w:bottom w:val="single" w:color="auto" w:sz="4" w:space="0"/>
              <w:right w:val="single" w:color="auto" w:sz="4" w:space="0"/>
            </w:tcBorders>
            <w:noWrap w:val="0"/>
            <w:vAlign w:val="center"/>
          </w:tcPr>
          <w:p w14:paraId="4EA065A3">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厅机关及服务中心、外资中心、保障中心、信息中心2025年度财务收支情况进行专项审计。通过现场实地查看等方式，对5个单位财务收支、预算执行情况进行审计，并出具财务收支审计报告（5个单位共5份审计报告），财务收支审计需要在2026年6月底前完成。</w:t>
            </w:r>
          </w:p>
          <w:p w14:paraId="79074A7F">
            <w:pPr>
              <w:keepNext w:val="0"/>
              <w:keepLines w:val="0"/>
              <w:pageBreakBefore w:val="0"/>
              <w:widowControl w:val="0"/>
              <w:kinsoku/>
              <w:wordWrap w:val="0"/>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以上采购，要求成交人向采购人共提交5个合格有效的审计报告文本，每个审计报告包括纸质报告（一式八份）、彩色扫描PDF版和Word版。成交人投入的审计工作组成员不少于4人，审计人员</w:t>
            </w:r>
            <w:r>
              <w:rPr>
                <w:rFonts w:hint="eastAsia" w:ascii="宋体" w:hAnsi="宋体" w:eastAsia="宋体" w:cs="宋体"/>
                <w:color w:val="auto"/>
                <w:sz w:val="21"/>
                <w:szCs w:val="21"/>
                <w:highlight w:val="none"/>
                <w:lang w:eastAsia="zh-CN"/>
              </w:rPr>
              <w:t>须</w:t>
            </w:r>
            <w:r>
              <w:rPr>
                <w:rFonts w:hint="eastAsia" w:ascii="宋体" w:hAnsi="宋体" w:eastAsia="宋体" w:cs="宋体"/>
                <w:color w:val="auto"/>
                <w:sz w:val="21"/>
                <w:szCs w:val="21"/>
                <w:highlight w:val="none"/>
              </w:rPr>
              <w:t>具备国家相关资格要求，至少配备项目负责人1名（项目负责人须具备中国注册会计师</w:t>
            </w:r>
            <w:r>
              <w:rPr>
                <w:rFonts w:hint="eastAsia" w:ascii="宋体" w:hAnsi="宋体" w:eastAsia="宋体" w:cs="宋体"/>
                <w:color w:val="auto"/>
                <w:sz w:val="21"/>
                <w:szCs w:val="21"/>
                <w:highlight w:val="none"/>
                <w:lang w:eastAsia="zh-CN"/>
              </w:rPr>
              <w:t>执业资格</w:t>
            </w:r>
            <w:r>
              <w:rPr>
                <w:rFonts w:hint="eastAsia" w:ascii="宋体" w:hAnsi="宋体" w:eastAsia="宋体" w:cs="宋体"/>
                <w:color w:val="auto"/>
                <w:sz w:val="21"/>
                <w:szCs w:val="21"/>
                <w:highlight w:val="none"/>
              </w:rPr>
              <w:t>证，从事审计工作年限五年以上），投入现场检查的审计工作小组至少有1名注册会计师（可由</w:t>
            </w:r>
            <w:r>
              <w:rPr>
                <w:rFonts w:hint="eastAsia" w:ascii="宋体" w:hAnsi="宋体" w:cs="宋体"/>
                <w:color w:val="auto"/>
                <w:sz w:val="21"/>
                <w:szCs w:val="21"/>
                <w:highlight w:val="none"/>
                <w:lang w:val="en-US" w:eastAsia="zh-CN"/>
              </w:rPr>
              <w:t>项目</w:t>
            </w:r>
            <w:r>
              <w:rPr>
                <w:rFonts w:hint="eastAsia" w:ascii="宋体" w:hAnsi="宋体" w:eastAsia="宋体" w:cs="宋体"/>
                <w:color w:val="auto"/>
                <w:sz w:val="21"/>
                <w:szCs w:val="21"/>
                <w:highlight w:val="none"/>
              </w:rPr>
              <w:t>负责人担任）、</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名中级会计师、2名助理会计师。成交人派出审计组进驻被检查单位的外业时长工作时间不得少于</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个工作日，成交人须在合同签</w:t>
            </w:r>
            <w:r>
              <w:rPr>
                <w:rFonts w:hint="eastAsia" w:ascii="宋体" w:hAnsi="宋体" w:eastAsia="宋体" w:cs="宋体"/>
                <w:color w:val="auto"/>
                <w:sz w:val="21"/>
                <w:szCs w:val="21"/>
                <w:highlight w:val="none"/>
                <w:lang w:eastAsia="zh-CN"/>
              </w:rPr>
              <w:t>署后</w:t>
            </w:r>
            <w:r>
              <w:rPr>
                <w:rFonts w:hint="eastAsia" w:ascii="宋体" w:hAnsi="宋体" w:eastAsia="宋体" w:cs="宋体"/>
                <w:color w:val="auto"/>
                <w:sz w:val="21"/>
                <w:szCs w:val="21"/>
                <w:highlight w:val="none"/>
              </w:rPr>
              <w:t>2个工作日内派出审计组</w:t>
            </w:r>
            <w:r>
              <w:rPr>
                <w:rFonts w:hint="eastAsia" w:ascii="宋体" w:hAnsi="宋体" w:eastAsia="宋体" w:cs="宋体"/>
                <w:color w:val="auto"/>
                <w:sz w:val="21"/>
                <w:szCs w:val="21"/>
                <w:highlight w:val="none"/>
                <w:lang w:eastAsia="zh-CN"/>
              </w:rPr>
              <w:t>进驻</w:t>
            </w:r>
            <w:r>
              <w:rPr>
                <w:rFonts w:hint="eastAsia" w:ascii="宋体" w:hAnsi="宋体" w:eastAsia="宋体" w:cs="宋体"/>
                <w:color w:val="auto"/>
                <w:sz w:val="21"/>
                <w:szCs w:val="21"/>
                <w:highlight w:val="none"/>
              </w:rPr>
              <w:t>被审计单位，外业工作结束后</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个工作日内向采购人提交审计报告。</w:t>
            </w:r>
          </w:p>
          <w:p w14:paraId="1FD6A11A">
            <w:pPr>
              <w:keepNext w:val="0"/>
              <w:keepLines w:val="0"/>
              <w:pageBreakBefore w:val="0"/>
              <w:widowControl w:val="0"/>
              <w:kinsoku/>
              <w:wordWrap w:val="0"/>
              <w:overflowPunct/>
              <w:topLinePunct w:val="0"/>
              <w:autoSpaceDE/>
              <w:autoSpaceDN/>
              <w:bidi w:val="0"/>
              <w:adjustRightInd/>
              <w:snapToGrid/>
              <w:spacing w:line="360" w:lineRule="exact"/>
              <w:ind w:firstLine="420" w:firstLineChars="0"/>
              <w:textAlignment w:val="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b/>
                <w:bCs w:val="0"/>
                <w:color w:val="auto"/>
                <w:szCs w:val="21"/>
                <w:highlight w:val="none"/>
                <w:lang w:val="zh-CN"/>
              </w:rPr>
              <w:t>注：供应商拟投入的工作组成员必须是在职工作人员，且须在投标文件中提供拟投入的工作组成员的专业技能或资格证书、职称证书、项目负责人工作年限证明（以劳动合同为准）、</w:t>
            </w:r>
            <w:r>
              <w:rPr>
                <w:rFonts w:hint="eastAsia" w:ascii="宋体" w:hAnsi="宋体" w:eastAsia="宋体" w:cs="宋体"/>
                <w:b/>
                <w:bCs w:val="0"/>
                <w:color w:val="auto"/>
                <w:szCs w:val="21"/>
                <w:highlight w:val="none"/>
                <w:lang w:val="en-US" w:eastAsia="zh-CN"/>
              </w:rPr>
              <w:t>供应商为拟投入人员缴纳的2025年</w:t>
            </w:r>
            <w:r>
              <w:rPr>
                <w:rFonts w:hint="eastAsia" w:ascii="宋体" w:hAnsi="宋体" w:cs="宋体"/>
                <w:b/>
                <w:bCs w:val="0"/>
                <w:color w:val="auto"/>
                <w:szCs w:val="21"/>
                <w:highlight w:val="none"/>
                <w:lang w:val="en-US" w:eastAsia="zh-CN"/>
              </w:rPr>
              <w:t>11</w:t>
            </w:r>
            <w:r>
              <w:rPr>
                <w:rFonts w:hint="eastAsia" w:ascii="宋体" w:hAnsi="宋体" w:eastAsia="宋体" w:cs="宋体"/>
                <w:b/>
                <w:bCs w:val="0"/>
                <w:color w:val="auto"/>
                <w:szCs w:val="21"/>
                <w:highlight w:val="none"/>
                <w:lang w:val="en-US" w:eastAsia="zh-CN"/>
              </w:rPr>
              <w:t>月-2026年</w:t>
            </w:r>
            <w:r>
              <w:rPr>
                <w:rFonts w:hint="eastAsia" w:ascii="宋体" w:hAnsi="宋体" w:cs="宋体"/>
                <w:b/>
                <w:bCs w:val="0"/>
                <w:color w:val="auto"/>
                <w:szCs w:val="21"/>
                <w:highlight w:val="none"/>
                <w:lang w:val="en-US" w:eastAsia="zh-CN"/>
              </w:rPr>
              <w:t>4</w:t>
            </w:r>
            <w:r>
              <w:rPr>
                <w:rFonts w:hint="eastAsia" w:ascii="宋体" w:hAnsi="宋体" w:eastAsia="宋体" w:cs="宋体"/>
                <w:b/>
                <w:bCs w:val="0"/>
                <w:color w:val="auto"/>
                <w:szCs w:val="21"/>
                <w:highlight w:val="none"/>
                <w:lang w:val="en-US" w:eastAsia="zh-CN"/>
              </w:rPr>
              <w:t>月内任意连续3个月的社保缴费证明或《投保单》或单位代缴个人所得税税单等复印件（加盖公章）或提供供应商与拟投入本项目团队成员签订的劳务合同复印件（法定代表人除外）</w:t>
            </w:r>
            <w:r>
              <w:rPr>
                <w:rFonts w:hint="eastAsia" w:ascii="宋体" w:hAnsi="宋体" w:eastAsia="宋体" w:cs="宋体"/>
                <w:b/>
                <w:bCs w:val="0"/>
                <w:color w:val="auto"/>
                <w:szCs w:val="21"/>
                <w:highlight w:val="none"/>
                <w:lang w:val="zh-CN"/>
              </w:rPr>
              <w:t>。</w:t>
            </w:r>
          </w:p>
        </w:tc>
      </w:tr>
      <w:tr w14:paraId="61AD66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18" w:type="dxa"/>
            <w:tcBorders>
              <w:top w:val="single" w:color="auto" w:sz="4" w:space="0"/>
              <w:left w:val="single" w:color="auto" w:sz="4" w:space="0"/>
              <w:bottom w:val="single" w:color="auto" w:sz="4" w:space="0"/>
              <w:right w:val="single" w:color="auto" w:sz="4" w:space="0"/>
            </w:tcBorders>
            <w:noWrap w:val="0"/>
            <w:vAlign w:val="center"/>
          </w:tcPr>
          <w:p w14:paraId="4FB2BC4D">
            <w:pPr>
              <w:keepNext w:val="0"/>
              <w:keepLines w:val="0"/>
              <w:pageBreakBefore w:val="0"/>
              <w:widowControl/>
              <w:kinsoku/>
              <w:wordWrap w:val="0"/>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分标</w:t>
            </w:r>
          </w:p>
        </w:tc>
        <w:tc>
          <w:tcPr>
            <w:tcW w:w="970" w:type="dxa"/>
            <w:tcBorders>
              <w:top w:val="single" w:color="auto" w:sz="4" w:space="0"/>
              <w:left w:val="single" w:color="auto" w:sz="4" w:space="0"/>
              <w:bottom w:val="single" w:color="auto" w:sz="4" w:space="0"/>
              <w:right w:val="single" w:color="auto" w:sz="4" w:space="0"/>
            </w:tcBorders>
            <w:noWrap w:val="0"/>
            <w:vAlign w:val="center"/>
          </w:tcPr>
          <w:p w14:paraId="277633FA">
            <w:pPr>
              <w:keepNext w:val="0"/>
              <w:keepLines w:val="0"/>
              <w:pageBreakBefore w:val="0"/>
              <w:widowControl/>
              <w:kinsoku/>
              <w:wordWrap w:val="0"/>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olor w:val="auto"/>
                <w:szCs w:val="21"/>
                <w:highlight w:val="none"/>
                <w:lang w:eastAsia="zh-CN"/>
              </w:rPr>
              <w:t>2026年财会监督检查服务1</w:t>
            </w:r>
          </w:p>
        </w:tc>
        <w:tc>
          <w:tcPr>
            <w:tcW w:w="852" w:type="dxa"/>
            <w:tcBorders>
              <w:top w:val="single" w:color="auto" w:sz="4" w:space="0"/>
              <w:left w:val="single" w:color="auto" w:sz="4" w:space="0"/>
              <w:bottom w:val="single" w:color="auto" w:sz="4" w:space="0"/>
              <w:right w:val="single" w:color="auto" w:sz="4" w:space="0"/>
            </w:tcBorders>
            <w:noWrap w:val="0"/>
            <w:vAlign w:val="center"/>
          </w:tcPr>
          <w:p w14:paraId="637E6A24">
            <w:pPr>
              <w:keepNext w:val="0"/>
              <w:keepLines w:val="0"/>
              <w:pageBreakBefore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1项</w:t>
            </w:r>
          </w:p>
        </w:tc>
        <w:tc>
          <w:tcPr>
            <w:tcW w:w="1061" w:type="dxa"/>
            <w:tcBorders>
              <w:top w:val="single" w:color="auto" w:sz="4" w:space="0"/>
              <w:left w:val="single" w:color="auto" w:sz="4" w:space="0"/>
              <w:bottom w:val="single" w:color="auto" w:sz="4" w:space="0"/>
              <w:right w:val="single" w:color="000000" w:sz="4" w:space="0"/>
            </w:tcBorders>
            <w:noWrap w:val="0"/>
            <w:vAlign w:val="center"/>
          </w:tcPr>
          <w:p w14:paraId="7E196CA2">
            <w:pPr>
              <w:keepNext w:val="0"/>
              <w:keepLines w:val="0"/>
              <w:pageBreakBefore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color w:val="auto"/>
                <w:szCs w:val="21"/>
                <w:highlight w:val="none"/>
                <w:u w:val="none"/>
                <w:lang w:eastAsia="zh-CN"/>
              </w:rPr>
              <w:t>租赁和商务服务业</w:t>
            </w:r>
          </w:p>
        </w:tc>
        <w:tc>
          <w:tcPr>
            <w:tcW w:w="6139" w:type="dxa"/>
            <w:tcBorders>
              <w:top w:val="single" w:color="auto" w:sz="4" w:space="0"/>
              <w:left w:val="single" w:color="000000" w:sz="4" w:space="0"/>
              <w:bottom w:val="single" w:color="auto" w:sz="4" w:space="0"/>
              <w:right w:val="single" w:color="auto" w:sz="4" w:space="0"/>
            </w:tcBorders>
            <w:noWrap w:val="0"/>
            <w:vAlign w:val="center"/>
          </w:tcPr>
          <w:p w14:paraId="3B30174E">
            <w:pPr>
              <w:keepNext w:val="0"/>
              <w:keepLines w:val="0"/>
              <w:pageBreakBefore w:val="0"/>
              <w:widowControl w:val="0"/>
              <w:numPr>
                <w:ilvl w:val="0"/>
                <w:numId w:val="0"/>
              </w:numPr>
              <w:kinsoku/>
              <w:wordWrap w:val="0"/>
              <w:overflowPunct/>
              <w:topLinePunct w:val="0"/>
              <w:autoSpaceDE/>
              <w:autoSpaceDN/>
              <w:bidi w:val="0"/>
              <w:adjustRightInd/>
              <w:snapToGrid/>
              <w:spacing w:line="360" w:lineRule="exact"/>
              <w:ind w:firstLine="420" w:firstLineChars="200"/>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一、服务内容</w:t>
            </w:r>
          </w:p>
          <w:p w14:paraId="52B96EE1">
            <w:pPr>
              <w:keepNext w:val="0"/>
              <w:keepLines w:val="0"/>
              <w:pageBreakBefore w:val="0"/>
              <w:widowControl w:val="0"/>
              <w:numPr>
                <w:ilvl w:val="0"/>
                <w:numId w:val="0"/>
              </w:numPr>
              <w:kinsoku/>
              <w:wordWrap w:val="0"/>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根据《广西壮族自治区交通运输厅财务监督检查办法》（桂交办财务〔</w:t>
            </w:r>
            <w:r>
              <w:rPr>
                <w:rFonts w:hint="eastAsia" w:ascii="宋体" w:hAnsi="宋体" w:cs="宋体"/>
                <w:color w:val="auto"/>
                <w:sz w:val="21"/>
                <w:szCs w:val="21"/>
                <w:highlight w:val="none"/>
                <w:lang w:val="en-US" w:eastAsia="zh-CN"/>
              </w:rPr>
              <w:t>2022</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34号</w:t>
            </w:r>
            <w:r>
              <w:rPr>
                <w:rFonts w:hint="eastAsia" w:ascii="宋体" w:hAnsi="宋体" w:cs="宋体"/>
                <w:color w:val="auto"/>
                <w:sz w:val="21"/>
                <w:szCs w:val="21"/>
                <w:highlight w:val="none"/>
                <w:lang w:eastAsia="zh-CN"/>
              </w:rPr>
              <w:t>）《广西壮族自治区交通运输厅关于进一步加强交通运输部门预算管理和财会监督工作的通知》（桂交财务函〔</w:t>
            </w:r>
            <w:r>
              <w:rPr>
                <w:rFonts w:hint="eastAsia" w:ascii="宋体" w:hAnsi="宋体" w:cs="宋体"/>
                <w:color w:val="auto"/>
                <w:sz w:val="21"/>
                <w:szCs w:val="21"/>
                <w:highlight w:val="none"/>
                <w:lang w:val="en-US" w:eastAsia="zh-CN"/>
              </w:rPr>
              <w:t>2024</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41号</w:t>
            </w:r>
            <w:r>
              <w:rPr>
                <w:rFonts w:hint="eastAsia" w:ascii="宋体" w:hAnsi="宋体" w:cs="宋体"/>
                <w:color w:val="auto"/>
                <w:sz w:val="21"/>
                <w:szCs w:val="21"/>
                <w:highlight w:val="none"/>
                <w:lang w:eastAsia="zh-CN"/>
              </w:rPr>
              <w:t>）要求，</w:t>
            </w:r>
            <w:r>
              <w:rPr>
                <w:rFonts w:hint="eastAsia" w:ascii="宋体" w:hAnsi="宋体" w:eastAsia="宋体" w:cs="宋体"/>
                <w:color w:val="auto"/>
                <w:sz w:val="21"/>
                <w:szCs w:val="21"/>
                <w:highlight w:val="none"/>
              </w:rPr>
              <w:t>对自治区高速公路发展中心（延伸检查自治区高速公路发展中心百色分中心）</w:t>
            </w:r>
            <w:r>
              <w:rPr>
                <w:rFonts w:hint="eastAsia" w:ascii="宋体" w:hAnsi="宋体" w:cs="宋体"/>
                <w:color w:val="auto"/>
                <w:sz w:val="21"/>
                <w:szCs w:val="21"/>
                <w:highlight w:val="none"/>
                <w:lang w:eastAsia="zh-CN"/>
              </w:rPr>
              <w:t>、自治区桂林公路发展中心（延伸检查自治区全州公路养护中心）</w:t>
            </w:r>
            <w:r>
              <w:rPr>
                <w:rFonts w:hint="eastAsia" w:ascii="宋体" w:hAnsi="宋体" w:cs="宋体"/>
                <w:color w:val="auto"/>
                <w:sz w:val="21"/>
                <w:szCs w:val="21"/>
                <w:highlight w:val="none"/>
                <w:lang w:val="en-US" w:eastAsia="zh-CN"/>
              </w:rPr>
              <w:t>2025年地方政府隐性债务、</w:t>
            </w:r>
            <w:r>
              <w:rPr>
                <w:rFonts w:hint="eastAsia" w:ascii="宋体" w:hAnsi="宋体" w:eastAsia="宋体" w:cs="宋体"/>
                <w:color w:val="auto"/>
                <w:sz w:val="21"/>
                <w:szCs w:val="21"/>
                <w:highlight w:val="none"/>
              </w:rPr>
              <w:t>“两重”资金使用管理</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预算编制、预算执行、绩效评价、资金管理、资产管理、政府采购、落实</w:t>
            </w:r>
            <w:r>
              <w:rPr>
                <w:rFonts w:hint="eastAsia" w:ascii="宋体" w:hAnsi="宋体" w:cs="宋体"/>
                <w:color w:val="auto"/>
                <w:sz w:val="21"/>
                <w:szCs w:val="21"/>
                <w:highlight w:val="none"/>
                <w:lang w:eastAsia="zh-CN"/>
              </w:rPr>
              <w:t>《中共</w:t>
            </w:r>
            <w:r>
              <w:rPr>
                <w:rFonts w:hint="eastAsia" w:ascii="宋体" w:hAnsi="宋体" w:eastAsia="宋体" w:cs="宋体"/>
                <w:color w:val="auto"/>
                <w:sz w:val="21"/>
                <w:szCs w:val="21"/>
                <w:highlight w:val="none"/>
              </w:rPr>
              <w:t>中央办公厅、国务院办公厅关于进一步加强财会监督工作的意见》和《广西进一步加强财会监督工作实施方案》（以下简称《实施方案》）</w:t>
            </w:r>
            <w:r>
              <w:rPr>
                <w:rFonts w:hint="eastAsia" w:ascii="宋体" w:hAnsi="宋体" w:cs="宋体"/>
                <w:color w:val="auto"/>
                <w:sz w:val="21"/>
                <w:szCs w:val="21"/>
                <w:highlight w:val="none"/>
                <w:lang w:eastAsia="zh-CN"/>
              </w:rPr>
              <w:t>，以及</w:t>
            </w:r>
            <w:r>
              <w:rPr>
                <w:rFonts w:hint="eastAsia" w:ascii="宋体" w:hAnsi="宋体" w:cs="宋体"/>
                <w:color w:val="auto"/>
                <w:sz w:val="21"/>
                <w:szCs w:val="21"/>
                <w:highlight w:val="none"/>
                <w:lang w:val="en-US" w:eastAsia="zh-CN"/>
              </w:rPr>
              <w:t>以往巡视巡察、审计、财务检查发现问题整改情况</w:t>
            </w:r>
            <w:r>
              <w:rPr>
                <w:rFonts w:hint="eastAsia" w:ascii="宋体" w:hAnsi="宋体" w:cs="宋体"/>
                <w:color w:val="auto"/>
                <w:sz w:val="21"/>
                <w:szCs w:val="21"/>
                <w:highlight w:val="none"/>
                <w:lang w:eastAsia="zh-CN"/>
              </w:rPr>
              <w:t>等</w:t>
            </w:r>
            <w:r>
              <w:rPr>
                <w:rFonts w:hint="eastAsia" w:ascii="宋体" w:hAnsi="宋体" w:eastAsia="宋体" w:cs="宋体"/>
                <w:color w:val="auto"/>
                <w:sz w:val="21"/>
                <w:szCs w:val="21"/>
                <w:highlight w:val="none"/>
              </w:rPr>
              <w:t>方面开展财会监督检查，并出具</w:t>
            </w:r>
            <w:r>
              <w:rPr>
                <w:rFonts w:hint="eastAsia" w:ascii="宋体" w:hAnsi="宋体" w:cs="宋体"/>
                <w:color w:val="auto"/>
                <w:sz w:val="21"/>
                <w:szCs w:val="21"/>
                <w:highlight w:val="none"/>
                <w:lang w:val="en-US" w:eastAsia="zh-CN"/>
              </w:rPr>
              <w:t>2个单位的</w:t>
            </w:r>
            <w:r>
              <w:rPr>
                <w:rFonts w:hint="eastAsia" w:ascii="宋体" w:hAnsi="宋体" w:eastAsia="宋体" w:cs="宋体"/>
                <w:color w:val="auto"/>
                <w:sz w:val="21"/>
                <w:szCs w:val="21"/>
                <w:highlight w:val="none"/>
              </w:rPr>
              <w:t>财会监督检查报告。</w:t>
            </w:r>
          </w:p>
          <w:p w14:paraId="77E60DAA">
            <w:pPr>
              <w:keepNext w:val="0"/>
              <w:keepLines w:val="0"/>
              <w:pageBreakBefore w:val="0"/>
              <w:widowControl w:val="0"/>
              <w:numPr>
                <w:ilvl w:val="0"/>
                <w:numId w:val="0"/>
              </w:numPr>
              <w:kinsoku/>
              <w:wordWrap w:val="0"/>
              <w:overflowPunct/>
              <w:topLinePunct w:val="0"/>
              <w:autoSpaceDE/>
              <w:autoSpaceDN/>
              <w:bidi w:val="0"/>
              <w:adjustRightInd/>
              <w:snapToGrid/>
              <w:spacing w:line="360" w:lineRule="exact"/>
              <w:ind w:leftChars="200"/>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二、检查方式</w:t>
            </w:r>
          </w:p>
          <w:p w14:paraId="3E9E25C9">
            <w:pPr>
              <w:keepNext w:val="0"/>
              <w:keepLines w:val="0"/>
              <w:pageBreakBefore w:val="0"/>
              <w:widowControl w:val="0"/>
              <w:numPr>
                <w:ilvl w:val="0"/>
                <w:numId w:val="0"/>
              </w:numPr>
              <w:kinsoku/>
              <w:wordWrap w:val="0"/>
              <w:overflowPunct/>
              <w:topLinePunct w:val="0"/>
              <w:autoSpaceDE/>
              <w:autoSpaceDN/>
              <w:bidi w:val="0"/>
              <w:adjustRightInd/>
              <w:snapToGrid/>
              <w:spacing w:line="360" w:lineRule="exact"/>
              <w:ind w:leftChars="200"/>
              <w:textAlignment w:val="auto"/>
              <w:rPr>
                <w:rFonts w:hint="eastAsia" w:ascii="宋体" w:hAnsi="宋体" w:cs="宋体"/>
                <w:color w:val="auto"/>
                <w:sz w:val="21"/>
                <w:szCs w:val="21"/>
                <w:highlight w:val="none"/>
                <w:lang w:eastAsia="zh-CN"/>
              </w:rPr>
            </w:pPr>
            <w:r>
              <w:rPr>
                <w:rFonts w:hint="eastAsia"/>
                <w:color w:val="auto"/>
                <w:szCs w:val="21"/>
                <w:highlight w:val="none"/>
              </w:rPr>
              <w:t>线上和现场实地</w:t>
            </w:r>
            <w:r>
              <w:rPr>
                <w:rFonts w:hint="eastAsia"/>
                <w:color w:val="auto"/>
                <w:szCs w:val="21"/>
                <w:highlight w:val="none"/>
                <w:lang w:eastAsia="zh-CN"/>
              </w:rPr>
              <w:t>检查</w:t>
            </w:r>
            <w:r>
              <w:rPr>
                <w:rFonts w:hint="eastAsia"/>
                <w:color w:val="auto"/>
                <w:szCs w:val="21"/>
                <w:highlight w:val="none"/>
              </w:rPr>
              <w:t>相结合。</w:t>
            </w:r>
          </w:p>
          <w:p w14:paraId="2A6B95FC">
            <w:pPr>
              <w:keepNext w:val="0"/>
              <w:keepLines w:val="0"/>
              <w:pageBreakBefore w:val="0"/>
              <w:widowControl w:val="0"/>
              <w:numPr>
                <w:ilvl w:val="0"/>
                <w:numId w:val="0"/>
              </w:numPr>
              <w:kinsoku/>
              <w:wordWrap w:val="0"/>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三、检查内容</w:t>
            </w:r>
          </w:p>
          <w:p w14:paraId="5721996A">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地方政府隐性债务方面。（1）新增隐性债务方面。重点关注各市、县政府及其部门直接新增隐性债务，以及通过融资平台公司、国有企事业单位等各市、县政府及其部门之外的主体融资或垫资，承诺以政府未来财政收入作为还款来源等方式实施土地一级开发和公益性项目等新增隐性债务问题。重点检查交通工程建设项目等。（2）化债不实方面。重点关注“借新还旧”作化债处理，以虚假盘活资金资产等方式化解隐性债务，以虚假的企业经营收入化解隐性债务，债务单位未向债权人偿还债务但作化债处理，债务单位在未履行必要程序的情况下核销隐性债务并作化债处理等问题。（3）隐性债务置换政策落实不规范方面。重点关注用于置换隐性债务的再融资专项债券是否及时拨付和置换；是否存在套取骗取；是否用于偿还2023年末存量隐性债务外的其他债务；是否实行专户管理、专账核算、封闭运行，做到公平公正、规范操作；是否存在用于经常性支出和新上项目、铺新摊子等问题。</w:t>
            </w:r>
          </w:p>
          <w:p w14:paraId="34808E7A">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.“两重”资金使用管理</w:t>
            </w:r>
            <w:r>
              <w:rPr>
                <w:rFonts w:hint="eastAsia" w:ascii="宋体" w:hAnsi="宋体" w:cs="宋体"/>
                <w:color w:val="auto"/>
                <w:sz w:val="21"/>
                <w:szCs w:val="21"/>
                <w:highlight w:val="none"/>
                <w:lang w:eastAsia="zh-CN"/>
              </w:rPr>
              <w:t>方面</w:t>
            </w:r>
            <w:r>
              <w:rPr>
                <w:rFonts w:hint="eastAsia" w:ascii="宋体" w:hAnsi="宋体" w:eastAsia="宋体" w:cs="宋体"/>
                <w:color w:val="auto"/>
                <w:sz w:val="21"/>
                <w:szCs w:val="21"/>
                <w:highlight w:val="none"/>
              </w:rPr>
              <w:t>。聚焦2025年新建、在建以及完工项目，重点关注国家重大战略实施和重点领域安全能力建设（以下简称“两重”）资金是否及时分配下达资金；是否存在“以拨代支”、超进度拨款等违规拨付行为；是否虚高申报总投资套取中央资金；资金拨付是否严格履行相关审批程序和手续；是否存在项目实施进度缓慢，导致“钱等项目”等问题；是否存在拖欠工程款问题；是否超范围使用资金或用于与项目无关的其他支出；是否截留、挤占、挪用资金等。</w:t>
            </w:r>
            <w:r>
              <w:rPr>
                <w:rFonts w:hint="eastAsia" w:ascii="宋体" w:hAnsi="宋体" w:cs="宋体"/>
                <w:color w:val="auto"/>
                <w:sz w:val="21"/>
                <w:szCs w:val="21"/>
                <w:highlight w:val="none"/>
                <w:lang w:eastAsia="zh-CN"/>
              </w:rPr>
              <w:t>如发现</w:t>
            </w:r>
            <w:r>
              <w:rPr>
                <w:rFonts w:hint="eastAsia" w:ascii="宋体" w:hAnsi="宋体" w:eastAsia="宋体" w:cs="宋体"/>
                <w:color w:val="auto"/>
                <w:sz w:val="21"/>
                <w:szCs w:val="21"/>
                <w:highlight w:val="none"/>
              </w:rPr>
              <w:t>不符合“两重”政策支持方向，以“两重”名义违规兴建楼堂馆所、搞“形象工程”“政绩工程”等违规违纪行为</w:t>
            </w:r>
            <w:r>
              <w:rPr>
                <w:rFonts w:hint="eastAsia" w:ascii="宋体" w:hAnsi="宋体" w:cs="宋体"/>
                <w:color w:val="auto"/>
                <w:sz w:val="21"/>
                <w:szCs w:val="21"/>
                <w:highlight w:val="none"/>
                <w:lang w:eastAsia="zh-CN"/>
              </w:rPr>
              <w:t>，将及时移送相关部门处理。</w:t>
            </w:r>
          </w:p>
          <w:p w14:paraId="2FC99A8A">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预算编制方面。重点关注是否严格落实零基预算改革要求；部门预算编制不完整，结转结余资金管理不规范；虚报冒领人员经费、公用经费、项目经费；预算决策程序不符合规定；未按要求编制项目绩效目标等问题。</w:t>
            </w:r>
          </w:p>
          <w:p w14:paraId="484DC918">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预算执行方面。重点关注年底突击花钱，超进度支付款项，</w:t>
            </w:r>
          </w:p>
          <w:p w14:paraId="10EECB00">
            <w:pPr>
              <w:keepNext w:val="0"/>
              <w:keepLines w:val="0"/>
              <w:pageBreakBefore w:val="0"/>
              <w:widowControl w:val="0"/>
              <w:kinsoku/>
              <w:wordWrap w:val="0"/>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擅自扩大开支范围和标准违反规定自设新设、超范围超标准发放工资津贴补贴等；通过虚假合同、虚假票据等方式虚列支出；“三公”经费、会议费、培训费等支出管控不严，支出不规范；预算调剂不规范等问题。</w:t>
            </w:r>
          </w:p>
          <w:p w14:paraId="26B031A0">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预算绩效管理方面。重点关注绩效目标设定与项目实际脱节，或虚设、降低绩效目标值；绩效运行监控流于形式，未及时发现和纠正项目执行偏差；绩效评价走过场、自评不实，未按规定开展绩效评价或评价结果失真，甚至虚报绩效目标完成情况；未按规定落实绩效评价发现问题整改或虚假整改；是否将评估评价结果与预算安排挂钩。</w:t>
            </w:r>
          </w:p>
          <w:p w14:paraId="458489C8">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资金管理方面。重点关注违规从零余额账户向实有资金账户划拨资金；未按规定将存量资金收回统筹安排；银行账户管理不规范；挤占、挪用、违规对外出借资金；私设“小金库”，未按规定处置罚没财物和重点领域违规收费等问题。</w:t>
            </w:r>
          </w:p>
          <w:p w14:paraId="5F53FD18">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资产管理方面。重点关注未按规定建立内控制度，账账、账实、账卡不符，以及资产信息未按规定登记等行政事业单位国有资产基础管理问题；资产权属不清、未采取措施办理产权登记；超标准、超预算配置资产；资产长期闲置未及时采取措施盘活；资产清查盘点工作开展不力，闲置、低效运转、超标准配置等资产未纳入政府公物仓，不接受使用调剂资产造成资源浪费；资产出租、出借、对外投资、处置等管理不规范，未按规定履行审批</w:t>
            </w:r>
          </w:p>
          <w:p w14:paraId="51E40199">
            <w:pPr>
              <w:keepNext w:val="0"/>
              <w:keepLines w:val="0"/>
              <w:pageBreakBefore w:val="0"/>
              <w:widowControl w:val="0"/>
              <w:kinsoku/>
              <w:wordWrap w:val="0"/>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程序；资产使用、处置收益未按规定及时上交财政等问题。</w:t>
            </w:r>
          </w:p>
          <w:p w14:paraId="4BEC978C">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政府采购方面。重点关注采购信息是否依法公开；采购项目是否存在无预算或超预算采购；采购文件是否设置差别歧视条款；采购程序是否按法律法规实施；合同签订是否规范、是否按合同规定验收和支付资金等问题。</w:t>
            </w:r>
          </w:p>
          <w:p w14:paraId="6A872E76">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中共</w:t>
            </w:r>
            <w:r>
              <w:rPr>
                <w:rFonts w:hint="eastAsia" w:ascii="宋体" w:hAnsi="宋体" w:eastAsia="宋体" w:cs="宋体"/>
                <w:color w:val="auto"/>
                <w:sz w:val="21"/>
                <w:szCs w:val="21"/>
                <w:highlight w:val="none"/>
              </w:rPr>
              <w:t>中央办公厅、国务院办公厅关于进一步加强财会监督工作的意见》（以下简称《意见》）和《广西进一步加强财会监督工作实施方案》（以下简称《实施方案》）落实方面。重点关注未按照《意见》和《实施方案》要求切实履行依责监督、单位内部监督职责，包括财会监督自查自纠不深入、发现问题未及时整改、内部控制体系不完善、财会监督机制不健全等问题。</w:t>
            </w:r>
          </w:p>
          <w:p w14:paraId="583FD661">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10.以往巡视巡察、审计、财务检查发现问题整改情况方面。关注单位所接受的各项巡视巡察、审计、财务检查查出的财会方面问题的整改情况及其效果。</w:t>
            </w:r>
          </w:p>
          <w:p w14:paraId="3B875F48">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textAlignment w:val="auto"/>
              <w:rPr>
                <w:rFonts w:hint="default" w:ascii="宋体" w:hAnsi="宋体" w:cs="宋体"/>
                <w:color w:val="auto"/>
                <w:sz w:val="21"/>
                <w:szCs w:val="21"/>
                <w:highlight w:val="none"/>
                <w:lang w:val="en-US" w:eastAsia="zh-CN"/>
              </w:rPr>
            </w:pPr>
            <w:r>
              <w:rPr>
                <w:rFonts w:hint="eastAsia" w:ascii="宋体" w:hAnsi="宋体"/>
                <w:bCs/>
                <w:color w:val="auto"/>
                <w:sz w:val="21"/>
                <w:szCs w:val="21"/>
                <w:highlight w:val="none"/>
                <w:lang w:val="en-US" w:eastAsia="zh-CN"/>
              </w:rPr>
              <w:t>11.</w:t>
            </w:r>
            <w:r>
              <w:rPr>
                <w:rFonts w:hint="eastAsia" w:ascii="宋体" w:hAnsi="宋体" w:eastAsia="宋体"/>
                <w:bCs/>
                <w:color w:val="auto"/>
                <w:sz w:val="21"/>
                <w:szCs w:val="21"/>
                <w:highlight w:val="none"/>
                <w:lang w:val="en-US" w:eastAsia="zh-CN"/>
              </w:rPr>
              <w:t>国有“三资”盘活、落实过“紧日子”要求及财源建设等领域突出问题整治</w:t>
            </w:r>
            <w:r>
              <w:rPr>
                <w:rFonts w:hint="eastAsia" w:ascii="宋体" w:hAnsi="宋体"/>
                <w:bCs/>
                <w:color w:val="auto"/>
                <w:sz w:val="21"/>
                <w:szCs w:val="21"/>
                <w:highlight w:val="none"/>
                <w:lang w:val="en-US" w:eastAsia="zh-CN"/>
              </w:rPr>
              <w:t>方面。</w:t>
            </w:r>
            <w:r>
              <w:rPr>
                <w:rFonts w:hint="eastAsia" w:ascii="宋体" w:hAnsi="宋体" w:eastAsia="宋体"/>
                <w:bCs/>
                <w:color w:val="auto"/>
                <w:sz w:val="21"/>
                <w:szCs w:val="21"/>
                <w:highlight w:val="none"/>
                <w:lang w:val="en-US" w:eastAsia="zh-CN"/>
              </w:rPr>
              <w:t>重点关注财政资金闲置浪费、违规举债开展项目建设造成资产长期闲置等突出问题，以及超范围列支、违规拨付转移支付资金等典型问题。</w:t>
            </w:r>
          </w:p>
          <w:p w14:paraId="7FDF835D">
            <w:pPr>
              <w:keepNext w:val="0"/>
              <w:keepLines w:val="0"/>
              <w:pageBreakBefore w:val="0"/>
              <w:widowControl w:val="0"/>
              <w:kinsoku/>
              <w:wordWrap w:val="0"/>
              <w:overflowPunct/>
              <w:topLinePunct w:val="0"/>
              <w:autoSpaceDE/>
              <w:autoSpaceDN/>
              <w:bidi w:val="0"/>
              <w:adjustRightInd/>
              <w:snapToGrid/>
              <w:spacing w:line="360" w:lineRule="exact"/>
              <w:ind w:left="420" w:leftChars="200" w:firstLine="0" w:firstLineChars="0"/>
              <w:textAlignment w:val="auto"/>
              <w:rPr>
                <w:rFonts w:hint="eastAsia"/>
                <w:color w:val="auto"/>
                <w:szCs w:val="21"/>
                <w:highlight w:val="none"/>
              </w:rPr>
            </w:pPr>
            <w:r>
              <w:rPr>
                <w:rFonts w:hint="eastAsia"/>
                <w:color w:val="auto"/>
                <w:szCs w:val="21"/>
                <w:highlight w:val="none"/>
                <w:lang w:eastAsia="zh-CN"/>
              </w:rPr>
              <w:t>四</w:t>
            </w:r>
            <w:r>
              <w:rPr>
                <w:rFonts w:hint="eastAsia"/>
                <w:color w:val="auto"/>
                <w:szCs w:val="21"/>
                <w:highlight w:val="none"/>
              </w:rPr>
              <w:t>、工作要求</w:t>
            </w:r>
          </w:p>
          <w:p w14:paraId="6037D05D">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lang w:val="en-US" w:eastAsia="zh-CN"/>
              </w:rPr>
              <w:t>1.</w:t>
            </w:r>
            <w:r>
              <w:rPr>
                <w:rFonts w:hint="eastAsia" w:ascii="宋体" w:hAnsi="宋体" w:eastAsia="宋体"/>
                <w:bCs/>
                <w:color w:val="auto"/>
                <w:sz w:val="21"/>
                <w:szCs w:val="21"/>
                <w:highlight w:val="none"/>
              </w:rPr>
              <w:t>加强</w:t>
            </w:r>
            <w:r>
              <w:rPr>
                <w:rFonts w:hint="eastAsia" w:ascii="宋体" w:hAnsi="宋体" w:eastAsia="宋体"/>
                <w:bCs/>
                <w:color w:val="auto"/>
                <w:sz w:val="21"/>
                <w:szCs w:val="21"/>
                <w:highlight w:val="none"/>
                <w:lang w:eastAsia="zh-CN"/>
              </w:rPr>
              <w:t>组织</w:t>
            </w:r>
            <w:r>
              <w:rPr>
                <w:rFonts w:hint="eastAsia" w:ascii="宋体" w:hAnsi="宋体" w:eastAsia="宋体"/>
                <w:bCs/>
                <w:color w:val="auto"/>
                <w:sz w:val="21"/>
                <w:szCs w:val="21"/>
                <w:highlight w:val="none"/>
              </w:rPr>
              <w:t>领导</w:t>
            </w:r>
            <w:r>
              <w:rPr>
                <w:rFonts w:hint="eastAsia" w:ascii="宋体" w:hAnsi="宋体" w:eastAsia="宋体"/>
                <w:bCs/>
                <w:color w:val="auto"/>
                <w:sz w:val="21"/>
                <w:szCs w:val="21"/>
                <w:highlight w:val="none"/>
                <w:lang w:eastAsia="zh-CN"/>
              </w:rPr>
              <w:t>。</w:t>
            </w:r>
            <w:r>
              <w:rPr>
                <w:rFonts w:hint="eastAsia" w:ascii="宋体" w:hAnsi="宋体" w:eastAsia="宋体"/>
                <w:color w:val="auto"/>
                <w:sz w:val="21"/>
                <w:highlight w:val="none"/>
                <w:u w:val="none"/>
                <w:lang w:eastAsia="zh-CN"/>
              </w:rPr>
              <w:t>供应商应统筹安排本项目的检查力量，</w:t>
            </w:r>
            <w:r>
              <w:rPr>
                <w:rFonts w:hint="eastAsia" w:ascii="宋体" w:hAnsi="宋体" w:eastAsia="宋体"/>
                <w:color w:val="auto"/>
                <w:sz w:val="21"/>
                <w:highlight w:val="none"/>
                <w:lang w:eastAsia="zh-CN"/>
              </w:rPr>
              <w:t>派出检查组。</w:t>
            </w:r>
            <w:r>
              <w:rPr>
                <w:rFonts w:hint="eastAsia" w:ascii="宋体" w:hAnsi="宋体" w:eastAsia="宋体"/>
                <w:bCs/>
                <w:color w:val="auto"/>
                <w:sz w:val="21"/>
                <w:szCs w:val="21"/>
                <w:highlight w:val="none"/>
                <w:lang w:eastAsia="zh-CN"/>
              </w:rPr>
              <w:t>健全和落实检查质量控制工作机制和要求，遵守审计回避、廉洁、保密等审计工作纪律，</w:t>
            </w:r>
            <w:r>
              <w:rPr>
                <w:rFonts w:hint="eastAsia" w:ascii="宋体" w:hAnsi="宋体" w:eastAsia="宋体"/>
                <w:bCs/>
                <w:color w:val="auto"/>
                <w:sz w:val="21"/>
                <w:szCs w:val="21"/>
                <w:highlight w:val="none"/>
              </w:rPr>
              <w:t>为圆满完成任务提供有力的组织保障。</w:t>
            </w:r>
          </w:p>
          <w:p w14:paraId="7E0E087D">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hint="eastAsia" w:ascii="宋体" w:hAnsi="宋体" w:eastAsia="宋体"/>
                <w:color w:val="auto"/>
                <w:sz w:val="21"/>
                <w:highlight w:val="none"/>
                <w:u w:val="none"/>
                <w:lang w:eastAsia="zh-CN"/>
              </w:rPr>
            </w:pPr>
            <w:r>
              <w:rPr>
                <w:rFonts w:hint="eastAsia" w:ascii="宋体" w:hAnsi="宋体" w:eastAsia="宋体"/>
                <w:bCs/>
                <w:color w:val="auto"/>
                <w:sz w:val="21"/>
                <w:szCs w:val="21"/>
                <w:highlight w:val="none"/>
                <w:lang w:val="en-US" w:eastAsia="zh-CN"/>
              </w:rPr>
              <w:t>2.</w:t>
            </w:r>
            <w:r>
              <w:rPr>
                <w:rFonts w:hint="eastAsia" w:ascii="宋体" w:hAnsi="宋体" w:eastAsia="宋体"/>
                <w:color w:val="auto"/>
                <w:sz w:val="21"/>
                <w:highlight w:val="none"/>
                <w:u w:val="none"/>
                <w:lang w:eastAsia="zh-CN"/>
              </w:rPr>
              <w:t>制定实施方案</w:t>
            </w:r>
            <w:r>
              <w:rPr>
                <w:rFonts w:hint="eastAsia" w:ascii="宋体" w:hAnsi="宋体" w:eastAsia="宋体"/>
                <w:bCs/>
                <w:color w:val="auto"/>
                <w:sz w:val="21"/>
                <w:szCs w:val="21"/>
                <w:highlight w:val="none"/>
                <w:lang w:eastAsia="zh-CN"/>
              </w:rPr>
              <w:t>。供应商</w:t>
            </w:r>
            <w:r>
              <w:rPr>
                <w:rFonts w:hint="eastAsia" w:ascii="宋体" w:hAnsi="宋体" w:eastAsia="宋体"/>
                <w:color w:val="auto"/>
                <w:sz w:val="21"/>
                <w:highlight w:val="none"/>
                <w:u w:val="none"/>
              </w:rPr>
              <w:t>及</w:t>
            </w:r>
            <w:r>
              <w:rPr>
                <w:rFonts w:hint="eastAsia" w:ascii="宋体" w:hAnsi="宋体" w:eastAsia="宋体"/>
                <w:bCs/>
                <w:color w:val="auto"/>
                <w:sz w:val="21"/>
                <w:szCs w:val="21"/>
                <w:highlight w:val="none"/>
              </w:rPr>
              <w:t>派出审计组</w:t>
            </w:r>
            <w:r>
              <w:rPr>
                <w:rFonts w:hint="eastAsia" w:ascii="宋体" w:hAnsi="宋体" w:eastAsia="宋体"/>
                <w:bCs/>
                <w:color w:val="auto"/>
                <w:sz w:val="21"/>
                <w:szCs w:val="21"/>
                <w:highlight w:val="none"/>
                <w:lang w:eastAsia="zh-CN"/>
              </w:rPr>
              <w:t>成员</w:t>
            </w:r>
            <w:r>
              <w:rPr>
                <w:rFonts w:hint="eastAsia" w:ascii="宋体" w:hAnsi="宋体" w:eastAsia="宋体"/>
                <w:color w:val="auto"/>
                <w:sz w:val="21"/>
                <w:highlight w:val="none"/>
              </w:rPr>
              <w:t>进驻被</w:t>
            </w:r>
            <w:r>
              <w:rPr>
                <w:rFonts w:hint="eastAsia" w:ascii="宋体" w:hAnsi="宋体" w:eastAsia="宋体"/>
                <w:color w:val="auto"/>
                <w:sz w:val="21"/>
                <w:highlight w:val="none"/>
                <w:lang w:eastAsia="zh-CN"/>
              </w:rPr>
              <w:t>检查</w:t>
            </w:r>
            <w:r>
              <w:rPr>
                <w:rFonts w:hint="eastAsia" w:ascii="宋体" w:hAnsi="宋体" w:eastAsia="宋体"/>
                <w:color w:val="auto"/>
                <w:sz w:val="21"/>
                <w:highlight w:val="none"/>
              </w:rPr>
              <w:t>单位前，</w:t>
            </w:r>
            <w:r>
              <w:rPr>
                <w:rFonts w:hint="eastAsia" w:ascii="宋体" w:hAnsi="宋体" w:eastAsia="宋体" w:cs="宋体"/>
                <w:color w:val="auto"/>
                <w:sz w:val="21"/>
                <w:szCs w:val="21"/>
                <w:highlight w:val="none"/>
              </w:rPr>
              <w:t>应了解被</w:t>
            </w:r>
            <w:r>
              <w:rPr>
                <w:rFonts w:hint="eastAsia" w:ascii="宋体" w:hAnsi="宋体" w:eastAsia="宋体" w:cs="宋体"/>
                <w:color w:val="auto"/>
                <w:sz w:val="21"/>
                <w:szCs w:val="21"/>
                <w:highlight w:val="none"/>
                <w:lang w:eastAsia="zh-CN"/>
              </w:rPr>
              <w:t>检查</w:t>
            </w:r>
            <w:r>
              <w:rPr>
                <w:rFonts w:hint="eastAsia" w:ascii="宋体" w:hAnsi="宋体" w:eastAsia="宋体" w:cs="宋体"/>
                <w:color w:val="auto"/>
                <w:sz w:val="21"/>
                <w:szCs w:val="21"/>
                <w:highlight w:val="none"/>
              </w:rPr>
              <w:t>单位基本情况</w:t>
            </w:r>
            <w:r>
              <w:rPr>
                <w:rFonts w:hint="eastAsia" w:ascii="宋体" w:hAnsi="宋体" w:eastAsia="宋体" w:cs="宋体"/>
                <w:color w:val="auto"/>
                <w:sz w:val="21"/>
                <w:szCs w:val="21"/>
                <w:highlight w:val="none"/>
                <w:lang w:eastAsia="zh-CN"/>
              </w:rPr>
              <w:t>，</w:t>
            </w:r>
            <w:r>
              <w:rPr>
                <w:rFonts w:hint="eastAsia" w:ascii="宋体" w:hAnsi="宋体" w:eastAsia="宋体"/>
                <w:bCs/>
                <w:color w:val="auto"/>
                <w:sz w:val="21"/>
                <w:szCs w:val="21"/>
                <w:highlight w:val="none"/>
              </w:rPr>
              <w:t>针对性地修改和完善</w:t>
            </w:r>
            <w:r>
              <w:rPr>
                <w:rFonts w:hint="eastAsia" w:ascii="宋体" w:hAnsi="宋体" w:eastAsia="宋体"/>
                <w:bCs/>
                <w:color w:val="auto"/>
                <w:sz w:val="21"/>
                <w:szCs w:val="21"/>
                <w:highlight w:val="none"/>
                <w:lang w:eastAsia="zh-CN"/>
              </w:rPr>
              <w:t>检查</w:t>
            </w:r>
            <w:r>
              <w:rPr>
                <w:rFonts w:hint="eastAsia" w:ascii="宋体" w:hAnsi="宋体" w:eastAsia="宋体"/>
                <w:bCs/>
                <w:color w:val="auto"/>
                <w:sz w:val="21"/>
                <w:szCs w:val="21"/>
                <w:highlight w:val="none"/>
              </w:rPr>
              <w:t>服务工作方案，编制全面完整的</w:t>
            </w:r>
            <w:r>
              <w:rPr>
                <w:rFonts w:hint="eastAsia" w:ascii="宋体" w:hAnsi="宋体" w:eastAsia="宋体"/>
                <w:bCs/>
                <w:color w:val="auto"/>
                <w:sz w:val="21"/>
                <w:szCs w:val="21"/>
                <w:highlight w:val="none"/>
                <w:lang w:eastAsia="zh-CN"/>
              </w:rPr>
              <w:t>项目检查</w:t>
            </w:r>
            <w:r>
              <w:rPr>
                <w:rFonts w:hint="eastAsia" w:ascii="宋体" w:hAnsi="宋体" w:eastAsia="宋体"/>
                <w:bCs/>
                <w:color w:val="auto"/>
                <w:sz w:val="21"/>
                <w:szCs w:val="21"/>
                <w:highlight w:val="none"/>
              </w:rPr>
              <w:t>实施方案提交采购人</w:t>
            </w:r>
            <w:r>
              <w:rPr>
                <w:rFonts w:hint="eastAsia" w:ascii="宋体" w:hAnsi="宋体" w:eastAsia="宋体"/>
                <w:color w:val="auto"/>
                <w:sz w:val="21"/>
                <w:highlight w:val="none"/>
                <w:u w:val="none"/>
              </w:rPr>
              <w:t>审核</w:t>
            </w:r>
            <w:r>
              <w:rPr>
                <w:rFonts w:hint="eastAsia" w:ascii="宋体" w:hAnsi="宋体" w:eastAsia="宋体"/>
                <w:color w:val="auto"/>
                <w:sz w:val="21"/>
                <w:highlight w:val="none"/>
                <w:lang w:eastAsia="zh-CN"/>
              </w:rPr>
              <w:t>，</w:t>
            </w:r>
            <w:r>
              <w:rPr>
                <w:rFonts w:hint="eastAsia" w:ascii="宋体" w:hAnsi="宋体" w:eastAsia="宋体"/>
                <w:color w:val="auto"/>
                <w:sz w:val="21"/>
                <w:highlight w:val="none"/>
                <w:u w:val="none"/>
                <w:lang w:eastAsia="zh-CN"/>
              </w:rPr>
              <w:t>按采购人</w:t>
            </w:r>
            <w:r>
              <w:rPr>
                <w:rFonts w:hint="eastAsia" w:ascii="宋体" w:hAnsi="宋体" w:eastAsia="宋体"/>
                <w:color w:val="auto"/>
                <w:sz w:val="21"/>
                <w:highlight w:val="none"/>
                <w:lang w:eastAsia="zh-CN"/>
              </w:rPr>
              <w:t>审定</w:t>
            </w:r>
            <w:r>
              <w:rPr>
                <w:rFonts w:hint="eastAsia" w:ascii="宋体" w:hAnsi="宋体" w:eastAsia="宋体"/>
                <w:color w:val="auto"/>
                <w:sz w:val="21"/>
                <w:highlight w:val="none"/>
                <w:u w:val="none"/>
                <w:lang w:eastAsia="zh-CN"/>
              </w:rPr>
              <w:t>的方案实施。项目检查实施方案的</w:t>
            </w:r>
            <w:r>
              <w:rPr>
                <w:rFonts w:hint="eastAsia" w:ascii="宋体" w:hAnsi="宋体" w:eastAsia="宋体"/>
                <w:color w:val="auto"/>
                <w:sz w:val="21"/>
                <w:highlight w:val="none"/>
                <w:lang w:eastAsia="zh-CN"/>
              </w:rPr>
              <w:t>主要</w:t>
            </w:r>
            <w:r>
              <w:rPr>
                <w:rFonts w:hint="eastAsia" w:ascii="宋体" w:hAnsi="宋体" w:eastAsia="宋体"/>
                <w:color w:val="auto"/>
                <w:sz w:val="21"/>
                <w:highlight w:val="none"/>
                <w:u w:val="none"/>
                <w:lang w:eastAsia="zh-CN"/>
              </w:rPr>
              <w:t>内容应</w:t>
            </w:r>
            <w:r>
              <w:rPr>
                <w:rFonts w:hint="eastAsia" w:ascii="宋体" w:hAnsi="宋体" w:eastAsia="宋体"/>
                <w:color w:val="auto"/>
                <w:sz w:val="21"/>
                <w:highlight w:val="none"/>
                <w:lang w:eastAsia="zh-CN"/>
              </w:rPr>
              <w:t>包括</w:t>
            </w:r>
            <w:r>
              <w:rPr>
                <w:rFonts w:hint="eastAsia" w:ascii="宋体" w:hAnsi="宋体" w:eastAsia="宋体"/>
                <w:color w:val="auto"/>
                <w:sz w:val="21"/>
                <w:highlight w:val="none"/>
                <w:u w:val="none"/>
                <w:lang w:eastAsia="zh-CN"/>
              </w:rPr>
              <w:t>以下内容</w:t>
            </w:r>
            <w:r>
              <w:rPr>
                <w:rFonts w:hint="eastAsia" w:ascii="宋体" w:hAnsi="宋体" w:eastAsia="宋体"/>
                <w:color w:val="auto"/>
                <w:sz w:val="21"/>
                <w:highlight w:val="none"/>
                <w:lang w:eastAsia="zh-CN"/>
              </w:rPr>
              <w:t>：编制依据、</w:t>
            </w:r>
            <w:r>
              <w:rPr>
                <w:rFonts w:hint="eastAsia" w:ascii="宋体" w:hAnsi="宋体" w:eastAsia="宋体"/>
                <w:color w:val="auto"/>
                <w:sz w:val="21"/>
                <w:highlight w:val="none"/>
                <w:u w:val="none"/>
                <w:lang w:eastAsia="zh-CN"/>
              </w:rPr>
              <w:t>检查范围、检查</w:t>
            </w:r>
            <w:r>
              <w:rPr>
                <w:rFonts w:hint="eastAsia" w:ascii="宋体" w:hAnsi="宋体" w:eastAsia="宋体"/>
                <w:color w:val="auto"/>
                <w:sz w:val="21"/>
                <w:highlight w:val="none"/>
                <w:lang w:eastAsia="zh-CN"/>
              </w:rPr>
              <w:t>目标、</w:t>
            </w:r>
            <w:r>
              <w:rPr>
                <w:rFonts w:hint="eastAsia" w:ascii="宋体" w:hAnsi="宋体" w:eastAsia="宋体"/>
                <w:color w:val="auto"/>
                <w:sz w:val="21"/>
                <w:highlight w:val="none"/>
                <w:u w:val="none"/>
                <w:lang w:eastAsia="zh-CN"/>
              </w:rPr>
              <w:t>被检查单位基本情况、</w:t>
            </w:r>
            <w:r>
              <w:rPr>
                <w:rFonts w:hint="eastAsia" w:ascii="宋体" w:hAnsi="宋体" w:eastAsia="宋体"/>
                <w:color w:val="auto"/>
                <w:sz w:val="21"/>
                <w:highlight w:val="none"/>
                <w:lang w:eastAsia="zh-CN"/>
              </w:rPr>
              <w:t>重要性分析和审计风险评估、</w:t>
            </w:r>
            <w:r>
              <w:rPr>
                <w:rFonts w:hint="eastAsia" w:ascii="宋体" w:hAnsi="宋体" w:eastAsia="宋体"/>
                <w:color w:val="auto"/>
                <w:sz w:val="21"/>
                <w:highlight w:val="none"/>
                <w:u w:val="none"/>
                <w:lang w:eastAsia="zh-CN"/>
              </w:rPr>
              <w:t>检查</w:t>
            </w:r>
            <w:r>
              <w:rPr>
                <w:rFonts w:hint="eastAsia" w:ascii="宋体" w:hAnsi="宋体" w:eastAsia="宋体"/>
                <w:color w:val="auto"/>
                <w:sz w:val="21"/>
                <w:highlight w:val="none"/>
                <w:lang w:eastAsia="zh-CN"/>
              </w:rPr>
              <w:t>内容及</w:t>
            </w:r>
            <w:r>
              <w:rPr>
                <w:rFonts w:hint="eastAsia" w:ascii="宋体" w:hAnsi="宋体" w:eastAsia="宋体"/>
                <w:color w:val="auto"/>
                <w:sz w:val="21"/>
                <w:highlight w:val="none"/>
                <w:u w:val="none"/>
                <w:lang w:eastAsia="zh-CN"/>
              </w:rPr>
              <w:t>检查步骤和</w:t>
            </w:r>
            <w:r>
              <w:rPr>
                <w:rFonts w:hint="eastAsia" w:ascii="宋体" w:hAnsi="宋体" w:eastAsia="宋体"/>
                <w:color w:val="auto"/>
                <w:sz w:val="21"/>
                <w:highlight w:val="none"/>
                <w:lang w:eastAsia="zh-CN"/>
              </w:rPr>
              <w:t>方法、预定</w:t>
            </w:r>
            <w:r>
              <w:rPr>
                <w:rFonts w:hint="eastAsia" w:ascii="宋体" w:hAnsi="宋体" w:eastAsia="宋体"/>
                <w:color w:val="auto"/>
                <w:sz w:val="21"/>
                <w:highlight w:val="none"/>
                <w:u w:val="none"/>
                <w:lang w:eastAsia="zh-CN"/>
              </w:rPr>
              <w:t>检查</w:t>
            </w:r>
            <w:r>
              <w:rPr>
                <w:rFonts w:hint="eastAsia" w:ascii="宋体" w:hAnsi="宋体" w:eastAsia="宋体"/>
                <w:color w:val="auto"/>
                <w:sz w:val="21"/>
                <w:highlight w:val="none"/>
                <w:lang w:eastAsia="zh-CN"/>
              </w:rPr>
              <w:t>工作起止时间、</w:t>
            </w:r>
            <w:r>
              <w:rPr>
                <w:rFonts w:hint="eastAsia" w:ascii="宋体" w:hAnsi="宋体" w:eastAsia="宋体"/>
                <w:color w:val="auto"/>
                <w:sz w:val="21"/>
                <w:highlight w:val="none"/>
                <w:u w:val="none"/>
                <w:lang w:eastAsia="zh-CN"/>
              </w:rPr>
              <w:t>检查</w:t>
            </w:r>
            <w:r>
              <w:rPr>
                <w:rFonts w:hint="eastAsia" w:ascii="宋体" w:hAnsi="宋体" w:eastAsia="宋体"/>
                <w:color w:val="auto"/>
                <w:sz w:val="21"/>
                <w:highlight w:val="none"/>
                <w:lang w:eastAsia="zh-CN"/>
              </w:rPr>
              <w:t>组成员及分工</w:t>
            </w:r>
            <w:r>
              <w:rPr>
                <w:rFonts w:hint="eastAsia" w:ascii="宋体" w:hAnsi="宋体" w:eastAsia="宋体"/>
                <w:color w:val="auto"/>
                <w:sz w:val="21"/>
                <w:highlight w:val="none"/>
                <w:u w:val="none"/>
                <w:lang w:eastAsia="zh-CN"/>
              </w:rPr>
              <w:t>等。其中，</w:t>
            </w:r>
            <w:r>
              <w:rPr>
                <w:rFonts w:hint="eastAsia" w:ascii="宋体" w:hAnsi="宋体" w:eastAsia="宋体" w:cs="宋体"/>
                <w:color w:val="auto"/>
                <w:sz w:val="21"/>
                <w:szCs w:val="21"/>
                <w:highlight w:val="none"/>
              </w:rPr>
              <w:t>供应商需按照重要性原则，确定报表的整体重要性水平为总收入或总支出的1%～2%，对单笔金额超过重要性水平10%的大额凭证100%检查，其余凭证按30%～40%比例抽查。</w:t>
            </w:r>
          </w:p>
          <w:p w14:paraId="3B35E9B7">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lang w:val="en-US" w:eastAsia="zh-CN"/>
              </w:rPr>
              <w:t>3.</w:t>
            </w:r>
            <w:r>
              <w:rPr>
                <w:rFonts w:hint="eastAsia" w:ascii="宋体" w:hAnsi="宋体" w:eastAsia="宋体"/>
                <w:color w:val="auto"/>
                <w:sz w:val="21"/>
                <w:highlight w:val="none"/>
                <w:u w:val="none"/>
              </w:rPr>
              <w:t>健全工作机制</w:t>
            </w:r>
            <w:r>
              <w:rPr>
                <w:rFonts w:hint="eastAsia" w:ascii="宋体" w:hAnsi="宋体" w:eastAsia="宋体"/>
                <w:bCs/>
                <w:color w:val="auto"/>
                <w:sz w:val="21"/>
                <w:szCs w:val="21"/>
                <w:highlight w:val="none"/>
              </w:rPr>
              <w:t>。</w:t>
            </w:r>
            <w:r>
              <w:rPr>
                <w:rFonts w:hint="eastAsia" w:ascii="宋体" w:hAnsi="宋体" w:eastAsia="宋体"/>
                <w:color w:val="auto"/>
                <w:sz w:val="21"/>
                <w:highlight w:val="none"/>
              </w:rPr>
              <w:t>为确保高质</w:t>
            </w:r>
            <w:r>
              <w:rPr>
                <w:rFonts w:hint="eastAsia" w:ascii="宋体" w:hAnsi="宋体" w:eastAsia="宋体"/>
                <w:color w:val="auto"/>
                <w:sz w:val="21"/>
                <w:highlight w:val="none"/>
                <w:u w:val="none"/>
              </w:rPr>
              <w:t>量</w:t>
            </w:r>
            <w:r>
              <w:rPr>
                <w:rFonts w:hint="eastAsia" w:ascii="宋体" w:hAnsi="宋体" w:eastAsia="宋体"/>
                <w:bCs/>
                <w:color w:val="auto"/>
                <w:sz w:val="21"/>
                <w:szCs w:val="21"/>
                <w:highlight w:val="none"/>
              </w:rPr>
              <w:t>完成任务，</w:t>
            </w:r>
            <w:r>
              <w:rPr>
                <w:rFonts w:hint="eastAsia" w:ascii="宋体" w:hAnsi="宋体" w:eastAsia="宋体"/>
                <w:bCs/>
                <w:color w:val="auto"/>
                <w:sz w:val="21"/>
                <w:szCs w:val="21"/>
                <w:highlight w:val="none"/>
                <w:lang w:eastAsia="zh-CN"/>
              </w:rPr>
              <w:t>供应商要建立</w:t>
            </w:r>
            <w:r>
              <w:rPr>
                <w:rFonts w:hint="eastAsia" w:ascii="宋体" w:hAnsi="宋体" w:eastAsia="宋体"/>
                <w:color w:val="auto"/>
                <w:sz w:val="21"/>
                <w:highlight w:val="none"/>
                <w:u w:val="none"/>
                <w:lang w:eastAsia="zh-CN"/>
              </w:rPr>
              <w:t>检查</w:t>
            </w:r>
            <w:r>
              <w:rPr>
                <w:rFonts w:hint="eastAsia" w:ascii="宋体" w:hAnsi="宋体" w:eastAsia="宋体"/>
                <w:bCs/>
                <w:color w:val="auto"/>
                <w:sz w:val="21"/>
                <w:szCs w:val="21"/>
                <w:highlight w:val="none"/>
                <w:lang w:eastAsia="zh-CN"/>
              </w:rPr>
              <w:t>项目沟通会等工作机制，定期召开现场检查组和采购人进展情况汇报沟通会；检查组</w:t>
            </w:r>
            <w:r>
              <w:rPr>
                <w:rFonts w:hint="eastAsia" w:ascii="宋体" w:hAnsi="宋体" w:eastAsia="宋体"/>
                <w:color w:val="auto"/>
                <w:sz w:val="21"/>
                <w:highlight w:val="none"/>
              </w:rPr>
              <w:t>成员之间要加强沟通与协作，充分利用科技手段，提高工作效率；</w:t>
            </w:r>
            <w:r>
              <w:rPr>
                <w:rFonts w:hint="eastAsia" w:ascii="宋体" w:hAnsi="宋体" w:eastAsia="宋体"/>
                <w:color w:val="auto"/>
                <w:sz w:val="21"/>
                <w:highlight w:val="none"/>
                <w:u w:val="none"/>
                <w:lang w:eastAsia="zh-CN"/>
              </w:rPr>
              <w:t>检查</w:t>
            </w:r>
            <w:r>
              <w:rPr>
                <w:rFonts w:hint="eastAsia" w:ascii="宋体" w:hAnsi="宋体" w:eastAsia="宋体"/>
                <w:color w:val="auto"/>
                <w:sz w:val="21"/>
                <w:highlight w:val="none"/>
                <w:u w:val="none"/>
              </w:rPr>
              <w:t>组</w:t>
            </w:r>
            <w:r>
              <w:rPr>
                <w:rFonts w:hint="eastAsia" w:ascii="宋体" w:hAnsi="宋体" w:eastAsia="宋体"/>
                <w:bCs/>
                <w:color w:val="auto"/>
                <w:sz w:val="21"/>
                <w:szCs w:val="21"/>
                <w:highlight w:val="none"/>
              </w:rPr>
              <w:t>要认真做好取证、工作底稿等基础性工作，做到事实清楚，证据充分，依据有力，定性准确；</w:t>
            </w:r>
            <w:r>
              <w:rPr>
                <w:rFonts w:hint="eastAsia" w:ascii="宋体" w:hAnsi="宋体" w:eastAsia="宋体"/>
                <w:color w:val="auto"/>
                <w:sz w:val="21"/>
                <w:highlight w:val="none"/>
                <w:lang w:eastAsia="zh-CN"/>
              </w:rPr>
              <w:t>对编制的工作底稿、草拟的检查报告，一般要履行“主审—检查组组长（</w:t>
            </w:r>
            <w:r>
              <w:rPr>
                <w:rFonts w:hint="eastAsia" w:ascii="宋体" w:hAnsi="宋体" w:eastAsia="宋体"/>
                <w:color w:val="auto"/>
                <w:sz w:val="21"/>
                <w:highlight w:val="none"/>
                <w:u w:val="none"/>
                <w:lang w:eastAsia="zh-CN"/>
              </w:rPr>
              <w:t>或副组长</w:t>
            </w:r>
            <w:r>
              <w:rPr>
                <w:rFonts w:hint="eastAsia" w:ascii="宋体" w:hAnsi="宋体" w:eastAsia="宋体"/>
                <w:bCs/>
                <w:color w:val="auto"/>
                <w:sz w:val="21"/>
                <w:szCs w:val="21"/>
                <w:highlight w:val="none"/>
                <w:lang w:eastAsia="zh-CN"/>
              </w:rPr>
              <w:t>）—采购人财审机构负责人”的复核程序，保证检查工作质量。</w:t>
            </w:r>
          </w:p>
          <w:p w14:paraId="2F2D7D7A">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hint="eastAsia"/>
                <w:color w:val="auto"/>
                <w:highlight w:val="none"/>
              </w:rPr>
            </w:pPr>
            <w:r>
              <w:rPr>
                <w:rFonts w:hint="eastAsia" w:ascii="宋体" w:hAnsi="宋体" w:eastAsia="宋体"/>
                <w:bCs/>
                <w:color w:val="auto"/>
                <w:sz w:val="21"/>
                <w:szCs w:val="21"/>
                <w:highlight w:val="none"/>
                <w:lang w:val="en-US" w:eastAsia="zh-CN"/>
              </w:rPr>
              <w:t>4.</w:t>
            </w:r>
            <w:r>
              <w:rPr>
                <w:rFonts w:hint="eastAsia" w:ascii="宋体" w:hAnsi="宋体" w:eastAsia="宋体"/>
                <w:bCs/>
                <w:color w:val="auto"/>
                <w:sz w:val="21"/>
                <w:szCs w:val="21"/>
                <w:highlight w:val="none"/>
                <w:lang w:eastAsia="zh-CN"/>
              </w:rPr>
              <w:t>加强沟通协调。检查</w:t>
            </w:r>
            <w:r>
              <w:rPr>
                <w:rFonts w:hint="eastAsia" w:ascii="宋体" w:hAnsi="宋体" w:eastAsia="宋体"/>
                <w:bCs/>
                <w:color w:val="auto"/>
                <w:sz w:val="21"/>
                <w:szCs w:val="21"/>
                <w:highlight w:val="none"/>
              </w:rPr>
              <w:t>过程中，</w:t>
            </w:r>
            <w:r>
              <w:rPr>
                <w:rFonts w:hint="eastAsia" w:ascii="宋体" w:hAnsi="宋体" w:eastAsia="宋体"/>
                <w:bCs/>
                <w:color w:val="auto"/>
                <w:sz w:val="21"/>
                <w:szCs w:val="21"/>
                <w:highlight w:val="none"/>
                <w:lang w:eastAsia="zh-CN"/>
              </w:rPr>
              <w:t>现场检查组</w:t>
            </w:r>
            <w:r>
              <w:rPr>
                <w:rFonts w:hint="eastAsia" w:ascii="宋体" w:hAnsi="宋体" w:eastAsia="宋体"/>
                <w:bCs/>
                <w:color w:val="auto"/>
                <w:sz w:val="21"/>
                <w:szCs w:val="21"/>
                <w:highlight w:val="none"/>
              </w:rPr>
              <w:t>要密切与采购人的沟通和协调，及时反映</w:t>
            </w:r>
            <w:r>
              <w:rPr>
                <w:rFonts w:hint="eastAsia" w:ascii="宋体" w:hAnsi="宋体" w:eastAsia="宋体"/>
                <w:bCs/>
                <w:color w:val="auto"/>
                <w:sz w:val="21"/>
                <w:szCs w:val="21"/>
                <w:highlight w:val="none"/>
                <w:lang w:eastAsia="zh-CN"/>
              </w:rPr>
              <w:t>检查</w:t>
            </w:r>
            <w:r>
              <w:rPr>
                <w:rFonts w:hint="eastAsia" w:ascii="宋体" w:hAnsi="宋体" w:eastAsia="宋体"/>
                <w:bCs/>
                <w:color w:val="auto"/>
                <w:sz w:val="21"/>
                <w:szCs w:val="21"/>
                <w:highlight w:val="none"/>
              </w:rPr>
              <w:t>中的重要信息和成果，如实披露发现的问题。</w:t>
            </w:r>
            <w:r>
              <w:rPr>
                <w:rFonts w:hint="eastAsia" w:ascii="宋体" w:hAnsi="宋体" w:eastAsia="宋体"/>
                <w:bCs/>
                <w:color w:val="auto"/>
                <w:sz w:val="21"/>
                <w:szCs w:val="21"/>
                <w:highlight w:val="none"/>
                <w:lang w:eastAsia="zh-CN"/>
              </w:rPr>
              <w:t>检查实施过程中如有重大违法违规等意外发现，检查组应及时汇报，在履行相关程序后再深入核实。</w:t>
            </w:r>
          </w:p>
          <w:p w14:paraId="2B397A4E">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.供应商拟投入2组</w:t>
            </w:r>
            <w:r>
              <w:rPr>
                <w:rFonts w:hint="eastAsia" w:ascii="宋体" w:hAnsi="宋体" w:cs="宋体"/>
                <w:color w:val="auto"/>
                <w:sz w:val="21"/>
                <w:szCs w:val="21"/>
                <w:highlight w:val="none"/>
                <w:lang w:eastAsia="zh-CN"/>
              </w:rPr>
              <w:t>检查</w:t>
            </w:r>
            <w:r>
              <w:rPr>
                <w:rFonts w:hint="eastAsia" w:ascii="宋体" w:hAnsi="宋体" w:eastAsia="宋体" w:cs="宋体"/>
                <w:color w:val="auto"/>
                <w:sz w:val="21"/>
                <w:szCs w:val="21"/>
                <w:highlight w:val="none"/>
              </w:rPr>
              <w:t>工作组，每组</w:t>
            </w:r>
            <w:r>
              <w:rPr>
                <w:rFonts w:hint="eastAsia" w:ascii="宋体" w:hAnsi="宋体" w:eastAsia="宋体" w:cs="宋体"/>
                <w:color w:val="auto"/>
                <w:sz w:val="21"/>
                <w:szCs w:val="21"/>
                <w:highlight w:val="none"/>
                <w:lang w:eastAsia="zh-CN"/>
              </w:rPr>
              <w:t>检查</w:t>
            </w:r>
            <w:r>
              <w:rPr>
                <w:rFonts w:hint="eastAsia" w:ascii="宋体" w:hAnsi="宋体" w:eastAsia="宋体" w:cs="宋体"/>
                <w:color w:val="auto"/>
                <w:sz w:val="21"/>
                <w:szCs w:val="21"/>
                <w:highlight w:val="none"/>
              </w:rPr>
              <w:t>成员不少于</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人，</w:t>
            </w:r>
            <w:r>
              <w:rPr>
                <w:rFonts w:hint="eastAsia" w:ascii="宋体" w:hAnsi="宋体" w:cs="宋体"/>
                <w:color w:val="auto"/>
                <w:sz w:val="21"/>
                <w:szCs w:val="21"/>
                <w:highlight w:val="none"/>
                <w:lang w:eastAsia="zh-CN"/>
              </w:rPr>
              <w:t>每组</w:t>
            </w:r>
            <w:r>
              <w:rPr>
                <w:rFonts w:hint="eastAsia" w:ascii="宋体" w:hAnsi="宋体" w:cs="宋体"/>
                <w:color w:val="auto"/>
                <w:szCs w:val="21"/>
                <w:highlight w:val="none"/>
              </w:rPr>
              <w:t>至少配备项目负责人1名（项目负责人须具备中国注册会计师执业资格证，从事审计工作年限</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年以上，并有担任同类审计项目负责人经历），1名注册造价工程师（须具备工程类中级或以上职称）</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其余</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名审计人员须具备初级会计师、</w:t>
            </w:r>
            <w:r>
              <w:rPr>
                <w:rFonts w:hint="eastAsia" w:ascii="宋体" w:hAnsi="宋体" w:eastAsia="宋体" w:cs="宋体"/>
                <w:color w:val="auto"/>
                <w:szCs w:val="21"/>
                <w:highlight w:val="none"/>
                <w:lang w:eastAsia="zh-CN"/>
              </w:rPr>
              <w:t>初级</w:t>
            </w:r>
            <w:r>
              <w:rPr>
                <w:rFonts w:hint="eastAsia" w:ascii="宋体" w:hAnsi="宋体" w:eastAsia="宋体" w:cs="宋体"/>
                <w:color w:val="auto"/>
                <w:szCs w:val="21"/>
                <w:highlight w:val="none"/>
              </w:rPr>
              <w:t>审计师</w:t>
            </w:r>
            <w:r>
              <w:rPr>
                <w:rFonts w:hint="eastAsia" w:ascii="宋体" w:hAnsi="宋体" w:eastAsia="宋体" w:cs="宋体"/>
                <w:color w:val="auto"/>
                <w:szCs w:val="21"/>
                <w:highlight w:val="none"/>
                <w:lang w:eastAsia="zh-CN"/>
              </w:rPr>
              <w:t>、初级</w:t>
            </w:r>
            <w:r>
              <w:rPr>
                <w:rFonts w:hint="eastAsia" w:ascii="宋体" w:hAnsi="宋体" w:eastAsia="宋体" w:cs="宋体"/>
                <w:color w:val="auto"/>
                <w:szCs w:val="21"/>
                <w:highlight w:val="none"/>
              </w:rPr>
              <w:t>经济师中</w:t>
            </w:r>
            <w:r>
              <w:rPr>
                <w:rFonts w:hint="eastAsia" w:ascii="宋体" w:hAnsi="宋体" w:eastAsia="宋体" w:cs="宋体"/>
                <w:color w:val="auto"/>
                <w:szCs w:val="21"/>
                <w:highlight w:val="none"/>
                <w:lang w:eastAsia="zh-CN"/>
              </w:rPr>
              <w:t>的</w:t>
            </w:r>
            <w:r>
              <w:rPr>
                <w:rFonts w:hint="eastAsia" w:ascii="宋体" w:hAnsi="宋体" w:eastAsia="宋体" w:cs="宋体"/>
                <w:color w:val="auto"/>
                <w:szCs w:val="21"/>
                <w:highlight w:val="none"/>
              </w:rPr>
              <w:t>一种</w:t>
            </w:r>
            <w:r>
              <w:rPr>
                <w:rFonts w:hint="eastAsia" w:ascii="宋体" w:hAnsi="宋体" w:eastAsia="宋体" w:cs="宋体"/>
                <w:color w:val="auto"/>
                <w:szCs w:val="21"/>
                <w:highlight w:val="none"/>
                <w:lang w:eastAsia="zh-CN"/>
              </w:rPr>
              <w:t>或以上</w:t>
            </w:r>
            <w:r>
              <w:rPr>
                <w:rFonts w:hint="eastAsia" w:ascii="宋体" w:hAnsi="宋体" w:eastAsia="宋体" w:cs="宋体"/>
                <w:color w:val="auto"/>
                <w:szCs w:val="21"/>
                <w:highlight w:val="none"/>
              </w:rPr>
              <w:t>职称</w:t>
            </w:r>
            <w:r>
              <w:rPr>
                <w:rFonts w:hint="eastAsia" w:ascii="宋体" w:hAnsi="宋体" w:cs="宋体"/>
                <w:color w:val="auto"/>
                <w:szCs w:val="21"/>
                <w:highlight w:val="none"/>
              </w:rPr>
              <w:t>。</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派驻的</w:t>
            </w:r>
            <w:r>
              <w:rPr>
                <w:rFonts w:hint="eastAsia" w:ascii="宋体" w:hAnsi="宋体" w:cs="宋体"/>
                <w:color w:val="auto"/>
                <w:sz w:val="21"/>
                <w:szCs w:val="21"/>
                <w:highlight w:val="none"/>
                <w:lang w:eastAsia="zh-CN"/>
              </w:rPr>
              <w:t>检查</w:t>
            </w:r>
            <w:r>
              <w:rPr>
                <w:rFonts w:hint="eastAsia" w:ascii="宋体" w:hAnsi="宋体" w:eastAsia="宋体" w:cs="宋体"/>
                <w:color w:val="auto"/>
                <w:sz w:val="21"/>
                <w:szCs w:val="21"/>
                <w:highlight w:val="none"/>
              </w:rPr>
              <w:t>人员须与响应文件中派驻</w:t>
            </w:r>
            <w:r>
              <w:rPr>
                <w:rFonts w:hint="eastAsia" w:ascii="宋体" w:hAnsi="宋体" w:cs="宋体"/>
                <w:color w:val="auto"/>
                <w:sz w:val="21"/>
                <w:szCs w:val="21"/>
                <w:highlight w:val="none"/>
                <w:lang w:eastAsia="zh-CN"/>
              </w:rPr>
              <w:t>检查</w:t>
            </w:r>
            <w:r>
              <w:rPr>
                <w:rFonts w:hint="eastAsia" w:ascii="宋体" w:hAnsi="宋体" w:eastAsia="宋体" w:cs="宋体"/>
                <w:color w:val="auto"/>
                <w:sz w:val="21"/>
                <w:szCs w:val="21"/>
                <w:highlight w:val="none"/>
              </w:rPr>
              <w:t>人员一致，如需更换人员需事先征得采购人同意。</w:t>
            </w:r>
          </w:p>
          <w:p w14:paraId="2754DBED">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开展工作现场检查时间不得少于</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lang w:eastAsia="zh-CN"/>
              </w:rPr>
              <w:t>个工作日</w:t>
            </w:r>
            <w:r>
              <w:rPr>
                <w:rFonts w:hint="eastAsia" w:ascii="宋体" w:hAnsi="宋体" w:eastAsia="宋体" w:cs="宋体"/>
                <w:color w:val="auto"/>
                <w:sz w:val="21"/>
                <w:szCs w:val="21"/>
                <w:highlight w:val="none"/>
              </w:rPr>
              <w:t>，现场检查结束20天内须出具</w:t>
            </w:r>
            <w:r>
              <w:rPr>
                <w:rFonts w:hint="eastAsia" w:ascii="宋体" w:hAnsi="宋体" w:eastAsia="宋体" w:cs="宋体"/>
                <w:color w:val="auto"/>
                <w:sz w:val="21"/>
                <w:szCs w:val="21"/>
                <w:highlight w:val="none"/>
                <w:lang w:val="en-US" w:eastAsia="zh-CN"/>
              </w:rPr>
              <w:t>检查</w:t>
            </w:r>
            <w:r>
              <w:rPr>
                <w:rFonts w:hint="eastAsia" w:ascii="宋体" w:hAnsi="宋体" w:eastAsia="宋体" w:cs="宋体"/>
                <w:color w:val="auto"/>
                <w:sz w:val="21"/>
                <w:szCs w:val="21"/>
                <w:highlight w:val="none"/>
              </w:rPr>
              <w:t>报告初稿，2026年9月30日前出具</w:t>
            </w:r>
            <w:r>
              <w:rPr>
                <w:rFonts w:hint="eastAsia" w:ascii="宋体" w:hAnsi="宋体" w:eastAsia="宋体" w:cs="宋体"/>
                <w:color w:val="auto"/>
                <w:sz w:val="21"/>
                <w:szCs w:val="21"/>
                <w:highlight w:val="none"/>
                <w:lang w:eastAsia="zh-CN"/>
              </w:rPr>
              <w:t>正式</w:t>
            </w:r>
            <w:r>
              <w:rPr>
                <w:rFonts w:hint="eastAsia" w:ascii="宋体" w:hAnsi="宋体" w:eastAsia="宋体" w:cs="宋体"/>
                <w:color w:val="auto"/>
                <w:sz w:val="21"/>
                <w:szCs w:val="21"/>
                <w:highlight w:val="none"/>
                <w:lang w:val="en-US" w:eastAsia="zh-CN"/>
              </w:rPr>
              <w:t>检查</w:t>
            </w:r>
            <w:r>
              <w:rPr>
                <w:rFonts w:hint="eastAsia" w:ascii="宋体" w:hAnsi="宋体" w:eastAsia="宋体" w:cs="宋体"/>
                <w:color w:val="auto"/>
                <w:sz w:val="21"/>
                <w:szCs w:val="21"/>
                <w:highlight w:val="none"/>
              </w:rPr>
              <w:t>报告，包括纸质报告（一式八份）、彩色扫描PDF版和Word版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并交付所有</w:t>
            </w:r>
            <w:r>
              <w:rPr>
                <w:rFonts w:hint="eastAsia" w:ascii="宋体" w:hAnsi="宋体" w:eastAsia="宋体" w:cs="宋体"/>
                <w:color w:val="auto"/>
                <w:sz w:val="21"/>
                <w:szCs w:val="21"/>
                <w:highlight w:val="none"/>
                <w:lang w:val="en-US" w:eastAsia="zh-CN"/>
              </w:rPr>
              <w:t>检查</w:t>
            </w:r>
            <w:r>
              <w:rPr>
                <w:rFonts w:hint="eastAsia" w:ascii="宋体" w:hAnsi="宋体" w:eastAsia="宋体" w:cs="宋体"/>
                <w:color w:val="auto"/>
                <w:sz w:val="21"/>
                <w:szCs w:val="21"/>
                <w:highlight w:val="none"/>
              </w:rPr>
              <w:t>工作底稿。</w:t>
            </w:r>
            <w:r>
              <w:rPr>
                <w:rFonts w:hint="eastAsia" w:ascii="宋体" w:hAnsi="宋体" w:eastAsia="宋体"/>
                <w:bCs/>
                <w:color w:val="auto"/>
                <w:sz w:val="21"/>
                <w:szCs w:val="21"/>
                <w:highlight w:val="none"/>
                <w:lang w:eastAsia="zh-CN"/>
              </w:rPr>
              <w:t>本项目的检查</w:t>
            </w:r>
            <w:r>
              <w:rPr>
                <w:rFonts w:hint="eastAsia" w:ascii="宋体" w:hAnsi="宋体" w:eastAsia="宋体"/>
                <w:bCs/>
                <w:color w:val="auto"/>
                <w:sz w:val="21"/>
                <w:szCs w:val="21"/>
                <w:highlight w:val="none"/>
              </w:rPr>
              <w:t>文书</w:t>
            </w:r>
            <w:r>
              <w:rPr>
                <w:rFonts w:hint="eastAsia" w:ascii="宋体" w:hAnsi="宋体" w:eastAsia="宋体"/>
                <w:bCs/>
                <w:color w:val="auto"/>
                <w:sz w:val="21"/>
                <w:szCs w:val="21"/>
                <w:highlight w:val="none"/>
                <w:lang w:eastAsia="zh-CN"/>
              </w:rPr>
              <w:t>资料</w:t>
            </w:r>
            <w:r>
              <w:rPr>
                <w:rFonts w:hint="eastAsia" w:ascii="宋体" w:hAnsi="宋体" w:eastAsia="宋体"/>
                <w:bCs/>
                <w:color w:val="auto"/>
                <w:sz w:val="21"/>
                <w:szCs w:val="21"/>
                <w:highlight w:val="none"/>
              </w:rPr>
              <w:t>需按照采购人要求装订成档保存于采购单位。</w:t>
            </w:r>
            <w:r>
              <w:rPr>
                <w:rFonts w:hint="eastAsia" w:ascii="宋体" w:hAnsi="宋体" w:eastAsia="宋体" w:cs="宋体"/>
                <w:color w:val="auto"/>
                <w:sz w:val="21"/>
                <w:szCs w:val="21"/>
                <w:highlight w:val="none"/>
              </w:rPr>
              <w:br w:type="textWrapping"/>
            </w:r>
            <w:r>
              <w:rPr>
                <w:rFonts w:hint="eastAsia" w:ascii="宋体" w:hAnsi="宋体" w:cs="宋体"/>
                <w:color w:val="auto"/>
                <w:sz w:val="21"/>
                <w:szCs w:val="21"/>
                <w:highlight w:val="none"/>
                <w:lang w:val="en-US" w:eastAsia="zh-CN"/>
              </w:rPr>
              <w:t xml:space="preserve">    7</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不得将该项目转交第三方完成。</w:t>
            </w:r>
          </w:p>
          <w:p w14:paraId="4FF777CD">
            <w:pPr>
              <w:keepNext w:val="0"/>
              <w:keepLines w:val="0"/>
              <w:pageBreakBefore w:val="0"/>
              <w:widowControl w:val="0"/>
              <w:kinsoku/>
              <w:wordWrap w:val="0"/>
              <w:overflowPunct/>
              <w:topLinePunct w:val="0"/>
              <w:autoSpaceDE/>
              <w:autoSpaceDN/>
              <w:bidi w:val="0"/>
              <w:adjustRightInd/>
              <w:snapToGrid/>
              <w:spacing w:line="360" w:lineRule="exact"/>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val="0"/>
                <w:color w:val="auto"/>
                <w:szCs w:val="21"/>
                <w:highlight w:val="none"/>
                <w:lang w:val="zh-CN"/>
              </w:rPr>
              <w:t>注：供应商拟投入的工作组成员必须是在职工作人员，且须在投标文件中提供拟投入的工作组成员的专业技能或资格证书、职称证书、项目负责人工作年限证明（以劳动合同为准）、</w:t>
            </w:r>
            <w:r>
              <w:rPr>
                <w:rFonts w:hint="eastAsia" w:ascii="宋体" w:hAnsi="宋体" w:eastAsia="宋体" w:cs="宋体"/>
                <w:b/>
                <w:bCs w:val="0"/>
                <w:color w:val="auto"/>
                <w:szCs w:val="21"/>
                <w:highlight w:val="none"/>
                <w:lang w:val="en-US" w:eastAsia="zh-CN"/>
              </w:rPr>
              <w:t>供应商为拟投入人员缴纳的2025年</w:t>
            </w:r>
            <w:r>
              <w:rPr>
                <w:rFonts w:hint="eastAsia" w:ascii="宋体" w:hAnsi="宋体" w:cs="宋体"/>
                <w:b/>
                <w:bCs w:val="0"/>
                <w:color w:val="auto"/>
                <w:szCs w:val="21"/>
                <w:highlight w:val="none"/>
                <w:lang w:val="en-US" w:eastAsia="zh-CN"/>
              </w:rPr>
              <w:t>11</w:t>
            </w:r>
            <w:r>
              <w:rPr>
                <w:rFonts w:hint="eastAsia" w:ascii="宋体" w:hAnsi="宋体" w:eastAsia="宋体" w:cs="宋体"/>
                <w:b/>
                <w:bCs w:val="0"/>
                <w:color w:val="auto"/>
                <w:szCs w:val="21"/>
                <w:highlight w:val="none"/>
                <w:lang w:val="en-US" w:eastAsia="zh-CN"/>
              </w:rPr>
              <w:t>月-2026年</w:t>
            </w:r>
            <w:r>
              <w:rPr>
                <w:rFonts w:hint="eastAsia" w:ascii="宋体" w:hAnsi="宋体" w:cs="宋体"/>
                <w:b/>
                <w:bCs w:val="0"/>
                <w:color w:val="auto"/>
                <w:szCs w:val="21"/>
                <w:highlight w:val="none"/>
                <w:lang w:val="en-US" w:eastAsia="zh-CN"/>
              </w:rPr>
              <w:t>4</w:t>
            </w:r>
            <w:r>
              <w:rPr>
                <w:rFonts w:hint="eastAsia" w:ascii="宋体" w:hAnsi="宋体" w:eastAsia="宋体" w:cs="宋体"/>
                <w:b/>
                <w:bCs w:val="0"/>
                <w:color w:val="auto"/>
                <w:szCs w:val="21"/>
                <w:highlight w:val="none"/>
                <w:lang w:val="en-US" w:eastAsia="zh-CN"/>
              </w:rPr>
              <w:t>月内任意连续3个月的社保缴费证明或《投保单》或单位代缴个人所得税税单等复印件（加盖公章）或提供供应商与拟投入本项目团队成员签订的劳务合同复印件（法定代表人除外</w:t>
            </w:r>
            <w:r>
              <w:rPr>
                <w:rFonts w:hint="eastAsia" w:ascii="宋体" w:hAnsi="宋体" w:cs="宋体"/>
                <w:b/>
                <w:bCs w:val="0"/>
                <w:color w:val="auto"/>
                <w:szCs w:val="21"/>
                <w:highlight w:val="none"/>
                <w:lang w:val="en-US" w:eastAsia="zh-CN"/>
              </w:rPr>
              <w:t>）</w:t>
            </w:r>
            <w:r>
              <w:rPr>
                <w:rFonts w:hint="eastAsia" w:ascii="宋体" w:hAnsi="宋体" w:eastAsia="宋体" w:cs="宋体"/>
                <w:b/>
                <w:bCs w:val="0"/>
                <w:color w:val="auto"/>
                <w:szCs w:val="21"/>
                <w:highlight w:val="none"/>
                <w:lang w:val="zh-CN"/>
              </w:rPr>
              <w:t>。</w:t>
            </w:r>
          </w:p>
        </w:tc>
      </w:tr>
      <w:tr w14:paraId="613426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18" w:type="dxa"/>
            <w:tcBorders>
              <w:top w:val="single" w:color="auto" w:sz="4" w:space="0"/>
              <w:left w:val="single" w:color="auto" w:sz="4" w:space="0"/>
              <w:bottom w:val="single" w:color="auto" w:sz="4" w:space="0"/>
              <w:right w:val="single" w:color="auto" w:sz="4" w:space="0"/>
            </w:tcBorders>
            <w:noWrap w:val="0"/>
            <w:vAlign w:val="center"/>
          </w:tcPr>
          <w:p w14:paraId="00A6E85C">
            <w:pPr>
              <w:keepNext w:val="0"/>
              <w:keepLines w:val="0"/>
              <w:pageBreakBefore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21"/>
                <w:szCs w:val="21"/>
                <w:highlight w:val="none"/>
                <w:lang w:bidi="ar"/>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分标</w:t>
            </w:r>
          </w:p>
        </w:tc>
        <w:tc>
          <w:tcPr>
            <w:tcW w:w="970" w:type="dxa"/>
            <w:tcBorders>
              <w:top w:val="single" w:color="auto" w:sz="4" w:space="0"/>
              <w:left w:val="single" w:color="auto" w:sz="4" w:space="0"/>
              <w:bottom w:val="single" w:color="auto" w:sz="4" w:space="0"/>
              <w:right w:val="single" w:color="auto" w:sz="4" w:space="0"/>
            </w:tcBorders>
            <w:noWrap w:val="0"/>
            <w:vAlign w:val="center"/>
          </w:tcPr>
          <w:p w14:paraId="7A10512E">
            <w:pPr>
              <w:keepNext w:val="0"/>
              <w:keepLines w:val="0"/>
              <w:pageBreakBefore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olor w:val="auto"/>
                <w:szCs w:val="21"/>
                <w:highlight w:val="none"/>
                <w:lang w:eastAsia="zh-CN"/>
              </w:rPr>
              <w:t>2026年财会监督检查服务2</w:t>
            </w:r>
          </w:p>
        </w:tc>
        <w:tc>
          <w:tcPr>
            <w:tcW w:w="852" w:type="dxa"/>
            <w:tcBorders>
              <w:top w:val="single" w:color="auto" w:sz="4" w:space="0"/>
              <w:left w:val="single" w:color="auto" w:sz="4" w:space="0"/>
              <w:bottom w:val="single" w:color="auto" w:sz="4" w:space="0"/>
              <w:right w:val="single" w:color="auto" w:sz="4" w:space="0"/>
            </w:tcBorders>
            <w:noWrap w:val="0"/>
            <w:vAlign w:val="center"/>
          </w:tcPr>
          <w:p w14:paraId="651771B8">
            <w:pPr>
              <w:keepNext w:val="0"/>
              <w:keepLines w:val="0"/>
              <w:pageBreakBefore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1项</w:t>
            </w:r>
          </w:p>
        </w:tc>
        <w:tc>
          <w:tcPr>
            <w:tcW w:w="1061" w:type="dxa"/>
            <w:tcBorders>
              <w:top w:val="single" w:color="auto" w:sz="4" w:space="0"/>
              <w:left w:val="single" w:color="auto" w:sz="4" w:space="0"/>
              <w:bottom w:val="single" w:color="auto" w:sz="4" w:space="0"/>
              <w:right w:val="single" w:color="000000" w:sz="4" w:space="0"/>
            </w:tcBorders>
            <w:noWrap w:val="0"/>
            <w:vAlign w:val="center"/>
          </w:tcPr>
          <w:p w14:paraId="18310215">
            <w:pPr>
              <w:keepNext w:val="0"/>
              <w:keepLines w:val="0"/>
              <w:pageBreakBefore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color w:val="auto"/>
                <w:szCs w:val="21"/>
                <w:highlight w:val="none"/>
                <w:u w:val="none"/>
                <w:lang w:eastAsia="zh-CN"/>
              </w:rPr>
              <w:t>租赁和商务服务业</w:t>
            </w:r>
          </w:p>
        </w:tc>
        <w:tc>
          <w:tcPr>
            <w:tcW w:w="6139" w:type="dxa"/>
            <w:tcBorders>
              <w:top w:val="single" w:color="auto" w:sz="4" w:space="0"/>
              <w:left w:val="single" w:color="000000" w:sz="4" w:space="0"/>
              <w:bottom w:val="single" w:color="auto" w:sz="4" w:space="0"/>
              <w:right w:val="single" w:color="auto" w:sz="4" w:space="0"/>
            </w:tcBorders>
            <w:noWrap w:val="0"/>
            <w:vAlign w:val="top"/>
          </w:tcPr>
          <w:p w14:paraId="11A81946">
            <w:pPr>
              <w:keepNext w:val="0"/>
              <w:keepLines w:val="0"/>
              <w:pageBreakBefore w:val="0"/>
              <w:widowControl w:val="0"/>
              <w:numPr>
                <w:ilvl w:val="0"/>
                <w:numId w:val="0"/>
              </w:numPr>
              <w:kinsoku/>
              <w:wordWrap w:val="0"/>
              <w:overflowPunct/>
              <w:topLinePunct w:val="0"/>
              <w:autoSpaceDE/>
              <w:autoSpaceDN/>
              <w:bidi w:val="0"/>
              <w:adjustRightInd/>
              <w:snapToGrid/>
              <w:spacing w:line="360" w:lineRule="exact"/>
              <w:ind w:firstLine="420" w:firstLineChars="200"/>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一、服务内容</w:t>
            </w:r>
          </w:p>
          <w:p w14:paraId="16542430">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根据《广西壮族自治区交通运输厅财务监督检查办法》（桂交办财务〔</w:t>
            </w:r>
            <w:r>
              <w:rPr>
                <w:rFonts w:hint="eastAsia" w:ascii="宋体" w:hAnsi="宋体" w:cs="宋体"/>
                <w:color w:val="auto"/>
                <w:sz w:val="21"/>
                <w:szCs w:val="21"/>
                <w:highlight w:val="none"/>
                <w:lang w:val="en-US" w:eastAsia="zh-CN"/>
              </w:rPr>
              <w:t>2022</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34号</w:t>
            </w:r>
            <w:r>
              <w:rPr>
                <w:rFonts w:hint="eastAsia" w:ascii="宋体" w:hAnsi="宋体" w:cs="宋体"/>
                <w:color w:val="auto"/>
                <w:sz w:val="21"/>
                <w:szCs w:val="21"/>
                <w:highlight w:val="none"/>
                <w:lang w:eastAsia="zh-CN"/>
              </w:rPr>
              <w:t>）《广西壮族自治区交通运输厅关于进一步加强交通运输部门预算管理和财会监督工作的通知》（桂交财务函〔</w:t>
            </w:r>
            <w:r>
              <w:rPr>
                <w:rFonts w:hint="eastAsia" w:ascii="宋体" w:hAnsi="宋体" w:cs="宋体"/>
                <w:color w:val="auto"/>
                <w:sz w:val="21"/>
                <w:szCs w:val="21"/>
                <w:highlight w:val="none"/>
                <w:lang w:val="en-US" w:eastAsia="zh-CN"/>
              </w:rPr>
              <w:t>2024</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41号</w:t>
            </w:r>
            <w:r>
              <w:rPr>
                <w:rFonts w:hint="eastAsia" w:ascii="宋体" w:hAnsi="宋体" w:cs="宋体"/>
                <w:color w:val="auto"/>
                <w:sz w:val="21"/>
                <w:szCs w:val="21"/>
                <w:highlight w:val="none"/>
                <w:lang w:eastAsia="zh-CN"/>
              </w:rPr>
              <w:t>）要求，</w:t>
            </w:r>
            <w:r>
              <w:rPr>
                <w:rFonts w:hint="eastAsia" w:ascii="宋体" w:hAnsi="宋体" w:eastAsia="宋体" w:cs="宋体"/>
                <w:color w:val="auto"/>
                <w:sz w:val="21"/>
                <w:szCs w:val="21"/>
                <w:highlight w:val="none"/>
              </w:rPr>
              <w:t>对广西交通职业技术学院（延伸广西交通运输学校、广西南宁多元交通职业教育投资有限公司、广西交院研修教育发展有限公司、广西交院驾校培训有限公司、广西桂林多元教育管理有限责任公司、广西东兴万通国际物流有限责任公司、南宁新思界交院科技有限公司）</w:t>
            </w:r>
            <w:r>
              <w:rPr>
                <w:rFonts w:hint="eastAsia" w:ascii="宋体" w:hAnsi="宋体" w:cs="宋体"/>
                <w:color w:val="auto"/>
                <w:sz w:val="21"/>
                <w:szCs w:val="21"/>
                <w:highlight w:val="none"/>
                <w:lang w:val="en-US" w:eastAsia="zh-CN"/>
              </w:rPr>
              <w:t>2025年地方政府隐性债务、</w:t>
            </w:r>
            <w:r>
              <w:rPr>
                <w:rFonts w:hint="eastAsia" w:ascii="宋体" w:hAnsi="宋体" w:eastAsia="宋体" w:cs="宋体"/>
                <w:color w:val="auto"/>
                <w:sz w:val="21"/>
                <w:szCs w:val="21"/>
                <w:highlight w:val="none"/>
              </w:rPr>
              <w:t>“两重”资金使用管理</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预算编制、预算执行、绩效评价、资金管理、资产管理、政府采购、落实</w:t>
            </w:r>
            <w:r>
              <w:rPr>
                <w:rFonts w:hint="eastAsia" w:ascii="宋体" w:hAnsi="宋体" w:cs="宋体"/>
                <w:color w:val="auto"/>
                <w:sz w:val="21"/>
                <w:szCs w:val="21"/>
                <w:highlight w:val="none"/>
                <w:lang w:eastAsia="zh-CN"/>
              </w:rPr>
              <w:t>《中共</w:t>
            </w:r>
            <w:r>
              <w:rPr>
                <w:rFonts w:hint="eastAsia" w:ascii="宋体" w:hAnsi="宋体" w:eastAsia="宋体" w:cs="宋体"/>
                <w:color w:val="auto"/>
                <w:sz w:val="21"/>
                <w:szCs w:val="21"/>
                <w:highlight w:val="none"/>
              </w:rPr>
              <w:t>中央办公厅、国务院办公厅关于进一步加强财会监督工作的意见》和《广西进一步加强财会监督工作实施方案》（以下简称《实施方案》）</w:t>
            </w:r>
            <w:r>
              <w:rPr>
                <w:rFonts w:hint="eastAsia" w:ascii="宋体" w:hAnsi="宋体" w:cs="宋体"/>
                <w:color w:val="auto"/>
                <w:sz w:val="21"/>
                <w:szCs w:val="21"/>
                <w:highlight w:val="none"/>
                <w:lang w:eastAsia="zh-CN"/>
              </w:rPr>
              <w:t>，以及</w:t>
            </w:r>
            <w:r>
              <w:rPr>
                <w:rFonts w:hint="eastAsia" w:ascii="宋体" w:hAnsi="宋体" w:cs="宋体"/>
                <w:color w:val="auto"/>
                <w:sz w:val="21"/>
                <w:szCs w:val="21"/>
                <w:highlight w:val="none"/>
                <w:lang w:val="en-US" w:eastAsia="zh-CN"/>
              </w:rPr>
              <w:t>以往巡视巡察、审计、财务检查发现问题整改情况</w:t>
            </w:r>
            <w:r>
              <w:rPr>
                <w:rFonts w:hint="eastAsia" w:ascii="宋体" w:hAnsi="宋体" w:cs="宋体"/>
                <w:color w:val="auto"/>
                <w:sz w:val="21"/>
                <w:szCs w:val="21"/>
                <w:highlight w:val="none"/>
                <w:lang w:eastAsia="zh-CN"/>
              </w:rPr>
              <w:t>等</w:t>
            </w:r>
            <w:r>
              <w:rPr>
                <w:rFonts w:hint="eastAsia" w:ascii="宋体" w:hAnsi="宋体" w:eastAsia="宋体" w:cs="宋体"/>
                <w:color w:val="auto"/>
                <w:sz w:val="21"/>
                <w:szCs w:val="21"/>
                <w:highlight w:val="none"/>
              </w:rPr>
              <w:t>方面开展</w:t>
            </w:r>
            <w:r>
              <w:rPr>
                <w:rFonts w:hint="eastAsia" w:ascii="宋体" w:hAnsi="宋体" w:eastAsia="宋体" w:cs="宋体"/>
                <w:color w:val="auto"/>
                <w:sz w:val="21"/>
                <w:szCs w:val="21"/>
                <w:highlight w:val="none"/>
                <w:lang w:eastAsia="zh-CN"/>
              </w:rPr>
              <w:t>财会</w:t>
            </w:r>
            <w:r>
              <w:rPr>
                <w:rFonts w:hint="eastAsia" w:ascii="宋体" w:hAnsi="宋体" w:eastAsia="宋体" w:cs="宋体"/>
                <w:color w:val="auto"/>
                <w:sz w:val="21"/>
                <w:szCs w:val="21"/>
                <w:highlight w:val="none"/>
              </w:rPr>
              <w:t>监督检查，并出具财会监督检查报告。</w:t>
            </w:r>
          </w:p>
          <w:p w14:paraId="40386F04">
            <w:pPr>
              <w:keepNext w:val="0"/>
              <w:keepLines w:val="0"/>
              <w:pageBreakBefore w:val="0"/>
              <w:widowControl w:val="0"/>
              <w:numPr>
                <w:ilvl w:val="0"/>
                <w:numId w:val="0"/>
              </w:numPr>
              <w:kinsoku/>
              <w:wordWrap w:val="0"/>
              <w:overflowPunct/>
              <w:topLinePunct w:val="0"/>
              <w:autoSpaceDE/>
              <w:autoSpaceDN/>
              <w:bidi w:val="0"/>
              <w:adjustRightInd/>
              <w:snapToGrid/>
              <w:spacing w:line="360" w:lineRule="exact"/>
              <w:ind w:leftChars="200"/>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二、检查方式</w:t>
            </w:r>
          </w:p>
          <w:p w14:paraId="5F60CA14">
            <w:pPr>
              <w:keepNext w:val="0"/>
              <w:keepLines w:val="0"/>
              <w:pageBreakBefore w:val="0"/>
              <w:widowControl w:val="0"/>
              <w:numPr>
                <w:ilvl w:val="0"/>
                <w:numId w:val="0"/>
              </w:numPr>
              <w:kinsoku/>
              <w:wordWrap w:val="0"/>
              <w:overflowPunct/>
              <w:topLinePunct w:val="0"/>
              <w:autoSpaceDE/>
              <w:autoSpaceDN/>
              <w:bidi w:val="0"/>
              <w:adjustRightInd/>
              <w:snapToGrid/>
              <w:spacing w:line="360" w:lineRule="exact"/>
              <w:ind w:leftChars="200"/>
              <w:textAlignment w:val="auto"/>
              <w:rPr>
                <w:rFonts w:hint="eastAsia" w:ascii="宋体" w:hAnsi="宋体" w:cs="宋体"/>
                <w:color w:val="auto"/>
                <w:sz w:val="21"/>
                <w:szCs w:val="21"/>
                <w:highlight w:val="none"/>
                <w:lang w:eastAsia="zh-CN"/>
              </w:rPr>
            </w:pPr>
            <w:r>
              <w:rPr>
                <w:rFonts w:hint="eastAsia"/>
                <w:color w:val="auto"/>
                <w:szCs w:val="21"/>
                <w:highlight w:val="none"/>
              </w:rPr>
              <w:t>线上和现场实地</w:t>
            </w:r>
            <w:r>
              <w:rPr>
                <w:rFonts w:hint="eastAsia"/>
                <w:color w:val="auto"/>
                <w:szCs w:val="21"/>
                <w:highlight w:val="none"/>
                <w:lang w:eastAsia="zh-CN"/>
              </w:rPr>
              <w:t>检查</w:t>
            </w:r>
            <w:r>
              <w:rPr>
                <w:rFonts w:hint="eastAsia"/>
                <w:color w:val="auto"/>
                <w:szCs w:val="21"/>
                <w:highlight w:val="none"/>
              </w:rPr>
              <w:t>相结合。</w:t>
            </w:r>
          </w:p>
          <w:p w14:paraId="1BCCB085">
            <w:pPr>
              <w:keepNext w:val="0"/>
              <w:keepLines w:val="0"/>
              <w:pageBreakBefore w:val="0"/>
              <w:widowControl w:val="0"/>
              <w:numPr>
                <w:ilvl w:val="0"/>
                <w:numId w:val="0"/>
              </w:numPr>
              <w:kinsoku/>
              <w:wordWrap w:val="0"/>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三、检查内容</w:t>
            </w:r>
          </w:p>
          <w:p w14:paraId="50395DC4">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地方政府隐性债务方面。（1）新增隐性债务方面。重点关注各市、县政府及其部门直接新增隐性债务，以及通过融资平台公司、国有企事业单位等各市、县政府及其部门之外的主体融资或垫资，承诺以政府未来财政收入作为还款来源等方式实施土地一级开发和公益性项目等新增隐性债务问题。重点检查交通工程建设项目等。（2）化债不实方面。重点关注“借新还旧”作化债处理，以虚假盘活资金资产等方式化解隐性债务，以虚假的企业经营收入化解隐性债务，债务单位未向债权人偿还债务但作化债处理，债务单位在未履行必要程序的情况下核销隐性债务并作化债处理等问题。（3）隐性债务置换政策落实不规范方面。重点关注用于置换隐性债务的再融资专项债券是否及时拨付和置换；是否存在套取骗取；是否用于偿还2023年末存量隐性债务外的其他债务；是否实行专户管理、专账核算、封闭运行，做到公平公正、规范操作；是否存在用于经常性支出和新上项目、铺新摊子等问题。</w:t>
            </w:r>
          </w:p>
          <w:p w14:paraId="6195D52C">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.“两重”资金使用管理</w:t>
            </w:r>
            <w:r>
              <w:rPr>
                <w:rFonts w:hint="eastAsia" w:ascii="宋体" w:hAnsi="宋体" w:cs="宋体"/>
                <w:color w:val="auto"/>
                <w:sz w:val="21"/>
                <w:szCs w:val="21"/>
                <w:highlight w:val="none"/>
                <w:lang w:eastAsia="zh-CN"/>
              </w:rPr>
              <w:t>方面</w:t>
            </w:r>
            <w:r>
              <w:rPr>
                <w:rFonts w:hint="eastAsia" w:ascii="宋体" w:hAnsi="宋体" w:eastAsia="宋体" w:cs="宋体"/>
                <w:color w:val="auto"/>
                <w:sz w:val="21"/>
                <w:szCs w:val="21"/>
                <w:highlight w:val="none"/>
              </w:rPr>
              <w:t>。聚焦2025年新建、在建以及完工项目，重点关注国家重大战略实施和重点领域安全能力建设（以下简称“两重”）资金是否及时分配下达资金；是否存在“以拨代支”、超进度拨款等违规拨付行为；是否虚高申报总投资套取中央资金；资金拨付是否严格履行相关审批程序和手续；是否存在项目实施进度缓慢，导致“钱等项目”等问题；是否存在拖欠工程款问题；是否超范围使用资金或用于与项目无关的其他支出；是否截留、挤占、挪用资金等。</w:t>
            </w:r>
            <w:r>
              <w:rPr>
                <w:rFonts w:hint="eastAsia" w:ascii="宋体" w:hAnsi="宋体" w:cs="宋体"/>
                <w:color w:val="auto"/>
                <w:sz w:val="21"/>
                <w:szCs w:val="21"/>
                <w:highlight w:val="none"/>
                <w:lang w:eastAsia="zh-CN"/>
              </w:rPr>
              <w:t>如发现</w:t>
            </w:r>
            <w:r>
              <w:rPr>
                <w:rFonts w:hint="eastAsia" w:ascii="宋体" w:hAnsi="宋体" w:eastAsia="宋体" w:cs="宋体"/>
                <w:color w:val="auto"/>
                <w:sz w:val="21"/>
                <w:szCs w:val="21"/>
                <w:highlight w:val="none"/>
              </w:rPr>
              <w:t>不符合“两重”政策支持方向，以“两重”名义违规兴建楼堂馆所、搞“形象工程”“政绩工程”等违规违纪行为</w:t>
            </w:r>
            <w:r>
              <w:rPr>
                <w:rFonts w:hint="eastAsia" w:ascii="宋体" w:hAnsi="宋体" w:cs="宋体"/>
                <w:color w:val="auto"/>
                <w:sz w:val="21"/>
                <w:szCs w:val="21"/>
                <w:highlight w:val="none"/>
                <w:lang w:eastAsia="zh-CN"/>
              </w:rPr>
              <w:t>，将及时移送相关部门处理。</w:t>
            </w:r>
          </w:p>
          <w:p w14:paraId="3A7D7BA3">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预算编制方面。重点关注是否严格落实零基预算改革要求；部门预算编制不完整，结转结余资金管理不规范；虚报冒领人员经费、公用经费、项目经费；预算决策程序不符合规定；未按要求编制项目绩效目标等问题。</w:t>
            </w:r>
          </w:p>
          <w:p w14:paraId="58516DB5">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预算执行方面。重点关注年底突击花钱，超进度支付款项，</w:t>
            </w:r>
          </w:p>
          <w:p w14:paraId="085F9A0B">
            <w:pPr>
              <w:keepNext w:val="0"/>
              <w:keepLines w:val="0"/>
              <w:pageBreakBefore w:val="0"/>
              <w:widowControl w:val="0"/>
              <w:kinsoku/>
              <w:wordWrap w:val="0"/>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擅自扩大开支范围和标准违反规定自设新设、超范围超标准发放工资津贴补贴等；通过虚假合同、虚假票据等方式虚列支出；“三公”经费、会议费、培训费等支出管控不严，支出不规范；预算调剂不规范等问题。</w:t>
            </w:r>
          </w:p>
          <w:p w14:paraId="4465195F">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预算绩效管理方面。重点关注绩效目标设定与项目实际脱节，或虚设、降低绩效目标值；绩效运行监控流于形式，未及时发现和纠正项目执行偏差；绩效评价走过场、自评不实，未按规定开展绩效评价或评价结果失真，甚至虚报绩效目标完成情况；未按规定落实绩效评价发现问题整改或虚假整改；是否将评估评价结果与预算安排挂钩。</w:t>
            </w:r>
          </w:p>
          <w:p w14:paraId="2BC23702">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资金管理方面。重点关注违规从零余额账户向实有资金账户划拨资金；未按规定将存量资金收回统筹安排；银行账户管理不规范；挤占、挪用、违规对外出借资金；私设“小金库”，未按规定处置罚没财物和重点领域违规收费等问题。</w:t>
            </w:r>
          </w:p>
          <w:p w14:paraId="2C44F84F">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资产管理方面。重点关注未按规定建立内控制度，账账、账实、账卡不符，以及资产信息未按规定登记等行政事业单位国有资产基础管理问题；资产权属不清、未采取措施办理产权登记；超标准、超预算配置资产；资产长期闲置未及时采取措施盘活；资产清查盘点工作开展不力，闲置、低效运转、超标准配置等资产未纳入政府公物仓，不接受使用调剂资产造成资源浪费；资产出租、出借、对外投资、处置等管理不规范，未按规定履行审批</w:t>
            </w:r>
          </w:p>
          <w:p w14:paraId="2C37197C">
            <w:pPr>
              <w:keepNext w:val="0"/>
              <w:keepLines w:val="0"/>
              <w:pageBreakBefore w:val="0"/>
              <w:widowControl w:val="0"/>
              <w:kinsoku/>
              <w:wordWrap w:val="0"/>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程序；资产使用、处置收益未按规定及时上交财政等问题。</w:t>
            </w:r>
          </w:p>
          <w:p w14:paraId="0B4780CC">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政府采购方面。重点关注采购信息是否依法公开；采购项目是否存在无预算或超预算采购；采购文件是否设置差别歧视条款；采购程序是否按法律法规实施；合同签订是否规范、是否按合同规定验收和支付资金等问题。</w:t>
            </w:r>
          </w:p>
          <w:p w14:paraId="15C83713">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中共</w:t>
            </w:r>
            <w:r>
              <w:rPr>
                <w:rFonts w:hint="eastAsia" w:ascii="宋体" w:hAnsi="宋体" w:eastAsia="宋体" w:cs="宋体"/>
                <w:color w:val="auto"/>
                <w:sz w:val="21"/>
                <w:szCs w:val="21"/>
                <w:highlight w:val="none"/>
              </w:rPr>
              <w:t>中央办公厅、国务院办公厅关于进一步加强财会监督工作的意见》（以下简称《意见》）和《广西进一步加强财会监督工作实施方案》（以下简称《实施方案》）落实方面。重点关注未按照《意见》和《实施方案》要求切实履行依责监督、单位内部监督职责，包括财会监督自查自纠不深入、发现问题未及时整改、内部控制体系不完善、财会监督机制不健全等问题。</w:t>
            </w:r>
          </w:p>
          <w:p w14:paraId="787730F0">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10.以往巡视巡察、审计、财务检查发现问题整改情况方面。关注单位所接受的各项巡视巡察、审计、财务检查查出的财会方面问题的整改情况及其效果。</w:t>
            </w:r>
          </w:p>
          <w:p w14:paraId="192EE02B">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textAlignment w:val="auto"/>
              <w:rPr>
                <w:rFonts w:hint="eastAsia"/>
                <w:color w:val="auto"/>
                <w:szCs w:val="21"/>
                <w:highlight w:val="none"/>
                <w:lang w:eastAsia="zh-CN"/>
              </w:rPr>
            </w:pPr>
            <w:r>
              <w:rPr>
                <w:rFonts w:hint="eastAsia" w:ascii="宋体" w:hAnsi="宋体"/>
                <w:bCs/>
                <w:color w:val="auto"/>
                <w:sz w:val="21"/>
                <w:szCs w:val="21"/>
                <w:highlight w:val="none"/>
                <w:lang w:val="en-US" w:eastAsia="zh-CN"/>
              </w:rPr>
              <w:t>11.</w:t>
            </w:r>
            <w:r>
              <w:rPr>
                <w:rFonts w:hint="eastAsia" w:ascii="宋体" w:hAnsi="宋体" w:eastAsia="宋体"/>
                <w:bCs/>
                <w:color w:val="auto"/>
                <w:sz w:val="21"/>
                <w:szCs w:val="21"/>
                <w:highlight w:val="none"/>
                <w:lang w:val="en-US" w:eastAsia="zh-CN"/>
              </w:rPr>
              <w:t>国有“三资”盘活、落实过“紧日子”要求及财源建设等领域突出问题整治</w:t>
            </w:r>
            <w:r>
              <w:rPr>
                <w:rFonts w:hint="eastAsia" w:ascii="宋体" w:hAnsi="宋体"/>
                <w:bCs/>
                <w:color w:val="auto"/>
                <w:sz w:val="21"/>
                <w:szCs w:val="21"/>
                <w:highlight w:val="none"/>
                <w:lang w:val="en-US" w:eastAsia="zh-CN"/>
              </w:rPr>
              <w:t>方面。</w:t>
            </w:r>
            <w:r>
              <w:rPr>
                <w:rFonts w:hint="eastAsia" w:ascii="宋体" w:hAnsi="宋体" w:eastAsia="宋体"/>
                <w:bCs/>
                <w:color w:val="auto"/>
                <w:sz w:val="21"/>
                <w:szCs w:val="21"/>
                <w:highlight w:val="none"/>
                <w:lang w:val="en-US" w:eastAsia="zh-CN"/>
              </w:rPr>
              <w:t>重点关注财政资金闲置浪费、违规举债开展项目建设造成资产长期闲置等突出问题，以及超范围列支、违规拨付转移支付资金等典型问题。</w:t>
            </w:r>
          </w:p>
          <w:p w14:paraId="36D9EDE8">
            <w:pPr>
              <w:keepNext w:val="0"/>
              <w:keepLines w:val="0"/>
              <w:pageBreakBefore w:val="0"/>
              <w:widowControl w:val="0"/>
              <w:kinsoku/>
              <w:wordWrap w:val="0"/>
              <w:overflowPunct/>
              <w:topLinePunct w:val="0"/>
              <w:autoSpaceDE/>
              <w:autoSpaceDN/>
              <w:bidi w:val="0"/>
              <w:adjustRightInd/>
              <w:snapToGrid/>
              <w:spacing w:line="360" w:lineRule="exact"/>
              <w:ind w:left="420" w:leftChars="200" w:firstLine="0" w:firstLineChars="0"/>
              <w:textAlignment w:val="auto"/>
              <w:rPr>
                <w:rFonts w:hint="eastAsia"/>
                <w:color w:val="auto"/>
                <w:szCs w:val="21"/>
                <w:highlight w:val="none"/>
              </w:rPr>
            </w:pPr>
            <w:r>
              <w:rPr>
                <w:rFonts w:hint="eastAsia"/>
                <w:color w:val="auto"/>
                <w:szCs w:val="21"/>
                <w:highlight w:val="none"/>
                <w:lang w:eastAsia="zh-CN"/>
              </w:rPr>
              <w:t>四</w:t>
            </w:r>
            <w:r>
              <w:rPr>
                <w:rFonts w:hint="eastAsia"/>
                <w:color w:val="auto"/>
                <w:szCs w:val="21"/>
                <w:highlight w:val="none"/>
              </w:rPr>
              <w:t>、工作要求</w:t>
            </w:r>
          </w:p>
          <w:p w14:paraId="51E70AF9">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lang w:val="en-US" w:eastAsia="zh-CN"/>
              </w:rPr>
              <w:t>1.</w:t>
            </w:r>
            <w:r>
              <w:rPr>
                <w:rFonts w:hint="eastAsia" w:ascii="宋体" w:hAnsi="宋体" w:eastAsia="宋体"/>
                <w:bCs/>
                <w:color w:val="auto"/>
                <w:sz w:val="21"/>
                <w:szCs w:val="21"/>
                <w:highlight w:val="none"/>
              </w:rPr>
              <w:t>加强</w:t>
            </w:r>
            <w:r>
              <w:rPr>
                <w:rFonts w:hint="eastAsia" w:ascii="宋体" w:hAnsi="宋体" w:eastAsia="宋体"/>
                <w:bCs/>
                <w:color w:val="auto"/>
                <w:sz w:val="21"/>
                <w:szCs w:val="21"/>
                <w:highlight w:val="none"/>
                <w:lang w:eastAsia="zh-CN"/>
              </w:rPr>
              <w:t>组织</w:t>
            </w:r>
            <w:r>
              <w:rPr>
                <w:rFonts w:hint="eastAsia" w:ascii="宋体" w:hAnsi="宋体" w:eastAsia="宋体"/>
                <w:bCs/>
                <w:color w:val="auto"/>
                <w:sz w:val="21"/>
                <w:szCs w:val="21"/>
                <w:highlight w:val="none"/>
              </w:rPr>
              <w:t>领导</w:t>
            </w:r>
            <w:r>
              <w:rPr>
                <w:rFonts w:hint="eastAsia" w:ascii="宋体" w:hAnsi="宋体" w:eastAsia="宋体"/>
                <w:bCs/>
                <w:color w:val="auto"/>
                <w:sz w:val="21"/>
                <w:szCs w:val="21"/>
                <w:highlight w:val="none"/>
                <w:lang w:eastAsia="zh-CN"/>
              </w:rPr>
              <w:t>。</w:t>
            </w:r>
            <w:r>
              <w:rPr>
                <w:rFonts w:hint="eastAsia" w:ascii="宋体" w:hAnsi="宋体" w:eastAsia="宋体"/>
                <w:color w:val="auto"/>
                <w:sz w:val="21"/>
                <w:highlight w:val="none"/>
                <w:u w:val="none"/>
                <w:lang w:eastAsia="zh-CN"/>
              </w:rPr>
              <w:t>供应商应统筹安排本项目的检查力量，</w:t>
            </w:r>
            <w:r>
              <w:rPr>
                <w:rFonts w:hint="eastAsia" w:ascii="宋体" w:hAnsi="宋体" w:eastAsia="宋体"/>
                <w:color w:val="auto"/>
                <w:sz w:val="21"/>
                <w:highlight w:val="none"/>
                <w:lang w:eastAsia="zh-CN"/>
              </w:rPr>
              <w:t>派出检查组。</w:t>
            </w:r>
            <w:r>
              <w:rPr>
                <w:rFonts w:hint="eastAsia" w:ascii="宋体" w:hAnsi="宋体" w:eastAsia="宋体"/>
                <w:bCs/>
                <w:color w:val="auto"/>
                <w:sz w:val="21"/>
                <w:szCs w:val="21"/>
                <w:highlight w:val="none"/>
                <w:lang w:eastAsia="zh-CN"/>
              </w:rPr>
              <w:t>健全和落实检查质量控制工作机制和要求，遵守审计回避、廉洁、保密等审计工作纪律，</w:t>
            </w:r>
            <w:r>
              <w:rPr>
                <w:rFonts w:hint="eastAsia" w:ascii="宋体" w:hAnsi="宋体" w:eastAsia="宋体"/>
                <w:bCs/>
                <w:color w:val="auto"/>
                <w:sz w:val="21"/>
                <w:szCs w:val="21"/>
                <w:highlight w:val="none"/>
              </w:rPr>
              <w:t>为圆满完成任务提供有力的组织保障。</w:t>
            </w:r>
          </w:p>
          <w:p w14:paraId="295F6F83">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hint="eastAsia" w:ascii="宋体" w:hAnsi="宋体" w:eastAsia="宋体"/>
                <w:color w:val="auto"/>
                <w:sz w:val="21"/>
                <w:highlight w:val="none"/>
                <w:u w:val="none"/>
                <w:lang w:eastAsia="zh-CN"/>
              </w:rPr>
            </w:pPr>
            <w:r>
              <w:rPr>
                <w:rFonts w:hint="eastAsia" w:ascii="宋体" w:hAnsi="宋体" w:eastAsia="宋体"/>
                <w:bCs/>
                <w:color w:val="auto"/>
                <w:sz w:val="21"/>
                <w:szCs w:val="21"/>
                <w:highlight w:val="none"/>
                <w:lang w:val="en-US" w:eastAsia="zh-CN"/>
              </w:rPr>
              <w:t>2.</w:t>
            </w:r>
            <w:r>
              <w:rPr>
                <w:rFonts w:hint="eastAsia" w:ascii="宋体" w:hAnsi="宋体" w:eastAsia="宋体"/>
                <w:color w:val="auto"/>
                <w:sz w:val="21"/>
                <w:highlight w:val="none"/>
                <w:u w:val="none"/>
                <w:lang w:eastAsia="zh-CN"/>
              </w:rPr>
              <w:t>制定实施方案</w:t>
            </w:r>
            <w:r>
              <w:rPr>
                <w:rFonts w:hint="eastAsia" w:ascii="宋体" w:hAnsi="宋体" w:eastAsia="宋体"/>
                <w:bCs/>
                <w:color w:val="auto"/>
                <w:sz w:val="21"/>
                <w:szCs w:val="21"/>
                <w:highlight w:val="none"/>
                <w:lang w:eastAsia="zh-CN"/>
              </w:rPr>
              <w:t>。供应商</w:t>
            </w:r>
            <w:r>
              <w:rPr>
                <w:rFonts w:hint="eastAsia" w:ascii="宋体" w:hAnsi="宋体" w:eastAsia="宋体"/>
                <w:color w:val="auto"/>
                <w:sz w:val="21"/>
                <w:highlight w:val="none"/>
                <w:u w:val="none"/>
              </w:rPr>
              <w:t>及</w:t>
            </w:r>
            <w:r>
              <w:rPr>
                <w:rFonts w:hint="eastAsia" w:ascii="宋体" w:hAnsi="宋体" w:eastAsia="宋体"/>
                <w:bCs/>
                <w:color w:val="auto"/>
                <w:sz w:val="21"/>
                <w:szCs w:val="21"/>
                <w:highlight w:val="none"/>
              </w:rPr>
              <w:t>派出审计组</w:t>
            </w:r>
            <w:r>
              <w:rPr>
                <w:rFonts w:hint="eastAsia" w:ascii="宋体" w:hAnsi="宋体" w:eastAsia="宋体"/>
                <w:bCs/>
                <w:color w:val="auto"/>
                <w:sz w:val="21"/>
                <w:szCs w:val="21"/>
                <w:highlight w:val="none"/>
                <w:lang w:eastAsia="zh-CN"/>
              </w:rPr>
              <w:t>成员</w:t>
            </w:r>
            <w:r>
              <w:rPr>
                <w:rFonts w:hint="eastAsia" w:ascii="宋体" w:hAnsi="宋体" w:eastAsia="宋体"/>
                <w:color w:val="auto"/>
                <w:sz w:val="21"/>
                <w:highlight w:val="none"/>
              </w:rPr>
              <w:t>进驻被</w:t>
            </w:r>
            <w:r>
              <w:rPr>
                <w:rFonts w:hint="eastAsia" w:ascii="宋体" w:hAnsi="宋体" w:eastAsia="宋体"/>
                <w:color w:val="auto"/>
                <w:sz w:val="21"/>
                <w:highlight w:val="none"/>
                <w:lang w:eastAsia="zh-CN"/>
              </w:rPr>
              <w:t>检查</w:t>
            </w:r>
            <w:r>
              <w:rPr>
                <w:rFonts w:hint="eastAsia" w:ascii="宋体" w:hAnsi="宋体" w:eastAsia="宋体"/>
                <w:color w:val="auto"/>
                <w:sz w:val="21"/>
                <w:highlight w:val="none"/>
              </w:rPr>
              <w:t>单位前，</w:t>
            </w:r>
            <w:r>
              <w:rPr>
                <w:rFonts w:hint="eastAsia" w:ascii="宋体" w:hAnsi="宋体" w:eastAsia="宋体" w:cs="宋体"/>
                <w:color w:val="auto"/>
                <w:sz w:val="21"/>
                <w:szCs w:val="21"/>
                <w:highlight w:val="none"/>
              </w:rPr>
              <w:t>应了解被</w:t>
            </w:r>
            <w:r>
              <w:rPr>
                <w:rFonts w:hint="eastAsia" w:ascii="宋体" w:hAnsi="宋体" w:eastAsia="宋体" w:cs="宋体"/>
                <w:color w:val="auto"/>
                <w:sz w:val="21"/>
                <w:szCs w:val="21"/>
                <w:highlight w:val="none"/>
                <w:lang w:eastAsia="zh-CN"/>
              </w:rPr>
              <w:t>检查</w:t>
            </w:r>
            <w:r>
              <w:rPr>
                <w:rFonts w:hint="eastAsia" w:ascii="宋体" w:hAnsi="宋体" w:eastAsia="宋体" w:cs="宋体"/>
                <w:color w:val="auto"/>
                <w:sz w:val="21"/>
                <w:szCs w:val="21"/>
                <w:highlight w:val="none"/>
              </w:rPr>
              <w:t>单位基本情况</w:t>
            </w:r>
            <w:r>
              <w:rPr>
                <w:rFonts w:hint="eastAsia" w:ascii="宋体" w:hAnsi="宋体" w:eastAsia="宋体" w:cs="宋体"/>
                <w:color w:val="auto"/>
                <w:sz w:val="21"/>
                <w:szCs w:val="21"/>
                <w:highlight w:val="none"/>
                <w:lang w:eastAsia="zh-CN"/>
              </w:rPr>
              <w:t>，</w:t>
            </w:r>
            <w:r>
              <w:rPr>
                <w:rFonts w:hint="eastAsia" w:ascii="宋体" w:hAnsi="宋体" w:eastAsia="宋体"/>
                <w:bCs/>
                <w:color w:val="auto"/>
                <w:sz w:val="21"/>
                <w:szCs w:val="21"/>
                <w:highlight w:val="none"/>
              </w:rPr>
              <w:t>针对性地修改和完善</w:t>
            </w:r>
            <w:r>
              <w:rPr>
                <w:rFonts w:hint="eastAsia" w:ascii="宋体" w:hAnsi="宋体" w:eastAsia="宋体"/>
                <w:bCs/>
                <w:color w:val="auto"/>
                <w:sz w:val="21"/>
                <w:szCs w:val="21"/>
                <w:highlight w:val="none"/>
                <w:lang w:eastAsia="zh-CN"/>
              </w:rPr>
              <w:t>检查</w:t>
            </w:r>
            <w:r>
              <w:rPr>
                <w:rFonts w:hint="eastAsia" w:ascii="宋体" w:hAnsi="宋体" w:eastAsia="宋体"/>
                <w:bCs/>
                <w:color w:val="auto"/>
                <w:sz w:val="21"/>
                <w:szCs w:val="21"/>
                <w:highlight w:val="none"/>
              </w:rPr>
              <w:t>服务工作方案，编制全面完整的</w:t>
            </w:r>
            <w:r>
              <w:rPr>
                <w:rFonts w:hint="eastAsia" w:ascii="宋体" w:hAnsi="宋体" w:eastAsia="宋体"/>
                <w:bCs/>
                <w:color w:val="auto"/>
                <w:sz w:val="21"/>
                <w:szCs w:val="21"/>
                <w:highlight w:val="none"/>
                <w:lang w:eastAsia="zh-CN"/>
              </w:rPr>
              <w:t>项目检查</w:t>
            </w:r>
            <w:r>
              <w:rPr>
                <w:rFonts w:hint="eastAsia" w:ascii="宋体" w:hAnsi="宋体" w:eastAsia="宋体"/>
                <w:bCs/>
                <w:color w:val="auto"/>
                <w:sz w:val="21"/>
                <w:szCs w:val="21"/>
                <w:highlight w:val="none"/>
              </w:rPr>
              <w:t>实施方案提交采购人</w:t>
            </w:r>
            <w:r>
              <w:rPr>
                <w:rFonts w:hint="eastAsia" w:ascii="宋体" w:hAnsi="宋体" w:eastAsia="宋体"/>
                <w:color w:val="auto"/>
                <w:sz w:val="21"/>
                <w:highlight w:val="none"/>
                <w:u w:val="none"/>
              </w:rPr>
              <w:t>审核</w:t>
            </w:r>
            <w:r>
              <w:rPr>
                <w:rFonts w:hint="eastAsia" w:ascii="宋体" w:hAnsi="宋体" w:eastAsia="宋体"/>
                <w:color w:val="auto"/>
                <w:sz w:val="21"/>
                <w:highlight w:val="none"/>
                <w:lang w:eastAsia="zh-CN"/>
              </w:rPr>
              <w:t>，</w:t>
            </w:r>
            <w:r>
              <w:rPr>
                <w:rFonts w:hint="eastAsia" w:ascii="宋体" w:hAnsi="宋体" w:eastAsia="宋体"/>
                <w:color w:val="auto"/>
                <w:sz w:val="21"/>
                <w:highlight w:val="none"/>
                <w:u w:val="none"/>
                <w:lang w:eastAsia="zh-CN"/>
              </w:rPr>
              <w:t>按采购人</w:t>
            </w:r>
            <w:r>
              <w:rPr>
                <w:rFonts w:hint="eastAsia" w:ascii="宋体" w:hAnsi="宋体" w:eastAsia="宋体"/>
                <w:color w:val="auto"/>
                <w:sz w:val="21"/>
                <w:highlight w:val="none"/>
                <w:lang w:eastAsia="zh-CN"/>
              </w:rPr>
              <w:t>审定</w:t>
            </w:r>
            <w:r>
              <w:rPr>
                <w:rFonts w:hint="eastAsia" w:ascii="宋体" w:hAnsi="宋体" w:eastAsia="宋体"/>
                <w:color w:val="auto"/>
                <w:sz w:val="21"/>
                <w:highlight w:val="none"/>
                <w:u w:val="none"/>
                <w:lang w:eastAsia="zh-CN"/>
              </w:rPr>
              <w:t>的方案实施。项目检查实施方案的</w:t>
            </w:r>
            <w:r>
              <w:rPr>
                <w:rFonts w:hint="eastAsia" w:ascii="宋体" w:hAnsi="宋体" w:eastAsia="宋体"/>
                <w:color w:val="auto"/>
                <w:sz w:val="21"/>
                <w:highlight w:val="none"/>
                <w:lang w:eastAsia="zh-CN"/>
              </w:rPr>
              <w:t>主要</w:t>
            </w:r>
            <w:r>
              <w:rPr>
                <w:rFonts w:hint="eastAsia" w:ascii="宋体" w:hAnsi="宋体" w:eastAsia="宋体"/>
                <w:color w:val="auto"/>
                <w:sz w:val="21"/>
                <w:highlight w:val="none"/>
                <w:u w:val="none"/>
                <w:lang w:eastAsia="zh-CN"/>
              </w:rPr>
              <w:t>内容应</w:t>
            </w:r>
            <w:r>
              <w:rPr>
                <w:rFonts w:hint="eastAsia" w:ascii="宋体" w:hAnsi="宋体" w:eastAsia="宋体"/>
                <w:color w:val="auto"/>
                <w:sz w:val="21"/>
                <w:highlight w:val="none"/>
                <w:lang w:eastAsia="zh-CN"/>
              </w:rPr>
              <w:t>包括</w:t>
            </w:r>
            <w:r>
              <w:rPr>
                <w:rFonts w:hint="eastAsia" w:ascii="宋体" w:hAnsi="宋体" w:eastAsia="宋体"/>
                <w:color w:val="auto"/>
                <w:sz w:val="21"/>
                <w:highlight w:val="none"/>
                <w:u w:val="none"/>
                <w:lang w:eastAsia="zh-CN"/>
              </w:rPr>
              <w:t>以下内容</w:t>
            </w:r>
            <w:r>
              <w:rPr>
                <w:rFonts w:hint="eastAsia" w:ascii="宋体" w:hAnsi="宋体" w:eastAsia="宋体"/>
                <w:color w:val="auto"/>
                <w:sz w:val="21"/>
                <w:highlight w:val="none"/>
                <w:lang w:eastAsia="zh-CN"/>
              </w:rPr>
              <w:t>：编制依据、</w:t>
            </w:r>
            <w:r>
              <w:rPr>
                <w:rFonts w:hint="eastAsia" w:ascii="宋体" w:hAnsi="宋体" w:eastAsia="宋体"/>
                <w:color w:val="auto"/>
                <w:sz w:val="21"/>
                <w:highlight w:val="none"/>
                <w:u w:val="none"/>
                <w:lang w:eastAsia="zh-CN"/>
              </w:rPr>
              <w:t>检查范围、检查</w:t>
            </w:r>
            <w:r>
              <w:rPr>
                <w:rFonts w:hint="eastAsia" w:ascii="宋体" w:hAnsi="宋体" w:eastAsia="宋体"/>
                <w:color w:val="auto"/>
                <w:sz w:val="21"/>
                <w:highlight w:val="none"/>
                <w:lang w:eastAsia="zh-CN"/>
              </w:rPr>
              <w:t>目标、</w:t>
            </w:r>
            <w:r>
              <w:rPr>
                <w:rFonts w:hint="eastAsia" w:ascii="宋体" w:hAnsi="宋体" w:eastAsia="宋体"/>
                <w:color w:val="auto"/>
                <w:sz w:val="21"/>
                <w:highlight w:val="none"/>
                <w:u w:val="none"/>
                <w:lang w:eastAsia="zh-CN"/>
              </w:rPr>
              <w:t>被检查单位基本情况、</w:t>
            </w:r>
            <w:r>
              <w:rPr>
                <w:rFonts w:hint="eastAsia" w:ascii="宋体" w:hAnsi="宋体" w:eastAsia="宋体"/>
                <w:color w:val="auto"/>
                <w:sz w:val="21"/>
                <w:highlight w:val="none"/>
                <w:lang w:eastAsia="zh-CN"/>
              </w:rPr>
              <w:t>重要性分析和审计风险评估、</w:t>
            </w:r>
            <w:r>
              <w:rPr>
                <w:rFonts w:hint="eastAsia" w:ascii="宋体" w:hAnsi="宋体" w:eastAsia="宋体"/>
                <w:color w:val="auto"/>
                <w:sz w:val="21"/>
                <w:highlight w:val="none"/>
                <w:u w:val="none"/>
                <w:lang w:eastAsia="zh-CN"/>
              </w:rPr>
              <w:t>检查</w:t>
            </w:r>
            <w:r>
              <w:rPr>
                <w:rFonts w:hint="eastAsia" w:ascii="宋体" w:hAnsi="宋体" w:eastAsia="宋体"/>
                <w:color w:val="auto"/>
                <w:sz w:val="21"/>
                <w:highlight w:val="none"/>
                <w:lang w:eastAsia="zh-CN"/>
              </w:rPr>
              <w:t>内容及</w:t>
            </w:r>
            <w:r>
              <w:rPr>
                <w:rFonts w:hint="eastAsia" w:ascii="宋体" w:hAnsi="宋体" w:eastAsia="宋体"/>
                <w:color w:val="auto"/>
                <w:sz w:val="21"/>
                <w:highlight w:val="none"/>
                <w:u w:val="none"/>
                <w:lang w:eastAsia="zh-CN"/>
              </w:rPr>
              <w:t>检查步骤和</w:t>
            </w:r>
            <w:r>
              <w:rPr>
                <w:rFonts w:hint="eastAsia" w:ascii="宋体" w:hAnsi="宋体" w:eastAsia="宋体"/>
                <w:color w:val="auto"/>
                <w:sz w:val="21"/>
                <w:highlight w:val="none"/>
                <w:lang w:eastAsia="zh-CN"/>
              </w:rPr>
              <w:t>方法、预定</w:t>
            </w:r>
            <w:r>
              <w:rPr>
                <w:rFonts w:hint="eastAsia" w:ascii="宋体" w:hAnsi="宋体" w:eastAsia="宋体"/>
                <w:color w:val="auto"/>
                <w:sz w:val="21"/>
                <w:highlight w:val="none"/>
                <w:u w:val="none"/>
                <w:lang w:eastAsia="zh-CN"/>
              </w:rPr>
              <w:t>检查</w:t>
            </w:r>
            <w:r>
              <w:rPr>
                <w:rFonts w:hint="eastAsia" w:ascii="宋体" w:hAnsi="宋体" w:eastAsia="宋体"/>
                <w:color w:val="auto"/>
                <w:sz w:val="21"/>
                <w:highlight w:val="none"/>
                <w:lang w:eastAsia="zh-CN"/>
              </w:rPr>
              <w:t>工作起止时间、</w:t>
            </w:r>
            <w:r>
              <w:rPr>
                <w:rFonts w:hint="eastAsia" w:ascii="宋体" w:hAnsi="宋体" w:eastAsia="宋体"/>
                <w:color w:val="auto"/>
                <w:sz w:val="21"/>
                <w:highlight w:val="none"/>
                <w:u w:val="none"/>
                <w:lang w:eastAsia="zh-CN"/>
              </w:rPr>
              <w:t>检查</w:t>
            </w:r>
            <w:r>
              <w:rPr>
                <w:rFonts w:hint="eastAsia" w:ascii="宋体" w:hAnsi="宋体" w:eastAsia="宋体"/>
                <w:color w:val="auto"/>
                <w:sz w:val="21"/>
                <w:highlight w:val="none"/>
                <w:lang w:eastAsia="zh-CN"/>
              </w:rPr>
              <w:t>组成员及分工</w:t>
            </w:r>
            <w:r>
              <w:rPr>
                <w:rFonts w:hint="eastAsia" w:ascii="宋体" w:hAnsi="宋体" w:eastAsia="宋体"/>
                <w:color w:val="auto"/>
                <w:sz w:val="21"/>
                <w:highlight w:val="none"/>
                <w:u w:val="none"/>
                <w:lang w:eastAsia="zh-CN"/>
              </w:rPr>
              <w:t>等。其中，</w:t>
            </w:r>
            <w:r>
              <w:rPr>
                <w:rFonts w:hint="eastAsia" w:ascii="宋体" w:hAnsi="宋体" w:eastAsia="宋体" w:cs="宋体"/>
                <w:color w:val="auto"/>
                <w:sz w:val="21"/>
                <w:szCs w:val="21"/>
                <w:highlight w:val="none"/>
              </w:rPr>
              <w:t>供应商需按照重要性原则，确定报表的整体重要性水平为总收入或总支出的1%～2%，对单笔金额超过重要性水平10%的大额凭证100%检查，其余凭证按30%～40%比例抽查。</w:t>
            </w:r>
          </w:p>
          <w:p w14:paraId="7D93368A">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lang w:val="en-US" w:eastAsia="zh-CN"/>
              </w:rPr>
              <w:t>3.</w:t>
            </w:r>
            <w:r>
              <w:rPr>
                <w:rFonts w:hint="eastAsia" w:ascii="宋体" w:hAnsi="宋体" w:eastAsia="宋体"/>
                <w:color w:val="auto"/>
                <w:sz w:val="21"/>
                <w:highlight w:val="none"/>
                <w:u w:val="none"/>
              </w:rPr>
              <w:t>健全工作机制</w:t>
            </w:r>
            <w:r>
              <w:rPr>
                <w:rFonts w:hint="eastAsia" w:ascii="宋体" w:hAnsi="宋体" w:eastAsia="宋体"/>
                <w:bCs/>
                <w:color w:val="auto"/>
                <w:sz w:val="21"/>
                <w:szCs w:val="21"/>
                <w:highlight w:val="none"/>
              </w:rPr>
              <w:t>。</w:t>
            </w:r>
            <w:r>
              <w:rPr>
                <w:rFonts w:hint="eastAsia" w:ascii="宋体" w:hAnsi="宋体" w:eastAsia="宋体"/>
                <w:color w:val="auto"/>
                <w:sz w:val="21"/>
                <w:highlight w:val="none"/>
              </w:rPr>
              <w:t>为确保高质</w:t>
            </w:r>
            <w:r>
              <w:rPr>
                <w:rFonts w:hint="eastAsia" w:ascii="宋体" w:hAnsi="宋体" w:eastAsia="宋体"/>
                <w:color w:val="auto"/>
                <w:sz w:val="21"/>
                <w:highlight w:val="none"/>
                <w:u w:val="none"/>
              </w:rPr>
              <w:t>量</w:t>
            </w:r>
            <w:r>
              <w:rPr>
                <w:rFonts w:hint="eastAsia" w:ascii="宋体" w:hAnsi="宋体" w:eastAsia="宋体"/>
                <w:bCs/>
                <w:color w:val="auto"/>
                <w:sz w:val="21"/>
                <w:szCs w:val="21"/>
                <w:highlight w:val="none"/>
              </w:rPr>
              <w:t>完成任务，</w:t>
            </w:r>
            <w:r>
              <w:rPr>
                <w:rFonts w:hint="eastAsia" w:ascii="宋体" w:hAnsi="宋体" w:eastAsia="宋体"/>
                <w:bCs/>
                <w:color w:val="auto"/>
                <w:sz w:val="21"/>
                <w:szCs w:val="21"/>
                <w:highlight w:val="none"/>
                <w:lang w:eastAsia="zh-CN"/>
              </w:rPr>
              <w:t>供应商要建立</w:t>
            </w:r>
            <w:r>
              <w:rPr>
                <w:rFonts w:hint="eastAsia" w:ascii="宋体" w:hAnsi="宋体" w:eastAsia="宋体"/>
                <w:color w:val="auto"/>
                <w:sz w:val="21"/>
                <w:highlight w:val="none"/>
                <w:u w:val="none"/>
                <w:lang w:eastAsia="zh-CN"/>
              </w:rPr>
              <w:t>检查</w:t>
            </w:r>
            <w:r>
              <w:rPr>
                <w:rFonts w:hint="eastAsia" w:ascii="宋体" w:hAnsi="宋体" w:eastAsia="宋体"/>
                <w:bCs/>
                <w:color w:val="auto"/>
                <w:sz w:val="21"/>
                <w:szCs w:val="21"/>
                <w:highlight w:val="none"/>
                <w:lang w:eastAsia="zh-CN"/>
              </w:rPr>
              <w:t>项目沟通会等工作机制，定期召开现场检查组和采购人进展情况汇报沟通会；检查组</w:t>
            </w:r>
            <w:r>
              <w:rPr>
                <w:rFonts w:hint="eastAsia" w:ascii="宋体" w:hAnsi="宋体" w:eastAsia="宋体"/>
                <w:color w:val="auto"/>
                <w:sz w:val="21"/>
                <w:highlight w:val="none"/>
              </w:rPr>
              <w:t>成员之间要加强沟通与协作，充分利用科技手段，提高工作效率；</w:t>
            </w:r>
            <w:r>
              <w:rPr>
                <w:rFonts w:hint="eastAsia" w:ascii="宋体" w:hAnsi="宋体" w:eastAsia="宋体"/>
                <w:color w:val="auto"/>
                <w:sz w:val="21"/>
                <w:highlight w:val="none"/>
                <w:u w:val="none"/>
                <w:lang w:eastAsia="zh-CN"/>
              </w:rPr>
              <w:t>检查</w:t>
            </w:r>
            <w:r>
              <w:rPr>
                <w:rFonts w:hint="eastAsia" w:ascii="宋体" w:hAnsi="宋体" w:eastAsia="宋体"/>
                <w:color w:val="auto"/>
                <w:sz w:val="21"/>
                <w:highlight w:val="none"/>
                <w:u w:val="none"/>
              </w:rPr>
              <w:t>组</w:t>
            </w:r>
            <w:r>
              <w:rPr>
                <w:rFonts w:hint="eastAsia" w:ascii="宋体" w:hAnsi="宋体" w:eastAsia="宋体"/>
                <w:bCs/>
                <w:color w:val="auto"/>
                <w:sz w:val="21"/>
                <w:szCs w:val="21"/>
                <w:highlight w:val="none"/>
              </w:rPr>
              <w:t>要认真做好取证、工作底稿等基础性工作，做到事实清楚，证据充分，依据有力，定性准确；</w:t>
            </w:r>
            <w:r>
              <w:rPr>
                <w:rFonts w:hint="eastAsia" w:ascii="宋体" w:hAnsi="宋体" w:eastAsia="宋体"/>
                <w:color w:val="auto"/>
                <w:sz w:val="21"/>
                <w:highlight w:val="none"/>
                <w:lang w:eastAsia="zh-CN"/>
              </w:rPr>
              <w:t>对编制的工作底稿、草拟的检查报告，一般要履行“主审—检查组组长（</w:t>
            </w:r>
            <w:r>
              <w:rPr>
                <w:rFonts w:hint="eastAsia" w:ascii="宋体" w:hAnsi="宋体" w:eastAsia="宋体"/>
                <w:color w:val="auto"/>
                <w:sz w:val="21"/>
                <w:highlight w:val="none"/>
                <w:u w:val="none"/>
                <w:lang w:eastAsia="zh-CN"/>
              </w:rPr>
              <w:t>或副组长</w:t>
            </w:r>
            <w:r>
              <w:rPr>
                <w:rFonts w:hint="eastAsia" w:ascii="宋体" w:hAnsi="宋体" w:eastAsia="宋体"/>
                <w:bCs/>
                <w:color w:val="auto"/>
                <w:sz w:val="21"/>
                <w:szCs w:val="21"/>
                <w:highlight w:val="none"/>
                <w:lang w:eastAsia="zh-CN"/>
              </w:rPr>
              <w:t>）—采购人财审机构负责人”的复核程序，保证检查工作质量。</w:t>
            </w:r>
          </w:p>
          <w:p w14:paraId="732377CC">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hint="eastAsia"/>
                <w:color w:val="auto"/>
                <w:highlight w:val="none"/>
              </w:rPr>
            </w:pPr>
            <w:r>
              <w:rPr>
                <w:rFonts w:hint="eastAsia" w:ascii="宋体" w:hAnsi="宋体" w:eastAsia="宋体"/>
                <w:bCs/>
                <w:color w:val="auto"/>
                <w:sz w:val="21"/>
                <w:szCs w:val="21"/>
                <w:highlight w:val="none"/>
                <w:lang w:val="en-US" w:eastAsia="zh-CN"/>
              </w:rPr>
              <w:t>4.</w:t>
            </w:r>
            <w:r>
              <w:rPr>
                <w:rFonts w:hint="eastAsia" w:ascii="宋体" w:hAnsi="宋体" w:eastAsia="宋体"/>
                <w:bCs/>
                <w:color w:val="auto"/>
                <w:sz w:val="21"/>
                <w:szCs w:val="21"/>
                <w:highlight w:val="none"/>
                <w:lang w:eastAsia="zh-CN"/>
              </w:rPr>
              <w:t>加强沟通协调。检查</w:t>
            </w:r>
            <w:r>
              <w:rPr>
                <w:rFonts w:hint="eastAsia" w:ascii="宋体" w:hAnsi="宋体" w:eastAsia="宋体"/>
                <w:bCs/>
                <w:color w:val="auto"/>
                <w:sz w:val="21"/>
                <w:szCs w:val="21"/>
                <w:highlight w:val="none"/>
              </w:rPr>
              <w:t>过程中，</w:t>
            </w:r>
            <w:r>
              <w:rPr>
                <w:rFonts w:hint="eastAsia" w:ascii="宋体" w:hAnsi="宋体" w:eastAsia="宋体"/>
                <w:bCs/>
                <w:color w:val="auto"/>
                <w:sz w:val="21"/>
                <w:szCs w:val="21"/>
                <w:highlight w:val="none"/>
                <w:lang w:eastAsia="zh-CN"/>
              </w:rPr>
              <w:t>现场检查组</w:t>
            </w:r>
            <w:r>
              <w:rPr>
                <w:rFonts w:hint="eastAsia" w:ascii="宋体" w:hAnsi="宋体" w:eastAsia="宋体"/>
                <w:bCs/>
                <w:color w:val="auto"/>
                <w:sz w:val="21"/>
                <w:szCs w:val="21"/>
                <w:highlight w:val="none"/>
              </w:rPr>
              <w:t>要密切与采购人的沟通和协调，及时反映</w:t>
            </w:r>
            <w:r>
              <w:rPr>
                <w:rFonts w:hint="eastAsia" w:ascii="宋体" w:hAnsi="宋体" w:eastAsia="宋体"/>
                <w:bCs/>
                <w:color w:val="auto"/>
                <w:sz w:val="21"/>
                <w:szCs w:val="21"/>
                <w:highlight w:val="none"/>
                <w:lang w:eastAsia="zh-CN"/>
              </w:rPr>
              <w:t>检查</w:t>
            </w:r>
            <w:r>
              <w:rPr>
                <w:rFonts w:hint="eastAsia" w:ascii="宋体" w:hAnsi="宋体" w:eastAsia="宋体"/>
                <w:bCs/>
                <w:color w:val="auto"/>
                <w:sz w:val="21"/>
                <w:szCs w:val="21"/>
                <w:highlight w:val="none"/>
              </w:rPr>
              <w:t>中的重要信息和成果，如实披露发现的问题。</w:t>
            </w:r>
            <w:r>
              <w:rPr>
                <w:rFonts w:hint="eastAsia" w:ascii="宋体" w:hAnsi="宋体" w:eastAsia="宋体"/>
                <w:bCs/>
                <w:color w:val="auto"/>
                <w:sz w:val="21"/>
                <w:szCs w:val="21"/>
                <w:highlight w:val="none"/>
                <w:lang w:eastAsia="zh-CN"/>
              </w:rPr>
              <w:t>检查实施过程中如有重大违法违规等意外发现，检查组应及时汇报，在履行相关程序后再深入核实。</w:t>
            </w:r>
          </w:p>
          <w:p w14:paraId="4629BD0E">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供应商拟投入的检查组成员不少于4人，至少配备项目负责人1名（项目负责人须具备中国注册会计师执业资格证，从事审计工作年限5年以上，并有担任同类审计项目负责人经历），1名注册造价工程师（须具备工程类中级或以上职称），其余2名审计人员须具备初级会计师、初级审计师、初级经济师中的一种或以上职称。</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派驻的</w:t>
            </w:r>
            <w:r>
              <w:rPr>
                <w:rFonts w:hint="eastAsia" w:ascii="宋体" w:hAnsi="宋体" w:cs="宋体"/>
                <w:color w:val="auto"/>
                <w:sz w:val="21"/>
                <w:szCs w:val="21"/>
                <w:highlight w:val="none"/>
                <w:lang w:eastAsia="zh-CN"/>
              </w:rPr>
              <w:t>检查</w:t>
            </w:r>
            <w:r>
              <w:rPr>
                <w:rFonts w:hint="eastAsia" w:ascii="宋体" w:hAnsi="宋体" w:eastAsia="宋体" w:cs="宋体"/>
                <w:color w:val="auto"/>
                <w:sz w:val="21"/>
                <w:szCs w:val="21"/>
                <w:highlight w:val="none"/>
              </w:rPr>
              <w:t>人员须与响应文件中派驻</w:t>
            </w:r>
            <w:r>
              <w:rPr>
                <w:rFonts w:hint="eastAsia" w:ascii="宋体" w:hAnsi="宋体" w:eastAsia="宋体"/>
                <w:color w:val="auto"/>
                <w:sz w:val="21"/>
                <w:highlight w:val="none"/>
                <w:u w:val="none"/>
                <w:lang w:eastAsia="zh-CN"/>
              </w:rPr>
              <w:t>检查</w:t>
            </w:r>
            <w:r>
              <w:rPr>
                <w:rFonts w:hint="eastAsia" w:ascii="宋体" w:hAnsi="宋体" w:eastAsia="宋体" w:cs="宋体"/>
                <w:color w:val="auto"/>
                <w:sz w:val="21"/>
                <w:szCs w:val="21"/>
                <w:highlight w:val="none"/>
              </w:rPr>
              <w:t>人员一致，如需更换人员需事先征得采购人同意。</w:t>
            </w:r>
            <w:r>
              <w:rPr>
                <w:rFonts w:hint="eastAsia" w:ascii="宋体" w:hAnsi="宋体" w:eastAsia="宋体" w:cs="宋体"/>
                <w:color w:val="auto"/>
                <w:sz w:val="21"/>
                <w:szCs w:val="21"/>
                <w:highlight w:val="none"/>
              </w:rPr>
              <w:br w:type="textWrapping"/>
            </w:r>
            <w:r>
              <w:rPr>
                <w:rFonts w:hint="eastAsia" w:ascii="宋体" w:hAnsi="宋体" w:cs="宋体"/>
                <w:color w:val="auto"/>
                <w:sz w:val="21"/>
                <w:szCs w:val="21"/>
                <w:highlight w:val="none"/>
                <w:lang w:val="en-US" w:eastAsia="zh-CN"/>
              </w:rPr>
              <w:t xml:space="preserve">    6</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开展工作现场检查时间不得少于</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lang w:eastAsia="zh-CN"/>
              </w:rPr>
              <w:t>个工作日</w:t>
            </w:r>
            <w:r>
              <w:rPr>
                <w:rFonts w:hint="eastAsia" w:ascii="宋体" w:hAnsi="宋体" w:eastAsia="宋体" w:cs="宋体"/>
                <w:color w:val="auto"/>
                <w:sz w:val="21"/>
                <w:szCs w:val="21"/>
                <w:highlight w:val="none"/>
              </w:rPr>
              <w:t>，现场检查结束20天内须出具</w:t>
            </w:r>
            <w:r>
              <w:rPr>
                <w:rFonts w:hint="eastAsia" w:ascii="宋体" w:hAnsi="宋体" w:eastAsia="宋体" w:cs="宋体"/>
                <w:color w:val="auto"/>
                <w:sz w:val="21"/>
                <w:szCs w:val="21"/>
                <w:highlight w:val="none"/>
                <w:lang w:val="en-US" w:eastAsia="zh-CN"/>
              </w:rPr>
              <w:t>检查</w:t>
            </w:r>
            <w:r>
              <w:rPr>
                <w:rFonts w:hint="eastAsia" w:ascii="宋体" w:hAnsi="宋体" w:eastAsia="宋体" w:cs="宋体"/>
                <w:color w:val="auto"/>
                <w:sz w:val="21"/>
                <w:szCs w:val="21"/>
                <w:highlight w:val="none"/>
              </w:rPr>
              <w:t>报告初稿，2026年9月30日前出具</w:t>
            </w:r>
            <w:r>
              <w:rPr>
                <w:rFonts w:hint="eastAsia" w:ascii="宋体" w:hAnsi="宋体" w:eastAsia="宋体" w:cs="宋体"/>
                <w:color w:val="auto"/>
                <w:sz w:val="21"/>
                <w:szCs w:val="21"/>
                <w:highlight w:val="none"/>
                <w:lang w:eastAsia="zh-CN"/>
              </w:rPr>
              <w:t>正式</w:t>
            </w:r>
            <w:r>
              <w:rPr>
                <w:rFonts w:hint="eastAsia" w:ascii="宋体" w:hAnsi="宋体" w:eastAsia="宋体" w:cs="宋体"/>
                <w:color w:val="auto"/>
                <w:sz w:val="21"/>
                <w:szCs w:val="21"/>
                <w:highlight w:val="none"/>
                <w:lang w:val="en-US" w:eastAsia="zh-CN"/>
              </w:rPr>
              <w:t>检查</w:t>
            </w:r>
            <w:r>
              <w:rPr>
                <w:rFonts w:hint="eastAsia" w:ascii="宋体" w:hAnsi="宋体" w:eastAsia="宋体" w:cs="宋体"/>
                <w:color w:val="auto"/>
                <w:sz w:val="21"/>
                <w:szCs w:val="21"/>
                <w:highlight w:val="none"/>
              </w:rPr>
              <w:t>报告，包括纸质报告（一式八份）、彩色扫描PDF版和Word版</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并交付所有</w:t>
            </w:r>
            <w:r>
              <w:rPr>
                <w:rFonts w:hint="eastAsia" w:ascii="宋体" w:hAnsi="宋体" w:eastAsia="宋体" w:cs="宋体"/>
                <w:color w:val="auto"/>
                <w:sz w:val="21"/>
                <w:szCs w:val="21"/>
                <w:highlight w:val="none"/>
                <w:lang w:val="en-US" w:eastAsia="zh-CN"/>
              </w:rPr>
              <w:t>检查</w:t>
            </w:r>
            <w:r>
              <w:rPr>
                <w:rFonts w:hint="eastAsia" w:ascii="宋体" w:hAnsi="宋体" w:eastAsia="宋体" w:cs="宋体"/>
                <w:color w:val="auto"/>
                <w:sz w:val="21"/>
                <w:szCs w:val="21"/>
                <w:highlight w:val="none"/>
              </w:rPr>
              <w:t>工作底稿。</w:t>
            </w:r>
            <w:r>
              <w:rPr>
                <w:rFonts w:hint="eastAsia" w:ascii="宋体" w:hAnsi="宋体" w:eastAsia="宋体"/>
                <w:bCs/>
                <w:color w:val="auto"/>
                <w:sz w:val="21"/>
                <w:szCs w:val="21"/>
                <w:highlight w:val="none"/>
                <w:lang w:eastAsia="zh-CN"/>
              </w:rPr>
              <w:t>本项目的检查</w:t>
            </w:r>
            <w:r>
              <w:rPr>
                <w:rFonts w:hint="eastAsia" w:ascii="宋体" w:hAnsi="宋体" w:eastAsia="宋体"/>
                <w:bCs/>
                <w:color w:val="auto"/>
                <w:sz w:val="21"/>
                <w:szCs w:val="21"/>
                <w:highlight w:val="none"/>
              </w:rPr>
              <w:t>文书</w:t>
            </w:r>
            <w:r>
              <w:rPr>
                <w:rFonts w:hint="eastAsia" w:ascii="宋体" w:hAnsi="宋体" w:eastAsia="宋体"/>
                <w:bCs/>
                <w:color w:val="auto"/>
                <w:sz w:val="21"/>
                <w:szCs w:val="21"/>
                <w:highlight w:val="none"/>
                <w:lang w:eastAsia="zh-CN"/>
              </w:rPr>
              <w:t>资料</w:t>
            </w:r>
            <w:r>
              <w:rPr>
                <w:rFonts w:hint="eastAsia" w:ascii="宋体" w:hAnsi="宋体" w:eastAsia="宋体"/>
                <w:bCs/>
                <w:color w:val="auto"/>
                <w:sz w:val="21"/>
                <w:szCs w:val="21"/>
                <w:highlight w:val="none"/>
              </w:rPr>
              <w:t>需按照采购人要求装订成档保存于采购单位。</w:t>
            </w:r>
            <w:r>
              <w:rPr>
                <w:rFonts w:hint="eastAsia" w:ascii="宋体" w:hAnsi="宋体" w:eastAsia="宋体" w:cs="宋体"/>
                <w:color w:val="auto"/>
                <w:sz w:val="21"/>
                <w:szCs w:val="21"/>
                <w:highlight w:val="none"/>
              </w:rPr>
              <w:br w:type="textWrapping"/>
            </w:r>
            <w:r>
              <w:rPr>
                <w:rFonts w:hint="eastAsia" w:ascii="宋体" w:hAnsi="宋体" w:cs="宋体"/>
                <w:color w:val="auto"/>
                <w:sz w:val="21"/>
                <w:szCs w:val="21"/>
                <w:highlight w:val="none"/>
                <w:lang w:val="en-US" w:eastAsia="zh-CN"/>
              </w:rPr>
              <w:t xml:space="preserve">    7</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不得将该项目转交第三方完成。</w:t>
            </w:r>
          </w:p>
          <w:p w14:paraId="5E07BF91">
            <w:pPr>
              <w:keepNext w:val="0"/>
              <w:keepLines w:val="0"/>
              <w:pageBreakBefore w:val="0"/>
              <w:widowControl w:val="0"/>
              <w:kinsoku/>
              <w:wordWrap w:val="0"/>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bCs w:val="0"/>
                <w:color w:val="auto"/>
                <w:szCs w:val="21"/>
                <w:highlight w:val="none"/>
                <w:lang w:val="zh-CN"/>
              </w:rPr>
            </w:pPr>
            <w:r>
              <w:rPr>
                <w:rFonts w:hint="eastAsia" w:ascii="宋体" w:hAnsi="宋体" w:eastAsia="宋体" w:cs="宋体"/>
                <w:b/>
                <w:bCs w:val="0"/>
                <w:color w:val="auto"/>
                <w:szCs w:val="21"/>
                <w:highlight w:val="none"/>
                <w:lang w:val="zh-CN"/>
              </w:rPr>
              <w:t>注：供应商拟投入的工作组成员必须是在职工作人员，且须在投标文件中提供拟投入的工作组成员的专业技能或资格证书、职称证书、项目负责人工作年限证明（以劳动合同为准）、</w:t>
            </w:r>
            <w:r>
              <w:rPr>
                <w:rFonts w:hint="eastAsia" w:ascii="宋体" w:hAnsi="宋体" w:eastAsia="宋体" w:cs="宋体"/>
                <w:b/>
                <w:bCs w:val="0"/>
                <w:color w:val="auto"/>
                <w:szCs w:val="21"/>
                <w:highlight w:val="none"/>
                <w:lang w:val="en-US" w:eastAsia="zh-CN"/>
              </w:rPr>
              <w:t>供应商为拟投入人员缴纳的2025年</w:t>
            </w:r>
            <w:r>
              <w:rPr>
                <w:rFonts w:hint="eastAsia" w:ascii="宋体" w:hAnsi="宋体" w:cs="宋体"/>
                <w:b/>
                <w:bCs w:val="0"/>
                <w:color w:val="auto"/>
                <w:szCs w:val="21"/>
                <w:highlight w:val="none"/>
                <w:lang w:val="en-US" w:eastAsia="zh-CN"/>
              </w:rPr>
              <w:t>11</w:t>
            </w:r>
            <w:r>
              <w:rPr>
                <w:rFonts w:hint="eastAsia" w:ascii="宋体" w:hAnsi="宋体" w:eastAsia="宋体" w:cs="宋体"/>
                <w:b/>
                <w:bCs w:val="0"/>
                <w:color w:val="auto"/>
                <w:szCs w:val="21"/>
                <w:highlight w:val="none"/>
                <w:lang w:val="en-US" w:eastAsia="zh-CN"/>
              </w:rPr>
              <w:t>月-2026年</w:t>
            </w:r>
            <w:r>
              <w:rPr>
                <w:rFonts w:hint="eastAsia" w:ascii="宋体" w:hAnsi="宋体" w:cs="宋体"/>
                <w:b/>
                <w:bCs w:val="0"/>
                <w:color w:val="auto"/>
                <w:szCs w:val="21"/>
                <w:highlight w:val="none"/>
                <w:lang w:val="en-US" w:eastAsia="zh-CN"/>
              </w:rPr>
              <w:t>4</w:t>
            </w:r>
            <w:r>
              <w:rPr>
                <w:rFonts w:hint="eastAsia" w:ascii="宋体" w:hAnsi="宋体" w:eastAsia="宋体" w:cs="宋体"/>
                <w:b/>
                <w:bCs w:val="0"/>
                <w:color w:val="auto"/>
                <w:szCs w:val="21"/>
                <w:highlight w:val="none"/>
                <w:lang w:val="en-US" w:eastAsia="zh-CN"/>
              </w:rPr>
              <w:t>月内任意连续3个月的社保缴费证明或《投保单》或单位代缴个人所得税税单等复印件（加盖公章）或提供供应商与拟投入本项目团队成员签订的劳务合同复印件（法定代表人除外</w:t>
            </w:r>
            <w:r>
              <w:rPr>
                <w:rFonts w:hint="eastAsia" w:ascii="宋体" w:hAnsi="宋体" w:cs="宋体"/>
                <w:b/>
                <w:bCs w:val="0"/>
                <w:color w:val="auto"/>
                <w:szCs w:val="21"/>
                <w:highlight w:val="none"/>
                <w:lang w:val="en-US" w:eastAsia="zh-CN"/>
              </w:rPr>
              <w:t>）</w:t>
            </w:r>
            <w:r>
              <w:rPr>
                <w:rFonts w:hint="eastAsia" w:ascii="宋体" w:hAnsi="宋体" w:eastAsia="宋体" w:cs="宋体"/>
                <w:b/>
                <w:bCs w:val="0"/>
                <w:color w:val="auto"/>
                <w:szCs w:val="21"/>
                <w:highlight w:val="none"/>
                <w:lang w:val="zh-CN"/>
              </w:rPr>
              <w:t>。</w:t>
            </w:r>
          </w:p>
          <w:p w14:paraId="2FA4DBDC">
            <w:pPr>
              <w:keepNext w:val="0"/>
              <w:keepLines w:val="0"/>
              <w:pageBreakBefore w:val="0"/>
              <w:widowControl w:val="0"/>
              <w:kinsoku/>
              <w:wordWrap w:val="0"/>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bCs w:val="0"/>
                <w:color w:val="auto"/>
                <w:szCs w:val="21"/>
                <w:highlight w:val="none"/>
                <w:lang w:val="zh-CN"/>
              </w:rPr>
            </w:pPr>
          </w:p>
        </w:tc>
      </w:tr>
      <w:tr w14:paraId="362A3F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18" w:type="dxa"/>
            <w:tcBorders>
              <w:top w:val="single" w:color="auto" w:sz="4" w:space="0"/>
              <w:left w:val="single" w:color="auto" w:sz="4" w:space="0"/>
              <w:bottom w:val="single" w:color="auto" w:sz="4" w:space="0"/>
              <w:right w:val="single" w:color="auto" w:sz="4" w:space="0"/>
            </w:tcBorders>
            <w:noWrap w:val="0"/>
            <w:vAlign w:val="center"/>
          </w:tcPr>
          <w:p w14:paraId="3F6BBADF">
            <w:pPr>
              <w:keepNext w:val="0"/>
              <w:keepLines w:val="0"/>
              <w:pageBreakBefore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cs="宋体"/>
                <w:color w:val="auto"/>
                <w:szCs w:val="21"/>
                <w:highlight w:val="none"/>
                <w:lang w:val="en-US" w:eastAsia="zh-CN"/>
              </w:rPr>
              <w:t>4</w:t>
            </w:r>
            <w:r>
              <w:rPr>
                <w:rFonts w:hint="eastAsia" w:ascii="宋体" w:hAnsi="宋体" w:eastAsia="宋体" w:cs="宋体"/>
                <w:color w:val="auto"/>
                <w:sz w:val="21"/>
                <w:szCs w:val="21"/>
                <w:highlight w:val="none"/>
                <w:lang w:eastAsia="zh-CN"/>
              </w:rPr>
              <w:t>分标</w:t>
            </w:r>
          </w:p>
        </w:tc>
        <w:tc>
          <w:tcPr>
            <w:tcW w:w="970" w:type="dxa"/>
            <w:tcBorders>
              <w:top w:val="single" w:color="auto" w:sz="4" w:space="0"/>
              <w:left w:val="single" w:color="auto" w:sz="4" w:space="0"/>
              <w:bottom w:val="single" w:color="auto" w:sz="4" w:space="0"/>
              <w:right w:val="single" w:color="auto" w:sz="4" w:space="0"/>
            </w:tcBorders>
            <w:noWrap w:val="0"/>
            <w:vAlign w:val="center"/>
          </w:tcPr>
          <w:p w14:paraId="5335AAD8">
            <w:pPr>
              <w:keepNext w:val="0"/>
              <w:keepLines w:val="0"/>
              <w:pageBreakBefore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olor w:val="auto"/>
                <w:szCs w:val="21"/>
                <w:highlight w:val="none"/>
                <w:lang w:eastAsia="zh-CN"/>
              </w:rPr>
              <w:t>2026年财会监督检查服务</w:t>
            </w:r>
            <w:r>
              <w:rPr>
                <w:rFonts w:hint="eastAsia" w:ascii="宋体" w:hAnsi="宋体"/>
                <w:color w:val="auto"/>
                <w:szCs w:val="21"/>
                <w:highlight w:val="none"/>
                <w:lang w:val="en-US" w:eastAsia="zh-CN"/>
              </w:rPr>
              <w:t>3</w:t>
            </w:r>
          </w:p>
        </w:tc>
        <w:tc>
          <w:tcPr>
            <w:tcW w:w="852" w:type="dxa"/>
            <w:tcBorders>
              <w:top w:val="single" w:color="auto" w:sz="4" w:space="0"/>
              <w:left w:val="single" w:color="auto" w:sz="4" w:space="0"/>
              <w:bottom w:val="single" w:color="auto" w:sz="4" w:space="0"/>
              <w:right w:val="single" w:color="auto" w:sz="4" w:space="0"/>
            </w:tcBorders>
            <w:noWrap w:val="0"/>
            <w:vAlign w:val="center"/>
          </w:tcPr>
          <w:p w14:paraId="4964CFE7">
            <w:pPr>
              <w:keepNext w:val="0"/>
              <w:keepLines w:val="0"/>
              <w:pageBreakBefore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1项</w:t>
            </w:r>
          </w:p>
        </w:tc>
        <w:tc>
          <w:tcPr>
            <w:tcW w:w="1061" w:type="dxa"/>
            <w:tcBorders>
              <w:top w:val="single" w:color="auto" w:sz="4" w:space="0"/>
              <w:left w:val="single" w:color="auto" w:sz="4" w:space="0"/>
              <w:bottom w:val="single" w:color="auto" w:sz="4" w:space="0"/>
              <w:right w:val="single" w:color="000000" w:sz="4" w:space="0"/>
            </w:tcBorders>
            <w:noWrap w:val="0"/>
            <w:vAlign w:val="center"/>
          </w:tcPr>
          <w:p w14:paraId="5C5EBEA9">
            <w:pPr>
              <w:keepNext w:val="0"/>
              <w:keepLines w:val="0"/>
              <w:pageBreakBefore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color w:val="auto"/>
                <w:szCs w:val="21"/>
                <w:highlight w:val="none"/>
                <w:u w:val="none"/>
                <w:lang w:eastAsia="zh-CN"/>
              </w:rPr>
              <w:t>租赁和商务服务业</w:t>
            </w:r>
          </w:p>
        </w:tc>
        <w:tc>
          <w:tcPr>
            <w:tcW w:w="6139" w:type="dxa"/>
            <w:tcBorders>
              <w:top w:val="single" w:color="auto" w:sz="4" w:space="0"/>
              <w:left w:val="single" w:color="000000" w:sz="4" w:space="0"/>
              <w:bottom w:val="single" w:color="auto" w:sz="4" w:space="0"/>
              <w:right w:val="single" w:color="auto" w:sz="4" w:space="0"/>
            </w:tcBorders>
            <w:noWrap w:val="0"/>
            <w:vAlign w:val="center"/>
          </w:tcPr>
          <w:p w14:paraId="07206A8A">
            <w:pPr>
              <w:keepNext w:val="0"/>
              <w:keepLines w:val="0"/>
              <w:pageBreakBefore w:val="0"/>
              <w:widowControl w:val="0"/>
              <w:numPr>
                <w:ilvl w:val="0"/>
                <w:numId w:val="0"/>
              </w:numPr>
              <w:kinsoku/>
              <w:wordWrap w:val="0"/>
              <w:overflowPunct/>
              <w:topLinePunct w:val="0"/>
              <w:autoSpaceDE/>
              <w:autoSpaceDN/>
              <w:bidi w:val="0"/>
              <w:adjustRightInd/>
              <w:snapToGrid/>
              <w:spacing w:line="360" w:lineRule="exact"/>
              <w:ind w:firstLine="420" w:firstLineChars="200"/>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一、财会监督检查</w:t>
            </w:r>
          </w:p>
          <w:p w14:paraId="60E68C02">
            <w:pPr>
              <w:keepNext w:val="0"/>
              <w:keepLines w:val="0"/>
              <w:pageBreakBefore w:val="0"/>
              <w:widowControl w:val="0"/>
              <w:numPr>
                <w:ilvl w:val="0"/>
                <w:numId w:val="0"/>
              </w:numPr>
              <w:kinsoku/>
              <w:wordWrap w:val="0"/>
              <w:overflowPunct/>
              <w:topLinePunct w:val="0"/>
              <w:autoSpaceDE/>
              <w:autoSpaceDN/>
              <w:bidi w:val="0"/>
              <w:adjustRightInd/>
              <w:snapToGrid/>
              <w:spacing w:line="360" w:lineRule="exact"/>
              <w:ind w:firstLine="420" w:firstLineChars="200"/>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（一）服务内容</w:t>
            </w:r>
          </w:p>
          <w:p w14:paraId="244E64DF">
            <w:pPr>
              <w:keepNext w:val="0"/>
              <w:keepLines w:val="0"/>
              <w:pageBreakBefore w:val="0"/>
              <w:widowControl w:val="0"/>
              <w:numPr>
                <w:ilvl w:val="0"/>
                <w:numId w:val="0"/>
              </w:numPr>
              <w:kinsoku/>
              <w:wordWrap w:val="0"/>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根据《广西壮族自治区交通运输厅财务监督检查办法》（桂交办财务〔</w:t>
            </w:r>
            <w:r>
              <w:rPr>
                <w:rFonts w:hint="eastAsia" w:ascii="宋体" w:hAnsi="宋体" w:cs="宋体"/>
                <w:color w:val="auto"/>
                <w:sz w:val="21"/>
                <w:szCs w:val="21"/>
                <w:highlight w:val="none"/>
                <w:lang w:val="en-US" w:eastAsia="zh-CN"/>
              </w:rPr>
              <w:t>2022</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34号</w:t>
            </w:r>
            <w:r>
              <w:rPr>
                <w:rFonts w:hint="eastAsia" w:ascii="宋体" w:hAnsi="宋体" w:cs="宋体"/>
                <w:color w:val="auto"/>
                <w:sz w:val="21"/>
                <w:szCs w:val="21"/>
                <w:highlight w:val="none"/>
                <w:lang w:eastAsia="zh-CN"/>
              </w:rPr>
              <w:t>）《广西壮族自治区交通运输厅关于进一步加强交通运输部门预算管理和财会监督工作的通知》（桂交财务函〔</w:t>
            </w:r>
            <w:r>
              <w:rPr>
                <w:rFonts w:hint="eastAsia" w:ascii="宋体" w:hAnsi="宋体" w:cs="宋体"/>
                <w:color w:val="auto"/>
                <w:sz w:val="21"/>
                <w:szCs w:val="21"/>
                <w:highlight w:val="none"/>
                <w:lang w:val="en-US" w:eastAsia="zh-CN"/>
              </w:rPr>
              <w:t>2024</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41号</w:t>
            </w:r>
            <w:r>
              <w:rPr>
                <w:rFonts w:hint="eastAsia" w:ascii="宋体" w:hAnsi="宋体" w:cs="宋体"/>
                <w:color w:val="auto"/>
                <w:sz w:val="21"/>
                <w:szCs w:val="21"/>
                <w:highlight w:val="none"/>
                <w:lang w:eastAsia="zh-CN"/>
              </w:rPr>
              <w:t>）要求，</w:t>
            </w:r>
            <w:r>
              <w:rPr>
                <w:rFonts w:hint="eastAsia" w:ascii="宋体" w:hAnsi="宋体" w:eastAsia="宋体" w:cs="宋体"/>
                <w:color w:val="auto"/>
                <w:sz w:val="21"/>
                <w:szCs w:val="21"/>
                <w:highlight w:val="none"/>
              </w:rPr>
              <w:t>对自治区沿海公路发展中心</w:t>
            </w:r>
            <w:r>
              <w:rPr>
                <w:rFonts w:hint="eastAsia" w:ascii="宋体" w:hAnsi="宋体" w:cs="宋体"/>
                <w:color w:val="auto"/>
                <w:sz w:val="21"/>
                <w:szCs w:val="21"/>
                <w:highlight w:val="none"/>
                <w:lang w:val="en-US" w:eastAsia="zh-CN"/>
              </w:rPr>
              <w:t>2025年地方政府隐性债务、</w:t>
            </w:r>
            <w:r>
              <w:rPr>
                <w:rFonts w:hint="eastAsia" w:ascii="宋体" w:hAnsi="宋体" w:eastAsia="宋体" w:cs="宋体"/>
                <w:color w:val="auto"/>
                <w:sz w:val="21"/>
                <w:szCs w:val="21"/>
                <w:highlight w:val="none"/>
              </w:rPr>
              <w:t>“两重”资金使用管理</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预算编制、预算执行、绩效评价、资金管理、资产管理、政府采购、落实</w:t>
            </w:r>
            <w:r>
              <w:rPr>
                <w:rFonts w:hint="eastAsia" w:ascii="宋体" w:hAnsi="宋体" w:cs="宋体"/>
                <w:color w:val="auto"/>
                <w:sz w:val="21"/>
                <w:szCs w:val="21"/>
                <w:highlight w:val="none"/>
                <w:lang w:eastAsia="zh-CN"/>
              </w:rPr>
              <w:t>《中共</w:t>
            </w:r>
            <w:r>
              <w:rPr>
                <w:rFonts w:hint="eastAsia" w:ascii="宋体" w:hAnsi="宋体" w:eastAsia="宋体" w:cs="宋体"/>
                <w:color w:val="auto"/>
                <w:sz w:val="21"/>
                <w:szCs w:val="21"/>
                <w:highlight w:val="none"/>
              </w:rPr>
              <w:t>中央办公厅、国务院办公厅关于进一步加强财会监督工作的意见》和《广西进一步加强财会监督工作实施方案》（以下简称《实施方案》）</w:t>
            </w:r>
            <w:r>
              <w:rPr>
                <w:rFonts w:hint="eastAsia" w:ascii="宋体" w:hAnsi="宋体" w:cs="宋体"/>
                <w:color w:val="auto"/>
                <w:sz w:val="21"/>
                <w:szCs w:val="21"/>
                <w:highlight w:val="none"/>
                <w:lang w:eastAsia="zh-CN"/>
              </w:rPr>
              <w:t>，以及</w:t>
            </w:r>
            <w:r>
              <w:rPr>
                <w:rFonts w:hint="eastAsia" w:ascii="宋体" w:hAnsi="宋体" w:cs="宋体"/>
                <w:color w:val="auto"/>
                <w:sz w:val="21"/>
                <w:szCs w:val="21"/>
                <w:highlight w:val="none"/>
                <w:lang w:val="en-US" w:eastAsia="zh-CN"/>
              </w:rPr>
              <w:t>以往巡视巡察、审计、财务检查发现问题整改情况</w:t>
            </w:r>
            <w:r>
              <w:rPr>
                <w:rFonts w:hint="eastAsia" w:ascii="宋体" w:hAnsi="宋体" w:cs="宋体"/>
                <w:color w:val="auto"/>
                <w:sz w:val="21"/>
                <w:szCs w:val="21"/>
                <w:highlight w:val="none"/>
                <w:lang w:eastAsia="zh-CN"/>
              </w:rPr>
              <w:t>等</w:t>
            </w:r>
            <w:r>
              <w:rPr>
                <w:rFonts w:hint="eastAsia" w:ascii="宋体" w:hAnsi="宋体" w:eastAsia="宋体" w:cs="宋体"/>
                <w:color w:val="auto"/>
                <w:sz w:val="21"/>
                <w:szCs w:val="21"/>
                <w:highlight w:val="none"/>
              </w:rPr>
              <w:t>方面开展</w:t>
            </w:r>
            <w:r>
              <w:rPr>
                <w:rFonts w:hint="eastAsia" w:ascii="宋体" w:hAnsi="宋体" w:eastAsia="宋体" w:cs="宋体"/>
                <w:color w:val="auto"/>
                <w:sz w:val="21"/>
                <w:szCs w:val="21"/>
                <w:highlight w:val="none"/>
                <w:lang w:eastAsia="zh-CN"/>
              </w:rPr>
              <w:t>财会</w:t>
            </w:r>
            <w:r>
              <w:rPr>
                <w:rFonts w:hint="eastAsia" w:ascii="宋体" w:hAnsi="宋体" w:eastAsia="宋体" w:cs="宋体"/>
                <w:color w:val="auto"/>
                <w:sz w:val="21"/>
                <w:szCs w:val="21"/>
                <w:highlight w:val="none"/>
              </w:rPr>
              <w:t>监督检查，并出具财会监督检查报告。</w:t>
            </w:r>
          </w:p>
          <w:p w14:paraId="6219284F">
            <w:pPr>
              <w:keepNext w:val="0"/>
              <w:keepLines w:val="0"/>
              <w:pageBreakBefore w:val="0"/>
              <w:widowControl w:val="0"/>
              <w:numPr>
                <w:ilvl w:val="0"/>
                <w:numId w:val="0"/>
              </w:numPr>
              <w:kinsoku/>
              <w:wordWrap w:val="0"/>
              <w:overflowPunct/>
              <w:topLinePunct w:val="0"/>
              <w:autoSpaceDE/>
              <w:autoSpaceDN/>
              <w:bidi w:val="0"/>
              <w:adjustRightInd/>
              <w:snapToGrid/>
              <w:spacing w:line="360" w:lineRule="exact"/>
              <w:ind w:firstLine="420" w:firstLineChars="200"/>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lang w:eastAsia="zh-CN"/>
              </w:rPr>
              <w:t>二</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lang w:eastAsia="zh-CN"/>
              </w:rPr>
              <w:t>检查方式</w:t>
            </w:r>
          </w:p>
          <w:p w14:paraId="64ED25A1">
            <w:pPr>
              <w:keepNext w:val="0"/>
              <w:keepLines w:val="0"/>
              <w:pageBreakBefore w:val="0"/>
              <w:widowControl w:val="0"/>
              <w:numPr>
                <w:ilvl w:val="0"/>
                <w:numId w:val="0"/>
              </w:numPr>
              <w:kinsoku/>
              <w:wordWrap w:val="0"/>
              <w:overflowPunct/>
              <w:topLinePunct w:val="0"/>
              <w:autoSpaceDE/>
              <w:autoSpaceDN/>
              <w:bidi w:val="0"/>
              <w:adjustRightInd/>
              <w:snapToGrid/>
              <w:spacing w:line="360" w:lineRule="exact"/>
              <w:ind w:leftChars="200"/>
              <w:textAlignment w:val="auto"/>
              <w:rPr>
                <w:rFonts w:hint="eastAsia" w:ascii="宋体" w:hAnsi="宋体" w:cs="宋体"/>
                <w:color w:val="auto"/>
                <w:sz w:val="21"/>
                <w:szCs w:val="21"/>
                <w:highlight w:val="none"/>
                <w:lang w:eastAsia="zh-CN"/>
              </w:rPr>
            </w:pPr>
            <w:r>
              <w:rPr>
                <w:rFonts w:hint="eastAsia"/>
                <w:color w:val="auto"/>
                <w:szCs w:val="21"/>
                <w:highlight w:val="none"/>
              </w:rPr>
              <w:t>线上和现场实地</w:t>
            </w:r>
            <w:r>
              <w:rPr>
                <w:rFonts w:hint="eastAsia"/>
                <w:color w:val="auto"/>
                <w:szCs w:val="21"/>
                <w:highlight w:val="none"/>
                <w:lang w:eastAsia="zh-CN"/>
              </w:rPr>
              <w:t>检查</w:t>
            </w:r>
            <w:r>
              <w:rPr>
                <w:rFonts w:hint="eastAsia"/>
                <w:color w:val="auto"/>
                <w:szCs w:val="21"/>
                <w:highlight w:val="none"/>
              </w:rPr>
              <w:t>相结合。</w:t>
            </w:r>
          </w:p>
          <w:p w14:paraId="53A34C04">
            <w:pPr>
              <w:keepNext w:val="0"/>
              <w:keepLines w:val="0"/>
              <w:pageBreakBefore w:val="0"/>
              <w:widowControl w:val="0"/>
              <w:numPr>
                <w:ilvl w:val="0"/>
                <w:numId w:val="0"/>
              </w:numPr>
              <w:kinsoku/>
              <w:wordWrap w:val="0"/>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（三）检查内容</w:t>
            </w:r>
          </w:p>
          <w:p w14:paraId="2AC2399A">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地方政府隐性债务方面。（1）新增隐性债务方面。重点关注各市、县政府及其部门直接新增隐性债务，以及通过融资平台公司、国有企事业单位等各市、县政府及其部门之外的主体融资或垫资，承诺以政府未来财政收入作为还款来源等方式实施土地一级开发和公益性项目等新增隐性债务问题。重点检查交通工程建设项目等。（2）化债不实方面。重点关注“借新还旧”作化债处理，以虚假盘活资金资产等方式化解隐性债务，以虚假的企业经营收入化解隐性债务，债务单位未向债权人偿还债务但作化债处理，债务单位在未履行必要程序的情况下核销隐性债务并作化债处理等问题。（3）隐性债务置换政策落实不规范方面。重点关注用于置换隐性债务的再融资专项债券是否及时拨付和置换；是否存在套取骗取；是否用于偿还2023年末存量隐性债务外的其他债务；是否实行专户管理、专账核算、封闭运行，做到公平公正、规范操作；是否存在用于经常性支出和新上项目、铺新摊子等问题。</w:t>
            </w:r>
          </w:p>
          <w:p w14:paraId="5F859BF8">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.“两重”资金使用管理</w:t>
            </w:r>
            <w:r>
              <w:rPr>
                <w:rFonts w:hint="eastAsia" w:ascii="宋体" w:hAnsi="宋体" w:cs="宋体"/>
                <w:color w:val="auto"/>
                <w:sz w:val="21"/>
                <w:szCs w:val="21"/>
                <w:highlight w:val="none"/>
                <w:lang w:eastAsia="zh-CN"/>
              </w:rPr>
              <w:t>方面</w:t>
            </w:r>
            <w:r>
              <w:rPr>
                <w:rFonts w:hint="eastAsia" w:ascii="宋体" w:hAnsi="宋体" w:eastAsia="宋体" w:cs="宋体"/>
                <w:color w:val="auto"/>
                <w:sz w:val="21"/>
                <w:szCs w:val="21"/>
                <w:highlight w:val="none"/>
              </w:rPr>
              <w:t>。聚焦2025年新建、在建以及完工项目，重点关注国家重大战略实施和重点领域安全能力建设（以下简称“两重”）资金是否及时分配下达资金；是否存在“以拨代支”、超进度拨款等违规拨付行为；是否虚高申报总投资套取中央资金；资金拨付是否严格履行相关审批程序和手续；是否存在项目实施进度缓慢，导致“钱等项目”等问题；是否存在拖欠工程款问题；是否超范围使用资金或用于与项目无关的其他支出；是否截留、挤占、挪用资金等。</w:t>
            </w:r>
            <w:r>
              <w:rPr>
                <w:rFonts w:hint="eastAsia" w:ascii="宋体" w:hAnsi="宋体" w:cs="宋体"/>
                <w:color w:val="auto"/>
                <w:sz w:val="21"/>
                <w:szCs w:val="21"/>
                <w:highlight w:val="none"/>
                <w:lang w:eastAsia="zh-CN"/>
              </w:rPr>
              <w:t>如发现</w:t>
            </w:r>
            <w:r>
              <w:rPr>
                <w:rFonts w:hint="eastAsia" w:ascii="宋体" w:hAnsi="宋体" w:eastAsia="宋体" w:cs="宋体"/>
                <w:color w:val="auto"/>
                <w:sz w:val="21"/>
                <w:szCs w:val="21"/>
                <w:highlight w:val="none"/>
              </w:rPr>
              <w:t>不符合“两重”政策支持方向，以“两重”名义违规兴建楼堂馆所、搞“形象工程”“政绩工程”等违规违纪行为</w:t>
            </w:r>
            <w:r>
              <w:rPr>
                <w:rFonts w:hint="eastAsia" w:ascii="宋体" w:hAnsi="宋体" w:cs="宋体"/>
                <w:color w:val="auto"/>
                <w:sz w:val="21"/>
                <w:szCs w:val="21"/>
                <w:highlight w:val="none"/>
                <w:lang w:eastAsia="zh-CN"/>
              </w:rPr>
              <w:t>，将及时移送相关部门处理。</w:t>
            </w:r>
          </w:p>
          <w:p w14:paraId="75B1947A">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预算编制方面。重点关注是否严格落实零基预算改革要求；部门预算编制不完整，结转结余资金管理不规范；虚报冒领人员经费、公用经费、项目经费；预算决策程序不符合规定；未按要求编制项目绩效目标等问题。</w:t>
            </w:r>
          </w:p>
          <w:p w14:paraId="3B381AB6">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预算执行方面。重点关注年底突击花钱，超进度支付款项，</w:t>
            </w:r>
          </w:p>
          <w:p w14:paraId="3F03C5EA">
            <w:pPr>
              <w:keepNext w:val="0"/>
              <w:keepLines w:val="0"/>
              <w:pageBreakBefore w:val="0"/>
              <w:widowControl w:val="0"/>
              <w:kinsoku/>
              <w:wordWrap w:val="0"/>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擅自扩大开支范围和标准违反规定自设新设、超范围超标准发放工资津贴补贴等；通过虚假合同、虚假票据等方式虚列支出；“三公”经费、会议费、培训费等支出管控不严，支出不规范；预算调剂不规范等问题。</w:t>
            </w:r>
          </w:p>
          <w:p w14:paraId="5039C317">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预算绩效管理方面。重点关注绩效目标设定与项目实际脱节，或虚设、降低绩效目标值；绩效运行监控流于形式，未及时发现和纠正项目执行偏差；绩效评价走过场、自评不实，未按规定开展绩效评价或评价结果失真，甚至虚报绩效目标完成情况；未按规定落实绩效评价发现问题整改或虚假整改；是否将评估评价结果与预算安排挂钩。</w:t>
            </w:r>
          </w:p>
          <w:p w14:paraId="30FA7F3C">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资金管理方面。重点关注违规从零余额账户向实有资金账户划拨资金；未按规定将存量资金收回统筹安排；银行账户管理不规范；挤占、挪用、违规对外出借资金；私设“小金库”，未按规定处置罚没财物和重点领域违规收费等问题。</w:t>
            </w:r>
          </w:p>
          <w:p w14:paraId="5F42A437">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资产管理方面。重点关注未按规定建立内控制度，账账、账实、账卡不符，以及资产信息未按规定登记等行政事业单位国有资产基础管理问题；资产权属不清、未采取措施办理产权登记；超标准、超预算配置资产；资产长期闲置未及时采取措施盘活；资产清查盘点工作开展不力，闲置、低效运转、超标准配置等资产未纳入政府公物仓，不接受使用调剂资产造成资源浪费；资产出租、出借、对外投资、处置等管理不规范，未按规定履行审批</w:t>
            </w:r>
          </w:p>
          <w:p w14:paraId="6F894D90">
            <w:pPr>
              <w:keepNext w:val="0"/>
              <w:keepLines w:val="0"/>
              <w:pageBreakBefore w:val="0"/>
              <w:widowControl w:val="0"/>
              <w:kinsoku/>
              <w:wordWrap w:val="0"/>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程序；资产使用、处置收益未按规定及时上交财政等问题。</w:t>
            </w:r>
          </w:p>
          <w:p w14:paraId="0752E43F">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政府采购方面。重点关注采购信息是否依法公开；采购项目是否存在无预算或超预算采购；采购文件是否设置差别歧视条款；采购程序是否按法律法规实施；合同签订是否规范、是否按合同规定验收和支付资金等问题。</w:t>
            </w:r>
          </w:p>
          <w:p w14:paraId="6F6B840A">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中共</w:t>
            </w:r>
            <w:r>
              <w:rPr>
                <w:rFonts w:hint="eastAsia" w:ascii="宋体" w:hAnsi="宋体" w:eastAsia="宋体" w:cs="宋体"/>
                <w:color w:val="auto"/>
                <w:sz w:val="21"/>
                <w:szCs w:val="21"/>
                <w:highlight w:val="none"/>
              </w:rPr>
              <w:t>中央办公厅、国务院办公厅关于进一步加强财会监督工作的意见》（以下简称《意见》）和《广西进一步加强财会监督工作实施方案》（以下简称《实施方案》）落实方面。重点关注未按照《意见》和《实施方案》要求切实履行依责监督、单位内部监督职责，包括财会监督自查自纠不深入、发现问题未及时整改、内部控制体系不完善、财会监督机制不健全等问题。</w:t>
            </w:r>
          </w:p>
          <w:p w14:paraId="32C71C08">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10.以往巡视巡察、审计、财务检查发现问题整改情况方面。关注单位所接受的各项巡视巡察、审计、财务检查查出的财会方面问题的整改情况及其效果。</w:t>
            </w:r>
          </w:p>
          <w:p w14:paraId="5D34A969">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textAlignment w:val="auto"/>
              <w:rPr>
                <w:rFonts w:hint="eastAsia" w:ascii="宋体" w:hAnsi="宋体" w:cs="宋体"/>
                <w:color w:val="auto"/>
                <w:sz w:val="21"/>
                <w:szCs w:val="21"/>
                <w:highlight w:val="none"/>
                <w:lang w:eastAsia="zh-CN"/>
              </w:rPr>
            </w:pPr>
            <w:r>
              <w:rPr>
                <w:rFonts w:hint="eastAsia" w:ascii="宋体" w:hAnsi="宋体"/>
                <w:bCs/>
                <w:color w:val="auto"/>
                <w:sz w:val="21"/>
                <w:szCs w:val="21"/>
                <w:highlight w:val="none"/>
                <w:lang w:val="en-US" w:eastAsia="zh-CN"/>
              </w:rPr>
              <w:t>11.</w:t>
            </w:r>
            <w:r>
              <w:rPr>
                <w:rFonts w:hint="eastAsia" w:ascii="宋体" w:hAnsi="宋体" w:eastAsia="宋体"/>
                <w:bCs/>
                <w:color w:val="auto"/>
                <w:sz w:val="21"/>
                <w:szCs w:val="21"/>
                <w:highlight w:val="none"/>
                <w:lang w:val="en-US" w:eastAsia="zh-CN"/>
              </w:rPr>
              <w:t>国有“三资”盘活、落实过“紧日子”要求及财源建设等领域突出问题整治</w:t>
            </w:r>
            <w:r>
              <w:rPr>
                <w:rFonts w:hint="eastAsia" w:ascii="宋体" w:hAnsi="宋体"/>
                <w:bCs/>
                <w:color w:val="auto"/>
                <w:sz w:val="21"/>
                <w:szCs w:val="21"/>
                <w:highlight w:val="none"/>
                <w:lang w:val="en-US" w:eastAsia="zh-CN"/>
              </w:rPr>
              <w:t>方面。</w:t>
            </w:r>
            <w:r>
              <w:rPr>
                <w:rFonts w:hint="eastAsia" w:ascii="宋体" w:hAnsi="宋体" w:eastAsia="宋体"/>
                <w:bCs/>
                <w:color w:val="auto"/>
                <w:sz w:val="21"/>
                <w:szCs w:val="21"/>
                <w:highlight w:val="none"/>
                <w:lang w:val="en-US" w:eastAsia="zh-CN"/>
              </w:rPr>
              <w:t>重点关注财政资金闲置浪费、违规举债开展项目建设造成资产长期闲置等突出问题，以及超范围列支、违规拨付转移支付资金等典型问题。</w:t>
            </w:r>
          </w:p>
          <w:p w14:paraId="0F9A1BAC">
            <w:pPr>
              <w:keepNext w:val="0"/>
              <w:keepLines w:val="0"/>
              <w:pageBreakBefore w:val="0"/>
              <w:widowControl w:val="0"/>
              <w:numPr>
                <w:ilvl w:val="0"/>
                <w:numId w:val="0"/>
              </w:numPr>
              <w:kinsoku/>
              <w:wordWrap w:val="0"/>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二、经济责任审计</w:t>
            </w:r>
          </w:p>
          <w:p w14:paraId="12669D9E">
            <w:pPr>
              <w:keepNext w:val="0"/>
              <w:keepLines w:val="0"/>
              <w:pageBreakBefore w:val="0"/>
              <w:widowControl w:val="0"/>
              <w:numPr>
                <w:ilvl w:val="0"/>
                <w:numId w:val="0"/>
              </w:numPr>
              <w:kinsoku/>
              <w:wordWrap w:val="0"/>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（一）服务内容</w:t>
            </w:r>
          </w:p>
          <w:p w14:paraId="35711C93">
            <w:pPr>
              <w:keepNext w:val="0"/>
              <w:keepLines w:val="0"/>
              <w:pageBreakBefore w:val="0"/>
              <w:widowControl w:val="0"/>
              <w:numPr>
                <w:ilvl w:val="0"/>
                <w:numId w:val="0"/>
              </w:numPr>
              <w:kinsoku/>
              <w:wordWrap w:val="0"/>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根据《党政主要领导干部和国有企事业单位主要领导人员经济责任审计规定》（中办发〔2019〕45号）、《广西壮族自治区内部审计工作规定》（广西壮族自治区人民政府令第138号）、《广西壮族自治区交通运输厅内部审计工作规定》（桂交财审发〔2024〕51号）及有关程序和工作要求，</w:t>
            </w:r>
            <w:r>
              <w:rPr>
                <w:rFonts w:hint="eastAsia" w:ascii="宋体" w:hAnsi="宋体" w:eastAsia="宋体" w:cs="宋体"/>
                <w:color w:val="auto"/>
                <w:sz w:val="21"/>
                <w:szCs w:val="21"/>
                <w:highlight w:val="none"/>
              </w:rPr>
              <w:t>对自治区沿海公路发展中心主任2020年11月至</w:t>
            </w:r>
            <w:r>
              <w:rPr>
                <w:rFonts w:hint="eastAsia" w:ascii="宋体" w:hAnsi="宋体" w:cs="宋体"/>
                <w:color w:val="auto"/>
                <w:sz w:val="21"/>
                <w:szCs w:val="21"/>
                <w:highlight w:val="none"/>
                <w:lang w:eastAsia="zh-CN"/>
              </w:rPr>
              <w:t>今</w:t>
            </w:r>
            <w:r>
              <w:rPr>
                <w:rFonts w:hint="eastAsia" w:ascii="宋体" w:hAnsi="宋体" w:eastAsia="宋体" w:cs="宋体"/>
                <w:color w:val="auto"/>
                <w:sz w:val="21"/>
                <w:szCs w:val="21"/>
                <w:highlight w:val="none"/>
              </w:rPr>
              <w:t>履行经济责任情况开展任中经济责任审计，并出具经济责任审计报告。</w:t>
            </w:r>
          </w:p>
          <w:p w14:paraId="7F6CD537">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（二）审计方式</w:t>
            </w:r>
          </w:p>
          <w:p w14:paraId="50806B5E">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olor w:val="auto"/>
                <w:sz w:val="21"/>
                <w:highlight w:val="none"/>
                <w:lang w:eastAsia="zh-CN"/>
              </w:rPr>
            </w:pPr>
            <w:r>
              <w:rPr>
                <w:rFonts w:hint="eastAsia" w:ascii="宋体" w:hAnsi="宋体" w:eastAsia="宋体"/>
                <w:bCs/>
                <w:color w:val="auto"/>
                <w:sz w:val="21"/>
                <w:szCs w:val="21"/>
                <w:highlight w:val="none"/>
                <w:lang w:eastAsia="zh-CN"/>
              </w:rPr>
              <w:t>供应商</w:t>
            </w:r>
            <w:r>
              <w:rPr>
                <w:rFonts w:hint="eastAsia" w:ascii="宋体" w:hAnsi="宋体" w:eastAsia="宋体"/>
                <w:color w:val="auto"/>
                <w:sz w:val="21"/>
                <w:highlight w:val="none"/>
                <w:u w:val="none"/>
              </w:rPr>
              <w:t>需</w:t>
            </w:r>
            <w:r>
              <w:rPr>
                <w:rFonts w:hint="eastAsia" w:ascii="宋体" w:hAnsi="宋体" w:eastAsia="宋体"/>
                <w:bCs/>
                <w:color w:val="auto"/>
                <w:sz w:val="21"/>
                <w:szCs w:val="21"/>
                <w:highlight w:val="none"/>
              </w:rPr>
              <w:t>根据</w:t>
            </w:r>
            <w:r>
              <w:rPr>
                <w:rFonts w:hint="eastAsia" w:ascii="宋体" w:hAnsi="宋体" w:eastAsia="宋体"/>
                <w:bCs/>
                <w:color w:val="auto"/>
                <w:sz w:val="21"/>
                <w:szCs w:val="21"/>
                <w:highlight w:val="none"/>
                <w:lang w:eastAsia="zh-CN"/>
              </w:rPr>
              <w:t>审计服务</w:t>
            </w:r>
            <w:r>
              <w:rPr>
                <w:rFonts w:hint="eastAsia" w:ascii="宋体" w:hAnsi="宋体" w:eastAsia="宋体"/>
                <w:color w:val="auto"/>
                <w:sz w:val="21"/>
                <w:highlight w:val="none"/>
              </w:rPr>
              <w:t>合同和</w:t>
            </w:r>
            <w:r>
              <w:rPr>
                <w:rFonts w:hint="eastAsia" w:ascii="宋体" w:hAnsi="宋体" w:eastAsia="宋体"/>
                <w:color w:val="auto"/>
                <w:sz w:val="21"/>
                <w:highlight w:val="none"/>
                <w:u w:val="none"/>
              </w:rPr>
              <w:t>经济责任审计</w:t>
            </w:r>
            <w:r>
              <w:rPr>
                <w:rFonts w:hint="eastAsia" w:ascii="宋体" w:hAnsi="宋体" w:eastAsia="宋体"/>
                <w:bCs/>
                <w:color w:val="auto"/>
                <w:sz w:val="21"/>
                <w:szCs w:val="21"/>
                <w:highlight w:val="none"/>
              </w:rPr>
              <w:t>规定，</w:t>
            </w:r>
            <w:r>
              <w:rPr>
                <w:rFonts w:hint="eastAsia" w:ascii="宋体" w:hAnsi="宋体" w:eastAsia="宋体"/>
                <w:color w:val="auto"/>
                <w:sz w:val="21"/>
                <w:szCs w:val="21"/>
                <w:highlight w:val="none"/>
              </w:rPr>
              <w:t>按审计对象编制审计</w:t>
            </w:r>
            <w:r>
              <w:rPr>
                <w:rFonts w:hint="eastAsia" w:ascii="宋体" w:hAnsi="宋体" w:eastAsia="宋体"/>
                <w:color w:val="auto"/>
                <w:sz w:val="21"/>
                <w:szCs w:val="21"/>
                <w:highlight w:val="none"/>
                <w:lang w:eastAsia="zh-CN"/>
              </w:rPr>
              <w:t>工作</w:t>
            </w:r>
            <w:r>
              <w:rPr>
                <w:rFonts w:hint="eastAsia" w:ascii="宋体" w:hAnsi="宋体" w:eastAsia="宋体"/>
                <w:color w:val="auto"/>
                <w:sz w:val="21"/>
                <w:szCs w:val="21"/>
                <w:highlight w:val="none"/>
              </w:rPr>
              <w:t>方案，</w:t>
            </w:r>
            <w:r>
              <w:rPr>
                <w:rFonts w:hint="eastAsia" w:ascii="宋体" w:hAnsi="宋体" w:eastAsia="宋体"/>
                <w:color w:val="auto"/>
                <w:sz w:val="21"/>
                <w:highlight w:val="none"/>
                <w:lang w:eastAsia="zh-CN"/>
              </w:rPr>
              <w:t>派出审计组，</w:t>
            </w:r>
            <w:r>
              <w:rPr>
                <w:rFonts w:hint="eastAsia" w:ascii="宋体" w:hAnsi="宋体" w:eastAsia="宋体"/>
                <w:color w:val="auto"/>
                <w:sz w:val="21"/>
                <w:highlight w:val="none"/>
                <w:u w:val="none"/>
                <w:lang w:eastAsia="zh-CN"/>
              </w:rPr>
              <w:t>通过进驻被审计单位</w:t>
            </w:r>
            <w:r>
              <w:rPr>
                <w:rFonts w:hint="eastAsia" w:ascii="宋体" w:hAnsi="宋体" w:eastAsia="宋体"/>
                <w:bCs/>
                <w:color w:val="auto"/>
                <w:sz w:val="21"/>
                <w:szCs w:val="21"/>
                <w:highlight w:val="none"/>
              </w:rPr>
              <w:t>召开进点会、审计</w:t>
            </w:r>
            <w:r>
              <w:rPr>
                <w:rFonts w:hint="eastAsia" w:ascii="宋体" w:hAnsi="宋体" w:eastAsia="宋体"/>
                <w:bCs/>
                <w:color w:val="auto"/>
                <w:sz w:val="21"/>
                <w:szCs w:val="21"/>
                <w:highlight w:val="none"/>
                <w:lang w:eastAsia="zh-CN"/>
              </w:rPr>
              <w:t>访</w:t>
            </w:r>
            <w:r>
              <w:rPr>
                <w:rFonts w:hint="eastAsia" w:ascii="宋体" w:hAnsi="宋体" w:eastAsia="宋体"/>
                <w:bCs/>
                <w:color w:val="auto"/>
                <w:sz w:val="21"/>
                <w:szCs w:val="21"/>
                <w:highlight w:val="none"/>
              </w:rPr>
              <w:t>谈、听取</w:t>
            </w:r>
            <w:r>
              <w:rPr>
                <w:rFonts w:hint="eastAsia" w:ascii="宋体" w:hAnsi="宋体" w:eastAsia="宋体"/>
                <w:bCs/>
                <w:color w:val="auto"/>
                <w:sz w:val="21"/>
                <w:szCs w:val="21"/>
                <w:highlight w:val="none"/>
                <w:lang w:eastAsia="zh-CN"/>
              </w:rPr>
              <w:t>被审计</w:t>
            </w:r>
            <w:r>
              <w:rPr>
                <w:rFonts w:hint="eastAsia" w:ascii="宋体" w:hAnsi="宋体" w:eastAsia="宋体"/>
                <w:color w:val="auto"/>
                <w:sz w:val="21"/>
                <w:highlight w:val="none"/>
                <w:u w:val="none"/>
                <w:lang w:eastAsia="zh-CN"/>
              </w:rPr>
              <w:t>人</w:t>
            </w:r>
            <w:r>
              <w:rPr>
                <w:rFonts w:hint="eastAsia" w:ascii="宋体" w:hAnsi="宋体" w:eastAsia="宋体"/>
                <w:bCs/>
                <w:color w:val="auto"/>
                <w:sz w:val="21"/>
                <w:szCs w:val="21"/>
                <w:highlight w:val="none"/>
              </w:rPr>
              <w:t>履行</w:t>
            </w:r>
            <w:r>
              <w:rPr>
                <w:rFonts w:hint="eastAsia" w:ascii="宋体" w:hAnsi="宋体" w:eastAsia="宋体"/>
                <w:color w:val="auto"/>
                <w:sz w:val="21"/>
                <w:highlight w:val="none"/>
                <w:lang w:eastAsia="zh-CN"/>
              </w:rPr>
              <w:t>经济责任</w:t>
            </w:r>
            <w:r>
              <w:rPr>
                <w:rFonts w:hint="eastAsia" w:ascii="宋体" w:hAnsi="宋体" w:eastAsia="宋体"/>
                <w:color w:val="auto"/>
                <w:sz w:val="21"/>
                <w:highlight w:val="none"/>
                <w:u w:val="none"/>
                <w:lang w:eastAsia="zh-CN"/>
              </w:rPr>
              <w:t>的</w:t>
            </w:r>
            <w:r>
              <w:rPr>
                <w:rFonts w:hint="eastAsia" w:ascii="宋体" w:hAnsi="宋体" w:eastAsia="宋体"/>
                <w:bCs/>
                <w:color w:val="auto"/>
                <w:sz w:val="21"/>
                <w:szCs w:val="21"/>
                <w:highlight w:val="none"/>
                <w:lang w:eastAsia="zh-CN"/>
              </w:rPr>
              <w:t>情况</w:t>
            </w:r>
            <w:r>
              <w:rPr>
                <w:rFonts w:hint="eastAsia" w:ascii="宋体" w:hAnsi="宋体" w:eastAsia="宋体"/>
                <w:color w:val="auto"/>
                <w:sz w:val="21"/>
                <w:highlight w:val="none"/>
              </w:rPr>
              <w:t>报告</w:t>
            </w:r>
            <w:r>
              <w:rPr>
                <w:rFonts w:hint="eastAsia" w:ascii="宋体" w:hAnsi="宋体" w:eastAsia="宋体"/>
                <w:color w:val="auto"/>
                <w:sz w:val="21"/>
                <w:highlight w:val="none"/>
                <w:u w:val="none"/>
              </w:rPr>
              <w:t>、审核被审计单位提交的经济业务和财务会计资料</w:t>
            </w:r>
            <w:r>
              <w:rPr>
                <w:rFonts w:hint="eastAsia" w:ascii="宋体" w:hAnsi="宋体" w:eastAsia="宋体"/>
                <w:bCs/>
                <w:color w:val="auto"/>
                <w:sz w:val="21"/>
                <w:szCs w:val="21"/>
                <w:highlight w:val="none"/>
              </w:rPr>
              <w:t>等方式</w:t>
            </w:r>
            <w:r>
              <w:rPr>
                <w:rFonts w:hint="eastAsia" w:ascii="宋体" w:hAnsi="宋体" w:eastAsia="宋体"/>
                <w:color w:val="auto"/>
                <w:sz w:val="21"/>
                <w:highlight w:val="none"/>
              </w:rPr>
              <w:t>实施</w:t>
            </w:r>
            <w:r>
              <w:rPr>
                <w:rFonts w:hint="eastAsia" w:ascii="宋体" w:hAnsi="宋体" w:eastAsia="宋体"/>
                <w:color w:val="auto"/>
                <w:sz w:val="21"/>
                <w:szCs w:val="21"/>
                <w:highlight w:val="none"/>
              </w:rPr>
              <w:t>审计活动，</w:t>
            </w:r>
            <w:r>
              <w:rPr>
                <w:rFonts w:hint="eastAsia" w:ascii="宋体" w:hAnsi="宋体" w:eastAsia="宋体"/>
                <w:color w:val="auto"/>
                <w:sz w:val="21"/>
                <w:highlight w:val="none"/>
                <w:u w:val="none"/>
              </w:rPr>
              <w:t>按规定编报经济责任审计报告</w:t>
            </w:r>
            <w:r>
              <w:rPr>
                <w:rFonts w:hint="eastAsia" w:ascii="宋体" w:hAnsi="宋体" w:eastAsia="宋体"/>
                <w:color w:val="auto"/>
                <w:sz w:val="21"/>
                <w:szCs w:val="21"/>
                <w:highlight w:val="none"/>
                <w:lang w:eastAsia="zh-CN"/>
              </w:rPr>
              <w:t>。</w:t>
            </w:r>
          </w:p>
          <w:p w14:paraId="550363A4">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textAlignment w:val="auto"/>
              <w:rPr>
                <w:rFonts w:hint="eastAsia" w:ascii="宋体" w:hAnsi="宋体" w:eastAsia="宋体"/>
                <w:b w:val="0"/>
                <w:bCs/>
                <w:color w:val="auto"/>
                <w:sz w:val="21"/>
                <w:szCs w:val="21"/>
                <w:highlight w:val="none"/>
              </w:rPr>
            </w:pPr>
            <w:r>
              <w:rPr>
                <w:rFonts w:hint="eastAsia" w:ascii="宋体" w:hAnsi="宋体" w:eastAsia="宋体"/>
                <w:b w:val="0"/>
                <w:bCs/>
                <w:color w:val="auto"/>
                <w:sz w:val="21"/>
                <w:highlight w:val="none"/>
                <w:lang w:eastAsia="zh-CN"/>
              </w:rPr>
              <w:t>（三）</w:t>
            </w:r>
            <w:r>
              <w:rPr>
                <w:rFonts w:hint="eastAsia" w:ascii="宋体" w:hAnsi="宋体" w:eastAsia="宋体"/>
                <w:b w:val="0"/>
                <w:bCs/>
                <w:color w:val="auto"/>
                <w:sz w:val="21"/>
                <w:highlight w:val="none"/>
              </w:rPr>
              <w:t>审计内容</w:t>
            </w:r>
          </w:p>
          <w:p w14:paraId="7C7715B4">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lang w:val="en-US" w:eastAsia="zh-CN"/>
              </w:rPr>
              <w:t>1.</w:t>
            </w:r>
            <w:r>
              <w:rPr>
                <w:rFonts w:hint="eastAsia" w:ascii="宋体" w:hAnsi="宋体" w:eastAsia="宋体"/>
                <w:bCs/>
                <w:color w:val="auto"/>
                <w:sz w:val="21"/>
                <w:szCs w:val="21"/>
                <w:highlight w:val="none"/>
              </w:rPr>
              <w:t>贯彻执行党和国家经济方针政策、决策部署情况</w:t>
            </w:r>
            <w:r>
              <w:rPr>
                <w:rFonts w:hint="eastAsia" w:ascii="宋体" w:hAnsi="宋体" w:eastAsia="宋体"/>
                <w:bCs/>
                <w:color w:val="auto"/>
                <w:sz w:val="21"/>
                <w:szCs w:val="21"/>
                <w:highlight w:val="none"/>
                <w:lang w:eastAsia="zh-CN"/>
              </w:rPr>
              <w:t>。</w:t>
            </w:r>
            <w:r>
              <w:rPr>
                <w:rFonts w:hint="eastAsia" w:ascii="宋体" w:hAnsi="宋体" w:eastAsia="宋体"/>
                <w:bCs/>
                <w:color w:val="auto"/>
                <w:sz w:val="21"/>
                <w:szCs w:val="21"/>
                <w:highlight w:val="none"/>
              </w:rPr>
              <w:t>关注推动高质量发展情况</w:t>
            </w:r>
            <w:r>
              <w:rPr>
                <w:rFonts w:hint="eastAsia" w:ascii="宋体" w:hAnsi="宋体" w:eastAsia="宋体"/>
                <w:bCs/>
                <w:color w:val="auto"/>
                <w:sz w:val="21"/>
                <w:szCs w:val="21"/>
                <w:highlight w:val="none"/>
                <w:lang w:eastAsia="zh-CN"/>
              </w:rPr>
              <w:t>和</w:t>
            </w:r>
            <w:r>
              <w:rPr>
                <w:rFonts w:hint="eastAsia" w:ascii="宋体" w:hAnsi="宋体" w:eastAsia="宋体"/>
                <w:bCs/>
                <w:color w:val="auto"/>
                <w:sz w:val="21"/>
                <w:szCs w:val="21"/>
                <w:highlight w:val="none"/>
              </w:rPr>
              <w:t>目标责任制完成情况。</w:t>
            </w:r>
          </w:p>
          <w:p w14:paraId="31ED88A8">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lang w:val="en-US" w:eastAsia="zh-CN"/>
              </w:rPr>
              <w:t>2.</w:t>
            </w:r>
            <w:r>
              <w:rPr>
                <w:rFonts w:hint="eastAsia" w:ascii="宋体" w:hAnsi="宋体" w:eastAsia="宋体"/>
                <w:bCs/>
                <w:color w:val="auto"/>
                <w:sz w:val="21"/>
                <w:szCs w:val="21"/>
                <w:highlight w:val="none"/>
              </w:rPr>
              <w:t>本单位重要发展规划和政策措施的制定、执行和效果情况</w:t>
            </w:r>
          </w:p>
          <w:p w14:paraId="0CB87B79">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lang w:val="en-US" w:eastAsia="zh-CN"/>
              </w:rPr>
              <w:t>3.</w:t>
            </w:r>
            <w:r>
              <w:rPr>
                <w:rFonts w:hint="eastAsia" w:ascii="宋体" w:hAnsi="宋体" w:eastAsia="宋体"/>
                <w:bCs/>
                <w:color w:val="auto"/>
                <w:sz w:val="21"/>
                <w:szCs w:val="21"/>
                <w:highlight w:val="none"/>
              </w:rPr>
              <w:t>重大经济事项的决策、执行和效果情况</w:t>
            </w:r>
            <w:r>
              <w:rPr>
                <w:rFonts w:hint="eastAsia" w:ascii="宋体" w:hAnsi="宋体" w:eastAsia="宋体"/>
                <w:bCs/>
                <w:color w:val="auto"/>
                <w:sz w:val="21"/>
                <w:szCs w:val="21"/>
                <w:highlight w:val="none"/>
                <w:lang w:eastAsia="zh-CN"/>
              </w:rPr>
              <w:t>。</w:t>
            </w:r>
            <w:r>
              <w:rPr>
                <w:rFonts w:hint="eastAsia" w:ascii="宋体" w:hAnsi="宋体" w:eastAsia="宋体"/>
                <w:color w:val="auto"/>
                <w:sz w:val="21"/>
                <w:highlight w:val="none"/>
              </w:rPr>
              <w:t>关注被审计领导干部是否采取措施建立健全工作规则、议事规则、决定（任务）下达</w:t>
            </w:r>
            <w:r>
              <w:rPr>
                <w:rFonts w:hint="eastAsia" w:ascii="宋体" w:hAnsi="宋体" w:eastAsia="宋体"/>
                <w:color w:val="auto"/>
                <w:sz w:val="21"/>
                <w:highlight w:val="none"/>
                <w:u w:val="none"/>
              </w:rPr>
              <w:t>和</w:t>
            </w:r>
            <w:r>
              <w:rPr>
                <w:rFonts w:hint="eastAsia" w:ascii="宋体" w:hAnsi="宋体" w:eastAsia="宋体"/>
                <w:bCs/>
                <w:color w:val="auto"/>
                <w:sz w:val="21"/>
                <w:szCs w:val="21"/>
                <w:highlight w:val="none"/>
              </w:rPr>
              <w:t>完成报告等经济决策管理制度，是否将预算管理、基本建设、大额资产采购、大额资产处置、大额资金使用等重大经济事项纳入决策范围</w:t>
            </w:r>
            <w:r>
              <w:rPr>
                <w:rFonts w:hint="eastAsia" w:ascii="宋体" w:hAnsi="宋体" w:eastAsia="宋体"/>
                <w:bCs/>
                <w:color w:val="auto"/>
                <w:sz w:val="21"/>
                <w:szCs w:val="21"/>
                <w:highlight w:val="none"/>
                <w:lang w:eastAsia="zh-CN"/>
              </w:rPr>
              <w:t>；</w:t>
            </w:r>
            <w:r>
              <w:rPr>
                <w:rFonts w:hint="eastAsia" w:ascii="宋体" w:hAnsi="宋体" w:eastAsia="宋体"/>
                <w:color w:val="auto"/>
                <w:sz w:val="21"/>
                <w:highlight w:val="none"/>
              </w:rPr>
              <w:t>关注被审计领导干部任职期间</w:t>
            </w:r>
            <w:r>
              <w:rPr>
                <w:rFonts w:hint="eastAsia" w:ascii="宋体" w:hAnsi="宋体" w:eastAsia="宋体"/>
                <w:color w:val="auto"/>
                <w:sz w:val="21"/>
                <w:highlight w:val="none"/>
                <w:u w:val="none"/>
              </w:rPr>
              <w:t>的</w:t>
            </w:r>
            <w:r>
              <w:rPr>
                <w:rFonts w:hint="eastAsia" w:ascii="宋体" w:hAnsi="宋体" w:eastAsia="宋体"/>
                <w:bCs/>
                <w:color w:val="auto"/>
                <w:sz w:val="21"/>
                <w:szCs w:val="21"/>
                <w:highlight w:val="none"/>
              </w:rPr>
              <w:t>重大经济决策程序是否合法合规</w:t>
            </w:r>
            <w:r>
              <w:rPr>
                <w:rFonts w:hint="eastAsia" w:ascii="宋体" w:hAnsi="宋体" w:eastAsia="宋体"/>
                <w:bCs/>
                <w:color w:val="auto"/>
                <w:sz w:val="21"/>
                <w:szCs w:val="21"/>
                <w:highlight w:val="none"/>
                <w:lang w:eastAsia="zh-CN"/>
              </w:rPr>
              <w:t>；</w:t>
            </w:r>
            <w:r>
              <w:rPr>
                <w:rFonts w:hint="eastAsia" w:ascii="宋体" w:hAnsi="宋体" w:eastAsia="宋体"/>
                <w:bCs/>
                <w:color w:val="auto"/>
                <w:sz w:val="21"/>
                <w:szCs w:val="21"/>
                <w:highlight w:val="none"/>
              </w:rPr>
              <w:t>关注重大经济决策事项执行的及时性，有关监督和保障措施的有效性，决策实施内容调整的合规性</w:t>
            </w:r>
            <w:r>
              <w:rPr>
                <w:rFonts w:hint="eastAsia" w:ascii="宋体" w:hAnsi="宋体" w:eastAsia="宋体"/>
                <w:bCs/>
                <w:color w:val="auto"/>
                <w:sz w:val="21"/>
                <w:szCs w:val="21"/>
                <w:highlight w:val="none"/>
                <w:lang w:eastAsia="zh-CN"/>
              </w:rPr>
              <w:t>；</w:t>
            </w:r>
            <w:r>
              <w:rPr>
                <w:rFonts w:hint="eastAsia" w:ascii="宋体" w:hAnsi="宋体" w:eastAsia="宋体"/>
                <w:bCs/>
                <w:color w:val="auto"/>
                <w:sz w:val="21"/>
                <w:szCs w:val="21"/>
                <w:highlight w:val="none"/>
              </w:rPr>
              <w:t>关注是否实行内部审计制度，是否依法履行审计监督情况，检查内部审计领导体制、机构和人员设置是否符合规定。</w:t>
            </w:r>
          </w:p>
          <w:p w14:paraId="10EB882F">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olor w:val="auto"/>
                <w:sz w:val="21"/>
                <w:highlight w:val="none"/>
              </w:rPr>
            </w:pPr>
            <w:r>
              <w:rPr>
                <w:rFonts w:hint="eastAsia" w:ascii="宋体" w:hAnsi="宋体" w:eastAsia="宋体"/>
                <w:bCs/>
                <w:color w:val="auto"/>
                <w:sz w:val="21"/>
                <w:szCs w:val="21"/>
                <w:highlight w:val="none"/>
                <w:lang w:val="en-US" w:eastAsia="zh-CN"/>
              </w:rPr>
              <w:t>4.</w:t>
            </w:r>
            <w:r>
              <w:rPr>
                <w:rFonts w:hint="eastAsia" w:ascii="宋体" w:hAnsi="宋体" w:eastAsia="宋体"/>
                <w:bCs/>
                <w:color w:val="auto"/>
                <w:sz w:val="21"/>
                <w:szCs w:val="21"/>
                <w:highlight w:val="none"/>
              </w:rPr>
              <w:t>财政财务管理和经济风险防范情况，建设项目、资金等管理使用和效益情况，以及在预算管理中执行机构编制管理规定情况</w:t>
            </w:r>
            <w:r>
              <w:rPr>
                <w:rFonts w:hint="eastAsia" w:ascii="宋体" w:hAnsi="宋体" w:eastAsia="宋体"/>
                <w:bCs/>
                <w:color w:val="auto"/>
                <w:sz w:val="21"/>
                <w:szCs w:val="21"/>
                <w:highlight w:val="none"/>
                <w:lang w:eastAsia="zh-CN"/>
              </w:rPr>
              <w:t>。</w:t>
            </w:r>
            <w:r>
              <w:rPr>
                <w:rFonts w:hint="eastAsia" w:ascii="宋体" w:hAnsi="宋体" w:eastAsia="宋体"/>
                <w:bCs/>
                <w:color w:val="auto"/>
                <w:sz w:val="21"/>
                <w:szCs w:val="21"/>
                <w:highlight w:val="none"/>
              </w:rPr>
              <w:t>关注被审计领导干部在任职期间部门的财政财务管理情况</w:t>
            </w:r>
            <w:r>
              <w:rPr>
                <w:rFonts w:hint="eastAsia" w:ascii="宋体" w:hAnsi="宋体" w:eastAsia="宋体"/>
                <w:bCs/>
                <w:color w:val="auto"/>
                <w:sz w:val="21"/>
                <w:szCs w:val="21"/>
                <w:highlight w:val="none"/>
                <w:lang w:eastAsia="zh-CN"/>
              </w:rPr>
              <w:t>；</w:t>
            </w:r>
            <w:r>
              <w:rPr>
                <w:rFonts w:hint="eastAsia" w:ascii="宋体" w:hAnsi="宋体" w:eastAsia="宋体"/>
                <w:color w:val="auto"/>
                <w:sz w:val="21"/>
                <w:highlight w:val="none"/>
              </w:rPr>
              <w:t>关注被审计领导干部在</w:t>
            </w:r>
            <w:r>
              <w:rPr>
                <w:rFonts w:hint="eastAsia" w:ascii="宋体" w:hAnsi="宋体" w:eastAsia="宋体"/>
                <w:color w:val="auto"/>
                <w:sz w:val="21"/>
                <w:highlight w:val="none"/>
                <w:u w:val="none"/>
              </w:rPr>
              <w:t>其</w:t>
            </w:r>
            <w:r>
              <w:rPr>
                <w:rFonts w:hint="eastAsia" w:ascii="宋体" w:hAnsi="宋体" w:eastAsia="宋体"/>
                <w:bCs/>
                <w:color w:val="auto"/>
                <w:sz w:val="21"/>
                <w:szCs w:val="21"/>
                <w:highlight w:val="none"/>
              </w:rPr>
              <w:t>任职单位的经济风险防范、生态文明建设等工作中的作为及其对相关工作效益的影响</w:t>
            </w:r>
            <w:r>
              <w:rPr>
                <w:rFonts w:hint="eastAsia" w:ascii="宋体" w:hAnsi="宋体" w:eastAsia="宋体"/>
                <w:bCs/>
                <w:color w:val="auto"/>
                <w:sz w:val="21"/>
                <w:szCs w:val="21"/>
                <w:highlight w:val="none"/>
                <w:lang w:eastAsia="zh-CN"/>
              </w:rPr>
              <w:t>；</w:t>
            </w:r>
            <w:r>
              <w:rPr>
                <w:rFonts w:hint="eastAsia" w:ascii="宋体" w:hAnsi="宋体" w:eastAsia="宋体"/>
                <w:color w:val="auto"/>
                <w:sz w:val="21"/>
                <w:highlight w:val="none"/>
              </w:rPr>
              <w:t>关注被审计领导干部在预算管理中执行机构编制管理规定</w:t>
            </w:r>
            <w:r>
              <w:rPr>
                <w:rFonts w:hint="eastAsia" w:ascii="宋体" w:hAnsi="宋体" w:eastAsia="宋体"/>
                <w:color w:val="auto"/>
                <w:sz w:val="21"/>
                <w:highlight w:val="none"/>
                <w:u w:val="none"/>
              </w:rPr>
              <w:t>的</w:t>
            </w:r>
            <w:r>
              <w:rPr>
                <w:rFonts w:hint="eastAsia" w:ascii="宋体" w:hAnsi="宋体" w:eastAsia="宋体"/>
                <w:bCs/>
                <w:color w:val="auto"/>
                <w:sz w:val="21"/>
                <w:szCs w:val="21"/>
                <w:highlight w:val="none"/>
              </w:rPr>
              <w:t>情况。</w:t>
            </w:r>
          </w:p>
          <w:p w14:paraId="17193460">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bCs/>
                <w:color w:val="auto"/>
                <w:sz w:val="21"/>
                <w:szCs w:val="21"/>
                <w:highlight w:val="none"/>
              </w:rPr>
            </w:pPr>
            <w:r>
              <w:rPr>
                <w:rFonts w:hint="eastAsia" w:ascii="宋体" w:hAnsi="宋体" w:eastAsia="宋体"/>
                <w:color w:val="auto"/>
                <w:sz w:val="21"/>
                <w:highlight w:val="none"/>
                <w:lang w:val="en-US" w:eastAsia="zh-CN"/>
              </w:rPr>
              <w:t>5.</w:t>
            </w:r>
            <w:r>
              <w:rPr>
                <w:rFonts w:hint="eastAsia" w:ascii="宋体" w:hAnsi="宋体" w:eastAsia="宋体"/>
                <w:color w:val="auto"/>
                <w:sz w:val="21"/>
                <w:highlight w:val="none"/>
              </w:rPr>
              <w:t>在经济活动中落实有关党风廉政建设责任和遵守廉洁从政规定</w:t>
            </w:r>
            <w:r>
              <w:rPr>
                <w:rFonts w:hint="eastAsia" w:ascii="宋体" w:hAnsi="宋体" w:eastAsia="宋体"/>
                <w:color w:val="auto"/>
                <w:sz w:val="21"/>
                <w:highlight w:val="none"/>
                <w:u w:val="none"/>
              </w:rPr>
              <w:t>的</w:t>
            </w:r>
            <w:r>
              <w:rPr>
                <w:rFonts w:hint="eastAsia" w:ascii="宋体" w:hAnsi="宋体" w:eastAsia="宋体"/>
                <w:bCs/>
                <w:color w:val="auto"/>
                <w:sz w:val="21"/>
                <w:szCs w:val="21"/>
                <w:highlight w:val="none"/>
              </w:rPr>
              <w:t>情况</w:t>
            </w:r>
            <w:r>
              <w:rPr>
                <w:rFonts w:hint="eastAsia" w:ascii="宋体" w:hAnsi="宋体" w:eastAsia="宋体"/>
                <w:bCs/>
                <w:color w:val="auto"/>
                <w:sz w:val="21"/>
                <w:szCs w:val="21"/>
                <w:highlight w:val="none"/>
                <w:lang w:eastAsia="zh-CN"/>
              </w:rPr>
              <w:t>。</w:t>
            </w:r>
            <w:r>
              <w:rPr>
                <w:rFonts w:hint="eastAsia" w:ascii="宋体" w:hAnsi="宋体" w:eastAsia="宋体"/>
                <w:bCs/>
                <w:color w:val="auto"/>
                <w:sz w:val="21"/>
                <w:szCs w:val="21"/>
                <w:highlight w:val="none"/>
              </w:rPr>
              <w:t>关注被审计领导干部建立健全有关党风廉政制度及其执行的情况，关注和揭示被审计单位在政策落实、资金使用等方面存在的“四风”问题</w:t>
            </w:r>
            <w:r>
              <w:rPr>
                <w:rFonts w:hint="eastAsia" w:ascii="宋体" w:hAnsi="宋体" w:eastAsia="宋体"/>
                <w:bCs/>
                <w:color w:val="auto"/>
                <w:sz w:val="21"/>
                <w:szCs w:val="21"/>
                <w:highlight w:val="none"/>
                <w:lang w:eastAsia="zh-CN"/>
              </w:rPr>
              <w:t>；</w:t>
            </w:r>
            <w:r>
              <w:rPr>
                <w:rFonts w:hint="eastAsia" w:ascii="宋体" w:hAnsi="宋体" w:eastAsia="宋体"/>
                <w:bCs/>
                <w:color w:val="auto"/>
                <w:sz w:val="21"/>
                <w:szCs w:val="21"/>
                <w:highlight w:val="none"/>
              </w:rPr>
              <w:t>关注作为中国共产党党员的被审计领导干部在经济活动中遵守《中国共产党党章》等廉洁从政规定情况。是否履行党风廉政建设第一责任人责任等各项职责</w:t>
            </w:r>
            <w:r>
              <w:rPr>
                <w:rFonts w:hint="eastAsia" w:ascii="宋体" w:hAnsi="宋体" w:eastAsia="宋体"/>
                <w:bCs/>
                <w:color w:val="auto"/>
                <w:sz w:val="21"/>
                <w:szCs w:val="21"/>
                <w:highlight w:val="none"/>
                <w:lang w:eastAsia="zh-CN"/>
              </w:rPr>
              <w:t>；</w:t>
            </w:r>
            <w:r>
              <w:rPr>
                <w:rFonts w:hint="eastAsia" w:ascii="宋体" w:hAnsi="宋体" w:eastAsia="宋体"/>
                <w:color w:val="auto"/>
                <w:sz w:val="21"/>
                <w:highlight w:val="none"/>
              </w:rPr>
              <w:t>关注被审计领导干部贯彻执行《党政机关厉行节约反对浪费条例》《关于进一步规范党政领导干部在企业兼职(任职)问题的意见》、中央八项规定</w:t>
            </w:r>
            <w:r>
              <w:rPr>
                <w:rFonts w:hint="eastAsia" w:ascii="宋体" w:hAnsi="宋体" w:eastAsia="宋体"/>
                <w:color w:val="auto"/>
                <w:sz w:val="21"/>
                <w:highlight w:val="none"/>
                <w:u w:val="none"/>
              </w:rPr>
              <w:t>精神</w:t>
            </w:r>
            <w:r>
              <w:rPr>
                <w:rFonts w:hint="eastAsia" w:ascii="宋体" w:hAnsi="宋体" w:eastAsia="宋体"/>
                <w:color w:val="auto"/>
                <w:sz w:val="21"/>
                <w:highlight w:val="none"/>
              </w:rPr>
              <w:t>和自治区30条贯彻落实意见</w:t>
            </w:r>
            <w:r>
              <w:rPr>
                <w:rFonts w:hint="eastAsia" w:ascii="宋体" w:hAnsi="宋体" w:eastAsia="宋体"/>
                <w:color w:val="auto"/>
                <w:sz w:val="21"/>
                <w:highlight w:val="none"/>
                <w:u w:val="none"/>
              </w:rPr>
              <w:t>等</w:t>
            </w:r>
            <w:r>
              <w:rPr>
                <w:rFonts w:hint="eastAsia" w:ascii="宋体" w:hAnsi="宋体" w:eastAsia="宋体"/>
                <w:bCs/>
                <w:color w:val="auto"/>
                <w:sz w:val="21"/>
                <w:szCs w:val="21"/>
                <w:highlight w:val="none"/>
              </w:rPr>
              <w:t>情况</w:t>
            </w:r>
            <w:r>
              <w:rPr>
                <w:rFonts w:hint="eastAsia" w:ascii="宋体" w:hAnsi="宋体" w:eastAsia="宋体"/>
                <w:bCs/>
                <w:color w:val="auto"/>
                <w:sz w:val="21"/>
                <w:szCs w:val="21"/>
                <w:highlight w:val="none"/>
                <w:lang w:eastAsia="zh-CN"/>
              </w:rPr>
              <w:t>；</w:t>
            </w:r>
            <w:r>
              <w:rPr>
                <w:rFonts w:hint="eastAsia" w:ascii="宋体" w:hAnsi="宋体" w:eastAsia="宋体"/>
                <w:bCs/>
                <w:color w:val="auto"/>
                <w:sz w:val="21"/>
                <w:szCs w:val="21"/>
                <w:highlight w:val="none"/>
              </w:rPr>
              <w:t>核实与被审计领导干部有关的信访和举报等事项。</w:t>
            </w:r>
          </w:p>
          <w:p w14:paraId="5BA874A4">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lang w:val="en-US" w:eastAsia="zh-CN"/>
              </w:rPr>
              <w:t>6.</w:t>
            </w:r>
            <w:r>
              <w:rPr>
                <w:rFonts w:hint="eastAsia" w:ascii="宋体" w:hAnsi="宋体" w:eastAsia="宋体"/>
                <w:bCs/>
                <w:color w:val="auto"/>
                <w:sz w:val="21"/>
                <w:szCs w:val="21"/>
                <w:highlight w:val="none"/>
              </w:rPr>
              <w:t>以往审计发现问题的整改情况</w:t>
            </w:r>
            <w:r>
              <w:rPr>
                <w:rFonts w:hint="eastAsia" w:ascii="宋体" w:hAnsi="宋体" w:eastAsia="宋体"/>
                <w:bCs/>
                <w:color w:val="auto"/>
                <w:sz w:val="21"/>
                <w:szCs w:val="21"/>
                <w:highlight w:val="none"/>
                <w:lang w:eastAsia="zh-CN"/>
              </w:rPr>
              <w:t>。</w:t>
            </w:r>
            <w:r>
              <w:rPr>
                <w:rFonts w:hint="eastAsia" w:ascii="宋体" w:hAnsi="宋体" w:eastAsia="宋体"/>
                <w:bCs/>
                <w:color w:val="auto"/>
                <w:sz w:val="21"/>
                <w:szCs w:val="21"/>
                <w:highlight w:val="none"/>
              </w:rPr>
              <w:t>关注被审计领导干部任职期间任职单位所接受的各项审计查出问题的整改情况及其效果。</w:t>
            </w:r>
          </w:p>
          <w:p w14:paraId="4351DBAF">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lang w:val="en-US" w:eastAsia="zh-CN"/>
              </w:rPr>
              <w:t>7.</w:t>
            </w:r>
            <w:r>
              <w:rPr>
                <w:rFonts w:hint="eastAsia" w:ascii="宋体" w:hAnsi="宋体" w:eastAsia="宋体"/>
                <w:bCs/>
                <w:color w:val="auto"/>
                <w:sz w:val="21"/>
                <w:szCs w:val="21"/>
                <w:highlight w:val="none"/>
              </w:rPr>
              <w:t>其他需要审计的内容</w:t>
            </w:r>
            <w:r>
              <w:rPr>
                <w:rFonts w:hint="eastAsia" w:ascii="宋体" w:hAnsi="宋体" w:eastAsia="宋体"/>
                <w:bCs/>
                <w:color w:val="auto"/>
                <w:sz w:val="21"/>
                <w:szCs w:val="21"/>
                <w:highlight w:val="none"/>
                <w:lang w:eastAsia="zh-CN"/>
              </w:rPr>
              <w:t>。</w:t>
            </w:r>
            <w:r>
              <w:rPr>
                <w:rFonts w:hint="eastAsia" w:ascii="宋体" w:hAnsi="宋体" w:eastAsia="宋体"/>
                <w:bCs/>
                <w:color w:val="auto"/>
                <w:sz w:val="21"/>
                <w:szCs w:val="21"/>
                <w:highlight w:val="none"/>
              </w:rPr>
              <w:t>根据被审计单位和被审计领导干部具体情况确定的其他需要审计的事项和内容。</w:t>
            </w:r>
          </w:p>
          <w:p w14:paraId="79CA5D23">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Times New Roman"/>
                <w:bCs/>
                <w:color w:val="auto"/>
                <w:sz w:val="21"/>
                <w:szCs w:val="21"/>
                <w:highlight w:val="none"/>
                <w:lang w:val="en-US" w:eastAsia="zh-CN"/>
              </w:rPr>
            </w:pPr>
            <w:r>
              <w:rPr>
                <w:rFonts w:hint="eastAsia" w:ascii="宋体" w:hAnsi="宋体" w:eastAsia="宋体" w:cs="Times New Roman"/>
                <w:bCs/>
                <w:color w:val="auto"/>
                <w:sz w:val="21"/>
                <w:szCs w:val="21"/>
                <w:highlight w:val="none"/>
                <w:lang w:val="en-US" w:eastAsia="zh-CN"/>
              </w:rPr>
              <w:t>三、工作要求</w:t>
            </w:r>
          </w:p>
          <w:p w14:paraId="3188E91F">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Times New Roman"/>
                <w:bCs/>
                <w:color w:val="auto"/>
                <w:sz w:val="21"/>
                <w:szCs w:val="21"/>
                <w:highlight w:val="none"/>
                <w:lang w:val="en-US" w:eastAsia="zh-CN"/>
              </w:rPr>
            </w:pPr>
            <w:r>
              <w:rPr>
                <w:rFonts w:hint="eastAsia" w:ascii="宋体" w:hAnsi="宋体" w:eastAsia="宋体" w:cs="Times New Roman"/>
                <w:bCs/>
                <w:color w:val="auto"/>
                <w:sz w:val="21"/>
                <w:szCs w:val="21"/>
                <w:highlight w:val="none"/>
                <w:lang w:val="en-US" w:eastAsia="zh-CN"/>
              </w:rPr>
              <w:t>（一）加强组织领导。供应商应统筹安排本项目的审计力量，派出审计组。健全和落实审计质量控制工作机制和要求，遵守审计回避、廉洁、保密等审计工作纪律，为圆满完成任务提供有力的组织保障。</w:t>
            </w:r>
          </w:p>
          <w:p w14:paraId="72507C1C">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hint="eastAsia" w:ascii="宋体" w:hAnsi="宋体" w:eastAsia="宋体"/>
                <w:color w:val="auto"/>
                <w:sz w:val="21"/>
                <w:highlight w:val="none"/>
                <w:u w:val="none"/>
                <w:lang w:eastAsia="zh-CN"/>
              </w:rPr>
            </w:pPr>
            <w:r>
              <w:rPr>
                <w:rFonts w:hint="eastAsia" w:ascii="宋体" w:hAnsi="宋体" w:eastAsia="宋体"/>
                <w:bCs/>
                <w:color w:val="auto"/>
                <w:sz w:val="21"/>
                <w:szCs w:val="21"/>
                <w:highlight w:val="none"/>
                <w:lang w:val="en-US" w:eastAsia="zh-CN"/>
              </w:rPr>
              <w:t>（二）</w:t>
            </w:r>
            <w:r>
              <w:rPr>
                <w:rFonts w:hint="eastAsia" w:ascii="宋体" w:hAnsi="宋体" w:eastAsia="宋体"/>
                <w:color w:val="auto"/>
                <w:sz w:val="21"/>
                <w:highlight w:val="none"/>
                <w:u w:val="none"/>
                <w:lang w:eastAsia="zh-CN"/>
              </w:rPr>
              <w:t>制定实施方案</w:t>
            </w:r>
            <w:r>
              <w:rPr>
                <w:rFonts w:hint="eastAsia" w:ascii="宋体" w:hAnsi="宋体" w:eastAsia="宋体"/>
                <w:bCs/>
                <w:color w:val="auto"/>
                <w:sz w:val="21"/>
                <w:szCs w:val="21"/>
                <w:highlight w:val="none"/>
                <w:lang w:eastAsia="zh-CN"/>
              </w:rPr>
              <w:t>。供应商</w:t>
            </w:r>
            <w:r>
              <w:rPr>
                <w:rFonts w:hint="eastAsia" w:ascii="宋体" w:hAnsi="宋体" w:eastAsia="宋体"/>
                <w:color w:val="auto"/>
                <w:sz w:val="21"/>
                <w:highlight w:val="none"/>
                <w:u w:val="none"/>
              </w:rPr>
              <w:t>及</w:t>
            </w:r>
            <w:r>
              <w:rPr>
                <w:rFonts w:hint="eastAsia" w:ascii="宋体" w:hAnsi="宋体" w:eastAsia="宋体"/>
                <w:bCs/>
                <w:color w:val="auto"/>
                <w:sz w:val="21"/>
                <w:szCs w:val="21"/>
                <w:highlight w:val="none"/>
              </w:rPr>
              <w:t>派出审计组</w:t>
            </w:r>
            <w:r>
              <w:rPr>
                <w:rFonts w:hint="eastAsia" w:ascii="宋体" w:hAnsi="宋体" w:eastAsia="宋体"/>
                <w:bCs/>
                <w:color w:val="auto"/>
                <w:sz w:val="21"/>
                <w:szCs w:val="21"/>
                <w:highlight w:val="none"/>
                <w:lang w:eastAsia="zh-CN"/>
              </w:rPr>
              <w:t>成员</w:t>
            </w:r>
            <w:r>
              <w:rPr>
                <w:rFonts w:hint="eastAsia" w:ascii="宋体" w:hAnsi="宋体" w:eastAsia="宋体"/>
                <w:color w:val="auto"/>
                <w:sz w:val="21"/>
                <w:highlight w:val="none"/>
              </w:rPr>
              <w:t>进驻被审计单位前，</w:t>
            </w:r>
            <w:r>
              <w:rPr>
                <w:rFonts w:hint="eastAsia" w:ascii="宋体" w:hAnsi="宋体" w:eastAsia="宋体" w:cs="宋体"/>
                <w:color w:val="auto"/>
                <w:sz w:val="21"/>
                <w:szCs w:val="21"/>
                <w:highlight w:val="none"/>
              </w:rPr>
              <w:t>应了解被</w:t>
            </w:r>
            <w:r>
              <w:rPr>
                <w:rFonts w:hint="eastAsia" w:ascii="宋体" w:hAnsi="宋体" w:eastAsia="宋体" w:cs="宋体"/>
                <w:color w:val="auto"/>
                <w:sz w:val="21"/>
                <w:szCs w:val="21"/>
                <w:highlight w:val="none"/>
                <w:lang w:eastAsia="zh-CN"/>
              </w:rPr>
              <w:t>审计</w:t>
            </w:r>
            <w:r>
              <w:rPr>
                <w:rFonts w:hint="eastAsia" w:ascii="宋体" w:hAnsi="宋体" w:eastAsia="宋体" w:cs="宋体"/>
                <w:color w:val="auto"/>
                <w:sz w:val="21"/>
                <w:szCs w:val="21"/>
                <w:highlight w:val="none"/>
              </w:rPr>
              <w:t>单位基本情况</w:t>
            </w:r>
            <w:r>
              <w:rPr>
                <w:rFonts w:hint="eastAsia" w:ascii="宋体" w:hAnsi="宋体" w:eastAsia="宋体" w:cs="宋体"/>
                <w:color w:val="auto"/>
                <w:sz w:val="21"/>
                <w:szCs w:val="21"/>
                <w:highlight w:val="none"/>
                <w:lang w:eastAsia="zh-CN"/>
              </w:rPr>
              <w:t>，</w:t>
            </w:r>
            <w:r>
              <w:rPr>
                <w:rFonts w:hint="eastAsia" w:ascii="宋体" w:hAnsi="宋体" w:eastAsia="宋体"/>
                <w:bCs/>
                <w:color w:val="auto"/>
                <w:sz w:val="21"/>
                <w:szCs w:val="21"/>
                <w:highlight w:val="none"/>
              </w:rPr>
              <w:t>针对性地修改和完善</w:t>
            </w:r>
            <w:r>
              <w:rPr>
                <w:rFonts w:hint="eastAsia" w:ascii="宋体" w:hAnsi="宋体" w:eastAsia="宋体"/>
                <w:bCs/>
                <w:color w:val="auto"/>
                <w:sz w:val="21"/>
                <w:szCs w:val="21"/>
                <w:highlight w:val="none"/>
                <w:lang w:eastAsia="zh-CN"/>
              </w:rPr>
              <w:t>审计</w:t>
            </w:r>
            <w:r>
              <w:rPr>
                <w:rFonts w:hint="eastAsia" w:ascii="宋体" w:hAnsi="宋体" w:eastAsia="宋体"/>
                <w:bCs/>
                <w:color w:val="auto"/>
                <w:sz w:val="21"/>
                <w:szCs w:val="21"/>
                <w:highlight w:val="none"/>
              </w:rPr>
              <w:t>服务工作方案，编制全面完整的</w:t>
            </w:r>
            <w:r>
              <w:rPr>
                <w:rFonts w:hint="eastAsia" w:ascii="宋体" w:hAnsi="宋体" w:eastAsia="宋体"/>
                <w:bCs/>
                <w:color w:val="auto"/>
                <w:sz w:val="21"/>
                <w:szCs w:val="21"/>
                <w:highlight w:val="none"/>
                <w:lang w:eastAsia="zh-CN"/>
              </w:rPr>
              <w:t>项目</w:t>
            </w:r>
            <w:r>
              <w:rPr>
                <w:rFonts w:hint="eastAsia" w:ascii="宋体" w:hAnsi="宋体" w:eastAsia="宋体"/>
                <w:bCs/>
                <w:color w:val="auto"/>
                <w:sz w:val="21"/>
                <w:szCs w:val="21"/>
                <w:highlight w:val="none"/>
              </w:rPr>
              <w:t>审计实施方案提交采购人</w:t>
            </w:r>
            <w:r>
              <w:rPr>
                <w:rFonts w:hint="eastAsia" w:ascii="宋体" w:hAnsi="宋体" w:eastAsia="宋体"/>
                <w:color w:val="auto"/>
                <w:sz w:val="21"/>
                <w:highlight w:val="none"/>
                <w:u w:val="none"/>
              </w:rPr>
              <w:t>审核</w:t>
            </w:r>
            <w:r>
              <w:rPr>
                <w:rFonts w:hint="eastAsia" w:ascii="宋体" w:hAnsi="宋体" w:eastAsia="宋体"/>
                <w:color w:val="auto"/>
                <w:sz w:val="21"/>
                <w:highlight w:val="none"/>
                <w:lang w:eastAsia="zh-CN"/>
              </w:rPr>
              <w:t>，</w:t>
            </w:r>
            <w:r>
              <w:rPr>
                <w:rFonts w:hint="eastAsia" w:ascii="宋体" w:hAnsi="宋体" w:eastAsia="宋体"/>
                <w:color w:val="auto"/>
                <w:sz w:val="21"/>
                <w:highlight w:val="none"/>
                <w:u w:val="none"/>
                <w:lang w:eastAsia="zh-CN"/>
              </w:rPr>
              <w:t>按采购人</w:t>
            </w:r>
            <w:r>
              <w:rPr>
                <w:rFonts w:hint="eastAsia" w:ascii="宋体" w:hAnsi="宋体" w:eastAsia="宋体"/>
                <w:color w:val="auto"/>
                <w:sz w:val="21"/>
                <w:highlight w:val="none"/>
                <w:lang w:eastAsia="zh-CN"/>
              </w:rPr>
              <w:t>审定</w:t>
            </w:r>
            <w:r>
              <w:rPr>
                <w:rFonts w:hint="eastAsia" w:ascii="宋体" w:hAnsi="宋体" w:eastAsia="宋体"/>
                <w:color w:val="auto"/>
                <w:sz w:val="21"/>
                <w:highlight w:val="none"/>
                <w:u w:val="none"/>
                <w:lang w:eastAsia="zh-CN"/>
              </w:rPr>
              <w:t>的方案实施。项目审计实施方案的</w:t>
            </w:r>
            <w:r>
              <w:rPr>
                <w:rFonts w:hint="eastAsia" w:ascii="宋体" w:hAnsi="宋体" w:eastAsia="宋体"/>
                <w:color w:val="auto"/>
                <w:sz w:val="21"/>
                <w:highlight w:val="none"/>
                <w:lang w:eastAsia="zh-CN"/>
              </w:rPr>
              <w:t>主要</w:t>
            </w:r>
            <w:r>
              <w:rPr>
                <w:rFonts w:hint="eastAsia" w:ascii="宋体" w:hAnsi="宋体" w:eastAsia="宋体"/>
                <w:color w:val="auto"/>
                <w:sz w:val="21"/>
                <w:highlight w:val="none"/>
                <w:u w:val="none"/>
                <w:lang w:eastAsia="zh-CN"/>
              </w:rPr>
              <w:t>内容应</w:t>
            </w:r>
            <w:r>
              <w:rPr>
                <w:rFonts w:hint="eastAsia" w:ascii="宋体" w:hAnsi="宋体" w:eastAsia="宋体"/>
                <w:color w:val="auto"/>
                <w:sz w:val="21"/>
                <w:highlight w:val="none"/>
                <w:lang w:eastAsia="zh-CN"/>
              </w:rPr>
              <w:t>包括</w:t>
            </w:r>
            <w:r>
              <w:rPr>
                <w:rFonts w:hint="eastAsia" w:ascii="宋体" w:hAnsi="宋体" w:eastAsia="宋体"/>
                <w:color w:val="auto"/>
                <w:sz w:val="21"/>
                <w:highlight w:val="none"/>
                <w:u w:val="none"/>
                <w:lang w:eastAsia="zh-CN"/>
              </w:rPr>
              <w:t>以下内容</w:t>
            </w:r>
            <w:r>
              <w:rPr>
                <w:rFonts w:hint="eastAsia" w:ascii="宋体" w:hAnsi="宋体" w:eastAsia="宋体"/>
                <w:color w:val="auto"/>
                <w:sz w:val="21"/>
                <w:highlight w:val="none"/>
                <w:lang w:eastAsia="zh-CN"/>
              </w:rPr>
              <w:t>：编制依据、</w:t>
            </w:r>
            <w:r>
              <w:rPr>
                <w:rFonts w:hint="eastAsia" w:ascii="宋体" w:hAnsi="宋体" w:eastAsia="宋体"/>
                <w:color w:val="auto"/>
                <w:sz w:val="21"/>
                <w:highlight w:val="none"/>
                <w:u w:val="none"/>
                <w:lang w:eastAsia="zh-CN"/>
              </w:rPr>
              <w:t>审计范围、</w:t>
            </w:r>
            <w:r>
              <w:rPr>
                <w:rFonts w:hint="eastAsia" w:ascii="宋体" w:hAnsi="宋体" w:eastAsia="宋体"/>
                <w:color w:val="auto"/>
                <w:sz w:val="21"/>
                <w:highlight w:val="none"/>
                <w:lang w:eastAsia="zh-CN"/>
              </w:rPr>
              <w:t>审计目标、</w:t>
            </w:r>
            <w:r>
              <w:rPr>
                <w:rFonts w:hint="eastAsia" w:ascii="宋体" w:hAnsi="宋体" w:eastAsia="宋体"/>
                <w:color w:val="auto"/>
                <w:sz w:val="21"/>
                <w:highlight w:val="none"/>
                <w:u w:val="none"/>
                <w:lang w:eastAsia="zh-CN"/>
              </w:rPr>
              <w:t>被审计单位基本情况、</w:t>
            </w:r>
            <w:r>
              <w:rPr>
                <w:rFonts w:hint="eastAsia" w:ascii="宋体" w:hAnsi="宋体" w:eastAsia="宋体"/>
                <w:color w:val="auto"/>
                <w:sz w:val="21"/>
                <w:highlight w:val="none"/>
                <w:lang w:eastAsia="zh-CN"/>
              </w:rPr>
              <w:t>重要性分析和审计风险评估、审计内容及审计</w:t>
            </w:r>
            <w:r>
              <w:rPr>
                <w:rFonts w:hint="eastAsia" w:ascii="宋体" w:hAnsi="宋体" w:eastAsia="宋体"/>
                <w:color w:val="auto"/>
                <w:sz w:val="21"/>
                <w:highlight w:val="none"/>
                <w:u w:val="none"/>
                <w:lang w:eastAsia="zh-CN"/>
              </w:rPr>
              <w:t>步骤和</w:t>
            </w:r>
            <w:r>
              <w:rPr>
                <w:rFonts w:hint="eastAsia" w:ascii="宋体" w:hAnsi="宋体" w:eastAsia="宋体"/>
                <w:color w:val="auto"/>
                <w:sz w:val="21"/>
                <w:highlight w:val="none"/>
                <w:lang w:eastAsia="zh-CN"/>
              </w:rPr>
              <w:t>方法、预定审计工作起止时间、审计组成员及分工</w:t>
            </w:r>
            <w:r>
              <w:rPr>
                <w:rFonts w:hint="eastAsia" w:ascii="宋体" w:hAnsi="宋体" w:eastAsia="宋体"/>
                <w:color w:val="auto"/>
                <w:sz w:val="21"/>
                <w:highlight w:val="none"/>
                <w:u w:val="none"/>
                <w:lang w:eastAsia="zh-CN"/>
              </w:rPr>
              <w:t>等。其中，</w:t>
            </w:r>
            <w:r>
              <w:rPr>
                <w:rFonts w:hint="eastAsia" w:ascii="宋体" w:hAnsi="宋体" w:eastAsia="宋体" w:cs="宋体"/>
                <w:color w:val="auto"/>
                <w:sz w:val="21"/>
                <w:szCs w:val="21"/>
                <w:highlight w:val="none"/>
              </w:rPr>
              <w:t>供应商需按照重要性原则，确定报表的整体重要性水平为总收入或总支出的1%～2%，对单笔金额超过重要性水平10%的大额凭证100%检查，其余凭证按30%～40%比例抽查。</w:t>
            </w:r>
          </w:p>
          <w:p w14:paraId="4B999E86">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lang w:val="en-US" w:eastAsia="zh-CN"/>
              </w:rPr>
              <w:t>（三）</w:t>
            </w:r>
            <w:r>
              <w:rPr>
                <w:rFonts w:hint="eastAsia" w:ascii="宋体" w:hAnsi="宋体" w:eastAsia="宋体"/>
                <w:color w:val="auto"/>
                <w:sz w:val="21"/>
                <w:highlight w:val="none"/>
                <w:u w:val="none"/>
              </w:rPr>
              <w:t>健全工作机制</w:t>
            </w:r>
            <w:r>
              <w:rPr>
                <w:rFonts w:hint="eastAsia" w:ascii="宋体" w:hAnsi="宋体" w:eastAsia="宋体"/>
                <w:bCs/>
                <w:color w:val="auto"/>
                <w:sz w:val="21"/>
                <w:szCs w:val="21"/>
                <w:highlight w:val="none"/>
              </w:rPr>
              <w:t>。</w:t>
            </w:r>
            <w:r>
              <w:rPr>
                <w:rFonts w:hint="eastAsia" w:ascii="宋体" w:hAnsi="宋体" w:eastAsia="宋体"/>
                <w:color w:val="auto"/>
                <w:sz w:val="21"/>
                <w:highlight w:val="none"/>
              </w:rPr>
              <w:t>为确保高质</w:t>
            </w:r>
            <w:r>
              <w:rPr>
                <w:rFonts w:hint="eastAsia" w:ascii="宋体" w:hAnsi="宋体" w:eastAsia="宋体"/>
                <w:color w:val="auto"/>
                <w:sz w:val="21"/>
                <w:highlight w:val="none"/>
                <w:u w:val="none"/>
              </w:rPr>
              <w:t>量</w:t>
            </w:r>
            <w:r>
              <w:rPr>
                <w:rFonts w:hint="eastAsia" w:ascii="宋体" w:hAnsi="宋体" w:eastAsia="宋体"/>
                <w:bCs/>
                <w:color w:val="auto"/>
                <w:sz w:val="21"/>
                <w:szCs w:val="21"/>
                <w:highlight w:val="none"/>
              </w:rPr>
              <w:t>完成任务，</w:t>
            </w:r>
            <w:r>
              <w:rPr>
                <w:rFonts w:hint="eastAsia" w:ascii="宋体" w:hAnsi="宋体" w:eastAsia="宋体"/>
                <w:bCs/>
                <w:color w:val="auto"/>
                <w:sz w:val="21"/>
                <w:szCs w:val="21"/>
                <w:highlight w:val="none"/>
                <w:lang w:eastAsia="zh-CN"/>
              </w:rPr>
              <w:t>供应商要建立审计项目沟通会等工作机制，定期召开现场审计组和采购人内部审计机构进展情况汇报沟通会；审计组</w:t>
            </w:r>
            <w:r>
              <w:rPr>
                <w:rFonts w:hint="eastAsia" w:ascii="宋体" w:hAnsi="宋体" w:eastAsia="宋体"/>
                <w:color w:val="auto"/>
                <w:sz w:val="21"/>
                <w:highlight w:val="none"/>
              </w:rPr>
              <w:t>成员之间要加强沟通与协作，充分利用科技手段，提高工作效率；</w:t>
            </w:r>
            <w:r>
              <w:rPr>
                <w:rFonts w:hint="eastAsia" w:ascii="宋体" w:hAnsi="宋体" w:eastAsia="宋体"/>
                <w:color w:val="auto"/>
                <w:sz w:val="21"/>
                <w:highlight w:val="none"/>
                <w:u w:val="none"/>
              </w:rPr>
              <w:t>审计组</w:t>
            </w:r>
            <w:r>
              <w:rPr>
                <w:rFonts w:hint="eastAsia" w:ascii="宋体" w:hAnsi="宋体" w:eastAsia="宋体"/>
                <w:bCs/>
                <w:color w:val="auto"/>
                <w:sz w:val="21"/>
                <w:szCs w:val="21"/>
                <w:highlight w:val="none"/>
              </w:rPr>
              <w:t>要认真做好取证、工作底稿等基础性工作，做到事实清楚，证据充分，依据有力，定性准确；</w:t>
            </w:r>
            <w:r>
              <w:rPr>
                <w:rFonts w:hint="eastAsia" w:ascii="宋体" w:hAnsi="宋体" w:eastAsia="宋体"/>
                <w:color w:val="auto"/>
                <w:sz w:val="21"/>
                <w:highlight w:val="none"/>
                <w:lang w:eastAsia="zh-CN"/>
              </w:rPr>
              <w:t>对编制的审计工作底稿、草拟的审计报告，一般要履行“主审—审计组组长（</w:t>
            </w:r>
            <w:r>
              <w:rPr>
                <w:rFonts w:hint="eastAsia" w:ascii="宋体" w:hAnsi="宋体" w:eastAsia="宋体"/>
                <w:color w:val="auto"/>
                <w:sz w:val="21"/>
                <w:highlight w:val="none"/>
                <w:u w:val="none"/>
                <w:lang w:eastAsia="zh-CN"/>
              </w:rPr>
              <w:t>或副组长</w:t>
            </w:r>
            <w:r>
              <w:rPr>
                <w:rFonts w:hint="eastAsia" w:ascii="宋体" w:hAnsi="宋体" w:eastAsia="宋体"/>
                <w:bCs/>
                <w:color w:val="auto"/>
                <w:sz w:val="21"/>
                <w:szCs w:val="21"/>
                <w:highlight w:val="none"/>
                <w:lang w:eastAsia="zh-CN"/>
              </w:rPr>
              <w:t>）—采购人</w:t>
            </w:r>
            <w:r>
              <w:rPr>
                <w:rFonts w:hint="eastAsia" w:ascii="宋体" w:hAnsi="宋体"/>
                <w:bCs/>
                <w:color w:val="auto"/>
                <w:sz w:val="21"/>
                <w:szCs w:val="21"/>
                <w:highlight w:val="none"/>
                <w:lang w:eastAsia="zh-CN"/>
              </w:rPr>
              <w:t>财审</w:t>
            </w:r>
            <w:r>
              <w:rPr>
                <w:rFonts w:hint="eastAsia" w:ascii="宋体" w:hAnsi="宋体" w:eastAsia="宋体"/>
                <w:bCs/>
                <w:color w:val="auto"/>
                <w:sz w:val="21"/>
                <w:szCs w:val="21"/>
                <w:highlight w:val="none"/>
                <w:lang w:eastAsia="zh-CN"/>
              </w:rPr>
              <w:t>机构负责人”的审计复核程序，保证审计工作质量。</w:t>
            </w:r>
          </w:p>
          <w:p w14:paraId="7FFB1363">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hint="eastAsia"/>
                <w:color w:val="auto"/>
                <w:highlight w:val="none"/>
              </w:rPr>
            </w:pPr>
            <w:r>
              <w:rPr>
                <w:rFonts w:hint="eastAsia" w:ascii="宋体" w:hAnsi="宋体" w:eastAsia="宋体"/>
                <w:bCs/>
                <w:color w:val="auto"/>
                <w:sz w:val="21"/>
                <w:szCs w:val="21"/>
                <w:highlight w:val="none"/>
                <w:lang w:val="en-US" w:eastAsia="zh-CN"/>
              </w:rPr>
              <w:t>（四）</w:t>
            </w:r>
            <w:r>
              <w:rPr>
                <w:rFonts w:hint="eastAsia" w:ascii="宋体" w:hAnsi="宋体" w:eastAsia="宋体"/>
                <w:bCs/>
                <w:color w:val="auto"/>
                <w:sz w:val="21"/>
                <w:szCs w:val="21"/>
                <w:highlight w:val="none"/>
                <w:lang w:eastAsia="zh-CN"/>
              </w:rPr>
              <w:t>加强沟通协调。</w:t>
            </w:r>
            <w:r>
              <w:rPr>
                <w:rFonts w:hint="eastAsia" w:ascii="宋体" w:hAnsi="宋体" w:eastAsia="宋体"/>
                <w:bCs/>
                <w:color w:val="auto"/>
                <w:sz w:val="21"/>
                <w:szCs w:val="21"/>
                <w:highlight w:val="none"/>
              </w:rPr>
              <w:t>审计过程中，</w:t>
            </w:r>
            <w:r>
              <w:rPr>
                <w:rFonts w:hint="eastAsia" w:ascii="宋体" w:hAnsi="宋体" w:eastAsia="宋体"/>
                <w:bCs/>
                <w:color w:val="auto"/>
                <w:sz w:val="21"/>
                <w:szCs w:val="21"/>
                <w:highlight w:val="none"/>
                <w:lang w:eastAsia="zh-CN"/>
              </w:rPr>
              <w:t>现场审计组</w:t>
            </w:r>
            <w:r>
              <w:rPr>
                <w:rFonts w:hint="eastAsia" w:ascii="宋体" w:hAnsi="宋体" w:eastAsia="宋体"/>
                <w:bCs/>
                <w:color w:val="auto"/>
                <w:sz w:val="21"/>
                <w:szCs w:val="21"/>
                <w:highlight w:val="none"/>
              </w:rPr>
              <w:t>要密切与采购人</w:t>
            </w:r>
            <w:r>
              <w:rPr>
                <w:rFonts w:hint="eastAsia" w:ascii="宋体" w:hAnsi="宋体" w:eastAsia="宋体"/>
                <w:bCs/>
                <w:color w:val="auto"/>
                <w:sz w:val="21"/>
                <w:szCs w:val="21"/>
                <w:highlight w:val="none"/>
                <w:lang w:eastAsia="zh-CN"/>
              </w:rPr>
              <w:t>内部审计机构</w:t>
            </w:r>
            <w:r>
              <w:rPr>
                <w:rFonts w:hint="eastAsia" w:ascii="宋体" w:hAnsi="宋体" w:eastAsia="宋体"/>
                <w:bCs/>
                <w:color w:val="auto"/>
                <w:sz w:val="21"/>
                <w:szCs w:val="21"/>
                <w:highlight w:val="none"/>
              </w:rPr>
              <w:t>的沟通和协调，及时反映</w:t>
            </w:r>
            <w:r>
              <w:rPr>
                <w:rFonts w:hint="eastAsia" w:ascii="宋体" w:hAnsi="宋体" w:eastAsia="宋体"/>
                <w:bCs/>
                <w:color w:val="auto"/>
                <w:sz w:val="21"/>
                <w:szCs w:val="21"/>
                <w:highlight w:val="none"/>
                <w:lang w:eastAsia="zh-CN"/>
              </w:rPr>
              <w:t>审计</w:t>
            </w:r>
            <w:r>
              <w:rPr>
                <w:rFonts w:hint="eastAsia" w:ascii="宋体" w:hAnsi="宋体" w:eastAsia="宋体"/>
                <w:bCs/>
                <w:color w:val="auto"/>
                <w:sz w:val="21"/>
                <w:szCs w:val="21"/>
                <w:highlight w:val="none"/>
              </w:rPr>
              <w:t>中的重要信息和成果，如实披露</w:t>
            </w:r>
            <w:r>
              <w:rPr>
                <w:rFonts w:hint="eastAsia" w:ascii="宋体" w:hAnsi="宋体" w:eastAsia="宋体"/>
                <w:bCs/>
                <w:color w:val="auto"/>
                <w:sz w:val="21"/>
                <w:szCs w:val="21"/>
                <w:highlight w:val="none"/>
                <w:lang w:eastAsia="zh-CN"/>
              </w:rPr>
              <w:t>审计</w:t>
            </w:r>
            <w:r>
              <w:rPr>
                <w:rFonts w:hint="eastAsia" w:ascii="宋体" w:hAnsi="宋体" w:eastAsia="宋体"/>
                <w:bCs/>
                <w:color w:val="auto"/>
                <w:sz w:val="21"/>
                <w:szCs w:val="21"/>
                <w:highlight w:val="none"/>
              </w:rPr>
              <w:t>发现的问题。</w:t>
            </w:r>
            <w:r>
              <w:rPr>
                <w:rFonts w:hint="eastAsia" w:ascii="宋体" w:hAnsi="宋体" w:eastAsia="宋体"/>
                <w:bCs/>
                <w:color w:val="auto"/>
                <w:sz w:val="21"/>
                <w:szCs w:val="21"/>
                <w:highlight w:val="none"/>
                <w:lang w:eastAsia="zh-CN"/>
              </w:rPr>
              <w:t>审计实施过程中如有重大违法违规等意外发现，审计组应及时汇报，在履行相关审批程序后再深入核实。</w:t>
            </w:r>
          </w:p>
          <w:p w14:paraId="66F7E44C">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（五）</w:t>
            </w:r>
            <w:r>
              <w:rPr>
                <w:rFonts w:hint="eastAsia" w:ascii="宋体" w:hAnsi="宋体" w:eastAsia="宋体" w:cs="宋体"/>
                <w:color w:val="auto"/>
                <w:sz w:val="21"/>
                <w:szCs w:val="21"/>
                <w:highlight w:val="none"/>
              </w:rPr>
              <w:t>供应商拟投入的</w:t>
            </w:r>
            <w:r>
              <w:rPr>
                <w:rFonts w:hint="eastAsia" w:ascii="宋体" w:hAnsi="宋体" w:eastAsia="宋体" w:cs="宋体"/>
                <w:color w:val="auto"/>
                <w:sz w:val="21"/>
                <w:szCs w:val="21"/>
                <w:highlight w:val="none"/>
                <w:lang w:eastAsia="zh-CN"/>
              </w:rPr>
              <w:t>检查</w:t>
            </w:r>
            <w:r>
              <w:rPr>
                <w:rFonts w:hint="eastAsia" w:ascii="宋体" w:hAnsi="宋体" w:cs="宋体"/>
                <w:color w:val="auto"/>
                <w:sz w:val="21"/>
                <w:szCs w:val="21"/>
                <w:highlight w:val="none"/>
                <w:lang w:eastAsia="zh-CN"/>
              </w:rPr>
              <w:t>（审计）</w:t>
            </w:r>
            <w:r>
              <w:rPr>
                <w:rFonts w:hint="eastAsia" w:ascii="宋体" w:hAnsi="宋体" w:eastAsia="宋体" w:cs="宋体"/>
                <w:color w:val="auto"/>
                <w:sz w:val="21"/>
                <w:szCs w:val="21"/>
                <w:highlight w:val="none"/>
              </w:rPr>
              <w:t>组成员不少于</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人</w:t>
            </w:r>
            <w:r>
              <w:rPr>
                <w:rFonts w:hint="eastAsia" w:ascii="宋体" w:hAnsi="宋体" w:eastAsia="宋体" w:cs="宋体"/>
                <w:color w:val="auto"/>
                <w:sz w:val="21"/>
                <w:szCs w:val="21"/>
                <w:highlight w:val="none"/>
                <w:lang w:eastAsia="zh-CN"/>
              </w:rPr>
              <w:t>，</w:t>
            </w:r>
            <w:r>
              <w:rPr>
                <w:rFonts w:hint="eastAsia" w:ascii="宋体" w:hAnsi="宋体" w:cs="宋体"/>
                <w:color w:val="auto"/>
                <w:szCs w:val="21"/>
                <w:highlight w:val="none"/>
              </w:rPr>
              <w:t>至少配备项目负责人1名（项目负责人须具备中国注册会计师执业资格证，从事审计工作年限</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年以上，并有担任同类审计项目负责人经历），1名注册造价工程师（须具备工程类中级或以上职称）</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其余</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名审计人员须具备初级会计师、</w:t>
            </w:r>
            <w:r>
              <w:rPr>
                <w:rFonts w:hint="eastAsia" w:ascii="宋体" w:hAnsi="宋体" w:eastAsia="宋体" w:cs="宋体"/>
                <w:color w:val="auto"/>
                <w:szCs w:val="21"/>
                <w:highlight w:val="none"/>
                <w:lang w:eastAsia="zh-CN"/>
              </w:rPr>
              <w:t>初级</w:t>
            </w:r>
            <w:r>
              <w:rPr>
                <w:rFonts w:hint="eastAsia" w:ascii="宋体" w:hAnsi="宋体" w:eastAsia="宋体" w:cs="宋体"/>
                <w:color w:val="auto"/>
                <w:szCs w:val="21"/>
                <w:highlight w:val="none"/>
              </w:rPr>
              <w:t>审计师</w:t>
            </w:r>
            <w:r>
              <w:rPr>
                <w:rFonts w:hint="eastAsia" w:ascii="宋体" w:hAnsi="宋体" w:eastAsia="宋体" w:cs="宋体"/>
                <w:color w:val="auto"/>
                <w:szCs w:val="21"/>
                <w:highlight w:val="none"/>
                <w:lang w:eastAsia="zh-CN"/>
              </w:rPr>
              <w:t>、初级</w:t>
            </w:r>
            <w:r>
              <w:rPr>
                <w:rFonts w:hint="eastAsia" w:ascii="宋体" w:hAnsi="宋体" w:eastAsia="宋体" w:cs="宋体"/>
                <w:color w:val="auto"/>
                <w:szCs w:val="21"/>
                <w:highlight w:val="none"/>
              </w:rPr>
              <w:t>经济师中</w:t>
            </w:r>
            <w:r>
              <w:rPr>
                <w:rFonts w:hint="eastAsia" w:ascii="宋体" w:hAnsi="宋体" w:eastAsia="宋体" w:cs="宋体"/>
                <w:color w:val="auto"/>
                <w:szCs w:val="21"/>
                <w:highlight w:val="none"/>
                <w:lang w:eastAsia="zh-CN"/>
              </w:rPr>
              <w:t>的</w:t>
            </w:r>
            <w:r>
              <w:rPr>
                <w:rFonts w:hint="eastAsia" w:ascii="宋体" w:hAnsi="宋体" w:eastAsia="宋体" w:cs="宋体"/>
                <w:color w:val="auto"/>
                <w:szCs w:val="21"/>
                <w:highlight w:val="none"/>
              </w:rPr>
              <w:t>一种</w:t>
            </w:r>
            <w:r>
              <w:rPr>
                <w:rFonts w:hint="eastAsia" w:ascii="宋体" w:hAnsi="宋体" w:eastAsia="宋体" w:cs="宋体"/>
                <w:color w:val="auto"/>
                <w:szCs w:val="21"/>
                <w:highlight w:val="none"/>
                <w:lang w:eastAsia="zh-CN"/>
              </w:rPr>
              <w:t>或以上</w:t>
            </w:r>
            <w:r>
              <w:rPr>
                <w:rFonts w:hint="eastAsia" w:ascii="宋体" w:hAnsi="宋体" w:eastAsia="宋体" w:cs="宋体"/>
                <w:color w:val="auto"/>
                <w:szCs w:val="21"/>
                <w:highlight w:val="none"/>
              </w:rPr>
              <w:t>职称。</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派驻的</w:t>
            </w:r>
            <w:r>
              <w:rPr>
                <w:rFonts w:hint="eastAsia" w:ascii="宋体" w:hAnsi="宋体" w:eastAsia="宋体" w:cs="宋体"/>
                <w:color w:val="auto"/>
                <w:sz w:val="21"/>
                <w:szCs w:val="21"/>
                <w:highlight w:val="none"/>
                <w:lang w:eastAsia="zh-CN"/>
              </w:rPr>
              <w:t>审计</w:t>
            </w:r>
            <w:r>
              <w:rPr>
                <w:rFonts w:hint="eastAsia" w:ascii="宋体" w:hAnsi="宋体" w:eastAsia="宋体" w:cs="宋体"/>
                <w:color w:val="auto"/>
                <w:sz w:val="21"/>
                <w:szCs w:val="21"/>
                <w:highlight w:val="none"/>
              </w:rPr>
              <w:t>人员须与响应文件中派驻</w:t>
            </w:r>
            <w:r>
              <w:rPr>
                <w:rFonts w:hint="eastAsia" w:ascii="宋体" w:hAnsi="宋体" w:eastAsia="宋体" w:cs="宋体"/>
                <w:color w:val="auto"/>
                <w:sz w:val="21"/>
                <w:szCs w:val="21"/>
                <w:highlight w:val="none"/>
                <w:lang w:eastAsia="zh-CN"/>
              </w:rPr>
              <w:t>审计</w:t>
            </w:r>
            <w:r>
              <w:rPr>
                <w:rFonts w:hint="eastAsia" w:ascii="宋体" w:hAnsi="宋体" w:eastAsia="宋体" w:cs="宋体"/>
                <w:color w:val="auto"/>
                <w:sz w:val="21"/>
                <w:szCs w:val="21"/>
                <w:highlight w:val="none"/>
              </w:rPr>
              <w:t>人员一致，如需更换人员需事先征得采购人同意。</w:t>
            </w:r>
          </w:p>
          <w:p w14:paraId="353E7F19">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（六）</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开展工作现场检查</w:t>
            </w:r>
            <w:r>
              <w:rPr>
                <w:rFonts w:hint="eastAsia" w:ascii="宋体" w:hAnsi="宋体" w:cs="宋体"/>
                <w:color w:val="auto"/>
                <w:sz w:val="21"/>
                <w:szCs w:val="21"/>
                <w:highlight w:val="none"/>
                <w:lang w:eastAsia="zh-CN"/>
              </w:rPr>
              <w:t>（审计）</w:t>
            </w:r>
            <w:r>
              <w:rPr>
                <w:rFonts w:hint="eastAsia" w:ascii="宋体" w:hAnsi="宋体" w:eastAsia="宋体" w:cs="宋体"/>
                <w:color w:val="auto"/>
                <w:sz w:val="21"/>
                <w:szCs w:val="21"/>
                <w:highlight w:val="none"/>
              </w:rPr>
              <w:t>时间不得少于1</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个</w:t>
            </w:r>
            <w:r>
              <w:rPr>
                <w:rFonts w:hint="eastAsia" w:ascii="宋体" w:hAnsi="宋体" w:cs="宋体"/>
                <w:color w:val="auto"/>
                <w:sz w:val="21"/>
                <w:szCs w:val="21"/>
                <w:highlight w:val="none"/>
                <w:lang w:eastAsia="zh-CN"/>
              </w:rPr>
              <w:t>工作日</w:t>
            </w:r>
            <w:r>
              <w:rPr>
                <w:rFonts w:hint="eastAsia" w:ascii="宋体" w:hAnsi="宋体" w:eastAsia="宋体" w:cs="宋体"/>
                <w:color w:val="auto"/>
                <w:sz w:val="21"/>
                <w:szCs w:val="21"/>
                <w:highlight w:val="none"/>
              </w:rPr>
              <w:t>，现场检查</w:t>
            </w:r>
            <w:r>
              <w:rPr>
                <w:rFonts w:hint="eastAsia" w:ascii="宋体" w:hAnsi="宋体" w:cs="宋体"/>
                <w:color w:val="auto"/>
                <w:sz w:val="21"/>
                <w:szCs w:val="21"/>
                <w:highlight w:val="none"/>
                <w:lang w:eastAsia="zh-CN"/>
              </w:rPr>
              <w:t>（审计）</w:t>
            </w:r>
            <w:r>
              <w:rPr>
                <w:rFonts w:hint="eastAsia" w:ascii="宋体" w:hAnsi="宋体" w:eastAsia="宋体" w:cs="宋体"/>
                <w:color w:val="auto"/>
                <w:sz w:val="21"/>
                <w:szCs w:val="21"/>
                <w:highlight w:val="none"/>
              </w:rPr>
              <w:t>结束20天内须</w:t>
            </w:r>
            <w:r>
              <w:rPr>
                <w:rFonts w:hint="eastAsia" w:ascii="宋体" w:hAnsi="宋体" w:cs="宋体"/>
                <w:color w:val="auto"/>
                <w:sz w:val="21"/>
                <w:szCs w:val="21"/>
                <w:highlight w:val="none"/>
                <w:lang w:eastAsia="zh-CN"/>
              </w:rPr>
              <w:t>分别</w:t>
            </w:r>
            <w:r>
              <w:rPr>
                <w:rFonts w:hint="eastAsia" w:ascii="宋体" w:hAnsi="宋体" w:eastAsia="宋体" w:cs="宋体"/>
                <w:color w:val="auto"/>
                <w:sz w:val="21"/>
                <w:szCs w:val="21"/>
                <w:highlight w:val="none"/>
              </w:rPr>
              <w:t>出具</w:t>
            </w:r>
            <w:r>
              <w:rPr>
                <w:rFonts w:hint="eastAsia" w:ascii="宋体" w:hAnsi="宋体" w:eastAsia="宋体" w:cs="宋体"/>
                <w:color w:val="auto"/>
                <w:sz w:val="21"/>
                <w:szCs w:val="21"/>
                <w:highlight w:val="none"/>
                <w:lang w:eastAsia="zh-CN"/>
              </w:rPr>
              <w:t>检查</w:t>
            </w:r>
            <w:r>
              <w:rPr>
                <w:rFonts w:hint="eastAsia" w:ascii="宋体" w:hAnsi="宋体" w:eastAsia="宋体" w:cs="宋体"/>
                <w:color w:val="auto"/>
                <w:sz w:val="21"/>
                <w:szCs w:val="21"/>
                <w:highlight w:val="none"/>
              </w:rPr>
              <w:t>报告</w:t>
            </w:r>
            <w:r>
              <w:rPr>
                <w:rFonts w:hint="eastAsia" w:ascii="宋体" w:hAnsi="宋体" w:cs="宋体"/>
                <w:color w:val="auto"/>
                <w:sz w:val="21"/>
                <w:szCs w:val="21"/>
                <w:highlight w:val="none"/>
                <w:lang w:eastAsia="zh-CN"/>
              </w:rPr>
              <w:t>和审计报告</w:t>
            </w:r>
            <w:r>
              <w:rPr>
                <w:rFonts w:hint="eastAsia" w:ascii="宋体" w:hAnsi="宋体" w:eastAsia="宋体" w:cs="宋体"/>
                <w:color w:val="auto"/>
                <w:sz w:val="21"/>
                <w:szCs w:val="21"/>
                <w:highlight w:val="none"/>
              </w:rPr>
              <w:t>初稿，2026年9月30日前出具</w:t>
            </w:r>
            <w:r>
              <w:rPr>
                <w:rFonts w:hint="eastAsia" w:ascii="宋体" w:hAnsi="宋体" w:eastAsia="宋体" w:cs="宋体"/>
                <w:color w:val="auto"/>
                <w:sz w:val="21"/>
                <w:szCs w:val="21"/>
                <w:highlight w:val="none"/>
                <w:lang w:eastAsia="zh-CN"/>
              </w:rPr>
              <w:t>正式检查</w:t>
            </w:r>
            <w:r>
              <w:rPr>
                <w:rFonts w:hint="eastAsia" w:ascii="宋体" w:hAnsi="宋体" w:cs="宋体"/>
                <w:color w:val="auto"/>
                <w:sz w:val="21"/>
                <w:szCs w:val="21"/>
                <w:highlight w:val="none"/>
                <w:lang w:eastAsia="zh-CN"/>
              </w:rPr>
              <w:t>和审计</w:t>
            </w:r>
            <w:r>
              <w:rPr>
                <w:rFonts w:hint="eastAsia" w:ascii="宋体" w:hAnsi="宋体" w:eastAsia="宋体" w:cs="宋体"/>
                <w:color w:val="auto"/>
                <w:sz w:val="21"/>
                <w:szCs w:val="21"/>
                <w:highlight w:val="none"/>
              </w:rPr>
              <w:t>报告，包括纸质报告（一式八份）、彩色扫描PDF版和Word版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并交付所有工作底稿。</w:t>
            </w:r>
            <w:r>
              <w:rPr>
                <w:rFonts w:hint="eastAsia" w:ascii="宋体" w:hAnsi="宋体" w:eastAsia="宋体"/>
                <w:bCs/>
                <w:color w:val="auto"/>
                <w:sz w:val="21"/>
                <w:szCs w:val="21"/>
                <w:highlight w:val="none"/>
                <w:lang w:eastAsia="zh-CN"/>
              </w:rPr>
              <w:t>本项目的</w:t>
            </w:r>
            <w:r>
              <w:rPr>
                <w:rFonts w:hint="eastAsia" w:ascii="宋体" w:hAnsi="宋体" w:eastAsia="宋体"/>
                <w:bCs/>
                <w:color w:val="auto"/>
                <w:sz w:val="21"/>
                <w:szCs w:val="21"/>
                <w:highlight w:val="none"/>
              </w:rPr>
              <w:t>审计文书</w:t>
            </w:r>
            <w:r>
              <w:rPr>
                <w:rFonts w:hint="eastAsia" w:ascii="宋体" w:hAnsi="宋体" w:eastAsia="宋体"/>
                <w:bCs/>
                <w:color w:val="auto"/>
                <w:sz w:val="21"/>
                <w:szCs w:val="21"/>
                <w:highlight w:val="none"/>
                <w:lang w:eastAsia="zh-CN"/>
              </w:rPr>
              <w:t>资料</w:t>
            </w:r>
            <w:r>
              <w:rPr>
                <w:rFonts w:hint="eastAsia" w:ascii="宋体" w:hAnsi="宋体" w:eastAsia="宋体"/>
                <w:bCs/>
                <w:color w:val="auto"/>
                <w:sz w:val="21"/>
                <w:szCs w:val="21"/>
                <w:highlight w:val="none"/>
              </w:rPr>
              <w:t>需按照采购人要求装订成档保存于采购单位。</w:t>
            </w:r>
            <w:r>
              <w:rPr>
                <w:rFonts w:hint="eastAsia" w:ascii="宋体" w:hAnsi="宋体" w:eastAsia="宋体" w:cs="宋体"/>
                <w:color w:val="auto"/>
                <w:sz w:val="21"/>
                <w:szCs w:val="21"/>
                <w:highlight w:val="none"/>
              </w:rPr>
              <w:br w:type="textWrapping"/>
            </w:r>
            <w:r>
              <w:rPr>
                <w:rFonts w:hint="eastAsia" w:ascii="宋体" w:hAnsi="宋体" w:cs="宋体"/>
                <w:color w:val="auto"/>
                <w:sz w:val="21"/>
                <w:szCs w:val="21"/>
                <w:highlight w:val="none"/>
                <w:lang w:val="en-US" w:eastAsia="zh-CN"/>
              </w:rPr>
              <w:t xml:space="preserve">    （七）</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不得将该项目转交第三方完成。</w:t>
            </w:r>
          </w:p>
          <w:p w14:paraId="607906E3">
            <w:pPr>
              <w:keepNext w:val="0"/>
              <w:keepLines w:val="0"/>
              <w:pageBreakBefore w:val="0"/>
              <w:widowControl w:val="0"/>
              <w:numPr>
                <w:ilvl w:val="0"/>
                <w:numId w:val="0"/>
              </w:numPr>
              <w:kinsoku/>
              <w:wordWrap w:val="0"/>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bCs w:val="0"/>
                <w:color w:val="auto"/>
                <w:szCs w:val="21"/>
                <w:highlight w:val="none"/>
                <w:lang w:val="zh-CN"/>
              </w:rPr>
            </w:pPr>
            <w:r>
              <w:rPr>
                <w:rFonts w:hint="eastAsia" w:ascii="宋体" w:hAnsi="宋体" w:eastAsia="宋体" w:cs="宋体"/>
                <w:b/>
                <w:bCs w:val="0"/>
                <w:color w:val="auto"/>
                <w:szCs w:val="21"/>
                <w:highlight w:val="none"/>
                <w:lang w:val="zh-CN"/>
              </w:rPr>
              <w:t>注：供应商拟投入的工作组成员必须是在职工作人员，且须在投标文件中提供拟投入的工作组成员的专业技能或资格证书、职称证书、项目负责人工作年限证明（以劳动合同为准）、</w:t>
            </w:r>
            <w:r>
              <w:rPr>
                <w:rFonts w:hint="eastAsia" w:ascii="宋体" w:hAnsi="宋体" w:eastAsia="宋体" w:cs="宋体"/>
                <w:b/>
                <w:bCs w:val="0"/>
                <w:color w:val="auto"/>
                <w:szCs w:val="21"/>
                <w:highlight w:val="none"/>
                <w:lang w:val="en-US" w:eastAsia="zh-CN"/>
              </w:rPr>
              <w:t>供应商为拟投入人员缴纳的2025年</w:t>
            </w:r>
            <w:r>
              <w:rPr>
                <w:rFonts w:hint="eastAsia" w:ascii="宋体" w:hAnsi="宋体" w:cs="宋体"/>
                <w:b/>
                <w:bCs w:val="0"/>
                <w:color w:val="auto"/>
                <w:szCs w:val="21"/>
                <w:highlight w:val="none"/>
                <w:lang w:val="en-US" w:eastAsia="zh-CN"/>
              </w:rPr>
              <w:t>11</w:t>
            </w:r>
            <w:r>
              <w:rPr>
                <w:rFonts w:hint="eastAsia" w:ascii="宋体" w:hAnsi="宋体" w:eastAsia="宋体" w:cs="宋体"/>
                <w:b/>
                <w:bCs w:val="0"/>
                <w:color w:val="auto"/>
                <w:szCs w:val="21"/>
                <w:highlight w:val="none"/>
                <w:lang w:val="en-US" w:eastAsia="zh-CN"/>
              </w:rPr>
              <w:t>月-2026年</w:t>
            </w:r>
            <w:r>
              <w:rPr>
                <w:rFonts w:hint="eastAsia" w:ascii="宋体" w:hAnsi="宋体" w:cs="宋体"/>
                <w:b/>
                <w:bCs w:val="0"/>
                <w:color w:val="auto"/>
                <w:szCs w:val="21"/>
                <w:highlight w:val="none"/>
                <w:lang w:val="en-US" w:eastAsia="zh-CN"/>
              </w:rPr>
              <w:t>4</w:t>
            </w:r>
            <w:r>
              <w:rPr>
                <w:rFonts w:hint="eastAsia" w:ascii="宋体" w:hAnsi="宋体" w:eastAsia="宋体" w:cs="宋体"/>
                <w:b/>
                <w:bCs w:val="0"/>
                <w:color w:val="auto"/>
                <w:szCs w:val="21"/>
                <w:highlight w:val="none"/>
                <w:lang w:val="en-US" w:eastAsia="zh-CN"/>
              </w:rPr>
              <w:t>月内任意连续 3 个月的社保缴费证明或《投保单》或单位代缴个人所得税税单等复印件（加盖公章）或提供供应商与拟投入本项目团队成员签订的劳务合同复印件（法定代表人除外</w:t>
            </w:r>
            <w:r>
              <w:rPr>
                <w:rFonts w:hint="eastAsia" w:ascii="宋体" w:hAnsi="宋体" w:cs="宋体"/>
                <w:b/>
                <w:bCs w:val="0"/>
                <w:color w:val="auto"/>
                <w:szCs w:val="21"/>
                <w:highlight w:val="none"/>
                <w:lang w:val="en-US" w:eastAsia="zh-CN"/>
              </w:rPr>
              <w:t>）</w:t>
            </w:r>
            <w:r>
              <w:rPr>
                <w:rFonts w:hint="eastAsia" w:ascii="宋体" w:hAnsi="宋体" w:eastAsia="宋体" w:cs="宋体"/>
                <w:b/>
                <w:bCs w:val="0"/>
                <w:color w:val="auto"/>
                <w:szCs w:val="21"/>
                <w:highlight w:val="none"/>
                <w:lang w:val="zh-CN"/>
              </w:rPr>
              <w:t>。</w:t>
            </w:r>
          </w:p>
          <w:p w14:paraId="2A190800">
            <w:pPr>
              <w:keepNext w:val="0"/>
              <w:keepLines w:val="0"/>
              <w:pageBreakBefore w:val="0"/>
              <w:widowControl w:val="0"/>
              <w:numPr>
                <w:ilvl w:val="0"/>
                <w:numId w:val="0"/>
              </w:numPr>
              <w:kinsoku/>
              <w:wordWrap w:val="0"/>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bCs w:val="0"/>
                <w:color w:val="auto"/>
                <w:szCs w:val="21"/>
                <w:highlight w:val="none"/>
                <w:lang w:val="zh-CN"/>
              </w:rPr>
            </w:pPr>
          </w:p>
        </w:tc>
      </w:tr>
      <w:tr w14:paraId="5C8A6A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18" w:type="dxa"/>
            <w:tcBorders>
              <w:top w:val="single" w:color="auto" w:sz="4" w:space="0"/>
              <w:left w:val="single" w:color="auto" w:sz="4" w:space="0"/>
              <w:bottom w:val="single" w:color="auto" w:sz="4" w:space="0"/>
              <w:right w:val="single" w:color="auto" w:sz="4" w:space="0"/>
            </w:tcBorders>
            <w:noWrap w:val="0"/>
            <w:vAlign w:val="center"/>
          </w:tcPr>
          <w:p w14:paraId="459D69EA">
            <w:pPr>
              <w:keepNext w:val="0"/>
              <w:keepLines w:val="0"/>
              <w:pageBreakBefore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color w:val="auto"/>
                <w:szCs w:val="21"/>
                <w:highlight w:val="none"/>
                <w:lang w:val="en-US" w:eastAsia="zh-CN"/>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分标</w:t>
            </w:r>
          </w:p>
        </w:tc>
        <w:tc>
          <w:tcPr>
            <w:tcW w:w="970" w:type="dxa"/>
            <w:tcBorders>
              <w:top w:val="single" w:color="auto" w:sz="4" w:space="0"/>
              <w:left w:val="single" w:color="auto" w:sz="4" w:space="0"/>
              <w:bottom w:val="single" w:color="auto" w:sz="4" w:space="0"/>
              <w:right w:val="single" w:color="auto" w:sz="4" w:space="0"/>
            </w:tcBorders>
            <w:noWrap w:val="0"/>
            <w:vAlign w:val="center"/>
          </w:tcPr>
          <w:p w14:paraId="42A15E84">
            <w:pPr>
              <w:keepNext w:val="0"/>
              <w:keepLines w:val="0"/>
              <w:pageBreakBefore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color w:val="auto"/>
                <w:szCs w:val="21"/>
                <w:highlight w:val="none"/>
              </w:rPr>
            </w:pPr>
            <w:r>
              <w:rPr>
                <w:rFonts w:hint="eastAsia" w:ascii="宋体" w:hAnsi="宋体" w:eastAsia="宋体"/>
                <w:color w:val="auto"/>
                <w:szCs w:val="21"/>
                <w:highlight w:val="none"/>
                <w:lang w:eastAsia="zh-CN"/>
              </w:rPr>
              <w:t>2026年厅管领导干部经济责任审计服务1</w:t>
            </w:r>
          </w:p>
        </w:tc>
        <w:tc>
          <w:tcPr>
            <w:tcW w:w="852" w:type="dxa"/>
            <w:tcBorders>
              <w:top w:val="single" w:color="auto" w:sz="4" w:space="0"/>
              <w:left w:val="single" w:color="auto" w:sz="4" w:space="0"/>
              <w:bottom w:val="single" w:color="auto" w:sz="4" w:space="0"/>
              <w:right w:val="single" w:color="auto" w:sz="4" w:space="0"/>
            </w:tcBorders>
            <w:noWrap w:val="0"/>
            <w:vAlign w:val="center"/>
          </w:tcPr>
          <w:p w14:paraId="53AC3065">
            <w:pPr>
              <w:keepNext w:val="0"/>
              <w:keepLines w:val="0"/>
              <w:pageBreakBefore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1项</w:t>
            </w:r>
          </w:p>
        </w:tc>
        <w:tc>
          <w:tcPr>
            <w:tcW w:w="1061" w:type="dxa"/>
            <w:tcBorders>
              <w:top w:val="single" w:color="auto" w:sz="4" w:space="0"/>
              <w:left w:val="single" w:color="auto" w:sz="4" w:space="0"/>
              <w:bottom w:val="single" w:color="auto" w:sz="4" w:space="0"/>
              <w:right w:val="single" w:color="000000" w:sz="4" w:space="0"/>
            </w:tcBorders>
            <w:noWrap w:val="0"/>
            <w:vAlign w:val="center"/>
          </w:tcPr>
          <w:p w14:paraId="3C793CF6">
            <w:pPr>
              <w:keepNext w:val="0"/>
              <w:keepLines w:val="0"/>
              <w:pageBreakBefore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color w:val="auto"/>
                <w:szCs w:val="21"/>
                <w:highlight w:val="none"/>
              </w:rPr>
            </w:pPr>
            <w:r>
              <w:rPr>
                <w:rFonts w:hint="eastAsia" w:ascii="宋体" w:hAnsi="宋体"/>
                <w:color w:val="auto"/>
                <w:szCs w:val="21"/>
                <w:highlight w:val="none"/>
                <w:u w:val="none"/>
                <w:lang w:eastAsia="zh-CN"/>
              </w:rPr>
              <w:t>租赁和商务服务业</w:t>
            </w:r>
          </w:p>
        </w:tc>
        <w:tc>
          <w:tcPr>
            <w:tcW w:w="6139" w:type="dxa"/>
            <w:tcBorders>
              <w:top w:val="single" w:color="auto" w:sz="4" w:space="0"/>
              <w:left w:val="single" w:color="000000" w:sz="4" w:space="0"/>
              <w:bottom w:val="single" w:color="auto" w:sz="4" w:space="0"/>
              <w:right w:val="single" w:color="auto" w:sz="4" w:space="0"/>
            </w:tcBorders>
            <w:noWrap w:val="0"/>
            <w:vAlign w:val="center"/>
          </w:tcPr>
          <w:p w14:paraId="08802DD4">
            <w:pPr>
              <w:keepNext w:val="0"/>
              <w:keepLines w:val="0"/>
              <w:pageBreakBefore w:val="0"/>
              <w:widowControl w:val="0"/>
              <w:numPr>
                <w:ilvl w:val="0"/>
                <w:numId w:val="0"/>
              </w:numPr>
              <w:kinsoku/>
              <w:wordWrap w:val="0"/>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一、服务内容</w:t>
            </w:r>
          </w:p>
          <w:p w14:paraId="30DF29FE">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党政主要领导干部和国有企事业单位主要领导人员经济责任审计规定》（中办发〔2019〕45号）、《广西壮族自治区内部审计工作规定》（广西壮族自治区人民政府令第138号）、《广西壮族自治区交通运输厅内部审计工作规定》（桂交财审发〔2024〕51号）及有关程序和工作要求，对自治区公路发展中心主任（2020年11月至</w:t>
            </w:r>
            <w:r>
              <w:rPr>
                <w:rFonts w:hint="eastAsia" w:ascii="宋体" w:hAnsi="宋体" w:cs="宋体"/>
                <w:color w:val="auto"/>
                <w:szCs w:val="21"/>
                <w:highlight w:val="none"/>
                <w:lang w:eastAsia="zh-CN"/>
              </w:rPr>
              <w:t>今</w:t>
            </w:r>
            <w:r>
              <w:rPr>
                <w:rFonts w:hint="eastAsia" w:ascii="宋体" w:hAnsi="宋体" w:eastAsia="宋体" w:cs="宋体"/>
                <w:color w:val="auto"/>
                <w:szCs w:val="21"/>
                <w:highlight w:val="none"/>
              </w:rPr>
              <w:t>）、自治区桂中公路发展中心主任（2023年2月至</w:t>
            </w:r>
            <w:r>
              <w:rPr>
                <w:rFonts w:hint="eastAsia" w:ascii="宋体" w:hAnsi="宋体" w:cs="宋体"/>
                <w:color w:val="auto"/>
                <w:szCs w:val="21"/>
                <w:highlight w:val="none"/>
                <w:lang w:eastAsia="zh-CN"/>
              </w:rPr>
              <w:t>今</w:t>
            </w:r>
            <w:r>
              <w:rPr>
                <w:rFonts w:hint="eastAsia" w:ascii="宋体" w:hAnsi="宋体" w:eastAsia="宋体" w:cs="宋体"/>
                <w:color w:val="auto"/>
                <w:szCs w:val="21"/>
                <w:highlight w:val="none"/>
              </w:rPr>
              <w:t>）开展经济责任审计，并出具2个经济责任审计报告。</w:t>
            </w:r>
          </w:p>
          <w:p w14:paraId="7993554E">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二、审计方式</w:t>
            </w:r>
          </w:p>
          <w:p w14:paraId="6C98D16A">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olor w:val="auto"/>
                <w:sz w:val="21"/>
                <w:highlight w:val="none"/>
                <w:lang w:eastAsia="zh-CN"/>
              </w:rPr>
            </w:pPr>
            <w:r>
              <w:rPr>
                <w:rFonts w:hint="eastAsia" w:ascii="宋体" w:hAnsi="宋体" w:eastAsia="宋体"/>
                <w:bCs/>
                <w:color w:val="auto"/>
                <w:sz w:val="21"/>
                <w:szCs w:val="21"/>
                <w:highlight w:val="none"/>
                <w:lang w:eastAsia="zh-CN"/>
              </w:rPr>
              <w:t>供应商</w:t>
            </w:r>
            <w:r>
              <w:rPr>
                <w:rFonts w:hint="eastAsia" w:ascii="宋体" w:hAnsi="宋体" w:eastAsia="宋体"/>
                <w:color w:val="auto"/>
                <w:sz w:val="21"/>
                <w:highlight w:val="none"/>
                <w:u w:val="none"/>
              </w:rPr>
              <w:t>需</w:t>
            </w:r>
            <w:r>
              <w:rPr>
                <w:rFonts w:hint="eastAsia" w:ascii="宋体" w:hAnsi="宋体" w:eastAsia="宋体"/>
                <w:bCs/>
                <w:color w:val="auto"/>
                <w:sz w:val="21"/>
                <w:szCs w:val="21"/>
                <w:highlight w:val="none"/>
              </w:rPr>
              <w:t>根据</w:t>
            </w:r>
            <w:r>
              <w:rPr>
                <w:rFonts w:hint="eastAsia" w:ascii="宋体" w:hAnsi="宋体" w:eastAsia="宋体"/>
                <w:bCs/>
                <w:color w:val="auto"/>
                <w:sz w:val="21"/>
                <w:szCs w:val="21"/>
                <w:highlight w:val="none"/>
                <w:lang w:eastAsia="zh-CN"/>
              </w:rPr>
              <w:t>审计服务</w:t>
            </w:r>
            <w:r>
              <w:rPr>
                <w:rFonts w:hint="eastAsia" w:ascii="宋体" w:hAnsi="宋体" w:eastAsia="宋体"/>
                <w:color w:val="auto"/>
                <w:sz w:val="21"/>
                <w:highlight w:val="none"/>
              </w:rPr>
              <w:t>合同和</w:t>
            </w:r>
            <w:r>
              <w:rPr>
                <w:rFonts w:hint="eastAsia" w:ascii="宋体" w:hAnsi="宋体" w:eastAsia="宋体"/>
                <w:color w:val="auto"/>
                <w:sz w:val="21"/>
                <w:highlight w:val="none"/>
                <w:u w:val="none"/>
              </w:rPr>
              <w:t>经济责任审计</w:t>
            </w:r>
            <w:r>
              <w:rPr>
                <w:rFonts w:hint="eastAsia" w:ascii="宋体" w:hAnsi="宋体" w:eastAsia="宋体"/>
                <w:bCs/>
                <w:color w:val="auto"/>
                <w:sz w:val="21"/>
                <w:szCs w:val="21"/>
                <w:highlight w:val="none"/>
              </w:rPr>
              <w:t>规定，</w:t>
            </w:r>
            <w:r>
              <w:rPr>
                <w:rFonts w:hint="eastAsia" w:ascii="宋体" w:hAnsi="宋体" w:eastAsia="宋体"/>
                <w:color w:val="auto"/>
                <w:sz w:val="21"/>
                <w:szCs w:val="21"/>
                <w:highlight w:val="none"/>
              </w:rPr>
              <w:t>按审计对象编制审计</w:t>
            </w:r>
            <w:r>
              <w:rPr>
                <w:rFonts w:hint="eastAsia" w:ascii="宋体" w:hAnsi="宋体" w:eastAsia="宋体"/>
                <w:color w:val="auto"/>
                <w:sz w:val="21"/>
                <w:szCs w:val="21"/>
                <w:highlight w:val="none"/>
                <w:lang w:eastAsia="zh-CN"/>
              </w:rPr>
              <w:t>工作</w:t>
            </w:r>
            <w:r>
              <w:rPr>
                <w:rFonts w:hint="eastAsia" w:ascii="宋体" w:hAnsi="宋体" w:eastAsia="宋体"/>
                <w:color w:val="auto"/>
                <w:sz w:val="21"/>
                <w:szCs w:val="21"/>
                <w:highlight w:val="none"/>
              </w:rPr>
              <w:t>方案，</w:t>
            </w:r>
            <w:r>
              <w:rPr>
                <w:rFonts w:hint="eastAsia" w:ascii="宋体" w:hAnsi="宋体" w:eastAsia="宋体"/>
                <w:color w:val="auto"/>
                <w:sz w:val="21"/>
                <w:highlight w:val="none"/>
                <w:lang w:eastAsia="zh-CN"/>
              </w:rPr>
              <w:t>派出审计组，</w:t>
            </w:r>
            <w:r>
              <w:rPr>
                <w:rFonts w:hint="eastAsia" w:ascii="宋体" w:hAnsi="宋体" w:eastAsia="宋体"/>
                <w:color w:val="auto"/>
                <w:sz w:val="21"/>
                <w:highlight w:val="none"/>
                <w:u w:val="none"/>
                <w:lang w:eastAsia="zh-CN"/>
              </w:rPr>
              <w:t>通过进驻被审计单位</w:t>
            </w:r>
            <w:r>
              <w:rPr>
                <w:rFonts w:hint="eastAsia" w:ascii="宋体" w:hAnsi="宋体" w:eastAsia="宋体"/>
                <w:bCs/>
                <w:color w:val="auto"/>
                <w:sz w:val="21"/>
                <w:szCs w:val="21"/>
                <w:highlight w:val="none"/>
              </w:rPr>
              <w:t>召开进点会、审计</w:t>
            </w:r>
            <w:r>
              <w:rPr>
                <w:rFonts w:hint="eastAsia" w:ascii="宋体" w:hAnsi="宋体" w:eastAsia="宋体"/>
                <w:bCs/>
                <w:color w:val="auto"/>
                <w:sz w:val="21"/>
                <w:szCs w:val="21"/>
                <w:highlight w:val="none"/>
                <w:lang w:eastAsia="zh-CN"/>
              </w:rPr>
              <w:t>访</w:t>
            </w:r>
            <w:r>
              <w:rPr>
                <w:rFonts w:hint="eastAsia" w:ascii="宋体" w:hAnsi="宋体" w:eastAsia="宋体"/>
                <w:bCs/>
                <w:color w:val="auto"/>
                <w:sz w:val="21"/>
                <w:szCs w:val="21"/>
                <w:highlight w:val="none"/>
              </w:rPr>
              <w:t>谈、听取</w:t>
            </w:r>
            <w:r>
              <w:rPr>
                <w:rFonts w:hint="eastAsia" w:ascii="宋体" w:hAnsi="宋体" w:eastAsia="宋体"/>
                <w:bCs/>
                <w:color w:val="auto"/>
                <w:sz w:val="21"/>
                <w:szCs w:val="21"/>
                <w:highlight w:val="none"/>
                <w:lang w:eastAsia="zh-CN"/>
              </w:rPr>
              <w:t>被审计</w:t>
            </w:r>
            <w:r>
              <w:rPr>
                <w:rFonts w:hint="eastAsia" w:ascii="宋体" w:hAnsi="宋体" w:eastAsia="宋体"/>
                <w:color w:val="auto"/>
                <w:sz w:val="21"/>
                <w:highlight w:val="none"/>
                <w:u w:val="none"/>
                <w:lang w:eastAsia="zh-CN"/>
              </w:rPr>
              <w:t>人</w:t>
            </w:r>
            <w:r>
              <w:rPr>
                <w:rFonts w:hint="eastAsia" w:ascii="宋体" w:hAnsi="宋体" w:eastAsia="宋体"/>
                <w:bCs/>
                <w:color w:val="auto"/>
                <w:sz w:val="21"/>
                <w:szCs w:val="21"/>
                <w:highlight w:val="none"/>
              </w:rPr>
              <w:t>履行</w:t>
            </w:r>
            <w:r>
              <w:rPr>
                <w:rFonts w:hint="eastAsia" w:ascii="宋体" w:hAnsi="宋体" w:eastAsia="宋体"/>
                <w:color w:val="auto"/>
                <w:sz w:val="21"/>
                <w:highlight w:val="none"/>
                <w:lang w:eastAsia="zh-CN"/>
              </w:rPr>
              <w:t>经济责任</w:t>
            </w:r>
            <w:r>
              <w:rPr>
                <w:rFonts w:hint="eastAsia" w:ascii="宋体" w:hAnsi="宋体" w:eastAsia="宋体"/>
                <w:color w:val="auto"/>
                <w:sz w:val="21"/>
                <w:highlight w:val="none"/>
                <w:u w:val="none"/>
                <w:lang w:eastAsia="zh-CN"/>
              </w:rPr>
              <w:t>的</w:t>
            </w:r>
            <w:r>
              <w:rPr>
                <w:rFonts w:hint="eastAsia" w:ascii="宋体" w:hAnsi="宋体" w:eastAsia="宋体"/>
                <w:bCs/>
                <w:color w:val="auto"/>
                <w:sz w:val="21"/>
                <w:szCs w:val="21"/>
                <w:highlight w:val="none"/>
                <w:lang w:eastAsia="zh-CN"/>
              </w:rPr>
              <w:t>情况</w:t>
            </w:r>
            <w:r>
              <w:rPr>
                <w:rFonts w:hint="eastAsia" w:ascii="宋体" w:hAnsi="宋体" w:eastAsia="宋体"/>
                <w:color w:val="auto"/>
                <w:sz w:val="21"/>
                <w:highlight w:val="none"/>
              </w:rPr>
              <w:t>报告</w:t>
            </w:r>
            <w:r>
              <w:rPr>
                <w:rFonts w:hint="eastAsia" w:ascii="宋体" w:hAnsi="宋体" w:eastAsia="宋体"/>
                <w:color w:val="auto"/>
                <w:sz w:val="21"/>
                <w:highlight w:val="none"/>
                <w:u w:val="none"/>
              </w:rPr>
              <w:t>、审核被审计单位提交的经济业务和财务会计资料</w:t>
            </w:r>
            <w:r>
              <w:rPr>
                <w:rFonts w:hint="eastAsia" w:ascii="宋体" w:hAnsi="宋体" w:eastAsia="宋体"/>
                <w:bCs/>
                <w:color w:val="auto"/>
                <w:sz w:val="21"/>
                <w:szCs w:val="21"/>
                <w:highlight w:val="none"/>
              </w:rPr>
              <w:t>等方式</w:t>
            </w:r>
            <w:r>
              <w:rPr>
                <w:rFonts w:hint="eastAsia" w:ascii="宋体" w:hAnsi="宋体" w:eastAsia="宋体"/>
                <w:color w:val="auto"/>
                <w:sz w:val="21"/>
                <w:highlight w:val="none"/>
              </w:rPr>
              <w:t>实施</w:t>
            </w:r>
            <w:r>
              <w:rPr>
                <w:rFonts w:hint="eastAsia" w:ascii="宋体" w:hAnsi="宋体" w:eastAsia="宋体"/>
                <w:color w:val="auto"/>
                <w:sz w:val="21"/>
                <w:szCs w:val="21"/>
                <w:highlight w:val="none"/>
              </w:rPr>
              <w:t>审计活动，</w:t>
            </w:r>
            <w:r>
              <w:rPr>
                <w:rFonts w:hint="eastAsia" w:ascii="宋体" w:hAnsi="宋体" w:eastAsia="宋体"/>
                <w:color w:val="auto"/>
                <w:sz w:val="21"/>
                <w:highlight w:val="none"/>
                <w:u w:val="none"/>
              </w:rPr>
              <w:t>按规定编报经济责任审计报告</w:t>
            </w:r>
            <w:r>
              <w:rPr>
                <w:rFonts w:hint="eastAsia" w:ascii="宋体" w:hAnsi="宋体" w:eastAsia="宋体"/>
                <w:color w:val="auto"/>
                <w:sz w:val="21"/>
                <w:szCs w:val="21"/>
                <w:highlight w:val="none"/>
                <w:lang w:eastAsia="zh-CN"/>
              </w:rPr>
              <w:t>。</w:t>
            </w:r>
          </w:p>
          <w:p w14:paraId="2FFE2B20">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textAlignment w:val="auto"/>
              <w:rPr>
                <w:rFonts w:hint="eastAsia" w:ascii="宋体" w:hAnsi="宋体" w:eastAsia="宋体"/>
                <w:b w:val="0"/>
                <w:bCs/>
                <w:color w:val="auto"/>
                <w:sz w:val="21"/>
                <w:szCs w:val="21"/>
                <w:highlight w:val="none"/>
              </w:rPr>
            </w:pPr>
            <w:r>
              <w:rPr>
                <w:rFonts w:hint="eastAsia" w:ascii="宋体" w:hAnsi="宋体" w:eastAsia="宋体"/>
                <w:b w:val="0"/>
                <w:bCs/>
                <w:color w:val="auto"/>
                <w:sz w:val="21"/>
                <w:highlight w:val="none"/>
                <w:lang w:eastAsia="zh-CN"/>
              </w:rPr>
              <w:t>三、</w:t>
            </w:r>
            <w:r>
              <w:rPr>
                <w:rFonts w:hint="eastAsia" w:ascii="宋体" w:hAnsi="宋体" w:eastAsia="宋体"/>
                <w:b w:val="0"/>
                <w:bCs/>
                <w:color w:val="auto"/>
                <w:sz w:val="21"/>
                <w:highlight w:val="none"/>
              </w:rPr>
              <w:t>审计内容</w:t>
            </w:r>
          </w:p>
          <w:p w14:paraId="0E3C17B0">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lang w:val="en-US" w:eastAsia="zh-CN"/>
              </w:rPr>
              <w:t>（一）</w:t>
            </w:r>
            <w:r>
              <w:rPr>
                <w:rFonts w:hint="eastAsia" w:ascii="宋体" w:hAnsi="宋体" w:eastAsia="宋体"/>
                <w:bCs/>
                <w:color w:val="auto"/>
                <w:sz w:val="21"/>
                <w:szCs w:val="21"/>
                <w:highlight w:val="none"/>
              </w:rPr>
              <w:t>贯彻执行党和国家</w:t>
            </w:r>
            <w:r>
              <w:rPr>
                <w:rFonts w:hint="eastAsia" w:ascii="宋体" w:hAnsi="宋体"/>
                <w:bCs/>
                <w:color w:val="auto"/>
                <w:sz w:val="21"/>
                <w:szCs w:val="21"/>
                <w:highlight w:val="none"/>
                <w:lang w:eastAsia="zh-CN"/>
              </w:rPr>
              <w:t>、自治区</w:t>
            </w:r>
            <w:r>
              <w:rPr>
                <w:rFonts w:hint="eastAsia" w:ascii="宋体" w:hAnsi="宋体" w:eastAsia="宋体"/>
                <w:bCs/>
                <w:color w:val="auto"/>
                <w:sz w:val="21"/>
                <w:szCs w:val="21"/>
                <w:highlight w:val="none"/>
              </w:rPr>
              <w:t>经济方针政策、决策部署情况</w:t>
            </w:r>
            <w:r>
              <w:rPr>
                <w:rFonts w:hint="eastAsia" w:ascii="宋体" w:hAnsi="宋体" w:eastAsia="宋体"/>
                <w:bCs/>
                <w:color w:val="auto"/>
                <w:sz w:val="21"/>
                <w:szCs w:val="21"/>
                <w:highlight w:val="none"/>
                <w:lang w:eastAsia="zh-CN"/>
              </w:rPr>
              <w:t>。</w:t>
            </w:r>
            <w:r>
              <w:rPr>
                <w:rFonts w:hint="eastAsia" w:ascii="宋体" w:hAnsi="宋体" w:eastAsia="宋体"/>
                <w:bCs/>
                <w:color w:val="auto"/>
                <w:sz w:val="21"/>
                <w:szCs w:val="21"/>
                <w:highlight w:val="none"/>
              </w:rPr>
              <w:t>关注推动高质量发展情况</w:t>
            </w:r>
            <w:r>
              <w:rPr>
                <w:rFonts w:hint="eastAsia" w:ascii="宋体" w:hAnsi="宋体" w:eastAsia="宋体"/>
                <w:bCs/>
                <w:color w:val="auto"/>
                <w:sz w:val="21"/>
                <w:szCs w:val="21"/>
                <w:highlight w:val="none"/>
                <w:lang w:eastAsia="zh-CN"/>
              </w:rPr>
              <w:t>和</w:t>
            </w:r>
            <w:r>
              <w:rPr>
                <w:rFonts w:hint="eastAsia" w:ascii="宋体" w:hAnsi="宋体" w:eastAsia="宋体"/>
                <w:bCs/>
                <w:color w:val="auto"/>
                <w:sz w:val="21"/>
                <w:szCs w:val="21"/>
                <w:highlight w:val="none"/>
              </w:rPr>
              <w:t>目标责任制完成情况。</w:t>
            </w:r>
          </w:p>
          <w:p w14:paraId="7C4E6B2D">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地方政府隐性债务方面。（1）新增隐性债务方面。重点关注各市、县政府及其部门直接新增隐性债务，以及通过融资平台公司、国有企事业单位等各市、县政府及其部门之外的主体融资或垫资，承诺以政府未来财政收入作为还款来源等方式实施土地一级开发和公益性项目等新增隐性债务问题。重点检查交通工程建设项目等。（2）化债不实方面。重点关注“借新还旧”作化债处理，以虚假盘活资金资产等方式化解隐性债务，以虚假的企业经营收入化解隐性债务，债务单位未向债权人偿还债务但作化债处理，债务单位在未履行必要程序的情况下核销隐性债务并作化债处理等问题。（3）隐性债务置换政策落实不规范方面。重点关注用于置换隐性债务的再融资专项债券是否及时拨付和置换；是否存在套取骗取；是否用于偿还2023年末存量隐性债务外的其他债务；是否实行专户管理、专账核算、封闭运行，做到公平公正、规范操作；是否存在用于经常性支出和新上项目、铺新摊子等问题。</w:t>
            </w:r>
          </w:p>
          <w:p w14:paraId="372D804D">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bCs/>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.“两重”资金使用管理</w:t>
            </w:r>
            <w:r>
              <w:rPr>
                <w:rFonts w:hint="eastAsia" w:ascii="宋体" w:hAnsi="宋体" w:cs="宋体"/>
                <w:color w:val="auto"/>
                <w:sz w:val="21"/>
                <w:szCs w:val="21"/>
                <w:highlight w:val="none"/>
                <w:lang w:eastAsia="zh-CN"/>
              </w:rPr>
              <w:t>方面</w:t>
            </w:r>
            <w:r>
              <w:rPr>
                <w:rFonts w:hint="eastAsia" w:ascii="宋体" w:hAnsi="宋体" w:eastAsia="宋体" w:cs="宋体"/>
                <w:color w:val="auto"/>
                <w:sz w:val="21"/>
                <w:szCs w:val="21"/>
                <w:highlight w:val="none"/>
              </w:rPr>
              <w:t>。聚焦2025年新建、在建以及完工项目，重点关注国家重大战略实施和重点领域安全能力建设（以下简称“两重”）资金是否及时分配下达资金；是否存在“以拨代支”、超进度拨款等违规拨付行为；是否虚高申报总投资套取中央资金；资金拨付是否严格履行相关审批程序和手续；是否存在项目实施进度缓慢，导致“钱等项目”等问题；是否存在拖欠工程款问题；是否超范围使用资金或用于与项目无关的其他支出；是否截留、挤占、挪用资金等。</w:t>
            </w:r>
            <w:r>
              <w:rPr>
                <w:rFonts w:hint="eastAsia" w:ascii="宋体" w:hAnsi="宋体" w:cs="宋体"/>
                <w:color w:val="auto"/>
                <w:sz w:val="21"/>
                <w:szCs w:val="21"/>
                <w:highlight w:val="none"/>
                <w:lang w:eastAsia="zh-CN"/>
              </w:rPr>
              <w:t>如发现</w:t>
            </w:r>
            <w:r>
              <w:rPr>
                <w:rFonts w:hint="eastAsia" w:ascii="宋体" w:hAnsi="宋体" w:eastAsia="宋体" w:cs="宋体"/>
                <w:color w:val="auto"/>
                <w:sz w:val="21"/>
                <w:szCs w:val="21"/>
                <w:highlight w:val="none"/>
              </w:rPr>
              <w:t>不符合“两重”政策支持方向，以“两重”名义违规兴建楼堂馆所、搞“形象工程”“政绩工程”等违规违纪行为</w:t>
            </w:r>
            <w:r>
              <w:rPr>
                <w:rFonts w:hint="eastAsia" w:ascii="宋体" w:hAnsi="宋体" w:cs="宋体"/>
                <w:color w:val="auto"/>
                <w:sz w:val="21"/>
                <w:szCs w:val="21"/>
                <w:highlight w:val="none"/>
                <w:lang w:eastAsia="zh-CN"/>
              </w:rPr>
              <w:t>，将及时移送相关部门处理。</w:t>
            </w:r>
          </w:p>
          <w:p w14:paraId="187D4CF1">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textAlignment w:val="auto"/>
              <w:rPr>
                <w:rFonts w:hint="eastAsia" w:ascii="宋体" w:hAnsi="宋体" w:eastAsia="宋体"/>
                <w:bCs/>
                <w:color w:val="auto"/>
                <w:sz w:val="21"/>
                <w:szCs w:val="21"/>
                <w:highlight w:val="none"/>
                <w:lang w:val="en-US" w:eastAsia="zh-CN"/>
              </w:rPr>
            </w:pPr>
            <w:r>
              <w:rPr>
                <w:rFonts w:hint="eastAsia" w:ascii="宋体" w:hAnsi="宋体"/>
                <w:bCs/>
                <w:color w:val="auto"/>
                <w:sz w:val="21"/>
                <w:szCs w:val="21"/>
                <w:highlight w:val="none"/>
                <w:lang w:val="en-US" w:eastAsia="zh-CN"/>
              </w:rPr>
              <w:t>3.</w:t>
            </w:r>
            <w:r>
              <w:rPr>
                <w:rFonts w:hint="eastAsia" w:ascii="宋体" w:hAnsi="宋体" w:eastAsia="宋体"/>
                <w:bCs/>
                <w:color w:val="auto"/>
                <w:sz w:val="21"/>
                <w:szCs w:val="21"/>
                <w:highlight w:val="none"/>
                <w:lang w:val="en-US" w:eastAsia="zh-CN"/>
              </w:rPr>
              <w:t>国有“三资”盘活、落实过“紧日子”要求及财源建设等领域突出问题整治</w:t>
            </w:r>
            <w:r>
              <w:rPr>
                <w:rFonts w:hint="eastAsia" w:ascii="宋体" w:hAnsi="宋体"/>
                <w:bCs/>
                <w:color w:val="auto"/>
                <w:sz w:val="21"/>
                <w:szCs w:val="21"/>
                <w:highlight w:val="none"/>
                <w:lang w:val="en-US" w:eastAsia="zh-CN"/>
              </w:rPr>
              <w:t>方面。</w:t>
            </w:r>
            <w:r>
              <w:rPr>
                <w:rFonts w:hint="eastAsia" w:ascii="宋体" w:hAnsi="宋体" w:eastAsia="宋体"/>
                <w:bCs/>
                <w:color w:val="auto"/>
                <w:sz w:val="21"/>
                <w:szCs w:val="21"/>
                <w:highlight w:val="none"/>
                <w:lang w:val="en-US" w:eastAsia="zh-CN"/>
              </w:rPr>
              <w:t>重点关注财政资金闲置浪费、违规举债开展项目建设造成资产长期闲置等突出问题，以及超范围列支、违规拨付转移支付资金等典型问题。</w:t>
            </w:r>
          </w:p>
          <w:p w14:paraId="66C84E9D">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lang w:val="en-US" w:eastAsia="zh-CN"/>
              </w:rPr>
              <w:t>（二）</w:t>
            </w:r>
            <w:r>
              <w:rPr>
                <w:rFonts w:hint="eastAsia" w:ascii="宋体" w:hAnsi="宋体" w:eastAsia="宋体"/>
                <w:bCs/>
                <w:color w:val="auto"/>
                <w:sz w:val="21"/>
                <w:szCs w:val="21"/>
                <w:highlight w:val="none"/>
              </w:rPr>
              <w:t>本单位重要发展规划和政策措施的制定、执行和效果情况</w:t>
            </w:r>
          </w:p>
          <w:p w14:paraId="40931142">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textAlignment w:val="auto"/>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lang w:val="en-US" w:eastAsia="zh-CN"/>
              </w:rPr>
              <w:t>（三）</w:t>
            </w:r>
            <w:r>
              <w:rPr>
                <w:rFonts w:hint="eastAsia" w:ascii="宋体" w:hAnsi="宋体" w:eastAsia="宋体"/>
                <w:bCs/>
                <w:color w:val="auto"/>
                <w:sz w:val="21"/>
                <w:szCs w:val="21"/>
                <w:highlight w:val="none"/>
              </w:rPr>
              <w:t>重大经济事项的决策、执行和效果情况</w:t>
            </w:r>
            <w:r>
              <w:rPr>
                <w:rFonts w:hint="eastAsia" w:ascii="宋体" w:hAnsi="宋体" w:eastAsia="宋体"/>
                <w:bCs/>
                <w:color w:val="auto"/>
                <w:sz w:val="21"/>
                <w:szCs w:val="21"/>
                <w:highlight w:val="none"/>
                <w:lang w:eastAsia="zh-CN"/>
              </w:rPr>
              <w:t>。</w:t>
            </w:r>
            <w:r>
              <w:rPr>
                <w:rFonts w:hint="eastAsia" w:ascii="宋体" w:hAnsi="宋体" w:eastAsia="宋体"/>
                <w:color w:val="auto"/>
                <w:sz w:val="21"/>
                <w:highlight w:val="none"/>
              </w:rPr>
              <w:t>关注被审计领导干部是否采取措施建立健全工作规则、议事规则、决定（任务）下达</w:t>
            </w:r>
            <w:r>
              <w:rPr>
                <w:rFonts w:hint="eastAsia" w:ascii="宋体" w:hAnsi="宋体" w:eastAsia="宋体"/>
                <w:color w:val="auto"/>
                <w:sz w:val="21"/>
                <w:highlight w:val="none"/>
                <w:u w:val="none"/>
              </w:rPr>
              <w:t>和</w:t>
            </w:r>
            <w:r>
              <w:rPr>
                <w:rFonts w:hint="eastAsia" w:ascii="宋体" w:hAnsi="宋体" w:eastAsia="宋体"/>
                <w:bCs/>
                <w:color w:val="auto"/>
                <w:sz w:val="21"/>
                <w:szCs w:val="21"/>
                <w:highlight w:val="none"/>
              </w:rPr>
              <w:t>完成报告等经济决策管理制度，是否将预算管理、基本建设、大额资产采购、大额资产处置、大额资金使用等重大经济事项纳入决策范围</w:t>
            </w:r>
            <w:r>
              <w:rPr>
                <w:rFonts w:hint="eastAsia" w:ascii="宋体" w:hAnsi="宋体" w:eastAsia="宋体"/>
                <w:bCs/>
                <w:color w:val="auto"/>
                <w:sz w:val="21"/>
                <w:szCs w:val="21"/>
                <w:highlight w:val="none"/>
                <w:lang w:eastAsia="zh-CN"/>
              </w:rPr>
              <w:t>；</w:t>
            </w:r>
            <w:r>
              <w:rPr>
                <w:rFonts w:hint="eastAsia" w:ascii="宋体" w:hAnsi="宋体" w:eastAsia="宋体"/>
                <w:color w:val="auto"/>
                <w:sz w:val="21"/>
                <w:highlight w:val="none"/>
              </w:rPr>
              <w:t>关注被审计领导干部任职期间</w:t>
            </w:r>
            <w:r>
              <w:rPr>
                <w:rFonts w:hint="eastAsia" w:ascii="宋体" w:hAnsi="宋体" w:eastAsia="宋体"/>
                <w:color w:val="auto"/>
                <w:sz w:val="21"/>
                <w:highlight w:val="none"/>
                <w:u w:val="none"/>
              </w:rPr>
              <w:t>的</w:t>
            </w:r>
            <w:r>
              <w:rPr>
                <w:rFonts w:hint="eastAsia" w:ascii="宋体" w:hAnsi="宋体" w:eastAsia="宋体"/>
                <w:bCs/>
                <w:color w:val="auto"/>
                <w:sz w:val="21"/>
                <w:szCs w:val="21"/>
                <w:highlight w:val="none"/>
              </w:rPr>
              <w:t>重大经济决策程序是否合法合规</w:t>
            </w:r>
            <w:r>
              <w:rPr>
                <w:rFonts w:hint="eastAsia" w:ascii="宋体" w:hAnsi="宋体" w:eastAsia="宋体"/>
                <w:bCs/>
                <w:color w:val="auto"/>
                <w:sz w:val="21"/>
                <w:szCs w:val="21"/>
                <w:highlight w:val="none"/>
                <w:lang w:eastAsia="zh-CN"/>
              </w:rPr>
              <w:t>；</w:t>
            </w:r>
            <w:r>
              <w:rPr>
                <w:rFonts w:hint="eastAsia" w:ascii="宋体" w:hAnsi="宋体" w:eastAsia="宋体"/>
                <w:bCs/>
                <w:color w:val="auto"/>
                <w:sz w:val="21"/>
                <w:szCs w:val="21"/>
                <w:highlight w:val="none"/>
              </w:rPr>
              <w:t>关注重大经济决策事项执行的及时性，有关监督和保障措施的有效性，决策实施内容调整的合规性</w:t>
            </w:r>
            <w:r>
              <w:rPr>
                <w:rFonts w:hint="eastAsia" w:ascii="宋体" w:hAnsi="宋体" w:eastAsia="宋体"/>
                <w:bCs/>
                <w:color w:val="auto"/>
                <w:sz w:val="21"/>
                <w:szCs w:val="21"/>
                <w:highlight w:val="none"/>
                <w:lang w:eastAsia="zh-CN"/>
              </w:rPr>
              <w:t>；</w:t>
            </w:r>
            <w:r>
              <w:rPr>
                <w:rFonts w:hint="eastAsia" w:ascii="宋体" w:hAnsi="宋体" w:eastAsia="宋体"/>
                <w:bCs/>
                <w:color w:val="auto"/>
                <w:sz w:val="21"/>
                <w:szCs w:val="21"/>
                <w:highlight w:val="none"/>
              </w:rPr>
              <w:t>关注是否实行内部审计制度，是否依法履行审计监督情况，检查内部审计领导体制、机构和人员设置是否符合规定。</w:t>
            </w:r>
          </w:p>
          <w:p w14:paraId="3372D1EF">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textAlignment w:val="auto"/>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lang w:val="en-US" w:eastAsia="zh-CN"/>
              </w:rPr>
              <w:t>（四）</w:t>
            </w:r>
            <w:r>
              <w:rPr>
                <w:rFonts w:hint="eastAsia" w:ascii="宋体" w:hAnsi="宋体" w:eastAsia="宋体"/>
                <w:bCs/>
                <w:color w:val="auto"/>
                <w:sz w:val="21"/>
                <w:szCs w:val="21"/>
                <w:highlight w:val="none"/>
              </w:rPr>
              <w:t>财政财务管理和经济风险防范情况，建设项目、资金等管理使用和效益情况，以及在预算管理中执行机构编制管理规定情况</w:t>
            </w:r>
            <w:r>
              <w:rPr>
                <w:rFonts w:hint="eastAsia" w:ascii="宋体" w:hAnsi="宋体" w:eastAsia="宋体"/>
                <w:bCs/>
                <w:color w:val="auto"/>
                <w:sz w:val="21"/>
                <w:szCs w:val="21"/>
                <w:highlight w:val="none"/>
                <w:lang w:eastAsia="zh-CN"/>
              </w:rPr>
              <w:t>。</w:t>
            </w:r>
            <w:r>
              <w:rPr>
                <w:rFonts w:hint="eastAsia" w:ascii="宋体" w:hAnsi="宋体" w:eastAsia="宋体"/>
                <w:bCs/>
                <w:color w:val="auto"/>
                <w:sz w:val="21"/>
                <w:szCs w:val="21"/>
                <w:highlight w:val="none"/>
              </w:rPr>
              <w:t>关注被审计领导干部在任职期间部门的财政财务管理情况</w:t>
            </w:r>
            <w:r>
              <w:rPr>
                <w:rFonts w:hint="eastAsia" w:ascii="宋体" w:hAnsi="宋体" w:eastAsia="宋体"/>
                <w:bCs/>
                <w:color w:val="auto"/>
                <w:sz w:val="21"/>
                <w:szCs w:val="21"/>
                <w:highlight w:val="none"/>
                <w:lang w:eastAsia="zh-CN"/>
              </w:rPr>
              <w:t>；</w:t>
            </w:r>
            <w:r>
              <w:rPr>
                <w:rFonts w:hint="eastAsia" w:ascii="宋体" w:hAnsi="宋体" w:eastAsia="宋体"/>
                <w:color w:val="auto"/>
                <w:sz w:val="21"/>
                <w:highlight w:val="none"/>
              </w:rPr>
              <w:t>关注被审计领导干部在</w:t>
            </w:r>
            <w:r>
              <w:rPr>
                <w:rFonts w:hint="eastAsia" w:ascii="宋体" w:hAnsi="宋体" w:eastAsia="宋体"/>
                <w:color w:val="auto"/>
                <w:sz w:val="21"/>
                <w:highlight w:val="none"/>
                <w:u w:val="none"/>
              </w:rPr>
              <w:t>其</w:t>
            </w:r>
            <w:r>
              <w:rPr>
                <w:rFonts w:hint="eastAsia" w:ascii="宋体" w:hAnsi="宋体" w:eastAsia="宋体"/>
                <w:bCs/>
                <w:color w:val="auto"/>
                <w:sz w:val="21"/>
                <w:szCs w:val="21"/>
                <w:highlight w:val="none"/>
              </w:rPr>
              <w:t>任职单位的经济风险防范、生态文明建设等工作中的作为及其对相关工作效益的影响</w:t>
            </w:r>
            <w:r>
              <w:rPr>
                <w:rFonts w:hint="eastAsia" w:ascii="宋体" w:hAnsi="宋体" w:eastAsia="宋体"/>
                <w:bCs/>
                <w:color w:val="auto"/>
                <w:sz w:val="21"/>
                <w:szCs w:val="21"/>
                <w:highlight w:val="none"/>
                <w:lang w:eastAsia="zh-CN"/>
              </w:rPr>
              <w:t>；</w:t>
            </w:r>
            <w:r>
              <w:rPr>
                <w:rFonts w:hint="eastAsia" w:ascii="宋体" w:hAnsi="宋体" w:eastAsia="宋体"/>
                <w:color w:val="auto"/>
                <w:sz w:val="21"/>
                <w:highlight w:val="none"/>
              </w:rPr>
              <w:t>关注被审计领导干部在预算管理中执行机构编制管理规定</w:t>
            </w:r>
            <w:r>
              <w:rPr>
                <w:rFonts w:hint="eastAsia" w:ascii="宋体" w:hAnsi="宋体" w:eastAsia="宋体"/>
                <w:color w:val="auto"/>
                <w:sz w:val="21"/>
                <w:highlight w:val="none"/>
                <w:u w:val="none"/>
              </w:rPr>
              <w:t>的</w:t>
            </w:r>
            <w:r>
              <w:rPr>
                <w:rFonts w:hint="eastAsia" w:ascii="宋体" w:hAnsi="宋体" w:eastAsia="宋体"/>
                <w:bCs/>
                <w:color w:val="auto"/>
                <w:sz w:val="21"/>
                <w:szCs w:val="21"/>
                <w:highlight w:val="none"/>
              </w:rPr>
              <w:t>情况。</w:t>
            </w:r>
          </w:p>
          <w:p w14:paraId="7C3731A3">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预算编制方面。重点关注是否严格落实零基预算改革要求；部门预算编制不完整，结转结余资金管理不规范；虚报冒领人员经费、公用经费、项目经费；预算决策程序不符合规定；未按要求编制项目绩效目标等问题。</w:t>
            </w:r>
          </w:p>
          <w:p w14:paraId="08879655">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预算执行方面。重点关注年底突击花钱，超进度支付款项，</w:t>
            </w:r>
          </w:p>
          <w:p w14:paraId="7A917BA5">
            <w:pPr>
              <w:keepNext w:val="0"/>
              <w:keepLines w:val="0"/>
              <w:pageBreakBefore w:val="0"/>
              <w:widowControl w:val="0"/>
              <w:kinsoku/>
              <w:wordWrap w:val="0"/>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擅自扩大开支范围和标准违反规定自设新设、超范围超标准发放工资津贴补贴等；通过虚假合同、虚假票据等方式虚列支出；“三公”经费、会议费、培训费等支出管控不严，支出不规范；预算调剂不规范等问题。</w:t>
            </w:r>
          </w:p>
          <w:p w14:paraId="31214C64">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预算绩效管理方面。重点关注绩效目标设定与项目实际脱节，或虚设、降低绩效目标值；绩效运行监控流于形式，未及时发现和纠正项目执行偏差；绩效评价走过场、自评不实，未按规定开展绩效评价或评价结果失真，甚至虚报绩效目标完成情况；未按规定落实绩效评价发现问题整改或虚假整改；是否将评估评价结果与预算安排挂钩。</w:t>
            </w:r>
          </w:p>
          <w:p w14:paraId="768F7D68">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资金管理方面。重点关注违规从零余额账户向实有资金账户划拨资金；未按规定将存量资金收回统筹安排；银行账户管理不规范；挤占、挪用、违规对外出借资金；私设“小金库”，未按规定处置罚没财物和重点领域违规收费等问题。</w:t>
            </w:r>
          </w:p>
          <w:p w14:paraId="3F215669">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资产管理方面。重点关注未按规定建立内控制度，账账、账实、账卡不符，以及资产信息未按规定登记等行政事业单位国有资产基础管理问题；资产权属不清、未采取措施办理产权登记；超标准、超预算配置资产；资产长期闲置未及时采取措施盘活；资产清查盘点工作开展不力，闲置、低效运转、超标准配置等资产未纳入政府公物仓，不接受使用调剂资产造成资源浪费；资产出租、出借、对外投资、处置等管理不规范，未按规定履行审批</w:t>
            </w:r>
          </w:p>
          <w:p w14:paraId="4684DC2C">
            <w:pPr>
              <w:keepNext w:val="0"/>
              <w:keepLines w:val="0"/>
              <w:pageBreakBefore w:val="0"/>
              <w:widowControl w:val="0"/>
              <w:kinsoku/>
              <w:wordWrap w:val="0"/>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程序；资产使用、处置收益未按规定及时上交财政等问题。</w:t>
            </w:r>
          </w:p>
          <w:p w14:paraId="7424D8CC">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textAlignment w:val="auto"/>
              <w:rPr>
                <w:rFonts w:hint="eastAsia" w:ascii="宋体" w:hAnsi="宋体" w:eastAsia="宋体"/>
                <w:color w:val="auto"/>
                <w:sz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政府采购方面。重点关注采购信息是否依法公开；采购项目是否存在无预算或超预算采购；采购文件是否设置差别歧视条款；采购程序是否按法律法规实施；合同签订是否规范、是否按合同规定验收和支付资金等问题。</w:t>
            </w:r>
          </w:p>
          <w:p w14:paraId="05E9A35F">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bCs/>
                <w:color w:val="auto"/>
                <w:sz w:val="21"/>
                <w:szCs w:val="21"/>
                <w:highlight w:val="none"/>
              </w:rPr>
            </w:pPr>
            <w:r>
              <w:rPr>
                <w:rFonts w:hint="eastAsia" w:ascii="宋体" w:hAnsi="宋体" w:eastAsia="宋体"/>
                <w:color w:val="auto"/>
                <w:sz w:val="21"/>
                <w:highlight w:val="none"/>
                <w:lang w:eastAsia="zh-CN"/>
              </w:rPr>
              <w:t>（五）</w:t>
            </w:r>
            <w:r>
              <w:rPr>
                <w:rFonts w:hint="eastAsia" w:ascii="宋体" w:hAnsi="宋体" w:eastAsia="宋体"/>
                <w:color w:val="auto"/>
                <w:sz w:val="21"/>
                <w:highlight w:val="none"/>
              </w:rPr>
              <w:t>在经济活动中落实有关党风廉政建设责任和遵守廉洁从政规定</w:t>
            </w:r>
            <w:r>
              <w:rPr>
                <w:rFonts w:hint="eastAsia" w:ascii="宋体" w:hAnsi="宋体" w:eastAsia="宋体"/>
                <w:color w:val="auto"/>
                <w:sz w:val="21"/>
                <w:highlight w:val="none"/>
                <w:u w:val="none"/>
              </w:rPr>
              <w:t>的</w:t>
            </w:r>
            <w:r>
              <w:rPr>
                <w:rFonts w:hint="eastAsia" w:ascii="宋体" w:hAnsi="宋体" w:eastAsia="宋体"/>
                <w:bCs/>
                <w:color w:val="auto"/>
                <w:sz w:val="21"/>
                <w:szCs w:val="21"/>
                <w:highlight w:val="none"/>
              </w:rPr>
              <w:t>情况</w:t>
            </w:r>
            <w:r>
              <w:rPr>
                <w:rFonts w:hint="eastAsia" w:ascii="宋体" w:hAnsi="宋体" w:eastAsia="宋体"/>
                <w:bCs/>
                <w:color w:val="auto"/>
                <w:sz w:val="21"/>
                <w:szCs w:val="21"/>
                <w:highlight w:val="none"/>
                <w:lang w:eastAsia="zh-CN"/>
              </w:rPr>
              <w:t>。</w:t>
            </w:r>
            <w:r>
              <w:rPr>
                <w:rFonts w:hint="eastAsia" w:ascii="宋体" w:hAnsi="宋体" w:eastAsia="宋体"/>
                <w:bCs/>
                <w:color w:val="auto"/>
                <w:sz w:val="21"/>
                <w:szCs w:val="21"/>
                <w:highlight w:val="none"/>
              </w:rPr>
              <w:t>关注被审计领导干部建立健全有关党风廉政制度及其执行的情况，关注和揭示被审计单位在政策落实、资金使用等方面存在的“四风”问题</w:t>
            </w:r>
            <w:r>
              <w:rPr>
                <w:rFonts w:hint="eastAsia" w:ascii="宋体" w:hAnsi="宋体" w:eastAsia="宋体"/>
                <w:bCs/>
                <w:color w:val="auto"/>
                <w:sz w:val="21"/>
                <w:szCs w:val="21"/>
                <w:highlight w:val="none"/>
                <w:lang w:eastAsia="zh-CN"/>
              </w:rPr>
              <w:t>；</w:t>
            </w:r>
            <w:r>
              <w:rPr>
                <w:rFonts w:hint="eastAsia" w:ascii="宋体" w:hAnsi="宋体" w:eastAsia="宋体"/>
                <w:bCs/>
                <w:color w:val="auto"/>
                <w:sz w:val="21"/>
                <w:szCs w:val="21"/>
                <w:highlight w:val="none"/>
              </w:rPr>
              <w:t>关注作为中国共产党党员的被审计领导干部在经济活动中遵守《中国共产党党章》等廉洁从政规定情况。是否履行党风廉政建设第一责任人责任等各项职责</w:t>
            </w:r>
            <w:r>
              <w:rPr>
                <w:rFonts w:hint="eastAsia" w:ascii="宋体" w:hAnsi="宋体" w:eastAsia="宋体"/>
                <w:bCs/>
                <w:color w:val="auto"/>
                <w:sz w:val="21"/>
                <w:szCs w:val="21"/>
                <w:highlight w:val="none"/>
                <w:lang w:eastAsia="zh-CN"/>
              </w:rPr>
              <w:t>；</w:t>
            </w:r>
            <w:r>
              <w:rPr>
                <w:rFonts w:hint="eastAsia" w:ascii="宋体" w:hAnsi="宋体" w:eastAsia="宋体"/>
                <w:color w:val="auto"/>
                <w:sz w:val="21"/>
                <w:highlight w:val="none"/>
              </w:rPr>
              <w:t>关注被审计领导干部贯彻执行《党政机关厉行节约反对浪费条例》《关于进一步规范党政领导干部在企业兼职(任职)问题的意见》、中央八项规定</w:t>
            </w:r>
            <w:r>
              <w:rPr>
                <w:rFonts w:hint="eastAsia" w:ascii="宋体" w:hAnsi="宋体" w:eastAsia="宋体"/>
                <w:color w:val="auto"/>
                <w:sz w:val="21"/>
                <w:highlight w:val="none"/>
                <w:u w:val="none"/>
              </w:rPr>
              <w:t>精神</w:t>
            </w:r>
            <w:r>
              <w:rPr>
                <w:rFonts w:hint="eastAsia" w:ascii="宋体" w:hAnsi="宋体" w:eastAsia="宋体"/>
                <w:color w:val="auto"/>
                <w:sz w:val="21"/>
                <w:highlight w:val="none"/>
              </w:rPr>
              <w:t>和自治区30条贯彻落实意见</w:t>
            </w:r>
            <w:r>
              <w:rPr>
                <w:rFonts w:hint="eastAsia" w:ascii="宋体" w:hAnsi="宋体" w:eastAsia="宋体"/>
                <w:color w:val="auto"/>
                <w:sz w:val="21"/>
                <w:highlight w:val="none"/>
                <w:u w:val="none"/>
              </w:rPr>
              <w:t>等</w:t>
            </w:r>
            <w:r>
              <w:rPr>
                <w:rFonts w:hint="eastAsia" w:ascii="宋体" w:hAnsi="宋体" w:eastAsia="宋体"/>
                <w:bCs/>
                <w:color w:val="auto"/>
                <w:sz w:val="21"/>
                <w:szCs w:val="21"/>
                <w:highlight w:val="none"/>
              </w:rPr>
              <w:t>情况</w:t>
            </w:r>
            <w:r>
              <w:rPr>
                <w:rFonts w:hint="eastAsia" w:ascii="宋体" w:hAnsi="宋体" w:eastAsia="宋体"/>
                <w:bCs/>
                <w:color w:val="auto"/>
                <w:sz w:val="21"/>
                <w:szCs w:val="21"/>
                <w:highlight w:val="none"/>
                <w:lang w:eastAsia="zh-CN"/>
              </w:rPr>
              <w:t>；</w:t>
            </w:r>
            <w:r>
              <w:rPr>
                <w:rFonts w:hint="eastAsia" w:ascii="宋体" w:hAnsi="宋体" w:eastAsia="宋体"/>
                <w:bCs/>
                <w:color w:val="auto"/>
                <w:sz w:val="21"/>
                <w:szCs w:val="21"/>
                <w:highlight w:val="none"/>
              </w:rPr>
              <w:t>核实与被审计领导干部有关的信访和举报等事项。</w:t>
            </w:r>
          </w:p>
          <w:p w14:paraId="75EAF6EB">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lang w:val="en-US" w:eastAsia="zh-CN"/>
              </w:rPr>
              <w:t>（六）</w:t>
            </w:r>
            <w:r>
              <w:rPr>
                <w:rFonts w:hint="eastAsia" w:ascii="宋体" w:hAnsi="宋体" w:eastAsia="宋体"/>
                <w:bCs/>
                <w:color w:val="auto"/>
                <w:sz w:val="21"/>
                <w:szCs w:val="21"/>
                <w:highlight w:val="none"/>
              </w:rPr>
              <w:t>以往审计发现问题的整改情况</w:t>
            </w:r>
            <w:r>
              <w:rPr>
                <w:rFonts w:hint="eastAsia" w:ascii="宋体" w:hAnsi="宋体" w:eastAsia="宋体"/>
                <w:bCs/>
                <w:color w:val="auto"/>
                <w:sz w:val="21"/>
                <w:szCs w:val="21"/>
                <w:highlight w:val="none"/>
                <w:lang w:eastAsia="zh-CN"/>
              </w:rPr>
              <w:t>。</w:t>
            </w:r>
            <w:r>
              <w:rPr>
                <w:rFonts w:hint="eastAsia" w:ascii="宋体" w:hAnsi="宋体" w:eastAsia="宋体"/>
                <w:bCs/>
                <w:color w:val="auto"/>
                <w:sz w:val="21"/>
                <w:szCs w:val="21"/>
                <w:highlight w:val="none"/>
              </w:rPr>
              <w:t>关注被审计领导干部任职期间任职单位所接受的各项审计查出问题的整改情况及其效果。</w:t>
            </w:r>
          </w:p>
          <w:p w14:paraId="01486D3C">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lang w:val="en-US" w:eastAsia="zh-CN"/>
              </w:rPr>
              <w:t>（七）</w:t>
            </w:r>
            <w:r>
              <w:rPr>
                <w:rFonts w:hint="eastAsia" w:ascii="宋体" w:hAnsi="宋体" w:eastAsia="宋体"/>
                <w:bCs/>
                <w:color w:val="auto"/>
                <w:sz w:val="21"/>
                <w:szCs w:val="21"/>
                <w:highlight w:val="none"/>
              </w:rPr>
              <w:t>其他需要审计的内容</w:t>
            </w:r>
            <w:r>
              <w:rPr>
                <w:rFonts w:hint="eastAsia" w:ascii="宋体" w:hAnsi="宋体" w:eastAsia="宋体"/>
                <w:bCs/>
                <w:color w:val="auto"/>
                <w:sz w:val="21"/>
                <w:szCs w:val="21"/>
                <w:highlight w:val="none"/>
                <w:lang w:eastAsia="zh-CN"/>
              </w:rPr>
              <w:t>。</w:t>
            </w:r>
            <w:r>
              <w:rPr>
                <w:rFonts w:hint="eastAsia" w:ascii="宋体" w:hAnsi="宋体" w:eastAsia="宋体"/>
                <w:bCs/>
                <w:color w:val="auto"/>
                <w:sz w:val="21"/>
                <w:szCs w:val="21"/>
                <w:highlight w:val="none"/>
              </w:rPr>
              <w:t>根据被审计单位和被审计领导干部具体情况确定的其他需要审计的事项和内容。</w:t>
            </w:r>
          </w:p>
          <w:p w14:paraId="3E6EE19D">
            <w:pPr>
              <w:keepNext w:val="0"/>
              <w:keepLines w:val="0"/>
              <w:pageBreakBefore w:val="0"/>
              <w:widowControl w:val="0"/>
              <w:numPr>
                <w:ilvl w:val="0"/>
                <w:numId w:val="0"/>
              </w:numPr>
              <w:kinsoku/>
              <w:wordWrap w:val="0"/>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四、工作要求</w:t>
            </w:r>
          </w:p>
          <w:p w14:paraId="47AA40D4">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lang w:val="en-US" w:eastAsia="zh-CN"/>
              </w:rPr>
              <w:t>（一）</w:t>
            </w:r>
            <w:r>
              <w:rPr>
                <w:rFonts w:hint="eastAsia" w:ascii="宋体" w:hAnsi="宋体" w:eastAsia="宋体"/>
                <w:bCs/>
                <w:color w:val="auto"/>
                <w:sz w:val="21"/>
                <w:szCs w:val="21"/>
                <w:highlight w:val="none"/>
              </w:rPr>
              <w:t>加强</w:t>
            </w:r>
            <w:r>
              <w:rPr>
                <w:rFonts w:hint="eastAsia" w:ascii="宋体" w:hAnsi="宋体" w:eastAsia="宋体"/>
                <w:bCs/>
                <w:color w:val="auto"/>
                <w:sz w:val="21"/>
                <w:szCs w:val="21"/>
                <w:highlight w:val="none"/>
                <w:lang w:eastAsia="zh-CN"/>
              </w:rPr>
              <w:t>组织</w:t>
            </w:r>
            <w:r>
              <w:rPr>
                <w:rFonts w:hint="eastAsia" w:ascii="宋体" w:hAnsi="宋体" w:eastAsia="宋体"/>
                <w:bCs/>
                <w:color w:val="auto"/>
                <w:sz w:val="21"/>
                <w:szCs w:val="21"/>
                <w:highlight w:val="none"/>
              </w:rPr>
              <w:t>领导</w:t>
            </w:r>
            <w:r>
              <w:rPr>
                <w:rFonts w:hint="eastAsia" w:ascii="宋体" w:hAnsi="宋体" w:eastAsia="宋体"/>
                <w:bCs/>
                <w:color w:val="auto"/>
                <w:sz w:val="21"/>
                <w:szCs w:val="21"/>
                <w:highlight w:val="none"/>
                <w:lang w:eastAsia="zh-CN"/>
              </w:rPr>
              <w:t>。</w:t>
            </w:r>
            <w:r>
              <w:rPr>
                <w:rFonts w:hint="eastAsia" w:ascii="宋体" w:hAnsi="宋体" w:eastAsia="宋体"/>
                <w:color w:val="auto"/>
                <w:sz w:val="21"/>
                <w:highlight w:val="none"/>
                <w:u w:val="none"/>
                <w:lang w:eastAsia="zh-CN"/>
              </w:rPr>
              <w:t>供应商应统筹安排本项目的审计力量，</w:t>
            </w:r>
            <w:r>
              <w:rPr>
                <w:rFonts w:hint="eastAsia" w:ascii="宋体" w:hAnsi="宋体" w:eastAsia="宋体"/>
                <w:color w:val="auto"/>
                <w:sz w:val="21"/>
                <w:highlight w:val="none"/>
                <w:lang w:eastAsia="zh-CN"/>
              </w:rPr>
              <w:t>派出审计组。</w:t>
            </w:r>
            <w:r>
              <w:rPr>
                <w:rFonts w:hint="eastAsia" w:ascii="宋体" w:hAnsi="宋体" w:eastAsia="宋体"/>
                <w:bCs/>
                <w:color w:val="auto"/>
                <w:sz w:val="21"/>
                <w:szCs w:val="21"/>
                <w:highlight w:val="none"/>
                <w:lang w:eastAsia="zh-CN"/>
              </w:rPr>
              <w:t>健全和落实审计质量控制工作机制和要求，遵守审计回避、廉洁、保密等审计工作纪律，</w:t>
            </w:r>
            <w:r>
              <w:rPr>
                <w:rFonts w:hint="eastAsia" w:ascii="宋体" w:hAnsi="宋体" w:eastAsia="宋体"/>
                <w:bCs/>
                <w:color w:val="auto"/>
                <w:sz w:val="21"/>
                <w:szCs w:val="21"/>
                <w:highlight w:val="none"/>
              </w:rPr>
              <w:t>为圆满完成任务提供有力的组织保障。</w:t>
            </w:r>
          </w:p>
          <w:p w14:paraId="4723C760">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hint="eastAsia" w:ascii="宋体" w:hAnsi="宋体" w:eastAsia="宋体"/>
                <w:color w:val="auto"/>
                <w:sz w:val="21"/>
                <w:highlight w:val="none"/>
                <w:u w:val="none"/>
                <w:lang w:eastAsia="zh-CN"/>
              </w:rPr>
            </w:pPr>
            <w:r>
              <w:rPr>
                <w:rFonts w:hint="eastAsia" w:ascii="宋体" w:hAnsi="宋体" w:eastAsia="宋体"/>
                <w:bCs/>
                <w:color w:val="auto"/>
                <w:sz w:val="21"/>
                <w:szCs w:val="21"/>
                <w:highlight w:val="none"/>
                <w:lang w:val="en-US" w:eastAsia="zh-CN"/>
              </w:rPr>
              <w:t>（二）</w:t>
            </w:r>
            <w:r>
              <w:rPr>
                <w:rFonts w:hint="eastAsia" w:ascii="宋体" w:hAnsi="宋体" w:eastAsia="宋体"/>
                <w:color w:val="auto"/>
                <w:sz w:val="21"/>
                <w:highlight w:val="none"/>
                <w:u w:val="none"/>
                <w:lang w:eastAsia="zh-CN"/>
              </w:rPr>
              <w:t>制定实施方案</w:t>
            </w:r>
            <w:r>
              <w:rPr>
                <w:rFonts w:hint="eastAsia" w:ascii="宋体" w:hAnsi="宋体" w:eastAsia="宋体"/>
                <w:bCs/>
                <w:color w:val="auto"/>
                <w:sz w:val="21"/>
                <w:szCs w:val="21"/>
                <w:highlight w:val="none"/>
                <w:lang w:eastAsia="zh-CN"/>
              </w:rPr>
              <w:t>。供应商</w:t>
            </w:r>
            <w:r>
              <w:rPr>
                <w:rFonts w:hint="eastAsia" w:ascii="宋体" w:hAnsi="宋体" w:eastAsia="宋体"/>
                <w:color w:val="auto"/>
                <w:sz w:val="21"/>
                <w:highlight w:val="none"/>
                <w:u w:val="none"/>
              </w:rPr>
              <w:t>及</w:t>
            </w:r>
            <w:r>
              <w:rPr>
                <w:rFonts w:hint="eastAsia" w:ascii="宋体" w:hAnsi="宋体" w:eastAsia="宋体"/>
                <w:bCs/>
                <w:color w:val="auto"/>
                <w:sz w:val="21"/>
                <w:szCs w:val="21"/>
                <w:highlight w:val="none"/>
              </w:rPr>
              <w:t>派出审计组</w:t>
            </w:r>
            <w:r>
              <w:rPr>
                <w:rFonts w:hint="eastAsia" w:ascii="宋体" w:hAnsi="宋体" w:eastAsia="宋体"/>
                <w:bCs/>
                <w:color w:val="auto"/>
                <w:sz w:val="21"/>
                <w:szCs w:val="21"/>
                <w:highlight w:val="none"/>
                <w:lang w:eastAsia="zh-CN"/>
              </w:rPr>
              <w:t>成员</w:t>
            </w:r>
            <w:r>
              <w:rPr>
                <w:rFonts w:hint="eastAsia" w:ascii="宋体" w:hAnsi="宋体" w:eastAsia="宋体"/>
                <w:color w:val="auto"/>
                <w:sz w:val="21"/>
                <w:highlight w:val="none"/>
              </w:rPr>
              <w:t>进驻被审计单位前，</w:t>
            </w:r>
            <w:r>
              <w:rPr>
                <w:rFonts w:hint="eastAsia" w:ascii="宋体" w:hAnsi="宋体" w:eastAsia="宋体" w:cs="宋体"/>
                <w:color w:val="auto"/>
                <w:sz w:val="21"/>
                <w:szCs w:val="21"/>
                <w:highlight w:val="none"/>
              </w:rPr>
              <w:t>应了解被</w:t>
            </w:r>
            <w:r>
              <w:rPr>
                <w:rFonts w:hint="eastAsia" w:ascii="宋体" w:hAnsi="宋体" w:eastAsia="宋体" w:cs="宋体"/>
                <w:color w:val="auto"/>
                <w:sz w:val="21"/>
                <w:szCs w:val="21"/>
                <w:highlight w:val="none"/>
                <w:lang w:eastAsia="zh-CN"/>
              </w:rPr>
              <w:t>审计</w:t>
            </w:r>
            <w:r>
              <w:rPr>
                <w:rFonts w:hint="eastAsia" w:ascii="宋体" w:hAnsi="宋体" w:eastAsia="宋体" w:cs="宋体"/>
                <w:color w:val="auto"/>
                <w:sz w:val="21"/>
                <w:szCs w:val="21"/>
                <w:highlight w:val="none"/>
              </w:rPr>
              <w:t>单位基本情况</w:t>
            </w:r>
            <w:r>
              <w:rPr>
                <w:rFonts w:hint="eastAsia" w:ascii="宋体" w:hAnsi="宋体" w:eastAsia="宋体" w:cs="宋体"/>
                <w:color w:val="auto"/>
                <w:sz w:val="21"/>
                <w:szCs w:val="21"/>
                <w:highlight w:val="none"/>
                <w:lang w:eastAsia="zh-CN"/>
              </w:rPr>
              <w:t>，</w:t>
            </w:r>
            <w:r>
              <w:rPr>
                <w:rFonts w:hint="eastAsia" w:ascii="宋体" w:hAnsi="宋体" w:eastAsia="宋体"/>
                <w:bCs/>
                <w:color w:val="auto"/>
                <w:sz w:val="21"/>
                <w:szCs w:val="21"/>
                <w:highlight w:val="none"/>
              </w:rPr>
              <w:t>针对性地修改和完善</w:t>
            </w:r>
            <w:r>
              <w:rPr>
                <w:rFonts w:hint="eastAsia" w:ascii="宋体" w:hAnsi="宋体" w:eastAsia="宋体"/>
                <w:bCs/>
                <w:color w:val="auto"/>
                <w:sz w:val="21"/>
                <w:szCs w:val="21"/>
                <w:highlight w:val="none"/>
                <w:lang w:eastAsia="zh-CN"/>
              </w:rPr>
              <w:t>审计</w:t>
            </w:r>
            <w:r>
              <w:rPr>
                <w:rFonts w:hint="eastAsia" w:ascii="宋体" w:hAnsi="宋体" w:eastAsia="宋体"/>
                <w:bCs/>
                <w:color w:val="auto"/>
                <w:sz w:val="21"/>
                <w:szCs w:val="21"/>
                <w:highlight w:val="none"/>
              </w:rPr>
              <w:t>服务工作方案，编制全面完整的</w:t>
            </w:r>
            <w:r>
              <w:rPr>
                <w:rFonts w:hint="eastAsia" w:ascii="宋体" w:hAnsi="宋体" w:eastAsia="宋体"/>
                <w:bCs/>
                <w:color w:val="auto"/>
                <w:sz w:val="21"/>
                <w:szCs w:val="21"/>
                <w:highlight w:val="none"/>
                <w:lang w:eastAsia="zh-CN"/>
              </w:rPr>
              <w:t>项目</w:t>
            </w:r>
            <w:r>
              <w:rPr>
                <w:rFonts w:hint="eastAsia" w:ascii="宋体" w:hAnsi="宋体" w:eastAsia="宋体"/>
                <w:bCs/>
                <w:color w:val="auto"/>
                <w:sz w:val="21"/>
                <w:szCs w:val="21"/>
                <w:highlight w:val="none"/>
              </w:rPr>
              <w:t>审计实施方案提交采购人</w:t>
            </w:r>
            <w:r>
              <w:rPr>
                <w:rFonts w:hint="eastAsia" w:ascii="宋体" w:hAnsi="宋体" w:eastAsia="宋体"/>
                <w:color w:val="auto"/>
                <w:sz w:val="21"/>
                <w:highlight w:val="none"/>
                <w:u w:val="none"/>
              </w:rPr>
              <w:t>审核</w:t>
            </w:r>
            <w:r>
              <w:rPr>
                <w:rFonts w:hint="eastAsia" w:ascii="宋体" w:hAnsi="宋体" w:eastAsia="宋体"/>
                <w:color w:val="auto"/>
                <w:sz w:val="21"/>
                <w:highlight w:val="none"/>
                <w:lang w:eastAsia="zh-CN"/>
              </w:rPr>
              <w:t>，</w:t>
            </w:r>
            <w:r>
              <w:rPr>
                <w:rFonts w:hint="eastAsia" w:ascii="宋体" w:hAnsi="宋体" w:eastAsia="宋体"/>
                <w:color w:val="auto"/>
                <w:sz w:val="21"/>
                <w:highlight w:val="none"/>
                <w:u w:val="none"/>
                <w:lang w:eastAsia="zh-CN"/>
              </w:rPr>
              <w:t>按采购人</w:t>
            </w:r>
            <w:r>
              <w:rPr>
                <w:rFonts w:hint="eastAsia" w:ascii="宋体" w:hAnsi="宋体" w:eastAsia="宋体"/>
                <w:color w:val="auto"/>
                <w:sz w:val="21"/>
                <w:highlight w:val="none"/>
                <w:lang w:eastAsia="zh-CN"/>
              </w:rPr>
              <w:t>审定</w:t>
            </w:r>
            <w:r>
              <w:rPr>
                <w:rFonts w:hint="eastAsia" w:ascii="宋体" w:hAnsi="宋体" w:eastAsia="宋体"/>
                <w:color w:val="auto"/>
                <w:sz w:val="21"/>
                <w:highlight w:val="none"/>
                <w:u w:val="none"/>
                <w:lang w:eastAsia="zh-CN"/>
              </w:rPr>
              <w:t>的方案实施。项目审计实施方案的</w:t>
            </w:r>
            <w:r>
              <w:rPr>
                <w:rFonts w:hint="eastAsia" w:ascii="宋体" w:hAnsi="宋体" w:eastAsia="宋体"/>
                <w:color w:val="auto"/>
                <w:sz w:val="21"/>
                <w:highlight w:val="none"/>
                <w:lang w:eastAsia="zh-CN"/>
              </w:rPr>
              <w:t>主要</w:t>
            </w:r>
            <w:r>
              <w:rPr>
                <w:rFonts w:hint="eastAsia" w:ascii="宋体" w:hAnsi="宋体" w:eastAsia="宋体"/>
                <w:color w:val="auto"/>
                <w:sz w:val="21"/>
                <w:highlight w:val="none"/>
                <w:u w:val="none"/>
                <w:lang w:eastAsia="zh-CN"/>
              </w:rPr>
              <w:t>内容应</w:t>
            </w:r>
            <w:r>
              <w:rPr>
                <w:rFonts w:hint="eastAsia" w:ascii="宋体" w:hAnsi="宋体" w:eastAsia="宋体"/>
                <w:color w:val="auto"/>
                <w:sz w:val="21"/>
                <w:highlight w:val="none"/>
                <w:lang w:eastAsia="zh-CN"/>
              </w:rPr>
              <w:t>包括</w:t>
            </w:r>
            <w:r>
              <w:rPr>
                <w:rFonts w:hint="eastAsia" w:ascii="宋体" w:hAnsi="宋体" w:eastAsia="宋体"/>
                <w:color w:val="auto"/>
                <w:sz w:val="21"/>
                <w:highlight w:val="none"/>
                <w:u w:val="none"/>
                <w:lang w:eastAsia="zh-CN"/>
              </w:rPr>
              <w:t>以下内容</w:t>
            </w:r>
            <w:r>
              <w:rPr>
                <w:rFonts w:hint="eastAsia" w:ascii="宋体" w:hAnsi="宋体" w:eastAsia="宋体"/>
                <w:color w:val="auto"/>
                <w:sz w:val="21"/>
                <w:highlight w:val="none"/>
                <w:lang w:eastAsia="zh-CN"/>
              </w:rPr>
              <w:t>：编制依据、</w:t>
            </w:r>
            <w:r>
              <w:rPr>
                <w:rFonts w:hint="eastAsia" w:ascii="宋体" w:hAnsi="宋体" w:eastAsia="宋体"/>
                <w:color w:val="auto"/>
                <w:sz w:val="21"/>
                <w:highlight w:val="none"/>
                <w:u w:val="none"/>
                <w:lang w:eastAsia="zh-CN"/>
              </w:rPr>
              <w:t>审计范围、</w:t>
            </w:r>
            <w:r>
              <w:rPr>
                <w:rFonts w:hint="eastAsia" w:ascii="宋体" w:hAnsi="宋体" w:eastAsia="宋体"/>
                <w:color w:val="auto"/>
                <w:sz w:val="21"/>
                <w:highlight w:val="none"/>
                <w:lang w:eastAsia="zh-CN"/>
              </w:rPr>
              <w:t>审计目标、</w:t>
            </w:r>
            <w:r>
              <w:rPr>
                <w:rFonts w:hint="eastAsia" w:ascii="宋体" w:hAnsi="宋体" w:eastAsia="宋体"/>
                <w:color w:val="auto"/>
                <w:sz w:val="21"/>
                <w:highlight w:val="none"/>
                <w:u w:val="none"/>
                <w:lang w:eastAsia="zh-CN"/>
              </w:rPr>
              <w:t>被审计单位基本情况、</w:t>
            </w:r>
            <w:r>
              <w:rPr>
                <w:rFonts w:hint="eastAsia" w:ascii="宋体" w:hAnsi="宋体" w:eastAsia="宋体"/>
                <w:color w:val="auto"/>
                <w:sz w:val="21"/>
                <w:highlight w:val="none"/>
                <w:lang w:eastAsia="zh-CN"/>
              </w:rPr>
              <w:t>重要性分析和审计风险评估、审计内容及审计</w:t>
            </w:r>
            <w:r>
              <w:rPr>
                <w:rFonts w:hint="eastAsia" w:ascii="宋体" w:hAnsi="宋体" w:eastAsia="宋体"/>
                <w:color w:val="auto"/>
                <w:sz w:val="21"/>
                <w:highlight w:val="none"/>
                <w:u w:val="none"/>
                <w:lang w:eastAsia="zh-CN"/>
              </w:rPr>
              <w:t>步骤和</w:t>
            </w:r>
            <w:r>
              <w:rPr>
                <w:rFonts w:hint="eastAsia" w:ascii="宋体" w:hAnsi="宋体" w:eastAsia="宋体"/>
                <w:color w:val="auto"/>
                <w:sz w:val="21"/>
                <w:highlight w:val="none"/>
                <w:lang w:eastAsia="zh-CN"/>
              </w:rPr>
              <w:t>方法、预定审计工作起止时间、审计组成员及分工</w:t>
            </w:r>
            <w:r>
              <w:rPr>
                <w:rFonts w:hint="eastAsia" w:ascii="宋体" w:hAnsi="宋体" w:eastAsia="宋体"/>
                <w:color w:val="auto"/>
                <w:sz w:val="21"/>
                <w:highlight w:val="none"/>
                <w:u w:val="none"/>
                <w:lang w:eastAsia="zh-CN"/>
              </w:rPr>
              <w:t>等。其中，</w:t>
            </w:r>
            <w:r>
              <w:rPr>
                <w:rFonts w:hint="eastAsia" w:ascii="宋体" w:hAnsi="宋体" w:eastAsia="宋体" w:cs="宋体"/>
                <w:color w:val="auto"/>
                <w:sz w:val="21"/>
                <w:szCs w:val="21"/>
                <w:highlight w:val="none"/>
              </w:rPr>
              <w:t>供应商需按照重要性原则，确定报表的整体重要性水平为总收入或总支出的1%～2%，对单笔金额超过重要性水平10%的大额凭证100%检查，其余凭证按30%～40%比例抽查。</w:t>
            </w:r>
          </w:p>
          <w:p w14:paraId="071066EA">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lang w:val="en-US" w:eastAsia="zh-CN"/>
              </w:rPr>
              <w:t>（三）</w:t>
            </w:r>
            <w:r>
              <w:rPr>
                <w:rFonts w:hint="eastAsia" w:ascii="宋体" w:hAnsi="宋体" w:eastAsia="宋体"/>
                <w:color w:val="auto"/>
                <w:sz w:val="21"/>
                <w:highlight w:val="none"/>
                <w:u w:val="none"/>
              </w:rPr>
              <w:t>健全工作机制</w:t>
            </w:r>
            <w:r>
              <w:rPr>
                <w:rFonts w:hint="eastAsia" w:ascii="宋体" w:hAnsi="宋体" w:eastAsia="宋体"/>
                <w:bCs/>
                <w:color w:val="auto"/>
                <w:sz w:val="21"/>
                <w:szCs w:val="21"/>
                <w:highlight w:val="none"/>
              </w:rPr>
              <w:t>。</w:t>
            </w:r>
            <w:r>
              <w:rPr>
                <w:rFonts w:hint="eastAsia" w:ascii="宋体" w:hAnsi="宋体" w:eastAsia="宋体"/>
                <w:color w:val="auto"/>
                <w:sz w:val="21"/>
                <w:highlight w:val="none"/>
              </w:rPr>
              <w:t>为确保高质</w:t>
            </w:r>
            <w:r>
              <w:rPr>
                <w:rFonts w:hint="eastAsia" w:ascii="宋体" w:hAnsi="宋体" w:eastAsia="宋体"/>
                <w:color w:val="auto"/>
                <w:sz w:val="21"/>
                <w:highlight w:val="none"/>
                <w:u w:val="none"/>
              </w:rPr>
              <w:t>量</w:t>
            </w:r>
            <w:r>
              <w:rPr>
                <w:rFonts w:hint="eastAsia" w:ascii="宋体" w:hAnsi="宋体" w:eastAsia="宋体"/>
                <w:bCs/>
                <w:color w:val="auto"/>
                <w:sz w:val="21"/>
                <w:szCs w:val="21"/>
                <w:highlight w:val="none"/>
              </w:rPr>
              <w:t>完成任务，</w:t>
            </w:r>
            <w:r>
              <w:rPr>
                <w:rFonts w:hint="eastAsia" w:ascii="宋体" w:hAnsi="宋体" w:eastAsia="宋体"/>
                <w:bCs/>
                <w:color w:val="auto"/>
                <w:sz w:val="21"/>
                <w:szCs w:val="21"/>
                <w:highlight w:val="none"/>
                <w:lang w:eastAsia="zh-CN"/>
              </w:rPr>
              <w:t>供应商要建立审计项目沟通会等工作机制，定期召开现场审计组和采购人内部审计机构进展情况汇报沟通会；审计组</w:t>
            </w:r>
            <w:r>
              <w:rPr>
                <w:rFonts w:hint="eastAsia" w:ascii="宋体" w:hAnsi="宋体" w:eastAsia="宋体"/>
                <w:color w:val="auto"/>
                <w:sz w:val="21"/>
                <w:highlight w:val="none"/>
              </w:rPr>
              <w:t>成员之间要加强沟通与协作，充分利用科技手段，提高工作效率；</w:t>
            </w:r>
            <w:r>
              <w:rPr>
                <w:rFonts w:hint="eastAsia" w:ascii="宋体" w:hAnsi="宋体" w:eastAsia="宋体"/>
                <w:color w:val="auto"/>
                <w:sz w:val="21"/>
                <w:highlight w:val="none"/>
                <w:u w:val="none"/>
              </w:rPr>
              <w:t>审计组</w:t>
            </w:r>
            <w:r>
              <w:rPr>
                <w:rFonts w:hint="eastAsia" w:ascii="宋体" w:hAnsi="宋体" w:eastAsia="宋体"/>
                <w:bCs/>
                <w:color w:val="auto"/>
                <w:sz w:val="21"/>
                <w:szCs w:val="21"/>
                <w:highlight w:val="none"/>
              </w:rPr>
              <w:t>要认真做好取证、工作底稿等基础性工作，做到事实清楚，证据充分，依据有力，定性准确；</w:t>
            </w:r>
            <w:r>
              <w:rPr>
                <w:rFonts w:hint="eastAsia" w:ascii="宋体" w:hAnsi="宋体" w:eastAsia="宋体"/>
                <w:color w:val="auto"/>
                <w:sz w:val="21"/>
                <w:highlight w:val="none"/>
                <w:lang w:eastAsia="zh-CN"/>
              </w:rPr>
              <w:t>对编制的审计工作底稿、草拟的审计报告，一般要履行“主审—审计组组长（</w:t>
            </w:r>
            <w:r>
              <w:rPr>
                <w:rFonts w:hint="eastAsia" w:ascii="宋体" w:hAnsi="宋体" w:eastAsia="宋体"/>
                <w:color w:val="auto"/>
                <w:sz w:val="21"/>
                <w:highlight w:val="none"/>
                <w:u w:val="none"/>
                <w:lang w:eastAsia="zh-CN"/>
              </w:rPr>
              <w:t>或副组长</w:t>
            </w:r>
            <w:r>
              <w:rPr>
                <w:rFonts w:hint="eastAsia" w:ascii="宋体" w:hAnsi="宋体" w:eastAsia="宋体"/>
                <w:bCs/>
                <w:color w:val="auto"/>
                <w:sz w:val="21"/>
                <w:szCs w:val="21"/>
                <w:highlight w:val="none"/>
                <w:lang w:eastAsia="zh-CN"/>
              </w:rPr>
              <w:t>）—采购人</w:t>
            </w:r>
            <w:r>
              <w:rPr>
                <w:rFonts w:hint="eastAsia" w:ascii="宋体" w:hAnsi="宋体"/>
                <w:bCs/>
                <w:color w:val="auto"/>
                <w:sz w:val="21"/>
                <w:szCs w:val="21"/>
                <w:highlight w:val="none"/>
                <w:lang w:eastAsia="zh-CN"/>
              </w:rPr>
              <w:t>财审</w:t>
            </w:r>
            <w:r>
              <w:rPr>
                <w:rFonts w:hint="eastAsia" w:ascii="宋体" w:hAnsi="宋体" w:eastAsia="宋体"/>
                <w:bCs/>
                <w:color w:val="auto"/>
                <w:sz w:val="21"/>
                <w:szCs w:val="21"/>
                <w:highlight w:val="none"/>
                <w:lang w:eastAsia="zh-CN"/>
              </w:rPr>
              <w:t>机构负责人”的审计复核程序，保证审计工作质量。</w:t>
            </w:r>
          </w:p>
          <w:p w14:paraId="7B56F95A">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hint="eastAsia"/>
                <w:color w:val="auto"/>
                <w:highlight w:val="none"/>
              </w:rPr>
            </w:pPr>
            <w:r>
              <w:rPr>
                <w:rFonts w:hint="eastAsia" w:ascii="宋体" w:hAnsi="宋体" w:eastAsia="宋体"/>
                <w:bCs/>
                <w:color w:val="auto"/>
                <w:sz w:val="21"/>
                <w:szCs w:val="21"/>
                <w:highlight w:val="none"/>
                <w:lang w:val="en-US" w:eastAsia="zh-CN"/>
              </w:rPr>
              <w:t>（四）</w:t>
            </w:r>
            <w:r>
              <w:rPr>
                <w:rFonts w:hint="eastAsia" w:ascii="宋体" w:hAnsi="宋体" w:eastAsia="宋体"/>
                <w:bCs/>
                <w:color w:val="auto"/>
                <w:sz w:val="21"/>
                <w:szCs w:val="21"/>
                <w:highlight w:val="none"/>
                <w:lang w:eastAsia="zh-CN"/>
              </w:rPr>
              <w:t>加强沟通协调。</w:t>
            </w:r>
            <w:r>
              <w:rPr>
                <w:rFonts w:hint="eastAsia" w:ascii="宋体" w:hAnsi="宋体" w:eastAsia="宋体"/>
                <w:bCs/>
                <w:color w:val="auto"/>
                <w:sz w:val="21"/>
                <w:szCs w:val="21"/>
                <w:highlight w:val="none"/>
              </w:rPr>
              <w:t>审计过程中，</w:t>
            </w:r>
            <w:r>
              <w:rPr>
                <w:rFonts w:hint="eastAsia" w:ascii="宋体" w:hAnsi="宋体" w:eastAsia="宋体"/>
                <w:bCs/>
                <w:color w:val="auto"/>
                <w:sz w:val="21"/>
                <w:szCs w:val="21"/>
                <w:highlight w:val="none"/>
                <w:lang w:eastAsia="zh-CN"/>
              </w:rPr>
              <w:t>现场审计组</w:t>
            </w:r>
            <w:r>
              <w:rPr>
                <w:rFonts w:hint="eastAsia" w:ascii="宋体" w:hAnsi="宋体" w:eastAsia="宋体"/>
                <w:bCs/>
                <w:color w:val="auto"/>
                <w:sz w:val="21"/>
                <w:szCs w:val="21"/>
                <w:highlight w:val="none"/>
              </w:rPr>
              <w:t>要密切与采购人</w:t>
            </w:r>
            <w:r>
              <w:rPr>
                <w:rFonts w:hint="eastAsia" w:ascii="宋体" w:hAnsi="宋体" w:eastAsia="宋体"/>
                <w:bCs/>
                <w:color w:val="auto"/>
                <w:sz w:val="21"/>
                <w:szCs w:val="21"/>
                <w:highlight w:val="none"/>
                <w:lang w:eastAsia="zh-CN"/>
              </w:rPr>
              <w:t>内部审计机构</w:t>
            </w:r>
            <w:r>
              <w:rPr>
                <w:rFonts w:hint="eastAsia" w:ascii="宋体" w:hAnsi="宋体" w:eastAsia="宋体"/>
                <w:bCs/>
                <w:color w:val="auto"/>
                <w:sz w:val="21"/>
                <w:szCs w:val="21"/>
                <w:highlight w:val="none"/>
              </w:rPr>
              <w:t>的沟通和协调，及时反映</w:t>
            </w:r>
            <w:r>
              <w:rPr>
                <w:rFonts w:hint="eastAsia" w:ascii="宋体" w:hAnsi="宋体" w:eastAsia="宋体"/>
                <w:bCs/>
                <w:color w:val="auto"/>
                <w:sz w:val="21"/>
                <w:szCs w:val="21"/>
                <w:highlight w:val="none"/>
                <w:lang w:eastAsia="zh-CN"/>
              </w:rPr>
              <w:t>审计</w:t>
            </w:r>
            <w:r>
              <w:rPr>
                <w:rFonts w:hint="eastAsia" w:ascii="宋体" w:hAnsi="宋体" w:eastAsia="宋体"/>
                <w:bCs/>
                <w:color w:val="auto"/>
                <w:sz w:val="21"/>
                <w:szCs w:val="21"/>
                <w:highlight w:val="none"/>
              </w:rPr>
              <w:t>中的重要信息和成果，如实披露</w:t>
            </w:r>
            <w:r>
              <w:rPr>
                <w:rFonts w:hint="eastAsia" w:ascii="宋体" w:hAnsi="宋体" w:eastAsia="宋体"/>
                <w:bCs/>
                <w:color w:val="auto"/>
                <w:sz w:val="21"/>
                <w:szCs w:val="21"/>
                <w:highlight w:val="none"/>
                <w:lang w:eastAsia="zh-CN"/>
              </w:rPr>
              <w:t>审计</w:t>
            </w:r>
            <w:r>
              <w:rPr>
                <w:rFonts w:hint="eastAsia" w:ascii="宋体" w:hAnsi="宋体" w:eastAsia="宋体"/>
                <w:bCs/>
                <w:color w:val="auto"/>
                <w:sz w:val="21"/>
                <w:szCs w:val="21"/>
                <w:highlight w:val="none"/>
              </w:rPr>
              <w:t>发现的问题。</w:t>
            </w:r>
            <w:r>
              <w:rPr>
                <w:rFonts w:hint="eastAsia" w:ascii="宋体" w:hAnsi="宋体" w:eastAsia="宋体"/>
                <w:bCs/>
                <w:color w:val="auto"/>
                <w:sz w:val="21"/>
                <w:szCs w:val="21"/>
                <w:highlight w:val="none"/>
                <w:lang w:eastAsia="zh-CN"/>
              </w:rPr>
              <w:t>审计实施过程中如有重大违法违规等意外发现，审计组应及时汇报，在履行相关审批程序后再深入核实。</w:t>
            </w:r>
          </w:p>
          <w:p w14:paraId="677C2567">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Cs w:val="21"/>
                <w:highlight w:val="none"/>
                <w:lang w:val="en-US" w:eastAsia="zh-CN"/>
              </w:rPr>
              <w:t>（五）</w:t>
            </w:r>
            <w:r>
              <w:rPr>
                <w:rFonts w:hint="eastAsia" w:ascii="宋体" w:hAnsi="宋体" w:eastAsia="宋体" w:cs="宋体"/>
                <w:color w:val="auto"/>
                <w:szCs w:val="21"/>
                <w:highlight w:val="none"/>
              </w:rPr>
              <w:t>供应商拟投入</w:t>
            </w:r>
            <w:r>
              <w:rPr>
                <w:rFonts w:hint="eastAsia" w:ascii="宋体" w:hAnsi="宋体" w:cs="宋体"/>
                <w:color w:val="auto"/>
                <w:szCs w:val="21"/>
                <w:highlight w:val="none"/>
                <w:lang w:val="en-US" w:eastAsia="zh-CN"/>
              </w:rPr>
              <w:t>2组</w:t>
            </w:r>
            <w:r>
              <w:rPr>
                <w:rFonts w:hint="eastAsia" w:ascii="宋体" w:hAnsi="宋体" w:eastAsia="宋体" w:cs="宋体"/>
                <w:color w:val="auto"/>
                <w:szCs w:val="21"/>
                <w:highlight w:val="none"/>
              </w:rPr>
              <w:t>审计工作组</w:t>
            </w:r>
            <w:r>
              <w:rPr>
                <w:rFonts w:hint="eastAsia" w:ascii="宋体" w:hAnsi="宋体" w:cs="宋体"/>
                <w:color w:val="auto"/>
                <w:szCs w:val="21"/>
                <w:highlight w:val="none"/>
                <w:lang w:eastAsia="zh-CN"/>
              </w:rPr>
              <w:t>，每组</w:t>
            </w:r>
            <w:r>
              <w:rPr>
                <w:rFonts w:hint="eastAsia" w:ascii="宋体" w:hAnsi="宋体" w:eastAsia="宋体" w:cs="宋体"/>
                <w:color w:val="auto"/>
                <w:szCs w:val="21"/>
                <w:highlight w:val="none"/>
              </w:rPr>
              <w:t>成员不少于</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人，</w:t>
            </w:r>
            <w:r>
              <w:rPr>
                <w:rFonts w:hint="eastAsia" w:ascii="宋体" w:hAnsi="宋体" w:cs="宋体"/>
                <w:color w:val="auto"/>
                <w:szCs w:val="21"/>
                <w:highlight w:val="none"/>
                <w:lang w:eastAsia="zh-CN"/>
              </w:rPr>
              <w:t>每组需</w:t>
            </w:r>
            <w:r>
              <w:rPr>
                <w:rFonts w:hint="eastAsia" w:ascii="宋体" w:hAnsi="宋体" w:cs="宋体"/>
                <w:color w:val="auto"/>
                <w:szCs w:val="21"/>
                <w:highlight w:val="none"/>
              </w:rPr>
              <w:t>至少配备项目负责人1名（项目负责人须具备中国注册会计师执业资格证，从事审计工作年限</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年以上，并有担任同类审计项目负责人经历），1名注册造价工程师（须具备工程类中级或以上职称）</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其余</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名审计人员须具备初级会计师、</w:t>
            </w:r>
            <w:r>
              <w:rPr>
                <w:rFonts w:hint="eastAsia" w:ascii="宋体" w:hAnsi="宋体" w:eastAsia="宋体" w:cs="宋体"/>
                <w:color w:val="auto"/>
                <w:szCs w:val="21"/>
                <w:highlight w:val="none"/>
                <w:lang w:eastAsia="zh-CN"/>
              </w:rPr>
              <w:t>初级</w:t>
            </w:r>
            <w:r>
              <w:rPr>
                <w:rFonts w:hint="eastAsia" w:ascii="宋体" w:hAnsi="宋体" w:eastAsia="宋体" w:cs="宋体"/>
                <w:color w:val="auto"/>
                <w:szCs w:val="21"/>
                <w:highlight w:val="none"/>
              </w:rPr>
              <w:t>审计师</w:t>
            </w:r>
            <w:r>
              <w:rPr>
                <w:rFonts w:hint="eastAsia" w:ascii="宋体" w:hAnsi="宋体" w:eastAsia="宋体" w:cs="宋体"/>
                <w:color w:val="auto"/>
                <w:szCs w:val="21"/>
                <w:highlight w:val="none"/>
                <w:lang w:eastAsia="zh-CN"/>
              </w:rPr>
              <w:t>、初级</w:t>
            </w:r>
            <w:r>
              <w:rPr>
                <w:rFonts w:hint="eastAsia" w:ascii="宋体" w:hAnsi="宋体" w:eastAsia="宋体" w:cs="宋体"/>
                <w:color w:val="auto"/>
                <w:szCs w:val="21"/>
                <w:highlight w:val="none"/>
              </w:rPr>
              <w:t>经济师中</w:t>
            </w:r>
            <w:r>
              <w:rPr>
                <w:rFonts w:hint="eastAsia" w:ascii="宋体" w:hAnsi="宋体" w:eastAsia="宋体" w:cs="宋体"/>
                <w:color w:val="auto"/>
                <w:szCs w:val="21"/>
                <w:highlight w:val="none"/>
                <w:lang w:eastAsia="zh-CN"/>
              </w:rPr>
              <w:t>的</w:t>
            </w:r>
            <w:r>
              <w:rPr>
                <w:rFonts w:hint="eastAsia" w:ascii="宋体" w:hAnsi="宋体" w:eastAsia="宋体" w:cs="宋体"/>
                <w:color w:val="auto"/>
                <w:szCs w:val="21"/>
                <w:highlight w:val="none"/>
              </w:rPr>
              <w:t>一种</w:t>
            </w:r>
            <w:r>
              <w:rPr>
                <w:rFonts w:hint="eastAsia" w:ascii="宋体" w:hAnsi="宋体" w:eastAsia="宋体" w:cs="宋体"/>
                <w:color w:val="auto"/>
                <w:szCs w:val="21"/>
                <w:highlight w:val="none"/>
                <w:lang w:eastAsia="zh-CN"/>
              </w:rPr>
              <w:t>或以上</w:t>
            </w:r>
            <w:r>
              <w:rPr>
                <w:rFonts w:hint="eastAsia" w:ascii="宋体" w:hAnsi="宋体" w:eastAsia="宋体" w:cs="宋体"/>
                <w:color w:val="auto"/>
                <w:szCs w:val="21"/>
                <w:highlight w:val="none"/>
              </w:rPr>
              <w:t>职称。</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派驻的</w:t>
            </w:r>
            <w:r>
              <w:rPr>
                <w:rFonts w:hint="eastAsia" w:ascii="宋体" w:hAnsi="宋体" w:eastAsia="宋体" w:cs="宋体"/>
                <w:color w:val="auto"/>
                <w:sz w:val="21"/>
                <w:szCs w:val="21"/>
                <w:highlight w:val="none"/>
                <w:lang w:eastAsia="zh-CN"/>
              </w:rPr>
              <w:t>审计</w:t>
            </w:r>
            <w:r>
              <w:rPr>
                <w:rFonts w:hint="eastAsia" w:ascii="宋体" w:hAnsi="宋体" w:eastAsia="宋体" w:cs="宋体"/>
                <w:color w:val="auto"/>
                <w:sz w:val="21"/>
                <w:szCs w:val="21"/>
                <w:highlight w:val="none"/>
              </w:rPr>
              <w:t>人员须与响应文件中派驻</w:t>
            </w:r>
            <w:r>
              <w:rPr>
                <w:rFonts w:hint="eastAsia" w:ascii="宋体" w:hAnsi="宋体" w:eastAsia="宋体" w:cs="宋体"/>
                <w:color w:val="auto"/>
                <w:sz w:val="21"/>
                <w:szCs w:val="21"/>
                <w:highlight w:val="none"/>
                <w:lang w:eastAsia="zh-CN"/>
              </w:rPr>
              <w:t>审计</w:t>
            </w:r>
            <w:r>
              <w:rPr>
                <w:rFonts w:hint="eastAsia" w:ascii="宋体" w:hAnsi="宋体" w:eastAsia="宋体" w:cs="宋体"/>
                <w:color w:val="auto"/>
                <w:sz w:val="21"/>
                <w:szCs w:val="21"/>
                <w:highlight w:val="none"/>
              </w:rPr>
              <w:t>人员一致，如需更换人员需事先征得采购人同意。</w:t>
            </w:r>
          </w:p>
          <w:p w14:paraId="08763ACF">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val="en-US" w:eastAsia="zh-CN"/>
              </w:rPr>
              <w:t>（六）</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开展工作现场</w:t>
            </w:r>
            <w:r>
              <w:rPr>
                <w:rFonts w:hint="eastAsia" w:ascii="宋体" w:hAnsi="宋体" w:eastAsia="宋体" w:cs="宋体"/>
                <w:color w:val="auto"/>
                <w:szCs w:val="21"/>
                <w:highlight w:val="none"/>
                <w:lang w:eastAsia="zh-CN"/>
              </w:rPr>
              <w:t>审计</w:t>
            </w:r>
            <w:r>
              <w:rPr>
                <w:rFonts w:hint="eastAsia" w:ascii="宋体" w:hAnsi="宋体" w:eastAsia="宋体" w:cs="宋体"/>
                <w:color w:val="auto"/>
                <w:szCs w:val="21"/>
                <w:highlight w:val="none"/>
              </w:rPr>
              <w:t>时间不得少于1</w:t>
            </w:r>
            <w:r>
              <w:rPr>
                <w:rFonts w:hint="eastAsia" w:ascii="宋体" w:hAnsi="宋体" w:cs="宋体"/>
                <w:color w:val="auto"/>
                <w:szCs w:val="21"/>
                <w:highlight w:val="none"/>
                <w:lang w:val="en-US" w:eastAsia="zh-CN"/>
              </w:rPr>
              <w:t>0</w:t>
            </w:r>
            <w:r>
              <w:rPr>
                <w:rFonts w:hint="eastAsia" w:ascii="宋体" w:hAnsi="宋体" w:eastAsia="宋体" w:cs="宋体"/>
                <w:color w:val="auto"/>
                <w:szCs w:val="21"/>
                <w:highlight w:val="none"/>
              </w:rPr>
              <w:t>个</w:t>
            </w:r>
            <w:r>
              <w:rPr>
                <w:rFonts w:hint="eastAsia" w:ascii="宋体" w:hAnsi="宋体" w:cs="宋体"/>
                <w:color w:val="auto"/>
                <w:szCs w:val="21"/>
                <w:highlight w:val="none"/>
                <w:lang w:eastAsia="zh-CN"/>
              </w:rPr>
              <w:t>工作日</w:t>
            </w:r>
            <w:r>
              <w:rPr>
                <w:rFonts w:hint="eastAsia" w:ascii="宋体" w:hAnsi="宋体" w:eastAsia="宋体" w:cs="宋体"/>
                <w:color w:val="auto"/>
                <w:szCs w:val="21"/>
                <w:highlight w:val="none"/>
              </w:rPr>
              <w:t>，现场</w:t>
            </w:r>
            <w:r>
              <w:rPr>
                <w:rFonts w:hint="eastAsia" w:ascii="宋体" w:hAnsi="宋体" w:eastAsia="宋体" w:cs="宋体"/>
                <w:color w:val="auto"/>
                <w:szCs w:val="21"/>
                <w:highlight w:val="none"/>
                <w:lang w:eastAsia="zh-CN"/>
              </w:rPr>
              <w:t>审计</w:t>
            </w:r>
            <w:r>
              <w:rPr>
                <w:rFonts w:hint="eastAsia" w:ascii="宋体" w:hAnsi="宋体" w:eastAsia="宋体" w:cs="宋体"/>
                <w:color w:val="auto"/>
                <w:szCs w:val="21"/>
                <w:highlight w:val="none"/>
              </w:rPr>
              <w:t>结束20天内须出具审计报告初稿，2026年11月30日前出具</w:t>
            </w:r>
            <w:r>
              <w:rPr>
                <w:rFonts w:hint="eastAsia" w:ascii="宋体" w:hAnsi="宋体" w:eastAsia="宋体" w:cs="宋体"/>
                <w:color w:val="auto"/>
                <w:szCs w:val="21"/>
                <w:highlight w:val="none"/>
                <w:lang w:eastAsia="zh-CN"/>
              </w:rPr>
              <w:t>正式</w:t>
            </w:r>
            <w:r>
              <w:rPr>
                <w:rFonts w:hint="eastAsia" w:ascii="宋体" w:hAnsi="宋体" w:eastAsia="宋体" w:cs="宋体"/>
                <w:color w:val="auto"/>
                <w:szCs w:val="21"/>
                <w:highlight w:val="none"/>
              </w:rPr>
              <w:t>审计报告，</w:t>
            </w:r>
            <w:r>
              <w:rPr>
                <w:rFonts w:hint="eastAsia" w:ascii="宋体" w:hAnsi="宋体" w:eastAsia="宋体" w:cs="宋体"/>
                <w:color w:val="auto"/>
                <w:sz w:val="21"/>
                <w:szCs w:val="21"/>
                <w:highlight w:val="none"/>
              </w:rPr>
              <w:t>包括纸质报告（一式八份）、彩色扫描PDF版和Word版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并交付所有</w:t>
            </w:r>
            <w:r>
              <w:rPr>
                <w:rFonts w:hint="eastAsia" w:ascii="宋体" w:hAnsi="宋体" w:cs="宋体"/>
                <w:color w:val="auto"/>
                <w:sz w:val="21"/>
                <w:szCs w:val="21"/>
                <w:highlight w:val="none"/>
                <w:lang w:val="en-US" w:eastAsia="zh-CN"/>
              </w:rPr>
              <w:t>审计</w:t>
            </w:r>
            <w:r>
              <w:rPr>
                <w:rFonts w:hint="eastAsia" w:ascii="宋体" w:hAnsi="宋体" w:eastAsia="宋体" w:cs="宋体"/>
                <w:color w:val="auto"/>
                <w:sz w:val="21"/>
                <w:szCs w:val="21"/>
                <w:highlight w:val="none"/>
              </w:rPr>
              <w:t>工作底稿。</w:t>
            </w:r>
            <w:r>
              <w:rPr>
                <w:rFonts w:hint="eastAsia" w:ascii="宋体" w:hAnsi="宋体" w:eastAsia="宋体"/>
                <w:bCs/>
                <w:color w:val="auto"/>
                <w:sz w:val="21"/>
                <w:szCs w:val="21"/>
                <w:highlight w:val="none"/>
                <w:lang w:eastAsia="zh-CN"/>
              </w:rPr>
              <w:t>本项目的</w:t>
            </w:r>
            <w:r>
              <w:rPr>
                <w:rFonts w:hint="eastAsia" w:ascii="宋体" w:hAnsi="宋体" w:eastAsia="宋体"/>
                <w:bCs/>
                <w:color w:val="auto"/>
                <w:sz w:val="21"/>
                <w:szCs w:val="21"/>
                <w:highlight w:val="none"/>
              </w:rPr>
              <w:t>审计文书</w:t>
            </w:r>
            <w:r>
              <w:rPr>
                <w:rFonts w:hint="eastAsia" w:ascii="宋体" w:hAnsi="宋体" w:eastAsia="宋体"/>
                <w:bCs/>
                <w:color w:val="auto"/>
                <w:sz w:val="21"/>
                <w:szCs w:val="21"/>
                <w:highlight w:val="none"/>
                <w:lang w:eastAsia="zh-CN"/>
              </w:rPr>
              <w:t>资料</w:t>
            </w:r>
            <w:r>
              <w:rPr>
                <w:rFonts w:hint="eastAsia" w:ascii="宋体" w:hAnsi="宋体" w:eastAsia="宋体"/>
                <w:bCs/>
                <w:color w:val="auto"/>
                <w:sz w:val="21"/>
                <w:szCs w:val="21"/>
                <w:highlight w:val="none"/>
              </w:rPr>
              <w:t>需按照采购人要求装订成档保存于采购单位。</w:t>
            </w:r>
          </w:p>
          <w:p w14:paraId="67A153E7">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 w:val="21"/>
                <w:szCs w:val="21"/>
                <w:highlight w:val="none"/>
                <w:lang w:val="en-US" w:eastAsia="zh-CN"/>
              </w:rPr>
              <w:t>（七）</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不得将该项目转交第三方完成。</w:t>
            </w:r>
          </w:p>
          <w:p w14:paraId="2FFBA840">
            <w:pPr>
              <w:keepNext w:val="0"/>
              <w:keepLines w:val="0"/>
              <w:pageBreakBefore w:val="0"/>
              <w:widowControl w:val="0"/>
              <w:kinsoku/>
              <w:wordWrap w:val="0"/>
              <w:overflowPunct/>
              <w:topLinePunct w:val="0"/>
              <w:autoSpaceDE/>
              <w:autoSpaceDN/>
              <w:bidi w:val="0"/>
              <w:adjustRightInd/>
              <w:snapToGrid/>
              <w:spacing w:line="360" w:lineRule="exact"/>
              <w:ind w:firstLine="422" w:firstLineChars="200"/>
              <w:textAlignment w:val="auto"/>
              <w:rPr>
                <w:rFonts w:hint="eastAsia" w:ascii="宋体" w:hAnsi="宋体" w:eastAsia="宋体" w:cs="宋体"/>
                <w:color w:val="auto"/>
                <w:szCs w:val="21"/>
                <w:highlight w:val="none"/>
              </w:rPr>
            </w:pPr>
            <w:r>
              <w:rPr>
                <w:rFonts w:hint="eastAsia" w:ascii="宋体" w:hAnsi="宋体" w:eastAsia="宋体" w:cs="宋体"/>
                <w:b/>
                <w:bCs w:val="0"/>
                <w:color w:val="auto"/>
                <w:szCs w:val="21"/>
                <w:highlight w:val="none"/>
                <w:lang w:val="zh-CN"/>
              </w:rPr>
              <w:t>注：供应商拟投入的工作组成员必须是在职工作人员，且须在投标文件中提供拟投入的工作组成员的专业技能或资格证书、职称证书、项目负责人工作年限证明（以劳动合同为准）、</w:t>
            </w:r>
            <w:r>
              <w:rPr>
                <w:rFonts w:hint="eastAsia" w:ascii="宋体" w:hAnsi="宋体" w:eastAsia="宋体" w:cs="宋体"/>
                <w:b/>
                <w:bCs w:val="0"/>
                <w:color w:val="auto"/>
                <w:szCs w:val="21"/>
                <w:highlight w:val="none"/>
                <w:lang w:val="en-US" w:eastAsia="zh-CN"/>
              </w:rPr>
              <w:t>供应商为拟投入人员缴纳的2025年</w:t>
            </w:r>
            <w:r>
              <w:rPr>
                <w:rFonts w:hint="eastAsia" w:ascii="宋体" w:hAnsi="宋体" w:cs="宋体"/>
                <w:b/>
                <w:bCs w:val="0"/>
                <w:color w:val="auto"/>
                <w:szCs w:val="21"/>
                <w:highlight w:val="none"/>
                <w:lang w:val="en-US" w:eastAsia="zh-CN"/>
              </w:rPr>
              <w:t>11</w:t>
            </w:r>
            <w:r>
              <w:rPr>
                <w:rFonts w:hint="eastAsia" w:ascii="宋体" w:hAnsi="宋体" w:eastAsia="宋体" w:cs="宋体"/>
                <w:b/>
                <w:bCs w:val="0"/>
                <w:color w:val="auto"/>
                <w:szCs w:val="21"/>
                <w:highlight w:val="none"/>
                <w:lang w:val="en-US" w:eastAsia="zh-CN"/>
              </w:rPr>
              <w:t>月-2026年</w:t>
            </w:r>
            <w:r>
              <w:rPr>
                <w:rFonts w:hint="eastAsia" w:ascii="宋体" w:hAnsi="宋体" w:cs="宋体"/>
                <w:b/>
                <w:bCs w:val="0"/>
                <w:color w:val="auto"/>
                <w:szCs w:val="21"/>
                <w:highlight w:val="none"/>
                <w:lang w:val="en-US" w:eastAsia="zh-CN"/>
              </w:rPr>
              <w:t>4</w:t>
            </w:r>
            <w:r>
              <w:rPr>
                <w:rFonts w:hint="eastAsia" w:ascii="宋体" w:hAnsi="宋体" w:eastAsia="宋体" w:cs="宋体"/>
                <w:b/>
                <w:bCs w:val="0"/>
                <w:color w:val="auto"/>
                <w:szCs w:val="21"/>
                <w:highlight w:val="none"/>
                <w:lang w:val="en-US" w:eastAsia="zh-CN"/>
              </w:rPr>
              <w:t>月内任意连续 3 个月的社保缴费证明或《投保单》或单位代缴个人所得税税单等复印件（加盖公章）或提供供应商与拟投入本项目团队成员签订的劳务合同复印件（法定代表人除外</w:t>
            </w:r>
            <w:r>
              <w:rPr>
                <w:rFonts w:hint="eastAsia" w:ascii="宋体" w:hAnsi="宋体" w:cs="宋体"/>
                <w:b/>
                <w:bCs w:val="0"/>
                <w:color w:val="auto"/>
                <w:szCs w:val="21"/>
                <w:highlight w:val="none"/>
                <w:lang w:val="en-US" w:eastAsia="zh-CN"/>
              </w:rPr>
              <w:t>）</w:t>
            </w:r>
            <w:r>
              <w:rPr>
                <w:rFonts w:hint="eastAsia" w:ascii="宋体" w:hAnsi="宋体" w:eastAsia="宋体" w:cs="宋体"/>
                <w:b/>
                <w:bCs w:val="0"/>
                <w:color w:val="auto"/>
                <w:szCs w:val="21"/>
                <w:highlight w:val="none"/>
                <w:lang w:val="zh-CN"/>
              </w:rPr>
              <w:t>。</w:t>
            </w:r>
          </w:p>
        </w:tc>
      </w:tr>
      <w:tr w14:paraId="085EF0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18" w:type="dxa"/>
            <w:tcBorders>
              <w:top w:val="single" w:color="auto" w:sz="4" w:space="0"/>
              <w:left w:val="single" w:color="auto" w:sz="4" w:space="0"/>
              <w:bottom w:val="single" w:color="auto" w:sz="4" w:space="0"/>
              <w:right w:val="single" w:color="auto" w:sz="4" w:space="0"/>
            </w:tcBorders>
            <w:noWrap w:val="0"/>
            <w:vAlign w:val="center"/>
          </w:tcPr>
          <w:p w14:paraId="03AA153E">
            <w:pPr>
              <w:keepNext w:val="0"/>
              <w:keepLines w:val="0"/>
              <w:pageBreakBefore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color w:val="auto"/>
                <w:szCs w:val="21"/>
                <w:highlight w:val="none"/>
                <w:lang w:val="en-US" w:eastAsia="zh-CN"/>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分标</w:t>
            </w:r>
          </w:p>
        </w:tc>
        <w:tc>
          <w:tcPr>
            <w:tcW w:w="970" w:type="dxa"/>
            <w:tcBorders>
              <w:top w:val="single" w:color="auto" w:sz="4" w:space="0"/>
              <w:left w:val="single" w:color="auto" w:sz="4" w:space="0"/>
              <w:bottom w:val="single" w:color="auto" w:sz="4" w:space="0"/>
              <w:right w:val="single" w:color="auto" w:sz="4" w:space="0"/>
            </w:tcBorders>
            <w:noWrap w:val="0"/>
            <w:vAlign w:val="center"/>
          </w:tcPr>
          <w:p w14:paraId="63ECEF9E">
            <w:pPr>
              <w:keepNext w:val="0"/>
              <w:keepLines w:val="0"/>
              <w:pageBreakBefore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color w:val="auto"/>
                <w:szCs w:val="21"/>
                <w:highlight w:val="none"/>
              </w:rPr>
            </w:pPr>
            <w:r>
              <w:rPr>
                <w:rFonts w:hint="eastAsia" w:ascii="宋体" w:hAnsi="宋体" w:eastAsia="宋体"/>
                <w:color w:val="auto"/>
                <w:szCs w:val="21"/>
                <w:highlight w:val="none"/>
                <w:lang w:eastAsia="zh-CN"/>
              </w:rPr>
              <w:t>2026年厅管领导干部经济责任审计服务2</w:t>
            </w:r>
          </w:p>
        </w:tc>
        <w:tc>
          <w:tcPr>
            <w:tcW w:w="852" w:type="dxa"/>
            <w:tcBorders>
              <w:top w:val="single" w:color="auto" w:sz="4" w:space="0"/>
              <w:left w:val="single" w:color="auto" w:sz="4" w:space="0"/>
              <w:bottom w:val="single" w:color="auto" w:sz="4" w:space="0"/>
              <w:right w:val="single" w:color="auto" w:sz="4" w:space="0"/>
            </w:tcBorders>
            <w:noWrap w:val="0"/>
            <w:vAlign w:val="center"/>
          </w:tcPr>
          <w:p w14:paraId="3AFCD01E">
            <w:pPr>
              <w:keepNext w:val="0"/>
              <w:keepLines w:val="0"/>
              <w:pageBreakBefore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1项</w:t>
            </w:r>
          </w:p>
        </w:tc>
        <w:tc>
          <w:tcPr>
            <w:tcW w:w="1061" w:type="dxa"/>
            <w:tcBorders>
              <w:top w:val="single" w:color="auto" w:sz="4" w:space="0"/>
              <w:left w:val="single" w:color="auto" w:sz="4" w:space="0"/>
              <w:bottom w:val="single" w:color="auto" w:sz="4" w:space="0"/>
              <w:right w:val="single" w:color="000000" w:sz="4" w:space="0"/>
            </w:tcBorders>
            <w:noWrap w:val="0"/>
            <w:vAlign w:val="center"/>
          </w:tcPr>
          <w:p w14:paraId="31C6CA23">
            <w:pPr>
              <w:keepNext w:val="0"/>
              <w:keepLines w:val="0"/>
              <w:pageBreakBefore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color w:val="auto"/>
                <w:szCs w:val="21"/>
                <w:highlight w:val="none"/>
              </w:rPr>
            </w:pPr>
            <w:r>
              <w:rPr>
                <w:rFonts w:hint="eastAsia" w:ascii="宋体" w:hAnsi="宋体"/>
                <w:color w:val="auto"/>
                <w:szCs w:val="21"/>
                <w:highlight w:val="none"/>
                <w:u w:val="none"/>
                <w:lang w:eastAsia="zh-CN"/>
              </w:rPr>
              <w:t>租赁和商务服务业</w:t>
            </w:r>
          </w:p>
        </w:tc>
        <w:tc>
          <w:tcPr>
            <w:tcW w:w="6139" w:type="dxa"/>
            <w:tcBorders>
              <w:top w:val="single" w:color="auto" w:sz="4" w:space="0"/>
              <w:left w:val="single" w:color="000000" w:sz="4" w:space="0"/>
              <w:bottom w:val="single" w:color="auto" w:sz="4" w:space="0"/>
              <w:right w:val="single" w:color="auto" w:sz="4" w:space="0"/>
            </w:tcBorders>
            <w:noWrap w:val="0"/>
            <w:vAlign w:val="center"/>
          </w:tcPr>
          <w:p w14:paraId="57343196">
            <w:pPr>
              <w:keepNext w:val="0"/>
              <w:keepLines w:val="0"/>
              <w:pageBreakBefore w:val="0"/>
              <w:widowControl w:val="0"/>
              <w:numPr>
                <w:ilvl w:val="0"/>
                <w:numId w:val="0"/>
              </w:numPr>
              <w:kinsoku/>
              <w:wordWrap w:val="0"/>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一、服务内容</w:t>
            </w:r>
          </w:p>
          <w:p w14:paraId="2C282D29">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党政主要领导干部和国有企事业单位主要领导人员经济责任审计规定》（中办发〔2019〕45号）、《广西壮族自治区内部审计工作规定》（广西壮族自治区人民政府令第138号）、《广西壮族自治区交通运输厅内部审计工作规定》（桂交财审发〔2024〕51号）及有关程序和工作要求，对原广西交通工程建设保障中心主任（2021年8月至</w:t>
            </w:r>
            <w:r>
              <w:rPr>
                <w:rFonts w:hint="eastAsia" w:ascii="宋体" w:hAnsi="宋体" w:cs="宋体"/>
                <w:color w:val="auto"/>
                <w:szCs w:val="21"/>
                <w:highlight w:val="none"/>
                <w:lang w:eastAsia="zh-CN"/>
              </w:rPr>
              <w:t>今</w:t>
            </w:r>
            <w:r>
              <w:rPr>
                <w:rFonts w:hint="eastAsia" w:ascii="宋体" w:hAnsi="宋体" w:eastAsia="宋体" w:cs="宋体"/>
                <w:color w:val="auto"/>
                <w:szCs w:val="21"/>
                <w:highlight w:val="none"/>
              </w:rPr>
              <w:t>）、自治区梧州航道养护中心主任（2021年</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月至</w:t>
            </w:r>
            <w:r>
              <w:rPr>
                <w:rFonts w:hint="eastAsia" w:ascii="宋体" w:hAnsi="宋体" w:cs="宋体"/>
                <w:color w:val="auto"/>
                <w:szCs w:val="21"/>
                <w:highlight w:val="none"/>
                <w:lang w:eastAsia="zh-CN"/>
              </w:rPr>
              <w:t>今</w:t>
            </w:r>
            <w:r>
              <w:rPr>
                <w:rFonts w:hint="eastAsia" w:ascii="宋体" w:hAnsi="宋体" w:eastAsia="宋体" w:cs="宋体"/>
                <w:color w:val="auto"/>
                <w:szCs w:val="21"/>
                <w:highlight w:val="none"/>
              </w:rPr>
              <w:t>）开展经济责任审计，并出具2个经济责任审计报告。</w:t>
            </w:r>
          </w:p>
          <w:p w14:paraId="2ED2BA4F">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二、审计方式</w:t>
            </w:r>
          </w:p>
          <w:p w14:paraId="03DB8B7A">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olor w:val="auto"/>
                <w:sz w:val="21"/>
                <w:highlight w:val="none"/>
                <w:lang w:eastAsia="zh-CN"/>
              </w:rPr>
            </w:pPr>
            <w:r>
              <w:rPr>
                <w:rFonts w:hint="eastAsia" w:ascii="宋体" w:hAnsi="宋体" w:eastAsia="宋体"/>
                <w:bCs/>
                <w:color w:val="auto"/>
                <w:sz w:val="21"/>
                <w:szCs w:val="21"/>
                <w:highlight w:val="none"/>
                <w:lang w:eastAsia="zh-CN"/>
              </w:rPr>
              <w:t>供应商</w:t>
            </w:r>
            <w:r>
              <w:rPr>
                <w:rFonts w:hint="eastAsia" w:ascii="宋体" w:hAnsi="宋体" w:eastAsia="宋体"/>
                <w:color w:val="auto"/>
                <w:sz w:val="21"/>
                <w:highlight w:val="none"/>
                <w:u w:val="none"/>
              </w:rPr>
              <w:t>需</w:t>
            </w:r>
            <w:r>
              <w:rPr>
                <w:rFonts w:hint="eastAsia" w:ascii="宋体" w:hAnsi="宋体" w:eastAsia="宋体"/>
                <w:bCs/>
                <w:color w:val="auto"/>
                <w:sz w:val="21"/>
                <w:szCs w:val="21"/>
                <w:highlight w:val="none"/>
              </w:rPr>
              <w:t>根据</w:t>
            </w:r>
            <w:r>
              <w:rPr>
                <w:rFonts w:hint="eastAsia" w:ascii="宋体" w:hAnsi="宋体" w:eastAsia="宋体"/>
                <w:bCs/>
                <w:color w:val="auto"/>
                <w:sz w:val="21"/>
                <w:szCs w:val="21"/>
                <w:highlight w:val="none"/>
                <w:lang w:eastAsia="zh-CN"/>
              </w:rPr>
              <w:t>审计服务</w:t>
            </w:r>
            <w:r>
              <w:rPr>
                <w:rFonts w:hint="eastAsia" w:ascii="宋体" w:hAnsi="宋体" w:eastAsia="宋体"/>
                <w:color w:val="auto"/>
                <w:sz w:val="21"/>
                <w:highlight w:val="none"/>
              </w:rPr>
              <w:t>合同和</w:t>
            </w:r>
            <w:r>
              <w:rPr>
                <w:rFonts w:hint="eastAsia" w:ascii="宋体" w:hAnsi="宋体" w:eastAsia="宋体"/>
                <w:color w:val="auto"/>
                <w:sz w:val="21"/>
                <w:highlight w:val="none"/>
                <w:u w:val="none"/>
              </w:rPr>
              <w:t>经济责任审计</w:t>
            </w:r>
            <w:r>
              <w:rPr>
                <w:rFonts w:hint="eastAsia" w:ascii="宋体" w:hAnsi="宋体" w:eastAsia="宋体"/>
                <w:bCs/>
                <w:color w:val="auto"/>
                <w:sz w:val="21"/>
                <w:szCs w:val="21"/>
                <w:highlight w:val="none"/>
              </w:rPr>
              <w:t>规定，</w:t>
            </w:r>
            <w:r>
              <w:rPr>
                <w:rFonts w:hint="eastAsia" w:ascii="宋体" w:hAnsi="宋体" w:eastAsia="宋体"/>
                <w:color w:val="auto"/>
                <w:sz w:val="21"/>
                <w:szCs w:val="21"/>
                <w:highlight w:val="none"/>
              </w:rPr>
              <w:t>按审计对象编制审计</w:t>
            </w:r>
            <w:r>
              <w:rPr>
                <w:rFonts w:hint="eastAsia" w:ascii="宋体" w:hAnsi="宋体" w:eastAsia="宋体"/>
                <w:color w:val="auto"/>
                <w:sz w:val="21"/>
                <w:szCs w:val="21"/>
                <w:highlight w:val="none"/>
                <w:lang w:eastAsia="zh-CN"/>
              </w:rPr>
              <w:t>工作</w:t>
            </w:r>
            <w:r>
              <w:rPr>
                <w:rFonts w:hint="eastAsia" w:ascii="宋体" w:hAnsi="宋体" w:eastAsia="宋体"/>
                <w:color w:val="auto"/>
                <w:sz w:val="21"/>
                <w:szCs w:val="21"/>
                <w:highlight w:val="none"/>
              </w:rPr>
              <w:t>方案，</w:t>
            </w:r>
            <w:r>
              <w:rPr>
                <w:rFonts w:hint="eastAsia" w:ascii="宋体" w:hAnsi="宋体" w:eastAsia="宋体"/>
                <w:color w:val="auto"/>
                <w:sz w:val="21"/>
                <w:highlight w:val="none"/>
                <w:lang w:eastAsia="zh-CN"/>
              </w:rPr>
              <w:t>派出审计组，</w:t>
            </w:r>
            <w:r>
              <w:rPr>
                <w:rFonts w:hint="eastAsia" w:ascii="宋体" w:hAnsi="宋体" w:eastAsia="宋体"/>
                <w:color w:val="auto"/>
                <w:sz w:val="21"/>
                <w:highlight w:val="none"/>
                <w:u w:val="none"/>
                <w:lang w:eastAsia="zh-CN"/>
              </w:rPr>
              <w:t>通过进驻被审计单位</w:t>
            </w:r>
            <w:r>
              <w:rPr>
                <w:rFonts w:hint="eastAsia" w:ascii="宋体" w:hAnsi="宋体" w:eastAsia="宋体"/>
                <w:bCs/>
                <w:color w:val="auto"/>
                <w:sz w:val="21"/>
                <w:szCs w:val="21"/>
                <w:highlight w:val="none"/>
              </w:rPr>
              <w:t>召开进点会、审计</w:t>
            </w:r>
            <w:r>
              <w:rPr>
                <w:rFonts w:hint="eastAsia" w:ascii="宋体" w:hAnsi="宋体" w:eastAsia="宋体"/>
                <w:bCs/>
                <w:color w:val="auto"/>
                <w:sz w:val="21"/>
                <w:szCs w:val="21"/>
                <w:highlight w:val="none"/>
                <w:lang w:eastAsia="zh-CN"/>
              </w:rPr>
              <w:t>访</w:t>
            </w:r>
            <w:r>
              <w:rPr>
                <w:rFonts w:hint="eastAsia" w:ascii="宋体" w:hAnsi="宋体" w:eastAsia="宋体"/>
                <w:bCs/>
                <w:color w:val="auto"/>
                <w:sz w:val="21"/>
                <w:szCs w:val="21"/>
                <w:highlight w:val="none"/>
              </w:rPr>
              <w:t>谈、听取</w:t>
            </w:r>
            <w:r>
              <w:rPr>
                <w:rFonts w:hint="eastAsia" w:ascii="宋体" w:hAnsi="宋体" w:eastAsia="宋体"/>
                <w:bCs/>
                <w:color w:val="auto"/>
                <w:sz w:val="21"/>
                <w:szCs w:val="21"/>
                <w:highlight w:val="none"/>
                <w:lang w:eastAsia="zh-CN"/>
              </w:rPr>
              <w:t>被审计</w:t>
            </w:r>
            <w:r>
              <w:rPr>
                <w:rFonts w:hint="eastAsia" w:ascii="宋体" w:hAnsi="宋体" w:eastAsia="宋体"/>
                <w:color w:val="auto"/>
                <w:sz w:val="21"/>
                <w:highlight w:val="none"/>
                <w:u w:val="none"/>
                <w:lang w:eastAsia="zh-CN"/>
              </w:rPr>
              <w:t>人</w:t>
            </w:r>
            <w:r>
              <w:rPr>
                <w:rFonts w:hint="eastAsia" w:ascii="宋体" w:hAnsi="宋体" w:eastAsia="宋体"/>
                <w:bCs/>
                <w:color w:val="auto"/>
                <w:sz w:val="21"/>
                <w:szCs w:val="21"/>
                <w:highlight w:val="none"/>
              </w:rPr>
              <w:t>履行</w:t>
            </w:r>
            <w:r>
              <w:rPr>
                <w:rFonts w:hint="eastAsia" w:ascii="宋体" w:hAnsi="宋体" w:eastAsia="宋体"/>
                <w:color w:val="auto"/>
                <w:sz w:val="21"/>
                <w:highlight w:val="none"/>
                <w:lang w:eastAsia="zh-CN"/>
              </w:rPr>
              <w:t>经济责任</w:t>
            </w:r>
            <w:r>
              <w:rPr>
                <w:rFonts w:hint="eastAsia" w:ascii="宋体" w:hAnsi="宋体" w:eastAsia="宋体"/>
                <w:color w:val="auto"/>
                <w:sz w:val="21"/>
                <w:highlight w:val="none"/>
                <w:u w:val="none"/>
                <w:lang w:eastAsia="zh-CN"/>
              </w:rPr>
              <w:t>的</w:t>
            </w:r>
            <w:r>
              <w:rPr>
                <w:rFonts w:hint="eastAsia" w:ascii="宋体" w:hAnsi="宋体" w:eastAsia="宋体"/>
                <w:bCs/>
                <w:color w:val="auto"/>
                <w:sz w:val="21"/>
                <w:szCs w:val="21"/>
                <w:highlight w:val="none"/>
                <w:lang w:eastAsia="zh-CN"/>
              </w:rPr>
              <w:t>情况</w:t>
            </w:r>
            <w:r>
              <w:rPr>
                <w:rFonts w:hint="eastAsia" w:ascii="宋体" w:hAnsi="宋体" w:eastAsia="宋体"/>
                <w:color w:val="auto"/>
                <w:sz w:val="21"/>
                <w:highlight w:val="none"/>
              </w:rPr>
              <w:t>报告</w:t>
            </w:r>
            <w:r>
              <w:rPr>
                <w:rFonts w:hint="eastAsia" w:ascii="宋体" w:hAnsi="宋体" w:eastAsia="宋体"/>
                <w:color w:val="auto"/>
                <w:sz w:val="21"/>
                <w:highlight w:val="none"/>
                <w:u w:val="none"/>
              </w:rPr>
              <w:t>、审核被审计单位提交的经济业务和财务会计资料</w:t>
            </w:r>
            <w:r>
              <w:rPr>
                <w:rFonts w:hint="eastAsia" w:ascii="宋体" w:hAnsi="宋体" w:eastAsia="宋体"/>
                <w:bCs/>
                <w:color w:val="auto"/>
                <w:sz w:val="21"/>
                <w:szCs w:val="21"/>
                <w:highlight w:val="none"/>
              </w:rPr>
              <w:t>等方式</w:t>
            </w:r>
            <w:r>
              <w:rPr>
                <w:rFonts w:hint="eastAsia" w:ascii="宋体" w:hAnsi="宋体" w:eastAsia="宋体"/>
                <w:color w:val="auto"/>
                <w:sz w:val="21"/>
                <w:highlight w:val="none"/>
              </w:rPr>
              <w:t>实施</w:t>
            </w:r>
            <w:r>
              <w:rPr>
                <w:rFonts w:hint="eastAsia" w:ascii="宋体" w:hAnsi="宋体" w:eastAsia="宋体"/>
                <w:color w:val="auto"/>
                <w:sz w:val="21"/>
                <w:szCs w:val="21"/>
                <w:highlight w:val="none"/>
              </w:rPr>
              <w:t>审计活动，</w:t>
            </w:r>
            <w:r>
              <w:rPr>
                <w:rFonts w:hint="eastAsia" w:ascii="宋体" w:hAnsi="宋体" w:eastAsia="宋体"/>
                <w:color w:val="auto"/>
                <w:sz w:val="21"/>
                <w:highlight w:val="none"/>
                <w:u w:val="none"/>
              </w:rPr>
              <w:t>按规定编报经济责任审计报告</w:t>
            </w:r>
            <w:r>
              <w:rPr>
                <w:rFonts w:hint="eastAsia" w:ascii="宋体" w:hAnsi="宋体" w:eastAsia="宋体"/>
                <w:color w:val="auto"/>
                <w:sz w:val="21"/>
                <w:szCs w:val="21"/>
                <w:highlight w:val="none"/>
                <w:lang w:eastAsia="zh-CN"/>
              </w:rPr>
              <w:t>。</w:t>
            </w:r>
          </w:p>
          <w:p w14:paraId="12749E4C">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textAlignment w:val="auto"/>
              <w:rPr>
                <w:rFonts w:hint="eastAsia" w:ascii="宋体" w:hAnsi="宋体" w:eastAsia="宋体"/>
                <w:b w:val="0"/>
                <w:bCs/>
                <w:color w:val="auto"/>
                <w:sz w:val="21"/>
                <w:szCs w:val="21"/>
                <w:highlight w:val="none"/>
              </w:rPr>
            </w:pPr>
            <w:r>
              <w:rPr>
                <w:rFonts w:hint="eastAsia" w:ascii="宋体" w:hAnsi="宋体" w:eastAsia="宋体"/>
                <w:b w:val="0"/>
                <w:bCs/>
                <w:color w:val="auto"/>
                <w:sz w:val="21"/>
                <w:highlight w:val="none"/>
                <w:lang w:eastAsia="zh-CN"/>
              </w:rPr>
              <w:t>三、</w:t>
            </w:r>
            <w:r>
              <w:rPr>
                <w:rFonts w:hint="eastAsia" w:ascii="宋体" w:hAnsi="宋体" w:eastAsia="宋体"/>
                <w:b w:val="0"/>
                <w:bCs/>
                <w:color w:val="auto"/>
                <w:sz w:val="21"/>
                <w:highlight w:val="none"/>
              </w:rPr>
              <w:t>审计内容</w:t>
            </w:r>
          </w:p>
          <w:p w14:paraId="12C4ACBE">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lang w:val="en-US" w:eastAsia="zh-CN"/>
              </w:rPr>
              <w:t>（一）</w:t>
            </w:r>
            <w:r>
              <w:rPr>
                <w:rFonts w:hint="eastAsia" w:ascii="宋体" w:hAnsi="宋体" w:eastAsia="宋体"/>
                <w:bCs/>
                <w:color w:val="auto"/>
                <w:sz w:val="21"/>
                <w:szCs w:val="21"/>
                <w:highlight w:val="none"/>
              </w:rPr>
              <w:t>贯彻执行党和国家</w:t>
            </w:r>
            <w:r>
              <w:rPr>
                <w:rFonts w:hint="eastAsia" w:ascii="宋体" w:hAnsi="宋体"/>
                <w:bCs/>
                <w:color w:val="auto"/>
                <w:sz w:val="21"/>
                <w:szCs w:val="21"/>
                <w:highlight w:val="none"/>
                <w:lang w:eastAsia="zh-CN"/>
              </w:rPr>
              <w:t>、自治区</w:t>
            </w:r>
            <w:r>
              <w:rPr>
                <w:rFonts w:hint="eastAsia" w:ascii="宋体" w:hAnsi="宋体" w:eastAsia="宋体"/>
                <w:bCs/>
                <w:color w:val="auto"/>
                <w:sz w:val="21"/>
                <w:szCs w:val="21"/>
                <w:highlight w:val="none"/>
              </w:rPr>
              <w:t>经济方针政策、决策部署情况</w:t>
            </w:r>
            <w:r>
              <w:rPr>
                <w:rFonts w:hint="eastAsia" w:ascii="宋体" w:hAnsi="宋体" w:eastAsia="宋体"/>
                <w:bCs/>
                <w:color w:val="auto"/>
                <w:sz w:val="21"/>
                <w:szCs w:val="21"/>
                <w:highlight w:val="none"/>
                <w:lang w:eastAsia="zh-CN"/>
              </w:rPr>
              <w:t>。</w:t>
            </w:r>
            <w:r>
              <w:rPr>
                <w:rFonts w:hint="eastAsia" w:ascii="宋体" w:hAnsi="宋体" w:eastAsia="宋体"/>
                <w:bCs/>
                <w:color w:val="auto"/>
                <w:sz w:val="21"/>
                <w:szCs w:val="21"/>
                <w:highlight w:val="none"/>
              </w:rPr>
              <w:t>关注推动高质量发展情况</w:t>
            </w:r>
            <w:r>
              <w:rPr>
                <w:rFonts w:hint="eastAsia" w:ascii="宋体" w:hAnsi="宋体" w:eastAsia="宋体"/>
                <w:bCs/>
                <w:color w:val="auto"/>
                <w:sz w:val="21"/>
                <w:szCs w:val="21"/>
                <w:highlight w:val="none"/>
                <w:lang w:eastAsia="zh-CN"/>
              </w:rPr>
              <w:t>和</w:t>
            </w:r>
            <w:r>
              <w:rPr>
                <w:rFonts w:hint="eastAsia" w:ascii="宋体" w:hAnsi="宋体" w:eastAsia="宋体"/>
                <w:bCs/>
                <w:color w:val="auto"/>
                <w:sz w:val="21"/>
                <w:szCs w:val="21"/>
                <w:highlight w:val="none"/>
              </w:rPr>
              <w:t>目标责任制完成情况。</w:t>
            </w:r>
          </w:p>
          <w:p w14:paraId="454C88F3">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地方政府隐性债务方面。（1）新增隐性债务方面。重点关注各市、县政府及其部门直接新增隐性债务，以及通过融资平台公司、国有企事业单位等各市、县政府及其部门之外的主体融资或垫资，承诺以政府未来财政收入作为还款来源等方式实施土地一级开发和公益性项目等新增隐性债务问题。重点检查交通工程建设项目等。（2）化债不实方面。重点关注“借新还旧”作化债处理，以虚假盘活资金资产等方式化解隐性债务，以虚假的企业经营收入化解隐性债务，债务单位未向债权人偿还债务但作化债处理，债务单位在未履行必要程序的情况下核销隐性债务并作化债处理等问题。（3）隐性债务置换政策落实不规范方面。重点关注用于置换隐性债务的再融资专项债券是否及时拨付和置换；是否存在套取骗取；是否用于偿还2023年末存量隐性债务外的其他债务；是否实行专户管理、专账核算、封闭运行，做到公平公正、规范操作；是否存在用于经常性支出和新上项目、铺新摊子等问题。</w:t>
            </w:r>
          </w:p>
          <w:p w14:paraId="18D47D37">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bCs/>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.“两重”资金使用管理</w:t>
            </w:r>
            <w:r>
              <w:rPr>
                <w:rFonts w:hint="eastAsia" w:ascii="宋体" w:hAnsi="宋体" w:cs="宋体"/>
                <w:color w:val="auto"/>
                <w:sz w:val="21"/>
                <w:szCs w:val="21"/>
                <w:highlight w:val="none"/>
                <w:lang w:eastAsia="zh-CN"/>
              </w:rPr>
              <w:t>方面</w:t>
            </w:r>
            <w:r>
              <w:rPr>
                <w:rFonts w:hint="eastAsia" w:ascii="宋体" w:hAnsi="宋体" w:eastAsia="宋体" w:cs="宋体"/>
                <w:color w:val="auto"/>
                <w:sz w:val="21"/>
                <w:szCs w:val="21"/>
                <w:highlight w:val="none"/>
              </w:rPr>
              <w:t>。聚焦2025年新建、在建以及完工项目，重点关注国家重大战略实施和重点领域安全能力建设（以下简称“两重”）资金是否及时分配下达资金；是否存在“以拨代支”、超进度拨款等违规拨付行为；是否虚高申报总投资套取中央资金；资金拨付是否严格履行相关审批程序和手续；是否存在项目实施进度缓慢，导致“钱等项目”等问题；是否存在拖欠工程款问题；是否超范围使用资金或用于与项目无关的其他支出；是否截留、挤占、挪用资金等。</w:t>
            </w:r>
            <w:r>
              <w:rPr>
                <w:rFonts w:hint="eastAsia" w:ascii="宋体" w:hAnsi="宋体" w:cs="宋体"/>
                <w:color w:val="auto"/>
                <w:sz w:val="21"/>
                <w:szCs w:val="21"/>
                <w:highlight w:val="none"/>
                <w:lang w:eastAsia="zh-CN"/>
              </w:rPr>
              <w:t>如发现</w:t>
            </w:r>
            <w:r>
              <w:rPr>
                <w:rFonts w:hint="eastAsia" w:ascii="宋体" w:hAnsi="宋体" w:eastAsia="宋体" w:cs="宋体"/>
                <w:color w:val="auto"/>
                <w:sz w:val="21"/>
                <w:szCs w:val="21"/>
                <w:highlight w:val="none"/>
              </w:rPr>
              <w:t>不符合“两重”政策支持方向，以“两重”名义违规兴建楼堂馆所、搞“形象工程”“政绩工程”等违规违纪行为</w:t>
            </w:r>
            <w:r>
              <w:rPr>
                <w:rFonts w:hint="eastAsia" w:ascii="宋体" w:hAnsi="宋体" w:cs="宋体"/>
                <w:color w:val="auto"/>
                <w:sz w:val="21"/>
                <w:szCs w:val="21"/>
                <w:highlight w:val="none"/>
                <w:lang w:eastAsia="zh-CN"/>
              </w:rPr>
              <w:t>，将及时移送相关部门处理。</w:t>
            </w:r>
          </w:p>
          <w:p w14:paraId="094392DE">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textAlignment w:val="auto"/>
              <w:rPr>
                <w:rFonts w:hint="eastAsia" w:ascii="宋体" w:hAnsi="宋体" w:eastAsia="宋体"/>
                <w:bCs/>
                <w:color w:val="auto"/>
                <w:sz w:val="21"/>
                <w:szCs w:val="21"/>
                <w:highlight w:val="none"/>
              </w:rPr>
            </w:pPr>
            <w:r>
              <w:rPr>
                <w:rFonts w:hint="eastAsia" w:ascii="宋体" w:hAnsi="宋体"/>
                <w:bCs/>
                <w:color w:val="auto"/>
                <w:sz w:val="21"/>
                <w:szCs w:val="21"/>
                <w:highlight w:val="none"/>
                <w:lang w:val="en-US" w:eastAsia="zh-CN"/>
              </w:rPr>
              <w:t>3.</w:t>
            </w:r>
            <w:r>
              <w:rPr>
                <w:rFonts w:hint="eastAsia" w:ascii="宋体" w:hAnsi="宋体" w:eastAsia="宋体"/>
                <w:bCs/>
                <w:color w:val="auto"/>
                <w:sz w:val="21"/>
                <w:szCs w:val="21"/>
                <w:highlight w:val="none"/>
                <w:lang w:val="en-US" w:eastAsia="zh-CN"/>
              </w:rPr>
              <w:t>国有“三资”盘活、落实过“紧日子”要求及财源建设等领域突出问题整治</w:t>
            </w:r>
            <w:r>
              <w:rPr>
                <w:rFonts w:hint="eastAsia" w:ascii="宋体" w:hAnsi="宋体"/>
                <w:bCs/>
                <w:color w:val="auto"/>
                <w:sz w:val="21"/>
                <w:szCs w:val="21"/>
                <w:highlight w:val="none"/>
                <w:lang w:val="en-US" w:eastAsia="zh-CN"/>
              </w:rPr>
              <w:t>方面。</w:t>
            </w:r>
            <w:r>
              <w:rPr>
                <w:rFonts w:hint="eastAsia" w:ascii="宋体" w:hAnsi="宋体" w:eastAsia="宋体"/>
                <w:bCs/>
                <w:color w:val="auto"/>
                <w:sz w:val="21"/>
                <w:szCs w:val="21"/>
                <w:highlight w:val="none"/>
                <w:lang w:val="en-US" w:eastAsia="zh-CN"/>
              </w:rPr>
              <w:t>重点关注财政资金闲置浪费、违规举债开展项目建设造成资产长期闲置等突出问题，以及超范围列支、违规拨付转移支付资金等典型问题。</w:t>
            </w:r>
          </w:p>
          <w:p w14:paraId="67F58F73">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lang w:val="en-US" w:eastAsia="zh-CN"/>
              </w:rPr>
              <w:t>（二）</w:t>
            </w:r>
            <w:r>
              <w:rPr>
                <w:rFonts w:hint="eastAsia" w:ascii="宋体" w:hAnsi="宋体" w:eastAsia="宋体"/>
                <w:bCs/>
                <w:color w:val="auto"/>
                <w:sz w:val="21"/>
                <w:szCs w:val="21"/>
                <w:highlight w:val="none"/>
              </w:rPr>
              <w:t>本单位重要发展规划和政策措施的制定、执行和效果情况</w:t>
            </w:r>
          </w:p>
          <w:p w14:paraId="7ECA3D34">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textAlignment w:val="auto"/>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lang w:val="en-US" w:eastAsia="zh-CN"/>
              </w:rPr>
              <w:t>（三）</w:t>
            </w:r>
            <w:r>
              <w:rPr>
                <w:rFonts w:hint="eastAsia" w:ascii="宋体" w:hAnsi="宋体" w:eastAsia="宋体"/>
                <w:bCs/>
                <w:color w:val="auto"/>
                <w:sz w:val="21"/>
                <w:szCs w:val="21"/>
                <w:highlight w:val="none"/>
              </w:rPr>
              <w:t>重大经济事项的决策、执行和效果情况</w:t>
            </w:r>
            <w:r>
              <w:rPr>
                <w:rFonts w:hint="eastAsia" w:ascii="宋体" w:hAnsi="宋体" w:eastAsia="宋体"/>
                <w:bCs/>
                <w:color w:val="auto"/>
                <w:sz w:val="21"/>
                <w:szCs w:val="21"/>
                <w:highlight w:val="none"/>
                <w:lang w:eastAsia="zh-CN"/>
              </w:rPr>
              <w:t>。</w:t>
            </w:r>
            <w:r>
              <w:rPr>
                <w:rFonts w:hint="eastAsia" w:ascii="宋体" w:hAnsi="宋体" w:eastAsia="宋体"/>
                <w:color w:val="auto"/>
                <w:sz w:val="21"/>
                <w:highlight w:val="none"/>
              </w:rPr>
              <w:t>关注被审计领导干部是否采取措施建立健全工作规则、议事规则、决定（任务）下达</w:t>
            </w:r>
            <w:r>
              <w:rPr>
                <w:rFonts w:hint="eastAsia" w:ascii="宋体" w:hAnsi="宋体" w:eastAsia="宋体"/>
                <w:color w:val="auto"/>
                <w:sz w:val="21"/>
                <w:highlight w:val="none"/>
                <w:u w:val="none"/>
              </w:rPr>
              <w:t>和</w:t>
            </w:r>
            <w:r>
              <w:rPr>
                <w:rFonts w:hint="eastAsia" w:ascii="宋体" w:hAnsi="宋体" w:eastAsia="宋体"/>
                <w:bCs/>
                <w:color w:val="auto"/>
                <w:sz w:val="21"/>
                <w:szCs w:val="21"/>
                <w:highlight w:val="none"/>
              </w:rPr>
              <w:t>完成报告等经济决策管理制度，是否将预算管理、基本建设、大额资产采购、大额资产处置、大额资金使用等重大经济事项纳入决策范围</w:t>
            </w:r>
            <w:r>
              <w:rPr>
                <w:rFonts w:hint="eastAsia" w:ascii="宋体" w:hAnsi="宋体" w:eastAsia="宋体"/>
                <w:bCs/>
                <w:color w:val="auto"/>
                <w:sz w:val="21"/>
                <w:szCs w:val="21"/>
                <w:highlight w:val="none"/>
                <w:lang w:eastAsia="zh-CN"/>
              </w:rPr>
              <w:t>；</w:t>
            </w:r>
            <w:r>
              <w:rPr>
                <w:rFonts w:hint="eastAsia" w:ascii="宋体" w:hAnsi="宋体" w:eastAsia="宋体"/>
                <w:color w:val="auto"/>
                <w:sz w:val="21"/>
                <w:highlight w:val="none"/>
              </w:rPr>
              <w:t>关注被审计领导干部任职期间</w:t>
            </w:r>
            <w:r>
              <w:rPr>
                <w:rFonts w:hint="eastAsia" w:ascii="宋体" w:hAnsi="宋体" w:eastAsia="宋体"/>
                <w:color w:val="auto"/>
                <w:sz w:val="21"/>
                <w:highlight w:val="none"/>
                <w:u w:val="none"/>
              </w:rPr>
              <w:t>的</w:t>
            </w:r>
            <w:r>
              <w:rPr>
                <w:rFonts w:hint="eastAsia" w:ascii="宋体" w:hAnsi="宋体" w:eastAsia="宋体"/>
                <w:bCs/>
                <w:color w:val="auto"/>
                <w:sz w:val="21"/>
                <w:szCs w:val="21"/>
                <w:highlight w:val="none"/>
              </w:rPr>
              <w:t>重大经济决策程序是否合法合规</w:t>
            </w:r>
            <w:r>
              <w:rPr>
                <w:rFonts w:hint="eastAsia" w:ascii="宋体" w:hAnsi="宋体" w:eastAsia="宋体"/>
                <w:bCs/>
                <w:color w:val="auto"/>
                <w:sz w:val="21"/>
                <w:szCs w:val="21"/>
                <w:highlight w:val="none"/>
                <w:lang w:eastAsia="zh-CN"/>
              </w:rPr>
              <w:t>；</w:t>
            </w:r>
            <w:r>
              <w:rPr>
                <w:rFonts w:hint="eastAsia" w:ascii="宋体" w:hAnsi="宋体" w:eastAsia="宋体"/>
                <w:bCs/>
                <w:color w:val="auto"/>
                <w:sz w:val="21"/>
                <w:szCs w:val="21"/>
                <w:highlight w:val="none"/>
              </w:rPr>
              <w:t>关注重大经济决策事项执行的及时性，有关监督和保障措施的有效性，决策实施内容调整的合规性</w:t>
            </w:r>
            <w:r>
              <w:rPr>
                <w:rFonts w:hint="eastAsia" w:ascii="宋体" w:hAnsi="宋体" w:eastAsia="宋体"/>
                <w:bCs/>
                <w:color w:val="auto"/>
                <w:sz w:val="21"/>
                <w:szCs w:val="21"/>
                <w:highlight w:val="none"/>
                <w:lang w:eastAsia="zh-CN"/>
              </w:rPr>
              <w:t>；</w:t>
            </w:r>
            <w:r>
              <w:rPr>
                <w:rFonts w:hint="eastAsia" w:ascii="宋体" w:hAnsi="宋体" w:eastAsia="宋体"/>
                <w:bCs/>
                <w:color w:val="auto"/>
                <w:sz w:val="21"/>
                <w:szCs w:val="21"/>
                <w:highlight w:val="none"/>
              </w:rPr>
              <w:t>关注是否实行内部审计制度，是否依法履行审计监督情况，检查内部审计领导体制、机构和人员设置是否符合规定。</w:t>
            </w:r>
          </w:p>
          <w:p w14:paraId="04132BC2">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textAlignment w:val="auto"/>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lang w:val="en-US" w:eastAsia="zh-CN"/>
              </w:rPr>
              <w:t>（四）</w:t>
            </w:r>
            <w:r>
              <w:rPr>
                <w:rFonts w:hint="eastAsia" w:ascii="宋体" w:hAnsi="宋体" w:eastAsia="宋体"/>
                <w:bCs/>
                <w:color w:val="auto"/>
                <w:sz w:val="21"/>
                <w:szCs w:val="21"/>
                <w:highlight w:val="none"/>
              </w:rPr>
              <w:t>财政财务管理和经济风险防范情况，建设项目、资金等管理使用和效益情况，以及在预算管理中执行机构编制管理规定情况</w:t>
            </w:r>
            <w:r>
              <w:rPr>
                <w:rFonts w:hint="eastAsia" w:ascii="宋体" w:hAnsi="宋体" w:eastAsia="宋体"/>
                <w:bCs/>
                <w:color w:val="auto"/>
                <w:sz w:val="21"/>
                <w:szCs w:val="21"/>
                <w:highlight w:val="none"/>
                <w:lang w:eastAsia="zh-CN"/>
              </w:rPr>
              <w:t>。</w:t>
            </w:r>
            <w:r>
              <w:rPr>
                <w:rFonts w:hint="eastAsia" w:ascii="宋体" w:hAnsi="宋体" w:eastAsia="宋体"/>
                <w:bCs/>
                <w:color w:val="auto"/>
                <w:sz w:val="21"/>
                <w:szCs w:val="21"/>
                <w:highlight w:val="none"/>
              </w:rPr>
              <w:t>关注被审计领导干部在任职期间部门的财政财务管理情况</w:t>
            </w:r>
            <w:r>
              <w:rPr>
                <w:rFonts w:hint="eastAsia" w:ascii="宋体" w:hAnsi="宋体" w:eastAsia="宋体"/>
                <w:bCs/>
                <w:color w:val="auto"/>
                <w:sz w:val="21"/>
                <w:szCs w:val="21"/>
                <w:highlight w:val="none"/>
                <w:lang w:eastAsia="zh-CN"/>
              </w:rPr>
              <w:t>；</w:t>
            </w:r>
            <w:r>
              <w:rPr>
                <w:rFonts w:hint="eastAsia" w:ascii="宋体" w:hAnsi="宋体" w:eastAsia="宋体"/>
                <w:color w:val="auto"/>
                <w:sz w:val="21"/>
                <w:highlight w:val="none"/>
              </w:rPr>
              <w:t>关注被审计领导干部在</w:t>
            </w:r>
            <w:r>
              <w:rPr>
                <w:rFonts w:hint="eastAsia" w:ascii="宋体" w:hAnsi="宋体" w:eastAsia="宋体"/>
                <w:color w:val="auto"/>
                <w:sz w:val="21"/>
                <w:highlight w:val="none"/>
                <w:u w:val="none"/>
              </w:rPr>
              <w:t>其</w:t>
            </w:r>
            <w:r>
              <w:rPr>
                <w:rFonts w:hint="eastAsia" w:ascii="宋体" w:hAnsi="宋体" w:eastAsia="宋体"/>
                <w:bCs/>
                <w:color w:val="auto"/>
                <w:sz w:val="21"/>
                <w:szCs w:val="21"/>
                <w:highlight w:val="none"/>
              </w:rPr>
              <w:t>任职单位的经济风险防范、生态文明建设等工作中的作为及其对相关工作效益的影响</w:t>
            </w:r>
            <w:r>
              <w:rPr>
                <w:rFonts w:hint="eastAsia" w:ascii="宋体" w:hAnsi="宋体" w:eastAsia="宋体"/>
                <w:bCs/>
                <w:color w:val="auto"/>
                <w:sz w:val="21"/>
                <w:szCs w:val="21"/>
                <w:highlight w:val="none"/>
                <w:lang w:eastAsia="zh-CN"/>
              </w:rPr>
              <w:t>；</w:t>
            </w:r>
            <w:r>
              <w:rPr>
                <w:rFonts w:hint="eastAsia" w:ascii="宋体" w:hAnsi="宋体" w:eastAsia="宋体"/>
                <w:color w:val="auto"/>
                <w:sz w:val="21"/>
                <w:highlight w:val="none"/>
              </w:rPr>
              <w:t>关注被审计领导干部在预算管理中执行机构编制管理规定</w:t>
            </w:r>
            <w:r>
              <w:rPr>
                <w:rFonts w:hint="eastAsia" w:ascii="宋体" w:hAnsi="宋体" w:eastAsia="宋体"/>
                <w:color w:val="auto"/>
                <w:sz w:val="21"/>
                <w:highlight w:val="none"/>
                <w:u w:val="none"/>
              </w:rPr>
              <w:t>的</w:t>
            </w:r>
            <w:r>
              <w:rPr>
                <w:rFonts w:hint="eastAsia" w:ascii="宋体" w:hAnsi="宋体" w:eastAsia="宋体"/>
                <w:bCs/>
                <w:color w:val="auto"/>
                <w:sz w:val="21"/>
                <w:szCs w:val="21"/>
                <w:highlight w:val="none"/>
              </w:rPr>
              <w:t>情况。</w:t>
            </w:r>
          </w:p>
          <w:p w14:paraId="6B787021">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预算编制方面。重点关注是否严格落实零基预算改革要求；部门预算编制不完整，结转结余资金管理不规范；虚报冒领人员经费、公用经费、项目经费；预算决策程序不符合规定；未按要求编制项目绩效目标等问题。</w:t>
            </w:r>
          </w:p>
          <w:p w14:paraId="382054D6">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预算执行方面。重点关注年底突击花钱，超进度支付款项，</w:t>
            </w:r>
          </w:p>
          <w:p w14:paraId="5618B4A6">
            <w:pPr>
              <w:keepNext w:val="0"/>
              <w:keepLines w:val="0"/>
              <w:pageBreakBefore w:val="0"/>
              <w:widowControl w:val="0"/>
              <w:kinsoku/>
              <w:wordWrap w:val="0"/>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擅自扩大开支范围和标准违反规定自设新设、超范围超标准发放工资津贴补贴等；通过虚假合同、虚假票据等方式虚列支出；“三公”经费、会议费、培训费等支出管控不严，支出不规范；预算调剂不规范等问题。</w:t>
            </w:r>
          </w:p>
          <w:p w14:paraId="735E2F1C">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预算绩效管理方面。重点关注绩效目标设定与项目实际脱节，或虚设、降低绩效目标值；绩效运行监控流于形式，未及时发现和纠正项目执行偏差；绩效评价走过场、自评不实，未按规定开展绩效评价或评价结果失真，甚至虚报绩效目标完成情况；未按规定落实绩效评价发现问题整改或虚假整改；是否将评估评价结果与预算安排挂钩。</w:t>
            </w:r>
          </w:p>
          <w:p w14:paraId="71188608">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资金管理方面。重点关注违规从零余额账户向实有资金账户划拨资金；未按规定将存量资金收回统筹安排；银行账户管理不规范；挤占、挪用、违规对外出借资金；私设“小金库”，未按规定处置罚没财物和重点领域违规收费等问题。</w:t>
            </w:r>
          </w:p>
          <w:p w14:paraId="6F49E9AB">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资产管理方面。重点关注未按规定建立内控制度，账账、账实、账卡不符，以及资产信息未按规定登记等行政事业单位国有资产基础管理问题；资产权属不清、未采取措施办理产权登记；超标准、超预算配置资产；资产长期闲置未及时采取措施盘活；资产清查盘点工作开展不力，闲置、低效运转、超标准配置等资产未纳入政府公物仓，不接受使用调剂资产造成资源浪费；资产出租、出借、对外投资、处置等管理不规范，未按规定履行审批</w:t>
            </w:r>
          </w:p>
          <w:p w14:paraId="2E8FCDB0">
            <w:pPr>
              <w:keepNext w:val="0"/>
              <w:keepLines w:val="0"/>
              <w:pageBreakBefore w:val="0"/>
              <w:widowControl w:val="0"/>
              <w:kinsoku/>
              <w:wordWrap w:val="0"/>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程序；资产使用、处置收益未按规定及时上交财政等问题。</w:t>
            </w:r>
          </w:p>
          <w:p w14:paraId="736A8CBD">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textAlignment w:val="auto"/>
              <w:rPr>
                <w:rFonts w:hint="eastAsia" w:ascii="宋体" w:hAnsi="宋体" w:eastAsia="宋体"/>
                <w:color w:val="auto"/>
                <w:sz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政府采购方面。重点关注采购信息是否依法公开；采购项目是否存在无预算或超预算采购；采购文件是否设置差别歧视条款；采购程序是否按法律法规实施；合同签订是否规范、是否按合同规定验收和支付资金等问题。</w:t>
            </w:r>
          </w:p>
          <w:p w14:paraId="69498494">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bCs/>
                <w:color w:val="auto"/>
                <w:sz w:val="21"/>
                <w:szCs w:val="21"/>
                <w:highlight w:val="none"/>
              </w:rPr>
            </w:pPr>
            <w:r>
              <w:rPr>
                <w:rFonts w:hint="eastAsia" w:ascii="宋体" w:hAnsi="宋体" w:eastAsia="宋体"/>
                <w:color w:val="auto"/>
                <w:sz w:val="21"/>
                <w:highlight w:val="none"/>
                <w:lang w:eastAsia="zh-CN"/>
              </w:rPr>
              <w:t>（五）</w:t>
            </w:r>
            <w:r>
              <w:rPr>
                <w:rFonts w:hint="eastAsia" w:ascii="宋体" w:hAnsi="宋体" w:eastAsia="宋体"/>
                <w:color w:val="auto"/>
                <w:sz w:val="21"/>
                <w:highlight w:val="none"/>
              </w:rPr>
              <w:t>在经济活动中落实有关党风廉政建设责任和遵守廉洁从政规定</w:t>
            </w:r>
            <w:r>
              <w:rPr>
                <w:rFonts w:hint="eastAsia" w:ascii="宋体" w:hAnsi="宋体" w:eastAsia="宋体"/>
                <w:color w:val="auto"/>
                <w:sz w:val="21"/>
                <w:highlight w:val="none"/>
                <w:u w:val="none"/>
              </w:rPr>
              <w:t>的</w:t>
            </w:r>
            <w:r>
              <w:rPr>
                <w:rFonts w:hint="eastAsia" w:ascii="宋体" w:hAnsi="宋体" w:eastAsia="宋体"/>
                <w:bCs/>
                <w:color w:val="auto"/>
                <w:sz w:val="21"/>
                <w:szCs w:val="21"/>
                <w:highlight w:val="none"/>
              </w:rPr>
              <w:t>情况</w:t>
            </w:r>
            <w:r>
              <w:rPr>
                <w:rFonts w:hint="eastAsia" w:ascii="宋体" w:hAnsi="宋体" w:eastAsia="宋体"/>
                <w:bCs/>
                <w:color w:val="auto"/>
                <w:sz w:val="21"/>
                <w:szCs w:val="21"/>
                <w:highlight w:val="none"/>
                <w:lang w:eastAsia="zh-CN"/>
              </w:rPr>
              <w:t>。</w:t>
            </w:r>
            <w:r>
              <w:rPr>
                <w:rFonts w:hint="eastAsia" w:ascii="宋体" w:hAnsi="宋体" w:eastAsia="宋体"/>
                <w:bCs/>
                <w:color w:val="auto"/>
                <w:sz w:val="21"/>
                <w:szCs w:val="21"/>
                <w:highlight w:val="none"/>
              </w:rPr>
              <w:t>关注被审计领导干部建立健全有关党风廉政制度及其执行的情况，关注和揭示被审计单位在政策落实、资金使用等方面存在的“四风”问题</w:t>
            </w:r>
            <w:r>
              <w:rPr>
                <w:rFonts w:hint="eastAsia" w:ascii="宋体" w:hAnsi="宋体" w:eastAsia="宋体"/>
                <w:bCs/>
                <w:color w:val="auto"/>
                <w:sz w:val="21"/>
                <w:szCs w:val="21"/>
                <w:highlight w:val="none"/>
                <w:lang w:eastAsia="zh-CN"/>
              </w:rPr>
              <w:t>；</w:t>
            </w:r>
            <w:r>
              <w:rPr>
                <w:rFonts w:hint="eastAsia" w:ascii="宋体" w:hAnsi="宋体" w:eastAsia="宋体"/>
                <w:bCs/>
                <w:color w:val="auto"/>
                <w:sz w:val="21"/>
                <w:szCs w:val="21"/>
                <w:highlight w:val="none"/>
              </w:rPr>
              <w:t>关注作为中国共产党党员的被审计领导干部在经济活动中遵守《中国共产党党章》等廉洁从政规定情况。是否履行党风廉政建设第一责任人责任等各项职责</w:t>
            </w:r>
            <w:r>
              <w:rPr>
                <w:rFonts w:hint="eastAsia" w:ascii="宋体" w:hAnsi="宋体" w:eastAsia="宋体"/>
                <w:bCs/>
                <w:color w:val="auto"/>
                <w:sz w:val="21"/>
                <w:szCs w:val="21"/>
                <w:highlight w:val="none"/>
                <w:lang w:eastAsia="zh-CN"/>
              </w:rPr>
              <w:t>；</w:t>
            </w:r>
            <w:r>
              <w:rPr>
                <w:rFonts w:hint="eastAsia" w:ascii="宋体" w:hAnsi="宋体" w:eastAsia="宋体"/>
                <w:color w:val="auto"/>
                <w:sz w:val="21"/>
                <w:highlight w:val="none"/>
              </w:rPr>
              <w:t>关注被审计领导干部贯彻执行《党政机关厉行节约反对浪费条例》《关于进一步规范党政领导干部在企业兼职(任职)问题的意见》、中央八项规定</w:t>
            </w:r>
            <w:r>
              <w:rPr>
                <w:rFonts w:hint="eastAsia" w:ascii="宋体" w:hAnsi="宋体" w:eastAsia="宋体"/>
                <w:color w:val="auto"/>
                <w:sz w:val="21"/>
                <w:highlight w:val="none"/>
                <w:u w:val="none"/>
              </w:rPr>
              <w:t>精神</w:t>
            </w:r>
            <w:r>
              <w:rPr>
                <w:rFonts w:hint="eastAsia" w:ascii="宋体" w:hAnsi="宋体" w:eastAsia="宋体"/>
                <w:color w:val="auto"/>
                <w:sz w:val="21"/>
                <w:highlight w:val="none"/>
              </w:rPr>
              <w:t>和自治区30条贯彻落实意见</w:t>
            </w:r>
            <w:r>
              <w:rPr>
                <w:rFonts w:hint="eastAsia" w:ascii="宋体" w:hAnsi="宋体" w:eastAsia="宋体"/>
                <w:color w:val="auto"/>
                <w:sz w:val="21"/>
                <w:highlight w:val="none"/>
                <w:u w:val="none"/>
              </w:rPr>
              <w:t>等</w:t>
            </w:r>
            <w:r>
              <w:rPr>
                <w:rFonts w:hint="eastAsia" w:ascii="宋体" w:hAnsi="宋体" w:eastAsia="宋体"/>
                <w:bCs/>
                <w:color w:val="auto"/>
                <w:sz w:val="21"/>
                <w:szCs w:val="21"/>
                <w:highlight w:val="none"/>
              </w:rPr>
              <w:t>情况</w:t>
            </w:r>
            <w:r>
              <w:rPr>
                <w:rFonts w:hint="eastAsia" w:ascii="宋体" w:hAnsi="宋体" w:eastAsia="宋体"/>
                <w:bCs/>
                <w:color w:val="auto"/>
                <w:sz w:val="21"/>
                <w:szCs w:val="21"/>
                <w:highlight w:val="none"/>
                <w:lang w:eastAsia="zh-CN"/>
              </w:rPr>
              <w:t>；</w:t>
            </w:r>
            <w:r>
              <w:rPr>
                <w:rFonts w:hint="eastAsia" w:ascii="宋体" w:hAnsi="宋体" w:eastAsia="宋体"/>
                <w:bCs/>
                <w:color w:val="auto"/>
                <w:sz w:val="21"/>
                <w:szCs w:val="21"/>
                <w:highlight w:val="none"/>
              </w:rPr>
              <w:t>核实与被审计领导干部有关的信访和举报等事项。</w:t>
            </w:r>
          </w:p>
          <w:p w14:paraId="7EE1A22B">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lang w:val="en-US" w:eastAsia="zh-CN"/>
              </w:rPr>
              <w:t>（六）</w:t>
            </w:r>
            <w:r>
              <w:rPr>
                <w:rFonts w:hint="eastAsia" w:ascii="宋体" w:hAnsi="宋体" w:eastAsia="宋体"/>
                <w:bCs/>
                <w:color w:val="auto"/>
                <w:sz w:val="21"/>
                <w:szCs w:val="21"/>
                <w:highlight w:val="none"/>
              </w:rPr>
              <w:t>以往审计发现问题的整改情况</w:t>
            </w:r>
            <w:r>
              <w:rPr>
                <w:rFonts w:hint="eastAsia" w:ascii="宋体" w:hAnsi="宋体" w:eastAsia="宋体"/>
                <w:bCs/>
                <w:color w:val="auto"/>
                <w:sz w:val="21"/>
                <w:szCs w:val="21"/>
                <w:highlight w:val="none"/>
                <w:lang w:eastAsia="zh-CN"/>
              </w:rPr>
              <w:t>。</w:t>
            </w:r>
            <w:r>
              <w:rPr>
                <w:rFonts w:hint="eastAsia" w:ascii="宋体" w:hAnsi="宋体" w:eastAsia="宋体"/>
                <w:bCs/>
                <w:color w:val="auto"/>
                <w:sz w:val="21"/>
                <w:szCs w:val="21"/>
                <w:highlight w:val="none"/>
              </w:rPr>
              <w:t>关注被审计领导干部任职期间任职单位所接受的各项审计查出问题的整改情况及其效果。</w:t>
            </w:r>
          </w:p>
          <w:p w14:paraId="7DD81E48">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lang w:val="en-US" w:eastAsia="zh-CN"/>
              </w:rPr>
              <w:t>（七）</w:t>
            </w:r>
            <w:r>
              <w:rPr>
                <w:rFonts w:hint="eastAsia" w:ascii="宋体" w:hAnsi="宋体" w:eastAsia="宋体"/>
                <w:bCs/>
                <w:color w:val="auto"/>
                <w:sz w:val="21"/>
                <w:szCs w:val="21"/>
                <w:highlight w:val="none"/>
              </w:rPr>
              <w:t>其他需要审计的内容</w:t>
            </w:r>
            <w:r>
              <w:rPr>
                <w:rFonts w:hint="eastAsia" w:ascii="宋体" w:hAnsi="宋体" w:eastAsia="宋体"/>
                <w:bCs/>
                <w:color w:val="auto"/>
                <w:sz w:val="21"/>
                <w:szCs w:val="21"/>
                <w:highlight w:val="none"/>
                <w:lang w:eastAsia="zh-CN"/>
              </w:rPr>
              <w:t>。</w:t>
            </w:r>
            <w:r>
              <w:rPr>
                <w:rFonts w:hint="eastAsia" w:ascii="宋体" w:hAnsi="宋体" w:eastAsia="宋体"/>
                <w:bCs/>
                <w:color w:val="auto"/>
                <w:sz w:val="21"/>
                <w:szCs w:val="21"/>
                <w:highlight w:val="none"/>
              </w:rPr>
              <w:t>根据被审计单位和被审计领导干部具体情况确定的其他需要审计的事项和内容。</w:t>
            </w:r>
          </w:p>
          <w:p w14:paraId="000F0BD0">
            <w:pPr>
              <w:keepNext w:val="0"/>
              <w:keepLines w:val="0"/>
              <w:pageBreakBefore w:val="0"/>
              <w:widowControl w:val="0"/>
              <w:numPr>
                <w:ilvl w:val="0"/>
                <w:numId w:val="0"/>
              </w:numPr>
              <w:kinsoku/>
              <w:wordWrap w:val="0"/>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四、工作要求</w:t>
            </w:r>
          </w:p>
          <w:p w14:paraId="486186F4">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lang w:val="en-US" w:eastAsia="zh-CN"/>
              </w:rPr>
              <w:t>（一）</w:t>
            </w:r>
            <w:r>
              <w:rPr>
                <w:rFonts w:hint="eastAsia" w:ascii="宋体" w:hAnsi="宋体" w:eastAsia="宋体"/>
                <w:bCs/>
                <w:color w:val="auto"/>
                <w:sz w:val="21"/>
                <w:szCs w:val="21"/>
                <w:highlight w:val="none"/>
              </w:rPr>
              <w:t>加强</w:t>
            </w:r>
            <w:r>
              <w:rPr>
                <w:rFonts w:hint="eastAsia" w:ascii="宋体" w:hAnsi="宋体" w:eastAsia="宋体"/>
                <w:bCs/>
                <w:color w:val="auto"/>
                <w:sz w:val="21"/>
                <w:szCs w:val="21"/>
                <w:highlight w:val="none"/>
                <w:lang w:eastAsia="zh-CN"/>
              </w:rPr>
              <w:t>组织</w:t>
            </w:r>
            <w:r>
              <w:rPr>
                <w:rFonts w:hint="eastAsia" w:ascii="宋体" w:hAnsi="宋体" w:eastAsia="宋体"/>
                <w:bCs/>
                <w:color w:val="auto"/>
                <w:sz w:val="21"/>
                <w:szCs w:val="21"/>
                <w:highlight w:val="none"/>
              </w:rPr>
              <w:t>领导</w:t>
            </w:r>
            <w:r>
              <w:rPr>
                <w:rFonts w:hint="eastAsia" w:ascii="宋体" w:hAnsi="宋体" w:eastAsia="宋体"/>
                <w:bCs/>
                <w:color w:val="auto"/>
                <w:sz w:val="21"/>
                <w:szCs w:val="21"/>
                <w:highlight w:val="none"/>
                <w:lang w:eastAsia="zh-CN"/>
              </w:rPr>
              <w:t>。</w:t>
            </w:r>
            <w:r>
              <w:rPr>
                <w:rFonts w:hint="eastAsia" w:ascii="宋体" w:hAnsi="宋体" w:eastAsia="宋体"/>
                <w:color w:val="auto"/>
                <w:sz w:val="21"/>
                <w:highlight w:val="none"/>
                <w:u w:val="none"/>
                <w:lang w:eastAsia="zh-CN"/>
              </w:rPr>
              <w:t>供应商应统筹安排本项目的审计力量，</w:t>
            </w:r>
            <w:r>
              <w:rPr>
                <w:rFonts w:hint="eastAsia" w:ascii="宋体" w:hAnsi="宋体" w:eastAsia="宋体"/>
                <w:color w:val="auto"/>
                <w:sz w:val="21"/>
                <w:highlight w:val="none"/>
                <w:lang w:eastAsia="zh-CN"/>
              </w:rPr>
              <w:t>派出审计组。</w:t>
            </w:r>
            <w:r>
              <w:rPr>
                <w:rFonts w:hint="eastAsia" w:ascii="宋体" w:hAnsi="宋体" w:eastAsia="宋体"/>
                <w:bCs/>
                <w:color w:val="auto"/>
                <w:sz w:val="21"/>
                <w:szCs w:val="21"/>
                <w:highlight w:val="none"/>
                <w:lang w:eastAsia="zh-CN"/>
              </w:rPr>
              <w:t>健全和落实审计质量控制工作机制和要求，遵守审计回避、廉洁、保密等审计工作纪律，</w:t>
            </w:r>
            <w:r>
              <w:rPr>
                <w:rFonts w:hint="eastAsia" w:ascii="宋体" w:hAnsi="宋体" w:eastAsia="宋体"/>
                <w:bCs/>
                <w:color w:val="auto"/>
                <w:sz w:val="21"/>
                <w:szCs w:val="21"/>
                <w:highlight w:val="none"/>
              </w:rPr>
              <w:t>为圆满完成任务提供有力的组织保障。</w:t>
            </w:r>
          </w:p>
          <w:p w14:paraId="145725E9">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hint="eastAsia" w:ascii="宋体" w:hAnsi="宋体" w:eastAsia="宋体"/>
                <w:color w:val="auto"/>
                <w:sz w:val="21"/>
                <w:highlight w:val="none"/>
                <w:u w:val="none"/>
                <w:lang w:eastAsia="zh-CN"/>
              </w:rPr>
            </w:pPr>
            <w:r>
              <w:rPr>
                <w:rFonts w:hint="eastAsia" w:ascii="宋体" w:hAnsi="宋体" w:eastAsia="宋体"/>
                <w:bCs/>
                <w:color w:val="auto"/>
                <w:sz w:val="21"/>
                <w:szCs w:val="21"/>
                <w:highlight w:val="none"/>
                <w:lang w:val="en-US" w:eastAsia="zh-CN"/>
              </w:rPr>
              <w:t>（二）</w:t>
            </w:r>
            <w:r>
              <w:rPr>
                <w:rFonts w:hint="eastAsia" w:ascii="宋体" w:hAnsi="宋体" w:eastAsia="宋体"/>
                <w:color w:val="auto"/>
                <w:sz w:val="21"/>
                <w:highlight w:val="none"/>
                <w:u w:val="none"/>
                <w:lang w:eastAsia="zh-CN"/>
              </w:rPr>
              <w:t>制定实施方案</w:t>
            </w:r>
            <w:r>
              <w:rPr>
                <w:rFonts w:hint="eastAsia" w:ascii="宋体" w:hAnsi="宋体" w:eastAsia="宋体"/>
                <w:bCs/>
                <w:color w:val="auto"/>
                <w:sz w:val="21"/>
                <w:szCs w:val="21"/>
                <w:highlight w:val="none"/>
                <w:lang w:eastAsia="zh-CN"/>
              </w:rPr>
              <w:t>。供应商</w:t>
            </w:r>
            <w:r>
              <w:rPr>
                <w:rFonts w:hint="eastAsia" w:ascii="宋体" w:hAnsi="宋体" w:eastAsia="宋体"/>
                <w:color w:val="auto"/>
                <w:sz w:val="21"/>
                <w:highlight w:val="none"/>
                <w:u w:val="none"/>
              </w:rPr>
              <w:t>及</w:t>
            </w:r>
            <w:r>
              <w:rPr>
                <w:rFonts w:hint="eastAsia" w:ascii="宋体" w:hAnsi="宋体" w:eastAsia="宋体"/>
                <w:bCs/>
                <w:color w:val="auto"/>
                <w:sz w:val="21"/>
                <w:szCs w:val="21"/>
                <w:highlight w:val="none"/>
              </w:rPr>
              <w:t>派出审计组</w:t>
            </w:r>
            <w:r>
              <w:rPr>
                <w:rFonts w:hint="eastAsia" w:ascii="宋体" w:hAnsi="宋体" w:eastAsia="宋体"/>
                <w:bCs/>
                <w:color w:val="auto"/>
                <w:sz w:val="21"/>
                <w:szCs w:val="21"/>
                <w:highlight w:val="none"/>
                <w:lang w:eastAsia="zh-CN"/>
              </w:rPr>
              <w:t>成员</w:t>
            </w:r>
            <w:r>
              <w:rPr>
                <w:rFonts w:hint="eastAsia" w:ascii="宋体" w:hAnsi="宋体" w:eastAsia="宋体"/>
                <w:color w:val="auto"/>
                <w:sz w:val="21"/>
                <w:highlight w:val="none"/>
              </w:rPr>
              <w:t>进驻被审计单位前，</w:t>
            </w:r>
            <w:r>
              <w:rPr>
                <w:rFonts w:hint="eastAsia" w:ascii="宋体" w:hAnsi="宋体" w:eastAsia="宋体" w:cs="宋体"/>
                <w:color w:val="auto"/>
                <w:sz w:val="21"/>
                <w:szCs w:val="21"/>
                <w:highlight w:val="none"/>
              </w:rPr>
              <w:t>应了解被</w:t>
            </w:r>
            <w:r>
              <w:rPr>
                <w:rFonts w:hint="eastAsia" w:ascii="宋体" w:hAnsi="宋体" w:eastAsia="宋体" w:cs="宋体"/>
                <w:color w:val="auto"/>
                <w:sz w:val="21"/>
                <w:szCs w:val="21"/>
                <w:highlight w:val="none"/>
                <w:lang w:eastAsia="zh-CN"/>
              </w:rPr>
              <w:t>审计</w:t>
            </w:r>
            <w:r>
              <w:rPr>
                <w:rFonts w:hint="eastAsia" w:ascii="宋体" w:hAnsi="宋体" w:eastAsia="宋体" w:cs="宋体"/>
                <w:color w:val="auto"/>
                <w:sz w:val="21"/>
                <w:szCs w:val="21"/>
                <w:highlight w:val="none"/>
              </w:rPr>
              <w:t>单位基本情况</w:t>
            </w:r>
            <w:r>
              <w:rPr>
                <w:rFonts w:hint="eastAsia" w:ascii="宋体" w:hAnsi="宋体" w:eastAsia="宋体" w:cs="宋体"/>
                <w:color w:val="auto"/>
                <w:sz w:val="21"/>
                <w:szCs w:val="21"/>
                <w:highlight w:val="none"/>
                <w:lang w:eastAsia="zh-CN"/>
              </w:rPr>
              <w:t>，</w:t>
            </w:r>
            <w:r>
              <w:rPr>
                <w:rFonts w:hint="eastAsia" w:ascii="宋体" w:hAnsi="宋体" w:eastAsia="宋体"/>
                <w:bCs/>
                <w:color w:val="auto"/>
                <w:sz w:val="21"/>
                <w:szCs w:val="21"/>
                <w:highlight w:val="none"/>
              </w:rPr>
              <w:t>针对性地修改和完善</w:t>
            </w:r>
            <w:r>
              <w:rPr>
                <w:rFonts w:hint="eastAsia" w:ascii="宋体" w:hAnsi="宋体" w:eastAsia="宋体"/>
                <w:bCs/>
                <w:color w:val="auto"/>
                <w:sz w:val="21"/>
                <w:szCs w:val="21"/>
                <w:highlight w:val="none"/>
                <w:lang w:eastAsia="zh-CN"/>
              </w:rPr>
              <w:t>审计</w:t>
            </w:r>
            <w:r>
              <w:rPr>
                <w:rFonts w:hint="eastAsia" w:ascii="宋体" w:hAnsi="宋体" w:eastAsia="宋体"/>
                <w:bCs/>
                <w:color w:val="auto"/>
                <w:sz w:val="21"/>
                <w:szCs w:val="21"/>
                <w:highlight w:val="none"/>
              </w:rPr>
              <w:t>服务工作方案，编制全面完整的</w:t>
            </w:r>
            <w:r>
              <w:rPr>
                <w:rFonts w:hint="eastAsia" w:ascii="宋体" w:hAnsi="宋体" w:eastAsia="宋体"/>
                <w:bCs/>
                <w:color w:val="auto"/>
                <w:sz w:val="21"/>
                <w:szCs w:val="21"/>
                <w:highlight w:val="none"/>
                <w:lang w:eastAsia="zh-CN"/>
              </w:rPr>
              <w:t>项目</w:t>
            </w:r>
            <w:r>
              <w:rPr>
                <w:rFonts w:hint="eastAsia" w:ascii="宋体" w:hAnsi="宋体" w:eastAsia="宋体"/>
                <w:bCs/>
                <w:color w:val="auto"/>
                <w:sz w:val="21"/>
                <w:szCs w:val="21"/>
                <w:highlight w:val="none"/>
              </w:rPr>
              <w:t>审计实施方案提交采购人</w:t>
            </w:r>
            <w:r>
              <w:rPr>
                <w:rFonts w:hint="eastAsia" w:ascii="宋体" w:hAnsi="宋体" w:eastAsia="宋体"/>
                <w:color w:val="auto"/>
                <w:sz w:val="21"/>
                <w:highlight w:val="none"/>
                <w:u w:val="none"/>
              </w:rPr>
              <w:t>审核</w:t>
            </w:r>
            <w:r>
              <w:rPr>
                <w:rFonts w:hint="eastAsia" w:ascii="宋体" w:hAnsi="宋体" w:eastAsia="宋体"/>
                <w:color w:val="auto"/>
                <w:sz w:val="21"/>
                <w:highlight w:val="none"/>
                <w:lang w:eastAsia="zh-CN"/>
              </w:rPr>
              <w:t>，</w:t>
            </w:r>
            <w:r>
              <w:rPr>
                <w:rFonts w:hint="eastAsia" w:ascii="宋体" w:hAnsi="宋体" w:eastAsia="宋体"/>
                <w:color w:val="auto"/>
                <w:sz w:val="21"/>
                <w:highlight w:val="none"/>
                <w:u w:val="none"/>
                <w:lang w:eastAsia="zh-CN"/>
              </w:rPr>
              <w:t>按采购人</w:t>
            </w:r>
            <w:r>
              <w:rPr>
                <w:rFonts w:hint="eastAsia" w:ascii="宋体" w:hAnsi="宋体" w:eastAsia="宋体"/>
                <w:color w:val="auto"/>
                <w:sz w:val="21"/>
                <w:highlight w:val="none"/>
                <w:lang w:eastAsia="zh-CN"/>
              </w:rPr>
              <w:t>审定</w:t>
            </w:r>
            <w:r>
              <w:rPr>
                <w:rFonts w:hint="eastAsia" w:ascii="宋体" w:hAnsi="宋体" w:eastAsia="宋体"/>
                <w:color w:val="auto"/>
                <w:sz w:val="21"/>
                <w:highlight w:val="none"/>
                <w:u w:val="none"/>
                <w:lang w:eastAsia="zh-CN"/>
              </w:rPr>
              <w:t>的方案实施。项目审计实施方案的</w:t>
            </w:r>
            <w:r>
              <w:rPr>
                <w:rFonts w:hint="eastAsia" w:ascii="宋体" w:hAnsi="宋体" w:eastAsia="宋体"/>
                <w:color w:val="auto"/>
                <w:sz w:val="21"/>
                <w:highlight w:val="none"/>
                <w:lang w:eastAsia="zh-CN"/>
              </w:rPr>
              <w:t>主要</w:t>
            </w:r>
            <w:r>
              <w:rPr>
                <w:rFonts w:hint="eastAsia" w:ascii="宋体" w:hAnsi="宋体" w:eastAsia="宋体"/>
                <w:color w:val="auto"/>
                <w:sz w:val="21"/>
                <w:highlight w:val="none"/>
                <w:u w:val="none"/>
                <w:lang w:eastAsia="zh-CN"/>
              </w:rPr>
              <w:t>内容应</w:t>
            </w:r>
            <w:r>
              <w:rPr>
                <w:rFonts w:hint="eastAsia" w:ascii="宋体" w:hAnsi="宋体" w:eastAsia="宋体"/>
                <w:color w:val="auto"/>
                <w:sz w:val="21"/>
                <w:highlight w:val="none"/>
                <w:lang w:eastAsia="zh-CN"/>
              </w:rPr>
              <w:t>包括</w:t>
            </w:r>
            <w:r>
              <w:rPr>
                <w:rFonts w:hint="eastAsia" w:ascii="宋体" w:hAnsi="宋体" w:eastAsia="宋体"/>
                <w:color w:val="auto"/>
                <w:sz w:val="21"/>
                <w:highlight w:val="none"/>
                <w:u w:val="none"/>
                <w:lang w:eastAsia="zh-CN"/>
              </w:rPr>
              <w:t>以下内容</w:t>
            </w:r>
            <w:r>
              <w:rPr>
                <w:rFonts w:hint="eastAsia" w:ascii="宋体" w:hAnsi="宋体" w:eastAsia="宋体"/>
                <w:color w:val="auto"/>
                <w:sz w:val="21"/>
                <w:highlight w:val="none"/>
                <w:lang w:eastAsia="zh-CN"/>
              </w:rPr>
              <w:t>：编制依据、</w:t>
            </w:r>
            <w:r>
              <w:rPr>
                <w:rFonts w:hint="eastAsia" w:ascii="宋体" w:hAnsi="宋体" w:eastAsia="宋体"/>
                <w:color w:val="auto"/>
                <w:sz w:val="21"/>
                <w:highlight w:val="none"/>
                <w:u w:val="none"/>
                <w:lang w:eastAsia="zh-CN"/>
              </w:rPr>
              <w:t>审计范围、</w:t>
            </w:r>
            <w:r>
              <w:rPr>
                <w:rFonts w:hint="eastAsia" w:ascii="宋体" w:hAnsi="宋体" w:eastAsia="宋体"/>
                <w:color w:val="auto"/>
                <w:sz w:val="21"/>
                <w:highlight w:val="none"/>
                <w:lang w:eastAsia="zh-CN"/>
              </w:rPr>
              <w:t>审计目标、</w:t>
            </w:r>
            <w:r>
              <w:rPr>
                <w:rFonts w:hint="eastAsia" w:ascii="宋体" w:hAnsi="宋体" w:eastAsia="宋体"/>
                <w:color w:val="auto"/>
                <w:sz w:val="21"/>
                <w:highlight w:val="none"/>
                <w:u w:val="none"/>
                <w:lang w:eastAsia="zh-CN"/>
              </w:rPr>
              <w:t>被审计单位基本情况、</w:t>
            </w:r>
            <w:r>
              <w:rPr>
                <w:rFonts w:hint="eastAsia" w:ascii="宋体" w:hAnsi="宋体" w:eastAsia="宋体"/>
                <w:color w:val="auto"/>
                <w:sz w:val="21"/>
                <w:highlight w:val="none"/>
                <w:lang w:eastAsia="zh-CN"/>
              </w:rPr>
              <w:t>重要性分析和审计风险评估、审计内容及审计</w:t>
            </w:r>
            <w:r>
              <w:rPr>
                <w:rFonts w:hint="eastAsia" w:ascii="宋体" w:hAnsi="宋体" w:eastAsia="宋体"/>
                <w:color w:val="auto"/>
                <w:sz w:val="21"/>
                <w:highlight w:val="none"/>
                <w:u w:val="none"/>
                <w:lang w:eastAsia="zh-CN"/>
              </w:rPr>
              <w:t>步骤和</w:t>
            </w:r>
            <w:r>
              <w:rPr>
                <w:rFonts w:hint="eastAsia" w:ascii="宋体" w:hAnsi="宋体" w:eastAsia="宋体"/>
                <w:color w:val="auto"/>
                <w:sz w:val="21"/>
                <w:highlight w:val="none"/>
                <w:lang w:eastAsia="zh-CN"/>
              </w:rPr>
              <w:t>方法、预定审计工作起止时间、审计组成员及分工</w:t>
            </w:r>
            <w:r>
              <w:rPr>
                <w:rFonts w:hint="eastAsia" w:ascii="宋体" w:hAnsi="宋体" w:eastAsia="宋体"/>
                <w:color w:val="auto"/>
                <w:sz w:val="21"/>
                <w:highlight w:val="none"/>
                <w:u w:val="none"/>
                <w:lang w:eastAsia="zh-CN"/>
              </w:rPr>
              <w:t>等。其中，</w:t>
            </w:r>
            <w:r>
              <w:rPr>
                <w:rFonts w:hint="eastAsia" w:ascii="宋体" w:hAnsi="宋体" w:eastAsia="宋体" w:cs="宋体"/>
                <w:color w:val="auto"/>
                <w:sz w:val="21"/>
                <w:szCs w:val="21"/>
                <w:highlight w:val="none"/>
              </w:rPr>
              <w:t>供应商需按照重要性原则，确定报表的整体重要性水平为总收入或总支出的1%～2%，对单笔金额超过重要性水平10%的大额凭证100%检查，其余凭证按30%～40%比例抽查。</w:t>
            </w:r>
          </w:p>
          <w:p w14:paraId="7205726D">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bCs/>
                <w:color w:val="auto"/>
                <w:sz w:val="21"/>
                <w:szCs w:val="21"/>
                <w:highlight w:val="none"/>
              </w:rPr>
            </w:pPr>
            <w:r>
              <w:rPr>
                <w:rFonts w:hint="eastAsia" w:ascii="宋体" w:hAnsi="宋体" w:eastAsia="宋体"/>
                <w:color w:val="auto"/>
                <w:sz w:val="21"/>
                <w:highlight w:val="none"/>
                <w:u w:val="none"/>
                <w:lang w:eastAsia="zh-CN"/>
              </w:rPr>
              <w:t>（三）</w:t>
            </w:r>
            <w:r>
              <w:rPr>
                <w:rFonts w:hint="eastAsia" w:ascii="宋体" w:hAnsi="宋体" w:eastAsia="宋体"/>
                <w:color w:val="auto"/>
                <w:sz w:val="21"/>
                <w:highlight w:val="none"/>
                <w:u w:val="none"/>
              </w:rPr>
              <w:t>健全工作机制</w:t>
            </w:r>
            <w:r>
              <w:rPr>
                <w:rFonts w:hint="eastAsia" w:ascii="宋体" w:hAnsi="宋体" w:eastAsia="宋体"/>
                <w:bCs/>
                <w:color w:val="auto"/>
                <w:sz w:val="21"/>
                <w:szCs w:val="21"/>
                <w:highlight w:val="none"/>
              </w:rPr>
              <w:t>。</w:t>
            </w:r>
            <w:r>
              <w:rPr>
                <w:rFonts w:hint="eastAsia" w:ascii="宋体" w:hAnsi="宋体" w:eastAsia="宋体"/>
                <w:color w:val="auto"/>
                <w:sz w:val="21"/>
                <w:highlight w:val="none"/>
              </w:rPr>
              <w:t>为确保高质</w:t>
            </w:r>
            <w:r>
              <w:rPr>
                <w:rFonts w:hint="eastAsia" w:ascii="宋体" w:hAnsi="宋体" w:eastAsia="宋体"/>
                <w:color w:val="auto"/>
                <w:sz w:val="21"/>
                <w:highlight w:val="none"/>
                <w:u w:val="none"/>
              </w:rPr>
              <w:t>量</w:t>
            </w:r>
            <w:r>
              <w:rPr>
                <w:rFonts w:hint="eastAsia" w:ascii="宋体" w:hAnsi="宋体" w:eastAsia="宋体"/>
                <w:bCs/>
                <w:color w:val="auto"/>
                <w:sz w:val="21"/>
                <w:szCs w:val="21"/>
                <w:highlight w:val="none"/>
              </w:rPr>
              <w:t>完成任务，</w:t>
            </w:r>
            <w:r>
              <w:rPr>
                <w:rFonts w:hint="eastAsia" w:ascii="宋体" w:hAnsi="宋体" w:eastAsia="宋体"/>
                <w:bCs/>
                <w:color w:val="auto"/>
                <w:sz w:val="21"/>
                <w:szCs w:val="21"/>
                <w:highlight w:val="none"/>
                <w:lang w:eastAsia="zh-CN"/>
              </w:rPr>
              <w:t>供应商要建立审计项目沟通会等工作机制，定期召开现场审计组和采购人内部审计机构进展情况汇报沟通会；审计组</w:t>
            </w:r>
            <w:r>
              <w:rPr>
                <w:rFonts w:hint="eastAsia" w:ascii="宋体" w:hAnsi="宋体" w:eastAsia="宋体"/>
                <w:color w:val="auto"/>
                <w:sz w:val="21"/>
                <w:highlight w:val="none"/>
              </w:rPr>
              <w:t>成员之间要加强沟通与协作，充分利用科技手段，提高工作效率；</w:t>
            </w:r>
            <w:r>
              <w:rPr>
                <w:rFonts w:hint="eastAsia" w:ascii="宋体" w:hAnsi="宋体" w:eastAsia="宋体"/>
                <w:color w:val="auto"/>
                <w:sz w:val="21"/>
                <w:highlight w:val="none"/>
                <w:u w:val="none"/>
              </w:rPr>
              <w:t>审计组</w:t>
            </w:r>
            <w:r>
              <w:rPr>
                <w:rFonts w:hint="eastAsia" w:ascii="宋体" w:hAnsi="宋体" w:eastAsia="宋体"/>
                <w:bCs/>
                <w:color w:val="auto"/>
                <w:sz w:val="21"/>
                <w:szCs w:val="21"/>
                <w:highlight w:val="none"/>
              </w:rPr>
              <w:t>要认真做好取证、工作底稿等基础性工作，做到事实清楚，证据充分，依据有力，定性准确；</w:t>
            </w:r>
            <w:r>
              <w:rPr>
                <w:rFonts w:hint="eastAsia" w:ascii="宋体" w:hAnsi="宋体" w:eastAsia="宋体"/>
                <w:color w:val="auto"/>
                <w:sz w:val="21"/>
                <w:highlight w:val="none"/>
                <w:lang w:eastAsia="zh-CN"/>
              </w:rPr>
              <w:t>对编制的审计工作底稿、草拟的审计报告，一般要履行“主审—审计组组长（</w:t>
            </w:r>
            <w:r>
              <w:rPr>
                <w:rFonts w:hint="eastAsia" w:ascii="宋体" w:hAnsi="宋体" w:eastAsia="宋体"/>
                <w:color w:val="auto"/>
                <w:sz w:val="21"/>
                <w:highlight w:val="none"/>
                <w:u w:val="none"/>
                <w:lang w:eastAsia="zh-CN"/>
              </w:rPr>
              <w:t>或副组长</w:t>
            </w:r>
            <w:r>
              <w:rPr>
                <w:rFonts w:hint="eastAsia" w:ascii="宋体" w:hAnsi="宋体" w:eastAsia="宋体"/>
                <w:bCs/>
                <w:color w:val="auto"/>
                <w:sz w:val="21"/>
                <w:szCs w:val="21"/>
                <w:highlight w:val="none"/>
                <w:lang w:eastAsia="zh-CN"/>
              </w:rPr>
              <w:t>）—采购人</w:t>
            </w:r>
            <w:r>
              <w:rPr>
                <w:rFonts w:hint="eastAsia" w:ascii="宋体" w:hAnsi="宋体"/>
                <w:bCs/>
                <w:color w:val="auto"/>
                <w:sz w:val="21"/>
                <w:szCs w:val="21"/>
                <w:highlight w:val="none"/>
                <w:lang w:eastAsia="zh-CN"/>
              </w:rPr>
              <w:t>财审</w:t>
            </w:r>
            <w:r>
              <w:rPr>
                <w:rFonts w:hint="eastAsia" w:ascii="宋体" w:hAnsi="宋体" w:eastAsia="宋体"/>
                <w:bCs/>
                <w:color w:val="auto"/>
                <w:sz w:val="21"/>
                <w:szCs w:val="21"/>
                <w:highlight w:val="none"/>
                <w:lang w:eastAsia="zh-CN"/>
              </w:rPr>
              <w:t>机构负责人”的审计复核程序，保证审计工作质量。</w:t>
            </w:r>
          </w:p>
          <w:p w14:paraId="15B0A4C6">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hint="eastAsia"/>
                <w:color w:val="auto"/>
                <w:highlight w:val="none"/>
              </w:rPr>
            </w:pPr>
            <w:r>
              <w:rPr>
                <w:rFonts w:hint="eastAsia" w:ascii="宋体" w:hAnsi="宋体" w:eastAsia="宋体"/>
                <w:bCs/>
                <w:color w:val="auto"/>
                <w:sz w:val="21"/>
                <w:szCs w:val="21"/>
                <w:highlight w:val="none"/>
                <w:lang w:val="en-US" w:eastAsia="zh-CN"/>
              </w:rPr>
              <w:t>（四）</w:t>
            </w:r>
            <w:r>
              <w:rPr>
                <w:rFonts w:hint="eastAsia" w:ascii="宋体" w:hAnsi="宋体" w:eastAsia="宋体"/>
                <w:bCs/>
                <w:color w:val="auto"/>
                <w:sz w:val="21"/>
                <w:szCs w:val="21"/>
                <w:highlight w:val="none"/>
                <w:lang w:eastAsia="zh-CN"/>
              </w:rPr>
              <w:t>加强沟通协调。</w:t>
            </w:r>
            <w:r>
              <w:rPr>
                <w:rFonts w:hint="eastAsia" w:ascii="宋体" w:hAnsi="宋体" w:eastAsia="宋体"/>
                <w:bCs/>
                <w:color w:val="auto"/>
                <w:sz w:val="21"/>
                <w:szCs w:val="21"/>
                <w:highlight w:val="none"/>
              </w:rPr>
              <w:t>审计过程中，</w:t>
            </w:r>
            <w:r>
              <w:rPr>
                <w:rFonts w:hint="eastAsia" w:ascii="宋体" w:hAnsi="宋体" w:eastAsia="宋体"/>
                <w:bCs/>
                <w:color w:val="auto"/>
                <w:sz w:val="21"/>
                <w:szCs w:val="21"/>
                <w:highlight w:val="none"/>
                <w:lang w:eastAsia="zh-CN"/>
              </w:rPr>
              <w:t>现场审计组</w:t>
            </w:r>
            <w:r>
              <w:rPr>
                <w:rFonts w:hint="eastAsia" w:ascii="宋体" w:hAnsi="宋体" w:eastAsia="宋体"/>
                <w:bCs/>
                <w:color w:val="auto"/>
                <w:sz w:val="21"/>
                <w:szCs w:val="21"/>
                <w:highlight w:val="none"/>
              </w:rPr>
              <w:t>要密切与采购人</w:t>
            </w:r>
            <w:r>
              <w:rPr>
                <w:rFonts w:hint="eastAsia" w:ascii="宋体" w:hAnsi="宋体" w:eastAsia="宋体"/>
                <w:bCs/>
                <w:color w:val="auto"/>
                <w:sz w:val="21"/>
                <w:szCs w:val="21"/>
                <w:highlight w:val="none"/>
                <w:lang w:eastAsia="zh-CN"/>
              </w:rPr>
              <w:t>内部审计机构</w:t>
            </w:r>
            <w:r>
              <w:rPr>
                <w:rFonts w:hint="eastAsia" w:ascii="宋体" w:hAnsi="宋体" w:eastAsia="宋体"/>
                <w:bCs/>
                <w:color w:val="auto"/>
                <w:sz w:val="21"/>
                <w:szCs w:val="21"/>
                <w:highlight w:val="none"/>
              </w:rPr>
              <w:t>的沟通和协调，及时反映</w:t>
            </w:r>
            <w:r>
              <w:rPr>
                <w:rFonts w:hint="eastAsia" w:ascii="宋体" w:hAnsi="宋体" w:eastAsia="宋体"/>
                <w:bCs/>
                <w:color w:val="auto"/>
                <w:sz w:val="21"/>
                <w:szCs w:val="21"/>
                <w:highlight w:val="none"/>
                <w:lang w:eastAsia="zh-CN"/>
              </w:rPr>
              <w:t>审计</w:t>
            </w:r>
            <w:r>
              <w:rPr>
                <w:rFonts w:hint="eastAsia" w:ascii="宋体" w:hAnsi="宋体" w:eastAsia="宋体"/>
                <w:bCs/>
                <w:color w:val="auto"/>
                <w:sz w:val="21"/>
                <w:szCs w:val="21"/>
                <w:highlight w:val="none"/>
              </w:rPr>
              <w:t>中的重要信息和成果，如实披露</w:t>
            </w:r>
            <w:r>
              <w:rPr>
                <w:rFonts w:hint="eastAsia" w:ascii="宋体" w:hAnsi="宋体" w:eastAsia="宋体"/>
                <w:bCs/>
                <w:color w:val="auto"/>
                <w:sz w:val="21"/>
                <w:szCs w:val="21"/>
                <w:highlight w:val="none"/>
                <w:lang w:eastAsia="zh-CN"/>
              </w:rPr>
              <w:t>审计</w:t>
            </w:r>
            <w:r>
              <w:rPr>
                <w:rFonts w:hint="eastAsia" w:ascii="宋体" w:hAnsi="宋体" w:eastAsia="宋体"/>
                <w:bCs/>
                <w:color w:val="auto"/>
                <w:sz w:val="21"/>
                <w:szCs w:val="21"/>
                <w:highlight w:val="none"/>
              </w:rPr>
              <w:t>发现的问题。</w:t>
            </w:r>
            <w:r>
              <w:rPr>
                <w:rFonts w:hint="eastAsia" w:ascii="宋体" w:hAnsi="宋体" w:eastAsia="宋体"/>
                <w:bCs/>
                <w:color w:val="auto"/>
                <w:sz w:val="21"/>
                <w:szCs w:val="21"/>
                <w:highlight w:val="none"/>
                <w:lang w:eastAsia="zh-CN"/>
              </w:rPr>
              <w:t>审计实施过程中如有重大违法违规等意外发现，审计组应及时汇报，在履行相关审批程序后再深入核实。</w:t>
            </w:r>
          </w:p>
          <w:p w14:paraId="4FEB4F26">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（五）</w:t>
            </w:r>
            <w:r>
              <w:rPr>
                <w:rFonts w:hint="eastAsia" w:ascii="宋体" w:hAnsi="宋体" w:eastAsia="宋体" w:cs="宋体"/>
                <w:color w:val="auto"/>
                <w:szCs w:val="21"/>
                <w:highlight w:val="none"/>
              </w:rPr>
              <w:t>供应商拟投入</w:t>
            </w:r>
            <w:r>
              <w:rPr>
                <w:rFonts w:hint="eastAsia" w:ascii="宋体" w:hAnsi="宋体" w:cs="宋体"/>
                <w:color w:val="auto"/>
                <w:szCs w:val="21"/>
                <w:highlight w:val="none"/>
                <w:lang w:val="en-US" w:eastAsia="zh-CN"/>
              </w:rPr>
              <w:t>2组</w:t>
            </w:r>
            <w:r>
              <w:rPr>
                <w:rFonts w:hint="eastAsia" w:ascii="宋体" w:hAnsi="宋体" w:eastAsia="宋体" w:cs="宋体"/>
                <w:color w:val="auto"/>
                <w:szCs w:val="21"/>
                <w:highlight w:val="none"/>
              </w:rPr>
              <w:t>审计工作组</w:t>
            </w:r>
            <w:r>
              <w:rPr>
                <w:rFonts w:hint="eastAsia" w:ascii="宋体" w:hAnsi="宋体" w:cs="宋体"/>
                <w:color w:val="auto"/>
                <w:szCs w:val="21"/>
                <w:highlight w:val="none"/>
                <w:lang w:eastAsia="zh-CN"/>
              </w:rPr>
              <w:t>，每组</w:t>
            </w:r>
            <w:r>
              <w:rPr>
                <w:rFonts w:hint="eastAsia" w:ascii="宋体" w:hAnsi="宋体" w:eastAsia="宋体" w:cs="宋体"/>
                <w:color w:val="auto"/>
                <w:szCs w:val="21"/>
                <w:highlight w:val="none"/>
              </w:rPr>
              <w:t>成员不少于</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人，</w:t>
            </w:r>
            <w:r>
              <w:rPr>
                <w:rFonts w:hint="eastAsia" w:ascii="宋体" w:hAnsi="宋体" w:cs="宋体"/>
                <w:color w:val="auto"/>
                <w:szCs w:val="21"/>
                <w:highlight w:val="none"/>
                <w:lang w:eastAsia="zh-CN"/>
              </w:rPr>
              <w:t>每组需</w:t>
            </w:r>
            <w:r>
              <w:rPr>
                <w:rFonts w:hint="eastAsia" w:ascii="宋体" w:hAnsi="宋体" w:cs="宋体"/>
                <w:color w:val="auto"/>
                <w:szCs w:val="21"/>
                <w:highlight w:val="none"/>
              </w:rPr>
              <w:t>至少配备项目负责人1名（项目负责人须具备中国注册会计师执业资格证，从事审计工作年限</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年以上，并有担任同类审计项目负责人经历），1名注册造价工程师（须具备工程类中级或以上职称）</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其余</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名审计人员须具备初级会计师、</w:t>
            </w:r>
            <w:r>
              <w:rPr>
                <w:rFonts w:hint="eastAsia" w:ascii="宋体" w:hAnsi="宋体" w:eastAsia="宋体" w:cs="宋体"/>
                <w:color w:val="auto"/>
                <w:szCs w:val="21"/>
                <w:highlight w:val="none"/>
                <w:lang w:eastAsia="zh-CN"/>
              </w:rPr>
              <w:t>初级</w:t>
            </w:r>
            <w:r>
              <w:rPr>
                <w:rFonts w:hint="eastAsia" w:ascii="宋体" w:hAnsi="宋体" w:eastAsia="宋体" w:cs="宋体"/>
                <w:color w:val="auto"/>
                <w:szCs w:val="21"/>
                <w:highlight w:val="none"/>
              </w:rPr>
              <w:t>审计师</w:t>
            </w:r>
            <w:r>
              <w:rPr>
                <w:rFonts w:hint="eastAsia" w:ascii="宋体" w:hAnsi="宋体" w:eastAsia="宋体" w:cs="宋体"/>
                <w:color w:val="auto"/>
                <w:szCs w:val="21"/>
                <w:highlight w:val="none"/>
                <w:lang w:eastAsia="zh-CN"/>
              </w:rPr>
              <w:t>、初级</w:t>
            </w:r>
            <w:r>
              <w:rPr>
                <w:rFonts w:hint="eastAsia" w:ascii="宋体" w:hAnsi="宋体" w:eastAsia="宋体" w:cs="宋体"/>
                <w:color w:val="auto"/>
                <w:szCs w:val="21"/>
                <w:highlight w:val="none"/>
              </w:rPr>
              <w:t>经济师中</w:t>
            </w:r>
            <w:r>
              <w:rPr>
                <w:rFonts w:hint="eastAsia" w:ascii="宋体" w:hAnsi="宋体" w:eastAsia="宋体" w:cs="宋体"/>
                <w:color w:val="auto"/>
                <w:szCs w:val="21"/>
                <w:highlight w:val="none"/>
                <w:lang w:eastAsia="zh-CN"/>
              </w:rPr>
              <w:t>的</w:t>
            </w:r>
            <w:r>
              <w:rPr>
                <w:rFonts w:hint="eastAsia" w:ascii="宋体" w:hAnsi="宋体" w:eastAsia="宋体" w:cs="宋体"/>
                <w:color w:val="auto"/>
                <w:szCs w:val="21"/>
                <w:highlight w:val="none"/>
              </w:rPr>
              <w:t>一种</w:t>
            </w:r>
            <w:r>
              <w:rPr>
                <w:rFonts w:hint="eastAsia" w:ascii="宋体" w:hAnsi="宋体" w:eastAsia="宋体" w:cs="宋体"/>
                <w:color w:val="auto"/>
                <w:szCs w:val="21"/>
                <w:highlight w:val="none"/>
                <w:lang w:eastAsia="zh-CN"/>
              </w:rPr>
              <w:t>或以上</w:t>
            </w:r>
            <w:r>
              <w:rPr>
                <w:rFonts w:hint="eastAsia" w:ascii="宋体" w:hAnsi="宋体" w:eastAsia="宋体" w:cs="宋体"/>
                <w:color w:val="auto"/>
                <w:szCs w:val="21"/>
                <w:highlight w:val="none"/>
              </w:rPr>
              <w:t>职称。</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派驻的</w:t>
            </w:r>
            <w:r>
              <w:rPr>
                <w:rFonts w:hint="eastAsia" w:ascii="宋体" w:hAnsi="宋体" w:eastAsia="宋体" w:cs="宋体"/>
                <w:color w:val="auto"/>
                <w:sz w:val="21"/>
                <w:szCs w:val="21"/>
                <w:highlight w:val="none"/>
                <w:lang w:eastAsia="zh-CN"/>
              </w:rPr>
              <w:t>审计</w:t>
            </w:r>
            <w:r>
              <w:rPr>
                <w:rFonts w:hint="eastAsia" w:ascii="宋体" w:hAnsi="宋体" w:eastAsia="宋体" w:cs="宋体"/>
                <w:color w:val="auto"/>
                <w:sz w:val="21"/>
                <w:szCs w:val="21"/>
                <w:highlight w:val="none"/>
              </w:rPr>
              <w:t>人员须与响应文件中派驻</w:t>
            </w:r>
            <w:r>
              <w:rPr>
                <w:rFonts w:hint="eastAsia" w:ascii="宋体" w:hAnsi="宋体" w:eastAsia="宋体" w:cs="宋体"/>
                <w:color w:val="auto"/>
                <w:sz w:val="21"/>
                <w:szCs w:val="21"/>
                <w:highlight w:val="none"/>
                <w:lang w:eastAsia="zh-CN"/>
              </w:rPr>
              <w:t>审计</w:t>
            </w:r>
            <w:r>
              <w:rPr>
                <w:rFonts w:hint="eastAsia" w:ascii="宋体" w:hAnsi="宋体" w:eastAsia="宋体" w:cs="宋体"/>
                <w:color w:val="auto"/>
                <w:sz w:val="21"/>
                <w:szCs w:val="21"/>
                <w:highlight w:val="none"/>
              </w:rPr>
              <w:t>人员一致，如需更换人员需事先征得采购人同意。</w:t>
            </w:r>
          </w:p>
          <w:p w14:paraId="421EC272">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（六）</w:t>
            </w:r>
            <w:r>
              <w:rPr>
                <w:rFonts w:hint="eastAsia" w:ascii="宋体" w:hAnsi="宋体" w:eastAsia="宋体" w:cs="宋体"/>
                <w:color w:val="auto"/>
                <w:szCs w:val="21"/>
                <w:highlight w:val="none"/>
              </w:rPr>
              <w:t>成交人开展工作现场</w:t>
            </w:r>
            <w:r>
              <w:rPr>
                <w:rFonts w:hint="eastAsia" w:ascii="宋体" w:hAnsi="宋体" w:eastAsia="宋体" w:cs="宋体"/>
                <w:color w:val="auto"/>
                <w:szCs w:val="21"/>
                <w:highlight w:val="none"/>
                <w:lang w:eastAsia="zh-CN"/>
              </w:rPr>
              <w:t>审计</w:t>
            </w:r>
            <w:r>
              <w:rPr>
                <w:rFonts w:hint="eastAsia" w:ascii="宋体" w:hAnsi="宋体" w:eastAsia="宋体" w:cs="宋体"/>
                <w:color w:val="auto"/>
                <w:szCs w:val="21"/>
                <w:highlight w:val="none"/>
              </w:rPr>
              <w:t>时间不得少于1</w:t>
            </w:r>
            <w:r>
              <w:rPr>
                <w:rFonts w:hint="eastAsia" w:ascii="宋体" w:hAnsi="宋体" w:cs="宋体"/>
                <w:color w:val="auto"/>
                <w:szCs w:val="21"/>
                <w:highlight w:val="none"/>
                <w:lang w:val="en-US" w:eastAsia="zh-CN"/>
              </w:rPr>
              <w:t>0</w:t>
            </w:r>
            <w:r>
              <w:rPr>
                <w:rFonts w:hint="eastAsia" w:ascii="宋体" w:hAnsi="宋体" w:eastAsia="宋体" w:cs="宋体"/>
                <w:color w:val="auto"/>
                <w:szCs w:val="21"/>
                <w:highlight w:val="none"/>
              </w:rPr>
              <w:t>个</w:t>
            </w:r>
            <w:r>
              <w:rPr>
                <w:rFonts w:hint="eastAsia" w:ascii="宋体" w:hAnsi="宋体" w:cs="宋体"/>
                <w:color w:val="auto"/>
                <w:szCs w:val="21"/>
                <w:highlight w:val="none"/>
                <w:lang w:eastAsia="zh-CN"/>
              </w:rPr>
              <w:t>工作日</w:t>
            </w:r>
            <w:r>
              <w:rPr>
                <w:rFonts w:hint="eastAsia" w:ascii="宋体" w:hAnsi="宋体" w:eastAsia="宋体" w:cs="宋体"/>
                <w:color w:val="auto"/>
                <w:szCs w:val="21"/>
                <w:highlight w:val="none"/>
              </w:rPr>
              <w:t>，现场</w:t>
            </w:r>
            <w:r>
              <w:rPr>
                <w:rFonts w:hint="eastAsia" w:ascii="宋体" w:hAnsi="宋体" w:eastAsia="宋体" w:cs="宋体"/>
                <w:color w:val="auto"/>
                <w:szCs w:val="21"/>
                <w:highlight w:val="none"/>
                <w:lang w:eastAsia="zh-CN"/>
              </w:rPr>
              <w:t>审计</w:t>
            </w:r>
            <w:r>
              <w:rPr>
                <w:rFonts w:hint="eastAsia" w:ascii="宋体" w:hAnsi="宋体" w:eastAsia="宋体" w:cs="宋体"/>
                <w:color w:val="auto"/>
                <w:szCs w:val="21"/>
                <w:highlight w:val="none"/>
              </w:rPr>
              <w:t>结束20天内须出具审计报告初稿，2026年11月30日前出具</w:t>
            </w:r>
            <w:r>
              <w:rPr>
                <w:rFonts w:hint="eastAsia" w:ascii="宋体" w:hAnsi="宋体" w:eastAsia="宋体" w:cs="宋体"/>
                <w:color w:val="auto"/>
                <w:szCs w:val="21"/>
                <w:highlight w:val="none"/>
                <w:lang w:eastAsia="zh-CN"/>
              </w:rPr>
              <w:t>正式</w:t>
            </w:r>
            <w:r>
              <w:rPr>
                <w:rFonts w:hint="eastAsia" w:ascii="宋体" w:hAnsi="宋体" w:eastAsia="宋体" w:cs="宋体"/>
                <w:color w:val="auto"/>
                <w:szCs w:val="21"/>
                <w:highlight w:val="none"/>
              </w:rPr>
              <w:t>审计报告，</w:t>
            </w:r>
            <w:r>
              <w:rPr>
                <w:rFonts w:hint="eastAsia" w:ascii="宋体" w:hAnsi="宋体" w:eastAsia="宋体" w:cs="宋体"/>
                <w:color w:val="auto"/>
                <w:sz w:val="21"/>
                <w:szCs w:val="21"/>
                <w:highlight w:val="none"/>
              </w:rPr>
              <w:t>包括纸质报告（一式八份）、彩色扫描PDF版和Word版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并交付所有</w:t>
            </w:r>
            <w:r>
              <w:rPr>
                <w:rFonts w:hint="eastAsia" w:ascii="宋体" w:hAnsi="宋体" w:cs="宋体"/>
                <w:color w:val="auto"/>
                <w:sz w:val="21"/>
                <w:szCs w:val="21"/>
                <w:highlight w:val="none"/>
                <w:lang w:val="en-US" w:eastAsia="zh-CN"/>
              </w:rPr>
              <w:t>审计</w:t>
            </w:r>
            <w:r>
              <w:rPr>
                <w:rFonts w:hint="eastAsia" w:ascii="宋体" w:hAnsi="宋体" w:eastAsia="宋体" w:cs="宋体"/>
                <w:color w:val="auto"/>
                <w:sz w:val="21"/>
                <w:szCs w:val="21"/>
                <w:highlight w:val="none"/>
              </w:rPr>
              <w:t>工作底稿。</w:t>
            </w:r>
            <w:r>
              <w:rPr>
                <w:rFonts w:hint="eastAsia" w:ascii="宋体" w:hAnsi="宋体" w:eastAsia="宋体"/>
                <w:bCs/>
                <w:color w:val="auto"/>
                <w:sz w:val="21"/>
                <w:szCs w:val="21"/>
                <w:highlight w:val="none"/>
                <w:lang w:eastAsia="zh-CN"/>
              </w:rPr>
              <w:t>本项目的</w:t>
            </w:r>
            <w:r>
              <w:rPr>
                <w:rFonts w:hint="eastAsia" w:ascii="宋体" w:hAnsi="宋体" w:eastAsia="宋体"/>
                <w:bCs/>
                <w:color w:val="auto"/>
                <w:sz w:val="21"/>
                <w:szCs w:val="21"/>
                <w:highlight w:val="none"/>
              </w:rPr>
              <w:t>审计文书</w:t>
            </w:r>
            <w:r>
              <w:rPr>
                <w:rFonts w:hint="eastAsia" w:ascii="宋体" w:hAnsi="宋体" w:eastAsia="宋体"/>
                <w:bCs/>
                <w:color w:val="auto"/>
                <w:sz w:val="21"/>
                <w:szCs w:val="21"/>
                <w:highlight w:val="none"/>
                <w:lang w:eastAsia="zh-CN"/>
              </w:rPr>
              <w:t>资料</w:t>
            </w:r>
            <w:r>
              <w:rPr>
                <w:rFonts w:hint="eastAsia" w:ascii="宋体" w:hAnsi="宋体" w:eastAsia="宋体"/>
                <w:bCs/>
                <w:color w:val="auto"/>
                <w:sz w:val="21"/>
                <w:szCs w:val="21"/>
                <w:highlight w:val="none"/>
              </w:rPr>
              <w:t>需按照采购人要求装订成档保存于采购单位。</w:t>
            </w:r>
          </w:p>
          <w:p w14:paraId="647935F3">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 w:val="21"/>
                <w:szCs w:val="21"/>
                <w:highlight w:val="none"/>
                <w:lang w:val="en-US" w:eastAsia="zh-CN"/>
              </w:rPr>
              <w:t>（七）</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不得将该项目转交第三方完成。</w:t>
            </w:r>
          </w:p>
          <w:p w14:paraId="31730FF7">
            <w:pPr>
              <w:keepNext w:val="0"/>
              <w:keepLines w:val="0"/>
              <w:pageBreakBefore w:val="0"/>
              <w:widowControl w:val="0"/>
              <w:kinsoku/>
              <w:wordWrap w:val="0"/>
              <w:overflowPunct/>
              <w:topLinePunct w:val="0"/>
              <w:autoSpaceDE/>
              <w:autoSpaceDN/>
              <w:bidi w:val="0"/>
              <w:adjustRightInd/>
              <w:snapToGrid/>
              <w:spacing w:line="360" w:lineRule="exact"/>
              <w:ind w:firstLine="422" w:firstLineChars="200"/>
              <w:textAlignment w:val="auto"/>
              <w:rPr>
                <w:rFonts w:hint="eastAsia" w:ascii="宋体" w:hAnsi="宋体" w:eastAsia="宋体" w:cs="宋体"/>
                <w:color w:val="auto"/>
                <w:szCs w:val="21"/>
                <w:highlight w:val="none"/>
              </w:rPr>
            </w:pPr>
            <w:r>
              <w:rPr>
                <w:rFonts w:hint="eastAsia" w:ascii="宋体" w:hAnsi="宋体" w:eastAsia="宋体" w:cs="宋体"/>
                <w:b/>
                <w:bCs w:val="0"/>
                <w:color w:val="auto"/>
                <w:szCs w:val="21"/>
                <w:highlight w:val="none"/>
                <w:lang w:val="zh-CN"/>
              </w:rPr>
              <w:t>注：供应商拟投入的工作组成员必须是在职工作人员，且须在投标文件中提供拟投入的工作组成员的专业技能或资格证书、职称证书、项目负责人工作年限证明（以劳动合同为准）、</w:t>
            </w:r>
            <w:r>
              <w:rPr>
                <w:rFonts w:hint="eastAsia" w:ascii="宋体" w:hAnsi="宋体" w:eastAsia="宋体" w:cs="宋体"/>
                <w:b/>
                <w:bCs w:val="0"/>
                <w:color w:val="auto"/>
                <w:szCs w:val="21"/>
                <w:highlight w:val="none"/>
                <w:lang w:val="en-US" w:eastAsia="zh-CN"/>
              </w:rPr>
              <w:t>供应商为拟投入人员缴纳的2025年</w:t>
            </w:r>
            <w:r>
              <w:rPr>
                <w:rFonts w:hint="eastAsia" w:ascii="宋体" w:hAnsi="宋体" w:cs="宋体"/>
                <w:b/>
                <w:bCs w:val="0"/>
                <w:color w:val="auto"/>
                <w:szCs w:val="21"/>
                <w:highlight w:val="none"/>
                <w:lang w:val="en-US" w:eastAsia="zh-CN"/>
              </w:rPr>
              <w:t>11</w:t>
            </w:r>
            <w:r>
              <w:rPr>
                <w:rFonts w:hint="eastAsia" w:ascii="宋体" w:hAnsi="宋体" w:eastAsia="宋体" w:cs="宋体"/>
                <w:b/>
                <w:bCs w:val="0"/>
                <w:color w:val="auto"/>
                <w:szCs w:val="21"/>
                <w:highlight w:val="none"/>
                <w:lang w:val="en-US" w:eastAsia="zh-CN"/>
              </w:rPr>
              <w:t>月-2026年</w:t>
            </w:r>
            <w:r>
              <w:rPr>
                <w:rFonts w:hint="eastAsia" w:ascii="宋体" w:hAnsi="宋体" w:cs="宋体"/>
                <w:b/>
                <w:bCs w:val="0"/>
                <w:color w:val="auto"/>
                <w:szCs w:val="21"/>
                <w:highlight w:val="none"/>
                <w:lang w:val="en-US" w:eastAsia="zh-CN"/>
              </w:rPr>
              <w:t>4</w:t>
            </w:r>
            <w:r>
              <w:rPr>
                <w:rFonts w:hint="eastAsia" w:ascii="宋体" w:hAnsi="宋体" w:eastAsia="宋体" w:cs="宋体"/>
                <w:b/>
                <w:bCs w:val="0"/>
                <w:color w:val="auto"/>
                <w:szCs w:val="21"/>
                <w:highlight w:val="none"/>
                <w:lang w:val="en-US" w:eastAsia="zh-CN"/>
              </w:rPr>
              <w:t>月内任意连续 3 个月的社保缴费证明或《投保单》或单位代缴个人所得税税单等复印件（加盖公章）或提供供应商与拟投入本项目团队成员签订的劳务合同复印件（法定代表人除外</w:t>
            </w:r>
            <w:r>
              <w:rPr>
                <w:rFonts w:hint="eastAsia" w:ascii="宋体" w:hAnsi="宋体" w:cs="宋体"/>
                <w:b/>
                <w:bCs w:val="0"/>
                <w:color w:val="auto"/>
                <w:szCs w:val="21"/>
                <w:highlight w:val="none"/>
                <w:lang w:val="en-US" w:eastAsia="zh-CN"/>
              </w:rPr>
              <w:t>）</w:t>
            </w:r>
            <w:r>
              <w:rPr>
                <w:rFonts w:hint="eastAsia" w:ascii="宋体" w:hAnsi="宋体" w:eastAsia="宋体" w:cs="宋体"/>
                <w:b/>
                <w:bCs w:val="0"/>
                <w:color w:val="auto"/>
                <w:szCs w:val="21"/>
                <w:highlight w:val="none"/>
                <w:lang w:val="zh-CN"/>
              </w:rPr>
              <w:t>。</w:t>
            </w:r>
          </w:p>
        </w:tc>
      </w:tr>
      <w:tr w14:paraId="736191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18" w:type="dxa"/>
            <w:tcBorders>
              <w:top w:val="single" w:color="auto" w:sz="4" w:space="0"/>
              <w:left w:val="single" w:color="auto" w:sz="4" w:space="0"/>
              <w:bottom w:val="single" w:color="auto" w:sz="4" w:space="0"/>
              <w:right w:val="single" w:color="auto" w:sz="4" w:space="0"/>
            </w:tcBorders>
            <w:noWrap w:val="0"/>
            <w:vAlign w:val="center"/>
          </w:tcPr>
          <w:p w14:paraId="4C755DCE">
            <w:pPr>
              <w:keepNext w:val="0"/>
              <w:keepLines w:val="0"/>
              <w:pageBreakBefore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color w:val="auto"/>
                <w:szCs w:val="21"/>
                <w:highlight w:val="none"/>
                <w:lang w:val="en-US" w:eastAsia="zh-CN"/>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分标</w:t>
            </w:r>
          </w:p>
        </w:tc>
        <w:tc>
          <w:tcPr>
            <w:tcW w:w="970" w:type="dxa"/>
            <w:tcBorders>
              <w:top w:val="single" w:color="auto" w:sz="4" w:space="0"/>
              <w:left w:val="single" w:color="auto" w:sz="4" w:space="0"/>
              <w:bottom w:val="single" w:color="auto" w:sz="4" w:space="0"/>
              <w:right w:val="single" w:color="auto" w:sz="4" w:space="0"/>
            </w:tcBorders>
            <w:noWrap w:val="0"/>
            <w:vAlign w:val="center"/>
          </w:tcPr>
          <w:p w14:paraId="78D8A867">
            <w:pPr>
              <w:keepNext w:val="0"/>
              <w:keepLines w:val="0"/>
              <w:pageBreakBefore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color w:val="auto"/>
                <w:szCs w:val="21"/>
                <w:highlight w:val="none"/>
              </w:rPr>
            </w:pPr>
            <w:r>
              <w:rPr>
                <w:rFonts w:hint="eastAsia" w:ascii="宋体" w:hAnsi="宋体" w:eastAsia="宋体"/>
                <w:color w:val="auto"/>
                <w:szCs w:val="21"/>
                <w:highlight w:val="none"/>
                <w:lang w:eastAsia="zh-CN"/>
              </w:rPr>
              <w:t>2026年厅管领导干部经济责任审计服务3</w:t>
            </w:r>
          </w:p>
        </w:tc>
        <w:tc>
          <w:tcPr>
            <w:tcW w:w="852" w:type="dxa"/>
            <w:tcBorders>
              <w:top w:val="single" w:color="auto" w:sz="4" w:space="0"/>
              <w:left w:val="single" w:color="auto" w:sz="4" w:space="0"/>
              <w:bottom w:val="single" w:color="auto" w:sz="4" w:space="0"/>
              <w:right w:val="single" w:color="auto" w:sz="4" w:space="0"/>
            </w:tcBorders>
            <w:noWrap w:val="0"/>
            <w:vAlign w:val="center"/>
          </w:tcPr>
          <w:p w14:paraId="595462EF">
            <w:pPr>
              <w:keepNext w:val="0"/>
              <w:keepLines w:val="0"/>
              <w:pageBreakBefore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1项</w:t>
            </w:r>
          </w:p>
        </w:tc>
        <w:tc>
          <w:tcPr>
            <w:tcW w:w="1061" w:type="dxa"/>
            <w:tcBorders>
              <w:top w:val="single" w:color="auto" w:sz="4" w:space="0"/>
              <w:left w:val="single" w:color="auto" w:sz="4" w:space="0"/>
              <w:bottom w:val="single" w:color="auto" w:sz="4" w:space="0"/>
              <w:right w:val="single" w:color="000000" w:sz="4" w:space="0"/>
            </w:tcBorders>
            <w:noWrap w:val="0"/>
            <w:vAlign w:val="center"/>
          </w:tcPr>
          <w:p w14:paraId="41D7298B">
            <w:pPr>
              <w:keepNext w:val="0"/>
              <w:keepLines w:val="0"/>
              <w:pageBreakBefore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color w:val="auto"/>
                <w:szCs w:val="21"/>
                <w:highlight w:val="none"/>
              </w:rPr>
            </w:pPr>
            <w:r>
              <w:rPr>
                <w:rFonts w:hint="eastAsia" w:ascii="宋体" w:hAnsi="宋体"/>
                <w:color w:val="auto"/>
                <w:szCs w:val="21"/>
                <w:highlight w:val="none"/>
                <w:u w:val="none"/>
                <w:lang w:eastAsia="zh-CN"/>
              </w:rPr>
              <w:t>租赁和商务服务业</w:t>
            </w:r>
          </w:p>
        </w:tc>
        <w:tc>
          <w:tcPr>
            <w:tcW w:w="6139" w:type="dxa"/>
            <w:tcBorders>
              <w:top w:val="single" w:color="auto" w:sz="4" w:space="0"/>
              <w:left w:val="single" w:color="000000" w:sz="4" w:space="0"/>
              <w:bottom w:val="single" w:color="auto" w:sz="4" w:space="0"/>
              <w:right w:val="single" w:color="auto" w:sz="4" w:space="0"/>
            </w:tcBorders>
            <w:noWrap w:val="0"/>
            <w:vAlign w:val="center"/>
          </w:tcPr>
          <w:p w14:paraId="1FEBD44B">
            <w:pPr>
              <w:keepNext w:val="0"/>
              <w:keepLines w:val="0"/>
              <w:pageBreakBefore w:val="0"/>
              <w:widowControl w:val="0"/>
              <w:numPr>
                <w:ilvl w:val="0"/>
                <w:numId w:val="0"/>
              </w:numPr>
              <w:kinsoku/>
              <w:wordWrap w:val="0"/>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一、服务内容</w:t>
            </w:r>
          </w:p>
          <w:p w14:paraId="51A87A9A">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党政主要领导干部和国有企事业单位主要领导人员经济责任审计规定》（中办发〔2019〕45号）、《广西壮族自治区内部审计工作规定》（广西壮族自治区人民政府令第138号）、《广西壮族自治区交通运输厅内部审计工作规定》（桂交财审发〔2024〕51号）及有关程序和工作要求，对</w:t>
            </w:r>
            <w:r>
              <w:rPr>
                <w:rFonts w:hint="eastAsia" w:ascii="宋体" w:hAnsi="宋体" w:cs="宋体"/>
                <w:color w:val="auto"/>
                <w:szCs w:val="21"/>
                <w:highlight w:val="none"/>
                <w:lang w:eastAsia="zh-CN"/>
              </w:rPr>
              <w:t>自治区</w:t>
            </w:r>
            <w:r>
              <w:rPr>
                <w:rFonts w:hint="eastAsia" w:ascii="宋体" w:hAnsi="宋体" w:cs="宋体"/>
                <w:color w:val="auto"/>
                <w:szCs w:val="21"/>
                <w:highlight w:val="none"/>
              </w:rPr>
              <w:t>北部湾港</w:t>
            </w:r>
            <w:r>
              <w:rPr>
                <w:rFonts w:hint="eastAsia" w:ascii="宋体" w:hAnsi="宋体" w:eastAsia="宋体" w:cs="宋体"/>
                <w:color w:val="auto"/>
                <w:szCs w:val="21"/>
                <w:highlight w:val="none"/>
              </w:rPr>
              <w:t>钦州引航站站长（2021年2月至</w:t>
            </w:r>
            <w:r>
              <w:rPr>
                <w:rFonts w:hint="eastAsia" w:ascii="宋体" w:hAnsi="宋体" w:cs="宋体"/>
                <w:color w:val="auto"/>
                <w:szCs w:val="21"/>
                <w:highlight w:val="none"/>
                <w:lang w:eastAsia="zh-CN"/>
              </w:rPr>
              <w:t>今</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自治区</w:t>
            </w:r>
            <w:r>
              <w:rPr>
                <w:rFonts w:hint="eastAsia" w:ascii="宋体" w:hAnsi="宋体" w:cs="宋体"/>
                <w:color w:val="auto"/>
                <w:szCs w:val="21"/>
                <w:highlight w:val="none"/>
              </w:rPr>
              <w:t>北部湾港</w:t>
            </w:r>
            <w:r>
              <w:rPr>
                <w:rFonts w:hint="eastAsia" w:ascii="宋体" w:hAnsi="宋体" w:eastAsia="宋体" w:cs="宋体"/>
                <w:color w:val="auto"/>
                <w:szCs w:val="21"/>
                <w:highlight w:val="none"/>
              </w:rPr>
              <w:t>北海引航站站长（2021年5月至</w:t>
            </w:r>
            <w:r>
              <w:rPr>
                <w:rFonts w:hint="eastAsia" w:ascii="宋体" w:hAnsi="宋体" w:cs="宋体"/>
                <w:color w:val="auto"/>
                <w:szCs w:val="21"/>
                <w:highlight w:val="none"/>
                <w:lang w:eastAsia="zh-CN"/>
              </w:rPr>
              <w:t>今</w:t>
            </w:r>
            <w:r>
              <w:rPr>
                <w:rFonts w:hint="eastAsia" w:ascii="宋体" w:hAnsi="宋体" w:eastAsia="宋体" w:cs="宋体"/>
                <w:color w:val="auto"/>
                <w:szCs w:val="21"/>
                <w:highlight w:val="none"/>
              </w:rPr>
              <w:t>）开展经济责任审计，并出具2个经济责任审计报告。</w:t>
            </w:r>
          </w:p>
          <w:p w14:paraId="513A3A8D">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二、审计方式</w:t>
            </w:r>
          </w:p>
          <w:p w14:paraId="3979E18C">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olor w:val="auto"/>
                <w:sz w:val="21"/>
                <w:highlight w:val="none"/>
                <w:lang w:eastAsia="zh-CN"/>
              </w:rPr>
            </w:pPr>
            <w:r>
              <w:rPr>
                <w:rFonts w:hint="eastAsia" w:ascii="宋体" w:hAnsi="宋体" w:eastAsia="宋体"/>
                <w:bCs/>
                <w:color w:val="auto"/>
                <w:sz w:val="21"/>
                <w:szCs w:val="21"/>
                <w:highlight w:val="none"/>
                <w:lang w:eastAsia="zh-CN"/>
              </w:rPr>
              <w:t>供应商</w:t>
            </w:r>
            <w:r>
              <w:rPr>
                <w:rFonts w:hint="eastAsia" w:ascii="宋体" w:hAnsi="宋体" w:eastAsia="宋体"/>
                <w:color w:val="auto"/>
                <w:sz w:val="21"/>
                <w:highlight w:val="none"/>
                <w:u w:val="none"/>
              </w:rPr>
              <w:t>需</w:t>
            </w:r>
            <w:r>
              <w:rPr>
                <w:rFonts w:hint="eastAsia" w:ascii="宋体" w:hAnsi="宋体" w:eastAsia="宋体"/>
                <w:bCs/>
                <w:color w:val="auto"/>
                <w:sz w:val="21"/>
                <w:szCs w:val="21"/>
                <w:highlight w:val="none"/>
              </w:rPr>
              <w:t>根据</w:t>
            </w:r>
            <w:r>
              <w:rPr>
                <w:rFonts w:hint="eastAsia" w:ascii="宋体" w:hAnsi="宋体" w:eastAsia="宋体"/>
                <w:bCs/>
                <w:color w:val="auto"/>
                <w:sz w:val="21"/>
                <w:szCs w:val="21"/>
                <w:highlight w:val="none"/>
                <w:lang w:eastAsia="zh-CN"/>
              </w:rPr>
              <w:t>审计服务</w:t>
            </w:r>
            <w:r>
              <w:rPr>
                <w:rFonts w:hint="eastAsia" w:ascii="宋体" w:hAnsi="宋体" w:eastAsia="宋体"/>
                <w:color w:val="auto"/>
                <w:sz w:val="21"/>
                <w:highlight w:val="none"/>
              </w:rPr>
              <w:t>合同和</w:t>
            </w:r>
            <w:r>
              <w:rPr>
                <w:rFonts w:hint="eastAsia" w:ascii="宋体" w:hAnsi="宋体" w:eastAsia="宋体"/>
                <w:color w:val="auto"/>
                <w:sz w:val="21"/>
                <w:highlight w:val="none"/>
                <w:u w:val="none"/>
              </w:rPr>
              <w:t>经济责任审计</w:t>
            </w:r>
            <w:r>
              <w:rPr>
                <w:rFonts w:hint="eastAsia" w:ascii="宋体" w:hAnsi="宋体" w:eastAsia="宋体"/>
                <w:bCs/>
                <w:color w:val="auto"/>
                <w:sz w:val="21"/>
                <w:szCs w:val="21"/>
                <w:highlight w:val="none"/>
              </w:rPr>
              <w:t>规定，</w:t>
            </w:r>
            <w:r>
              <w:rPr>
                <w:rFonts w:hint="eastAsia" w:ascii="宋体" w:hAnsi="宋体" w:eastAsia="宋体"/>
                <w:color w:val="auto"/>
                <w:sz w:val="21"/>
                <w:szCs w:val="21"/>
                <w:highlight w:val="none"/>
              </w:rPr>
              <w:t>按审计对象编制审计</w:t>
            </w:r>
            <w:r>
              <w:rPr>
                <w:rFonts w:hint="eastAsia" w:ascii="宋体" w:hAnsi="宋体" w:eastAsia="宋体"/>
                <w:color w:val="auto"/>
                <w:sz w:val="21"/>
                <w:szCs w:val="21"/>
                <w:highlight w:val="none"/>
                <w:lang w:eastAsia="zh-CN"/>
              </w:rPr>
              <w:t>工作</w:t>
            </w:r>
            <w:r>
              <w:rPr>
                <w:rFonts w:hint="eastAsia" w:ascii="宋体" w:hAnsi="宋体" w:eastAsia="宋体"/>
                <w:color w:val="auto"/>
                <w:sz w:val="21"/>
                <w:szCs w:val="21"/>
                <w:highlight w:val="none"/>
              </w:rPr>
              <w:t>方案，</w:t>
            </w:r>
            <w:r>
              <w:rPr>
                <w:rFonts w:hint="eastAsia" w:ascii="宋体" w:hAnsi="宋体" w:eastAsia="宋体"/>
                <w:color w:val="auto"/>
                <w:sz w:val="21"/>
                <w:highlight w:val="none"/>
                <w:lang w:eastAsia="zh-CN"/>
              </w:rPr>
              <w:t>派出审计组，</w:t>
            </w:r>
            <w:r>
              <w:rPr>
                <w:rFonts w:hint="eastAsia" w:ascii="宋体" w:hAnsi="宋体" w:eastAsia="宋体"/>
                <w:color w:val="auto"/>
                <w:sz w:val="21"/>
                <w:highlight w:val="none"/>
                <w:u w:val="none"/>
                <w:lang w:eastAsia="zh-CN"/>
              </w:rPr>
              <w:t>通过进驻被审计单位</w:t>
            </w:r>
            <w:r>
              <w:rPr>
                <w:rFonts w:hint="eastAsia" w:ascii="宋体" w:hAnsi="宋体" w:eastAsia="宋体"/>
                <w:bCs/>
                <w:color w:val="auto"/>
                <w:sz w:val="21"/>
                <w:szCs w:val="21"/>
                <w:highlight w:val="none"/>
              </w:rPr>
              <w:t>召开进点会、审计</w:t>
            </w:r>
            <w:r>
              <w:rPr>
                <w:rFonts w:hint="eastAsia" w:ascii="宋体" w:hAnsi="宋体" w:eastAsia="宋体"/>
                <w:bCs/>
                <w:color w:val="auto"/>
                <w:sz w:val="21"/>
                <w:szCs w:val="21"/>
                <w:highlight w:val="none"/>
                <w:lang w:eastAsia="zh-CN"/>
              </w:rPr>
              <w:t>访</w:t>
            </w:r>
            <w:r>
              <w:rPr>
                <w:rFonts w:hint="eastAsia" w:ascii="宋体" w:hAnsi="宋体" w:eastAsia="宋体"/>
                <w:bCs/>
                <w:color w:val="auto"/>
                <w:sz w:val="21"/>
                <w:szCs w:val="21"/>
                <w:highlight w:val="none"/>
              </w:rPr>
              <w:t>谈、听取</w:t>
            </w:r>
            <w:r>
              <w:rPr>
                <w:rFonts w:hint="eastAsia" w:ascii="宋体" w:hAnsi="宋体" w:eastAsia="宋体"/>
                <w:bCs/>
                <w:color w:val="auto"/>
                <w:sz w:val="21"/>
                <w:szCs w:val="21"/>
                <w:highlight w:val="none"/>
                <w:lang w:eastAsia="zh-CN"/>
              </w:rPr>
              <w:t>被审计</w:t>
            </w:r>
            <w:r>
              <w:rPr>
                <w:rFonts w:hint="eastAsia" w:ascii="宋体" w:hAnsi="宋体" w:eastAsia="宋体"/>
                <w:color w:val="auto"/>
                <w:sz w:val="21"/>
                <w:highlight w:val="none"/>
                <w:u w:val="none"/>
                <w:lang w:eastAsia="zh-CN"/>
              </w:rPr>
              <w:t>人</w:t>
            </w:r>
            <w:r>
              <w:rPr>
                <w:rFonts w:hint="eastAsia" w:ascii="宋体" w:hAnsi="宋体" w:eastAsia="宋体"/>
                <w:bCs/>
                <w:color w:val="auto"/>
                <w:sz w:val="21"/>
                <w:szCs w:val="21"/>
                <w:highlight w:val="none"/>
              </w:rPr>
              <w:t>履行</w:t>
            </w:r>
            <w:r>
              <w:rPr>
                <w:rFonts w:hint="eastAsia" w:ascii="宋体" w:hAnsi="宋体" w:eastAsia="宋体"/>
                <w:color w:val="auto"/>
                <w:sz w:val="21"/>
                <w:highlight w:val="none"/>
                <w:lang w:eastAsia="zh-CN"/>
              </w:rPr>
              <w:t>经济责任</w:t>
            </w:r>
            <w:r>
              <w:rPr>
                <w:rFonts w:hint="eastAsia" w:ascii="宋体" w:hAnsi="宋体" w:eastAsia="宋体"/>
                <w:color w:val="auto"/>
                <w:sz w:val="21"/>
                <w:highlight w:val="none"/>
                <w:u w:val="none"/>
                <w:lang w:eastAsia="zh-CN"/>
              </w:rPr>
              <w:t>的</w:t>
            </w:r>
            <w:r>
              <w:rPr>
                <w:rFonts w:hint="eastAsia" w:ascii="宋体" w:hAnsi="宋体" w:eastAsia="宋体"/>
                <w:bCs/>
                <w:color w:val="auto"/>
                <w:sz w:val="21"/>
                <w:szCs w:val="21"/>
                <w:highlight w:val="none"/>
                <w:lang w:eastAsia="zh-CN"/>
              </w:rPr>
              <w:t>情况</w:t>
            </w:r>
            <w:r>
              <w:rPr>
                <w:rFonts w:hint="eastAsia" w:ascii="宋体" w:hAnsi="宋体" w:eastAsia="宋体"/>
                <w:color w:val="auto"/>
                <w:sz w:val="21"/>
                <w:highlight w:val="none"/>
              </w:rPr>
              <w:t>报告</w:t>
            </w:r>
            <w:r>
              <w:rPr>
                <w:rFonts w:hint="eastAsia" w:ascii="宋体" w:hAnsi="宋体" w:eastAsia="宋体"/>
                <w:color w:val="auto"/>
                <w:sz w:val="21"/>
                <w:highlight w:val="none"/>
                <w:u w:val="none"/>
              </w:rPr>
              <w:t>、审核被审计单位提交的经济业务和财务会计资料</w:t>
            </w:r>
            <w:r>
              <w:rPr>
                <w:rFonts w:hint="eastAsia" w:ascii="宋体" w:hAnsi="宋体" w:eastAsia="宋体"/>
                <w:bCs/>
                <w:color w:val="auto"/>
                <w:sz w:val="21"/>
                <w:szCs w:val="21"/>
                <w:highlight w:val="none"/>
              </w:rPr>
              <w:t>等方式</w:t>
            </w:r>
            <w:r>
              <w:rPr>
                <w:rFonts w:hint="eastAsia" w:ascii="宋体" w:hAnsi="宋体" w:eastAsia="宋体"/>
                <w:color w:val="auto"/>
                <w:sz w:val="21"/>
                <w:highlight w:val="none"/>
              </w:rPr>
              <w:t>实施</w:t>
            </w:r>
            <w:r>
              <w:rPr>
                <w:rFonts w:hint="eastAsia" w:ascii="宋体" w:hAnsi="宋体" w:eastAsia="宋体"/>
                <w:color w:val="auto"/>
                <w:sz w:val="21"/>
                <w:szCs w:val="21"/>
                <w:highlight w:val="none"/>
              </w:rPr>
              <w:t>审计活动，</w:t>
            </w:r>
            <w:r>
              <w:rPr>
                <w:rFonts w:hint="eastAsia" w:ascii="宋体" w:hAnsi="宋体" w:eastAsia="宋体"/>
                <w:color w:val="auto"/>
                <w:sz w:val="21"/>
                <w:highlight w:val="none"/>
                <w:u w:val="none"/>
              </w:rPr>
              <w:t>按规定编报经济责任审计报告</w:t>
            </w:r>
            <w:r>
              <w:rPr>
                <w:rFonts w:hint="eastAsia" w:ascii="宋体" w:hAnsi="宋体" w:eastAsia="宋体"/>
                <w:color w:val="auto"/>
                <w:sz w:val="21"/>
                <w:szCs w:val="21"/>
                <w:highlight w:val="none"/>
                <w:lang w:eastAsia="zh-CN"/>
              </w:rPr>
              <w:t>。</w:t>
            </w:r>
          </w:p>
          <w:p w14:paraId="027EE92F">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textAlignment w:val="auto"/>
              <w:rPr>
                <w:rFonts w:hint="eastAsia" w:ascii="宋体" w:hAnsi="宋体" w:eastAsia="宋体"/>
                <w:b w:val="0"/>
                <w:bCs/>
                <w:color w:val="auto"/>
                <w:sz w:val="21"/>
                <w:szCs w:val="21"/>
                <w:highlight w:val="none"/>
              </w:rPr>
            </w:pPr>
            <w:r>
              <w:rPr>
                <w:rFonts w:hint="eastAsia" w:ascii="宋体" w:hAnsi="宋体" w:eastAsia="宋体"/>
                <w:b w:val="0"/>
                <w:bCs/>
                <w:color w:val="auto"/>
                <w:sz w:val="21"/>
                <w:highlight w:val="none"/>
                <w:lang w:eastAsia="zh-CN"/>
              </w:rPr>
              <w:t>三、</w:t>
            </w:r>
            <w:r>
              <w:rPr>
                <w:rFonts w:hint="eastAsia" w:ascii="宋体" w:hAnsi="宋体" w:eastAsia="宋体"/>
                <w:b w:val="0"/>
                <w:bCs/>
                <w:color w:val="auto"/>
                <w:sz w:val="21"/>
                <w:highlight w:val="none"/>
              </w:rPr>
              <w:t>审计内容</w:t>
            </w:r>
          </w:p>
          <w:p w14:paraId="4160C12D">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lang w:val="en-US" w:eastAsia="zh-CN"/>
              </w:rPr>
              <w:t>（一）</w:t>
            </w:r>
            <w:r>
              <w:rPr>
                <w:rFonts w:hint="eastAsia" w:ascii="宋体" w:hAnsi="宋体" w:eastAsia="宋体"/>
                <w:bCs/>
                <w:color w:val="auto"/>
                <w:sz w:val="21"/>
                <w:szCs w:val="21"/>
                <w:highlight w:val="none"/>
              </w:rPr>
              <w:t>贯彻执行党和国家</w:t>
            </w:r>
            <w:r>
              <w:rPr>
                <w:rFonts w:hint="eastAsia" w:ascii="宋体" w:hAnsi="宋体"/>
                <w:bCs/>
                <w:color w:val="auto"/>
                <w:sz w:val="21"/>
                <w:szCs w:val="21"/>
                <w:highlight w:val="none"/>
                <w:lang w:eastAsia="zh-CN"/>
              </w:rPr>
              <w:t>、自治区</w:t>
            </w:r>
            <w:r>
              <w:rPr>
                <w:rFonts w:hint="eastAsia" w:ascii="宋体" w:hAnsi="宋体" w:eastAsia="宋体"/>
                <w:bCs/>
                <w:color w:val="auto"/>
                <w:sz w:val="21"/>
                <w:szCs w:val="21"/>
                <w:highlight w:val="none"/>
              </w:rPr>
              <w:t>经济方针政策、决策部署情况</w:t>
            </w:r>
            <w:r>
              <w:rPr>
                <w:rFonts w:hint="eastAsia" w:ascii="宋体" w:hAnsi="宋体" w:eastAsia="宋体"/>
                <w:bCs/>
                <w:color w:val="auto"/>
                <w:sz w:val="21"/>
                <w:szCs w:val="21"/>
                <w:highlight w:val="none"/>
                <w:lang w:eastAsia="zh-CN"/>
              </w:rPr>
              <w:t>。</w:t>
            </w:r>
            <w:r>
              <w:rPr>
                <w:rFonts w:hint="eastAsia" w:ascii="宋体" w:hAnsi="宋体" w:eastAsia="宋体"/>
                <w:bCs/>
                <w:color w:val="auto"/>
                <w:sz w:val="21"/>
                <w:szCs w:val="21"/>
                <w:highlight w:val="none"/>
              </w:rPr>
              <w:t>关注推动高质量发展情况</w:t>
            </w:r>
            <w:r>
              <w:rPr>
                <w:rFonts w:hint="eastAsia" w:ascii="宋体" w:hAnsi="宋体" w:eastAsia="宋体"/>
                <w:bCs/>
                <w:color w:val="auto"/>
                <w:sz w:val="21"/>
                <w:szCs w:val="21"/>
                <w:highlight w:val="none"/>
                <w:lang w:eastAsia="zh-CN"/>
              </w:rPr>
              <w:t>和</w:t>
            </w:r>
            <w:r>
              <w:rPr>
                <w:rFonts w:hint="eastAsia" w:ascii="宋体" w:hAnsi="宋体" w:eastAsia="宋体"/>
                <w:bCs/>
                <w:color w:val="auto"/>
                <w:sz w:val="21"/>
                <w:szCs w:val="21"/>
                <w:highlight w:val="none"/>
              </w:rPr>
              <w:t>目标责任制完成情况。</w:t>
            </w:r>
          </w:p>
          <w:p w14:paraId="2AA7C24E">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地方政府隐性债务方面。（1）新增隐性债务方面。重点关注各市、县政府及其部门直接新增隐性债务，以及通过融资平台公司、国有企事业单位等各市、县政府及其部门之外的主体融资或垫资，承诺以政府未来财政收入作为还款来源等方式实施土地一级开发和公益性项目等新增隐性债务问题。重点检查交通工程建设项目等。（2）化债不实方面。重点关注“借新还旧”作化债处理，以虚假盘活资金资产等方式化解隐性债务，以虚假的企业经营收入化解隐性债务，债务单位未向债权人偿还债务但作化债处理，债务单位在未履行必要程序的情况下核销隐性债务并作化债处理等问题。（3）隐性债务置换政策落实不规范方面。重点关注用于置换隐性债务的再融资专项债券是否及时拨付和置换；是否存在套取骗取；是否用于偿还2023年末存量隐性债务外的其他债务；是否实行专户管理、专账核算、封闭运行，做到公平公正、规范操作；是否存在用于经常性支出和新上项目、铺新摊子等问题。</w:t>
            </w:r>
          </w:p>
          <w:p w14:paraId="63535A4A">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bCs/>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.“两重”资金使用管理</w:t>
            </w:r>
            <w:r>
              <w:rPr>
                <w:rFonts w:hint="eastAsia" w:ascii="宋体" w:hAnsi="宋体" w:cs="宋体"/>
                <w:color w:val="auto"/>
                <w:sz w:val="21"/>
                <w:szCs w:val="21"/>
                <w:highlight w:val="none"/>
                <w:lang w:eastAsia="zh-CN"/>
              </w:rPr>
              <w:t>方面</w:t>
            </w:r>
            <w:r>
              <w:rPr>
                <w:rFonts w:hint="eastAsia" w:ascii="宋体" w:hAnsi="宋体" w:eastAsia="宋体" w:cs="宋体"/>
                <w:color w:val="auto"/>
                <w:sz w:val="21"/>
                <w:szCs w:val="21"/>
                <w:highlight w:val="none"/>
              </w:rPr>
              <w:t>。聚焦2025年新建、在建以及完工项目，重点关注国家重大战略实施和重点领域安全能力建设（以下简称“两重”）资金是否及时分配下达资金；是否存在“以拨代支”、超进度拨款等违规拨付行为；是否虚高申报总投资套取中央资金；资金拨付是否严格履行相关审批程序和手续；是否存在项目实施进度缓慢，导致“钱等项目”等问题；是否存在拖欠工程款问题；是否超范围使用资金或用于与项目无关的其他支出；是否截留、挤占、挪用资金等。</w:t>
            </w:r>
            <w:r>
              <w:rPr>
                <w:rFonts w:hint="eastAsia" w:ascii="宋体" w:hAnsi="宋体" w:cs="宋体"/>
                <w:color w:val="auto"/>
                <w:sz w:val="21"/>
                <w:szCs w:val="21"/>
                <w:highlight w:val="none"/>
                <w:lang w:eastAsia="zh-CN"/>
              </w:rPr>
              <w:t>如发现</w:t>
            </w:r>
            <w:r>
              <w:rPr>
                <w:rFonts w:hint="eastAsia" w:ascii="宋体" w:hAnsi="宋体" w:eastAsia="宋体" w:cs="宋体"/>
                <w:color w:val="auto"/>
                <w:sz w:val="21"/>
                <w:szCs w:val="21"/>
                <w:highlight w:val="none"/>
              </w:rPr>
              <w:t>不符合“两重”政策支持方向，以“两重”名义违规兴建楼堂馆所、搞“形象工程”“政绩工程”等违规违纪行为</w:t>
            </w:r>
            <w:r>
              <w:rPr>
                <w:rFonts w:hint="eastAsia" w:ascii="宋体" w:hAnsi="宋体" w:cs="宋体"/>
                <w:color w:val="auto"/>
                <w:sz w:val="21"/>
                <w:szCs w:val="21"/>
                <w:highlight w:val="none"/>
                <w:lang w:eastAsia="zh-CN"/>
              </w:rPr>
              <w:t>，将及时移送相关部门处理。</w:t>
            </w:r>
          </w:p>
          <w:p w14:paraId="20CE7110">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textAlignment w:val="auto"/>
              <w:rPr>
                <w:rFonts w:hint="eastAsia" w:ascii="宋体" w:hAnsi="宋体" w:eastAsia="宋体"/>
                <w:bCs/>
                <w:color w:val="auto"/>
                <w:sz w:val="21"/>
                <w:szCs w:val="21"/>
                <w:highlight w:val="none"/>
              </w:rPr>
            </w:pPr>
            <w:r>
              <w:rPr>
                <w:rFonts w:hint="eastAsia" w:ascii="宋体" w:hAnsi="宋体"/>
                <w:bCs/>
                <w:color w:val="auto"/>
                <w:sz w:val="21"/>
                <w:szCs w:val="21"/>
                <w:highlight w:val="none"/>
                <w:lang w:val="en-US" w:eastAsia="zh-CN"/>
              </w:rPr>
              <w:t>3.</w:t>
            </w:r>
            <w:r>
              <w:rPr>
                <w:rFonts w:hint="eastAsia" w:ascii="宋体" w:hAnsi="宋体" w:eastAsia="宋体"/>
                <w:bCs/>
                <w:color w:val="auto"/>
                <w:sz w:val="21"/>
                <w:szCs w:val="21"/>
                <w:highlight w:val="none"/>
                <w:lang w:val="en-US" w:eastAsia="zh-CN"/>
              </w:rPr>
              <w:t>国有“三资”盘活、落实过“紧日子”要求及财源建设等领域突出问题整治</w:t>
            </w:r>
            <w:r>
              <w:rPr>
                <w:rFonts w:hint="eastAsia" w:ascii="宋体" w:hAnsi="宋体"/>
                <w:bCs/>
                <w:color w:val="auto"/>
                <w:sz w:val="21"/>
                <w:szCs w:val="21"/>
                <w:highlight w:val="none"/>
                <w:lang w:val="en-US" w:eastAsia="zh-CN"/>
              </w:rPr>
              <w:t>方面。</w:t>
            </w:r>
            <w:r>
              <w:rPr>
                <w:rFonts w:hint="eastAsia" w:ascii="宋体" w:hAnsi="宋体" w:eastAsia="宋体"/>
                <w:bCs/>
                <w:color w:val="auto"/>
                <w:sz w:val="21"/>
                <w:szCs w:val="21"/>
                <w:highlight w:val="none"/>
                <w:lang w:val="en-US" w:eastAsia="zh-CN"/>
              </w:rPr>
              <w:t>重点关注财政资金闲置浪费、违规举债开展项目建设造成资产长期闲置等突出问题，以及超范围列支、违规拨付转移支付资金等典型问题。</w:t>
            </w:r>
          </w:p>
          <w:p w14:paraId="4EE2F505">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lang w:val="en-US" w:eastAsia="zh-CN"/>
              </w:rPr>
              <w:t>（二）</w:t>
            </w:r>
            <w:r>
              <w:rPr>
                <w:rFonts w:hint="eastAsia" w:ascii="宋体" w:hAnsi="宋体" w:eastAsia="宋体"/>
                <w:bCs/>
                <w:color w:val="auto"/>
                <w:sz w:val="21"/>
                <w:szCs w:val="21"/>
                <w:highlight w:val="none"/>
              </w:rPr>
              <w:t>本单位重要发展规划和政策措施的制定、执行和效果情况</w:t>
            </w:r>
          </w:p>
          <w:p w14:paraId="4F151763">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textAlignment w:val="auto"/>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lang w:val="en-US" w:eastAsia="zh-CN"/>
              </w:rPr>
              <w:t>（三）</w:t>
            </w:r>
            <w:r>
              <w:rPr>
                <w:rFonts w:hint="eastAsia" w:ascii="宋体" w:hAnsi="宋体" w:eastAsia="宋体"/>
                <w:bCs/>
                <w:color w:val="auto"/>
                <w:sz w:val="21"/>
                <w:szCs w:val="21"/>
                <w:highlight w:val="none"/>
              </w:rPr>
              <w:t>重大经济事项的决策、执行和效果情况</w:t>
            </w:r>
            <w:r>
              <w:rPr>
                <w:rFonts w:hint="eastAsia" w:ascii="宋体" w:hAnsi="宋体" w:eastAsia="宋体"/>
                <w:bCs/>
                <w:color w:val="auto"/>
                <w:sz w:val="21"/>
                <w:szCs w:val="21"/>
                <w:highlight w:val="none"/>
                <w:lang w:eastAsia="zh-CN"/>
              </w:rPr>
              <w:t>。</w:t>
            </w:r>
            <w:r>
              <w:rPr>
                <w:rFonts w:hint="eastAsia" w:ascii="宋体" w:hAnsi="宋体" w:eastAsia="宋体"/>
                <w:color w:val="auto"/>
                <w:sz w:val="21"/>
                <w:highlight w:val="none"/>
              </w:rPr>
              <w:t>关注被审计领导干部是否采取措施建立健全工作规则、议事规则、决定（任务）下达</w:t>
            </w:r>
            <w:r>
              <w:rPr>
                <w:rFonts w:hint="eastAsia" w:ascii="宋体" w:hAnsi="宋体" w:eastAsia="宋体"/>
                <w:color w:val="auto"/>
                <w:sz w:val="21"/>
                <w:highlight w:val="none"/>
                <w:u w:val="none"/>
              </w:rPr>
              <w:t>和</w:t>
            </w:r>
            <w:r>
              <w:rPr>
                <w:rFonts w:hint="eastAsia" w:ascii="宋体" w:hAnsi="宋体" w:eastAsia="宋体"/>
                <w:bCs/>
                <w:color w:val="auto"/>
                <w:sz w:val="21"/>
                <w:szCs w:val="21"/>
                <w:highlight w:val="none"/>
              </w:rPr>
              <w:t>完成报告等经济决策管理制度，是否将预算管理、基本建设、大额资产采购、大额资产处置、大额资金使用等重大经济事项纳入决策范围</w:t>
            </w:r>
            <w:r>
              <w:rPr>
                <w:rFonts w:hint="eastAsia" w:ascii="宋体" w:hAnsi="宋体" w:eastAsia="宋体"/>
                <w:bCs/>
                <w:color w:val="auto"/>
                <w:sz w:val="21"/>
                <w:szCs w:val="21"/>
                <w:highlight w:val="none"/>
                <w:lang w:eastAsia="zh-CN"/>
              </w:rPr>
              <w:t>；</w:t>
            </w:r>
            <w:r>
              <w:rPr>
                <w:rFonts w:hint="eastAsia" w:ascii="宋体" w:hAnsi="宋体" w:eastAsia="宋体"/>
                <w:color w:val="auto"/>
                <w:sz w:val="21"/>
                <w:highlight w:val="none"/>
              </w:rPr>
              <w:t>关注被审计领导干部任职期间</w:t>
            </w:r>
            <w:r>
              <w:rPr>
                <w:rFonts w:hint="eastAsia" w:ascii="宋体" w:hAnsi="宋体" w:eastAsia="宋体"/>
                <w:color w:val="auto"/>
                <w:sz w:val="21"/>
                <w:highlight w:val="none"/>
                <w:u w:val="none"/>
              </w:rPr>
              <w:t>的</w:t>
            </w:r>
            <w:r>
              <w:rPr>
                <w:rFonts w:hint="eastAsia" w:ascii="宋体" w:hAnsi="宋体" w:eastAsia="宋体"/>
                <w:bCs/>
                <w:color w:val="auto"/>
                <w:sz w:val="21"/>
                <w:szCs w:val="21"/>
                <w:highlight w:val="none"/>
              </w:rPr>
              <w:t>重大经济决策程序是否合法合规</w:t>
            </w:r>
            <w:r>
              <w:rPr>
                <w:rFonts w:hint="eastAsia" w:ascii="宋体" w:hAnsi="宋体" w:eastAsia="宋体"/>
                <w:bCs/>
                <w:color w:val="auto"/>
                <w:sz w:val="21"/>
                <w:szCs w:val="21"/>
                <w:highlight w:val="none"/>
                <w:lang w:eastAsia="zh-CN"/>
              </w:rPr>
              <w:t>；</w:t>
            </w:r>
            <w:r>
              <w:rPr>
                <w:rFonts w:hint="eastAsia" w:ascii="宋体" w:hAnsi="宋体" w:eastAsia="宋体"/>
                <w:bCs/>
                <w:color w:val="auto"/>
                <w:sz w:val="21"/>
                <w:szCs w:val="21"/>
                <w:highlight w:val="none"/>
              </w:rPr>
              <w:t>关注重大经济决策事项执行的及时性，有关监督和保障措施的有效性，决策实施内容调整的合规性</w:t>
            </w:r>
            <w:r>
              <w:rPr>
                <w:rFonts w:hint="eastAsia" w:ascii="宋体" w:hAnsi="宋体" w:eastAsia="宋体"/>
                <w:bCs/>
                <w:color w:val="auto"/>
                <w:sz w:val="21"/>
                <w:szCs w:val="21"/>
                <w:highlight w:val="none"/>
                <w:lang w:eastAsia="zh-CN"/>
              </w:rPr>
              <w:t>；</w:t>
            </w:r>
            <w:r>
              <w:rPr>
                <w:rFonts w:hint="eastAsia" w:ascii="宋体" w:hAnsi="宋体" w:eastAsia="宋体"/>
                <w:bCs/>
                <w:color w:val="auto"/>
                <w:sz w:val="21"/>
                <w:szCs w:val="21"/>
                <w:highlight w:val="none"/>
              </w:rPr>
              <w:t>关注是否实行内部审计制度，是否依法履行审计监督情况，检查内部审计领导体制、机构和人员设置是否符合规定。</w:t>
            </w:r>
          </w:p>
          <w:p w14:paraId="258D7D3E">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textAlignment w:val="auto"/>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lang w:val="en-US" w:eastAsia="zh-CN"/>
              </w:rPr>
              <w:t>（四）</w:t>
            </w:r>
            <w:r>
              <w:rPr>
                <w:rFonts w:hint="eastAsia" w:ascii="宋体" w:hAnsi="宋体" w:eastAsia="宋体"/>
                <w:bCs/>
                <w:color w:val="auto"/>
                <w:sz w:val="21"/>
                <w:szCs w:val="21"/>
                <w:highlight w:val="none"/>
              </w:rPr>
              <w:t>财政财务管理和经济风险防范情况，建设项目、资金等管理使用和效益情况，以及在预算管理中执行机构编制管理规定情况</w:t>
            </w:r>
            <w:r>
              <w:rPr>
                <w:rFonts w:hint="eastAsia" w:ascii="宋体" w:hAnsi="宋体" w:eastAsia="宋体"/>
                <w:bCs/>
                <w:color w:val="auto"/>
                <w:sz w:val="21"/>
                <w:szCs w:val="21"/>
                <w:highlight w:val="none"/>
                <w:lang w:eastAsia="zh-CN"/>
              </w:rPr>
              <w:t>。</w:t>
            </w:r>
            <w:r>
              <w:rPr>
                <w:rFonts w:hint="eastAsia" w:ascii="宋体" w:hAnsi="宋体" w:eastAsia="宋体"/>
                <w:bCs/>
                <w:color w:val="auto"/>
                <w:sz w:val="21"/>
                <w:szCs w:val="21"/>
                <w:highlight w:val="none"/>
              </w:rPr>
              <w:t>关注被审计领导干部在任职期间部门的财政财务管理情况</w:t>
            </w:r>
            <w:r>
              <w:rPr>
                <w:rFonts w:hint="eastAsia" w:ascii="宋体" w:hAnsi="宋体" w:eastAsia="宋体"/>
                <w:bCs/>
                <w:color w:val="auto"/>
                <w:sz w:val="21"/>
                <w:szCs w:val="21"/>
                <w:highlight w:val="none"/>
                <w:lang w:eastAsia="zh-CN"/>
              </w:rPr>
              <w:t>；</w:t>
            </w:r>
            <w:r>
              <w:rPr>
                <w:rFonts w:hint="eastAsia" w:ascii="宋体" w:hAnsi="宋体" w:eastAsia="宋体"/>
                <w:color w:val="auto"/>
                <w:sz w:val="21"/>
                <w:highlight w:val="none"/>
              </w:rPr>
              <w:t>关注被审计领导干部在</w:t>
            </w:r>
            <w:r>
              <w:rPr>
                <w:rFonts w:hint="eastAsia" w:ascii="宋体" w:hAnsi="宋体" w:eastAsia="宋体"/>
                <w:color w:val="auto"/>
                <w:sz w:val="21"/>
                <w:highlight w:val="none"/>
                <w:u w:val="none"/>
              </w:rPr>
              <w:t>其</w:t>
            </w:r>
            <w:r>
              <w:rPr>
                <w:rFonts w:hint="eastAsia" w:ascii="宋体" w:hAnsi="宋体" w:eastAsia="宋体"/>
                <w:bCs/>
                <w:color w:val="auto"/>
                <w:sz w:val="21"/>
                <w:szCs w:val="21"/>
                <w:highlight w:val="none"/>
              </w:rPr>
              <w:t>任职单位的经济风险防范、生态文明建设等工作中的作为及其对相关工作效益的影响</w:t>
            </w:r>
            <w:r>
              <w:rPr>
                <w:rFonts w:hint="eastAsia" w:ascii="宋体" w:hAnsi="宋体" w:eastAsia="宋体"/>
                <w:bCs/>
                <w:color w:val="auto"/>
                <w:sz w:val="21"/>
                <w:szCs w:val="21"/>
                <w:highlight w:val="none"/>
                <w:lang w:eastAsia="zh-CN"/>
              </w:rPr>
              <w:t>；</w:t>
            </w:r>
            <w:r>
              <w:rPr>
                <w:rFonts w:hint="eastAsia" w:ascii="宋体" w:hAnsi="宋体" w:eastAsia="宋体"/>
                <w:color w:val="auto"/>
                <w:sz w:val="21"/>
                <w:highlight w:val="none"/>
              </w:rPr>
              <w:t>关注被审计领导干部在预算管理中执行机构编制管理规定</w:t>
            </w:r>
            <w:r>
              <w:rPr>
                <w:rFonts w:hint="eastAsia" w:ascii="宋体" w:hAnsi="宋体" w:eastAsia="宋体"/>
                <w:color w:val="auto"/>
                <w:sz w:val="21"/>
                <w:highlight w:val="none"/>
                <w:u w:val="none"/>
              </w:rPr>
              <w:t>的</w:t>
            </w:r>
            <w:r>
              <w:rPr>
                <w:rFonts w:hint="eastAsia" w:ascii="宋体" w:hAnsi="宋体" w:eastAsia="宋体"/>
                <w:bCs/>
                <w:color w:val="auto"/>
                <w:sz w:val="21"/>
                <w:szCs w:val="21"/>
                <w:highlight w:val="none"/>
              </w:rPr>
              <w:t>情况。</w:t>
            </w:r>
          </w:p>
          <w:p w14:paraId="52F8FA0B">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预算编制方面。重点关注是否严格落实零基预算改革要求；部门预算编制不完整，结转结余资金管理不规范；虚报冒领人员经费、公用经费、项目经费；预算决策程序不符合规定；未按要求编制项目绩效目标等问题。</w:t>
            </w:r>
          </w:p>
          <w:p w14:paraId="075B9AEB">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预算执行方面。重点关注年底突击花钱，超进度支付款项，</w:t>
            </w:r>
          </w:p>
          <w:p w14:paraId="3ED6465C">
            <w:pPr>
              <w:keepNext w:val="0"/>
              <w:keepLines w:val="0"/>
              <w:pageBreakBefore w:val="0"/>
              <w:widowControl w:val="0"/>
              <w:kinsoku/>
              <w:wordWrap w:val="0"/>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擅自扩大开支范围和标准违反规定自设新设、超范围超标准发放工资津贴补贴等；通过虚假合同、虚假票据等方式虚列支出；“三公”经费、会议费、培训费等支出管控不严，支出不规范；预算调剂不规范等问题。</w:t>
            </w:r>
          </w:p>
          <w:p w14:paraId="48132EE7">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预算绩效管理方面。重点关注绩效目标设定与项目实际脱节，或虚设、降低绩效目标值；绩效运行监控流于形式，未及时发现和纠正项目执行偏差；绩效评价走过场、自评不实，未按规定开展绩效评价或评价结果失真，甚至虚报绩效目标完成情况；未按规定落实绩效评价发现问题整改或虚假整改；是否将评估评价结果与预算安排挂钩。</w:t>
            </w:r>
          </w:p>
          <w:p w14:paraId="244CEF10">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资金管理方面。重点关注违规从零余额账户向实有资金账户划拨资金；未按规定将存量资金收回统筹安排；银行账户管理不规范；挤占、挪用、违规对外出借资金；私设“小金库”，未按规定处置罚没财物和重点领域违规收费等问题。</w:t>
            </w:r>
          </w:p>
          <w:p w14:paraId="4FD4A26A">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资产管理方面。重点关注未按规定建立内控制度，账账、账实、账卡不符，以及资产信息未按规定登记等行政事业单位国有资产基础管理问题；资产权属不清、未采取措施办理产权登记；超标准、超预算配置资产；资产长期闲置未及时采取措施盘活；资产清查盘点工作开展不力，闲置、低效运转、超标准配置等资产未纳入政府公物仓，不接受使用调剂资产造成资源浪费；资产出租、出借、对外投资、处置等管理不规范，未按规定履行审批</w:t>
            </w:r>
          </w:p>
          <w:p w14:paraId="4F4FA5BC">
            <w:pPr>
              <w:keepNext w:val="0"/>
              <w:keepLines w:val="0"/>
              <w:pageBreakBefore w:val="0"/>
              <w:widowControl w:val="0"/>
              <w:kinsoku/>
              <w:wordWrap w:val="0"/>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程序；资产使用、处置收益未按规定及时上交财政等问题。</w:t>
            </w:r>
          </w:p>
          <w:p w14:paraId="385AE493">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textAlignment w:val="auto"/>
              <w:rPr>
                <w:rFonts w:hint="eastAsia" w:ascii="宋体" w:hAnsi="宋体" w:eastAsia="宋体"/>
                <w:color w:val="auto"/>
                <w:sz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政府采购方面。重点关注采购信息是否依法公开；采购项目是否存在无预算或超预算采购；采购文件是否设置差别歧视条款；采购程序是否按法律法规实施；合同签订是否规范、是否按合同规定验收和支付资金等问题。</w:t>
            </w:r>
          </w:p>
          <w:p w14:paraId="4F32FB77">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bCs/>
                <w:color w:val="auto"/>
                <w:sz w:val="21"/>
                <w:szCs w:val="21"/>
                <w:highlight w:val="none"/>
              </w:rPr>
            </w:pPr>
            <w:r>
              <w:rPr>
                <w:rFonts w:hint="eastAsia" w:ascii="宋体" w:hAnsi="宋体" w:eastAsia="宋体"/>
                <w:color w:val="auto"/>
                <w:sz w:val="21"/>
                <w:highlight w:val="none"/>
                <w:lang w:eastAsia="zh-CN"/>
              </w:rPr>
              <w:t>（五）</w:t>
            </w:r>
            <w:r>
              <w:rPr>
                <w:rFonts w:hint="eastAsia" w:ascii="宋体" w:hAnsi="宋体" w:eastAsia="宋体"/>
                <w:color w:val="auto"/>
                <w:sz w:val="21"/>
                <w:highlight w:val="none"/>
              </w:rPr>
              <w:t>在经济活动中落实有关党风廉政建设责任和遵守廉洁从政规定</w:t>
            </w:r>
            <w:r>
              <w:rPr>
                <w:rFonts w:hint="eastAsia" w:ascii="宋体" w:hAnsi="宋体" w:eastAsia="宋体"/>
                <w:color w:val="auto"/>
                <w:sz w:val="21"/>
                <w:highlight w:val="none"/>
                <w:u w:val="none"/>
              </w:rPr>
              <w:t>的</w:t>
            </w:r>
            <w:r>
              <w:rPr>
                <w:rFonts w:hint="eastAsia" w:ascii="宋体" w:hAnsi="宋体" w:eastAsia="宋体"/>
                <w:bCs/>
                <w:color w:val="auto"/>
                <w:sz w:val="21"/>
                <w:szCs w:val="21"/>
                <w:highlight w:val="none"/>
              </w:rPr>
              <w:t>情况</w:t>
            </w:r>
            <w:r>
              <w:rPr>
                <w:rFonts w:hint="eastAsia" w:ascii="宋体" w:hAnsi="宋体" w:eastAsia="宋体"/>
                <w:bCs/>
                <w:color w:val="auto"/>
                <w:sz w:val="21"/>
                <w:szCs w:val="21"/>
                <w:highlight w:val="none"/>
                <w:lang w:eastAsia="zh-CN"/>
              </w:rPr>
              <w:t>。</w:t>
            </w:r>
            <w:r>
              <w:rPr>
                <w:rFonts w:hint="eastAsia" w:ascii="宋体" w:hAnsi="宋体" w:eastAsia="宋体"/>
                <w:bCs/>
                <w:color w:val="auto"/>
                <w:sz w:val="21"/>
                <w:szCs w:val="21"/>
                <w:highlight w:val="none"/>
              </w:rPr>
              <w:t>关注被审计领导干部建立健全有关党风廉政制度及其执行的情况，关注和揭示被审计单位在政策落实、资金使用等方面存在的“四风”问题</w:t>
            </w:r>
            <w:r>
              <w:rPr>
                <w:rFonts w:hint="eastAsia" w:ascii="宋体" w:hAnsi="宋体" w:eastAsia="宋体"/>
                <w:bCs/>
                <w:color w:val="auto"/>
                <w:sz w:val="21"/>
                <w:szCs w:val="21"/>
                <w:highlight w:val="none"/>
                <w:lang w:eastAsia="zh-CN"/>
              </w:rPr>
              <w:t>；</w:t>
            </w:r>
            <w:r>
              <w:rPr>
                <w:rFonts w:hint="eastAsia" w:ascii="宋体" w:hAnsi="宋体" w:eastAsia="宋体"/>
                <w:bCs/>
                <w:color w:val="auto"/>
                <w:sz w:val="21"/>
                <w:szCs w:val="21"/>
                <w:highlight w:val="none"/>
              </w:rPr>
              <w:t>关注作为中国共产党党员的被审计领导干部在经济活动中遵守《中国共产党党章》等廉洁从政规定情况。是否履行党风廉政建设第一责任人责任等各项职责</w:t>
            </w:r>
            <w:r>
              <w:rPr>
                <w:rFonts w:hint="eastAsia" w:ascii="宋体" w:hAnsi="宋体" w:eastAsia="宋体"/>
                <w:bCs/>
                <w:color w:val="auto"/>
                <w:sz w:val="21"/>
                <w:szCs w:val="21"/>
                <w:highlight w:val="none"/>
                <w:lang w:eastAsia="zh-CN"/>
              </w:rPr>
              <w:t>；</w:t>
            </w:r>
            <w:r>
              <w:rPr>
                <w:rFonts w:hint="eastAsia" w:ascii="宋体" w:hAnsi="宋体" w:eastAsia="宋体"/>
                <w:color w:val="auto"/>
                <w:sz w:val="21"/>
                <w:highlight w:val="none"/>
              </w:rPr>
              <w:t>关注被审计领导干部贯彻执行《党政机关厉行节约反对浪费条例》《关于进一步规范党政领导干部在企业兼职(任职)问题的意见》、中央八项规定</w:t>
            </w:r>
            <w:r>
              <w:rPr>
                <w:rFonts w:hint="eastAsia" w:ascii="宋体" w:hAnsi="宋体" w:eastAsia="宋体"/>
                <w:color w:val="auto"/>
                <w:sz w:val="21"/>
                <w:highlight w:val="none"/>
                <w:u w:val="none"/>
              </w:rPr>
              <w:t>精神</w:t>
            </w:r>
            <w:r>
              <w:rPr>
                <w:rFonts w:hint="eastAsia" w:ascii="宋体" w:hAnsi="宋体" w:eastAsia="宋体"/>
                <w:color w:val="auto"/>
                <w:sz w:val="21"/>
                <w:highlight w:val="none"/>
              </w:rPr>
              <w:t>和自治区30条贯彻落实意见</w:t>
            </w:r>
            <w:r>
              <w:rPr>
                <w:rFonts w:hint="eastAsia" w:ascii="宋体" w:hAnsi="宋体" w:eastAsia="宋体"/>
                <w:color w:val="auto"/>
                <w:sz w:val="21"/>
                <w:highlight w:val="none"/>
                <w:u w:val="none"/>
              </w:rPr>
              <w:t>等</w:t>
            </w:r>
            <w:r>
              <w:rPr>
                <w:rFonts w:hint="eastAsia" w:ascii="宋体" w:hAnsi="宋体" w:eastAsia="宋体"/>
                <w:bCs/>
                <w:color w:val="auto"/>
                <w:sz w:val="21"/>
                <w:szCs w:val="21"/>
                <w:highlight w:val="none"/>
              </w:rPr>
              <w:t>情况</w:t>
            </w:r>
            <w:r>
              <w:rPr>
                <w:rFonts w:hint="eastAsia" w:ascii="宋体" w:hAnsi="宋体" w:eastAsia="宋体"/>
                <w:bCs/>
                <w:color w:val="auto"/>
                <w:sz w:val="21"/>
                <w:szCs w:val="21"/>
                <w:highlight w:val="none"/>
                <w:lang w:eastAsia="zh-CN"/>
              </w:rPr>
              <w:t>；</w:t>
            </w:r>
            <w:r>
              <w:rPr>
                <w:rFonts w:hint="eastAsia" w:ascii="宋体" w:hAnsi="宋体" w:eastAsia="宋体"/>
                <w:bCs/>
                <w:color w:val="auto"/>
                <w:sz w:val="21"/>
                <w:szCs w:val="21"/>
                <w:highlight w:val="none"/>
              </w:rPr>
              <w:t>核实与被审计领导干部有关的信访和举报等事项。</w:t>
            </w:r>
          </w:p>
          <w:p w14:paraId="788899F2">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lang w:val="en-US" w:eastAsia="zh-CN"/>
              </w:rPr>
              <w:t>（六）</w:t>
            </w:r>
            <w:r>
              <w:rPr>
                <w:rFonts w:hint="eastAsia" w:ascii="宋体" w:hAnsi="宋体" w:eastAsia="宋体"/>
                <w:bCs/>
                <w:color w:val="auto"/>
                <w:sz w:val="21"/>
                <w:szCs w:val="21"/>
                <w:highlight w:val="none"/>
              </w:rPr>
              <w:t>以往审计发现问题的整改情况</w:t>
            </w:r>
            <w:r>
              <w:rPr>
                <w:rFonts w:hint="eastAsia" w:ascii="宋体" w:hAnsi="宋体" w:eastAsia="宋体"/>
                <w:bCs/>
                <w:color w:val="auto"/>
                <w:sz w:val="21"/>
                <w:szCs w:val="21"/>
                <w:highlight w:val="none"/>
                <w:lang w:eastAsia="zh-CN"/>
              </w:rPr>
              <w:t>。</w:t>
            </w:r>
            <w:r>
              <w:rPr>
                <w:rFonts w:hint="eastAsia" w:ascii="宋体" w:hAnsi="宋体" w:eastAsia="宋体"/>
                <w:bCs/>
                <w:color w:val="auto"/>
                <w:sz w:val="21"/>
                <w:szCs w:val="21"/>
                <w:highlight w:val="none"/>
              </w:rPr>
              <w:t>关注被审计领导干部任职期间任职单位所接受的各项审计查出问题的整改情况及其效果。</w:t>
            </w:r>
          </w:p>
          <w:p w14:paraId="2778D972">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lang w:val="en-US" w:eastAsia="zh-CN"/>
              </w:rPr>
              <w:t>（七）</w:t>
            </w:r>
            <w:r>
              <w:rPr>
                <w:rFonts w:hint="eastAsia" w:ascii="宋体" w:hAnsi="宋体" w:eastAsia="宋体"/>
                <w:bCs/>
                <w:color w:val="auto"/>
                <w:sz w:val="21"/>
                <w:szCs w:val="21"/>
                <w:highlight w:val="none"/>
              </w:rPr>
              <w:t>其他需要审计的内容</w:t>
            </w:r>
            <w:r>
              <w:rPr>
                <w:rFonts w:hint="eastAsia" w:ascii="宋体" w:hAnsi="宋体" w:eastAsia="宋体"/>
                <w:bCs/>
                <w:color w:val="auto"/>
                <w:sz w:val="21"/>
                <w:szCs w:val="21"/>
                <w:highlight w:val="none"/>
                <w:lang w:eastAsia="zh-CN"/>
              </w:rPr>
              <w:t>。</w:t>
            </w:r>
            <w:r>
              <w:rPr>
                <w:rFonts w:hint="eastAsia" w:ascii="宋体" w:hAnsi="宋体" w:eastAsia="宋体"/>
                <w:bCs/>
                <w:color w:val="auto"/>
                <w:sz w:val="21"/>
                <w:szCs w:val="21"/>
                <w:highlight w:val="none"/>
              </w:rPr>
              <w:t>根据被审计单位和被审计领导干部具体情况确定的其他需要审计的事项和内容。</w:t>
            </w:r>
          </w:p>
          <w:p w14:paraId="30C2A9A3">
            <w:pPr>
              <w:keepNext w:val="0"/>
              <w:keepLines w:val="0"/>
              <w:pageBreakBefore w:val="0"/>
              <w:widowControl w:val="0"/>
              <w:numPr>
                <w:ilvl w:val="0"/>
                <w:numId w:val="0"/>
              </w:numPr>
              <w:kinsoku/>
              <w:wordWrap w:val="0"/>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四、工作要求</w:t>
            </w:r>
          </w:p>
          <w:p w14:paraId="1D86B404">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lang w:val="en-US" w:eastAsia="zh-CN"/>
              </w:rPr>
              <w:t>（一）</w:t>
            </w:r>
            <w:r>
              <w:rPr>
                <w:rFonts w:hint="eastAsia" w:ascii="宋体" w:hAnsi="宋体" w:eastAsia="宋体"/>
                <w:bCs/>
                <w:color w:val="auto"/>
                <w:sz w:val="21"/>
                <w:szCs w:val="21"/>
                <w:highlight w:val="none"/>
              </w:rPr>
              <w:t>加强</w:t>
            </w:r>
            <w:r>
              <w:rPr>
                <w:rFonts w:hint="eastAsia" w:ascii="宋体" w:hAnsi="宋体" w:eastAsia="宋体"/>
                <w:bCs/>
                <w:color w:val="auto"/>
                <w:sz w:val="21"/>
                <w:szCs w:val="21"/>
                <w:highlight w:val="none"/>
                <w:lang w:eastAsia="zh-CN"/>
              </w:rPr>
              <w:t>组织</w:t>
            </w:r>
            <w:r>
              <w:rPr>
                <w:rFonts w:hint="eastAsia" w:ascii="宋体" w:hAnsi="宋体" w:eastAsia="宋体"/>
                <w:bCs/>
                <w:color w:val="auto"/>
                <w:sz w:val="21"/>
                <w:szCs w:val="21"/>
                <w:highlight w:val="none"/>
              </w:rPr>
              <w:t>领导</w:t>
            </w:r>
            <w:r>
              <w:rPr>
                <w:rFonts w:hint="eastAsia" w:ascii="宋体" w:hAnsi="宋体" w:eastAsia="宋体"/>
                <w:bCs/>
                <w:color w:val="auto"/>
                <w:sz w:val="21"/>
                <w:szCs w:val="21"/>
                <w:highlight w:val="none"/>
                <w:lang w:eastAsia="zh-CN"/>
              </w:rPr>
              <w:t>。</w:t>
            </w:r>
            <w:r>
              <w:rPr>
                <w:rFonts w:hint="eastAsia" w:ascii="宋体" w:hAnsi="宋体" w:eastAsia="宋体"/>
                <w:color w:val="auto"/>
                <w:sz w:val="21"/>
                <w:highlight w:val="none"/>
                <w:u w:val="none"/>
                <w:lang w:eastAsia="zh-CN"/>
              </w:rPr>
              <w:t>供应商应统筹安排本项目的审计力量，</w:t>
            </w:r>
            <w:r>
              <w:rPr>
                <w:rFonts w:hint="eastAsia" w:ascii="宋体" w:hAnsi="宋体" w:eastAsia="宋体"/>
                <w:color w:val="auto"/>
                <w:sz w:val="21"/>
                <w:highlight w:val="none"/>
                <w:lang w:eastAsia="zh-CN"/>
              </w:rPr>
              <w:t>派出审计组。</w:t>
            </w:r>
            <w:r>
              <w:rPr>
                <w:rFonts w:hint="eastAsia" w:ascii="宋体" w:hAnsi="宋体" w:eastAsia="宋体"/>
                <w:bCs/>
                <w:color w:val="auto"/>
                <w:sz w:val="21"/>
                <w:szCs w:val="21"/>
                <w:highlight w:val="none"/>
                <w:lang w:eastAsia="zh-CN"/>
              </w:rPr>
              <w:t>健全和落实审计质量控制工作机制和要求，遵守审计回避、廉洁、保密等审计工作纪律，</w:t>
            </w:r>
            <w:r>
              <w:rPr>
                <w:rFonts w:hint="eastAsia" w:ascii="宋体" w:hAnsi="宋体" w:eastAsia="宋体"/>
                <w:bCs/>
                <w:color w:val="auto"/>
                <w:sz w:val="21"/>
                <w:szCs w:val="21"/>
                <w:highlight w:val="none"/>
              </w:rPr>
              <w:t>为圆满完成任务提供有力的组织保障。</w:t>
            </w:r>
          </w:p>
          <w:p w14:paraId="00DB4BF2">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hint="eastAsia" w:ascii="宋体" w:hAnsi="宋体" w:eastAsia="宋体"/>
                <w:color w:val="auto"/>
                <w:sz w:val="21"/>
                <w:highlight w:val="none"/>
                <w:u w:val="none"/>
                <w:lang w:eastAsia="zh-CN"/>
              </w:rPr>
            </w:pPr>
            <w:r>
              <w:rPr>
                <w:rFonts w:hint="eastAsia" w:ascii="宋体" w:hAnsi="宋体" w:eastAsia="宋体"/>
                <w:bCs/>
                <w:color w:val="auto"/>
                <w:sz w:val="21"/>
                <w:szCs w:val="21"/>
                <w:highlight w:val="none"/>
                <w:lang w:val="en-US" w:eastAsia="zh-CN"/>
              </w:rPr>
              <w:t>（二）</w:t>
            </w:r>
            <w:r>
              <w:rPr>
                <w:rFonts w:hint="eastAsia" w:ascii="宋体" w:hAnsi="宋体" w:eastAsia="宋体"/>
                <w:color w:val="auto"/>
                <w:sz w:val="21"/>
                <w:highlight w:val="none"/>
                <w:u w:val="none"/>
                <w:lang w:eastAsia="zh-CN"/>
              </w:rPr>
              <w:t>制定实施方案</w:t>
            </w:r>
            <w:r>
              <w:rPr>
                <w:rFonts w:hint="eastAsia" w:ascii="宋体" w:hAnsi="宋体" w:eastAsia="宋体"/>
                <w:bCs/>
                <w:color w:val="auto"/>
                <w:sz w:val="21"/>
                <w:szCs w:val="21"/>
                <w:highlight w:val="none"/>
                <w:lang w:eastAsia="zh-CN"/>
              </w:rPr>
              <w:t>。供应商</w:t>
            </w:r>
            <w:r>
              <w:rPr>
                <w:rFonts w:hint="eastAsia" w:ascii="宋体" w:hAnsi="宋体" w:eastAsia="宋体"/>
                <w:color w:val="auto"/>
                <w:sz w:val="21"/>
                <w:highlight w:val="none"/>
                <w:u w:val="none"/>
              </w:rPr>
              <w:t>及</w:t>
            </w:r>
            <w:r>
              <w:rPr>
                <w:rFonts w:hint="eastAsia" w:ascii="宋体" w:hAnsi="宋体" w:eastAsia="宋体"/>
                <w:bCs/>
                <w:color w:val="auto"/>
                <w:sz w:val="21"/>
                <w:szCs w:val="21"/>
                <w:highlight w:val="none"/>
              </w:rPr>
              <w:t>派出审计组</w:t>
            </w:r>
            <w:r>
              <w:rPr>
                <w:rFonts w:hint="eastAsia" w:ascii="宋体" w:hAnsi="宋体" w:eastAsia="宋体"/>
                <w:bCs/>
                <w:color w:val="auto"/>
                <w:sz w:val="21"/>
                <w:szCs w:val="21"/>
                <w:highlight w:val="none"/>
                <w:lang w:eastAsia="zh-CN"/>
              </w:rPr>
              <w:t>成员</w:t>
            </w:r>
            <w:r>
              <w:rPr>
                <w:rFonts w:hint="eastAsia" w:ascii="宋体" w:hAnsi="宋体" w:eastAsia="宋体"/>
                <w:color w:val="auto"/>
                <w:sz w:val="21"/>
                <w:highlight w:val="none"/>
              </w:rPr>
              <w:t>进驻被审计单位前，</w:t>
            </w:r>
            <w:r>
              <w:rPr>
                <w:rFonts w:hint="eastAsia" w:ascii="宋体" w:hAnsi="宋体" w:eastAsia="宋体" w:cs="宋体"/>
                <w:color w:val="auto"/>
                <w:sz w:val="21"/>
                <w:szCs w:val="21"/>
                <w:highlight w:val="none"/>
              </w:rPr>
              <w:t>应了解被</w:t>
            </w:r>
            <w:r>
              <w:rPr>
                <w:rFonts w:hint="eastAsia" w:ascii="宋体" w:hAnsi="宋体" w:eastAsia="宋体" w:cs="宋体"/>
                <w:color w:val="auto"/>
                <w:sz w:val="21"/>
                <w:szCs w:val="21"/>
                <w:highlight w:val="none"/>
                <w:lang w:eastAsia="zh-CN"/>
              </w:rPr>
              <w:t>审计</w:t>
            </w:r>
            <w:r>
              <w:rPr>
                <w:rFonts w:hint="eastAsia" w:ascii="宋体" w:hAnsi="宋体" w:eastAsia="宋体" w:cs="宋体"/>
                <w:color w:val="auto"/>
                <w:sz w:val="21"/>
                <w:szCs w:val="21"/>
                <w:highlight w:val="none"/>
              </w:rPr>
              <w:t>单位基本情况</w:t>
            </w:r>
            <w:r>
              <w:rPr>
                <w:rFonts w:hint="eastAsia" w:ascii="宋体" w:hAnsi="宋体" w:eastAsia="宋体" w:cs="宋体"/>
                <w:color w:val="auto"/>
                <w:sz w:val="21"/>
                <w:szCs w:val="21"/>
                <w:highlight w:val="none"/>
                <w:lang w:eastAsia="zh-CN"/>
              </w:rPr>
              <w:t>，</w:t>
            </w:r>
            <w:r>
              <w:rPr>
                <w:rFonts w:hint="eastAsia" w:ascii="宋体" w:hAnsi="宋体" w:eastAsia="宋体"/>
                <w:bCs/>
                <w:color w:val="auto"/>
                <w:sz w:val="21"/>
                <w:szCs w:val="21"/>
                <w:highlight w:val="none"/>
              </w:rPr>
              <w:t>针对性地修改和完善</w:t>
            </w:r>
            <w:r>
              <w:rPr>
                <w:rFonts w:hint="eastAsia" w:ascii="宋体" w:hAnsi="宋体" w:eastAsia="宋体"/>
                <w:bCs/>
                <w:color w:val="auto"/>
                <w:sz w:val="21"/>
                <w:szCs w:val="21"/>
                <w:highlight w:val="none"/>
                <w:lang w:eastAsia="zh-CN"/>
              </w:rPr>
              <w:t>审计</w:t>
            </w:r>
            <w:r>
              <w:rPr>
                <w:rFonts w:hint="eastAsia" w:ascii="宋体" w:hAnsi="宋体" w:eastAsia="宋体"/>
                <w:bCs/>
                <w:color w:val="auto"/>
                <w:sz w:val="21"/>
                <w:szCs w:val="21"/>
                <w:highlight w:val="none"/>
              </w:rPr>
              <w:t>服务工作方案，编制全面完整的</w:t>
            </w:r>
            <w:r>
              <w:rPr>
                <w:rFonts w:hint="eastAsia" w:ascii="宋体" w:hAnsi="宋体" w:eastAsia="宋体"/>
                <w:bCs/>
                <w:color w:val="auto"/>
                <w:sz w:val="21"/>
                <w:szCs w:val="21"/>
                <w:highlight w:val="none"/>
                <w:lang w:eastAsia="zh-CN"/>
              </w:rPr>
              <w:t>项目</w:t>
            </w:r>
            <w:r>
              <w:rPr>
                <w:rFonts w:hint="eastAsia" w:ascii="宋体" w:hAnsi="宋体" w:eastAsia="宋体"/>
                <w:bCs/>
                <w:color w:val="auto"/>
                <w:sz w:val="21"/>
                <w:szCs w:val="21"/>
                <w:highlight w:val="none"/>
              </w:rPr>
              <w:t>审计实施方案提交采购人</w:t>
            </w:r>
            <w:r>
              <w:rPr>
                <w:rFonts w:hint="eastAsia" w:ascii="宋体" w:hAnsi="宋体" w:eastAsia="宋体"/>
                <w:color w:val="auto"/>
                <w:sz w:val="21"/>
                <w:highlight w:val="none"/>
                <w:u w:val="none"/>
              </w:rPr>
              <w:t>审核</w:t>
            </w:r>
            <w:r>
              <w:rPr>
                <w:rFonts w:hint="eastAsia" w:ascii="宋体" w:hAnsi="宋体" w:eastAsia="宋体"/>
                <w:color w:val="auto"/>
                <w:sz w:val="21"/>
                <w:highlight w:val="none"/>
                <w:lang w:eastAsia="zh-CN"/>
              </w:rPr>
              <w:t>，</w:t>
            </w:r>
            <w:r>
              <w:rPr>
                <w:rFonts w:hint="eastAsia" w:ascii="宋体" w:hAnsi="宋体" w:eastAsia="宋体"/>
                <w:color w:val="auto"/>
                <w:sz w:val="21"/>
                <w:highlight w:val="none"/>
                <w:u w:val="none"/>
                <w:lang w:eastAsia="zh-CN"/>
              </w:rPr>
              <w:t>按采购人</w:t>
            </w:r>
            <w:r>
              <w:rPr>
                <w:rFonts w:hint="eastAsia" w:ascii="宋体" w:hAnsi="宋体" w:eastAsia="宋体"/>
                <w:color w:val="auto"/>
                <w:sz w:val="21"/>
                <w:highlight w:val="none"/>
                <w:lang w:eastAsia="zh-CN"/>
              </w:rPr>
              <w:t>审定</w:t>
            </w:r>
            <w:r>
              <w:rPr>
                <w:rFonts w:hint="eastAsia" w:ascii="宋体" w:hAnsi="宋体" w:eastAsia="宋体"/>
                <w:color w:val="auto"/>
                <w:sz w:val="21"/>
                <w:highlight w:val="none"/>
                <w:u w:val="none"/>
                <w:lang w:eastAsia="zh-CN"/>
              </w:rPr>
              <w:t>的方案实施。项目审计实施方案的</w:t>
            </w:r>
            <w:r>
              <w:rPr>
                <w:rFonts w:hint="eastAsia" w:ascii="宋体" w:hAnsi="宋体" w:eastAsia="宋体"/>
                <w:color w:val="auto"/>
                <w:sz w:val="21"/>
                <w:highlight w:val="none"/>
                <w:lang w:eastAsia="zh-CN"/>
              </w:rPr>
              <w:t>主要</w:t>
            </w:r>
            <w:r>
              <w:rPr>
                <w:rFonts w:hint="eastAsia" w:ascii="宋体" w:hAnsi="宋体" w:eastAsia="宋体"/>
                <w:color w:val="auto"/>
                <w:sz w:val="21"/>
                <w:highlight w:val="none"/>
                <w:u w:val="none"/>
                <w:lang w:eastAsia="zh-CN"/>
              </w:rPr>
              <w:t>内容应</w:t>
            </w:r>
            <w:r>
              <w:rPr>
                <w:rFonts w:hint="eastAsia" w:ascii="宋体" w:hAnsi="宋体" w:eastAsia="宋体"/>
                <w:color w:val="auto"/>
                <w:sz w:val="21"/>
                <w:highlight w:val="none"/>
                <w:lang w:eastAsia="zh-CN"/>
              </w:rPr>
              <w:t>包括</w:t>
            </w:r>
            <w:r>
              <w:rPr>
                <w:rFonts w:hint="eastAsia" w:ascii="宋体" w:hAnsi="宋体" w:eastAsia="宋体"/>
                <w:color w:val="auto"/>
                <w:sz w:val="21"/>
                <w:highlight w:val="none"/>
                <w:u w:val="none"/>
                <w:lang w:eastAsia="zh-CN"/>
              </w:rPr>
              <w:t>以下内容</w:t>
            </w:r>
            <w:r>
              <w:rPr>
                <w:rFonts w:hint="eastAsia" w:ascii="宋体" w:hAnsi="宋体" w:eastAsia="宋体"/>
                <w:color w:val="auto"/>
                <w:sz w:val="21"/>
                <w:highlight w:val="none"/>
                <w:lang w:eastAsia="zh-CN"/>
              </w:rPr>
              <w:t>：编制依据、</w:t>
            </w:r>
            <w:r>
              <w:rPr>
                <w:rFonts w:hint="eastAsia" w:ascii="宋体" w:hAnsi="宋体" w:eastAsia="宋体"/>
                <w:color w:val="auto"/>
                <w:sz w:val="21"/>
                <w:highlight w:val="none"/>
                <w:u w:val="none"/>
                <w:lang w:eastAsia="zh-CN"/>
              </w:rPr>
              <w:t>审计范围、</w:t>
            </w:r>
            <w:r>
              <w:rPr>
                <w:rFonts w:hint="eastAsia" w:ascii="宋体" w:hAnsi="宋体" w:eastAsia="宋体"/>
                <w:color w:val="auto"/>
                <w:sz w:val="21"/>
                <w:highlight w:val="none"/>
                <w:lang w:eastAsia="zh-CN"/>
              </w:rPr>
              <w:t>审计目标、</w:t>
            </w:r>
            <w:r>
              <w:rPr>
                <w:rFonts w:hint="eastAsia" w:ascii="宋体" w:hAnsi="宋体" w:eastAsia="宋体"/>
                <w:color w:val="auto"/>
                <w:sz w:val="21"/>
                <w:highlight w:val="none"/>
                <w:u w:val="none"/>
                <w:lang w:eastAsia="zh-CN"/>
              </w:rPr>
              <w:t>被审计单位基本情况、</w:t>
            </w:r>
            <w:r>
              <w:rPr>
                <w:rFonts w:hint="eastAsia" w:ascii="宋体" w:hAnsi="宋体" w:eastAsia="宋体"/>
                <w:color w:val="auto"/>
                <w:sz w:val="21"/>
                <w:highlight w:val="none"/>
                <w:lang w:eastAsia="zh-CN"/>
              </w:rPr>
              <w:t>重要性分析和审计风险评估、审计内容及审计</w:t>
            </w:r>
            <w:r>
              <w:rPr>
                <w:rFonts w:hint="eastAsia" w:ascii="宋体" w:hAnsi="宋体" w:eastAsia="宋体"/>
                <w:color w:val="auto"/>
                <w:sz w:val="21"/>
                <w:highlight w:val="none"/>
                <w:u w:val="none"/>
                <w:lang w:eastAsia="zh-CN"/>
              </w:rPr>
              <w:t>步骤和</w:t>
            </w:r>
            <w:r>
              <w:rPr>
                <w:rFonts w:hint="eastAsia" w:ascii="宋体" w:hAnsi="宋体" w:eastAsia="宋体"/>
                <w:color w:val="auto"/>
                <w:sz w:val="21"/>
                <w:highlight w:val="none"/>
                <w:lang w:eastAsia="zh-CN"/>
              </w:rPr>
              <w:t>方法、预定审计工作起止时间、审计组成员及分工</w:t>
            </w:r>
            <w:r>
              <w:rPr>
                <w:rFonts w:hint="eastAsia" w:ascii="宋体" w:hAnsi="宋体" w:eastAsia="宋体"/>
                <w:color w:val="auto"/>
                <w:sz w:val="21"/>
                <w:highlight w:val="none"/>
                <w:u w:val="none"/>
                <w:lang w:eastAsia="zh-CN"/>
              </w:rPr>
              <w:t>等。其中，</w:t>
            </w:r>
            <w:r>
              <w:rPr>
                <w:rFonts w:hint="eastAsia" w:ascii="宋体" w:hAnsi="宋体" w:eastAsia="宋体" w:cs="宋体"/>
                <w:color w:val="auto"/>
                <w:sz w:val="21"/>
                <w:szCs w:val="21"/>
                <w:highlight w:val="none"/>
              </w:rPr>
              <w:t>供应商需按照重要性原则，确定报表的整体重要性水平为总收入或总支出的1%～2%，对单笔金额超过重要性水平10%的大额凭证100%检查，其余凭证按30%～40%比例抽查。</w:t>
            </w:r>
          </w:p>
          <w:p w14:paraId="72846D43">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lang w:val="en-US" w:eastAsia="zh-CN"/>
              </w:rPr>
              <w:t>（三）</w:t>
            </w:r>
            <w:r>
              <w:rPr>
                <w:rFonts w:hint="eastAsia" w:ascii="宋体" w:hAnsi="宋体" w:eastAsia="宋体"/>
                <w:color w:val="auto"/>
                <w:sz w:val="21"/>
                <w:highlight w:val="none"/>
                <w:u w:val="none"/>
              </w:rPr>
              <w:t>健全工作机制</w:t>
            </w:r>
            <w:r>
              <w:rPr>
                <w:rFonts w:hint="eastAsia" w:ascii="宋体" w:hAnsi="宋体" w:eastAsia="宋体"/>
                <w:bCs/>
                <w:color w:val="auto"/>
                <w:sz w:val="21"/>
                <w:szCs w:val="21"/>
                <w:highlight w:val="none"/>
              </w:rPr>
              <w:t>。</w:t>
            </w:r>
            <w:r>
              <w:rPr>
                <w:rFonts w:hint="eastAsia" w:ascii="宋体" w:hAnsi="宋体" w:eastAsia="宋体"/>
                <w:color w:val="auto"/>
                <w:sz w:val="21"/>
                <w:highlight w:val="none"/>
              </w:rPr>
              <w:t>为确保高质</w:t>
            </w:r>
            <w:r>
              <w:rPr>
                <w:rFonts w:hint="eastAsia" w:ascii="宋体" w:hAnsi="宋体" w:eastAsia="宋体"/>
                <w:color w:val="auto"/>
                <w:sz w:val="21"/>
                <w:highlight w:val="none"/>
                <w:u w:val="none"/>
              </w:rPr>
              <w:t>量</w:t>
            </w:r>
            <w:r>
              <w:rPr>
                <w:rFonts w:hint="eastAsia" w:ascii="宋体" w:hAnsi="宋体" w:eastAsia="宋体"/>
                <w:bCs/>
                <w:color w:val="auto"/>
                <w:sz w:val="21"/>
                <w:szCs w:val="21"/>
                <w:highlight w:val="none"/>
              </w:rPr>
              <w:t>完成任务，</w:t>
            </w:r>
            <w:r>
              <w:rPr>
                <w:rFonts w:hint="eastAsia" w:ascii="宋体" w:hAnsi="宋体" w:eastAsia="宋体"/>
                <w:bCs/>
                <w:color w:val="auto"/>
                <w:sz w:val="21"/>
                <w:szCs w:val="21"/>
                <w:highlight w:val="none"/>
                <w:lang w:eastAsia="zh-CN"/>
              </w:rPr>
              <w:t>供应商要建立审计项目沟通会等工作机制，定期召开现场审计组和采购人内部审计机构进展情况汇报沟通会；审计组</w:t>
            </w:r>
            <w:r>
              <w:rPr>
                <w:rFonts w:hint="eastAsia" w:ascii="宋体" w:hAnsi="宋体" w:eastAsia="宋体"/>
                <w:color w:val="auto"/>
                <w:sz w:val="21"/>
                <w:highlight w:val="none"/>
              </w:rPr>
              <w:t>成员之间要加强沟通与协作，充分利用科技手段，提高工作效率；</w:t>
            </w:r>
            <w:r>
              <w:rPr>
                <w:rFonts w:hint="eastAsia" w:ascii="宋体" w:hAnsi="宋体" w:eastAsia="宋体"/>
                <w:color w:val="auto"/>
                <w:sz w:val="21"/>
                <w:highlight w:val="none"/>
                <w:u w:val="none"/>
              </w:rPr>
              <w:t>审计组</w:t>
            </w:r>
            <w:r>
              <w:rPr>
                <w:rFonts w:hint="eastAsia" w:ascii="宋体" w:hAnsi="宋体" w:eastAsia="宋体"/>
                <w:bCs/>
                <w:color w:val="auto"/>
                <w:sz w:val="21"/>
                <w:szCs w:val="21"/>
                <w:highlight w:val="none"/>
              </w:rPr>
              <w:t>要认真做好取证、工作底稿等基础性工作，做到事实清楚，证据充分，依据有力，定性准确；</w:t>
            </w:r>
            <w:r>
              <w:rPr>
                <w:rFonts w:hint="eastAsia" w:ascii="宋体" w:hAnsi="宋体" w:eastAsia="宋体"/>
                <w:color w:val="auto"/>
                <w:sz w:val="21"/>
                <w:highlight w:val="none"/>
                <w:lang w:eastAsia="zh-CN"/>
              </w:rPr>
              <w:t>对编制的审计工作底稿、草拟的审计报告，一般要履行“主审—审计组组长（</w:t>
            </w:r>
            <w:r>
              <w:rPr>
                <w:rFonts w:hint="eastAsia" w:ascii="宋体" w:hAnsi="宋体" w:eastAsia="宋体"/>
                <w:color w:val="auto"/>
                <w:sz w:val="21"/>
                <w:highlight w:val="none"/>
                <w:u w:val="none"/>
                <w:lang w:eastAsia="zh-CN"/>
              </w:rPr>
              <w:t>或副组长</w:t>
            </w:r>
            <w:r>
              <w:rPr>
                <w:rFonts w:hint="eastAsia" w:ascii="宋体" w:hAnsi="宋体" w:eastAsia="宋体"/>
                <w:bCs/>
                <w:color w:val="auto"/>
                <w:sz w:val="21"/>
                <w:szCs w:val="21"/>
                <w:highlight w:val="none"/>
                <w:lang w:eastAsia="zh-CN"/>
              </w:rPr>
              <w:t>）—采购人</w:t>
            </w:r>
            <w:r>
              <w:rPr>
                <w:rFonts w:hint="eastAsia" w:ascii="宋体" w:hAnsi="宋体"/>
                <w:bCs/>
                <w:color w:val="auto"/>
                <w:sz w:val="21"/>
                <w:szCs w:val="21"/>
                <w:highlight w:val="none"/>
                <w:lang w:eastAsia="zh-CN"/>
              </w:rPr>
              <w:t>财审</w:t>
            </w:r>
            <w:r>
              <w:rPr>
                <w:rFonts w:hint="eastAsia" w:ascii="宋体" w:hAnsi="宋体" w:eastAsia="宋体"/>
                <w:bCs/>
                <w:color w:val="auto"/>
                <w:sz w:val="21"/>
                <w:szCs w:val="21"/>
                <w:highlight w:val="none"/>
                <w:lang w:eastAsia="zh-CN"/>
              </w:rPr>
              <w:t>机构负责人”的审计复核程序，保证审计工作质量。</w:t>
            </w:r>
          </w:p>
          <w:p w14:paraId="6E358F2B">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hint="eastAsia"/>
                <w:color w:val="auto"/>
                <w:highlight w:val="none"/>
              </w:rPr>
            </w:pPr>
            <w:r>
              <w:rPr>
                <w:rFonts w:hint="eastAsia" w:ascii="宋体" w:hAnsi="宋体" w:eastAsia="宋体"/>
                <w:bCs/>
                <w:color w:val="auto"/>
                <w:sz w:val="21"/>
                <w:szCs w:val="21"/>
                <w:highlight w:val="none"/>
                <w:lang w:val="en-US" w:eastAsia="zh-CN"/>
              </w:rPr>
              <w:t>（四）</w:t>
            </w:r>
            <w:r>
              <w:rPr>
                <w:rFonts w:hint="eastAsia" w:ascii="宋体" w:hAnsi="宋体" w:eastAsia="宋体"/>
                <w:bCs/>
                <w:color w:val="auto"/>
                <w:sz w:val="21"/>
                <w:szCs w:val="21"/>
                <w:highlight w:val="none"/>
                <w:lang w:eastAsia="zh-CN"/>
              </w:rPr>
              <w:t>加强沟通协调。</w:t>
            </w:r>
            <w:r>
              <w:rPr>
                <w:rFonts w:hint="eastAsia" w:ascii="宋体" w:hAnsi="宋体" w:eastAsia="宋体"/>
                <w:bCs/>
                <w:color w:val="auto"/>
                <w:sz w:val="21"/>
                <w:szCs w:val="21"/>
                <w:highlight w:val="none"/>
              </w:rPr>
              <w:t>审计过程中，</w:t>
            </w:r>
            <w:r>
              <w:rPr>
                <w:rFonts w:hint="eastAsia" w:ascii="宋体" w:hAnsi="宋体" w:eastAsia="宋体"/>
                <w:bCs/>
                <w:color w:val="auto"/>
                <w:sz w:val="21"/>
                <w:szCs w:val="21"/>
                <w:highlight w:val="none"/>
                <w:lang w:eastAsia="zh-CN"/>
              </w:rPr>
              <w:t>现场审计组</w:t>
            </w:r>
            <w:r>
              <w:rPr>
                <w:rFonts w:hint="eastAsia" w:ascii="宋体" w:hAnsi="宋体" w:eastAsia="宋体"/>
                <w:bCs/>
                <w:color w:val="auto"/>
                <w:sz w:val="21"/>
                <w:szCs w:val="21"/>
                <w:highlight w:val="none"/>
              </w:rPr>
              <w:t>要密切与采购人</w:t>
            </w:r>
            <w:r>
              <w:rPr>
                <w:rFonts w:hint="eastAsia" w:ascii="宋体" w:hAnsi="宋体" w:eastAsia="宋体"/>
                <w:bCs/>
                <w:color w:val="auto"/>
                <w:sz w:val="21"/>
                <w:szCs w:val="21"/>
                <w:highlight w:val="none"/>
                <w:lang w:eastAsia="zh-CN"/>
              </w:rPr>
              <w:t>内部审计机构</w:t>
            </w:r>
            <w:r>
              <w:rPr>
                <w:rFonts w:hint="eastAsia" w:ascii="宋体" w:hAnsi="宋体" w:eastAsia="宋体"/>
                <w:bCs/>
                <w:color w:val="auto"/>
                <w:sz w:val="21"/>
                <w:szCs w:val="21"/>
                <w:highlight w:val="none"/>
              </w:rPr>
              <w:t>的沟通和协调，及时反映</w:t>
            </w:r>
            <w:r>
              <w:rPr>
                <w:rFonts w:hint="eastAsia" w:ascii="宋体" w:hAnsi="宋体" w:eastAsia="宋体"/>
                <w:bCs/>
                <w:color w:val="auto"/>
                <w:sz w:val="21"/>
                <w:szCs w:val="21"/>
                <w:highlight w:val="none"/>
                <w:lang w:eastAsia="zh-CN"/>
              </w:rPr>
              <w:t>审计</w:t>
            </w:r>
            <w:r>
              <w:rPr>
                <w:rFonts w:hint="eastAsia" w:ascii="宋体" w:hAnsi="宋体" w:eastAsia="宋体"/>
                <w:bCs/>
                <w:color w:val="auto"/>
                <w:sz w:val="21"/>
                <w:szCs w:val="21"/>
                <w:highlight w:val="none"/>
              </w:rPr>
              <w:t>中的重要信息和成果，如实披露</w:t>
            </w:r>
            <w:r>
              <w:rPr>
                <w:rFonts w:hint="eastAsia" w:ascii="宋体" w:hAnsi="宋体" w:eastAsia="宋体"/>
                <w:bCs/>
                <w:color w:val="auto"/>
                <w:sz w:val="21"/>
                <w:szCs w:val="21"/>
                <w:highlight w:val="none"/>
                <w:lang w:eastAsia="zh-CN"/>
              </w:rPr>
              <w:t>审计</w:t>
            </w:r>
            <w:r>
              <w:rPr>
                <w:rFonts w:hint="eastAsia" w:ascii="宋体" w:hAnsi="宋体" w:eastAsia="宋体"/>
                <w:bCs/>
                <w:color w:val="auto"/>
                <w:sz w:val="21"/>
                <w:szCs w:val="21"/>
                <w:highlight w:val="none"/>
              </w:rPr>
              <w:t>发现的问题。</w:t>
            </w:r>
            <w:r>
              <w:rPr>
                <w:rFonts w:hint="eastAsia" w:ascii="宋体" w:hAnsi="宋体" w:eastAsia="宋体"/>
                <w:bCs/>
                <w:color w:val="auto"/>
                <w:sz w:val="21"/>
                <w:szCs w:val="21"/>
                <w:highlight w:val="none"/>
                <w:lang w:eastAsia="zh-CN"/>
              </w:rPr>
              <w:t>审计实施过程中如有重大违法违规等意外发现，审计组应及时汇报，在履行相关审批程序后再深入核实。</w:t>
            </w:r>
          </w:p>
          <w:p w14:paraId="47EC2D64">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Cs w:val="21"/>
                <w:highlight w:val="none"/>
              </w:rPr>
              <w:t>供应商拟投入</w:t>
            </w:r>
            <w:r>
              <w:rPr>
                <w:rFonts w:hint="eastAsia" w:ascii="宋体" w:hAnsi="宋体" w:cs="宋体"/>
                <w:color w:val="auto"/>
                <w:szCs w:val="21"/>
                <w:highlight w:val="none"/>
                <w:lang w:val="en-US" w:eastAsia="zh-CN"/>
              </w:rPr>
              <w:t>2组</w:t>
            </w:r>
            <w:r>
              <w:rPr>
                <w:rFonts w:hint="eastAsia" w:ascii="宋体" w:hAnsi="宋体" w:eastAsia="宋体" w:cs="宋体"/>
                <w:color w:val="auto"/>
                <w:szCs w:val="21"/>
                <w:highlight w:val="none"/>
              </w:rPr>
              <w:t>审计工作组</w:t>
            </w:r>
            <w:r>
              <w:rPr>
                <w:rFonts w:hint="eastAsia" w:ascii="宋体" w:hAnsi="宋体" w:cs="宋体"/>
                <w:color w:val="auto"/>
                <w:szCs w:val="21"/>
                <w:highlight w:val="none"/>
                <w:lang w:eastAsia="zh-CN"/>
              </w:rPr>
              <w:t>，每组</w:t>
            </w:r>
            <w:r>
              <w:rPr>
                <w:rFonts w:hint="eastAsia" w:ascii="宋体" w:hAnsi="宋体" w:eastAsia="宋体" w:cs="宋体"/>
                <w:color w:val="auto"/>
                <w:szCs w:val="21"/>
                <w:highlight w:val="none"/>
              </w:rPr>
              <w:t>成员不少于</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人，</w:t>
            </w:r>
            <w:r>
              <w:rPr>
                <w:rFonts w:hint="eastAsia" w:ascii="宋体" w:hAnsi="宋体" w:cs="宋体"/>
                <w:color w:val="auto"/>
                <w:szCs w:val="21"/>
                <w:highlight w:val="none"/>
                <w:lang w:eastAsia="zh-CN"/>
              </w:rPr>
              <w:t>每组需</w:t>
            </w:r>
            <w:r>
              <w:rPr>
                <w:rFonts w:hint="eastAsia" w:ascii="宋体" w:hAnsi="宋体" w:cs="宋体"/>
                <w:color w:val="auto"/>
                <w:szCs w:val="21"/>
                <w:highlight w:val="none"/>
              </w:rPr>
              <w:t>至少配备项目负责人1名（项目负责人须具备中国注册会计师执业资格证，从事审计工作年限</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年以上，并有担任同类审计项目负责人经历），1名注册造价工程师（须具备工程类中级或以上职称）</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其余</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名审计人员须具备初级会计师、</w:t>
            </w:r>
            <w:r>
              <w:rPr>
                <w:rFonts w:hint="eastAsia" w:ascii="宋体" w:hAnsi="宋体" w:eastAsia="宋体" w:cs="宋体"/>
                <w:color w:val="auto"/>
                <w:szCs w:val="21"/>
                <w:highlight w:val="none"/>
                <w:lang w:eastAsia="zh-CN"/>
              </w:rPr>
              <w:t>初级</w:t>
            </w:r>
            <w:r>
              <w:rPr>
                <w:rFonts w:hint="eastAsia" w:ascii="宋体" w:hAnsi="宋体" w:eastAsia="宋体" w:cs="宋体"/>
                <w:color w:val="auto"/>
                <w:szCs w:val="21"/>
                <w:highlight w:val="none"/>
              </w:rPr>
              <w:t>审计师</w:t>
            </w:r>
            <w:r>
              <w:rPr>
                <w:rFonts w:hint="eastAsia" w:ascii="宋体" w:hAnsi="宋体" w:eastAsia="宋体" w:cs="宋体"/>
                <w:color w:val="auto"/>
                <w:szCs w:val="21"/>
                <w:highlight w:val="none"/>
                <w:lang w:eastAsia="zh-CN"/>
              </w:rPr>
              <w:t>、初级</w:t>
            </w:r>
            <w:r>
              <w:rPr>
                <w:rFonts w:hint="eastAsia" w:ascii="宋体" w:hAnsi="宋体" w:eastAsia="宋体" w:cs="宋体"/>
                <w:color w:val="auto"/>
                <w:szCs w:val="21"/>
                <w:highlight w:val="none"/>
              </w:rPr>
              <w:t>经济师中</w:t>
            </w:r>
            <w:r>
              <w:rPr>
                <w:rFonts w:hint="eastAsia" w:ascii="宋体" w:hAnsi="宋体" w:eastAsia="宋体" w:cs="宋体"/>
                <w:color w:val="auto"/>
                <w:szCs w:val="21"/>
                <w:highlight w:val="none"/>
                <w:lang w:eastAsia="zh-CN"/>
              </w:rPr>
              <w:t>的</w:t>
            </w:r>
            <w:r>
              <w:rPr>
                <w:rFonts w:hint="eastAsia" w:ascii="宋体" w:hAnsi="宋体" w:eastAsia="宋体" w:cs="宋体"/>
                <w:color w:val="auto"/>
                <w:szCs w:val="21"/>
                <w:highlight w:val="none"/>
              </w:rPr>
              <w:t>一种</w:t>
            </w:r>
            <w:r>
              <w:rPr>
                <w:rFonts w:hint="eastAsia" w:ascii="宋体" w:hAnsi="宋体" w:eastAsia="宋体" w:cs="宋体"/>
                <w:color w:val="auto"/>
                <w:szCs w:val="21"/>
                <w:highlight w:val="none"/>
                <w:lang w:eastAsia="zh-CN"/>
              </w:rPr>
              <w:t>或以上</w:t>
            </w:r>
            <w:r>
              <w:rPr>
                <w:rFonts w:hint="eastAsia" w:ascii="宋体" w:hAnsi="宋体" w:eastAsia="宋体" w:cs="宋体"/>
                <w:color w:val="auto"/>
                <w:szCs w:val="21"/>
                <w:highlight w:val="none"/>
              </w:rPr>
              <w:t>职称。</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派驻的</w:t>
            </w:r>
            <w:r>
              <w:rPr>
                <w:rFonts w:hint="eastAsia" w:ascii="宋体" w:hAnsi="宋体" w:eastAsia="宋体" w:cs="宋体"/>
                <w:color w:val="auto"/>
                <w:sz w:val="21"/>
                <w:szCs w:val="21"/>
                <w:highlight w:val="none"/>
                <w:lang w:eastAsia="zh-CN"/>
              </w:rPr>
              <w:t>审计</w:t>
            </w:r>
            <w:r>
              <w:rPr>
                <w:rFonts w:hint="eastAsia" w:ascii="宋体" w:hAnsi="宋体" w:eastAsia="宋体" w:cs="宋体"/>
                <w:color w:val="auto"/>
                <w:sz w:val="21"/>
                <w:szCs w:val="21"/>
                <w:highlight w:val="none"/>
              </w:rPr>
              <w:t>人员须与响应文件中派驻</w:t>
            </w:r>
            <w:r>
              <w:rPr>
                <w:rFonts w:hint="eastAsia" w:ascii="宋体" w:hAnsi="宋体" w:eastAsia="宋体" w:cs="宋体"/>
                <w:color w:val="auto"/>
                <w:sz w:val="21"/>
                <w:szCs w:val="21"/>
                <w:highlight w:val="none"/>
                <w:lang w:eastAsia="zh-CN"/>
              </w:rPr>
              <w:t>审计</w:t>
            </w:r>
            <w:r>
              <w:rPr>
                <w:rFonts w:hint="eastAsia" w:ascii="宋体" w:hAnsi="宋体" w:eastAsia="宋体" w:cs="宋体"/>
                <w:color w:val="auto"/>
                <w:sz w:val="21"/>
                <w:szCs w:val="21"/>
                <w:highlight w:val="none"/>
              </w:rPr>
              <w:t>人员一致，如需更换人员需事先征得采购人同意。</w:t>
            </w:r>
          </w:p>
          <w:p w14:paraId="40317AFD">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（六）供应商</w:t>
            </w:r>
            <w:r>
              <w:rPr>
                <w:rFonts w:hint="eastAsia" w:ascii="宋体" w:hAnsi="宋体" w:eastAsia="宋体" w:cs="宋体"/>
                <w:color w:val="auto"/>
                <w:szCs w:val="21"/>
                <w:highlight w:val="none"/>
              </w:rPr>
              <w:t>开展工作现场</w:t>
            </w:r>
            <w:r>
              <w:rPr>
                <w:rFonts w:hint="eastAsia" w:ascii="宋体" w:hAnsi="宋体" w:eastAsia="宋体" w:cs="宋体"/>
                <w:color w:val="auto"/>
                <w:szCs w:val="21"/>
                <w:highlight w:val="none"/>
                <w:lang w:eastAsia="zh-CN"/>
              </w:rPr>
              <w:t>审计</w:t>
            </w:r>
            <w:r>
              <w:rPr>
                <w:rFonts w:hint="eastAsia" w:ascii="宋体" w:hAnsi="宋体" w:eastAsia="宋体" w:cs="宋体"/>
                <w:color w:val="auto"/>
                <w:szCs w:val="21"/>
                <w:highlight w:val="none"/>
              </w:rPr>
              <w:t>时间不得少于1</w:t>
            </w:r>
            <w:r>
              <w:rPr>
                <w:rFonts w:hint="eastAsia" w:ascii="宋体" w:hAnsi="宋体" w:cs="宋体"/>
                <w:color w:val="auto"/>
                <w:szCs w:val="21"/>
                <w:highlight w:val="none"/>
                <w:lang w:val="en-US" w:eastAsia="zh-CN"/>
              </w:rPr>
              <w:t>0</w:t>
            </w:r>
            <w:r>
              <w:rPr>
                <w:rFonts w:hint="eastAsia" w:ascii="宋体" w:hAnsi="宋体" w:eastAsia="宋体" w:cs="宋体"/>
                <w:color w:val="auto"/>
                <w:szCs w:val="21"/>
                <w:highlight w:val="none"/>
              </w:rPr>
              <w:t>个</w:t>
            </w:r>
            <w:r>
              <w:rPr>
                <w:rFonts w:hint="eastAsia" w:ascii="宋体" w:hAnsi="宋体" w:cs="宋体"/>
                <w:color w:val="auto"/>
                <w:szCs w:val="21"/>
                <w:highlight w:val="none"/>
                <w:lang w:eastAsia="zh-CN"/>
              </w:rPr>
              <w:t>工作日</w:t>
            </w:r>
            <w:r>
              <w:rPr>
                <w:rFonts w:hint="eastAsia" w:ascii="宋体" w:hAnsi="宋体" w:eastAsia="宋体" w:cs="宋体"/>
                <w:color w:val="auto"/>
                <w:szCs w:val="21"/>
                <w:highlight w:val="none"/>
              </w:rPr>
              <w:t>，现场</w:t>
            </w:r>
            <w:r>
              <w:rPr>
                <w:rFonts w:hint="eastAsia" w:ascii="宋体" w:hAnsi="宋体" w:eastAsia="宋体" w:cs="宋体"/>
                <w:color w:val="auto"/>
                <w:szCs w:val="21"/>
                <w:highlight w:val="none"/>
                <w:lang w:eastAsia="zh-CN"/>
              </w:rPr>
              <w:t>审计</w:t>
            </w:r>
            <w:r>
              <w:rPr>
                <w:rFonts w:hint="eastAsia" w:ascii="宋体" w:hAnsi="宋体" w:eastAsia="宋体" w:cs="宋体"/>
                <w:color w:val="auto"/>
                <w:szCs w:val="21"/>
                <w:highlight w:val="none"/>
              </w:rPr>
              <w:t>结束20天内须出具审计报告初稿，2026年11月30日前出具</w:t>
            </w:r>
            <w:r>
              <w:rPr>
                <w:rFonts w:hint="eastAsia" w:ascii="宋体" w:hAnsi="宋体" w:eastAsia="宋体" w:cs="宋体"/>
                <w:color w:val="auto"/>
                <w:szCs w:val="21"/>
                <w:highlight w:val="none"/>
                <w:lang w:eastAsia="zh-CN"/>
              </w:rPr>
              <w:t>正式</w:t>
            </w:r>
            <w:r>
              <w:rPr>
                <w:rFonts w:hint="eastAsia" w:ascii="宋体" w:hAnsi="宋体" w:eastAsia="宋体" w:cs="宋体"/>
                <w:color w:val="auto"/>
                <w:szCs w:val="21"/>
                <w:highlight w:val="none"/>
              </w:rPr>
              <w:t>审计报告，</w:t>
            </w:r>
            <w:r>
              <w:rPr>
                <w:rFonts w:hint="eastAsia" w:ascii="宋体" w:hAnsi="宋体" w:eastAsia="宋体" w:cs="宋体"/>
                <w:color w:val="auto"/>
                <w:sz w:val="21"/>
                <w:szCs w:val="21"/>
                <w:highlight w:val="none"/>
              </w:rPr>
              <w:t>包括纸质报告（一式八份）、彩色扫描PDF版和Word版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并交付所有</w:t>
            </w:r>
            <w:r>
              <w:rPr>
                <w:rFonts w:hint="eastAsia" w:ascii="宋体" w:hAnsi="宋体" w:cs="宋体"/>
                <w:color w:val="auto"/>
                <w:sz w:val="21"/>
                <w:szCs w:val="21"/>
                <w:highlight w:val="none"/>
                <w:lang w:val="en-US" w:eastAsia="zh-CN"/>
              </w:rPr>
              <w:t>审计</w:t>
            </w:r>
            <w:r>
              <w:rPr>
                <w:rFonts w:hint="eastAsia" w:ascii="宋体" w:hAnsi="宋体" w:eastAsia="宋体" w:cs="宋体"/>
                <w:color w:val="auto"/>
                <w:sz w:val="21"/>
                <w:szCs w:val="21"/>
                <w:highlight w:val="none"/>
              </w:rPr>
              <w:t>工作底稿。</w:t>
            </w:r>
            <w:r>
              <w:rPr>
                <w:rFonts w:hint="eastAsia" w:ascii="宋体" w:hAnsi="宋体" w:eastAsia="宋体"/>
                <w:bCs/>
                <w:color w:val="auto"/>
                <w:sz w:val="21"/>
                <w:szCs w:val="21"/>
                <w:highlight w:val="none"/>
                <w:lang w:eastAsia="zh-CN"/>
              </w:rPr>
              <w:t>本项目的</w:t>
            </w:r>
            <w:r>
              <w:rPr>
                <w:rFonts w:hint="eastAsia" w:ascii="宋体" w:hAnsi="宋体" w:eastAsia="宋体"/>
                <w:bCs/>
                <w:color w:val="auto"/>
                <w:sz w:val="21"/>
                <w:szCs w:val="21"/>
                <w:highlight w:val="none"/>
              </w:rPr>
              <w:t>审计文书</w:t>
            </w:r>
            <w:r>
              <w:rPr>
                <w:rFonts w:hint="eastAsia" w:ascii="宋体" w:hAnsi="宋体" w:eastAsia="宋体"/>
                <w:bCs/>
                <w:color w:val="auto"/>
                <w:sz w:val="21"/>
                <w:szCs w:val="21"/>
                <w:highlight w:val="none"/>
                <w:lang w:eastAsia="zh-CN"/>
              </w:rPr>
              <w:t>资料</w:t>
            </w:r>
            <w:r>
              <w:rPr>
                <w:rFonts w:hint="eastAsia" w:ascii="宋体" w:hAnsi="宋体" w:eastAsia="宋体"/>
                <w:bCs/>
                <w:color w:val="auto"/>
                <w:sz w:val="21"/>
                <w:szCs w:val="21"/>
                <w:highlight w:val="none"/>
              </w:rPr>
              <w:t>需按照采购人要求装订成档保存于采购单位。</w:t>
            </w:r>
          </w:p>
          <w:p w14:paraId="68DDA1B7">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 w:val="21"/>
                <w:szCs w:val="21"/>
                <w:highlight w:val="none"/>
                <w:lang w:val="en-US" w:eastAsia="zh-CN"/>
              </w:rPr>
              <w:t>（七）</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不得将该项目转交第三方完成。</w:t>
            </w:r>
          </w:p>
          <w:p w14:paraId="483399D2">
            <w:pPr>
              <w:keepNext w:val="0"/>
              <w:keepLines w:val="0"/>
              <w:pageBreakBefore w:val="0"/>
              <w:widowControl w:val="0"/>
              <w:kinsoku/>
              <w:wordWrap w:val="0"/>
              <w:overflowPunct/>
              <w:topLinePunct w:val="0"/>
              <w:autoSpaceDE/>
              <w:autoSpaceDN/>
              <w:bidi w:val="0"/>
              <w:adjustRightInd/>
              <w:snapToGrid/>
              <w:spacing w:line="360" w:lineRule="exact"/>
              <w:ind w:firstLine="422" w:firstLineChars="200"/>
              <w:textAlignment w:val="auto"/>
              <w:rPr>
                <w:rFonts w:hint="eastAsia" w:ascii="宋体" w:hAnsi="宋体" w:eastAsia="宋体" w:cs="宋体"/>
                <w:color w:val="auto"/>
                <w:szCs w:val="21"/>
                <w:highlight w:val="none"/>
              </w:rPr>
            </w:pPr>
            <w:r>
              <w:rPr>
                <w:rFonts w:hint="eastAsia" w:ascii="宋体" w:hAnsi="宋体" w:eastAsia="宋体" w:cs="宋体"/>
                <w:b/>
                <w:bCs w:val="0"/>
                <w:color w:val="auto"/>
                <w:szCs w:val="21"/>
                <w:highlight w:val="none"/>
                <w:lang w:val="zh-CN"/>
              </w:rPr>
              <w:t>注：供应商拟投入的工作组成员必须是在职工作人员，且须在投标文件中提供拟投入的工作组成员的专业技能或资格证书、职称证书、项目负责人工作年限证明（以劳动合同为准）、</w:t>
            </w:r>
            <w:r>
              <w:rPr>
                <w:rFonts w:hint="eastAsia" w:ascii="宋体" w:hAnsi="宋体" w:eastAsia="宋体" w:cs="宋体"/>
                <w:b/>
                <w:bCs w:val="0"/>
                <w:color w:val="auto"/>
                <w:szCs w:val="21"/>
                <w:highlight w:val="none"/>
                <w:lang w:val="en-US" w:eastAsia="zh-CN"/>
              </w:rPr>
              <w:t>供应商为拟投入人员缴纳的2025年</w:t>
            </w:r>
            <w:r>
              <w:rPr>
                <w:rFonts w:hint="eastAsia" w:ascii="宋体" w:hAnsi="宋体" w:cs="宋体"/>
                <w:b/>
                <w:bCs w:val="0"/>
                <w:color w:val="auto"/>
                <w:szCs w:val="21"/>
                <w:highlight w:val="none"/>
                <w:lang w:val="en-US" w:eastAsia="zh-CN"/>
              </w:rPr>
              <w:t>11</w:t>
            </w:r>
            <w:r>
              <w:rPr>
                <w:rFonts w:hint="eastAsia" w:ascii="宋体" w:hAnsi="宋体" w:eastAsia="宋体" w:cs="宋体"/>
                <w:b/>
                <w:bCs w:val="0"/>
                <w:color w:val="auto"/>
                <w:szCs w:val="21"/>
                <w:highlight w:val="none"/>
                <w:lang w:val="en-US" w:eastAsia="zh-CN"/>
              </w:rPr>
              <w:t>月-2026年</w:t>
            </w:r>
            <w:r>
              <w:rPr>
                <w:rFonts w:hint="eastAsia" w:ascii="宋体" w:hAnsi="宋体" w:cs="宋体"/>
                <w:b/>
                <w:bCs w:val="0"/>
                <w:color w:val="auto"/>
                <w:szCs w:val="21"/>
                <w:highlight w:val="none"/>
                <w:lang w:val="en-US" w:eastAsia="zh-CN"/>
              </w:rPr>
              <w:t>4</w:t>
            </w:r>
            <w:r>
              <w:rPr>
                <w:rFonts w:hint="eastAsia" w:ascii="宋体" w:hAnsi="宋体" w:eastAsia="宋体" w:cs="宋体"/>
                <w:b/>
                <w:bCs w:val="0"/>
                <w:color w:val="auto"/>
                <w:szCs w:val="21"/>
                <w:highlight w:val="none"/>
                <w:lang w:val="en-US" w:eastAsia="zh-CN"/>
              </w:rPr>
              <w:t>月内任意连续 3 个月的社保缴费证明或《投保单》或单位代缴个人所得税税单等复印件（加盖公章）或提供供应商与拟投入本项目团队成员签订的劳务合同复印件（法定代表人除外</w:t>
            </w:r>
            <w:r>
              <w:rPr>
                <w:rFonts w:hint="eastAsia" w:ascii="宋体" w:hAnsi="宋体" w:cs="宋体"/>
                <w:b/>
                <w:bCs w:val="0"/>
                <w:color w:val="auto"/>
                <w:szCs w:val="21"/>
                <w:highlight w:val="none"/>
                <w:lang w:val="en-US" w:eastAsia="zh-CN"/>
              </w:rPr>
              <w:t>）</w:t>
            </w:r>
            <w:r>
              <w:rPr>
                <w:rFonts w:hint="eastAsia" w:ascii="宋体" w:hAnsi="宋体" w:eastAsia="宋体" w:cs="宋体"/>
                <w:b/>
                <w:bCs w:val="0"/>
                <w:color w:val="auto"/>
                <w:szCs w:val="21"/>
                <w:highlight w:val="none"/>
                <w:lang w:val="zh-CN"/>
              </w:rPr>
              <w:t>。</w:t>
            </w:r>
          </w:p>
        </w:tc>
      </w:tr>
      <w:tr w14:paraId="1CF9BC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18" w:type="dxa"/>
            <w:tcBorders>
              <w:top w:val="single" w:color="auto" w:sz="4" w:space="0"/>
              <w:left w:val="single" w:color="auto" w:sz="4" w:space="0"/>
              <w:bottom w:val="single" w:color="auto" w:sz="4" w:space="0"/>
              <w:right w:val="single" w:color="auto" w:sz="4" w:space="0"/>
            </w:tcBorders>
            <w:noWrap w:val="0"/>
            <w:vAlign w:val="center"/>
          </w:tcPr>
          <w:p w14:paraId="1B0EBDD5">
            <w:pPr>
              <w:keepNext w:val="0"/>
              <w:keepLines w:val="0"/>
              <w:pageBreakBefore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color w:val="auto"/>
                <w:szCs w:val="21"/>
                <w:highlight w:val="none"/>
                <w:lang w:val="en-US" w:eastAsia="zh-CN"/>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分标</w:t>
            </w:r>
          </w:p>
        </w:tc>
        <w:tc>
          <w:tcPr>
            <w:tcW w:w="970" w:type="dxa"/>
            <w:tcBorders>
              <w:top w:val="single" w:color="auto" w:sz="4" w:space="0"/>
              <w:left w:val="single" w:color="auto" w:sz="4" w:space="0"/>
              <w:bottom w:val="single" w:color="auto" w:sz="4" w:space="0"/>
              <w:right w:val="single" w:color="auto" w:sz="4" w:space="0"/>
            </w:tcBorders>
            <w:noWrap w:val="0"/>
            <w:vAlign w:val="center"/>
          </w:tcPr>
          <w:p w14:paraId="29A41287">
            <w:pPr>
              <w:keepNext w:val="0"/>
              <w:keepLines w:val="0"/>
              <w:pageBreakBefore w:val="0"/>
              <w:kinsoku/>
              <w:wordWrap w:val="0"/>
              <w:overflowPunct/>
              <w:topLinePunct w:val="0"/>
              <w:autoSpaceDE/>
              <w:autoSpaceDN/>
              <w:bidi w:val="0"/>
              <w:adjustRightInd/>
              <w:snapToGrid/>
              <w:spacing w:line="360" w:lineRule="exact"/>
              <w:jc w:val="center"/>
              <w:textAlignment w:val="auto"/>
              <w:rPr>
                <w:rFonts w:hint="default" w:ascii="宋体" w:hAnsi="宋体" w:eastAsia="宋体" w:cs="宋体"/>
                <w:color w:val="auto"/>
                <w:szCs w:val="21"/>
                <w:highlight w:val="none"/>
                <w:lang w:val="en-US"/>
              </w:rPr>
            </w:pPr>
            <w:r>
              <w:rPr>
                <w:rFonts w:hint="eastAsia" w:ascii="宋体" w:hAnsi="宋体" w:eastAsia="宋体"/>
                <w:color w:val="auto"/>
                <w:szCs w:val="21"/>
                <w:highlight w:val="none"/>
                <w:lang w:eastAsia="zh-CN"/>
              </w:rPr>
              <w:t>柳江红花枢纽至石龙三江口Ⅱ级航道工程项目跟踪审计</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2023年10月至今）</w:t>
            </w:r>
          </w:p>
        </w:tc>
        <w:tc>
          <w:tcPr>
            <w:tcW w:w="852" w:type="dxa"/>
            <w:tcBorders>
              <w:top w:val="single" w:color="auto" w:sz="4" w:space="0"/>
              <w:left w:val="single" w:color="auto" w:sz="4" w:space="0"/>
              <w:bottom w:val="single" w:color="auto" w:sz="4" w:space="0"/>
              <w:right w:val="single" w:color="auto" w:sz="4" w:space="0"/>
            </w:tcBorders>
            <w:noWrap w:val="0"/>
            <w:vAlign w:val="center"/>
          </w:tcPr>
          <w:p w14:paraId="7C9A2559">
            <w:pPr>
              <w:keepNext w:val="0"/>
              <w:keepLines w:val="0"/>
              <w:pageBreakBefore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1项</w:t>
            </w:r>
          </w:p>
        </w:tc>
        <w:tc>
          <w:tcPr>
            <w:tcW w:w="1061" w:type="dxa"/>
            <w:tcBorders>
              <w:top w:val="single" w:color="auto" w:sz="4" w:space="0"/>
              <w:left w:val="single" w:color="auto" w:sz="4" w:space="0"/>
              <w:bottom w:val="single" w:color="auto" w:sz="4" w:space="0"/>
              <w:right w:val="single" w:color="000000" w:sz="4" w:space="0"/>
            </w:tcBorders>
            <w:noWrap w:val="0"/>
            <w:vAlign w:val="center"/>
          </w:tcPr>
          <w:p w14:paraId="0777E423">
            <w:pPr>
              <w:keepNext w:val="0"/>
              <w:keepLines w:val="0"/>
              <w:pageBreakBefore w:val="0"/>
              <w:kinsoku/>
              <w:wordWrap w:val="0"/>
              <w:overflowPunct/>
              <w:topLinePunct w:val="0"/>
              <w:autoSpaceDE/>
              <w:autoSpaceDN/>
              <w:bidi w:val="0"/>
              <w:adjustRightInd/>
              <w:snapToGrid/>
              <w:spacing w:line="360" w:lineRule="exact"/>
              <w:jc w:val="center"/>
              <w:textAlignment w:val="auto"/>
              <w:rPr>
                <w:rFonts w:hint="eastAsia" w:ascii="宋体" w:hAnsi="宋体" w:eastAsia="宋体" w:cs="宋体"/>
                <w:color w:val="auto"/>
                <w:szCs w:val="21"/>
                <w:highlight w:val="none"/>
              </w:rPr>
            </w:pPr>
            <w:r>
              <w:rPr>
                <w:rFonts w:hint="eastAsia" w:ascii="宋体" w:hAnsi="宋体"/>
                <w:color w:val="auto"/>
                <w:szCs w:val="21"/>
                <w:highlight w:val="none"/>
                <w:u w:val="none"/>
                <w:lang w:eastAsia="zh-CN"/>
              </w:rPr>
              <w:t>租赁和商务服务业</w:t>
            </w:r>
          </w:p>
        </w:tc>
        <w:tc>
          <w:tcPr>
            <w:tcW w:w="6139" w:type="dxa"/>
            <w:tcBorders>
              <w:top w:val="single" w:color="auto" w:sz="4" w:space="0"/>
              <w:left w:val="single" w:color="000000" w:sz="4" w:space="0"/>
              <w:bottom w:val="single" w:color="auto" w:sz="4" w:space="0"/>
              <w:right w:val="single" w:color="auto" w:sz="4" w:space="0"/>
            </w:tcBorders>
            <w:noWrap w:val="0"/>
            <w:vAlign w:val="center"/>
          </w:tcPr>
          <w:p w14:paraId="58694D32">
            <w:pPr>
              <w:keepNext w:val="0"/>
              <w:keepLines w:val="0"/>
              <w:pageBreakBefore w:val="0"/>
              <w:widowControl w:val="0"/>
              <w:numPr>
                <w:ilvl w:val="0"/>
                <w:numId w:val="0"/>
              </w:numPr>
              <w:kinsoku/>
              <w:wordWrap w:val="0"/>
              <w:overflowPunct/>
              <w:topLinePunct w:val="0"/>
              <w:autoSpaceDE/>
              <w:autoSpaceDN/>
              <w:bidi w:val="0"/>
              <w:adjustRightInd/>
              <w:snapToGrid/>
              <w:spacing w:line="360" w:lineRule="exact"/>
              <w:ind w:firstLine="420" w:firstLineChars="200"/>
              <w:jc w:val="left"/>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一、服务内容</w:t>
            </w:r>
          </w:p>
          <w:p w14:paraId="7462E71E">
            <w:pPr>
              <w:keepNext w:val="0"/>
              <w:keepLines w:val="0"/>
              <w:pageBreakBefore w:val="0"/>
              <w:widowControl w:val="0"/>
              <w:numPr>
                <w:ilvl w:val="0"/>
                <w:numId w:val="0"/>
              </w:numPr>
              <w:kinsoku/>
              <w:wordWrap w:val="0"/>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w:t>
            </w:r>
            <w:r>
              <w:rPr>
                <w:rFonts w:hint="eastAsia" w:ascii="宋体" w:hAnsi="宋体" w:cs="宋体"/>
                <w:color w:val="auto"/>
                <w:szCs w:val="21"/>
                <w:highlight w:val="none"/>
                <w:lang w:eastAsia="zh-CN"/>
              </w:rPr>
              <w:t>《交通运输部办公厅关于印发交通运输建设项目跟踪审计操作指南的通知》（厅</w:t>
            </w:r>
            <w:r>
              <w:rPr>
                <w:rFonts w:hint="eastAsia" w:ascii="宋体" w:hAnsi="宋体" w:eastAsia="宋体" w:cs="宋体"/>
                <w:color w:val="auto"/>
                <w:szCs w:val="21"/>
                <w:highlight w:val="none"/>
              </w:rPr>
              <w:t>财</w:t>
            </w:r>
            <w:r>
              <w:rPr>
                <w:rFonts w:hint="eastAsia" w:ascii="宋体" w:hAnsi="宋体" w:cs="宋体"/>
                <w:color w:val="auto"/>
                <w:szCs w:val="21"/>
                <w:highlight w:val="none"/>
                <w:lang w:eastAsia="zh-CN"/>
              </w:rPr>
              <w:t>字</w:t>
            </w:r>
            <w:r>
              <w:rPr>
                <w:rFonts w:hint="eastAsia" w:ascii="宋体" w:hAnsi="宋体" w:eastAsia="宋体" w:cs="宋体"/>
                <w:color w:val="auto"/>
                <w:szCs w:val="21"/>
                <w:highlight w:val="none"/>
              </w:rPr>
              <w:t>〔20</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3〕</w:t>
            </w:r>
            <w:r>
              <w:rPr>
                <w:rFonts w:hint="eastAsia" w:ascii="宋体" w:hAnsi="宋体" w:cs="宋体"/>
                <w:color w:val="auto"/>
                <w:szCs w:val="21"/>
                <w:highlight w:val="none"/>
                <w:lang w:val="en-US" w:eastAsia="zh-CN"/>
              </w:rPr>
              <w:t>300</w:t>
            </w:r>
            <w:r>
              <w:rPr>
                <w:rFonts w:hint="eastAsia" w:ascii="宋体" w:hAnsi="宋体" w:eastAsia="宋体" w:cs="宋体"/>
                <w:color w:val="auto"/>
                <w:szCs w:val="21"/>
                <w:highlight w:val="none"/>
              </w:rPr>
              <w:t>号</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公路水路基本建设项目内部审计管理办法》（交财审发〔2023〕8号）、《广西壮族自治区交通运输厅内部审计工作规定》（桂交财审发〔2024〕51号）要求，对柳江红花枢纽至石龙三江口Ⅱ级航道工程项目2023年10月至今</w:t>
            </w:r>
            <w:r>
              <w:rPr>
                <w:rFonts w:hint="eastAsia" w:ascii="宋体" w:hAnsi="宋体" w:cs="宋体"/>
                <w:color w:val="auto"/>
                <w:szCs w:val="21"/>
                <w:highlight w:val="none"/>
                <w:lang w:eastAsia="zh-CN"/>
              </w:rPr>
              <w:t>的建设情况</w:t>
            </w:r>
            <w:r>
              <w:rPr>
                <w:rFonts w:hint="eastAsia" w:ascii="宋体" w:hAnsi="宋体" w:eastAsia="宋体" w:cs="宋体"/>
                <w:color w:val="auto"/>
                <w:szCs w:val="21"/>
                <w:highlight w:val="none"/>
              </w:rPr>
              <w:t>开展跟踪审计，并出具1份跟踪审计报告。</w:t>
            </w:r>
          </w:p>
          <w:p w14:paraId="0BC0403B">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jc w:val="left"/>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二、审计方式</w:t>
            </w:r>
          </w:p>
          <w:p w14:paraId="6B76811F">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olor w:val="auto"/>
                <w:sz w:val="21"/>
                <w:szCs w:val="21"/>
                <w:highlight w:val="none"/>
                <w:lang w:eastAsia="zh-CN"/>
              </w:rPr>
            </w:pPr>
            <w:r>
              <w:rPr>
                <w:rFonts w:hint="eastAsia" w:ascii="宋体" w:hAnsi="宋体" w:eastAsia="宋体"/>
                <w:bCs/>
                <w:color w:val="auto"/>
                <w:sz w:val="21"/>
                <w:szCs w:val="21"/>
                <w:highlight w:val="none"/>
                <w:lang w:eastAsia="zh-CN"/>
              </w:rPr>
              <w:t>供应商</w:t>
            </w:r>
            <w:r>
              <w:rPr>
                <w:rFonts w:hint="eastAsia" w:ascii="宋体" w:hAnsi="宋体" w:eastAsia="宋体"/>
                <w:color w:val="auto"/>
                <w:sz w:val="21"/>
                <w:highlight w:val="none"/>
                <w:u w:val="none"/>
              </w:rPr>
              <w:t>需</w:t>
            </w:r>
            <w:r>
              <w:rPr>
                <w:rFonts w:hint="eastAsia" w:ascii="宋体" w:hAnsi="宋体" w:eastAsia="宋体"/>
                <w:bCs/>
                <w:color w:val="auto"/>
                <w:sz w:val="21"/>
                <w:szCs w:val="21"/>
                <w:highlight w:val="none"/>
              </w:rPr>
              <w:t>根据</w:t>
            </w:r>
            <w:r>
              <w:rPr>
                <w:rFonts w:hint="eastAsia" w:ascii="宋体" w:hAnsi="宋体" w:eastAsia="宋体"/>
                <w:bCs/>
                <w:color w:val="auto"/>
                <w:sz w:val="21"/>
                <w:szCs w:val="21"/>
                <w:highlight w:val="none"/>
                <w:lang w:eastAsia="zh-CN"/>
              </w:rPr>
              <w:t>审计服务</w:t>
            </w:r>
            <w:r>
              <w:rPr>
                <w:rFonts w:hint="eastAsia" w:ascii="宋体" w:hAnsi="宋体" w:eastAsia="宋体"/>
                <w:color w:val="auto"/>
                <w:sz w:val="21"/>
                <w:highlight w:val="none"/>
              </w:rPr>
              <w:t>合同和</w:t>
            </w:r>
            <w:r>
              <w:rPr>
                <w:rFonts w:hint="eastAsia" w:ascii="宋体" w:hAnsi="宋体" w:eastAsia="宋体"/>
                <w:color w:val="auto"/>
                <w:sz w:val="21"/>
                <w:highlight w:val="none"/>
                <w:u w:val="none"/>
                <w:lang w:eastAsia="zh-CN"/>
              </w:rPr>
              <w:t>跟踪</w:t>
            </w:r>
            <w:r>
              <w:rPr>
                <w:rFonts w:hint="eastAsia" w:ascii="宋体" w:hAnsi="宋体" w:eastAsia="宋体"/>
                <w:color w:val="auto"/>
                <w:sz w:val="21"/>
                <w:highlight w:val="none"/>
                <w:u w:val="none"/>
              </w:rPr>
              <w:t>审计</w:t>
            </w:r>
            <w:r>
              <w:rPr>
                <w:rFonts w:hint="eastAsia" w:ascii="宋体" w:hAnsi="宋体" w:eastAsia="宋体"/>
                <w:bCs/>
                <w:color w:val="auto"/>
                <w:sz w:val="21"/>
                <w:szCs w:val="21"/>
                <w:highlight w:val="none"/>
              </w:rPr>
              <w:t>规定，</w:t>
            </w:r>
            <w:r>
              <w:rPr>
                <w:rFonts w:hint="eastAsia" w:ascii="宋体" w:hAnsi="宋体" w:eastAsia="宋体"/>
                <w:color w:val="auto"/>
                <w:sz w:val="21"/>
                <w:szCs w:val="21"/>
                <w:highlight w:val="none"/>
              </w:rPr>
              <w:t>按审计对象编制审计</w:t>
            </w:r>
            <w:r>
              <w:rPr>
                <w:rFonts w:hint="eastAsia" w:ascii="宋体" w:hAnsi="宋体" w:eastAsia="宋体"/>
                <w:color w:val="auto"/>
                <w:sz w:val="21"/>
                <w:szCs w:val="21"/>
                <w:highlight w:val="none"/>
                <w:lang w:eastAsia="zh-CN"/>
              </w:rPr>
              <w:t>工作</w:t>
            </w:r>
            <w:r>
              <w:rPr>
                <w:rFonts w:hint="eastAsia" w:ascii="宋体" w:hAnsi="宋体" w:eastAsia="宋体"/>
                <w:color w:val="auto"/>
                <w:sz w:val="21"/>
                <w:szCs w:val="21"/>
                <w:highlight w:val="none"/>
              </w:rPr>
              <w:t>方案，</w:t>
            </w:r>
            <w:r>
              <w:rPr>
                <w:rFonts w:hint="eastAsia" w:ascii="宋体" w:hAnsi="宋体" w:eastAsia="宋体"/>
                <w:color w:val="auto"/>
                <w:sz w:val="21"/>
                <w:highlight w:val="none"/>
                <w:lang w:eastAsia="zh-CN"/>
              </w:rPr>
              <w:t>派出审计组，</w:t>
            </w:r>
            <w:r>
              <w:rPr>
                <w:rFonts w:hint="eastAsia" w:ascii="宋体" w:hAnsi="宋体" w:eastAsia="宋体"/>
                <w:color w:val="auto"/>
                <w:sz w:val="21"/>
                <w:highlight w:val="none"/>
                <w:u w:val="none"/>
                <w:lang w:eastAsia="zh-CN"/>
              </w:rPr>
              <w:t>通过</w:t>
            </w:r>
            <w:r>
              <w:rPr>
                <w:rFonts w:hint="eastAsia"/>
                <w:color w:val="auto"/>
                <w:szCs w:val="21"/>
                <w:highlight w:val="none"/>
              </w:rPr>
              <w:t>线上和现场实地</w:t>
            </w:r>
            <w:r>
              <w:rPr>
                <w:rFonts w:hint="eastAsia" w:eastAsia="宋体"/>
                <w:color w:val="auto"/>
                <w:szCs w:val="21"/>
                <w:highlight w:val="none"/>
              </w:rPr>
              <w:t>审计</w:t>
            </w:r>
            <w:r>
              <w:rPr>
                <w:rFonts w:hint="eastAsia"/>
                <w:color w:val="auto"/>
                <w:szCs w:val="21"/>
                <w:highlight w:val="none"/>
              </w:rPr>
              <w:t>相结合</w:t>
            </w:r>
            <w:r>
              <w:rPr>
                <w:rFonts w:hint="eastAsia" w:ascii="宋体" w:hAnsi="宋体" w:eastAsia="宋体"/>
                <w:bCs/>
                <w:color w:val="auto"/>
                <w:sz w:val="21"/>
                <w:szCs w:val="21"/>
                <w:highlight w:val="none"/>
              </w:rPr>
              <w:t>方式</w:t>
            </w:r>
            <w:r>
              <w:rPr>
                <w:rFonts w:hint="eastAsia" w:ascii="宋体" w:hAnsi="宋体" w:eastAsia="宋体"/>
                <w:color w:val="auto"/>
                <w:sz w:val="21"/>
                <w:highlight w:val="none"/>
              </w:rPr>
              <w:t>实施</w:t>
            </w:r>
            <w:r>
              <w:rPr>
                <w:rFonts w:hint="eastAsia" w:ascii="宋体" w:hAnsi="宋体" w:eastAsia="宋体"/>
                <w:color w:val="auto"/>
                <w:sz w:val="21"/>
                <w:szCs w:val="21"/>
                <w:highlight w:val="none"/>
              </w:rPr>
              <w:t>审计活动，</w:t>
            </w:r>
            <w:r>
              <w:rPr>
                <w:rFonts w:hint="eastAsia" w:ascii="宋体" w:hAnsi="宋体" w:eastAsia="宋体"/>
                <w:color w:val="auto"/>
                <w:sz w:val="21"/>
                <w:highlight w:val="none"/>
                <w:u w:val="none"/>
              </w:rPr>
              <w:t>按规定编报审计报告</w:t>
            </w:r>
            <w:r>
              <w:rPr>
                <w:rFonts w:hint="eastAsia" w:ascii="宋体" w:hAnsi="宋体" w:eastAsia="宋体"/>
                <w:color w:val="auto"/>
                <w:sz w:val="21"/>
                <w:szCs w:val="21"/>
                <w:highlight w:val="none"/>
                <w:lang w:eastAsia="zh-CN"/>
              </w:rPr>
              <w:t>。</w:t>
            </w:r>
          </w:p>
          <w:p w14:paraId="4891BAEF">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三、审计内容</w:t>
            </w:r>
          </w:p>
          <w:p w14:paraId="7536C364">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Times New Roman"/>
                <w:color w:val="auto"/>
                <w:sz w:val="21"/>
                <w:highlight w:val="none"/>
                <w:u w:val="none"/>
              </w:rPr>
            </w:pPr>
            <w:r>
              <w:rPr>
                <w:rFonts w:hint="eastAsia" w:ascii="宋体" w:hAnsi="宋体" w:eastAsia="宋体" w:cs="Times New Roman"/>
                <w:color w:val="auto"/>
                <w:sz w:val="21"/>
                <w:highlight w:val="none"/>
                <w:u w:val="none"/>
              </w:rPr>
              <w:t>(一)检查项目法人制、招投标制、工程监理制、合同管理制等制度是否落实、执行是否规范。</w:t>
            </w:r>
          </w:p>
          <w:p w14:paraId="6A9F33FA">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Times New Roman"/>
                <w:color w:val="auto"/>
                <w:sz w:val="21"/>
                <w:highlight w:val="none"/>
                <w:u w:val="none"/>
              </w:rPr>
            </w:pPr>
            <w:r>
              <w:rPr>
                <w:rFonts w:hint="eastAsia" w:ascii="宋体" w:hAnsi="宋体" w:eastAsia="宋体" w:cs="Times New Roman"/>
                <w:color w:val="auto"/>
                <w:sz w:val="21"/>
                <w:highlight w:val="none"/>
                <w:u w:val="none"/>
              </w:rPr>
              <w:t>(二)检查内部控制制度是否健全、执行是否严格、到位。</w:t>
            </w:r>
          </w:p>
          <w:p w14:paraId="7C5F538C">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Times New Roman"/>
                <w:color w:val="auto"/>
                <w:sz w:val="21"/>
                <w:highlight w:val="none"/>
                <w:u w:val="none"/>
              </w:rPr>
            </w:pPr>
            <w:r>
              <w:rPr>
                <w:rFonts w:hint="eastAsia" w:ascii="宋体" w:hAnsi="宋体" w:eastAsia="宋体" w:cs="Times New Roman"/>
                <w:color w:val="auto"/>
                <w:sz w:val="21"/>
                <w:highlight w:val="none"/>
                <w:u w:val="none"/>
              </w:rPr>
              <w:t>(三)检查项目建设资金是否按规定、工程进度及时足额到位。</w:t>
            </w:r>
          </w:p>
          <w:p w14:paraId="24018B8E">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Times New Roman"/>
                <w:color w:val="auto"/>
                <w:sz w:val="21"/>
                <w:highlight w:val="none"/>
                <w:u w:val="none"/>
              </w:rPr>
            </w:pPr>
            <w:r>
              <w:rPr>
                <w:rFonts w:hint="eastAsia" w:ascii="宋体" w:hAnsi="宋体" w:eastAsia="宋体" w:cs="Times New Roman"/>
                <w:color w:val="auto"/>
                <w:sz w:val="21"/>
                <w:highlight w:val="none"/>
                <w:u w:val="none"/>
              </w:rPr>
              <w:t>(四)检查是否存在随意变更、恶意变更、推倒算账，损害国家利益问题;是否存在不按变更程序报批，未批先建、管理混乱造成工程造价失控问题;是否存在隐瞒工程造价和因设计变更造成损失浪费问题;设计单位是否认真履行职责，是否存在勘察设计工作不到位、不合规问题;监理人员是否存在协同承包商弄虚作假，虚增变更工程量，侵占国家建设资金问题。</w:t>
            </w:r>
          </w:p>
          <w:p w14:paraId="1BA024A2">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Times New Roman"/>
                <w:color w:val="auto"/>
                <w:sz w:val="21"/>
                <w:highlight w:val="none"/>
                <w:u w:val="none"/>
              </w:rPr>
            </w:pPr>
            <w:r>
              <w:rPr>
                <w:rFonts w:hint="eastAsia" w:ascii="宋体" w:hAnsi="宋体" w:eastAsia="宋体" w:cs="Times New Roman"/>
                <w:color w:val="auto"/>
                <w:sz w:val="21"/>
                <w:highlight w:val="none"/>
                <w:u w:val="none"/>
              </w:rPr>
              <w:t>(五)检查工程价款计量、支付是否真实、合规，是否严格按合同条款和实际完成情况办理;结算手续是否齐全完备;预付款项是否按规定扣回，质保金是否扣足;有无超合同、未签合同付款情况;工程计量是否准确，有无超计量支付工程款。</w:t>
            </w:r>
          </w:p>
          <w:p w14:paraId="759371AD">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Times New Roman"/>
                <w:color w:val="auto"/>
                <w:sz w:val="21"/>
                <w:highlight w:val="none"/>
                <w:u w:val="none"/>
              </w:rPr>
            </w:pPr>
            <w:r>
              <w:rPr>
                <w:rFonts w:hint="eastAsia" w:ascii="宋体" w:hAnsi="宋体" w:eastAsia="宋体" w:cs="Times New Roman"/>
                <w:color w:val="auto"/>
                <w:sz w:val="21"/>
                <w:highlight w:val="none"/>
                <w:u w:val="none"/>
              </w:rPr>
              <w:t>(六)检查开工预付款和材料、设备预付款手续是否齐全，是否按规定程序预付、扣回。</w:t>
            </w:r>
          </w:p>
          <w:p w14:paraId="34F036CD">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Times New Roman"/>
                <w:color w:val="auto"/>
                <w:sz w:val="21"/>
                <w:highlight w:val="none"/>
                <w:u w:val="none"/>
              </w:rPr>
            </w:pPr>
            <w:r>
              <w:rPr>
                <w:rFonts w:hint="eastAsia" w:ascii="宋体" w:hAnsi="宋体" w:eastAsia="宋体" w:cs="Times New Roman"/>
                <w:color w:val="auto"/>
                <w:sz w:val="21"/>
                <w:highlight w:val="none"/>
                <w:u w:val="none"/>
              </w:rPr>
              <w:t>(七)检查建设资金是否按计划及时足额划拨到建设单位账户，各项贷款手续是否合法、合规，是否存在资金闲置或短缺现象。</w:t>
            </w:r>
          </w:p>
          <w:p w14:paraId="28A74F1E">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Times New Roman"/>
                <w:color w:val="auto"/>
                <w:sz w:val="21"/>
                <w:highlight w:val="none"/>
                <w:u w:val="none"/>
              </w:rPr>
            </w:pPr>
            <w:r>
              <w:rPr>
                <w:rFonts w:hint="eastAsia" w:ascii="宋体" w:hAnsi="宋体" w:eastAsia="宋体" w:cs="Times New Roman"/>
                <w:color w:val="auto"/>
                <w:sz w:val="21"/>
                <w:highlight w:val="none"/>
                <w:u w:val="none"/>
              </w:rPr>
              <w:t>(八)检查建设资金的使用是否真实、合法、合规，有无转移、侵占、挪用建设资金和损失浪费等问题;是否建立健全了包括施工单位在内的建设资金安全监管制度;有无挪用、截留、侵占建设资金，擅自扩大开支范围、乱开支情况;支付依据是否合法，审批程序是否合规，有无违规套取资金、乱列费用情况;有无超前或提前支付工程款问题;有无无合同、无结算单、无合法手续以租赁费、分包工程款名义挪用国家建设资金问题;有无非法向个人及单位集资、借款。</w:t>
            </w:r>
          </w:p>
          <w:p w14:paraId="7B991454">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Times New Roman"/>
                <w:color w:val="auto"/>
                <w:sz w:val="21"/>
                <w:highlight w:val="none"/>
                <w:u w:val="none"/>
              </w:rPr>
            </w:pPr>
            <w:r>
              <w:rPr>
                <w:rFonts w:hint="eastAsia" w:ascii="宋体" w:hAnsi="宋体" w:eastAsia="宋体" w:cs="Times New Roman"/>
                <w:color w:val="auto"/>
                <w:sz w:val="21"/>
                <w:highlight w:val="none"/>
                <w:u w:val="none"/>
              </w:rPr>
              <w:t>(九)检查设备、材料等是否按设计要求和合同规定进行采购，有无违规采购、无合同无计划采购，采购的物资种类、质量、数量与采购计划是否相符;是否存在高价采购、低价倒卖等损害国家利益的问题;设备、材料使用是否合规、有效。</w:t>
            </w:r>
          </w:p>
          <w:p w14:paraId="2BA1B064">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Times New Roman"/>
                <w:color w:val="auto"/>
                <w:sz w:val="21"/>
                <w:highlight w:val="none"/>
                <w:u w:val="none"/>
              </w:rPr>
            </w:pPr>
            <w:r>
              <w:rPr>
                <w:rFonts w:hint="eastAsia" w:ascii="宋体" w:hAnsi="宋体" w:eastAsia="宋体" w:cs="Times New Roman"/>
                <w:color w:val="auto"/>
                <w:sz w:val="21"/>
                <w:highlight w:val="none"/>
                <w:u w:val="none"/>
              </w:rPr>
              <w:t>(十)检查项目建设成本是否严格按照概算及有关制度规定正确归集，基建收入来源和债权债务是否真实、合法，税费是否按规定及时、足额计缴，财务报表是否真实、准确。</w:t>
            </w:r>
          </w:p>
          <w:p w14:paraId="75C7B1C6">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Times New Roman"/>
                <w:color w:val="auto"/>
                <w:sz w:val="21"/>
                <w:highlight w:val="none"/>
                <w:u w:val="none"/>
                <w:lang w:val="en-US" w:eastAsia="zh-CN"/>
              </w:rPr>
            </w:pPr>
            <w:r>
              <w:rPr>
                <w:rFonts w:hint="eastAsia" w:ascii="宋体" w:hAnsi="宋体" w:eastAsia="宋体" w:cs="Times New Roman"/>
                <w:color w:val="auto"/>
                <w:sz w:val="21"/>
                <w:highlight w:val="none"/>
                <w:u w:val="none"/>
              </w:rPr>
              <w:t>(十一)检查质量保证金等是否按合同约定扣留，扣留比例、金额是否符合合同要求及有关规定</w:t>
            </w:r>
            <w:r>
              <w:rPr>
                <w:rFonts w:hint="eastAsia" w:ascii="宋体" w:hAnsi="宋体" w:eastAsia="宋体" w:cs="Times New Roman"/>
                <w:color w:val="auto"/>
                <w:sz w:val="21"/>
                <w:highlight w:val="none"/>
                <w:u w:val="none"/>
                <w:lang w:eastAsia="zh-CN"/>
              </w:rPr>
              <w:t>。</w:t>
            </w:r>
          </w:p>
          <w:p w14:paraId="7A1C68F4">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Times New Roman"/>
                <w:color w:val="auto"/>
                <w:sz w:val="21"/>
                <w:highlight w:val="none"/>
                <w:u w:val="none"/>
              </w:rPr>
            </w:pPr>
            <w:r>
              <w:rPr>
                <w:rFonts w:hint="eastAsia" w:ascii="宋体" w:hAnsi="宋体" w:eastAsia="宋体" w:cs="Times New Roman"/>
                <w:color w:val="auto"/>
                <w:sz w:val="21"/>
                <w:highlight w:val="none"/>
                <w:u w:val="none"/>
              </w:rPr>
              <w:t>(十二)检查项目进度是否按计划完成，项目完成投资额是否真实准确。</w:t>
            </w:r>
          </w:p>
          <w:p w14:paraId="54402B6F">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Times New Roman"/>
                <w:color w:val="auto"/>
                <w:sz w:val="21"/>
                <w:highlight w:val="none"/>
                <w:u w:val="none"/>
              </w:rPr>
            </w:pPr>
            <w:r>
              <w:rPr>
                <w:rFonts w:hint="eastAsia" w:ascii="宋体" w:hAnsi="宋体" w:eastAsia="宋体" w:cs="Times New Roman"/>
                <w:color w:val="auto"/>
                <w:sz w:val="21"/>
                <w:highlight w:val="none"/>
                <w:u w:val="none"/>
              </w:rPr>
              <w:t>(十三)检查征地拆迁决算是否真实，土地手续办理是否完整、合法。</w:t>
            </w:r>
          </w:p>
          <w:p w14:paraId="528AA0CC">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Times New Roman"/>
                <w:color w:val="auto"/>
                <w:sz w:val="21"/>
                <w:highlight w:val="none"/>
                <w:u w:val="none"/>
              </w:rPr>
            </w:pPr>
            <w:r>
              <w:rPr>
                <w:rFonts w:hint="eastAsia" w:ascii="宋体" w:hAnsi="宋体" w:eastAsia="宋体" w:cs="Times New Roman"/>
                <w:color w:val="auto"/>
                <w:sz w:val="21"/>
                <w:highlight w:val="none"/>
                <w:u w:val="none"/>
              </w:rPr>
              <w:t>(十四)检查工程质量是否依照国家规定得到有效控制，环境(生态)保护工作是否按相关环保部门要求实施。</w:t>
            </w:r>
          </w:p>
          <w:p w14:paraId="2FFE69C6">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Times New Roman"/>
                <w:color w:val="auto"/>
                <w:sz w:val="21"/>
                <w:highlight w:val="none"/>
                <w:u w:val="none"/>
              </w:rPr>
            </w:pPr>
            <w:r>
              <w:rPr>
                <w:rFonts w:hint="eastAsia" w:ascii="宋体" w:hAnsi="宋体" w:eastAsia="宋体" w:cs="Times New Roman"/>
                <w:color w:val="auto"/>
                <w:sz w:val="21"/>
                <w:highlight w:val="none"/>
                <w:u w:val="none"/>
              </w:rPr>
              <w:t>(十五)检查承包商是否存在承诺的进场人员和设备不到位、不按技术标准或工艺施工、偷工减料等合同履行问题;安全生产费使用是否合理，是否专款专用。</w:t>
            </w:r>
          </w:p>
          <w:p w14:paraId="160C8853">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Times New Roman"/>
                <w:color w:val="auto"/>
                <w:sz w:val="21"/>
                <w:highlight w:val="none"/>
                <w:u w:val="none"/>
              </w:rPr>
            </w:pPr>
            <w:r>
              <w:rPr>
                <w:rFonts w:hint="eastAsia" w:ascii="宋体" w:hAnsi="宋体" w:eastAsia="宋体" w:cs="Times New Roman"/>
                <w:color w:val="auto"/>
                <w:sz w:val="21"/>
                <w:highlight w:val="none"/>
                <w:u w:val="none"/>
              </w:rPr>
              <w:t>(十六)检查监理单位是否按合同规定履约、监理工程师是否按执业要求履职问题，隐蔽工程记录、关键工程和控制工程的控制记录、监理日记、监理检测报告是否完整、及时、真实。</w:t>
            </w:r>
          </w:p>
          <w:p w14:paraId="240E21F4">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Times New Roman"/>
                <w:color w:val="auto"/>
                <w:sz w:val="21"/>
                <w:highlight w:val="none"/>
                <w:u w:val="none"/>
              </w:rPr>
            </w:pPr>
            <w:r>
              <w:rPr>
                <w:rFonts w:hint="eastAsia" w:ascii="宋体" w:hAnsi="宋体" w:eastAsia="宋体" w:cs="Times New Roman"/>
                <w:color w:val="auto"/>
                <w:sz w:val="21"/>
                <w:highlight w:val="none"/>
                <w:u w:val="none"/>
              </w:rPr>
              <w:t>(十七)检查固定资产购置是否符合项目列支范围，是否履行审批程序，是否建立了固定资产管理台账，登记是否完整，盘点程序是否规范，有无账外、毁损、丢失资产等情况。</w:t>
            </w:r>
          </w:p>
          <w:p w14:paraId="5A4A78DE">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Times New Roman"/>
                <w:color w:val="auto"/>
                <w:sz w:val="21"/>
                <w:highlight w:val="none"/>
                <w:u w:val="none"/>
              </w:rPr>
            </w:pPr>
            <w:r>
              <w:rPr>
                <w:rFonts w:hint="eastAsia" w:ascii="宋体" w:hAnsi="宋体" w:eastAsia="宋体" w:cs="Times New Roman"/>
                <w:color w:val="auto"/>
                <w:sz w:val="21"/>
                <w:highlight w:val="none"/>
                <w:u w:val="none"/>
              </w:rPr>
              <w:t>(十八)检查其他需要审计的事项。</w:t>
            </w:r>
          </w:p>
          <w:p w14:paraId="4920BCA7">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Times New Roman"/>
                <w:color w:val="auto"/>
                <w:sz w:val="21"/>
                <w:highlight w:val="none"/>
                <w:u w:val="none"/>
                <w:lang w:eastAsia="zh-CN"/>
              </w:rPr>
            </w:pPr>
            <w:r>
              <w:rPr>
                <w:rFonts w:hint="eastAsia" w:ascii="宋体" w:hAnsi="宋体" w:eastAsia="宋体" w:cs="Times New Roman"/>
                <w:color w:val="auto"/>
                <w:sz w:val="21"/>
                <w:highlight w:val="none"/>
                <w:u w:val="none"/>
                <w:lang w:eastAsia="zh-CN"/>
              </w:rPr>
              <w:t>四、工作要求</w:t>
            </w:r>
          </w:p>
          <w:p w14:paraId="58173087">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Times New Roman"/>
                <w:color w:val="auto"/>
                <w:sz w:val="21"/>
                <w:highlight w:val="none"/>
                <w:u w:val="none"/>
              </w:rPr>
            </w:pPr>
            <w:r>
              <w:rPr>
                <w:rFonts w:hint="eastAsia" w:ascii="宋体" w:hAnsi="宋体" w:eastAsia="宋体" w:cs="Times New Roman"/>
                <w:color w:val="auto"/>
                <w:sz w:val="21"/>
                <w:highlight w:val="none"/>
                <w:u w:val="none"/>
                <w:lang w:eastAsia="zh-CN"/>
              </w:rPr>
              <w:t>（一）</w:t>
            </w:r>
            <w:r>
              <w:rPr>
                <w:rFonts w:hint="eastAsia" w:ascii="宋体" w:hAnsi="宋体" w:eastAsia="宋体" w:cs="Times New Roman"/>
                <w:color w:val="auto"/>
                <w:sz w:val="21"/>
                <w:highlight w:val="none"/>
                <w:u w:val="none"/>
              </w:rPr>
              <w:t>加强</w:t>
            </w:r>
            <w:r>
              <w:rPr>
                <w:rFonts w:hint="eastAsia" w:ascii="宋体" w:hAnsi="宋体" w:eastAsia="宋体" w:cs="Times New Roman"/>
                <w:color w:val="auto"/>
                <w:sz w:val="21"/>
                <w:highlight w:val="none"/>
                <w:u w:val="none"/>
                <w:lang w:eastAsia="zh-CN"/>
              </w:rPr>
              <w:t>组织</w:t>
            </w:r>
            <w:r>
              <w:rPr>
                <w:rFonts w:hint="eastAsia" w:ascii="宋体" w:hAnsi="宋体" w:eastAsia="宋体" w:cs="Times New Roman"/>
                <w:color w:val="auto"/>
                <w:sz w:val="21"/>
                <w:highlight w:val="none"/>
                <w:u w:val="none"/>
              </w:rPr>
              <w:t>领导</w:t>
            </w:r>
            <w:r>
              <w:rPr>
                <w:rFonts w:hint="eastAsia" w:ascii="宋体" w:hAnsi="宋体" w:eastAsia="宋体" w:cs="Times New Roman"/>
                <w:color w:val="auto"/>
                <w:sz w:val="21"/>
                <w:highlight w:val="none"/>
                <w:u w:val="none"/>
                <w:lang w:eastAsia="zh-CN"/>
              </w:rPr>
              <w:t>。供应商应统筹安排本项目的审计力量，派出审计组。健全和落实审计质量控制工作机制和要求，遵守审计回避、廉洁、保密等审计工作纪律，</w:t>
            </w:r>
            <w:r>
              <w:rPr>
                <w:rFonts w:hint="eastAsia" w:ascii="宋体" w:hAnsi="宋体" w:eastAsia="宋体" w:cs="Times New Roman"/>
                <w:color w:val="auto"/>
                <w:sz w:val="21"/>
                <w:highlight w:val="none"/>
                <w:u w:val="none"/>
              </w:rPr>
              <w:t>为圆满完成任务提供有力的组织保障。</w:t>
            </w:r>
          </w:p>
          <w:p w14:paraId="343C06C9">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hint="eastAsia" w:ascii="宋体" w:hAnsi="宋体" w:eastAsia="宋体"/>
                <w:color w:val="auto"/>
                <w:sz w:val="21"/>
                <w:highlight w:val="none"/>
                <w:u w:val="none"/>
                <w:lang w:eastAsia="zh-CN"/>
              </w:rPr>
            </w:pPr>
            <w:r>
              <w:rPr>
                <w:rFonts w:hint="eastAsia" w:ascii="宋体" w:hAnsi="宋体" w:eastAsia="宋体"/>
                <w:bCs/>
                <w:color w:val="auto"/>
                <w:sz w:val="21"/>
                <w:szCs w:val="21"/>
                <w:highlight w:val="none"/>
                <w:lang w:val="en-US" w:eastAsia="zh-CN"/>
              </w:rPr>
              <w:t>（二）</w:t>
            </w:r>
            <w:r>
              <w:rPr>
                <w:rFonts w:hint="eastAsia" w:ascii="宋体" w:hAnsi="宋体" w:eastAsia="宋体"/>
                <w:color w:val="auto"/>
                <w:sz w:val="21"/>
                <w:highlight w:val="none"/>
                <w:u w:val="none"/>
                <w:lang w:eastAsia="zh-CN"/>
              </w:rPr>
              <w:t>制定实施方案</w:t>
            </w:r>
            <w:r>
              <w:rPr>
                <w:rFonts w:hint="eastAsia" w:ascii="宋体" w:hAnsi="宋体" w:eastAsia="宋体"/>
                <w:bCs/>
                <w:color w:val="auto"/>
                <w:sz w:val="21"/>
                <w:szCs w:val="21"/>
                <w:highlight w:val="none"/>
                <w:lang w:eastAsia="zh-CN"/>
              </w:rPr>
              <w:t>。供应商</w:t>
            </w:r>
            <w:r>
              <w:rPr>
                <w:rFonts w:hint="eastAsia" w:ascii="宋体" w:hAnsi="宋体" w:eastAsia="宋体"/>
                <w:color w:val="auto"/>
                <w:sz w:val="21"/>
                <w:highlight w:val="none"/>
                <w:u w:val="none"/>
              </w:rPr>
              <w:t>及</w:t>
            </w:r>
            <w:r>
              <w:rPr>
                <w:rFonts w:hint="eastAsia" w:ascii="宋体" w:hAnsi="宋体" w:eastAsia="宋体"/>
                <w:bCs/>
                <w:color w:val="auto"/>
                <w:sz w:val="21"/>
                <w:szCs w:val="21"/>
                <w:highlight w:val="none"/>
              </w:rPr>
              <w:t>派出审计组</w:t>
            </w:r>
            <w:r>
              <w:rPr>
                <w:rFonts w:hint="eastAsia" w:ascii="宋体" w:hAnsi="宋体" w:eastAsia="宋体"/>
                <w:bCs/>
                <w:color w:val="auto"/>
                <w:sz w:val="21"/>
                <w:szCs w:val="21"/>
                <w:highlight w:val="none"/>
                <w:lang w:eastAsia="zh-CN"/>
              </w:rPr>
              <w:t>成员</w:t>
            </w:r>
            <w:r>
              <w:rPr>
                <w:rFonts w:hint="eastAsia" w:ascii="宋体" w:hAnsi="宋体" w:eastAsia="宋体"/>
                <w:color w:val="auto"/>
                <w:sz w:val="21"/>
                <w:highlight w:val="none"/>
              </w:rPr>
              <w:t>进驻被审计单位前，</w:t>
            </w:r>
            <w:r>
              <w:rPr>
                <w:rFonts w:hint="eastAsia" w:ascii="宋体" w:hAnsi="宋体" w:eastAsia="宋体" w:cs="宋体"/>
                <w:color w:val="auto"/>
                <w:sz w:val="21"/>
                <w:szCs w:val="21"/>
                <w:highlight w:val="none"/>
              </w:rPr>
              <w:t>应了解被</w:t>
            </w:r>
            <w:r>
              <w:rPr>
                <w:rFonts w:hint="eastAsia" w:ascii="宋体" w:hAnsi="宋体" w:eastAsia="宋体" w:cs="宋体"/>
                <w:color w:val="auto"/>
                <w:sz w:val="21"/>
                <w:szCs w:val="21"/>
                <w:highlight w:val="none"/>
                <w:lang w:eastAsia="zh-CN"/>
              </w:rPr>
              <w:t>审计</w:t>
            </w:r>
            <w:r>
              <w:rPr>
                <w:rFonts w:hint="eastAsia" w:ascii="宋体" w:hAnsi="宋体" w:eastAsia="宋体" w:cs="宋体"/>
                <w:color w:val="auto"/>
                <w:sz w:val="21"/>
                <w:szCs w:val="21"/>
                <w:highlight w:val="none"/>
              </w:rPr>
              <w:t>单位基本情况</w:t>
            </w:r>
            <w:r>
              <w:rPr>
                <w:rFonts w:hint="eastAsia" w:ascii="宋体" w:hAnsi="宋体" w:eastAsia="宋体" w:cs="宋体"/>
                <w:color w:val="auto"/>
                <w:sz w:val="21"/>
                <w:szCs w:val="21"/>
                <w:highlight w:val="none"/>
                <w:lang w:eastAsia="zh-CN"/>
              </w:rPr>
              <w:t>，</w:t>
            </w:r>
            <w:r>
              <w:rPr>
                <w:rFonts w:hint="eastAsia" w:ascii="宋体" w:hAnsi="宋体" w:eastAsia="宋体"/>
                <w:bCs/>
                <w:color w:val="auto"/>
                <w:sz w:val="21"/>
                <w:szCs w:val="21"/>
                <w:highlight w:val="none"/>
              </w:rPr>
              <w:t>针对性地修改和完善</w:t>
            </w:r>
            <w:r>
              <w:rPr>
                <w:rFonts w:hint="eastAsia" w:ascii="宋体" w:hAnsi="宋体" w:eastAsia="宋体"/>
                <w:bCs/>
                <w:color w:val="auto"/>
                <w:sz w:val="21"/>
                <w:szCs w:val="21"/>
                <w:highlight w:val="none"/>
                <w:lang w:eastAsia="zh-CN"/>
              </w:rPr>
              <w:t>审计</w:t>
            </w:r>
            <w:r>
              <w:rPr>
                <w:rFonts w:hint="eastAsia" w:ascii="宋体" w:hAnsi="宋体" w:eastAsia="宋体"/>
                <w:bCs/>
                <w:color w:val="auto"/>
                <w:sz w:val="21"/>
                <w:szCs w:val="21"/>
                <w:highlight w:val="none"/>
              </w:rPr>
              <w:t>服务工作方案，编制全面完整的</w:t>
            </w:r>
            <w:r>
              <w:rPr>
                <w:rFonts w:hint="eastAsia" w:ascii="宋体" w:hAnsi="宋体" w:eastAsia="宋体"/>
                <w:bCs/>
                <w:color w:val="auto"/>
                <w:sz w:val="21"/>
                <w:szCs w:val="21"/>
                <w:highlight w:val="none"/>
                <w:lang w:eastAsia="zh-CN"/>
              </w:rPr>
              <w:t>项目</w:t>
            </w:r>
            <w:r>
              <w:rPr>
                <w:rFonts w:hint="eastAsia" w:ascii="宋体" w:hAnsi="宋体" w:eastAsia="宋体"/>
                <w:bCs/>
                <w:color w:val="auto"/>
                <w:sz w:val="21"/>
                <w:szCs w:val="21"/>
                <w:highlight w:val="none"/>
              </w:rPr>
              <w:t>审计实施方案提交采购人</w:t>
            </w:r>
            <w:r>
              <w:rPr>
                <w:rFonts w:hint="eastAsia" w:ascii="宋体" w:hAnsi="宋体" w:eastAsia="宋体"/>
                <w:color w:val="auto"/>
                <w:sz w:val="21"/>
                <w:highlight w:val="none"/>
                <w:u w:val="none"/>
              </w:rPr>
              <w:t>审核</w:t>
            </w:r>
            <w:r>
              <w:rPr>
                <w:rFonts w:hint="eastAsia" w:ascii="宋体" w:hAnsi="宋体" w:eastAsia="宋体"/>
                <w:color w:val="auto"/>
                <w:sz w:val="21"/>
                <w:highlight w:val="none"/>
                <w:lang w:eastAsia="zh-CN"/>
              </w:rPr>
              <w:t>，</w:t>
            </w:r>
            <w:r>
              <w:rPr>
                <w:rFonts w:hint="eastAsia" w:ascii="宋体" w:hAnsi="宋体" w:eastAsia="宋体"/>
                <w:color w:val="auto"/>
                <w:sz w:val="21"/>
                <w:highlight w:val="none"/>
                <w:u w:val="none"/>
                <w:lang w:eastAsia="zh-CN"/>
              </w:rPr>
              <w:t>按采购人</w:t>
            </w:r>
            <w:r>
              <w:rPr>
                <w:rFonts w:hint="eastAsia" w:ascii="宋体" w:hAnsi="宋体" w:eastAsia="宋体"/>
                <w:color w:val="auto"/>
                <w:sz w:val="21"/>
                <w:highlight w:val="none"/>
                <w:lang w:eastAsia="zh-CN"/>
              </w:rPr>
              <w:t>审定</w:t>
            </w:r>
            <w:r>
              <w:rPr>
                <w:rFonts w:hint="eastAsia" w:ascii="宋体" w:hAnsi="宋体" w:eastAsia="宋体"/>
                <w:color w:val="auto"/>
                <w:sz w:val="21"/>
                <w:highlight w:val="none"/>
                <w:u w:val="none"/>
                <w:lang w:eastAsia="zh-CN"/>
              </w:rPr>
              <w:t>的方案实施。项目审计实施方案的</w:t>
            </w:r>
            <w:r>
              <w:rPr>
                <w:rFonts w:hint="eastAsia" w:ascii="宋体" w:hAnsi="宋体" w:eastAsia="宋体"/>
                <w:color w:val="auto"/>
                <w:sz w:val="21"/>
                <w:highlight w:val="none"/>
                <w:lang w:eastAsia="zh-CN"/>
              </w:rPr>
              <w:t>主要</w:t>
            </w:r>
            <w:r>
              <w:rPr>
                <w:rFonts w:hint="eastAsia" w:ascii="宋体" w:hAnsi="宋体" w:eastAsia="宋体"/>
                <w:color w:val="auto"/>
                <w:sz w:val="21"/>
                <w:highlight w:val="none"/>
                <w:u w:val="none"/>
                <w:lang w:eastAsia="zh-CN"/>
              </w:rPr>
              <w:t>内容应</w:t>
            </w:r>
            <w:r>
              <w:rPr>
                <w:rFonts w:hint="eastAsia" w:ascii="宋体" w:hAnsi="宋体" w:eastAsia="宋体"/>
                <w:color w:val="auto"/>
                <w:sz w:val="21"/>
                <w:highlight w:val="none"/>
                <w:lang w:eastAsia="zh-CN"/>
              </w:rPr>
              <w:t>包括</w:t>
            </w:r>
            <w:r>
              <w:rPr>
                <w:rFonts w:hint="eastAsia" w:ascii="宋体" w:hAnsi="宋体" w:eastAsia="宋体"/>
                <w:color w:val="auto"/>
                <w:sz w:val="21"/>
                <w:highlight w:val="none"/>
                <w:u w:val="none"/>
                <w:lang w:eastAsia="zh-CN"/>
              </w:rPr>
              <w:t>以下内容</w:t>
            </w:r>
            <w:r>
              <w:rPr>
                <w:rFonts w:hint="eastAsia" w:ascii="宋体" w:hAnsi="宋体" w:eastAsia="宋体"/>
                <w:color w:val="auto"/>
                <w:sz w:val="21"/>
                <w:highlight w:val="none"/>
                <w:lang w:eastAsia="zh-CN"/>
              </w:rPr>
              <w:t>：编制依据、</w:t>
            </w:r>
            <w:r>
              <w:rPr>
                <w:rFonts w:hint="eastAsia" w:ascii="宋体" w:hAnsi="宋体" w:eastAsia="宋体"/>
                <w:color w:val="auto"/>
                <w:sz w:val="21"/>
                <w:highlight w:val="none"/>
                <w:u w:val="none"/>
                <w:lang w:eastAsia="zh-CN"/>
              </w:rPr>
              <w:t>审计范围、</w:t>
            </w:r>
            <w:r>
              <w:rPr>
                <w:rFonts w:hint="eastAsia" w:ascii="宋体" w:hAnsi="宋体" w:eastAsia="宋体"/>
                <w:color w:val="auto"/>
                <w:sz w:val="21"/>
                <w:highlight w:val="none"/>
                <w:lang w:eastAsia="zh-CN"/>
              </w:rPr>
              <w:t>审计目标、</w:t>
            </w:r>
            <w:r>
              <w:rPr>
                <w:rFonts w:hint="eastAsia" w:ascii="宋体" w:hAnsi="宋体" w:eastAsia="宋体"/>
                <w:color w:val="auto"/>
                <w:sz w:val="21"/>
                <w:highlight w:val="none"/>
                <w:u w:val="none"/>
                <w:lang w:eastAsia="zh-CN"/>
              </w:rPr>
              <w:t>项目基本情况、</w:t>
            </w:r>
            <w:r>
              <w:rPr>
                <w:rFonts w:hint="eastAsia" w:ascii="宋体" w:hAnsi="宋体" w:eastAsia="宋体"/>
                <w:color w:val="auto"/>
                <w:sz w:val="21"/>
                <w:highlight w:val="none"/>
                <w:lang w:eastAsia="zh-CN"/>
              </w:rPr>
              <w:t>重要性分析和审计风险评估、审计内容及审计</w:t>
            </w:r>
            <w:r>
              <w:rPr>
                <w:rFonts w:hint="eastAsia" w:ascii="宋体" w:hAnsi="宋体" w:eastAsia="宋体"/>
                <w:color w:val="auto"/>
                <w:sz w:val="21"/>
                <w:highlight w:val="none"/>
                <w:u w:val="none"/>
                <w:lang w:eastAsia="zh-CN"/>
              </w:rPr>
              <w:t>步骤和</w:t>
            </w:r>
            <w:r>
              <w:rPr>
                <w:rFonts w:hint="eastAsia" w:ascii="宋体" w:hAnsi="宋体" w:eastAsia="宋体"/>
                <w:color w:val="auto"/>
                <w:sz w:val="21"/>
                <w:highlight w:val="none"/>
                <w:lang w:eastAsia="zh-CN"/>
              </w:rPr>
              <w:t>方法、预定审计工作起止时间、审计组成员及分工</w:t>
            </w:r>
            <w:r>
              <w:rPr>
                <w:rFonts w:hint="eastAsia" w:ascii="宋体" w:hAnsi="宋体" w:eastAsia="宋体"/>
                <w:color w:val="auto"/>
                <w:sz w:val="21"/>
                <w:highlight w:val="none"/>
                <w:u w:val="none"/>
                <w:lang w:eastAsia="zh-CN"/>
              </w:rPr>
              <w:t>等。其中，</w:t>
            </w:r>
            <w:r>
              <w:rPr>
                <w:rFonts w:hint="eastAsia" w:ascii="宋体" w:hAnsi="宋体" w:eastAsia="宋体" w:cs="宋体"/>
                <w:color w:val="auto"/>
                <w:sz w:val="21"/>
                <w:szCs w:val="21"/>
                <w:highlight w:val="none"/>
              </w:rPr>
              <w:t>供应商需按照重要性原则，确定报表的整体重要性水平为总收入或总支出的1%～2%，对单笔金额超过重要性水平10%的大额凭证100%检查，其余凭证按30%～40%比例抽查。</w:t>
            </w:r>
          </w:p>
          <w:p w14:paraId="293DF9A1">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bCs/>
                <w:color w:val="auto"/>
                <w:sz w:val="21"/>
                <w:szCs w:val="21"/>
                <w:highlight w:val="none"/>
              </w:rPr>
            </w:pPr>
            <w:r>
              <w:rPr>
                <w:rFonts w:hint="eastAsia" w:ascii="宋体" w:hAnsi="宋体" w:eastAsia="宋体"/>
                <w:bCs/>
                <w:color w:val="auto"/>
                <w:sz w:val="21"/>
                <w:szCs w:val="21"/>
                <w:highlight w:val="none"/>
                <w:lang w:val="en-US" w:eastAsia="zh-CN"/>
              </w:rPr>
              <w:t>（三）</w:t>
            </w:r>
            <w:r>
              <w:rPr>
                <w:rFonts w:hint="eastAsia" w:ascii="宋体" w:hAnsi="宋体" w:eastAsia="宋体"/>
                <w:color w:val="auto"/>
                <w:sz w:val="21"/>
                <w:highlight w:val="none"/>
                <w:u w:val="none"/>
              </w:rPr>
              <w:t>健全工作机制</w:t>
            </w:r>
            <w:r>
              <w:rPr>
                <w:rFonts w:hint="eastAsia" w:ascii="宋体" w:hAnsi="宋体" w:eastAsia="宋体"/>
                <w:bCs/>
                <w:color w:val="auto"/>
                <w:sz w:val="21"/>
                <w:szCs w:val="21"/>
                <w:highlight w:val="none"/>
              </w:rPr>
              <w:t>。</w:t>
            </w:r>
            <w:r>
              <w:rPr>
                <w:rFonts w:hint="eastAsia" w:ascii="宋体" w:hAnsi="宋体" w:eastAsia="宋体"/>
                <w:color w:val="auto"/>
                <w:sz w:val="21"/>
                <w:highlight w:val="none"/>
              </w:rPr>
              <w:t>为确保高质</w:t>
            </w:r>
            <w:r>
              <w:rPr>
                <w:rFonts w:hint="eastAsia" w:ascii="宋体" w:hAnsi="宋体" w:eastAsia="宋体"/>
                <w:color w:val="auto"/>
                <w:sz w:val="21"/>
                <w:highlight w:val="none"/>
                <w:u w:val="none"/>
              </w:rPr>
              <w:t>量</w:t>
            </w:r>
            <w:r>
              <w:rPr>
                <w:rFonts w:hint="eastAsia" w:ascii="宋体" w:hAnsi="宋体" w:eastAsia="宋体"/>
                <w:bCs/>
                <w:color w:val="auto"/>
                <w:sz w:val="21"/>
                <w:szCs w:val="21"/>
                <w:highlight w:val="none"/>
              </w:rPr>
              <w:t>完成任务，</w:t>
            </w:r>
            <w:r>
              <w:rPr>
                <w:rFonts w:hint="eastAsia" w:ascii="宋体" w:hAnsi="宋体" w:eastAsia="宋体"/>
                <w:bCs/>
                <w:color w:val="auto"/>
                <w:sz w:val="21"/>
                <w:szCs w:val="21"/>
                <w:highlight w:val="none"/>
                <w:lang w:eastAsia="zh-CN"/>
              </w:rPr>
              <w:t>供应商要建立审计项目沟通等工作机制，定期向采购人报告审计进展情况；审计组</w:t>
            </w:r>
            <w:r>
              <w:rPr>
                <w:rFonts w:hint="eastAsia" w:ascii="宋体" w:hAnsi="宋体" w:eastAsia="宋体"/>
                <w:color w:val="auto"/>
                <w:sz w:val="21"/>
                <w:highlight w:val="none"/>
              </w:rPr>
              <w:t>成员之间要加强沟通与协作，充分利用科技手段，提高工作效率；</w:t>
            </w:r>
            <w:r>
              <w:rPr>
                <w:rFonts w:hint="eastAsia" w:ascii="宋体" w:hAnsi="宋体" w:eastAsia="宋体"/>
                <w:color w:val="auto"/>
                <w:sz w:val="21"/>
                <w:highlight w:val="none"/>
                <w:u w:val="none"/>
              </w:rPr>
              <w:t>审计组</w:t>
            </w:r>
            <w:r>
              <w:rPr>
                <w:rFonts w:hint="eastAsia" w:ascii="宋体" w:hAnsi="宋体" w:eastAsia="宋体"/>
                <w:bCs/>
                <w:color w:val="auto"/>
                <w:sz w:val="21"/>
                <w:szCs w:val="21"/>
                <w:highlight w:val="none"/>
              </w:rPr>
              <w:t>要认真做好取证、工作底稿等基础性工作，做到事实清楚，证据充分，依据有力，定性准确；</w:t>
            </w:r>
            <w:r>
              <w:rPr>
                <w:rFonts w:hint="eastAsia" w:ascii="宋体" w:hAnsi="宋体" w:eastAsia="宋体"/>
                <w:color w:val="auto"/>
                <w:sz w:val="21"/>
                <w:highlight w:val="none"/>
                <w:lang w:eastAsia="zh-CN"/>
              </w:rPr>
              <w:t>对编制的审计工作底稿、草拟的审计报告，一般要履行“主审—审计组组长（</w:t>
            </w:r>
            <w:r>
              <w:rPr>
                <w:rFonts w:hint="eastAsia" w:ascii="宋体" w:hAnsi="宋体" w:eastAsia="宋体"/>
                <w:color w:val="auto"/>
                <w:sz w:val="21"/>
                <w:highlight w:val="none"/>
                <w:u w:val="none"/>
                <w:lang w:eastAsia="zh-CN"/>
              </w:rPr>
              <w:t>或副组长</w:t>
            </w:r>
            <w:r>
              <w:rPr>
                <w:rFonts w:hint="eastAsia" w:ascii="宋体" w:hAnsi="宋体" w:eastAsia="宋体"/>
                <w:bCs/>
                <w:color w:val="auto"/>
                <w:sz w:val="21"/>
                <w:szCs w:val="21"/>
                <w:highlight w:val="none"/>
                <w:lang w:eastAsia="zh-CN"/>
              </w:rPr>
              <w:t>）—采购人</w:t>
            </w:r>
            <w:r>
              <w:rPr>
                <w:rFonts w:hint="eastAsia" w:ascii="宋体" w:hAnsi="宋体"/>
                <w:bCs/>
                <w:color w:val="auto"/>
                <w:sz w:val="21"/>
                <w:szCs w:val="21"/>
                <w:highlight w:val="none"/>
                <w:lang w:eastAsia="zh-CN"/>
              </w:rPr>
              <w:t>财审</w:t>
            </w:r>
            <w:r>
              <w:rPr>
                <w:rFonts w:hint="eastAsia" w:ascii="宋体" w:hAnsi="宋体" w:eastAsia="宋体"/>
                <w:bCs/>
                <w:color w:val="auto"/>
                <w:sz w:val="21"/>
                <w:szCs w:val="21"/>
                <w:highlight w:val="none"/>
                <w:lang w:eastAsia="zh-CN"/>
              </w:rPr>
              <w:t>机构负责人”的审计复核程序，保证审计工作质量。</w:t>
            </w:r>
          </w:p>
          <w:p w14:paraId="78253F6D">
            <w:pPr>
              <w:keepNext w:val="0"/>
              <w:keepLines w:val="0"/>
              <w:pageBreakBefore w:val="0"/>
              <w:widowControl w:val="0"/>
              <w:kinsoku/>
              <w:overflowPunct/>
              <w:topLinePunct w:val="0"/>
              <w:autoSpaceDE/>
              <w:autoSpaceDN/>
              <w:bidi w:val="0"/>
              <w:adjustRightInd/>
              <w:snapToGrid/>
              <w:spacing w:line="360" w:lineRule="exact"/>
              <w:ind w:firstLine="420" w:firstLineChars="200"/>
              <w:textAlignment w:val="auto"/>
              <w:rPr>
                <w:rFonts w:hint="eastAsia"/>
                <w:color w:val="auto"/>
                <w:highlight w:val="none"/>
              </w:rPr>
            </w:pPr>
            <w:r>
              <w:rPr>
                <w:rFonts w:hint="eastAsia" w:ascii="宋体" w:hAnsi="宋体" w:eastAsia="宋体"/>
                <w:bCs/>
                <w:color w:val="auto"/>
                <w:sz w:val="21"/>
                <w:szCs w:val="21"/>
                <w:highlight w:val="none"/>
                <w:lang w:eastAsia="zh-CN"/>
              </w:rPr>
              <w:t>（四）加强沟通协调。</w:t>
            </w:r>
            <w:r>
              <w:rPr>
                <w:rFonts w:hint="eastAsia" w:ascii="宋体" w:hAnsi="宋体" w:eastAsia="宋体"/>
                <w:bCs/>
                <w:color w:val="auto"/>
                <w:sz w:val="21"/>
                <w:szCs w:val="21"/>
                <w:highlight w:val="none"/>
              </w:rPr>
              <w:t>审计过程中，</w:t>
            </w:r>
            <w:r>
              <w:rPr>
                <w:rFonts w:hint="eastAsia" w:ascii="宋体" w:hAnsi="宋体" w:eastAsia="宋体"/>
                <w:bCs/>
                <w:color w:val="auto"/>
                <w:sz w:val="21"/>
                <w:szCs w:val="21"/>
                <w:highlight w:val="none"/>
                <w:lang w:eastAsia="zh-CN"/>
              </w:rPr>
              <w:t>现场审计组</w:t>
            </w:r>
            <w:r>
              <w:rPr>
                <w:rFonts w:hint="eastAsia" w:ascii="宋体" w:hAnsi="宋体" w:eastAsia="宋体"/>
                <w:bCs/>
                <w:color w:val="auto"/>
                <w:sz w:val="21"/>
                <w:szCs w:val="21"/>
                <w:highlight w:val="none"/>
              </w:rPr>
              <w:t>要密切与采购人</w:t>
            </w:r>
            <w:r>
              <w:rPr>
                <w:rFonts w:hint="eastAsia" w:ascii="宋体" w:hAnsi="宋体" w:eastAsia="宋体"/>
                <w:bCs/>
                <w:color w:val="auto"/>
                <w:sz w:val="21"/>
                <w:szCs w:val="21"/>
                <w:highlight w:val="none"/>
                <w:lang w:eastAsia="zh-CN"/>
              </w:rPr>
              <w:t>内部审计机构</w:t>
            </w:r>
            <w:r>
              <w:rPr>
                <w:rFonts w:hint="eastAsia" w:ascii="宋体" w:hAnsi="宋体" w:eastAsia="宋体"/>
                <w:bCs/>
                <w:color w:val="auto"/>
                <w:sz w:val="21"/>
                <w:szCs w:val="21"/>
                <w:highlight w:val="none"/>
              </w:rPr>
              <w:t>的沟通和协调，及时反映</w:t>
            </w:r>
            <w:r>
              <w:rPr>
                <w:rFonts w:hint="eastAsia" w:ascii="宋体" w:hAnsi="宋体" w:eastAsia="宋体"/>
                <w:bCs/>
                <w:color w:val="auto"/>
                <w:sz w:val="21"/>
                <w:szCs w:val="21"/>
                <w:highlight w:val="none"/>
                <w:lang w:eastAsia="zh-CN"/>
              </w:rPr>
              <w:t>审计</w:t>
            </w:r>
            <w:r>
              <w:rPr>
                <w:rFonts w:hint="eastAsia" w:ascii="宋体" w:hAnsi="宋体" w:eastAsia="宋体"/>
                <w:bCs/>
                <w:color w:val="auto"/>
                <w:sz w:val="21"/>
                <w:szCs w:val="21"/>
                <w:highlight w:val="none"/>
              </w:rPr>
              <w:t>中的重要信息和成果，如实披露</w:t>
            </w:r>
            <w:r>
              <w:rPr>
                <w:rFonts w:hint="eastAsia" w:ascii="宋体" w:hAnsi="宋体" w:eastAsia="宋体"/>
                <w:bCs/>
                <w:color w:val="auto"/>
                <w:sz w:val="21"/>
                <w:szCs w:val="21"/>
                <w:highlight w:val="none"/>
                <w:lang w:eastAsia="zh-CN"/>
              </w:rPr>
              <w:t>审计</w:t>
            </w:r>
            <w:r>
              <w:rPr>
                <w:rFonts w:hint="eastAsia" w:ascii="宋体" w:hAnsi="宋体" w:eastAsia="宋体"/>
                <w:bCs/>
                <w:color w:val="auto"/>
                <w:sz w:val="21"/>
                <w:szCs w:val="21"/>
                <w:highlight w:val="none"/>
              </w:rPr>
              <w:t>发现的问题。</w:t>
            </w:r>
            <w:r>
              <w:rPr>
                <w:rFonts w:hint="eastAsia" w:ascii="宋体" w:hAnsi="宋体" w:eastAsia="宋体"/>
                <w:bCs/>
                <w:color w:val="auto"/>
                <w:sz w:val="21"/>
                <w:szCs w:val="21"/>
                <w:highlight w:val="none"/>
                <w:lang w:eastAsia="zh-CN"/>
              </w:rPr>
              <w:t>审计实施过程中如有重大违法违规等意外发现，审计组应及时汇报，在履行相关审批程序后再深入核实。</w:t>
            </w:r>
          </w:p>
          <w:p w14:paraId="20A40005">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（五）</w:t>
            </w:r>
            <w:r>
              <w:rPr>
                <w:rFonts w:hint="eastAsia" w:ascii="宋体" w:hAnsi="宋体" w:eastAsia="宋体" w:cs="宋体"/>
                <w:color w:val="auto"/>
                <w:szCs w:val="21"/>
                <w:highlight w:val="none"/>
              </w:rPr>
              <w:t>供应商拟投入的审计工作组成员不少于</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人，</w:t>
            </w:r>
            <w:r>
              <w:rPr>
                <w:rFonts w:hint="eastAsia" w:ascii="宋体" w:hAnsi="宋体" w:cs="宋体"/>
                <w:color w:val="auto"/>
                <w:szCs w:val="21"/>
                <w:highlight w:val="none"/>
              </w:rPr>
              <w:t>至少配备项目负责人1名（项目负责人须具备中国注册会计师执业资格证，从事审计工作年限</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年以上，并有担任同类审计项目负责人经历），1名注册造价工程师（须具备工程类中级或以上职称）</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其余</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名审计人员须具备初级会计师、</w:t>
            </w:r>
            <w:r>
              <w:rPr>
                <w:rFonts w:hint="eastAsia" w:ascii="宋体" w:hAnsi="宋体" w:eastAsia="宋体" w:cs="宋体"/>
                <w:color w:val="auto"/>
                <w:szCs w:val="21"/>
                <w:highlight w:val="none"/>
                <w:lang w:eastAsia="zh-CN"/>
              </w:rPr>
              <w:t>初级</w:t>
            </w:r>
            <w:r>
              <w:rPr>
                <w:rFonts w:hint="eastAsia" w:ascii="宋体" w:hAnsi="宋体" w:eastAsia="宋体" w:cs="宋体"/>
                <w:color w:val="auto"/>
                <w:szCs w:val="21"/>
                <w:highlight w:val="none"/>
              </w:rPr>
              <w:t>审计师</w:t>
            </w:r>
            <w:r>
              <w:rPr>
                <w:rFonts w:hint="eastAsia" w:ascii="宋体" w:hAnsi="宋体" w:eastAsia="宋体" w:cs="宋体"/>
                <w:color w:val="auto"/>
                <w:szCs w:val="21"/>
                <w:highlight w:val="none"/>
                <w:lang w:eastAsia="zh-CN"/>
              </w:rPr>
              <w:t>、初级</w:t>
            </w:r>
            <w:r>
              <w:rPr>
                <w:rFonts w:hint="eastAsia" w:ascii="宋体" w:hAnsi="宋体" w:eastAsia="宋体" w:cs="宋体"/>
                <w:color w:val="auto"/>
                <w:szCs w:val="21"/>
                <w:highlight w:val="none"/>
              </w:rPr>
              <w:t>经济师中</w:t>
            </w:r>
            <w:r>
              <w:rPr>
                <w:rFonts w:hint="eastAsia" w:ascii="宋体" w:hAnsi="宋体" w:eastAsia="宋体" w:cs="宋体"/>
                <w:color w:val="auto"/>
                <w:szCs w:val="21"/>
                <w:highlight w:val="none"/>
                <w:lang w:eastAsia="zh-CN"/>
              </w:rPr>
              <w:t>的</w:t>
            </w:r>
            <w:r>
              <w:rPr>
                <w:rFonts w:hint="eastAsia" w:ascii="宋体" w:hAnsi="宋体" w:eastAsia="宋体" w:cs="宋体"/>
                <w:color w:val="auto"/>
                <w:szCs w:val="21"/>
                <w:highlight w:val="none"/>
              </w:rPr>
              <w:t>一种</w:t>
            </w:r>
            <w:r>
              <w:rPr>
                <w:rFonts w:hint="eastAsia" w:ascii="宋体" w:hAnsi="宋体" w:eastAsia="宋体" w:cs="宋体"/>
                <w:color w:val="auto"/>
                <w:szCs w:val="21"/>
                <w:highlight w:val="none"/>
                <w:lang w:eastAsia="zh-CN"/>
              </w:rPr>
              <w:t>或以上</w:t>
            </w:r>
            <w:r>
              <w:rPr>
                <w:rFonts w:hint="eastAsia" w:ascii="宋体" w:hAnsi="宋体" w:eastAsia="宋体" w:cs="宋体"/>
                <w:color w:val="auto"/>
                <w:szCs w:val="21"/>
                <w:highlight w:val="none"/>
              </w:rPr>
              <w:t>职称。</w:t>
            </w:r>
          </w:p>
          <w:p w14:paraId="1A03D1E8">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（六）供应商</w:t>
            </w:r>
            <w:r>
              <w:rPr>
                <w:rFonts w:hint="eastAsia" w:ascii="宋体" w:hAnsi="宋体" w:eastAsia="宋体" w:cs="宋体"/>
                <w:color w:val="auto"/>
                <w:szCs w:val="21"/>
                <w:highlight w:val="none"/>
              </w:rPr>
              <w:t>开展工作现场</w:t>
            </w:r>
            <w:r>
              <w:rPr>
                <w:rFonts w:hint="eastAsia" w:ascii="宋体" w:hAnsi="宋体" w:eastAsia="宋体" w:cs="宋体"/>
                <w:color w:val="auto"/>
                <w:szCs w:val="21"/>
                <w:highlight w:val="none"/>
                <w:lang w:eastAsia="zh-CN"/>
              </w:rPr>
              <w:t>审计</w:t>
            </w:r>
            <w:r>
              <w:rPr>
                <w:rFonts w:hint="eastAsia" w:ascii="宋体" w:hAnsi="宋体" w:eastAsia="宋体" w:cs="宋体"/>
                <w:color w:val="auto"/>
                <w:szCs w:val="21"/>
                <w:highlight w:val="none"/>
              </w:rPr>
              <w:t>时间不得少于</w:t>
            </w: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lang w:val="en-US" w:eastAsia="zh-CN"/>
              </w:rPr>
              <w:t>0</w:t>
            </w:r>
            <w:r>
              <w:rPr>
                <w:rFonts w:hint="eastAsia" w:ascii="宋体" w:hAnsi="宋体" w:cs="宋体"/>
                <w:color w:val="auto"/>
                <w:szCs w:val="21"/>
                <w:highlight w:val="none"/>
                <w:lang w:val="en-US" w:eastAsia="zh-CN"/>
              </w:rPr>
              <w:t>个工作日</w:t>
            </w:r>
            <w:r>
              <w:rPr>
                <w:rFonts w:hint="eastAsia" w:ascii="宋体" w:hAnsi="宋体" w:eastAsia="宋体" w:cs="宋体"/>
                <w:color w:val="auto"/>
                <w:szCs w:val="21"/>
                <w:highlight w:val="none"/>
              </w:rPr>
              <w:t>，现场</w:t>
            </w:r>
            <w:r>
              <w:rPr>
                <w:rFonts w:hint="eastAsia" w:ascii="宋体" w:hAnsi="宋体" w:eastAsia="宋体" w:cs="宋体"/>
                <w:color w:val="auto"/>
                <w:szCs w:val="21"/>
                <w:highlight w:val="none"/>
                <w:lang w:eastAsia="zh-CN"/>
              </w:rPr>
              <w:t>审计</w:t>
            </w:r>
            <w:r>
              <w:rPr>
                <w:rFonts w:hint="eastAsia" w:ascii="宋体" w:hAnsi="宋体" w:eastAsia="宋体" w:cs="宋体"/>
                <w:color w:val="auto"/>
                <w:szCs w:val="21"/>
                <w:highlight w:val="none"/>
              </w:rPr>
              <w:t>结束20天内须出具审计报告初稿，2026年9月30日前出具</w:t>
            </w:r>
            <w:r>
              <w:rPr>
                <w:rFonts w:hint="eastAsia" w:ascii="宋体" w:hAnsi="宋体" w:eastAsia="宋体" w:cs="宋体"/>
                <w:color w:val="auto"/>
                <w:szCs w:val="21"/>
                <w:highlight w:val="none"/>
                <w:lang w:eastAsia="zh-CN"/>
              </w:rPr>
              <w:t>正式</w:t>
            </w:r>
            <w:r>
              <w:rPr>
                <w:rFonts w:hint="eastAsia" w:ascii="宋体" w:hAnsi="宋体" w:eastAsia="宋体" w:cs="宋体"/>
                <w:color w:val="auto"/>
                <w:szCs w:val="21"/>
                <w:highlight w:val="none"/>
              </w:rPr>
              <w:t>审计报告，包括纸质报告（一式八份）、彩色扫描PDF版和Word版，并交付所有</w:t>
            </w:r>
            <w:r>
              <w:rPr>
                <w:rFonts w:hint="eastAsia" w:ascii="宋体" w:hAnsi="宋体" w:cs="宋体"/>
                <w:color w:val="auto"/>
                <w:szCs w:val="21"/>
                <w:highlight w:val="none"/>
                <w:lang w:eastAsia="zh-CN"/>
              </w:rPr>
              <w:t>审计</w:t>
            </w:r>
            <w:r>
              <w:rPr>
                <w:rFonts w:hint="eastAsia" w:ascii="宋体" w:hAnsi="宋体" w:eastAsia="宋体" w:cs="宋体"/>
                <w:color w:val="auto"/>
                <w:szCs w:val="21"/>
                <w:highlight w:val="none"/>
              </w:rPr>
              <w:t>工作底稿。本项目的审计文书资料需按照采购人要求装订成档保存于采购单位。</w:t>
            </w:r>
          </w:p>
          <w:p w14:paraId="06A7C48C">
            <w:pPr>
              <w:keepNext w:val="0"/>
              <w:keepLines w:val="0"/>
              <w:pageBreakBefore w:val="0"/>
              <w:widowControl w:val="0"/>
              <w:kinsoku/>
              <w:wordWrap w:val="0"/>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（七）</w:t>
            </w:r>
            <w:r>
              <w:rPr>
                <w:rFonts w:hint="eastAsia" w:ascii="宋体" w:hAnsi="宋体" w:eastAsia="宋体" w:cs="宋体"/>
                <w:color w:val="auto"/>
                <w:szCs w:val="21"/>
                <w:highlight w:val="none"/>
              </w:rPr>
              <w:t>供应商不得将该项目转交第三方完成。</w:t>
            </w:r>
          </w:p>
          <w:p w14:paraId="0F122075">
            <w:pPr>
              <w:keepNext w:val="0"/>
              <w:keepLines w:val="0"/>
              <w:pageBreakBefore w:val="0"/>
              <w:widowControl w:val="0"/>
              <w:kinsoku/>
              <w:wordWrap w:val="0"/>
              <w:overflowPunct/>
              <w:topLinePunct w:val="0"/>
              <w:autoSpaceDE/>
              <w:autoSpaceDN/>
              <w:bidi w:val="0"/>
              <w:adjustRightInd/>
              <w:snapToGrid/>
              <w:spacing w:line="360" w:lineRule="exact"/>
              <w:ind w:firstLine="422" w:firstLineChars="200"/>
              <w:textAlignment w:val="auto"/>
              <w:rPr>
                <w:rFonts w:hint="eastAsia" w:ascii="宋体" w:hAnsi="宋体" w:eastAsia="宋体" w:cs="宋体"/>
                <w:color w:val="auto"/>
                <w:szCs w:val="21"/>
                <w:highlight w:val="none"/>
              </w:rPr>
            </w:pPr>
            <w:r>
              <w:rPr>
                <w:rFonts w:hint="eastAsia" w:ascii="宋体" w:hAnsi="宋体" w:eastAsia="宋体" w:cs="宋体"/>
                <w:b/>
                <w:bCs w:val="0"/>
                <w:color w:val="auto"/>
                <w:szCs w:val="21"/>
                <w:highlight w:val="none"/>
                <w:lang w:val="zh-CN"/>
              </w:rPr>
              <w:t>注：供应商拟投入的工作组成员必须是在职工作人员，且须在投标文件中提供拟投入的工作组成员的专业技能或资格证书、职称证书、项目负责人工作年限证明（以劳动合同为准）、</w:t>
            </w:r>
            <w:r>
              <w:rPr>
                <w:rFonts w:hint="eastAsia" w:ascii="宋体" w:hAnsi="宋体" w:eastAsia="宋体" w:cs="宋体"/>
                <w:b/>
                <w:bCs w:val="0"/>
                <w:color w:val="auto"/>
                <w:szCs w:val="21"/>
                <w:highlight w:val="none"/>
                <w:lang w:val="en-US" w:eastAsia="zh-CN"/>
              </w:rPr>
              <w:t>供应商为拟投入人员缴纳的2025年</w:t>
            </w:r>
            <w:r>
              <w:rPr>
                <w:rFonts w:hint="eastAsia" w:ascii="宋体" w:hAnsi="宋体" w:cs="宋体"/>
                <w:b/>
                <w:bCs w:val="0"/>
                <w:color w:val="auto"/>
                <w:szCs w:val="21"/>
                <w:highlight w:val="none"/>
                <w:lang w:val="en-US" w:eastAsia="zh-CN"/>
              </w:rPr>
              <w:t>11</w:t>
            </w:r>
            <w:r>
              <w:rPr>
                <w:rFonts w:hint="eastAsia" w:ascii="宋体" w:hAnsi="宋体" w:eastAsia="宋体" w:cs="宋体"/>
                <w:b/>
                <w:bCs w:val="0"/>
                <w:color w:val="auto"/>
                <w:szCs w:val="21"/>
                <w:highlight w:val="none"/>
                <w:lang w:val="en-US" w:eastAsia="zh-CN"/>
              </w:rPr>
              <w:t>月-2026年</w:t>
            </w:r>
            <w:r>
              <w:rPr>
                <w:rFonts w:hint="eastAsia" w:ascii="宋体" w:hAnsi="宋体" w:cs="宋体"/>
                <w:b/>
                <w:bCs w:val="0"/>
                <w:color w:val="auto"/>
                <w:szCs w:val="21"/>
                <w:highlight w:val="none"/>
                <w:lang w:val="en-US" w:eastAsia="zh-CN"/>
              </w:rPr>
              <w:t>4</w:t>
            </w:r>
            <w:r>
              <w:rPr>
                <w:rFonts w:hint="eastAsia" w:ascii="宋体" w:hAnsi="宋体" w:eastAsia="宋体" w:cs="宋体"/>
                <w:b/>
                <w:bCs w:val="0"/>
                <w:color w:val="auto"/>
                <w:szCs w:val="21"/>
                <w:highlight w:val="none"/>
                <w:lang w:val="en-US" w:eastAsia="zh-CN"/>
              </w:rPr>
              <w:t>月任意连续 3 个月的社保缴费证明或《投保单》或单位代缴个人所得税税单等复印件（加盖公章）或提供供应商与拟投入本项目团队成员签订的劳务合同复印件（法定代表人除外</w:t>
            </w:r>
            <w:r>
              <w:rPr>
                <w:rFonts w:hint="eastAsia" w:ascii="宋体" w:hAnsi="宋体" w:cs="宋体"/>
                <w:b/>
                <w:bCs w:val="0"/>
                <w:color w:val="auto"/>
                <w:szCs w:val="21"/>
                <w:highlight w:val="none"/>
                <w:lang w:val="en-US" w:eastAsia="zh-CN"/>
              </w:rPr>
              <w:t>）</w:t>
            </w:r>
            <w:r>
              <w:rPr>
                <w:rFonts w:hint="eastAsia" w:ascii="宋体" w:hAnsi="宋体" w:eastAsia="宋体" w:cs="宋体"/>
                <w:b/>
                <w:bCs w:val="0"/>
                <w:color w:val="auto"/>
                <w:szCs w:val="21"/>
                <w:highlight w:val="none"/>
                <w:lang w:val="zh-CN"/>
              </w:rPr>
              <w:t>。</w:t>
            </w:r>
          </w:p>
        </w:tc>
      </w:tr>
      <w:tr w14:paraId="51D808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940" w:type="dxa"/>
            <w:gridSpan w:val="5"/>
            <w:tcBorders>
              <w:top w:val="single" w:color="auto" w:sz="4" w:space="0"/>
              <w:left w:val="single" w:color="auto" w:sz="4" w:space="0"/>
              <w:bottom w:val="single" w:color="auto" w:sz="4" w:space="0"/>
              <w:right w:val="single" w:color="auto" w:sz="4" w:space="0"/>
            </w:tcBorders>
            <w:noWrap w:val="0"/>
            <w:vAlign w:val="center"/>
          </w:tcPr>
          <w:p w14:paraId="2C723732">
            <w:pPr>
              <w:wordWrap w:val="0"/>
              <w:spacing w:line="312" w:lineRule="auto"/>
              <w:rPr>
                <w:rFonts w:hint="eastAsia" w:ascii="宋体" w:hAnsi="宋体" w:eastAsia="宋体" w:cs="宋体"/>
                <w:color w:val="auto"/>
                <w:szCs w:val="21"/>
                <w:highlight w:val="none"/>
                <w:lang w:eastAsia="zh-CN"/>
              </w:rPr>
            </w:pPr>
            <w:r>
              <w:rPr>
                <w:rFonts w:hint="eastAsia" w:ascii="宋体" w:hAnsi="宋体" w:eastAsia="宋体" w:cs="宋体"/>
                <w:b/>
                <w:color w:val="auto"/>
                <w:sz w:val="21"/>
                <w:szCs w:val="21"/>
                <w:highlight w:val="none"/>
                <w:lang w:eastAsia="zh-CN"/>
              </w:rPr>
              <w:t>二、</w:t>
            </w:r>
            <w:r>
              <w:rPr>
                <w:rFonts w:hint="eastAsia" w:ascii="宋体" w:hAnsi="宋体" w:cs="宋体"/>
                <w:color w:val="auto"/>
                <w:szCs w:val="21"/>
                <w:highlight w:val="none"/>
              </w:rPr>
              <w:t>▲</w:t>
            </w:r>
            <w:r>
              <w:rPr>
                <w:rFonts w:hint="eastAsia" w:ascii="宋体" w:hAnsi="宋体" w:eastAsia="宋体" w:cs="宋体"/>
                <w:b/>
                <w:color w:val="auto"/>
                <w:sz w:val="21"/>
                <w:szCs w:val="21"/>
                <w:highlight w:val="none"/>
                <w:lang w:eastAsia="zh-CN"/>
              </w:rPr>
              <w:t>商务要求</w:t>
            </w:r>
          </w:p>
        </w:tc>
      </w:tr>
      <w:tr w14:paraId="283036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888" w:type="dxa"/>
            <w:gridSpan w:val="2"/>
            <w:tcBorders>
              <w:top w:val="single" w:color="auto" w:sz="4" w:space="0"/>
              <w:left w:val="single" w:color="auto" w:sz="4" w:space="0"/>
              <w:bottom w:val="single" w:color="auto" w:sz="4" w:space="0"/>
              <w:right w:val="single" w:color="auto" w:sz="4" w:space="0"/>
            </w:tcBorders>
            <w:noWrap w:val="0"/>
            <w:vAlign w:val="center"/>
          </w:tcPr>
          <w:p w14:paraId="0379D980">
            <w:pPr>
              <w:wordWrap w:val="0"/>
              <w:spacing w:line="312"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合同签订期</w:t>
            </w:r>
          </w:p>
        </w:tc>
        <w:tc>
          <w:tcPr>
            <w:tcW w:w="8052" w:type="dxa"/>
            <w:gridSpan w:val="3"/>
            <w:tcBorders>
              <w:top w:val="single" w:color="auto" w:sz="4" w:space="0"/>
              <w:left w:val="single" w:color="auto" w:sz="4" w:space="0"/>
              <w:bottom w:val="single" w:color="auto" w:sz="4" w:space="0"/>
              <w:right w:val="single" w:color="auto" w:sz="4" w:space="0"/>
            </w:tcBorders>
            <w:noWrap w:val="0"/>
            <w:vAlign w:val="center"/>
          </w:tcPr>
          <w:p w14:paraId="389783C1">
            <w:pPr>
              <w:wordWrap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w:t>
            </w:r>
            <w:r>
              <w:rPr>
                <w:rFonts w:hint="eastAsia" w:ascii="宋体" w:hAnsi="宋体" w:eastAsia="宋体" w:cs="宋体"/>
                <w:color w:val="auto"/>
                <w:szCs w:val="21"/>
                <w:highlight w:val="none"/>
                <w:lang w:eastAsia="zh-CN"/>
              </w:rPr>
              <w:t>中标</w:t>
            </w:r>
            <w:r>
              <w:rPr>
                <w:rFonts w:hint="eastAsia" w:ascii="宋体" w:hAnsi="宋体" w:eastAsia="宋体" w:cs="宋体"/>
                <w:color w:val="auto"/>
                <w:szCs w:val="21"/>
                <w:highlight w:val="none"/>
              </w:rPr>
              <w:t>通知书发出之日起</w:t>
            </w:r>
            <w:r>
              <w:rPr>
                <w:rFonts w:hint="eastAsia" w:ascii="宋体" w:hAnsi="宋体" w:eastAsia="宋体" w:cs="宋体"/>
                <w:color w:val="auto"/>
                <w:szCs w:val="21"/>
                <w:highlight w:val="none"/>
                <w:lang w:val="en-US" w:eastAsia="zh-CN"/>
              </w:rPr>
              <w:t>25</w:t>
            </w:r>
            <w:r>
              <w:rPr>
                <w:rFonts w:hint="eastAsia" w:ascii="宋体" w:hAnsi="宋体" w:eastAsia="宋体" w:cs="宋体"/>
                <w:color w:val="auto"/>
                <w:szCs w:val="21"/>
                <w:highlight w:val="none"/>
              </w:rPr>
              <w:t>日内。</w:t>
            </w:r>
          </w:p>
        </w:tc>
      </w:tr>
      <w:tr w14:paraId="38A7AA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888" w:type="dxa"/>
            <w:gridSpan w:val="2"/>
            <w:tcBorders>
              <w:top w:val="single" w:color="auto" w:sz="4" w:space="0"/>
              <w:left w:val="single" w:color="auto" w:sz="4" w:space="0"/>
              <w:bottom w:val="single" w:color="auto" w:sz="4" w:space="0"/>
              <w:right w:val="single" w:color="auto" w:sz="4" w:space="0"/>
            </w:tcBorders>
            <w:noWrap w:val="0"/>
            <w:vAlign w:val="center"/>
          </w:tcPr>
          <w:p w14:paraId="721F590D">
            <w:pPr>
              <w:wordWrap w:val="0"/>
              <w:snapToGrid w:val="0"/>
              <w:spacing w:line="312" w:lineRule="auto"/>
              <w:jc w:val="center"/>
              <w:outlineLvl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服务地点</w:t>
            </w:r>
          </w:p>
        </w:tc>
        <w:tc>
          <w:tcPr>
            <w:tcW w:w="8052" w:type="dxa"/>
            <w:gridSpan w:val="3"/>
            <w:tcBorders>
              <w:top w:val="single" w:color="auto" w:sz="4" w:space="0"/>
              <w:left w:val="single" w:color="auto" w:sz="4" w:space="0"/>
              <w:bottom w:val="single" w:color="auto" w:sz="4" w:space="0"/>
              <w:right w:val="single" w:color="auto" w:sz="4" w:space="0"/>
            </w:tcBorders>
            <w:noWrap w:val="0"/>
            <w:vAlign w:val="center"/>
          </w:tcPr>
          <w:p w14:paraId="65EC9A61">
            <w:pPr>
              <w:tabs>
                <w:tab w:val="left" w:pos="1820"/>
              </w:tabs>
              <w:wordWrap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广西壮族自治区交通运输厅指定的地点（详见各分标服务内容）。</w:t>
            </w:r>
          </w:p>
        </w:tc>
      </w:tr>
      <w:tr w14:paraId="0C8CF6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888" w:type="dxa"/>
            <w:gridSpan w:val="2"/>
            <w:tcBorders>
              <w:top w:val="single" w:color="auto" w:sz="4" w:space="0"/>
              <w:left w:val="single" w:color="auto" w:sz="4" w:space="0"/>
              <w:bottom w:val="single" w:color="auto" w:sz="4" w:space="0"/>
              <w:right w:val="single" w:color="auto" w:sz="4" w:space="0"/>
            </w:tcBorders>
            <w:noWrap w:val="0"/>
            <w:vAlign w:val="center"/>
          </w:tcPr>
          <w:p w14:paraId="27FF1BFF">
            <w:pPr>
              <w:wordWrap w:val="0"/>
              <w:snapToGrid w:val="0"/>
              <w:spacing w:line="312" w:lineRule="auto"/>
              <w:jc w:val="center"/>
              <w:outlineLvl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付款方式</w:t>
            </w:r>
          </w:p>
        </w:tc>
        <w:tc>
          <w:tcPr>
            <w:tcW w:w="8052" w:type="dxa"/>
            <w:gridSpan w:val="3"/>
            <w:tcBorders>
              <w:top w:val="single" w:color="auto" w:sz="4" w:space="0"/>
              <w:left w:val="single" w:color="auto" w:sz="4" w:space="0"/>
              <w:bottom w:val="single" w:color="auto" w:sz="4" w:space="0"/>
              <w:right w:val="single" w:color="auto" w:sz="4" w:space="0"/>
            </w:tcBorders>
            <w:noWrap w:val="0"/>
            <w:vAlign w:val="center"/>
          </w:tcPr>
          <w:p w14:paraId="05346B36">
            <w:pPr>
              <w:tabs>
                <w:tab w:val="left" w:pos="1820"/>
              </w:tabs>
              <w:wordWrap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合同签订后15个工作日内，由</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申请财政预付</w:t>
            </w:r>
            <w:r>
              <w:rPr>
                <w:rFonts w:hint="eastAsia" w:ascii="宋体" w:hAnsi="宋体" w:eastAsia="宋体" w:cs="宋体"/>
                <w:color w:val="auto"/>
                <w:szCs w:val="21"/>
                <w:highlight w:val="none"/>
                <w:lang w:eastAsia="zh-CN"/>
              </w:rPr>
              <w:t>中标人</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0％合同款；检查报告交付</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并通过验收后20个工作日内，由</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申请财政拨付</w:t>
            </w:r>
            <w:r>
              <w:rPr>
                <w:rFonts w:hint="eastAsia" w:ascii="宋体" w:hAnsi="宋体" w:eastAsia="宋体" w:cs="宋体"/>
                <w:color w:val="auto"/>
                <w:szCs w:val="21"/>
                <w:highlight w:val="none"/>
                <w:lang w:eastAsia="zh-CN"/>
              </w:rPr>
              <w:t>中标人</w:t>
            </w:r>
            <w:r>
              <w:rPr>
                <w:rFonts w:hint="eastAsia" w:ascii="宋体" w:hAnsi="宋体" w:eastAsia="宋体" w:cs="宋体"/>
                <w:color w:val="auto"/>
                <w:szCs w:val="21"/>
                <w:highlight w:val="none"/>
              </w:rPr>
              <w:t>剩余合同款。</w:t>
            </w:r>
            <w:r>
              <w:rPr>
                <w:rFonts w:hint="eastAsia" w:ascii="宋体" w:hAnsi="宋体" w:eastAsia="宋体" w:cs="宋体"/>
                <w:color w:val="auto"/>
                <w:szCs w:val="21"/>
                <w:highlight w:val="none"/>
                <w:lang w:eastAsia="zh-CN"/>
              </w:rPr>
              <w:t>为避免歧义，双方确认财政拨付时间不计入上述时限内。中标人</w:t>
            </w:r>
            <w:r>
              <w:rPr>
                <w:rFonts w:hint="eastAsia" w:ascii="宋体" w:hAnsi="宋体" w:eastAsia="宋体" w:cs="宋体"/>
                <w:color w:val="auto"/>
                <w:szCs w:val="21"/>
                <w:highlight w:val="none"/>
              </w:rPr>
              <w:t>自收到合同款之日起3个工作日内开具发票给</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w:t>
            </w:r>
          </w:p>
        </w:tc>
      </w:tr>
      <w:tr w14:paraId="3957CD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888" w:type="dxa"/>
            <w:gridSpan w:val="2"/>
            <w:tcBorders>
              <w:top w:val="single" w:color="auto" w:sz="4" w:space="0"/>
              <w:left w:val="single" w:color="auto" w:sz="4" w:space="0"/>
              <w:bottom w:val="single" w:color="auto" w:sz="4" w:space="0"/>
              <w:right w:val="single" w:color="auto" w:sz="4" w:space="0"/>
            </w:tcBorders>
            <w:noWrap w:val="0"/>
            <w:vAlign w:val="center"/>
          </w:tcPr>
          <w:p w14:paraId="1C8D38A8">
            <w:pPr>
              <w:wordWrap w:val="0"/>
              <w:snapToGrid w:val="0"/>
              <w:spacing w:line="312" w:lineRule="auto"/>
              <w:jc w:val="center"/>
              <w:outlineLvl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验收方式</w:t>
            </w:r>
          </w:p>
        </w:tc>
        <w:tc>
          <w:tcPr>
            <w:tcW w:w="8052" w:type="dxa"/>
            <w:gridSpan w:val="3"/>
            <w:tcBorders>
              <w:top w:val="single" w:color="auto" w:sz="4" w:space="0"/>
              <w:left w:val="single" w:color="auto" w:sz="4" w:space="0"/>
              <w:bottom w:val="single" w:color="auto" w:sz="4" w:space="0"/>
              <w:right w:val="single" w:color="auto" w:sz="4" w:space="0"/>
            </w:tcBorders>
            <w:noWrap w:val="0"/>
            <w:vAlign w:val="center"/>
          </w:tcPr>
          <w:p w14:paraId="641D0FA9">
            <w:pPr>
              <w:tabs>
                <w:tab w:val="left" w:pos="1820"/>
              </w:tabs>
              <w:wordWrap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lang w:val="zh-CN"/>
              </w:rPr>
              <w:t>在</w:t>
            </w:r>
            <w:r>
              <w:rPr>
                <w:rFonts w:hint="eastAsia" w:ascii="宋体" w:hAnsi="宋体" w:eastAsia="宋体" w:cs="宋体"/>
                <w:color w:val="auto"/>
                <w:szCs w:val="21"/>
                <w:highlight w:val="none"/>
                <w:lang w:eastAsia="zh-CN"/>
              </w:rPr>
              <w:t>中标人</w:t>
            </w:r>
            <w:r>
              <w:rPr>
                <w:rFonts w:hint="eastAsia" w:ascii="宋体" w:hAnsi="宋体" w:eastAsia="宋体" w:cs="宋体"/>
                <w:color w:val="auto"/>
                <w:szCs w:val="21"/>
                <w:highlight w:val="none"/>
                <w:lang w:val="zh-CN"/>
              </w:rPr>
              <w:t>完成审计服务并提交审计报告后</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val="zh-CN"/>
              </w:rPr>
              <w:t>个工作日内进行验收，根据项目采购文件约定对</w:t>
            </w:r>
            <w:r>
              <w:rPr>
                <w:rFonts w:hint="eastAsia" w:ascii="宋体" w:hAnsi="宋体" w:eastAsia="宋体" w:cs="宋体"/>
                <w:color w:val="auto"/>
                <w:szCs w:val="21"/>
                <w:highlight w:val="none"/>
                <w:lang w:eastAsia="zh-CN"/>
              </w:rPr>
              <w:t>中标人</w:t>
            </w:r>
            <w:r>
              <w:rPr>
                <w:rFonts w:hint="eastAsia" w:ascii="宋体" w:hAnsi="宋体" w:eastAsia="宋体" w:cs="宋体"/>
                <w:color w:val="auto"/>
                <w:szCs w:val="21"/>
                <w:highlight w:val="none"/>
                <w:lang w:val="zh-CN"/>
              </w:rPr>
              <w:t>提供的服务结果进行验收。</w:t>
            </w:r>
          </w:p>
        </w:tc>
      </w:tr>
      <w:tr w14:paraId="20CC06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888" w:type="dxa"/>
            <w:gridSpan w:val="2"/>
            <w:tcBorders>
              <w:top w:val="single" w:color="auto" w:sz="4" w:space="0"/>
              <w:left w:val="single" w:color="auto" w:sz="4" w:space="0"/>
              <w:bottom w:val="single" w:color="auto" w:sz="4" w:space="0"/>
              <w:right w:val="single" w:color="auto" w:sz="4" w:space="0"/>
            </w:tcBorders>
            <w:noWrap w:val="0"/>
            <w:vAlign w:val="center"/>
          </w:tcPr>
          <w:p w14:paraId="06F825C6">
            <w:pPr>
              <w:wordWrap w:val="0"/>
              <w:snapToGrid w:val="0"/>
              <w:spacing w:line="312" w:lineRule="auto"/>
              <w:jc w:val="center"/>
              <w:outlineLvl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其他要求</w:t>
            </w:r>
          </w:p>
        </w:tc>
        <w:tc>
          <w:tcPr>
            <w:tcW w:w="8052" w:type="dxa"/>
            <w:gridSpan w:val="3"/>
            <w:tcBorders>
              <w:top w:val="single" w:color="auto" w:sz="4" w:space="0"/>
              <w:left w:val="single" w:color="auto" w:sz="4" w:space="0"/>
              <w:bottom w:val="single" w:color="auto" w:sz="4" w:space="0"/>
              <w:right w:val="single" w:color="auto" w:sz="4" w:space="0"/>
            </w:tcBorders>
            <w:noWrap w:val="0"/>
            <w:vAlign w:val="center"/>
          </w:tcPr>
          <w:p w14:paraId="7779460D">
            <w:pPr>
              <w:tabs>
                <w:tab w:val="left" w:pos="1820"/>
              </w:tabs>
              <w:wordWrap w:val="0"/>
              <w:spacing w:line="312"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zh-CN"/>
              </w:rPr>
              <w:t>本项目报价为全额报价，即一次性报出为完成本项目所需所有费用，含专项审计费用、派出工作人员的交通费、住宿费、伙食补助费、税金及其他与审计相关的一切费用。</w:t>
            </w:r>
          </w:p>
          <w:p w14:paraId="1B3D75C0">
            <w:pPr>
              <w:tabs>
                <w:tab w:val="left" w:pos="1820"/>
              </w:tabs>
              <w:wordWrap w:val="0"/>
              <w:spacing w:line="312"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eastAsia="zh-CN"/>
              </w:rPr>
              <w:t>中标人</w:t>
            </w:r>
            <w:r>
              <w:rPr>
                <w:rFonts w:hint="eastAsia" w:ascii="宋体" w:hAnsi="宋体" w:eastAsia="宋体" w:cs="宋体"/>
                <w:color w:val="auto"/>
                <w:szCs w:val="21"/>
                <w:highlight w:val="none"/>
                <w:lang w:val="zh-CN"/>
              </w:rPr>
              <w:t>承接审计项目后，应妥善安排相关审计人员工作，实施项目审计工作期间如出现审计人员人身、财产安全事故、损失等由</w:t>
            </w:r>
            <w:r>
              <w:rPr>
                <w:rFonts w:hint="eastAsia" w:ascii="宋体" w:hAnsi="宋体" w:eastAsia="宋体" w:cs="宋体"/>
                <w:color w:val="auto"/>
                <w:szCs w:val="21"/>
                <w:highlight w:val="none"/>
                <w:lang w:eastAsia="zh-CN"/>
              </w:rPr>
              <w:t>中标人</w:t>
            </w:r>
            <w:r>
              <w:rPr>
                <w:rFonts w:hint="eastAsia" w:ascii="宋体" w:hAnsi="宋体" w:eastAsia="宋体" w:cs="宋体"/>
                <w:color w:val="auto"/>
                <w:szCs w:val="21"/>
                <w:highlight w:val="none"/>
                <w:lang w:val="zh-CN"/>
              </w:rPr>
              <w:t>自行负责，采购人不负任何责任。</w:t>
            </w:r>
          </w:p>
          <w:p w14:paraId="72945A74">
            <w:pPr>
              <w:tabs>
                <w:tab w:val="left" w:pos="1820"/>
              </w:tabs>
              <w:wordWrap w:val="0"/>
              <w:spacing w:line="312"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zh-CN"/>
              </w:rPr>
              <w:t>中标人应当严格执行审计保密和廉洁从业工作纪律，对在审的资料和信息要严格保密，不能对外泄露。</w:t>
            </w:r>
          </w:p>
          <w:p w14:paraId="4DB5BFF6">
            <w:pPr>
              <w:tabs>
                <w:tab w:val="left" w:pos="1820"/>
              </w:tabs>
              <w:wordWrap w:val="0"/>
              <w:spacing w:line="312"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val="zh-CN"/>
              </w:rPr>
              <w:t>在合同有效期内，采购人认为中标人实际投入的工作人员不足以满足任务需要或认为工作人员不称职时，可向中标人发出要求增加或更换工作人员的通知，中标人在收到通知后2天内应增加或更换相应的工作人员，由此产生的费用由中标人自行承担。</w:t>
            </w:r>
          </w:p>
          <w:p w14:paraId="15FB2E37">
            <w:pPr>
              <w:tabs>
                <w:tab w:val="left" w:pos="1820"/>
              </w:tabs>
              <w:wordWrap w:val="0"/>
              <w:spacing w:line="312"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在合同有效期内，中标人</w:t>
            </w:r>
            <w:r>
              <w:rPr>
                <w:rFonts w:hint="eastAsia" w:ascii="宋体" w:hAnsi="宋体" w:eastAsia="宋体" w:cs="宋体"/>
                <w:color w:val="auto"/>
                <w:szCs w:val="21"/>
                <w:highlight w:val="none"/>
                <w:lang w:val="en-US" w:eastAsia="zh-CN"/>
              </w:rPr>
              <w:t>如需</w:t>
            </w:r>
            <w:r>
              <w:rPr>
                <w:rFonts w:hint="eastAsia" w:ascii="宋体" w:hAnsi="宋体" w:eastAsia="宋体" w:cs="宋体"/>
                <w:color w:val="auto"/>
                <w:szCs w:val="21"/>
                <w:highlight w:val="none"/>
              </w:rPr>
              <w:t>更换项目小组成员或关键技术人员应当及时以书面形式通知</w:t>
            </w:r>
            <w:r>
              <w:rPr>
                <w:rFonts w:hint="eastAsia" w:ascii="宋体" w:hAnsi="宋体" w:eastAsia="宋体" w:cs="宋体"/>
                <w:color w:val="auto"/>
                <w:szCs w:val="21"/>
                <w:highlight w:val="none"/>
                <w:lang w:val="zh-CN"/>
              </w:rPr>
              <w:t>采购人</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经采购人同意后方可更换，若</w:t>
            </w:r>
            <w:r>
              <w:rPr>
                <w:rFonts w:hint="eastAsia" w:ascii="宋体" w:hAnsi="宋体" w:eastAsia="宋体" w:cs="宋体"/>
                <w:color w:val="auto"/>
                <w:szCs w:val="21"/>
                <w:highlight w:val="none"/>
              </w:rPr>
              <w:t>影响本合同履行或造成损失的，</w:t>
            </w:r>
            <w:r>
              <w:rPr>
                <w:rFonts w:hint="eastAsia" w:ascii="宋体" w:hAnsi="宋体" w:eastAsia="宋体" w:cs="宋体"/>
                <w:color w:val="auto"/>
                <w:szCs w:val="21"/>
                <w:highlight w:val="none"/>
                <w:lang w:val="zh-CN"/>
              </w:rPr>
              <w:t>中标人</w:t>
            </w:r>
            <w:r>
              <w:rPr>
                <w:rFonts w:hint="eastAsia" w:ascii="宋体" w:hAnsi="宋体" w:eastAsia="宋体" w:cs="宋体"/>
                <w:color w:val="auto"/>
                <w:szCs w:val="21"/>
                <w:highlight w:val="none"/>
              </w:rPr>
              <w:t>应向</w:t>
            </w:r>
            <w:r>
              <w:rPr>
                <w:rFonts w:hint="eastAsia" w:ascii="宋体" w:hAnsi="宋体" w:eastAsia="宋体" w:cs="宋体"/>
                <w:color w:val="auto"/>
                <w:szCs w:val="21"/>
                <w:highlight w:val="none"/>
                <w:lang w:val="zh-CN"/>
              </w:rPr>
              <w:t>采购人</w:t>
            </w:r>
            <w:r>
              <w:rPr>
                <w:rFonts w:hint="eastAsia" w:ascii="宋体" w:hAnsi="宋体" w:eastAsia="宋体" w:cs="宋体"/>
                <w:color w:val="auto"/>
                <w:szCs w:val="21"/>
                <w:highlight w:val="none"/>
              </w:rPr>
              <w:t>赔偿经济损失。</w:t>
            </w:r>
          </w:p>
          <w:p w14:paraId="74A5720E">
            <w:pPr>
              <w:tabs>
                <w:tab w:val="left" w:pos="1820"/>
              </w:tabs>
              <w:wordWrap w:val="0"/>
              <w:spacing w:line="31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质量标准：符合国家有关标准。</w:t>
            </w:r>
          </w:p>
        </w:tc>
      </w:tr>
    </w:tbl>
    <w:p w14:paraId="72B61226">
      <w:pPr>
        <w:widowControl/>
        <w:jc w:val="left"/>
        <w:rPr>
          <w:rFonts w:ascii="宋体" w:hAnsi="宋体" w:cs="宋体"/>
          <w:color w:val="auto"/>
          <w:sz w:val="20"/>
          <w:szCs w:val="20"/>
          <w:highlight w:val="none"/>
        </w:rPr>
      </w:pPr>
    </w:p>
    <w:p w14:paraId="3C73F0F9">
      <w:pPr>
        <w:widowControl/>
        <w:jc w:val="left"/>
        <w:rPr>
          <w:rFonts w:hint="eastAsia" w:ascii="黑体" w:hAnsi="黑体" w:eastAsia="黑体" w:cs="黑体"/>
          <w:color w:val="auto"/>
          <w:sz w:val="32"/>
          <w:szCs w:val="32"/>
          <w:highlight w:val="none"/>
        </w:rPr>
      </w:pPr>
    </w:p>
    <w:p w14:paraId="77952AC9">
      <w:pPr>
        <w:widowControl/>
        <w:jc w:val="left"/>
        <w:rPr>
          <w:rFonts w:hint="eastAsia" w:ascii="黑体" w:hAnsi="黑体" w:eastAsia="黑体" w:cs="黑体"/>
          <w:color w:val="auto"/>
          <w:sz w:val="32"/>
          <w:szCs w:val="32"/>
          <w:highlight w:val="none"/>
        </w:rPr>
      </w:pPr>
    </w:p>
    <w:p w14:paraId="3B58AEA9">
      <w:pPr>
        <w:widowControl/>
        <w:jc w:val="left"/>
        <w:rPr>
          <w:rFonts w:hint="eastAsia" w:ascii="黑体" w:hAnsi="黑体" w:eastAsia="黑体" w:cs="黑体"/>
          <w:color w:val="auto"/>
          <w:sz w:val="32"/>
          <w:szCs w:val="32"/>
          <w:highlight w:val="none"/>
        </w:rPr>
      </w:pPr>
    </w:p>
    <w:p w14:paraId="4A6E0141">
      <w:pPr>
        <w:widowControl/>
        <w:jc w:val="left"/>
        <w:rPr>
          <w:rFonts w:hint="eastAsia" w:ascii="黑体" w:hAnsi="黑体" w:eastAsia="黑体" w:cs="黑体"/>
          <w:color w:val="auto"/>
          <w:sz w:val="32"/>
          <w:szCs w:val="32"/>
          <w:highlight w:val="none"/>
        </w:rPr>
      </w:pPr>
    </w:p>
    <w:p w14:paraId="6C59D744">
      <w:pPr>
        <w:widowControl/>
        <w:jc w:val="left"/>
        <w:rPr>
          <w:rFonts w:hint="eastAsia" w:ascii="黑体" w:hAnsi="黑体" w:eastAsia="黑体" w:cs="黑体"/>
          <w:color w:val="auto"/>
          <w:sz w:val="32"/>
          <w:szCs w:val="32"/>
          <w:highlight w:val="none"/>
        </w:rPr>
      </w:pPr>
    </w:p>
    <w:p w14:paraId="6BE8BE4F">
      <w:pPr>
        <w:widowControl/>
        <w:jc w:val="left"/>
        <w:rPr>
          <w:rFonts w:hint="eastAsia" w:ascii="黑体" w:hAnsi="黑体" w:eastAsia="黑体" w:cs="黑体"/>
          <w:color w:val="auto"/>
          <w:sz w:val="32"/>
          <w:szCs w:val="32"/>
          <w:highlight w:val="none"/>
        </w:rPr>
      </w:pPr>
    </w:p>
    <w:p w14:paraId="2AA33B09">
      <w:pPr>
        <w:widowControl/>
        <w:jc w:val="left"/>
        <w:rPr>
          <w:rFonts w:hint="eastAsia" w:ascii="黑体" w:hAnsi="黑体" w:eastAsia="黑体" w:cs="黑体"/>
          <w:color w:val="auto"/>
          <w:sz w:val="32"/>
          <w:szCs w:val="32"/>
          <w:highlight w:val="none"/>
        </w:rPr>
      </w:pPr>
    </w:p>
    <w:p w14:paraId="58BC5309">
      <w:pPr>
        <w:widowControl/>
        <w:jc w:val="left"/>
        <w:rPr>
          <w:rFonts w:hint="eastAsia" w:ascii="黑体" w:hAnsi="黑体" w:eastAsia="黑体" w:cs="黑体"/>
          <w:color w:val="auto"/>
          <w:sz w:val="32"/>
          <w:szCs w:val="32"/>
          <w:highlight w:val="none"/>
        </w:rPr>
      </w:pPr>
    </w:p>
    <w:p w14:paraId="0085D0EE">
      <w:pPr>
        <w:widowControl/>
        <w:jc w:val="left"/>
        <w:rPr>
          <w:rFonts w:hint="eastAsia" w:ascii="黑体" w:hAnsi="黑体" w:eastAsia="黑体" w:cs="黑体"/>
          <w:color w:val="auto"/>
          <w:sz w:val="32"/>
          <w:szCs w:val="32"/>
          <w:highlight w:val="none"/>
        </w:rPr>
      </w:pPr>
    </w:p>
    <w:p w14:paraId="63685D2E">
      <w:pPr>
        <w:widowControl/>
        <w:jc w:val="left"/>
        <w:rPr>
          <w:rFonts w:hint="eastAsia" w:ascii="黑体" w:hAnsi="黑体" w:eastAsia="黑体" w:cs="黑体"/>
          <w:color w:val="auto"/>
          <w:sz w:val="32"/>
          <w:szCs w:val="32"/>
          <w:highlight w:val="none"/>
        </w:rPr>
      </w:pPr>
    </w:p>
    <w:p w14:paraId="0A0A367B">
      <w:pPr>
        <w:widowControl/>
        <w:jc w:val="left"/>
        <w:rPr>
          <w:rFonts w:hint="eastAsia" w:ascii="黑体" w:hAnsi="黑体" w:eastAsia="黑体" w:cs="黑体"/>
          <w:color w:val="auto"/>
          <w:sz w:val="32"/>
          <w:szCs w:val="32"/>
          <w:highlight w:val="none"/>
        </w:rPr>
      </w:pPr>
    </w:p>
    <w:p w14:paraId="72161AE3">
      <w:pPr>
        <w:widowControl/>
        <w:jc w:val="left"/>
        <w:rPr>
          <w:rFonts w:hint="eastAsia" w:ascii="黑体" w:hAnsi="黑体" w:eastAsia="黑体" w:cs="黑体"/>
          <w:color w:val="auto"/>
          <w:sz w:val="32"/>
          <w:szCs w:val="32"/>
          <w:highlight w:val="none"/>
        </w:rPr>
      </w:pPr>
    </w:p>
    <w:p w14:paraId="7B3D52FF">
      <w:pPr>
        <w:widowControl/>
        <w:jc w:val="left"/>
        <w:rPr>
          <w:rFonts w:hint="eastAsia" w:ascii="黑体" w:hAnsi="黑体" w:eastAsia="黑体" w:cs="黑体"/>
          <w:color w:val="auto"/>
          <w:sz w:val="32"/>
          <w:szCs w:val="32"/>
          <w:highlight w:val="none"/>
        </w:rPr>
      </w:pPr>
    </w:p>
    <w:p w14:paraId="317847C6">
      <w:pPr>
        <w:widowControl/>
        <w:jc w:val="left"/>
        <w:rPr>
          <w:rFonts w:hint="eastAsia" w:ascii="黑体" w:hAnsi="黑体" w:eastAsia="黑体" w:cs="黑体"/>
          <w:color w:val="auto"/>
          <w:sz w:val="32"/>
          <w:szCs w:val="32"/>
          <w:highlight w:val="none"/>
        </w:rPr>
      </w:pPr>
    </w:p>
    <w:p w14:paraId="074C4F2B">
      <w:pPr>
        <w:widowControl/>
        <w:jc w:val="left"/>
        <w:rPr>
          <w:rFonts w:hint="eastAsia" w:ascii="黑体" w:hAnsi="黑体" w:eastAsia="黑体" w:cs="黑体"/>
          <w:color w:val="auto"/>
          <w:sz w:val="32"/>
          <w:szCs w:val="32"/>
          <w:highlight w:val="none"/>
        </w:rPr>
      </w:pPr>
    </w:p>
    <w:p w14:paraId="0988C900">
      <w:pPr>
        <w:widowControl/>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附件1：</w:t>
      </w:r>
    </w:p>
    <w:p w14:paraId="4D8CBEFC">
      <w:pPr>
        <w:shd w:val="clear" w:color="auto" w:fill="auto"/>
        <w:spacing w:line="528"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中小微企业划型标准</w:t>
      </w:r>
    </w:p>
    <w:tbl>
      <w:tblPr>
        <w:tblStyle w:val="47"/>
        <w:tblW w:w="0" w:type="auto"/>
        <w:jc w:val="center"/>
        <w:tblLayout w:type="fixed"/>
        <w:tblCellMar>
          <w:top w:w="0" w:type="dxa"/>
          <w:left w:w="108" w:type="dxa"/>
          <w:bottom w:w="0" w:type="dxa"/>
          <w:right w:w="108" w:type="dxa"/>
        </w:tblCellMar>
      </w:tblPr>
      <w:tblGrid>
        <w:gridCol w:w="1904"/>
        <w:gridCol w:w="1384"/>
        <w:gridCol w:w="913"/>
        <w:gridCol w:w="1966"/>
        <w:gridCol w:w="1743"/>
        <w:gridCol w:w="1142"/>
      </w:tblGrid>
      <w:tr w14:paraId="2EFB7C55">
        <w:tblPrEx>
          <w:tblCellMar>
            <w:top w:w="0" w:type="dxa"/>
            <w:left w:w="108" w:type="dxa"/>
            <w:bottom w:w="0" w:type="dxa"/>
            <w:right w:w="108" w:type="dxa"/>
          </w:tblCellMar>
        </w:tblPrEx>
        <w:trPr>
          <w:trHeight w:val="285" w:hRule="atLeast"/>
          <w:jc w:val="center"/>
        </w:trPr>
        <w:tc>
          <w:tcPr>
            <w:tcW w:w="1904" w:type="dxa"/>
            <w:tcBorders>
              <w:top w:val="single" w:color="auto" w:sz="4" w:space="0"/>
              <w:left w:val="single" w:color="auto" w:sz="4" w:space="0"/>
              <w:bottom w:val="single" w:color="auto" w:sz="4" w:space="0"/>
              <w:right w:val="single" w:color="auto" w:sz="4" w:space="0"/>
            </w:tcBorders>
            <w:noWrap w:val="0"/>
            <w:vAlign w:val="center"/>
          </w:tcPr>
          <w:p w14:paraId="549AE59A">
            <w:pPr>
              <w:widowControl/>
              <w:shd w:val="clear" w:color="auto" w:fill="auto"/>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行业名称</w:t>
            </w:r>
          </w:p>
        </w:tc>
        <w:tc>
          <w:tcPr>
            <w:tcW w:w="1384" w:type="dxa"/>
            <w:tcBorders>
              <w:top w:val="single" w:color="auto" w:sz="4" w:space="0"/>
              <w:left w:val="nil"/>
              <w:bottom w:val="single" w:color="auto" w:sz="4" w:space="0"/>
              <w:right w:val="single" w:color="auto" w:sz="4" w:space="0"/>
            </w:tcBorders>
            <w:noWrap w:val="0"/>
            <w:vAlign w:val="center"/>
          </w:tcPr>
          <w:p w14:paraId="71B05916">
            <w:pPr>
              <w:widowControl/>
              <w:shd w:val="clear" w:color="auto" w:fill="auto"/>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指标名称</w:t>
            </w:r>
          </w:p>
        </w:tc>
        <w:tc>
          <w:tcPr>
            <w:tcW w:w="913" w:type="dxa"/>
            <w:tcBorders>
              <w:top w:val="single" w:color="auto" w:sz="4" w:space="0"/>
              <w:left w:val="nil"/>
              <w:bottom w:val="single" w:color="auto" w:sz="4" w:space="0"/>
              <w:right w:val="single" w:color="auto" w:sz="4" w:space="0"/>
            </w:tcBorders>
            <w:noWrap w:val="0"/>
            <w:vAlign w:val="center"/>
          </w:tcPr>
          <w:p w14:paraId="4CCCAF82">
            <w:pPr>
              <w:widowControl/>
              <w:shd w:val="clear" w:color="auto" w:fill="auto"/>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计量单位</w:t>
            </w:r>
          </w:p>
        </w:tc>
        <w:tc>
          <w:tcPr>
            <w:tcW w:w="1966" w:type="dxa"/>
            <w:tcBorders>
              <w:top w:val="single" w:color="auto" w:sz="4" w:space="0"/>
              <w:left w:val="nil"/>
              <w:bottom w:val="single" w:color="auto" w:sz="4" w:space="0"/>
              <w:right w:val="single" w:color="auto" w:sz="4" w:space="0"/>
            </w:tcBorders>
            <w:noWrap w:val="0"/>
            <w:vAlign w:val="center"/>
          </w:tcPr>
          <w:p w14:paraId="4B18624A">
            <w:pPr>
              <w:widowControl/>
              <w:shd w:val="clear" w:color="auto" w:fill="auto"/>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中型</w:t>
            </w:r>
          </w:p>
        </w:tc>
        <w:tc>
          <w:tcPr>
            <w:tcW w:w="1743" w:type="dxa"/>
            <w:tcBorders>
              <w:top w:val="single" w:color="auto" w:sz="4" w:space="0"/>
              <w:left w:val="nil"/>
              <w:bottom w:val="single" w:color="auto" w:sz="4" w:space="0"/>
              <w:right w:val="single" w:color="auto" w:sz="4" w:space="0"/>
            </w:tcBorders>
            <w:noWrap w:val="0"/>
            <w:vAlign w:val="center"/>
          </w:tcPr>
          <w:p w14:paraId="02C843AE">
            <w:pPr>
              <w:widowControl/>
              <w:shd w:val="clear" w:color="auto" w:fill="auto"/>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小型</w:t>
            </w:r>
          </w:p>
        </w:tc>
        <w:tc>
          <w:tcPr>
            <w:tcW w:w="1142" w:type="dxa"/>
            <w:tcBorders>
              <w:top w:val="single" w:color="auto" w:sz="4" w:space="0"/>
              <w:left w:val="nil"/>
              <w:bottom w:val="single" w:color="auto" w:sz="4" w:space="0"/>
              <w:right w:val="single" w:color="auto" w:sz="4" w:space="0"/>
            </w:tcBorders>
            <w:noWrap w:val="0"/>
            <w:vAlign w:val="center"/>
          </w:tcPr>
          <w:p w14:paraId="7B4DD895">
            <w:pPr>
              <w:widowControl/>
              <w:shd w:val="clear" w:color="auto" w:fill="auto"/>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微型</w:t>
            </w:r>
          </w:p>
        </w:tc>
      </w:tr>
      <w:tr w14:paraId="60D17D57">
        <w:tblPrEx>
          <w:tblCellMar>
            <w:top w:w="0" w:type="dxa"/>
            <w:left w:w="108" w:type="dxa"/>
            <w:bottom w:w="0" w:type="dxa"/>
            <w:right w:w="108" w:type="dxa"/>
          </w:tblCellMar>
        </w:tblPrEx>
        <w:trPr>
          <w:trHeight w:val="225" w:hRule="atLeast"/>
          <w:jc w:val="center"/>
        </w:trPr>
        <w:tc>
          <w:tcPr>
            <w:tcW w:w="1904" w:type="dxa"/>
            <w:tcBorders>
              <w:top w:val="nil"/>
              <w:left w:val="single" w:color="auto" w:sz="4" w:space="0"/>
              <w:bottom w:val="single" w:color="auto" w:sz="4" w:space="0"/>
              <w:right w:val="single" w:color="auto" w:sz="4" w:space="0"/>
            </w:tcBorders>
            <w:noWrap w:val="0"/>
            <w:vAlign w:val="center"/>
          </w:tcPr>
          <w:p w14:paraId="1FC4037D">
            <w:pPr>
              <w:widowControl/>
              <w:shd w:val="clear" w:color="auto" w:fill="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农、林、牧、渔</w:t>
            </w:r>
          </w:p>
        </w:tc>
        <w:tc>
          <w:tcPr>
            <w:tcW w:w="1384" w:type="dxa"/>
            <w:tcBorders>
              <w:top w:val="nil"/>
              <w:left w:val="nil"/>
              <w:bottom w:val="single" w:color="auto" w:sz="4" w:space="0"/>
              <w:right w:val="single" w:color="auto" w:sz="4" w:space="0"/>
            </w:tcBorders>
            <w:noWrap w:val="0"/>
            <w:vAlign w:val="center"/>
          </w:tcPr>
          <w:p w14:paraId="5778CE7D">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913" w:type="dxa"/>
            <w:tcBorders>
              <w:top w:val="nil"/>
              <w:left w:val="nil"/>
              <w:bottom w:val="single" w:color="auto" w:sz="4" w:space="0"/>
              <w:right w:val="single" w:color="auto" w:sz="4" w:space="0"/>
            </w:tcBorders>
            <w:noWrap w:val="0"/>
            <w:vAlign w:val="center"/>
          </w:tcPr>
          <w:p w14:paraId="5A57E75A">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66" w:type="dxa"/>
            <w:tcBorders>
              <w:top w:val="nil"/>
              <w:left w:val="nil"/>
              <w:bottom w:val="single" w:color="auto" w:sz="4" w:space="0"/>
              <w:right w:val="single" w:color="auto" w:sz="4" w:space="0"/>
            </w:tcBorders>
            <w:noWrap w:val="0"/>
            <w:vAlign w:val="center"/>
          </w:tcPr>
          <w:p w14:paraId="5224AE81">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500≤Y＜20000</w:t>
            </w:r>
          </w:p>
        </w:tc>
        <w:tc>
          <w:tcPr>
            <w:tcW w:w="1743" w:type="dxa"/>
            <w:tcBorders>
              <w:top w:val="nil"/>
              <w:left w:val="nil"/>
              <w:bottom w:val="single" w:color="auto" w:sz="4" w:space="0"/>
              <w:right w:val="single" w:color="auto" w:sz="4" w:space="0"/>
            </w:tcBorders>
            <w:noWrap w:val="0"/>
            <w:vAlign w:val="center"/>
          </w:tcPr>
          <w:p w14:paraId="4B8367F1">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50≤Y＜500</w:t>
            </w:r>
          </w:p>
        </w:tc>
        <w:tc>
          <w:tcPr>
            <w:tcW w:w="1142" w:type="dxa"/>
            <w:tcBorders>
              <w:top w:val="nil"/>
              <w:left w:val="nil"/>
              <w:bottom w:val="single" w:color="auto" w:sz="4" w:space="0"/>
              <w:right w:val="single" w:color="auto" w:sz="4" w:space="0"/>
            </w:tcBorders>
            <w:noWrap w:val="0"/>
            <w:vAlign w:val="center"/>
          </w:tcPr>
          <w:p w14:paraId="5259FEB3">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Y＜50</w:t>
            </w:r>
          </w:p>
        </w:tc>
      </w:tr>
      <w:tr w14:paraId="23237B04">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noWrap w:val="0"/>
            <w:vAlign w:val="center"/>
          </w:tcPr>
          <w:p w14:paraId="655B0FE9">
            <w:pPr>
              <w:widowControl/>
              <w:shd w:val="clear" w:color="auto" w:fill="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工业</w:t>
            </w:r>
          </w:p>
        </w:tc>
        <w:tc>
          <w:tcPr>
            <w:tcW w:w="1384" w:type="dxa"/>
            <w:tcBorders>
              <w:top w:val="nil"/>
              <w:left w:val="nil"/>
              <w:bottom w:val="single" w:color="auto" w:sz="4" w:space="0"/>
              <w:right w:val="single" w:color="auto" w:sz="4" w:space="0"/>
            </w:tcBorders>
            <w:noWrap w:val="0"/>
            <w:vAlign w:val="center"/>
          </w:tcPr>
          <w:p w14:paraId="4B26D9B8">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913" w:type="dxa"/>
            <w:tcBorders>
              <w:top w:val="nil"/>
              <w:left w:val="nil"/>
              <w:bottom w:val="single" w:color="auto" w:sz="4" w:space="0"/>
              <w:right w:val="single" w:color="auto" w:sz="4" w:space="0"/>
            </w:tcBorders>
            <w:noWrap w:val="0"/>
            <w:vAlign w:val="center"/>
          </w:tcPr>
          <w:p w14:paraId="084DC7B0">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966" w:type="dxa"/>
            <w:tcBorders>
              <w:top w:val="nil"/>
              <w:left w:val="nil"/>
              <w:bottom w:val="single" w:color="auto" w:sz="4" w:space="0"/>
              <w:right w:val="single" w:color="auto" w:sz="4" w:space="0"/>
            </w:tcBorders>
            <w:noWrap w:val="0"/>
            <w:vAlign w:val="center"/>
          </w:tcPr>
          <w:p w14:paraId="181A4BCB">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300≤X＜1000</w:t>
            </w:r>
          </w:p>
        </w:tc>
        <w:tc>
          <w:tcPr>
            <w:tcW w:w="1743" w:type="dxa"/>
            <w:tcBorders>
              <w:top w:val="nil"/>
              <w:left w:val="nil"/>
              <w:bottom w:val="single" w:color="auto" w:sz="4" w:space="0"/>
              <w:right w:val="single" w:color="auto" w:sz="4" w:space="0"/>
            </w:tcBorders>
            <w:noWrap w:val="0"/>
            <w:vAlign w:val="center"/>
          </w:tcPr>
          <w:p w14:paraId="709BD8EC">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20≤X＜300</w:t>
            </w:r>
          </w:p>
        </w:tc>
        <w:tc>
          <w:tcPr>
            <w:tcW w:w="1142" w:type="dxa"/>
            <w:tcBorders>
              <w:top w:val="nil"/>
              <w:left w:val="nil"/>
              <w:bottom w:val="single" w:color="auto" w:sz="4" w:space="0"/>
              <w:right w:val="single" w:color="auto" w:sz="4" w:space="0"/>
            </w:tcBorders>
            <w:noWrap w:val="0"/>
            <w:vAlign w:val="center"/>
          </w:tcPr>
          <w:p w14:paraId="67C0A82C">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X＜20</w:t>
            </w:r>
          </w:p>
        </w:tc>
      </w:tr>
      <w:tr w14:paraId="5011787C">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noWrap w:val="0"/>
            <w:vAlign w:val="center"/>
          </w:tcPr>
          <w:p w14:paraId="1043EFDA">
            <w:pPr>
              <w:widowControl/>
              <w:shd w:val="clear" w:color="auto" w:fill="auto"/>
              <w:jc w:val="left"/>
              <w:rPr>
                <w:rFonts w:hint="eastAsia" w:ascii="宋体" w:hAnsi="宋体" w:eastAsia="宋体" w:cs="宋体"/>
                <w:b/>
                <w:bCs/>
                <w:color w:val="auto"/>
                <w:kern w:val="0"/>
                <w:szCs w:val="21"/>
                <w:highlight w:val="none"/>
              </w:rPr>
            </w:pPr>
          </w:p>
        </w:tc>
        <w:tc>
          <w:tcPr>
            <w:tcW w:w="1384" w:type="dxa"/>
            <w:tcBorders>
              <w:top w:val="nil"/>
              <w:left w:val="nil"/>
              <w:bottom w:val="single" w:color="auto" w:sz="4" w:space="0"/>
              <w:right w:val="single" w:color="auto" w:sz="4" w:space="0"/>
            </w:tcBorders>
            <w:noWrap w:val="0"/>
            <w:vAlign w:val="center"/>
          </w:tcPr>
          <w:p w14:paraId="0C3C1A96">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913" w:type="dxa"/>
            <w:tcBorders>
              <w:top w:val="nil"/>
              <w:left w:val="nil"/>
              <w:bottom w:val="single" w:color="auto" w:sz="4" w:space="0"/>
              <w:right w:val="single" w:color="auto" w:sz="4" w:space="0"/>
            </w:tcBorders>
            <w:noWrap w:val="0"/>
            <w:vAlign w:val="center"/>
          </w:tcPr>
          <w:p w14:paraId="645C1416">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66" w:type="dxa"/>
            <w:tcBorders>
              <w:top w:val="nil"/>
              <w:left w:val="nil"/>
              <w:bottom w:val="single" w:color="auto" w:sz="4" w:space="0"/>
              <w:right w:val="single" w:color="auto" w:sz="4" w:space="0"/>
            </w:tcBorders>
            <w:noWrap w:val="0"/>
            <w:vAlign w:val="center"/>
          </w:tcPr>
          <w:p w14:paraId="07BCD361">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2000≤Y＜40000</w:t>
            </w:r>
          </w:p>
        </w:tc>
        <w:tc>
          <w:tcPr>
            <w:tcW w:w="1743" w:type="dxa"/>
            <w:tcBorders>
              <w:top w:val="nil"/>
              <w:left w:val="nil"/>
              <w:bottom w:val="single" w:color="auto" w:sz="4" w:space="0"/>
              <w:right w:val="single" w:color="auto" w:sz="4" w:space="0"/>
            </w:tcBorders>
            <w:noWrap w:val="0"/>
            <w:vAlign w:val="center"/>
          </w:tcPr>
          <w:p w14:paraId="5853B057">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300≤Y＜2000</w:t>
            </w:r>
          </w:p>
        </w:tc>
        <w:tc>
          <w:tcPr>
            <w:tcW w:w="1142" w:type="dxa"/>
            <w:tcBorders>
              <w:top w:val="nil"/>
              <w:left w:val="nil"/>
              <w:bottom w:val="single" w:color="auto" w:sz="4" w:space="0"/>
              <w:right w:val="single" w:color="auto" w:sz="4" w:space="0"/>
            </w:tcBorders>
            <w:noWrap w:val="0"/>
            <w:vAlign w:val="center"/>
          </w:tcPr>
          <w:p w14:paraId="2A40F66A">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Y＜300</w:t>
            </w:r>
          </w:p>
        </w:tc>
      </w:tr>
      <w:tr w14:paraId="76D5D5F9">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noWrap w:val="0"/>
            <w:vAlign w:val="center"/>
          </w:tcPr>
          <w:p w14:paraId="33209B64">
            <w:pPr>
              <w:widowControl/>
              <w:shd w:val="clear" w:color="auto" w:fill="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建筑业</w:t>
            </w:r>
          </w:p>
        </w:tc>
        <w:tc>
          <w:tcPr>
            <w:tcW w:w="1384" w:type="dxa"/>
            <w:tcBorders>
              <w:top w:val="nil"/>
              <w:left w:val="nil"/>
              <w:bottom w:val="single" w:color="auto" w:sz="4" w:space="0"/>
              <w:right w:val="single" w:color="auto" w:sz="4" w:space="0"/>
            </w:tcBorders>
            <w:noWrap w:val="0"/>
            <w:vAlign w:val="center"/>
          </w:tcPr>
          <w:p w14:paraId="72F2107F">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913" w:type="dxa"/>
            <w:tcBorders>
              <w:top w:val="nil"/>
              <w:left w:val="nil"/>
              <w:bottom w:val="single" w:color="auto" w:sz="4" w:space="0"/>
              <w:right w:val="single" w:color="auto" w:sz="4" w:space="0"/>
            </w:tcBorders>
            <w:noWrap w:val="0"/>
            <w:vAlign w:val="center"/>
          </w:tcPr>
          <w:p w14:paraId="6A6D96CD">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66" w:type="dxa"/>
            <w:tcBorders>
              <w:top w:val="nil"/>
              <w:left w:val="nil"/>
              <w:bottom w:val="single" w:color="auto" w:sz="4" w:space="0"/>
              <w:right w:val="single" w:color="auto" w:sz="4" w:space="0"/>
            </w:tcBorders>
            <w:noWrap w:val="0"/>
            <w:vAlign w:val="center"/>
          </w:tcPr>
          <w:p w14:paraId="6CCE1F88">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6000≤Y＜80000</w:t>
            </w:r>
          </w:p>
        </w:tc>
        <w:tc>
          <w:tcPr>
            <w:tcW w:w="1743" w:type="dxa"/>
            <w:tcBorders>
              <w:top w:val="nil"/>
              <w:left w:val="nil"/>
              <w:bottom w:val="single" w:color="auto" w:sz="4" w:space="0"/>
              <w:right w:val="single" w:color="auto" w:sz="4" w:space="0"/>
            </w:tcBorders>
            <w:noWrap w:val="0"/>
            <w:vAlign w:val="center"/>
          </w:tcPr>
          <w:p w14:paraId="445D5753">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300≤Y＜6000</w:t>
            </w:r>
          </w:p>
        </w:tc>
        <w:tc>
          <w:tcPr>
            <w:tcW w:w="1142" w:type="dxa"/>
            <w:tcBorders>
              <w:top w:val="nil"/>
              <w:left w:val="nil"/>
              <w:bottom w:val="single" w:color="auto" w:sz="4" w:space="0"/>
              <w:right w:val="single" w:color="auto" w:sz="4" w:space="0"/>
            </w:tcBorders>
            <w:noWrap w:val="0"/>
            <w:vAlign w:val="center"/>
          </w:tcPr>
          <w:p w14:paraId="5A18569A">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Y＜300</w:t>
            </w:r>
          </w:p>
        </w:tc>
      </w:tr>
      <w:tr w14:paraId="60B9CC6E">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noWrap w:val="0"/>
            <w:vAlign w:val="center"/>
          </w:tcPr>
          <w:p w14:paraId="4668A83D">
            <w:pPr>
              <w:widowControl/>
              <w:shd w:val="clear" w:color="auto" w:fill="auto"/>
              <w:jc w:val="left"/>
              <w:rPr>
                <w:rFonts w:hint="eastAsia" w:ascii="宋体" w:hAnsi="宋体" w:eastAsia="宋体" w:cs="宋体"/>
                <w:b/>
                <w:bCs/>
                <w:color w:val="auto"/>
                <w:kern w:val="0"/>
                <w:szCs w:val="21"/>
                <w:highlight w:val="none"/>
              </w:rPr>
            </w:pPr>
          </w:p>
        </w:tc>
        <w:tc>
          <w:tcPr>
            <w:tcW w:w="1384" w:type="dxa"/>
            <w:tcBorders>
              <w:top w:val="nil"/>
              <w:left w:val="nil"/>
              <w:bottom w:val="single" w:color="auto" w:sz="4" w:space="0"/>
              <w:right w:val="single" w:color="auto" w:sz="4" w:space="0"/>
            </w:tcBorders>
            <w:noWrap w:val="0"/>
            <w:vAlign w:val="center"/>
          </w:tcPr>
          <w:p w14:paraId="2947349C">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资产总额（Z）</w:t>
            </w:r>
          </w:p>
        </w:tc>
        <w:tc>
          <w:tcPr>
            <w:tcW w:w="913" w:type="dxa"/>
            <w:tcBorders>
              <w:top w:val="nil"/>
              <w:left w:val="nil"/>
              <w:bottom w:val="single" w:color="auto" w:sz="4" w:space="0"/>
              <w:right w:val="single" w:color="auto" w:sz="4" w:space="0"/>
            </w:tcBorders>
            <w:noWrap w:val="0"/>
            <w:vAlign w:val="center"/>
          </w:tcPr>
          <w:p w14:paraId="5B45B90A">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66" w:type="dxa"/>
            <w:tcBorders>
              <w:top w:val="nil"/>
              <w:left w:val="nil"/>
              <w:bottom w:val="single" w:color="auto" w:sz="4" w:space="0"/>
              <w:right w:val="single" w:color="auto" w:sz="4" w:space="0"/>
            </w:tcBorders>
            <w:noWrap w:val="0"/>
            <w:vAlign w:val="center"/>
          </w:tcPr>
          <w:p w14:paraId="21CDA394">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5000≤Z＜80000</w:t>
            </w:r>
          </w:p>
        </w:tc>
        <w:tc>
          <w:tcPr>
            <w:tcW w:w="1743" w:type="dxa"/>
            <w:tcBorders>
              <w:top w:val="nil"/>
              <w:left w:val="nil"/>
              <w:bottom w:val="single" w:color="auto" w:sz="4" w:space="0"/>
              <w:right w:val="single" w:color="auto" w:sz="4" w:space="0"/>
            </w:tcBorders>
            <w:noWrap w:val="0"/>
            <w:vAlign w:val="center"/>
          </w:tcPr>
          <w:p w14:paraId="2915E94E">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300≤Z＜5000</w:t>
            </w:r>
          </w:p>
        </w:tc>
        <w:tc>
          <w:tcPr>
            <w:tcW w:w="1142" w:type="dxa"/>
            <w:tcBorders>
              <w:top w:val="nil"/>
              <w:left w:val="nil"/>
              <w:bottom w:val="single" w:color="auto" w:sz="4" w:space="0"/>
              <w:right w:val="single" w:color="auto" w:sz="4" w:space="0"/>
            </w:tcBorders>
            <w:noWrap w:val="0"/>
            <w:vAlign w:val="center"/>
          </w:tcPr>
          <w:p w14:paraId="5708166C">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Z＜300</w:t>
            </w:r>
          </w:p>
        </w:tc>
      </w:tr>
      <w:tr w14:paraId="361DE926">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noWrap w:val="0"/>
            <w:vAlign w:val="center"/>
          </w:tcPr>
          <w:p w14:paraId="153D0FCF">
            <w:pPr>
              <w:widowControl/>
              <w:shd w:val="clear" w:color="auto" w:fill="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批发业</w:t>
            </w:r>
          </w:p>
        </w:tc>
        <w:tc>
          <w:tcPr>
            <w:tcW w:w="1384" w:type="dxa"/>
            <w:tcBorders>
              <w:top w:val="nil"/>
              <w:left w:val="nil"/>
              <w:bottom w:val="single" w:color="auto" w:sz="4" w:space="0"/>
              <w:right w:val="single" w:color="auto" w:sz="4" w:space="0"/>
            </w:tcBorders>
            <w:noWrap w:val="0"/>
            <w:vAlign w:val="center"/>
          </w:tcPr>
          <w:p w14:paraId="7EB4932E">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913" w:type="dxa"/>
            <w:tcBorders>
              <w:top w:val="nil"/>
              <w:left w:val="nil"/>
              <w:bottom w:val="single" w:color="auto" w:sz="4" w:space="0"/>
              <w:right w:val="single" w:color="auto" w:sz="4" w:space="0"/>
            </w:tcBorders>
            <w:noWrap w:val="0"/>
            <w:vAlign w:val="center"/>
          </w:tcPr>
          <w:p w14:paraId="26CB98E3">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966" w:type="dxa"/>
            <w:tcBorders>
              <w:top w:val="nil"/>
              <w:left w:val="nil"/>
              <w:bottom w:val="single" w:color="auto" w:sz="4" w:space="0"/>
              <w:right w:val="single" w:color="auto" w:sz="4" w:space="0"/>
            </w:tcBorders>
            <w:noWrap w:val="0"/>
            <w:vAlign w:val="center"/>
          </w:tcPr>
          <w:p w14:paraId="4269F62D">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20≤X＜200</w:t>
            </w:r>
          </w:p>
        </w:tc>
        <w:tc>
          <w:tcPr>
            <w:tcW w:w="1743" w:type="dxa"/>
            <w:tcBorders>
              <w:top w:val="nil"/>
              <w:left w:val="nil"/>
              <w:bottom w:val="single" w:color="auto" w:sz="4" w:space="0"/>
              <w:right w:val="single" w:color="auto" w:sz="4" w:space="0"/>
            </w:tcBorders>
            <w:noWrap w:val="0"/>
            <w:vAlign w:val="center"/>
          </w:tcPr>
          <w:p w14:paraId="54481AC2">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5≤X＜20</w:t>
            </w:r>
          </w:p>
        </w:tc>
        <w:tc>
          <w:tcPr>
            <w:tcW w:w="1142" w:type="dxa"/>
            <w:tcBorders>
              <w:top w:val="nil"/>
              <w:left w:val="nil"/>
              <w:bottom w:val="single" w:color="auto" w:sz="4" w:space="0"/>
              <w:right w:val="single" w:color="auto" w:sz="4" w:space="0"/>
            </w:tcBorders>
            <w:noWrap w:val="0"/>
            <w:vAlign w:val="center"/>
          </w:tcPr>
          <w:p w14:paraId="50073A4F">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X＜5</w:t>
            </w:r>
          </w:p>
        </w:tc>
      </w:tr>
      <w:tr w14:paraId="0125F848">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noWrap w:val="0"/>
            <w:vAlign w:val="center"/>
          </w:tcPr>
          <w:p w14:paraId="76AA7828">
            <w:pPr>
              <w:widowControl/>
              <w:shd w:val="clear" w:color="auto" w:fill="auto"/>
              <w:jc w:val="left"/>
              <w:rPr>
                <w:rFonts w:hint="eastAsia" w:ascii="宋体" w:hAnsi="宋体" w:eastAsia="宋体" w:cs="宋体"/>
                <w:b/>
                <w:bCs/>
                <w:color w:val="auto"/>
                <w:kern w:val="0"/>
                <w:szCs w:val="21"/>
                <w:highlight w:val="none"/>
              </w:rPr>
            </w:pPr>
          </w:p>
        </w:tc>
        <w:tc>
          <w:tcPr>
            <w:tcW w:w="1384" w:type="dxa"/>
            <w:tcBorders>
              <w:top w:val="nil"/>
              <w:left w:val="nil"/>
              <w:bottom w:val="single" w:color="auto" w:sz="4" w:space="0"/>
              <w:right w:val="single" w:color="auto" w:sz="4" w:space="0"/>
            </w:tcBorders>
            <w:noWrap w:val="0"/>
            <w:vAlign w:val="center"/>
          </w:tcPr>
          <w:p w14:paraId="1B5B310B">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913" w:type="dxa"/>
            <w:tcBorders>
              <w:top w:val="nil"/>
              <w:left w:val="nil"/>
              <w:bottom w:val="single" w:color="auto" w:sz="4" w:space="0"/>
              <w:right w:val="single" w:color="auto" w:sz="4" w:space="0"/>
            </w:tcBorders>
            <w:noWrap w:val="0"/>
            <w:vAlign w:val="center"/>
          </w:tcPr>
          <w:p w14:paraId="58949945">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66" w:type="dxa"/>
            <w:tcBorders>
              <w:top w:val="nil"/>
              <w:left w:val="nil"/>
              <w:bottom w:val="single" w:color="auto" w:sz="4" w:space="0"/>
              <w:right w:val="single" w:color="auto" w:sz="4" w:space="0"/>
            </w:tcBorders>
            <w:noWrap w:val="0"/>
            <w:vAlign w:val="center"/>
          </w:tcPr>
          <w:p w14:paraId="650C3B5C">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5000≤Y＜40000</w:t>
            </w:r>
          </w:p>
        </w:tc>
        <w:tc>
          <w:tcPr>
            <w:tcW w:w="1743" w:type="dxa"/>
            <w:tcBorders>
              <w:top w:val="nil"/>
              <w:left w:val="nil"/>
              <w:bottom w:val="single" w:color="auto" w:sz="4" w:space="0"/>
              <w:right w:val="single" w:color="auto" w:sz="4" w:space="0"/>
            </w:tcBorders>
            <w:noWrap w:val="0"/>
            <w:vAlign w:val="center"/>
          </w:tcPr>
          <w:p w14:paraId="4B410C3A">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1000≤Y＜5000</w:t>
            </w:r>
          </w:p>
        </w:tc>
        <w:tc>
          <w:tcPr>
            <w:tcW w:w="1142" w:type="dxa"/>
            <w:tcBorders>
              <w:top w:val="nil"/>
              <w:left w:val="nil"/>
              <w:bottom w:val="single" w:color="auto" w:sz="4" w:space="0"/>
              <w:right w:val="single" w:color="auto" w:sz="4" w:space="0"/>
            </w:tcBorders>
            <w:noWrap w:val="0"/>
            <w:vAlign w:val="center"/>
          </w:tcPr>
          <w:p w14:paraId="0D365E32">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Y＜1000</w:t>
            </w:r>
          </w:p>
        </w:tc>
      </w:tr>
      <w:tr w14:paraId="2A06798F">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noWrap w:val="0"/>
            <w:vAlign w:val="center"/>
          </w:tcPr>
          <w:p w14:paraId="1841E150">
            <w:pPr>
              <w:widowControl/>
              <w:shd w:val="clear" w:color="auto" w:fill="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零售业</w:t>
            </w:r>
          </w:p>
        </w:tc>
        <w:tc>
          <w:tcPr>
            <w:tcW w:w="1384" w:type="dxa"/>
            <w:tcBorders>
              <w:top w:val="nil"/>
              <w:left w:val="nil"/>
              <w:bottom w:val="single" w:color="auto" w:sz="4" w:space="0"/>
              <w:right w:val="single" w:color="auto" w:sz="4" w:space="0"/>
            </w:tcBorders>
            <w:noWrap w:val="0"/>
            <w:vAlign w:val="center"/>
          </w:tcPr>
          <w:p w14:paraId="1E9FBD93">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913" w:type="dxa"/>
            <w:tcBorders>
              <w:top w:val="nil"/>
              <w:left w:val="nil"/>
              <w:bottom w:val="single" w:color="auto" w:sz="4" w:space="0"/>
              <w:right w:val="single" w:color="auto" w:sz="4" w:space="0"/>
            </w:tcBorders>
            <w:noWrap w:val="0"/>
            <w:vAlign w:val="center"/>
          </w:tcPr>
          <w:p w14:paraId="17C20318">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966" w:type="dxa"/>
            <w:tcBorders>
              <w:top w:val="nil"/>
              <w:left w:val="nil"/>
              <w:bottom w:val="single" w:color="auto" w:sz="4" w:space="0"/>
              <w:right w:val="single" w:color="auto" w:sz="4" w:space="0"/>
            </w:tcBorders>
            <w:noWrap w:val="0"/>
            <w:vAlign w:val="center"/>
          </w:tcPr>
          <w:p w14:paraId="64E4E51A">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50≤X＜300</w:t>
            </w:r>
          </w:p>
        </w:tc>
        <w:tc>
          <w:tcPr>
            <w:tcW w:w="1743" w:type="dxa"/>
            <w:tcBorders>
              <w:top w:val="nil"/>
              <w:left w:val="nil"/>
              <w:bottom w:val="single" w:color="auto" w:sz="4" w:space="0"/>
              <w:right w:val="single" w:color="auto" w:sz="4" w:space="0"/>
            </w:tcBorders>
            <w:noWrap w:val="0"/>
            <w:vAlign w:val="center"/>
          </w:tcPr>
          <w:p w14:paraId="5D398626">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10≤X＜50</w:t>
            </w:r>
          </w:p>
        </w:tc>
        <w:tc>
          <w:tcPr>
            <w:tcW w:w="1142" w:type="dxa"/>
            <w:tcBorders>
              <w:top w:val="nil"/>
              <w:left w:val="nil"/>
              <w:bottom w:val="single" w:color="auto" w:sz="4" w:space="0"/>
              <w:right w:val="single" w:color="auto" w:sz="4" w:space="0"/>
            </w:tcBorders>
            <w:noWrap w:val="0"/>
            <w:vAlign w:val="center"/>
          </w:tcPr>
          <w:p w14:paraId="0ECD6737">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X＜10</w:t>
            </w:r>
          </w:p>
        </w:tc>
      </w:tr>
      <w:tr w14:paraId="0BA7E075">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noWrap w:val="0"/>
            <w:vAlign w:val="center"/>
          </w:tcPr>
          <w:p w14:paraId="6EE17236">
            <w:pPr>
              <w:widowControl/>
              <w:shd w:val="clear" w:color="auto" w:fill="auto"/>
              <w:jc w:val="left"/>
              <w:rPr>
                <w:rFonts w:hint="eastAsia" w:ascii="宋体" w:hAnsi="宋体" w:eastAsia="宋体" w:cs="宋体"/>
                <w:b/>
                <w:bCs/>
                <w:color w:val="auto"/>
                <w:kern w:val="0"/>
                <w:szCs w:val="21"/>
                <w:highlight w:val="none"/>
              </w:rPr>
            </w:pPr>
          </w:p>
        </w:tc>
        <w:tc>
          <w:tcPr>
            <w:tcW w:w="1384" w:type="dxa"/>
            <w:tcBorders>
              <w:top w:val="nil"/>
              <w:left w:val="nil"/>
              <w:bottom w:val="single" w:color="auto" w:sz="4" w:space="0"/>
              <w:right w:val="single" w:color="auto" w:sz="4" w:space="0"/>
            </w:tcBorders>
            <w:noWrap w:val="0"/>
            <w:vAlign w:val="center"/>
          </w:tcPr>
          <w:p w14:paraId="13E61927">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913" w:type="dxa"/>
            <w:tcBorders>
              <w:top w:val="nil"/>
              <w:left w:val="nil"/>
              <w:bottom w:val="single" w:color="auto" w:sz="4" w:space="0"/>
              <w:right w:val="single" w:color="auto" w:sz="4" w:space="0"/>
            </w:tcBorders>
            <w:noWrap w:val="0"/>
            <w:vAlign w:val="center"/>
          </w:tcPr>
          <w:p w14:paraId="3EBB6291">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66" w:type="dxa"/>
            <w:tcBorders>
              <w:top w:val="nil"/>
              <w:left w:val="nil"/>
              <w:bottom w:val="single" w:color="auto" w:sz="4" w:space="0"/>
              <w:right w:val="single" w:color="auto" w:sz="4" w:space="0"/>
            </w:tcBorders>
            <w:noWrap w:val="0"/>
            <w:vAlign w:val="center"/>
          </w:tcPr>
          <w:p w14:paraId="48BFBBD0">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500≤Y＜20000</w:t>
            </w:r>
          </w:p>
        </w:tc>
        <w:tc>
          <w:tcPr>
            <w:tcW w:w="1743" w:type="dxa"/>
            <w:tcBorders>
              <w:top w:val="nil"/>
              <w:left w:val="nil"/>
              <w:bottom w:val="single" w:color="auto" w:sz="4" w:space="0"/>
              <w:right w:val="single" w:color="auto" w:sz="4" w:space="0"/>
            </w:tcBorders>
            <w:noWrap w:val="0"/>
            <w:vAlign w:val="center"/>
          </w:tcPr>
          <w:p w14:paraId="0A14C9C1">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100≤Y＜500</w:t>
            </w:r>
          </w:p>
        </w:tc>
        <w:tc>
          <w:tcPr>
            <w:tcW w:w="1142" w:type="dxa"/>
            <w:tcBorders>
              <w:top w:val="nil"/>
              <w:left w:val="nil"/>
              <w:bottom w:val="single" w:color="auto" w:sz="4" w:space="0"/>
              <w:right w:val="single" w:color="auto" w:sz="4" w:space="0"/>
            </w:tcBorders>
            <w:noWrap w:val="0"/>
            <w:vAlign w:val="center"/>
          </w:tcPr>
          <w:p w14:paraId="3BC51B32">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Y＜100</w:t>
            </w:r>
          </w:p>
        </w:tc>
      </w:tr>
      <w:tr w14:paraId="596D650F">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noWrap w:val="0"/>
            <w:vAlign w:val="center"/>
          </w:tcPr>
          <w:p w14:paraId="46919323">
            <w:pPr>
              <w:widowControl/>
              <w:shd w:val="clear" w:color="auto" w:fill="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交通运输业</w:t>
            </w:r>
          </w:p>
        </w:tc>
        <w:tc>
          <w:tcPr>
            <w:tcW w:w="1384" w:type="dxa"/>
            <w:tcBorders>
              <w:top w:val="nil"/>
              <w:left w:val="nil"/>
              <w:bottom w:val="single" w:color="auto" w:sz="4" w:space="0"/>
              <w:right w:val="single" w:color="auto" w:sz="4" w:space="0"/>
            </w:tcBorders>
            <w:noWrap w:val="0"/>
            <w:vAlign w:val="center"/>
          </w:tcPr>
          <w:p w14:paraId="7DC87B08">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913" w:type="dxa"/>
            <w:tcBorders>
              <w:top w:val="nil"/>
              <w:left w:val="nil"/>
              <w:bottom w:val="single" w:color="auto" w:sz="4" w:space="0"/>
              <w:right w:val="single" w:color="auto" w:sz="4" w:space="0"/>
            </w:tcBorders>
            <w:noWrap w:val="0"/>
            <w:vAlign w:val="center"/>
          </w:tcPr>
          <w:p w14:paraId="021A1398">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966" w:type="dxa"/>
            <w:tcBorders>
              <w:top w:val="nil"/>
              <w:left w:val="nil"/>
              <w:bottom w:val="single" w:color="auto" w:sz="4" w:space="0"/>
              <w:right w:val="single" w:color="auto" w:sz="4" w:space="0"/>
            </w:tcBorders>
            <w:noWrap w:val="0"/>
            <w:vAlign w:val="center"/>
          </w:tcPr>
          <w:p w14:paraId="2BF94EF5">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300≤X＜1000</w:t>
            </w:r>
          </w:p>
        </w:tc>
        <w:tc>
          <w:tcPr>
            <w:tcW w:w="1743" w:type="dxa"/>
            <w:tcBorders>
              <w:top w:val="nil"/>
              <w:left w:val="nil"/>
              <w:bottom w:val="single" w:color="auto" w:sz="4" w:space="0"/>
              <w:right w:val="single" w:color="auto" w:sz="4" w:space="0"/>
            </w:tcBorders>
            <w:noWrap w:val="0"/>
            <w:vAlign w:val="center"/>
          </w:tcPr>
          <w:p w14:paraId="25E2AA6A">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20≤X＜300</w:t>
            </w:r>
          </w:p>
        </w:tc>
        <w:tc>
          <w:tcPr>
            <w:tcW w:w="1142" w:type="dxa"/>
            <w:tcBorders>
              <w:top w:val="nil"/>
              <w:left w:val="nil"/>
              <w:bottom w:val="single" w:color="auto" w:sz="4" w:space="0"/>
              <w:right w:val="single" w:color="auto" w:sz="4" w:space="0"/>
            </w:tcBorders>
            <w:noWrap w:val="0"/>
            <w:vAlign w:val="center"/>
          </w:tcPr>
          <w:p w14:paraId="77FB82BC">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X＜20</w:t>
            </w:r>
          </w:p>
        </w:tc>
      </w:tr>
      <w:tr w14:paraId="6AE6EB1C">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noWrap w:val="0"/>
            <w:vAlign w:val="center"/>
          </w:tcPr>
          <w:p w14:paraId="4103FD68">
            <w:pPr>
              <w:widowControl/>
              <w:shd w:val="clear" w:color="auto" w:fill="auto"/>
              <w:jc w:val="left"/>
              <w:rPr>
                <w:rFonts w:hint="eastAsia" w:ascii="宋体" w:hAnsi="宋体" w:eastAsia="宋体" w:cs="宋体"/>
                <w:b/>
                <w:bCs/>
                <w:color w:val="auto"/>
                <w:kern w:val="0"/>
                <w:szCs w:val="21"/>
                <w:highlight w:val="none"/>
              </w:rPr>
            </w:pPr>
          </w:p>
        </w:tc>
        <w:tc>
          <w:tcPr>
            <w:tcW w:w="1384" w:type="dxa"/>
            <w:tcBorders>
              <w:top w:val="nil"/>
              <w:left w:val="nil"/>
              <w:bottom w:val="single" w:color="auto" w:sz="4" w:space="0"/>
              <w:right w:val="single" w:color="auto" w:sz="4" w:space="0"/>
            </w:tcBorders>
            <w:noWrap w:val="0"/>
            <w:vAlign w:val="center"/>
          </w:tcPr>
          <w:p w14:paraId="5D64A092">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913" w:type="dxa"/>
            <w:tcBorders>
              <w:top w:val="nil"/>
              <w:left w:val="nil"/>
              <w:bottom w:val="single" w:color="auto" w:sz="4" w:space="0"/>
              <w:right w:val="single" w:color="auto" w:sz="4" w:space="0"/>
            </w:tcBorders>
            <w:noWrap w:val="0"/>
            <w:vAlign w:val="center"/>
          </w:tcPr>
          <w:p w14:paraId="4D90E490">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66" w:type="dxa"/>
            <w:tcBorders>
              <w:top w:val="nil"/>
              <w:left w:val="nil"/>
              <w:bottom w:val="single" w:color="auto" w:sz="4" w:space="0"/>
              <w:right w:val="single" w:color="auto" w:sz="4" w:space="0"/>
            </w:tcBorders>
            <w:noWrap w:val="0"/>
            <w:vAlign w:val="center"/>
          </w:tcPr>
          <w:p w14:paraId="789FBC89">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3000≤Y＜30000</w:t>
            </w:r>
          </w:p>
        </w:tc>
        <w:tc>
          <w:tcPr>
            <w:tcW w:w="1743" w:type="dxa"/>
            <w:tcBorders>
              <w:top w:val="nil"/>
              <w:left w:val="nil"/>
              <w:bottom w:val="single" w:color="auto" w:sz="4" w:space="0"/>
              <w:right w:val="single" w:color="auto" w:sz="4" w:space="0"/>
            </w:tcBorders>
            <w:noWrap w:val="0"/>
            <w:vAlign w:val="center"/>
          </w:tcPr>
          <w:p w14:paraId="74E92588">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200≤Y＜3000</w:t>
            </w:r>
          </w:p>
        </w:tc>
        <w:tc>
          <w:tcPr>
            <w:tcW w:w="1142" w:type="dxa"/>
            <w:tcBorders>
              <w:top w:val="nil"/>
              <w:left w:val="nil"/>
              <w:bottom w:val="single" w:color="auto" w:sz="4" w:space="0"/>
              <w:right w:val="single" w:color="auto" w:sz="4" w:space="0"/>
            </w:tcBorders>
            <w:noWrap w:val="0"/>
            <w:vAlign w:val="center"/>
          </w:tcPr>
          <w:p w14:paraId="76EE52D9">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Y＜200</w:t>
            </w:r>
          </w:p>
        </w:tc>
      </w:tr>
      <w:tr w14:paraId="41239FCE">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noWrap w:val="0"/>
            <w:vAlign w:val="center"/>
          </w:tcPr>
          <w:p w14:paraId="7971D899">
            <w:pPr>
              <w:widowControl/>
              <w:shd w:val="clear" w:color="auto" w:fill="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仓储业</w:t>
            </w:r>
          </w:p>
        </w:tc>
        <w:tc>
          <w:tcPr>
            <w:tcW w:w="1384" w:type="dxa"/>
            <w:tcBorders>
              <w:top w:val="nil"/>
              <w:left w:val="nil"/>
              <w:bottom w:val="single" w:color="auto" w:sz="4" w:space="0"/>
              <w:right w:val="single" w:color="auto" w:sz="4" w:space="0"/>
            </w:tcBorders>
            <w:noWrap w:val="0"/>
            <w:vAlign w:val="center"/>
          </w:tcPr>
          <w:p w14:paraId="4BE8C139">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913" w:type="dxa"/>
            <w:tcBorders>
              <w:top w:val="nil"/>
              <w:left w:val="nil"/>
              <w:bottom w:val="single" w:color="auto" w:sz="4" w:space="0"/>
              <w:right w:val="single" w:color="auto" w:sz="4" w:space="0"/>
            </w:tcBorders>
            <w:noWrap w:val="0"/>
            <w:vAlign w:val="center"/>
          </w:tcPr>
          <w:p w14:paraId="3C59DBAE">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966" w:type="dxa"/>
            <w:tcBorders>
              <w:top w:val="nil"/>
              <w:left w:val="nil"/>
              <w:bottom w:val="single" w:color="auto" w:sz="4" w:space="0"/>
              <w:right w:val="single" w:color="auto" w:sz="4" w:space="0"/>
            </w:tcBorders>
            <w:noWrap w:val="0"/>
            <w:vAlign w:val="center"/>
          </w:tcPr>
          <w:p w14:paraId="1BD14502">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100≤X＜200</w:t>
            </w:r>
          </w:p>
        </w:tc>
        <w:tc>
          <w:tcPr>
            <w:tcW w:w="1743" w:type="dxa"/>
            <w:tcBorders>
              <w:top w:val="nil"/>
              <w:left w:val="nil"/>
              <w:bottom w:val="single" w:color="auto" w:sz="4" w:space="0"/>
              <w:right w:val="single" w:color="auto" w:sz="4" w:space="0"/>
            </w:tcBorders>
            <w:noWrap w:val="0"/>
            <w:vAlign w:val="center"/>
          </w:tcPr>
          <w:p w14:paraId="3692F9B1">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20≤X＜100</w:t>
            </w:r>
          </w:p>
        </w:tc>
        <w:tc>
          <w:tcPr>
            <w:tcW w:w="1142" w:type="dxa"/>
            <w:tcBorders>
              <w:top w:val="nil"/>
              <w:left w:val="nil"/>
              <w:bottom w:val="single" w:color="auto" w:sz="4" w:space="0"/>
              <w:right w:val="single" w:color="auto" w:sz="4" w:space="0"/>
            </w:tcBorders>
            <w:noWrap w:val="0"/>
            <w:vAlign w:val="center"/>
          </w:tcPr>
          <w:p w14:paraId="4583E062">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X＜20</w:t>
            </w:r>
          </w:p>
        </w:tc>
      </w:tr>
      <w:tr w14:paraId="67F255B1">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noWrap w:val="0"/>
            <w:vAlign w:val="center"/>
          </w:tcPr>
          <w:p w14:paraId="03B94872">
            <w:pPr>
              <w:widowControl/>
              <w:shd w:val="clear" w:color="auto" w:fill="auto"/>
              <w:jc w:val="left"/>
              <w:rPr>
                <w:rFonts w:hint="eastAsia" w:ascii="宋体" w:hAnsi="宋体" w:eastAsia="宋体" w:cs="宋体"/>
                <w:b/>
                <w:bCs/>
                <w:color w:val="auto"/>
                <w:kern w:val="0"/>
                <w:szCs w:val="21"/>
                <w:highlight w:val="none"/>
              </w:rPr>
            </w:pPr>
          </w:p>
        </w:tc>
        <w:tc>
          <w:tcPr>
            <w:tcW w:w="1384" w:type="dxa"/>
            <w:tcBorders>
              <w:top w:val="nil"/>
              <w:left w:val="nil"/>
              <w:bottom w:val="single" w:color="auto" w:sz="4" w:space="0"/>
              <w:right w:val="single" w:color="auto" w:sz="4" w:space="0"/>
            </w:tcBorders>
            <w:noWrap w:val="0"/>
            <w:vAlign w:val="center"/>
          </w:tcPr>
          <w:p w14:paraId="3676F0AF">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913" w:type="dxa"/>
            <w:tcBorders>
              <w:top w:val="nil"/>
              <w:left w:val="nil"/>
              <w:bottom w:val="single" w:color="auto" w:sz="4" w:space="0"/>
              <w:right w:val="single" w:color="auto" w:sz="4" w:space="0"/>
            </w:tcBorders>
            <w:noWrap w:val="0"/>
            <w:vAlign w:val="center"/>
          </w:tcPr>
          <w:p w14:paraId="567834B8">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66" w:type="dxa"/>
            <w:tcBorders>
              <w:top w:val="nil"/>
              <w:left w:val="nil"/>
              <w:bottom w:val="single" w:color="auto" w:sz="4" w:space="0"/>
              <w:right w:val="single" w:color="auto" w:sz="4" w:space="0"/>
            </w:tcBorders>
            <w:noWrap w:val="0"/>
            <w:vAlign w:val="center"/>
          </w:tcPr>
          <w:p w14:paraId="1B604115">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1000≤Y＜30000</w:t>
            </w:r>
          </w:p>
        </w:tc>
        <w:tc>
          <w:tcPr>
            <w:tcW w:w="1743" w:type="dxa"/>
            <w:tcBorders>
              <w:top w:val="nil"/>
              <w:left w:val="nil"/>
              <w:bottom w:val="single" w:color="auto" w:sz="4" w:space="0"/>
              <w:right w:val="single" w:color="auto" w:sz="4" w:space="0"/>
            </w:tcBorders>
            <w:noWrap w:val="0"/>
            <w:vAlign w:val="center"/>
          </w:tcPr>
          <w:p w14:paraId="1A47AE93">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100≤Y＜1000</w:t>
            </w:r>
          </w:p>
        </w:tc>
        <w:tc>
          <w:tcPr>
            <w:tcW w:w="1142" w:type="dxa"/>
            <w:tcBorders>
              <w:top w:val="nil"/>
              <w:left w:val="nil"/>
              <w:bottom w:val="single" w:color="auto" w:sz="4" w:space="0"/>
              <w:right w:val="single" w:color="auto" w:sz="4" w:space="0"/>
            </w:tcBorders>
            <w:noWrap w:val="0"/>
            <w:vAlign w:val="center"/>
          </w:tcPr>
          <w:p w14:paraId="7C7C3D43">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Y＜100</w:t>
            </w:r>
          </w:p>
        </w:tc>
      </w:tr>
      <w:tr w14:paraId="4D9C0416">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noWrap w:val="0"/>
            <w:vAlign w:val="center"/>
          </w:tcPr>
          <w:p w14:paraId="6B194FF4">
            <w:pPr>
              <w:widowControl/>
              <w:shd w:val="clear" w:color="auto" w:fill="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邮政业</w:t>
            </w:r>
          </w:p>
        </w:tc>
        <w:tc>
          <w:tcPr>
            <w:tcW w:w="1384" w:type="dxa"/>
            <w:tcBorders>
              <w:top w:val="nil"/>
              <w:left w:val="nil"/>
              <w:bottom w:val="single" w:color="auto" w:sz="4" w:space="0"/>
              <w:right w:val="single" w:color="auto" w:sz="4" w:space="0"/>
            </w:tcBorders>
            <w:noWrap w:val="0"/>
            <w:vAlign w:val="center"/>
          </w:tcPr>
          <w:p w14:paraId="41AAF54C">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913" w:type="dxa"/>
            <w:tcBorders>
              <w:top w:val="nil"/>
              <w:left w:val="nil"/>
              <w:bottom w:val="single" w:color="auto" w:sz="4" w:space="0"/>
              <w:right w:val="single" w:color="auto" w:sz="4" w:space="0"/>
            </w:tcBorders>
            <w:noWrap w:val="0"/>
            <w:vAlign w:val="center"/>
          </w:tcPr>
          <w:p w14:paraId="0F3DF8E0">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966" w:type="dxa"/>
            <w:tcBorders>
              <w:top w:val="nil"/>
              <w:left w:val="nil"/>
              <w:bottom w:val="single" w:color="auto" w:sz="4" w:space="0"/>
              <w:right w:val="single" w:color="auto" w:sz="4" w:space="0"/>
            </w:tcBorders>
            <w:noWrap w:val="0"/>
            <w:vAlign w:val="center"/>
          </w:tcPr>
          <w:p w14:paraId="4B016CE1">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300≤X＜1000</w:t>
            </w:r>
          </w:p>
        </w:tc>
        <w:tc>
          <w:tcPr>
            <w:tcW w:w="1743" w:type="dxa"/>
            <w:tcBorders>
              <w:top w:val="nil"/>
              <w:left w:val="nil"/>
              <w:bottom w:val="single" w:color="auto" w:sz="4" w:space="0"/>
              <w:right w:val="single" w:color="auto" w:sz="4" w:space="0"/>
            </w:tcBorders>
            <w:noWrap w:val="0"/>
            <w:vAlign w:val="center"/>
          </w:tcPr>
          <w:p w14:paraId="38F515B5">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20≤X＜300</w:t>
            </w:r>
          </w:p>
        </w:tc>
        <w:tc>
          <w:tcPr>
            <w:tcW w:w="1142" w:type="dxa"/>
            <w:tcBorders>
              <w:top w:val="nil"/>
              <w:left w:val="nil"/>
              <w:bottom w:val="single" w:color="auto" w:sz="4" w:space="0"/>
              <w:right w:val="single" w:color="auto" w:sz="4" w:space="0"/>
            </w:tcBorders>
            <w:noWrap w:val="0"/>
            <w:vAlign w:val="center"/>
          </w:tcPr>
          <w:p w14:paraId="6C887CDF">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X＜20</w:t>
            </w:r>
          </w:p>
        </w:tc>
      </w:tr>
      <w:tr w14:paraId="5B1EECDE">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noWrap w:val="0"/>
            <w:vAlign w:val="center"/>
          </w:tcPr>
          <w:p w14:paraId="5FBC1C21">
            <w:pPr>
              <w:widowControl/>
              <w:shd w:val="clear" w:color="auto" w:fill="auto"/>
              <w:jc w:val="left"/>
              <w:rPr>
                <w:rFonts w:hint="eastAsia" w:ascii="宋体" w:hAnsi="宋体" w:eastAsia="宋体" w:cs="宋体"/>
                <w:b/>
                <w:bCs/>
                <w:color w:val="auto"/>
                <w:kern w:val="0"/>
                <w:szCs w:val="21"/>
                <w:highlight w:val="none"/>
              </w:rPr>
            </w:pPr>
          </w:p>
        </w:tc>
        <w:tc>
          <w:tcPr>
            <w:tcW w:w="1384" w:type="dxa"/>
            <w:tcBorders>
              <w:top w:val="nil"/>
              <w:left w:val="nil"/>
              <w:bottom w:val="single" w:color="auto" w:sz="4" w:space="0"/>
              <w:right w:val="single" w:color="auto" w:sz="4" w:space="0"/>
            </w:tcBorders>
            <w:noWrap w:val="0"/>
            <w:vAlign w:val="center"/>
          </w:tcPr>
          <w:p w14:paraId="1318C904">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913" w:type="dxa"/>
            <w:tcBorders>
              <w:top w:val="nil"/>
              <w:left w:val="nil"/>
              <w:bottom w:val="single" w:color="auto" w:sz="4" w:space="0"/>
              <w:right w:val="single" w:color="auto" w:sz="4" w:space="0"/>
            </w:tcBorders>
            <w:noWrap w:val="0"/>
            <w:vAlign w:val="center"/>
          </w:tcPr>
          <w:p w14:paraId="797D7916">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66" w:type="dxa"/>
            <w:tcBorders>
              <w:top w:val="nil"/>
              <w:left w:val="nil"/>
              <w:bottom w:val="single" w:color="auto" w:sz="4" w:space="0"/>
              <w:right w:val="single" w:color="auto" w:sz="4" w:space="0"/>
            </w:tcBorders>
            <w:noWrap w:val="0"/>
            <w:vAlign w:val="center"/>
          </w:tcPr>
          <w:p w14:paraId="24D2CDC5">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2000≤Y＜30000</w:t>
            </w:r>
          </w:p>
        </w:tc>
        <w:tc>
          <w:tcPr>
            <w:tcW w:w="1743" w:type="dxa"/>
            <w:tcBorders>
              <w:top w:val="nil"/>
              <w:left w:val="nil"/>
              <w:bottom w:val="single" w:color="auto" w:sz="4" w:space="0"/>
              <w:right w:val="single" w:color="auto" w:sz="4" w:space="0"/>
            </w:tcBorders>
            <w:noWrap w:val="0"/>
            <w:vAlign w:val="center"/>
          </w:tcPr>
          <w:p w14:paraId="3E789392">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100≤Y＜2000</w:t>
            </w:r>
          </w:p>
        </w:tc>
        <w:tc>
          <w:tcPr>
            <w:tcW w:w="1142" w:type="dxa"/>
            <w:tcBorders>
              <w:top w:val="nil"/>
              <w:left w:val="nil"/>
              <w:bottom w:val="single" w:color="auto" w:sz="4" w:space="0"/>
              <w:right w:val="single" w:color="auto" w:sz="4" w:space="0"/>
            </w:tcBorders>
            <w:noWrap w:val="0"/>
            <w:vAlign w:val="center"/>
          </w:tcPr>
          <w:p w14:paraId="5B14DFC7">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Y＜100</w:t>
            </w:r>
          </w:p>
        </w:tc>
      </w:tr>
      <w:tr w14:paraId="5AEAD563">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noWrap w:val="0"/>
            <w:vAlign w:val="center"/>
          </w:tcPr>
          <w:p w14:paraId="288485BC">
            <w:pPr>
              <w:widowControl/>
              <w:shd w:val="clear" w:color="auto" w:fill="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住宿业</w:t>
            </w:r>
          </w:p>
        </w:tc>
        <w:tc>
          <w:tcPr>
            <w:tcW w:w="1384" w:type="dxa"/>
            <w:tcBorders>
              <w:top w:val="nil"/>
              <w:left w:val="nil"/>
              <w:bottom w:val="single" w:color="auto" w:sz="4" w:space="0"/>
              <w:right w:val="single" w:color="auto" w:sz="4" w:space="0"/>
            </w:tcBorders>
            <w:noWrap w:val="0"/>
            <w:vAlign w:val="center"/>
          </w:tcPr>
          <w:p w14:paraId="31C4946D">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913" w:type="dxa"/>
            <w:tcBorders>
              <w:top w:val="nil"/>
              <w:left w:val="nil"/>
              <w:bottom w:val="single" w:color="auto" w:sz="4" w:space="0"/>
              <w:right w:val="single" w:color="auto" w:sz="4" w:space="0"/>
            </w:tcBorders>
            <w:noWrap w:val="0"/>
            <w:vAlign w:val="center"/>
          </w:tcPr>
          <w:p w14:paraId="7D1F212F">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966" w:type="dxa"/>
            <w:tcBorders>
              <w:top w:val="nil"/>
              <w:left w:val="nil"/>
              <w:bottom w:val="single" w:color="auto" w:sz="4" w:space="0"/>
              <w:right w:val="single" w:color="auto" w:sz="4" w:space="0"/>
            </w:tcBorders>
            <w:noWrap w:val="0"/>
            <w:vAlign w:val="center"/>
          </w:tcPr>
          <w:p w14:paraId="09F1E9B5">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100≤X＜300</w:t>
            </w:r>
          </w:p>
        </w:tc>
        <w:tc>
          <w:tcPr>
            <w:tcW w:w="1743" w:type="dxa"/>
            <w:tcBorders>
              <w:top w:val="nil"/>
              <w:left w:val="nil"/>
              <w:bottom w:val="single" w:color="auto" w:sz="4" w:space="0"/>
              <w:right w:val="single" w:color="auto" w:sz="4" w:space="0"/>
            </w:tcBorders>
            <w:noWrap w:val="0"/>
            <w:vAlign w:val="center"/>
          </w:tcPr>
          <w:p w14:paraId="085A57C2">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10≤X＜100</w:t>
            </w:r>
          </w:p>
        </w:tc>
        <w:tc>
          <w:tcPr>
            <w:tcW w:w="1142" w:type="dxa"/>
            <w:tcBorders>
              <w:top w:val="nil"/>
              <w:left w:val="nil"/>
              <w:bottom w:val="single" w:color="auto" w:sz="4" w:space="0"/>
              <w:right w:val="single" w:color="auto" w:sz="4" w:space="0"/>
            </w:tcBorders>
            <w:noWrap w:val="0"/>
            <w:vAlign w:val="center"/>
          </w:tcPr>
          <w:p w14:paraId="4D93CDCB">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X＜10</w:t>
            </w:r>
          </w:p>
        </w:tc>
      </w:tr>
      <w:tr w14:paraId="79FCFB18">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noWrap w:val="0"/>
            <w:vAlign w:val="center"/>
          </w:tcPr>
          <w:p w14:paraId="53A8AB1D">
            <w:pPr>
              <w:widowControl/>
              <w:shd w:val="clear" w:color="auto" w:fill="auto"/>
              <w:jc w:val="left"/>
              <w:rPr>
                <w:rFonts w:hint="eastAsia" w:ascii="宋体" w:hAnsi="宋体" w:eastAsia="宋体" w:cs="宋体"/>
                <w:b/>
                <w:bCs/>
                <w:color w:val="auto"/>
                <w:kern w:val="0"/>
                <w:szCs w:val="21"/>
                <w:highlight w:val="none"/>
              </w:rPr>
            </w:pPr>
          </w:p>
        </w:tc>
        <w:tc>
          <w:tcPr>
            <w:tcW w:w="1384" w:type="dxa"/>
            <w:tcBorders>
              <w:top w:val="nil"/>
              <w:left w:val="nil"/>
              <w:bottom w:val="single" w:color="auto" w:sz="4" w:space="0"/>
              <w:right w:val="single" w:color="auto" w:sz="4" w:space="0"/>
            </w:tcBorders>
            <w:noWrap w:val="0"/>
            <w:vAlign w:val="center"/>
          </w:tcPr>
          <w:p w14:paraId="4B85BDB3">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913" w:type="dxa"/>
            <w:tcBorders>
              <w:top w:val="nil"/>
              <w:left w:val="nil"/>
              <w:bottom w:val="single" w:color="auto" w:sz="4" w:space="0"/>
              <w:right w:val="single" w:color="auto" w:sz="4" w:space="0"/>
            </w:tcBorders>
            <w:noWrap w:val="0"/>
            <w:vAlign w:val="center"/>
          </w:tcPr>
          <w:p w14:paraId="2A0D3C89">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66" w:type="dxa"/>
            <w:tcBorders>
              <w:top w:val="nil"/>
              <w:left w:val="nil"/>
              <w:bottom w:val="single" w:color="auto" w:sz="4" w:space="0"/>
              <w:right w:val="single" w:color="auto" w:sz="4" w:space="0"/>
            </w:tcBorders>
            <w:noWrap w:val="0"/>
            <w:vAlign w:val="center"/>
          </w:tcPr>
          <w:p w14:paraId="08EE7C7B">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2000≤Y＜10000</w:t>
            </w:r>
          </w:p>
        </w:tc>
        <w:tc>
          <w:tcPr>
            <w:tcW w:w="1743" w:type="dxa"/>
            <w:tcBorders>
              <w:top w:val="nil"/>
              <w:left w:val="nil"/>
              <w:bottom w:val="single" w:color="auto" w:sz="4" w:space="0"/>
              <w:right w:val="single" w:color="auto" w:sz="4" w:space="0"/>
            </w:tcBorders>
            <w:noWrap w:val="0"/>
            <w:vAlign w:val="center"/>
          </w:tcPr>
          <w:p w14:paraId="3D0C09BD">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100≤Y＜2000</w:t>
            </w:r>
          </w:p>
        </w:tc>
        <w:tc>
          <w:tcPr>
            <w:tcW w:w="1142" w:type="dxa"/>
            <w:tcBorders>
              <w:top w:val="nil"/>
              <w:left w:val="nil"/>
              <w:bottom w:val="single" w:color="auto" w:sz="4" w:space="0"/>
              <w:right w:val="single" w:color="auto" w:sz="4" w:space="0"/>
            </w:tcBorders>
            <w:noWrap w:val="0"/>
            <w:vAlign w:val="center"/>
          </w:tcPr>
          <w:p w14:paraId="66996819">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Y＜100</w:t>
            </w:r>
          </w:p>
        </w:tc>
      </w:tr>
      <w:tr w14:paraId="248BDFF4">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noWrap w:val="0"/>
            <w:vAlign w:val="center"/>
          </w:tcPr>
          <w:p w14:paraId="308CD506">
            <w:pPr>
              <w:widowControl/>
              <w:shd w:val="clear" w:color="auto" w:fill="auto"/>
              <w:jc w:val="center"/>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餐饮业</w:t>
            </w:r>
          </w:p>
        </w:tc>
        <w:tc>
          <w:tcPr>
            <w:tcW w:w="1384" w:type="dxa"/>
            <w:tcBorders>
              <w:top w:val="nil"/>
              <w:left w:val="nil"/>
              <w:bottom w:val="single" w:color="auto" w:sz="4" w:space="0"/>
              <w:right w:val="single" w:color="auto" w:sz="4" w:space="0"/>
            </w:tcBorders>
            <w:noWrap w:val="0"/>
            <w:vAlign w:val="center"/>
          </w:tcPr>
          <w:p w14:paraId="1EDF7242">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913" w:type="dxa"/>
            <w:tcBorders>
              <w:top w:val="nil"/>
              <w:left w:val="nil"/>
              <w:bottom w:val="single" w:color="auto" w:sz="4" w:space="0"/>
              <w:right w:val="single" w:color="auto" w:sz="4" w:space="0"/>
            </w:tcBorders>
            <w:noWrap w:val="0"/>
            <w:vAlign w:val="center"/>
          </w:tcPr>
          <w:p w14:paraId="13D994FA">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966" w:type="dxa"/>
            <w:tcBorders>
              <w:top w:val="nil"/>
              <w:left w:val="nil"/>
              <w:bottom w:val="single" w:color="auto" w:sz="4" w:space="0"/>
              <w:right w:val="single" w:color="auto" w:sz="4" w:space="0"/>
            </w:tcBorders>
            <w:noWrap w:val="0"/>
            <w:vAlign w:val="center"/>
          </w:tcPr>
          <w:p w14:paraId="056C1C5A">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100≤X＜300</w:t>
            </w:r>
          </w:p>
        </w:tc>
        <w:tc>
          <w:tcPr>
            <w:tcW w:w="1743" w:type="dxa"/>
            <w:tcBorders>
              <w:top w:val="nil"/>
              <w:left w:val="nil"/>
              <w:bottom w:val="single" w:color="auto" w:sz="4" w:space="0"/>
              <w:right w:val="single" w:color="auto" w:sz="4" w:space="0"/>
            </w:tcBorders>
            <w:noWrap w:val="0"/>
            <w:vAlign w:val="center"/>
          </w:tcPr>
          <w:p w14:paraId="26D0F28A">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10≤X＜100</w:t>
            </w:r>
          </w:p>
        </w:tc>
        <w:tc>
          <w:tcPr>
            <w:tcW w:w="1142" w:type="dxa"/>
            <w:tcBorders>
              <w:top w:val="nil"/>
              <w:left w:val="nil"/>
              <w:bottom w:val="single" w:color="auto" w:sz="4" w:space="0"/>
              <w:right w:val="single" w:color="auto" w:sz="4" w:space="0"/>
            </w:tcBorders>
            <w:noWrap w:val="0"/>
            <w:vAlign w:val="center"/>
          </w:tcPr>
          <w:p w14:paraId="668B90FE">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X＜10</w:t>
            </w:r>
          </w:p>
        </w:tc>
      </w:tr>
      <w:tr w14:paraId="3795572E">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noWrap w:val="0"/>
            <w:vAlign w:val="center"/>
          </w:tcPr>
          <w:p w14:paraId="2AE87684">
            <w:pPr>
              <w:widowControl/>
              <w:shd w:val="clear" w:color="auto" w:fill="auto"/>
              <w:jc w:val="left"/>
              <w:rPr>
                <w:rFonts w:hint="eastAsia" w:ascii="宋体" w:hAnsi="宋体" w:eastAsia="宋体" w:cs="宋体"/>
                <w:b/>
                <w:bCs/>
                <w:color w:val="auto"/>
                <w:kern w:val="0"/>
                <w:szCs w:val="21"/>
                <w:highlight w:val="none"/>
              </w:rPr>
            </w:pPr>
          </w:p>
        </w:tc>
        <w:tc>
          <w:tcPr>
            <w:tcW w:w="1384" w:type="dxa"/>
            <w:tcBorders>
              <w:top w:val="nil"/>
              <w:left w:val="nil"/>
              <w:bottom w:val="single" w:color="auto" w:sz="4" w:space="0"/>
              <w:right w:val="single" w:color="auto" w:sz="4" w:space="0"/>
            </w:tcBorders>
            <w:noWrap w:val="0"/>
            <w:vAlign w:val="center"/>
          </w:tcPr>
          <w:p w14:paraId="7143EB7F">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913" w:type="dxa"/>
            <w:tcBorders>
              <w:top w:val="nil"/>
              <w:left w:val="nil"/>
              <w:bottom w:val="single" w:color="auto" w:sz="4" w:space="0"/>
              <w:right w:val="single" w:color="auto" w:sz="4" w:space="0"/>
            </w:tcBorders>
            <w:noWrap w:val="0"/>
            <w:vAlign w:val="center"/>
          </w:tcPr>
          <w:p w14:paraId="52CE515C">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66" w:type="dxa"/>
            <w:tcBorders>
              <w:top w:val="nil"/>
              <w:left w:val="nil"/>
              <w:bottom w:val="single" w:color="auto" w:sz="4" w:space="0"/>
              <w:right w:val="single" w:color="auto" w:sz="4" w:space="0"/>
            </w:tcBorders>
            <w:noWrap w:val="0"/>
            <w:vAlign w:val="center"/>
          </w:tcPr>
          <w:p w14:paraId="2AC055EF">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2000≤Y＜10000</w:t>
            </w:r>
          </w:p>
        </w:tc>
        <w:tc>
          <w:tcPr>
            <w:tcW w:w="1743" w:type="dxa"/>
            <w:tcBorders>
              <w:top w:val="nil"/>
              <w:left w:val="nil"/>
              <w:bottom w:val="single" w:color="auto" w:sz="4" w:space="0"/>
              <w:right w:val="single" w:color="auto" w:sz="4" w:space="0"/>
            </w:tcBorders>
            <w:noWrap w:val="0"/>
            <w:vAlign w:val="center"/>
          </w:tcPr>
          <w:p w14:paraId="1E79F5FB">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100≤Y＜2000</w:t>
            </w:r>
          </w:p>
        </w:tc>
        <w:tc>
          <w:tcPr>
            <w:tcW w:w="1142" w:type="dxa"/>
            <w:tcBorders>
              <w:top w:val="nil"/>
              <w:left w:val="nil"/>
              <w:bottom w:val="single" w:color="auto" w:sz="4" w:space="0"/>
              <w:right w:val="single" w:color="auto" w:sz="4" w:space="0"/>
            </w:tcBorders>
            <w:noWrap w:val="0"/>
            <w:vAlign w:val="center"/>
          </w:tcPr>
          <w:p w14:paraId="526E1334">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Y＜100</w:t>
            </w:r>
          </w:p>
        </w:tc>
      </w:tr>
      <w:tr w14:paraId="6B9D96B7">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noWrap w:val="0"/>
            <w:vAlign w:val="center"/>
          </w:tcPr>
          <w:p w14:paraId="1243C5C0">
            <w:pPr>
              <w:widowControl/>
              <w:shd w:val="clear" w:color="auto" w:fill="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信息传输业</w:t>
            </w:r>
          </w:p>
        </w:tc>
        <w:tc>
          <w:tcPr>
            <w:tcW w:w="1384" w:type="dxa"/>
            <w:tcBorders>
              <w:top w:val="nil"/>
              <w:left w:val="nil"/>
              <w:bottom w:val="single" w:color="auto" w:sz="4" w:space="0"/>
              <w:right w:val="single" w:color="auto" w:sz="4" w:space="0"/>
            </w:tcBorders>
            <w:noWrap w:val="0"/>
            <w:vAlign w:val="center"/>
          </w:tcPr>
          <w:p w14:paraId="727C0293">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913" w:type="dxa"/>
            <w:tcBorders>
              <w:top w:val="nil"/>
              <w:left w:val="nil"/>
              <w:bottom w:val="single" w:color="auto" w:sz="4" w:space="0"/>
              <w:right w:val="single" w:color="auto" w:sz="4" w:space="0"/>
            </w:tcBorders>
            <w:noWrap w:val="0"/>
            <w:vAlign w:val="center"/>
          </w:tcPr>
          <w:p w14:paraId="0262FB44">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966" w:type="dxa"/>
            <w:tcBorders>
              <w:top w:val="nil"/>
              <w:left w:val="nil"/>
              <w:bottom w:val="single" w:color="auto" w:sz="4" w:space="0"/>
              <w:right w:val="single" w:color="auto" w:sz="4" w:space="0"/>
            </w:tcBorders>
            <w:noWrap w:val="0"/>
            <w:vAlign w:val="center"/>
          </w:tcPr>
          <w:p w14:paraId="6E75F640">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100≤X＜2000</w:t>
            </w:r>
          </w:p>
        </w:tc>
        <w:tc>
          <w:tcPr>
            <w:tcW w:w="1743" w:type="dxa"/>
            <w:tcBorders>
              <w:top w:val="nil"/>
              <w:left w:val="nil"/>
              <w:bottom w:val="single" w:color="auto" w:sz="4" w:space="0"/>
              <w:right w:val="single" w:color="auto" w:sz="4" w:space="0"/>
            </w:tcBorders>
            <w:noWrap w:val="0"/>
            <w:vAlign w:val="center"/>
          </w:tcPr>
          <w:p w14:paraId="37D3A648">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10≤X＜100</w:t>
            </w:r>
          </w:p>
        </w:tc>
        <w:tc>
          <w:tcPr>
            <w:tcW w:w="1142" w:type="dxa"/>
            <w:tcBorders>
              <w:top w:val="nil"/>
              <w:left w:val="nil"/>
              <w:bottom w:val="single" w:color="auto" w:sz="4" w:space="0"/>
              <w:right w:val="single" w:color="auto" w:sz="4" w:space="0"/>
            </w:tcBorders>
            <w:noWrap w:val="0"/>
            <w:vAlign w:val="center"/>
          </w:tcPr>
          <w:p w14:paraId="5ADAFEA9">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X＜10</w:t>
            </w:r>
          </w:p>
        </w:tc>
      </w:tr>
      <w:tr w14:paraId="101A45AB">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noWrap w:val="0"/>
            <w:vAlign w:val="center"/>
          </w:tcPr>
          <w:p w14:paraId="32458A43">
            <w:pPr>
              <w:widowControl/>
              <w:shd w:val="clear" w:color="auto" w:fill="auto"/>
              <w:jc w:val="left"/>
              <w:rPr>
                <w:rFonts w:hint="eastAsia" w:ascii="宋体" w:hAnsi="宋体" w:eastAsia="宋体" w:cs="宋体"/>
                <w:b/>
                <w:bCs/>
                <w:color w:val="auto"/>
                <w:kern w:val="0"/>
                <w:szCs w:val="21"/>
                <w:highlight w:val="none"/>
              </w:rPr>
            </w:pPr>
          </w:p>
        </w:tc>
        <w:tc>
          <w:tcPr>
            <w:tcW w:w="1384" w:type="dxa"/>
            <w:tcBorders>
              <w:top w:val="nil"/>
              <w:left w:val="nil"/>
              <w:bottom w:val="single" w:color="auto" w:sz="4" w:space="0"/>
              <w:right w:val="single" w:color="auto" w:sz="4" w:space="0"/>
            </w:tcBorders>
            <w:noWrap w:val="0"/>
            <w:vAlign w:val="center"/>
          </w:tcPr>
          <w:p w14:paraId="06479B85">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913" w:type="dxa"/>
            <w:tcBorders>
              <w:top w:val="nil"/>
              <w:left w:val="nil"/>
              <w:bottom w:val="single" w:color="auto" w:sz="4" w:space="0"/>
              <w:right w:val="single" w:color="auto" w:sz="4" w:space="0"/>
            </w:tcBorders>
            <w:noWrap w:val="0"/>
            <w:vAlign w:val="center"/>
          </w:tcPr>
          <w:p w14:paraId="6C60A4B0">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66" w:type="dxa"/>
            <w:tcBorders>
              <w:top w:val="nil"/>
              <w:left w:val="nil"/>
              <w:bottom w:val="single" w:color="auto" w:sz="4" w:space="0"/>
              <w:right w:val="single" w:color="auto" w:sz="4" w:space="0"/>
            </w:tcBorders>
            <w:noWrap w:val="0"/>
            <w:vAlign w:val="center"/>
          </w:tcPr>
          <w:p w14:paraId="22B15AEF">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1000≤Y＜100000</w:t>
            </w:r>
          </w:p>
        </w:tc>
        <w:tc>
          <w:tcPr>
            <w:tcW w:w="1743" w:type="dxa"/>
            <w:tcBorders>
              <w:top w:val="nil"/>
              <w:left w:val="nil"/>
              <w:bottom w:val="single" w:color="auto" w:sz="4" w:space="0"/>
              <w:right w:val="single" w:color="auto" w:sz="4" w:space="0"/>
            </w:tcBorders>
            <w:noWrap w:val="0"/>
            <w:vAlign w:val="center"/>
          </w:tcPr>
          <w:p w14:paraId="02639051">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100≤Y＜1000</w:t>
            </w:r>
          </w:p>
        </w:tc>
        <w:tc>
          <w:tcPr>
            <w:tcW w:w="1142" w:type="dxa"/>
            <w:tcBorders>
              <w:top w:val="nil"/>
              <w:left w:val="nil"/>
              <w:bottom w:val="single" w:color="auto" w:sz="4" w:space="0"/>
              <w:right w:val="single" w:color="auto" w:sz="4" w:space="0"/>
            </w:tcBorders>
            <w:noWrap w:val="0"/>
            <w:vAlign w:val="center"/>
          </w:tcPr>
          <w:p w14:paraId="4BED7781">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Y＜100</w:t>
            </w:r>
          </w:p>
        </w:tc>
      </w:tr>
      <w:tr w14:paraId="1316B520">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noWrap w:val="0"/>
            <w:vAlign w:val="center"/>
          </w:tcPr>
          <w:p w14:paraId="49E44B04">
            <w:pPr>
              <w:widowControl/>
              <w:shd w:val="clear" w:color="auto" w:fill="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软件和信息技术服务业</w:t>
            </w:r>
          </w:p>
        </w:tc>
        <w:tc>
          <w:tcPr>
            <w:tcW w:w="1384" w:type="dxa"/>
            <w:tcBorders>
              <w:top w:val="nil"/>
              <w:left w:val="nil"/>
              <w:bottom w:val="single" w:color="auto" w:sz="4" w:space="0"/>
              <w:right w:val="single" w:color="auto" w:sz="4" w:space="0"/>
            </w:tcBorders>
            <w:noWrap w:val="0"/>
            <w:vAlign w:val="center"/>
          </w:tcPr>
          <w:p w14:paraId="08BDA486">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913" w:type="dxa"/>
            <w:tcBorders>
              <w:top w:val="nil"/>
              <w:left w:val="nil"/>
              <w:bottom w:val="single" w:color="auto" w:sz="4" w:space="0"/>
              <w:right w:val="single" w:color="auto" w:sz="4" w:space="0"/>
            </w:tcBorders>
            <w:noWrap w:val="0"/>
            <w:vAlign w:val="center"/>
          </w:tcPr>
          <w:p w14:paraId="0C57A995">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966" w:type="dxa"/>
            <w:tcBorders>
              <w:top w:val="nil"/>
              <w:left w:val="nil"/>
              <w:bottom w:val="single" w:color="auto" w:sz="4" w:space="0"/>
              <w:right w:val="single" w:color="auto" w:sz="4" w:space="0"/>
            </w:tcBorders>
            <w:noWrap w:val="0"/>
            <w:vAlign w:val="center"/>
          </w:tcPr>
          <w:p w14:paraId="0751E659">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100≤X＜300</w:t>
            </w:r>
          </w:p>
        </w:tc>
        <w:tc>
          <w:tcPr>
            <w:tcW w:w="1743" w:type="dxa"/>
            <w:tcBorders>
              <w:top w:val="nil"/>
              <w:left w:val="nil"/>
              <w:bottom w:val="single" w:color="auto" w:sz="4" w:space="0"/>
              <w:right w:val="single" w:color="auto" w:sz="4" w:space="0"/>
            </w:tcBorders>
            <w:noWrap w:val="0"/>
            <w:vAlign w:val="center"/>
          </w:tcPr>
          <w:p w14:paraId="121F58DE">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10≤X＜100</w:t>
            </w:r>
          </w:p>
        </w:tc>
        <w:tc>
          <w:tcPr>
            <w:tcW w:w="1142" w:type="dxa"/>
            <w:tcBorders>
              <w:top w:val="nil"/>
              <w:left w:val="nil"/>
              <w:bottom w:val="single" w:color="auto" w:sz="4" w:space="0"/>
              <w:right w:val="single" w:color="auto" w:sz="4" w:space="0"/>
            </w:tcBorders>
            <w:noWrap w:val="0"/>
            <w:vAlign w:val="center"/>
          </w:tcPr>
          <w:p w14:paraId="154A8DC0">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X＜10</w:t>
            </w:r>
          </w:p>
        </w:tc>
      </w:tr>
      <w:tr w14:paraId="077458B3">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noWrap w:val="0"/>
            <w:vAlign w:val="center"/>
          </w:tcPr>
          <w:p w14:paraId="0479FB20">
            <w:pPr>
              <w:widowControl/>
              <w:shd w:val="clear" w:color="auto" w:fill="auto"/>
              <w:jc w:val="left"/>
              <w:rPr>
                <w:rFonts w:hint="eastAsia" w:ascii="宋体" w:hAnsi="宋体" w:eastAsia="宋体" w:cs="宋体"/>
                <w:b/>
                <w:bCs/>
                <w:color w:val="auto"/>
                <w:kern w:val="0"/>
                <w:szCs w:val="21"/>
                <w:highlight w:val="none"/>
              </w:rPr>
            </w:pPr>
          </w:p>
        </w:tc>
        <w:tc>
          <w:tcPr>
            <w:tcW w:w="1384" w:type="dxa"/>
            <w:tcBorders>
              <w:top w:val="nil"/>
              <w:left w:val="nil"/>
              <w:bottom w:val="single" w:color="auto" w:sz="4" w:space="0"/>
              <w:right w:val="single" w:color="auto" w:sz="4" w:space="0"/>
            </w:tcBorders>
            <w:noWrap w:val="0"/>
            <w:vAlign w:val="center"/>
          </w:tcPr>
          <w:p w14:paraId="14BE6A4B">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913" w:type="dxa"/>
            <w:tcBorders>
              <w:top w:val="nil"/>
              <w:left w:val="nil"/>
              <w:bottom w:val="single" w:color="auto" w:sz="4" w:space="0"/>
              <w:right w:val="single" w:color="auto" w:sz="4" w:space="0"/>
            </w:tcBorders>
            <w:noWrap w:val="0"/>
            <w:vAlign w:val="center"/>
          </w:tcPr>
          <w:p w14:paraId="1B92EB26">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66" w:type="dxa"/>
            <w:tcBorders>
              <w:top w:val="nil"/>
              <w:left w:val="nil"/>
              <w:bottom w:val="single" w:color="auto" w:sz="4" w:space="0"/>
              <w:right w:val="single" w:color="auto" w:sz="4" w:space="0"/>
            </w:tcBorders>
            <w:noWrap w:val="0"/>
            <w:vAlign w:val="center"/>
          </w:tcPr>
          <w:p w14:paraId="3122C8AD">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1000≤Y＜10000</w:t>
            </w:r>
          </w:p>
        </w:tc>
        <w:tc>
          <w:tcPr>
            <w:tcW w:w="1743" w:type="dxa"/>
            <w:tcBorders>
              <w:top w:val="nil"/>
              <w:left w:val="nil"/>
              <w:bottom w:val="single" w:color="auto" w:sz="4" w:space="0"/>
              <w:right w:val="single" w:color="auto" w:sz="4" w:space="0"/>
            </w:tcBorders>
            <w:noWrap w:val="0"/>
            <w:vAlign w:val="center"/>
          </w:tcPr>
          <w:p w14:paraId="55CB9271">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50≤Y＜1000</w:t>
            </w:r>
          </w:p>
        </w:tc>
        <w:tc>
          <w:tcPr>
            <w:tcW w:w="1142" w:type="dxa"/>
            <w:tcBorders>
              <w:top w:val="nil"/>
              <w:left w:val="nil"/>
              <w:bottom w:val="single" w:color="auto" w:sz="4" w:space="0"/>
              <w:right w:val="single" w:color="auto" w:sz="4" w:space="0"/>
            </w:tcBorders>
            <w:noWrap w:val="0"/>
            <w:vAlign w:val="center"/>
          </w:tcPr>
          <w:p w14:paraId="156DD894">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Y＜50</w:t>
            </w:r>
          </w:p>
        </w:tc>
      </w:tr>
      <w:tr w14:paraId="6F207AFA">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noWrap w:val="0"/>
            <w:vAlign w:val="center"/>
          </w:tcPr>
          <w:p w14:paraId="1ED611E3">
            <w:pPr>
              <w:widowControl/>
              <w:shd w:val="clear" w:color="auto" w:fill="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房地产开发经营</w:t>
            </w:r>
          </w:p>
        </w:tc>
        <w:tc>
          <w:tcPr>
            <w:tcW w:w="1384" w:type="dxa"/>
            <w:tcBorders>
              <w:top w:val="nil"/>
              <w:left w:val="nil"/>
              <w:bottom w:val="single" w:color="auto" w:sz="4" w:space="0"/>
              <w:right w:val="single" w:color="auto" w:sz="4" w:space="0"/>
            </w:tcBorders>
            <w:noWrap w:val="0"/>
            <w:vAlign w:val="center"/>
          </w:tcPr>
          <w:p w14:paraId="17C2DAD9">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913" w:type="dxa"/>
            <w:tcBorders>
              <w:top w:val="nil"/>
              <w:left w:val="nil"/>
              <w:bottom w:val="single" w:color="auto" w:sz="4" w:space="0"/>
              <w:right w:val="single" w:color="auto" w:sz="4" w:space="0"/>
            </w:tcBorders>
            <w:noWrap w:val="0"/>
            <w:vAlign w:val="center"/>
          </w:tcPr>
          <w:p w14:paraId="6EB59C13">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66" w:type="dxa"/>
            <w:tcBorders>
              <w:top w:val="nil"/>
              <w:left w:val="nil"/>
              <w:bottom w:val="single" w:color="auto" w:sz="4" w:space="0"/>
              <w:right w:val="single" w:color="auto" w:sz="4" w:space="0"/>
            </w:tcBorders>
            <w:noWrap w:val="0"/>
            <w:vAlign w:val="center"/>
          </w:tcPr>
          <w:p w14:paraId="7BB9EC69">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1000≤Y＜200000</w:t>
            </w:r>
          </w:p>
        </w:tc>
        <w:tc>
          <w:tcPr>
            <w:tcW w:w="1743" w:type="dxa"/>
            <w:tcBorders>
              <w:top w:val="nil"/>
              <w:left w:val="nil"/>
              <w:bottom w:val="single" w:color="auto" w:sz="4" w:space="0"/>
              <w:right w:val="single" w:color="auto" w:sz="4" w:space="0"/>
            </w:tcBorders>
            <w:noWrap w:val="0"/>
            <w:vAlign w:val="center"/>
          </w:tcPr>
          <w:p w14:paraId="79E42510">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100≤X＜1000</w:t>
            </w:r>
          </w:p>
        </w:tc>
        <w:tc>
          <w:tcPr>
            <w:tcW w:w="1142" w:type="dxa"/>
            <w:tcBorders>
              <w:top w:val="nil"/>
              <w:left w:val="nil"/>
              <w:bottom w:val="single" w:color="auto" w:sz="4" w:space="0"/>
              <w:right w:val="single" w:color="auto" w:sz="4" w:space="0"/>
            </w:tcBorders>
            <w:noWrap w:val="0"/>
            <w:vAlign w:val="center"/>
          </w:tcPr>
          <w:p w14:paraId="65168EC1">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X＜100</w:t>
            </w:r>
          </w:p>
        </w:tc>
      </w:tr>
      <w:tr w14:paraId="5EAF7B75">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noWrap w:val="0"/>
            <w:vAlign w:val="center"/>
          </w:tcPr>
          <w:p w14:paraId="7B7EBD36">
            <w:pPr>
              <w:widowControl/>
              <w:shd w:val="clear" w:color="auto" w:fill="auto"/>
              <w:jc w:val="left"/>
              <w:rPr>
                <w:rFonts w:hint="eastAsia" w:ascii="宋体" w:hAnsi="宋体" w:eastAsia="宋体" w:cs="宋体"/>
                <w:b/>
                <w:bCs/>
                <w:color w:val="auto"/>
                <w:kern w:val="0"/>
                <w:szCs w:val="21"/>
                <w:highlight w:val="none"/>
              </w:rPr>
            </w:pPr>
          </w:p>
        </w:tc>
        <w:tc>
          <w:tcPr>
            <w:tcW w:w="1384" w:type="dxa"/>
            <w:tcBorders>
              <w:top w:val="nil"/>
              <w:left w:val="nil"/>
              <w:bottom w:val="single" w:color="auto" w:sz="4" w:space="0"/>
              <w:right w:val="single" w:color="auto" w:sz="4" w:space="0"/>
            </w:tcBorders>
            <w:noWrap w:val="0"/>
            <w:vAlign w:val="center"/>
          </w:tcPr>
          <w:p w14:paraId="7A9B252B">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资产总额（Z）</w:t>
            </w:r>
          </w:p>
        </w:tc>
        <w:tc>
          <w:tcPr>
            <w:tcW w:w="913" w:type="dxa"/>
            <w:tcBorders>
              <w:top w:val="nil"/>
              <w:left w:val="nil"/>
              <w:bottom w:val="single" w:color="auto" w:sz="4" w:space="0"/>
              <w:right w:val="single" w:color="auto" w:sz="4" w:space="0"/>
            </w:tcBorders>
            <w:noWrap w:val="0"/>
            <w:vAlign w:val="center"/>
          </w:tcPr>
          <w:p w14:paraId="44A98819">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66" w:type="dxa"/>
            <w:tcBorders>
              <w:top w:val="nil"/>
              <w:left w:val="nil"/>
              <w:bottom w:val="single" w:color="auto" w:sz="4" w:space="0"/>
              <w:right w:val="single" w:color="auto" w:sz="4" w:space="0"/>
            </w:tcBorders>
            <w:noWrap w:val="0"/>
            <w:vAlign w:val="center"/>
          </w:tcPr>
          <w:p w14:paraId="494233B5">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5000≤Z＜10000</w:t>
            </w:r>
          </w:p>
        </w:tc>
        <w:tc>
          <w:tcPr>
            <w:tcW w:w="1743" w:type="dxa"/>
            <w:tcBorders>
              <w:top w:val="nil"/>
              <w:left w:val="nil"/>
              <w:bottom w:val="single" w:color="auto" w:sz="4" w:space="0"/>
              <w:right w:val="single" w:color="auto" w:sz="4" w:space="0"/>
            </w:tcBorders>
            <w:noWrap w:val="0"/>
            <w:vAlign w:val="center"/>
          </w:tcPr>
          <w:p w14:paraId="31350A69">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2000≤Y＜5000</w:t>
            </w:r>
          </w:p>
        </w:tc>
        <w:tc>
          <w:tcPr>
            <w:tcW w:w="1142" w:type="dxa"/>
            <w:tcBorders>
              <w:top w:val="nil"/>
              <w:left w:val="nil"/>
              <w:bottom w:val="single" w:color="auto" w:sz="4" w:space="0"/>
              <w:right w:val="single" w:color="auto" w:sz="4" w:space="0"/>
            </w:tcBorders>
            <w:noWrap w:val="0"/>
            <w:vAlign w:val="center"/>
          </w:tcPr>
          <w:p w14:paraId="5FBF06C9">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Y＜2000</w:t>
            </w:r>
          </w:p>
        </w:tc>
      </w:tr>
      <w:tr w14:paraId="75DACBB9">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noWrap w:val="0"/>
            <w:vAlign w:val="center"/>
          </w:tcPr>
          <w:p w14:paraId="27295368">
            <w:pPr>
              <w:widowControl/>
              <w:shd w:val="clear" w:color="auto" w:fill="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物业管理</w:t>
            </w:r>
          </w:p>
        </w:tc>
        <w:tc>
          <w:tcPr>
            <w:tcW w:w="1384" w:type="dxa"/>
            <w:tcBorders>
              <w:top w:val="nil"/>
              <w:left w:val="nil"/>
              <w:bottom w:val="single" w:color="auto" w:sz="4" w:space="0"/>
              <w:right w:val="single" w:color="auto" w:sz="4" w:space="0"/>
            </w:tcBorders>
            <w:noWrap w:val="0"/>
            <w:vAlign w:val="center"/>
          </w:tcPr>
          <w:p w14:paraId="23E7C0D1">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913" w:type="dxa"/>
            <w:tcBorders>
              <w:top w:val="nil"/>
              <w:left w:val="nil"/>
              <w:bottom w:val="single" w:color="auto" w:sz="4" w:space="0"/>
              <w:right w:val="single" w:color="auto" w:sz="4" w:space="0"/>
            </w:tcBorders>
            <w:noWrap w:val="0"/>
            <w:vAlign w:val="center"/>
          </w:tcPr>
          <w:p w14:paraId="0B6D24CC">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966" w:type="dxa"/>
            <w:tcBorders>
              <w:top w:val="nil"/>
              <w:left w:val="nil"/>
              <w:bottom w:val="single" w:color="auto" w:sz="4" w:space="0"/>
              <w:right w:val="single" w:color="auto" w:sz="4" w:space="0"/>
            </w:tcBorders>
            <w:noWrap w:val="0"/>
            <w:vAlign w:val="center"/>
          </w:tcPr>
          <w:p w14:paraId="189F9AF1">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300≤X＜1000</w:t>
            </w:r>
          </w:p>
        </w:tc>
        <w:tc>
          <w:tcPr>
            <w:tcW w:w="1743" w:type="dxa"/>
            <w:tcBorders>
              <w:top w:val="nil"/>
              <w:left w:val="nil"/>
              <w:bottom w:val="single" w:color="auto" w:sz="4" w:space="0"/>
              <w:right w:val="single" w:color="auto" w:sz="4" w:space="0"/>
            </w:tcBorders>
            <w:noWrap w:val="0"/>
            <w:vAlign w:val="center"/>
          </w:tcPr>
          <w:p w14:paraId="27B7253D">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100≤X＜300</w:t>
            </w:r>
          </w:p>
        </w:tc>
        <w:tc>
          <w:tcPr>
            <w:tcW w:w="1142" w:type="dxa"/>
            <w:tcBorders>
              <w:top w:val="nil"/>
              <w:left w:val="nil"/>
              <w:bottom w:val="single" w:color="auto" w:sz="4" w:space="0"/>
              <w:right w:val="single" w:color="auto" w:sz="4" w:space="0"/>
            </w:tcBorders>
            <w:noWrap w:val="0"/>
            <w:vAlign w:val="center"/>
          </w:tcPr>
          <w:p w14:paraId="5490AED7">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X＜100</w:t>
            </w:r>
          </w:p>
        </w:tc>
      </w:tr>
      <w:tr w14:paraId="45893653">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noWrap w:val="0"/>
            <w:vAlign w:val="center"/>
          </w:tcPr>
          <w:p w14:paraId="1ABEC8FA">
            <w:pPr>
              <w:widowControl/>
              <w:shd w:val="clear" w:color="auto" w:fill="auto"/>
              <w:jc w:val="left"/>
              <w:rPr>
                <w:rFonts w:hint="eastAsia" w:ascii="宋体" w:hAnsi="宋体" w:eastAsia="宋体" w:cs="宋体"/>
                <w:b/>
                <w:bCs/>
                <w:color w:val="auto"/>
                <w:kern w:val="0"/>
                <w:szCs w:val="21"/>
                <w:highlight w:val="none"/>
              </w:rPr>
            </w:pPr>
          </w:p>
        </w:tc>
        <w:tc>
          <w:tcPr>
            <w:tcW w:w="1384" w:type="dxa"/>
            <w:tcBorders>
              <w:top w:val="nil"/>
              <w:left w:val="nil"/>
              <w:bottom w:val="single" w:color="auto" w:sz="4" w:space="0"/>
              <w:right w:val="single" w:color="auto" w:sz="4" w:space="0"/>
            </w:tcBorders>
            <w:noWrap w:val="0"/>
            <w:vAlign w:val="center"/>
          </w:tcPr>
          <w:p w14:paraId="7002B80C">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营业收入（Y）</w:t>
            </w:r>
          </w:p>
        </w:tc>
        <w:tc>
          <w:tcPr>
            <w:tcW w:w="913" w:type="dxa"/>
            <w:tcBorders>
              <w:top w:val="nil"/>
              <w:left w:val="nil"/>
              <w:bottom w:val="single" w:color="auto" w:sz="4" w:space="0"/>
              <w:right w:val="single" w:color="auto" w:sz="4" w:space="0"/>
            </w:tcBorders>
            <w:noWrap w:val="0"/>
            <w:vAlign w:val="center"/>
          </w:tcPr>
          <w:p w14:paraId="541928EA">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66" w:type="dxa"/>
            <w:tcBorders>
              <w:top w:val="nil"/>
              <w:left w:val="nil"/>
              <w:bottom w:val="single" w:color="auto" w:sz="4" w:space="0"/>
              <w:right w:val="single" w:color="auto" w:sz="4" w:space="0"/>
            </w:tcBorders>
            <w:noWrap w:val="0"/>
            <w:vAlign w:val="center"/>
          </w:tcPr>
          <w:p w14:paraId="37462E4B">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1000≤Y＜5000</w:t>
            </w:r>
          </w:p>
        </w:tc>
        <w:tc>
          <w:tcPr>
            <w:tcW w:w="1743" w:type="dxa"/>
            <w:tcBorders>
              <w:top w:val="nil"/>
              <w:left w:val="nil"/>
              <w:bottom w:val="single" w:color="auto" w:sz="4" w:space="0"/>
              <w:right w:val="single" w:color="auto" w:sz="4" w:space="0"/>
            </w:tcBorders>
            <w:noWrap w:val="0"/>
            <w:vAlign w:val="center"/>
          </w:tcPr>
          <w:p w14:paraId="70F169AE">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500≤Y＜1000</w:t>
            </w:r>
          </w:p>
        </w:tc>
        <w:tc>
          <w:tcPr>
            <w:tcW w:w="1142" w:type="dxa"/>
            <w:tcBorders>
              <w:top w:val="nil"/>
              <w:left w:val="nil"/>
              <w:bottom w:val="single" w:color="auto" w:sz="4" w:space="0"/>
              <w:right w:val="single" w:color="auto" w:sz="4" w:space="0"/>
            </w:tcBorders>
            <w:noWrap w:val="0"/>
            <w:vAlign w:val="center"/>
          </w:tcPr>
          <w:p w14:paraId="7057BCDC">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Y＜500</w:t>
            </w:r>
          </w:p>
        </w:tc>
      </w:tr>
      <w:tr w14:paraId="7AA85B5A">
        <w:tblPrEx>
          <w:tblCellMar>
            <w:top w:w="0" w:type="dxa"/>
            <w:left w:w="108" w:type="dxa"/>
            <w:bottom w:w="0" w:type="dxa"/>
            <w:right w:w="108" w:type="dxa"/>
          </w:tblCellMar>
        </w:tblPrEx>
        <w:trPr>
          <w:trHeight w:val="225" w:hRule="atLeast"/>
          <w:jc w:val="center"/>
        </w:trPr>
        <w:tc>
          <w:tcPr>
            <w:tcW w:w="1904" w:type="dxa"/>
            <w:vMerge w:val="restart"/>
            <w:tcBorders>
              <w:top w:val="nil"/>
              <w:left w:val="single" w:color="auto" w:sz="4" w:space="0"/>
              <w:bottom w:val="single" w:color="auto" w:sz="4" w:space="0"/>
              <w:right w:val="single" w:color="auto" w:sz="4" w:space="0"/>
            </w:tcBorders>
            <w:noWrap w:val="0"/>
            <w:vAlign w:val="center"/>
          </w:tcPr>
          <w:p w14:paraId="4DC8D4FF">
            <w:pPr>
              <w:widowControl/>
              <w:shd w:val="clear" w:color="auto" w:fill="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租赁和商务服务业</w:t>
            </w:r>
          </w:p>
        </w:tc>
        <w:tc>
          <w:tcPr>
            <w:tcW w:w="1384" w:type="dxa"/>
            <w:tcBorders>
              <w:top w:val="nil"/>
              <w:left w:val="nil"/>
              <w:bottom w:val="single" w:color="auto" w:sz="4" w:space="0"/>
              <w:right w:val="single" w:color="auto" w:sz="4" w:space="0"/>
            </w:tcBorders>
            <w:noWrap w:val="0"/>
            <w:vAlign w:val="center"/>
          </w:tcPr>
          <w:p w14:paraId="7E7BEE0F">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913" w:type="dxa"/>
            <w:tcBorders>
              <w:top w:val="nil"/>
              <w:left w:val="nil"/>
              <w:bottom w:val="single" w:color="auto" w:sz="4" w:space="0"/>
              <w:right w:val="single" w:color="auto" w:sz="4" w:space="0"/>
            </w:tcBorders>
            <w:noWrap w:val="0"/>
            <w:vAlign w:val="center"/>
          </w:tcPr>
          <w:p w14:paraId="6CDC113F">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966" w:type="dxa"/>
            <w:tcBorders>
              <w:top w:val="nil"/>
              <w:left w:val="nil"/>
              <w:bottom w:val="single" w:color="auto" w:sz="4" w:space="0"/>
              <w:right w:val="single" w:color="auto" w:sz="4" w:space="0"/>
            </w:tcBorders>
            <w:noWrap w:val="0"/>
            <w:vAlign w:val="center"/>
          </w:tcPr>
          <w:p w14:paraId="5CCBAD28">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100≤X＜300</w:t>
            </w:r>
          </w:p>
        </w:tc>
        <w:tc>
          <w:tcPr>
            <w:tcW w:w="1743" w:type="dxa"/>
            <w:tcBorders>
              <w:top w:val="nil"/>
              <w:left w:val="nil"/>
              <w:bottom w:val="single" w:color="auto" w:sz="4" w:space="0"/>
              <w:right w:val="single" w:color="auto" w:sz="4" w:space="0"/>
            </w:tcBorders>
            <w:noWrap w:val="0"/>
            <w:vAlign w:val="center"/>
          </w:tcPr>
          <w:p w14:paraId="1DC98E82">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10≤X＜100</w:t>
            </w:r>
          </w:p>
        </w:tc>
        <w:tc>
          <w:tcPr>
            <w:tcW w:w="1142" w:type="dxa"/>
            <w:tcBorders>
              <w:top w:val="nil"/>
              <w:left w:val="nil"/>
              <w:bottom w:val="single" w:color="auto" w:sz="4" w:space="0"/>
              <w:right w:val="single" w:color="auto" w:sz="4" w:space="0"/>
            </w:tcBorders>
            <w:noWrap w:val="0"/>
            <w:vAlign w:val="center"/>
          </w:tcPr>
          <w:p w14:paraId="727B8555">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X＜10</w:t>
            </w:r>
          </w:p>
        </w:tc>
      </w:tr>
      <w:tr w14:paraId="19CA2809">
        <w:tblPrEx>
          <w:tblCellMar>
            <w:top w:w="0" w:type="dxa"/>
            <w:left w:w="108" w:type="dxa"/>
            <w:bottom w:w="0" w:type="dxa"/>
            <w:right w:w="108" w:type="dxa"/>
          </w:tblCellMar>
        </w:tblPrEx>
        <w:trPr>
          <w:trHeight w:val="225" w:hRule="atLeast"/>
          <w:jc w:val="center"/>
        </w:trPr>
        <w:tc>
          <w:tcPr>
            <w:tcW w:w="1904" w:type="dxa"/>
            <w:vMerge w:val="continue"/>
            <w:tcBorders>
              <w:top w:val="nil"/>
              <w:left w:val="single" w:color="auto" w:sz="4" w:space="0"/>
              <w:bottom w:val="single" w:color="auto" w:sz="4" w:space="0"/>
              <w:right w:val="single" w:color="auto" w:sz="4" w:space="0"/>
            </w:tcBorders>
            <w:noWrap w:val="0"/>
            <w:vAlign w:val="center"/>
          </w:tcPr>
          <w:p w14:paraId="2AB20930">
            <w:pPr>
              <w:widowControl/>
              <w:shd w:val="clear" w:color="auto" w:fill="auto"/>
              <w:jc w:val="left"/>
              <w:rPr>
                <w:rFonts w:hint="eastAsia" w:ascii="宋体" w:hAnsi="宋体" w:eastAsia="宋体" w:cs="宋体"/>
                <w:b/>
                <w:bCs/>
                <w:color w:val="auto"/>
                <w:kern w:val="0"/>
                <w:szCs w:val="21"/>
                <w:highlight w:val="none"/>
              </w:rPr>
            </w:pPr>
          </w:p>
        </w:tc>
        <w:tc>
          <w:tcPr>
            <w:tcW w:w="1384" w:type="dxa"/>
            <w:tcBorders>
              <w:top w:val="nil"/>
              <w:left w:val="nil"/>
              <w:bottom w:val="single" w:color="auto" w:sz="4" w:space="0"/>
              <w:right w:val="single" w:color="auto" w:sz="4" w:space="0"/>
            </w:tcBorders>
            <w:noWrap w:val="0"/>
            <w:vAlign w:val="center"/>
          </w:tcPr>
          <w:p w14:paraId="1BC4F092">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资产总额（Z）</w:t>
            </w:r>
          </w:p>
        </w:tc>
        <w:tc>
          <w:tcPr>
            <w:tcW w:w="913" w:type="dxa"/>
            <w:tcBorders>
              <w:top w:val="nil"/>
              <w:left w:val="nil"/>
              <w:bottom w:val="single" w:color="auto" w:sz="4" w:space="0"/>
              <w:right w:val="single" w:color="auto" w:sz="4" w:space="0"/>
            </w:tcBorders>
            <w:noWrap w:val="0"/>
            <w:vAlign w:val="center"/>
          </w:tcPr>
          <w:p w14:paraId="730D7435">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万元</w:t>
            </w:r>
          </w:p>
        </w:tc>
        <w:tc>
          <w:tcPr>
            <w:tcW w:w="1966" w:type="dxa"/>
            <w:tcBorders>
              <w:top w:val="nil"/>
              <w:left w:val="nil"/>
              <w:bottom w:val="single" w:color="auto" w:sz="4" w:space="0"/>
              <w:right w:val="single" w:color="auto" w:sz="4" w:space="0"/>
            </w:tcBorders>
            <w:noWrap w:val="0"/>
            <w:vAlign w:val="center"/>
          </w:tcPr>
          <w:p w14:paraId="3BA6E58A">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8000≤Z＜120000</w:t>
            </w:r>
          </w:p>
        </w:tc>
        <w:tc>
          <w:tcPr>
            <w:tcW w:w="1743" w:type="dxa"/>
            <w:tcBorders>
              <w:top w:val="nil"/>
              <w:left w:val="nil"/>
              <w:bottom w:val="single" w:color="auto" w:sz="4" w:space="0"/>
              <w:right w:val="single" w:color="auto" w:sz="4" w:space="0"/>
            </w:tcBorders>
            <w:noWrap w:val="0"/>
            <w:vAlign w:val="center"/>
          </w:tcPr>
          <w:p w14:paraId="63ED2E89">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100≤Z＜8000</w:t>
            </w:r>
          </w:p>
        </w:tc>
        <w:tc>
          <w:tcPr>
            <w:tcW w:w="1142" w:type="dxa"/>
            <w:tcBorders>
              <w:top w:val="nil"/>
              <w:left w:val="nil"/>
              <w:bottom w:val="single" w:color="auto" w:sz="4" w:space="0"/>
              <w:right w:val="single" w:color="auto" w:sz="4" w:space="0"/>
            </w:tcBorders>
            <w:noWrap w:val="0"/>
            <w:vAlign w:val="center"/>
          </w:tcPr>
          <w:p w14:paraId="6DB0FDE5">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Y＜100</w:t>
            </w:r>
          </w:p>
        </w:tc>
      </w:tr>
      <w:tr w14:paraId="7D7A2C23">
        <w:tblPrEx>
          <w:tblCellMar>
            <w:top w:w="0" w:type="dxa"/>
            <w:left w:w="108" w:type="dxa"/>
            <w:bottom w:w="0" w:type="dxa"/>
            <w:right w:w="108" w:type="dxa"/>
          </w:tblCellMar>
        </w:tblPrEx>
        <w:trPr>
          <w:trHeight w:val="225" w:hRule="atLeast"/>
          <w:jc w:val="center"/>
        </w:trPr>
        <w:tc>
          <w:tcPr>
            <w:tcW w:w="1904" w:type="dxa"/>
            <w:tcBorders>
              <w:top w:val="nil"/>
              <w:left w:val="single" w:color="auto" w:sz="4" w:space="0"/>
              <w:bottom w:val="single" w:color="auto" w:sz="4" w:space="0"/>
              <w:right w:val="single" w:color="auto" w:sz="4" w:space="0"/>
            </w:tcBorders>
            <w:noWrap w:val="0"/>
            <w:vAlign w:val="center"/>
          </w:tcPr>
          <w:p w14:paraId="22AD1671">
            <w:pPr>
              <w:widowControl/>
              <w:shd w:val="clear" w:color="auto" w:fill="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其他未列明行业</w:t>
            </w:r>
          </w:p>
        </w:tc>
        <w:tc>
          <w:tcPr>
            <w:tcW w:w="1384" w:type="dxa"/>
            <w:tcBorders>
              <w:top w:val="nil"/>
              <w:left w:val="nil"/>
              <w:bottom w:val="single" w:color="auto" w:sz="4" w:space="0"/>
              <w:right w:val="single" w:color="auto" w:sz="4" w:space="0"/>
            </w:tcBorders>
            <w:noWrap w:val="0"/>
            <w:vAlign w:val="center"/>
          </w:tcPr>
          <w:p w14:paraId="0C0D2BFA">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从业人员（X）</w:t>
            </w:r>
          </w:p>
        </w:tc>
        <w:tc>
          <w:tcPr>
            <w:tcW w:w="913" w:type="dxa"/>
            <w:tcBorders>
              <w:top w:val="nil"/>
              <w:left w:val="nil"/>
              <w:bottom w:val="single" w:color="auto" w:sz="4" w:space="0"/>
              <w:right w:val="single" w:color="auto" w:sz="4" w:space="0"/>
            </w:tcBorders>
            <w:noWrap w:val="0"/>
            <w:vAlign w:val="center"/>
          </w:tcPr>
          <w:p w14:paraId="204BF5C8">
            <w:pPr>
              <w:widowControl/>
              <w:shd w:val="clear" w:color="auto" w:fill="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人</w:t>
            </w:r>
          </w:p>
        </w:tc>
        <w:tc>
          <w:tcPr>
            <w:tcW w:w="1966" w:type="dxa"/>
            <w:tcBorders>
              <w:top w:val="nil"/>
              <w:left w:val="nil"/>
              <w:bottom w:val="single" w:color="auto" w:sz="4" w:space="0"/>
              <w:right w:val="single" w:color="auto" w:sz="4" w:space="0"/>
            </w:tcBorders>
            <w:noWrap w:val="0"/>
            <w:vAlign w:val="center"/>
          </w:tcPr>
          <w:p w14:paraId="46FEFA28">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100≤X＜300</w:t>
            </w:r>
          </w:p>
        </w:tc>
        <w:tc>
          <w:tcPr>
            <w:tcW w:w="1743" w:type="dxa"/>
            <w:tcBorders>
              <w:top w:val="nil"/>
              <w:left w:val="nil"/>
              <w:bottom w:val="single" w:color="auto" w:sz="4" w:space="0"/>
              <w:right w:val="single" w:color="auto" w:sz="4" w:space="0"/>
            </w:tcBorders>
            <w:noWrap w:val="0"/>
            <w:vAlign w:val="center"/>
          </w:tcPr>
          <w:p w14:paraId="5CEDD5D1">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10≤X＜100</w:t>
            </w:r>
          </w:p>
        </w:tc>
        <w:tc>
          <w:tcPr>
            <w:tcW w:w="1142" w:type="dxa"/>
            <w:tcBorders>
              <w:top w:val="nil"/>
              <w:left w:val="nil"/>
              <w:bottom w:val="single" w:color="auto" w:sz="4" w:space="0"/>
              <w:right w:val="single" w:color="auto" w:sz="4" w:space="0"/>
            </w:tcBorders>
            <w:noWrap w:val="0"/>
            <w:vAlign w:val="center"/>
          </w:tcPr>
          <w:p w14:paraId="3110505F">
            <w:pPr>
              <w:widowControl/>
              <w:shd w:val="clear" w:color="auto" w:fill="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X＜10</w:t>
            </w:r>
          </w:p>
        </w:tc>
      </w:tr>
    </w:tbl>
    <w:p w14:paraId="5458CA97">
      <w:pPr>
        <w:shd w:val="clear" w:color="auto" w:fill="auto"/>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说明：上述标准参照《关于印发中小企业划型标准规定的通知》（工信部联企业[2011</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300号），大型、中型和小型企业须同时满足所列指标的下限，否则下划一档；微型企业只须满足所列指标中的一项即可。</w:t>
      </w:r>
    </w:p>
    <w:p w14:paraId="57648126">
      <w:pPr>
        <w:shd w:val="clear" w:color="auto" w:fill="auto"/>
        <w:spacing w:line="560" w:lineRule="exact"/>
        <w:ind w:firstLine="500" w:firstLineChars="250"/>
        <w:rPr>
          <w:rFonts w:hint="eastAsia" w:ascii="宋体" w:hAnsi="宋体" w:eastAsia="宋体" w:cs="宋体"/>
          <w:color w:val="auto"/>
          <w:kern w:val="0"/>
          <w:sz w:val="20"/>
          <w:szCs w:val="21"/>
          <w:highlight w:val="none"/>
        </w:rPr>
        <w:sectPr>
          <w:headerReference r:id="rId3" w:type="default"/>
          <w:footerReference r:id="rId4" w:type="default"/>
          <w:pgSz w:w="11906" w:h="16838"/>
          <w:pgMar w:top="1134" w:right="1020" w:bottom="1134" w:left="1020" w:header="720" w:footer="720" w:gutter="0"/>
          <w:pgNumType w:fmt="decimal" w:start="1"/>
          <w:cols w:space="720" w:num="1"/>
          <w:docGrid w:type="lines" w:linePitch="331" w:charSpace="0"/>
        </w:sectPr>
      </w:pPr>
    </w:p>
    <w:p w14:paraId="4DBC0AE8">
      <w:pPr>
        <w:pStyle w:val="2"/>
        <w:keepNext w:val="0"/>
        <w:keepLines w:val="0"/>
        <w:tabs>
          <w:tab w:val="left" w:pos="0"/>
          <w:tab w:val="left" w:pos="3165"/>
          <w:tab w:val="center" w:pos="4153"/>
        </w:tabs>
        <w:autoSpaceDE w:val="0"/>
        <w:autoSpaceDN w:val="0"/>
        <w:adjustRightInd w:val="0"/>
        <w:spacing w:before="0" w:after="0" w:line="360" w:lineRule="auto"/>
        <w:jc w:val="center"/>
        <w:rPr>
          <w:rFonts w:hint="eastAsia"/>
          <w:color w:val="auto"/>
          <w:highlight w:val="none"/>
        </w:rPr>
      </w:pPr>
      <w:bookmarkStart w:id="59" w:name="_Toc25688"/>
      <w:r>
        <w:rPr>
          <w:rFonts w:hint="eastAsia"/>
          <w:color w:val="auto"/>
          <w:highlight w:val="none"/>
        </w:rPr>
        <w:t>第三章  投标人须知</w:t>
      </w:r>
      <w:bookmarkEnd w:id="59"/>
    </w:p>
    <w:p w14:paraId="23FBB1C9">
      <w:pPr>
        <w:jc w:val="center"/>
        <w:rPr>
          <w:rFonts w:hint="eastAsia"/>
          <w:color w:val="auto"/>
          <w:sz w:val="36"/>
          <w:szCs w:val="36"/>
          <w:highlight w:val="none"/>
        </w:rPr>
      </w:pPr>
      <w:bookmarkStart w:id="60" w:name="_Toc254970526"/>
      <w:bookmarkStart w:id="61" w:name="_Toc254970667"/>
      <w:r>
        <w:rPr>
          <w:rFonts w:hint="eastAsia"/>
          <w:color w:val="auto"/>
          <w:sz w:val="36"/>
          <w:szCs w:val="36"/>
          <w:highlight w:val="none"/>
        </w:rPr>
        <w:t>投标人须知前附表</w:t>
      </w:r>
      <w:bookmarkEnd w:id="60"/>
      <w:bookmarkEnd w:id="61"/>
    </w:p>
    <w:tbl>
      <w:tblPr>
        <w:tblStyle w:val="47"/>
        <w:tblW w:w="0" w:type="auto"/>
        <w:tblInd w:w="-11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78"/>
        <w:gridCol w:w="8175"/>
      </w:tblGrid>
      <w:tr w14:paraId="199A90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3CA263CA">
            <w:pPr>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条款号</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290E0174">
            <w:pPr>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编列内容</w:t>
            </w:r>
          </w:p>
        </w:tc>
      </w:tr>
      <w:tr w14:paraId="07F30E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44A1DCE4">
            <w:pPr>
              <w:spacing w:line="360" w:lineRule="auto"/>
              <w:jc w:val="center"/>
              <w:rPr>
                <w:rFonts w:hint="eastAsia" w:ascii="宋体" w:hAnsi="宋体"/>
                <w:color w:val="auto"/>
                <w:szCs w:val="21"/>
                <w:highlight w:val="none"/>
              </w:rPr>
            </w:pPr>
            <w:r>
              <w:rPr>
                <w:rFonts w:hint="eastAsia" w:ascii="宋体" w:hAnsi="宋体"/>
                <w:color w:val="auto"/>
                <w:szCs w:val="21"/>
                <w:highlight w:val="none"/>
              </w:rPr>
              <w:t>3</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1E9482A4">
            <w:pPr>
              <w:snapToGrid w:val="0"/>
              <w:spacing w:line="360" w:lineRule="auto"/>
              <w:jc w:val="left"/>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投标人的资格要求详见招标公告。</w:t>
            </w:r>
          </w:p>
          <w:p w14:paraId="718FFC3E">
            <w:pPr>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投标人出现下列情形之一的，不得参加政府采购活动：</w:t>
            </w:r>
          </w:p>
          <w:p w14:paraId="2AAECDE6">
            <w:pPr>
              <w:snapToGrid w:val="0"/>
              <w:spacing w:line="360" w:lineRule="auto"/>
              <w:jc w:val="left"/>
              <w:rPr>
                <w:rFonts w:hint="eastAsia" w:ascii="宋体" w:hAnsi="宋体"/>
                <w:color w:val="auto"/>
                <w:szCs w:val="21"/>
                <w:highlight w:val="none"/>
              </w:rPr>
            </w:pPr>
            <w:r>
              <w:rPr>
                <w:rFonts w:ascii="宋体" w:hAnsi="宋体"/>
                <w:color w:val="auto"/>
                <w:szCs w:val="21"/>
                <w:highlight w:val="none"/>
              </w:rPr>
              <w:t>2.1</w:t>
            </w:r>
            <w:r>
              <w:rPr>
                <w:rFonts w:hint="eastAsia" w:ascii="宋体" w:hAnsi="宋体"/>
                <w:color w:val="auto"/>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21BFF98">
            <w:pPr>
              <w:snapToGrid w:val="0"/>
              <w:spacing w:line="360" w:lineRule="auto"/>
              <w:jc w:val="left"/>
              <w:rPr>
                <w:rFonts w:hint="eastAsia" w:ascii="宋体" w:hAnsi="宋体"/>
                <w:color w:val="auto"/>
                <w:szCs w:val="21"/>
                <w:highlight w:val="none"/>
              </w:rPr>
            </w:pPr>
            <w:r>
              <w:rPr>
                <w:rFonts w:ascii="宋体" w:hAnsi="宋体"/>
                <w:color w:val="auto"/>
                <w:szCs w:val="21"/>
                <w:highlight w:val="none"/>
              </w:rPr>
              <w:t>2.2</w:t>
            </w:r>
            <w:r>
              <w:rPr>
                <w:rFonts w:hint="eastAsia" w:ascii="宋体" w:hAnsi="宋体"/>
                <w:color w:val="auto"/>
                <w:szCs w:val="21"/>
                <w:highlight w:val="none"/>
              </w:rPr>
              <w:t>对在“信用中国”网站（www.creditchina.gov.cn） 、中国政府采购网（www.ccgp.gov.cn）被列入失信被执行人、重大税收违法失信主体、政府采购严重违法失信行为记录名单及其他不符合《中华人民共和国政府采购法》第二十二条规定条件</w:t>
            </w:r>
            <w:r>
              <w:rPr>
                <w:rFonts w:hint="eastAsia" w:ascii="宋体" w:hAnsi="宋体"/>
                <w:color w:val="auto"/>
                <w:szCs w:val="21"/>
                <w:highlight w:val="none"/>
                <w:lang w:val="en-US" w:eastAsia="zh-CN"/>
              </w:rPr>
              <w:t>及“中国证券监督管理委员会网站”（http://www.csrc.gov.cn/）中的市场诚信信息查询平台有违法违规失信记录</w:t>
            </w:r>
            <w:r>
              <w:rPr>
                <w:rFonts w:hint="eastAsia" w:ascii="宋体" w:hAnsi="宋体"/>
                <w:color w:val="auto"/>
                <w:szCs w:val="21"/>
                <w:highlight w:val="none"/>
              </w:rPr>
              <w:t>的供应商，不得参与政府采购活动。</w:t>
            </w:r>
          </w:p>
        </w:tc>
      </w:tr>
      <w:tr w14:paraId="1FC2BF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190D2D9F">
            <w:pPr>
              <w:spacing w:line="360" w:lineRule="auto"/>
              <w:jc w:val="center"/>
              <w:rPr>
                <w:rFonts w:ascii="宋体" w:hAnsi="宋体"/>
                <w:color w:val="auto"/>
                <w:szCs w:val="21"/>
                <w:highlight w:val="none"/>
              </w:rPr>
            </w:pPr>
            <w:bookmarkStart w:id="62" w:name="_8.1"/>
            <w:bookmarkEnd w:id="62"/>
            <w:bookmarkStart w:id="63" w:name="_9.2"/>
            <w:bookmarkEnd w:id="63"/>
            <w:bookmarkStart w:id="64" w:name="_5"/>
            <w:bookmarkEnd w:id="64"/>
            <w:r>
              <w:rPr>
                <w:rFonts w:hint="eastAsia" w:ascii="宋体" w:hAnsi="宋体"/>
                <w:color w:val="auto"/>
                <w:szCs w:val="21"/>
                <w:highlight w:val="none"/>
              </w:rPr>
              <w:t>6.1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6614A6D2">
            <w:pPr>
              <w:pStyle w:val="16"/>
              <w:spacing w:line="360" w:lineRule="auto"/>
              <w:jc w:val="both"/>
              <w:rPr>
                <w:rFonts w:hint="eastAsia" w:ascii="宋体" w:hAnsi="宋体"/>
                <w:color w:val="auto"/>
                <w:szCs w:val="21"/>
                <w:highlight w:val="none"/>
              </w:rPr>
            </w:pPr>
            <w:r>
              <w:rPr>
                <w:rFonts w:hint="eastAsia" w:ascii="宋体" w:hAnsi="宋体"/>
                <w:color w:val="auto"/>
                <w:szCs w:val="21"/>
                <w:highlight w:val="none"/>
              </w:rPr>
              <w:t>本项目是否接受联合体投标：详见招标公告。</w:t>
            </w:r>
          </w:p>
        </w:tc>
      </w:tr>
      <w:tr w14:paraId="653E2C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359506E1">
            <w:pPr>
              <w:spacing w:line="360" w:lineRule="auto"/>
              <w:jc w:val="center"/>
              <w:rPr>
                <w:rFonts w:hint="eastAsia" w:ascii="宋体" w:hAnsi="宋体"/>
                <w:color w:val="auto"/>
                <w:szCs w:val="21"/>
                <w:highlight w:val="none"/>
              </w:rPr>
            </w:pPr>
            <w:r>
              <w:rPr>
                <w:rFonts w:ascii="宋体" w:hAnsi="宋体"/>
                <w:color w:val="auto"/>
                <w:szCs w:val="21"/>
                <w:highlight w:val="none"/>
              </w:rPr>
              <w:t>6.2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01F3F208">
            <w:pPr>
              <w:pStyle w:val="16"/>
              <w:spacing w:line="360" w:lineRule="auto"/>
              <w:rPr>
                <w:rFonts w:ascii="宋体" w:hAnsi="宋体"/>
                <w:color w:val="auto"/>
                <w:szCs w:val="21"/>
                <w:highlight w:val="none"/>
              </w:rPr>
            </w:pPr>
            <w:bookmarkStart w:id="65" w:name="_Hlk54105293"/>
            <w:r>
              <w:rPr>
                <w:rFonts w:hint="eastAsia" w:ascii="宋体" w:hAnsi="宋体"/>
                <w:color w:val="auto"/>
                <w:szCs w:val="21"/>
                <w:highlight w:val="none"/>
              </w:rPr>
              <w:t>如接受联合体投标，</w:t>
            </w:r>
            <w:bookmarkEnd w:id="65"/>
            <w:r>
              <w:rPr>
                <w:rFonts w:hint="eastAsia" w:ascii="宋体" w:hAnsi="宋体"/>
                <w:color w:val="auto"/>
                <w:szCs w:val="21"/>
                <w:highlight w:val="none"/>
              </w:rPr>
              <w:t>联合体投标要求如下：</w:t>
            </w:r>
          </w:p>
          <w:p w14:paraId="044F2634">
            <w:pPr>
              <w:pStyle w:val="16"/>
              <w:spacing w:line="360" w:lineRule="auto"/>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两个以上投标人可以组成一个投标联合体，以一个投标人的身份共同参加投标。联合体投标的，须提供《联合体投标协议书》（格式后附）。</w:t>
            </w:r>
          </w:p>
          <w:p w14:paraId="008CF6D2">
            <w:pPr>
              <w:pStyle w:val="16"/>
              <w:spacing w:line="360" w:lineRule="auto"/>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招标文件规定的特定条件。</w:t>
            </w:r>
          </w:p>
          <w:p w14:paraId="3850C9DD">
            <w:pPr>
              <w:pStyle w:val="16"/>
              <w:spacing w:line="360" w:lineRule="auto"/>
              <w:rPr>
                <w:rFonts w:hint="eastAsia"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联合体各方之间必须签订联合投标协议，协议书必须明确主体方（或者牵头方）并明确约定联合体各方承担的工作和相应的责任（</w:t>
            </w:r>
            <w:r>
              <w:rPr>
                <w:rFonts w:hint="eastAsia" w:ascii="宋体" w:hAnsi="宋体"/>
                <w:b/>
                <w:color w:val="auto"/>
                <w:szCs w:val="21"/>
                <w:highlight w:val="none"/>
              </w:rPr>
              <w:t>各方承担责任与义务的分工必须符合采购需求，否则，联合体投标无效</w:t>
            </w:r>
            <w:r>
              <w:rPr>
                <w:rFonts w:hint="eastAsia" w:ascii="宋体" w:hAnsi="宋体"/>
                <w:color w:val="auto"/>
                <w:szCs w:val="21"/>
                <w:highlight w:val="none"/>
              </w:rPr>
              <w:t>），并将联合投标协议放入投标文件。联合体各方必须共同与采购人签订采购合同，就采购合同约定的事项对采购人承担连带责任。</w:t>
            </w:r>
          </w:p>
          <w:p w14:paraId="4D964E90">
            <w:pPr>
              <w:pStyle w:val="16"/>
              <w:spacing w:line="360" w:lineRule="auto"/>
              <w:rPr>
                <w:rFonts w:hint="eastAsia"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w:t>
            </w:r>
            <w:r>
              <w:rPr>
                <w:rFonts w:hint="eastAsia" w:ascii="宋体" w:hAnsi="宋体"/>
                <w:color w:val="auto"/>
                <w:szCs w:val="21"/>
                <w:highlight w:val="none"/>
              </w:rPr>
              <w:t>以联合体形式参加政府采购活动的，联合体各方不得再单独参加或者与其他投标人另外组成联合体参加同一合同项下的政府采购活动。</w:t>
            </w:r>
          </w:p>
          <w:p w14:paraId="7DE0B543">
            <w:pPr>
              <w:pStyle w:val="16"/>
              <w:spacing w:line="360" w:lineRule="auto"/>
              <w:rPr>
                <w:rFonts w:hint="eastAsia"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w:t>
            </w:r>
            <w:r>
              <w:rPr>
                <w:rFonts w:hint="eastAsia" w:ascii="宋体" w:hAnsi="宋体"/>
                <w:color w:val="auto"/>
                <w:szCs w:val="21"/>
                <w:highlight w:val="none"/>
              </w:rPr>
              <w:t>联合体中有同类资质的投标人按照联合体分工承担相同工作的，应当按照资质等级较低的投标人确定资质等级。</w:t>
            </w:r>
          </w:p>
          <w:p w14:paraId="01F7A69E">
            <w:pPr>
              <w:pStyle w:val="16"/>
              <w:spacing w:line="360" w:lineRule="auto"/>
              <w:rPr>
                <w:rFonts w:hint="eastAsia" w:ascii="宋体" w:hAnsi="宋体"/>
                <w:color w:val="auto"/>
                <w:szCs w:val="21"/>
                <w:highlight w:val="none"/>
              </w:rPr>
            </w:pPr>
            <w:r>
              <w:rPr>
                <w:rFonts w:hint="eastAsia" w:ascii="宋体" w:hAnsi="宋体"/>
                <w:color w:val="auto"/>
                <w:szCs w:val="21"/>
                <w:highlight w:val="none"/>
              </w:rPr>
              <w:t>6</w:t>
            </w:r>
            <w:r>
              <w:rPr>
                <w:rFonts w:ascii="宋体" w:hAnsi="宋体"/>
                <w:color w:val="auto"/>
                <w:szCs w:val="21"/>
                <w:highlight w:val="none"/>
              </w:rPr>
              <w:t>.</w:t>
            </w:r>
            <w:r>
              <w:rPr>
                <w:rFonts w:hint="eastAsia" w:ascii="宋体" w:hAnsi="宋体"/>
                <w:color w:val="auto"/>
                <w:szCs w:val="21"/>
                <w:highlight w:val="none"/>
              </w:rPr>
              <w:t>联合体投标业绩、履约能力按照联合体各方其中较高的一方认定并计算（招标文件另有规定的除外）。</w:t>
            </w:r>
          </w:p>
          <w:p w14:paraId="12D381FD">
            <w:pPr>
              <w:pStyle w:val="16"/>
              <w:spacing w:line="360" w:lineRule="auto"/>
              <w:rPr>
                <w:rFonts w:hint="eastAsia" w:ascii="宋体" w:hAnsi="宋体"/>
                <w:color w:val="auto"/>
                <w:szCs w:val="21"/>
                <w:highlight w:val="none"/>
              </w:rPr>
            </w:pPr>
            <w:r>
              <w:rPr>
                <w:rFonts w:hint="eastAsia" w:ascii="宋体" w:hAnsi="宋体"/>
                <w:color w:val="auto"/>
                <w:szCs w:val="21"/>
                <w:highlight w:val="none"/>
              </w:rPr>
              <w:t>7</w:t>
            </w:r>
            <w:r>
              <w:rPr>
                <w:rFonts w:ascii="宋体" w:hAnsi="宋体"/>
                <w:color w:val="auto"/>
                <w:szCs w:val="21"/>
                <w:highlight w:val="none"/>
              </w:rPr>
              <w:t>.</w:t>
            </w:r>
            <w:r>
              <w:rPr>
                <w:rFonts w:hint="eastAsia" w:ascii="宋体" w:hAnsi="宋体"/>
                <w:color w:val="auto"/>
                <w:szCs w:val="21"/>
                <w:highlight w:val="none"/>
              </w:rPr>
              <w:t>投标人为联合体的，可以由联合体中的一方或者多方共同交纳投标保证金，其交纳的保证金对联合体各方均具有约束力。</w:t>
            </w:r>
          </w:p>
          <w:p w14:paraId="7951E120">
            <w:pPr>
              <w:pStyle w:val="16"/>
              <w:spacing w:line="360" w:lineRule="auto"/>
              <w:rPr>
                <w:rFonts w:hint="eastAsia" w:ascii="宋体" w:hAnsi="宋体"/>
                <w:color w:val="auto"/>
                <w:szCs w:val="21"/>
                <w:highlight w:val="none"/>
              </w:rPr>
            </w:pPr>
            <w:r>
              <w:rPr>
                <w:rFonts w:hint="eastAsia" w:ascii="宋体" w:hAnsi="宋体"/>
                <w:color w:val="auto"/>
                <w:szCs w:val="21"/>
                <w:highlight w:val="none"/>
              </w:rPr>
              <w:t>8</w:t>
            </w:r>
            <w:r>
              <w:rPr>
                <w:rFonts w:ascii="宋体" w:hAnsi="宋体"/>
                <w:color w:val="auto"/>
                <w:szCs w:val="21"/>
                <w:highlight w:val="none"/>
              </w:rPr>
              <w:t>.</w:t>
            </w:r>
            <w:r>
              <w:rPr>
                <w:rFonts w:hint="eastAsia" w:ascii="宋体" w:hAnsi="宋体"/>
                <w:color w:val="auto"/>
                <w:szCs w:val="21"/>
                <w:highlight w:val="none"/>
              </w:rPr>
              <w:t>联合体各方均应按照招标文件的规定提交资格证明文件。</w:t>
            </w:r>
          </w:p>
        </w:tc>
      </w:tr>
      <w:tr w14:paraId="05A0EE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15C55263">
            <w:pPr>
              <w:spacing w:line="360" w:lineRule="auto"/>
              <w:jc w:val="center"/>
              <w:rPr>
                <w:rFonts w:ascii="宋体" w:hAnsi="宋体"/>
                <w:color w:val="auto"/>
                <w:szCs w:val="21"/>
                <w:highlight w:val="none"/>
              </w:rPr>
            </w:pPr>
            <w:r>
              <w:rPr>
                <w:rFonts w:hint="eastAsia" w:ascii="宋体" w:hAnsi="宋体"/>
                <w:color w:val="auto"/>
                <w:szCs w:val="21"/>
                <w:highlight w:val="none"/>
              </w:rPr>
              <w:t>7.2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434E38C9">
            <w:pPr>
              <w:pStyle w:val="16"/>
              <w:spacing w:line="360" w:lineRule="auto"/>
              <w:rPr>
                <w:rFonts w:hint="eastAsia" w:ascii="宋体" w:hAnsi="宋体"/>
                <w:color w:val="auto"/>
                <w:szCs w:val="21"/>
                <w:highlight w:val="none"/>
              </w:rPr>
            </w:pPr>
            <w:r>
              <w:rPr>
                <w:rFonts w:ascii="宋体" w:hAnsi="宋体"/>
                <w:color w:val="auto"/>
                <w:sz w:val="18"/>
                <w:szCs w:val="18"/>
                <w:highlight w:val="none"/>
                <w:bdr w:val="single" w:color="auto" w:sz="4" w:space="0"/>
              </w:rPr>
              <w:t>√</w:t>
            </w:r>
            <w:r>
              <w:rPr>
                <w:rFonts w:hint="eastAsia" w:ascii="宋体" w:hAnsi="宋体"/>
                <w:color w:val="auto"/>
                <w:szCs w:val="21"/>
                <w:highlight w:val="none"/>
              </w:rPr>
              <w:t>不允许分包</w:t>
            </w:r>
          </w:p>
          <w:p w14:paraId="2A8992E4">
            <w:pPr>
              <w:pStyle w:val="16"/>
              <w:spacing w:line="360" w:lineRule="auto"/>
              <w:rPr>
                <w:rFonts w:hint="eastAsia" w:ascii="宋体" w:hAnsi="宋体"/>
                <w:color w:val="auto"/>
                <w:szCs w:val="21"/>
                <w:highlight w:val="none"/>
              </w:rPr>
            </w:pPr>
            <w:r>
              <w:rPr>
                <w:rFonts w:hint="eastAsia" w:ascii="宋体" w:hAnsi="宋体"/>
                <w:color w:val="auto"/>
                <w:szCs w:val="21"/>
                <w:highlight w:val="none"/>
              </w:rPr>
              <w:t>□允许分包</w:t>
            </w:r>
          </w:p>
          <w:p w14:paraId="59D3653E">
            <w:pPr>
              <w:pStyle w:val="16"/>
              <w:spacing w:line="360" w:lineRule="auto"/>
              <w:rPr>
                <w:rFonts w:hint="eastAsia" w:ascii="宋体" w:hAnsi="宋体"/>
                <w:color w:val="auto"/>
                <w:szCs w:val="21"/>
                <w:highlight w:val="none"/>
                <w:u w:val="single"/>
              </w:rPr>
            </w:pPr>
            <w:r>
              <w:rPr>
                <w:rFonts w:hint="eastAsia" w:ascii="宋体" w:hAnsi="宋体"/>
                <w:color w:val="auto"/>
                <w:szCs w:val="21"/>
                <w:highlight w:val="none"/>
              </w:rPr>
              <w:t>分包内容：</w:t>
            </w:r>
            <w:r>
              <w:rPr>
                <w:rFonts w:hint="eastAsia" w:ascii="宋体" w:hAnsi="宋体"/>
                <w:color w:val="auto"/>
                <w:szCs w:val="21"/>
                <w:highlight w:val="none"/>
                <w:u w:val="single"/>
              </w:rPr>
              <w:t xml:space="preserve">                                     。</w:t>
            </w:r>
          </w:p>
          <w:p w14:paraId="4F3D22E8">
            <w:pPr>
              <w:pStyle w:val="16"/>
              <w:spacing w:line="360" w:lineRule="auto"/>
              <w:jc w:val="both"/>
              <w:rPr>
                <w:rFonts w:hint="eastAsia" w:ascii="宋体" w:hAnsi="宋体"/>
                <w:color w:val="auto"/>
                <w:szCs w:val="21"/>
                <w:highlight w:val="none"/>
                <w:u w:val="single"/>
              </w:rPr>
            </w:pPr>
            <w:r>
              <w:rPr>
                <w:rFonts w:hint="eastAsia" w:ascii="宋体" w:hAnsi="宋体"/>
                <w:color w:val="auto"/>
                <w:szCs w:val="21"/>
                <w:highlight w:val="none"/>
              </w:rPr>
              <w:t>分包金额或者比例：</w:t>
            </w:r>
            <w:r>
              <w:rPr>
                <w:rFonts w:hint="eastAsia" w:ascii="宋体" w:hAnsi="宋体"/>
                <w:color w:val="auto"/>
                <w:szCs w:val="21"/>
                <w:highlight w:val="none"/>
                <w:u w:val="single"/>
              </w:rPr>
              <w:t xml:space="preserve">                                     。</w:t>
            </w:r>
          </w:p>
        </w:tc>
      </w:tr>
      <w:tr w14:paraId="7CA1C2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66" w:hRule="atLeast"/>
        </w:trPr>
        <w:tc>
          <w:tcPr>
            <w:tcW w:w="978" w:type="dxa"/>
            <w:vMerge w:val="restart"/>
            <w:tcBorders>
              <w:top w:val="single" w:color="auto" w:sz="4" w:space="0"/>
              <w:left w:val="single" w:color="auto" w:sz="4" w:space="0"/>
              <w:right w:val="single" w:color="auto" w:sz="4" w:space="0"/>
            </w:tcBorders>
            <w:noWrap w:val="0"/>
            <w:vAlign w:val="center"/>
          </w:tcPr>
          <w:p w14:paraId="3CC9FB4D">
            <w:pPr>
              <w:spacing w:line="360" w:lineRule="auto"/>
              <w:jc w:val="center"/>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1.2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5B43C664">
            <w:pPr>
              <w:snapToGrid w:val="0"/>
              <w:spacing w:line="360" w:lineRule="auto"/>
              <w:rPr>
                <w:rFonts w:ascii="宋体" w:hAnsi="宋体"/>
                <w:color w:val="auto"/>
                <w:szCs w:val="21"/>
                <w:highlight w:val="none"/>
              </w:rPr>
            </w:pPr>
            <w:r>
              <w:rPr>
                <w:rFonts w:ascii="宋体" w:hAnsi="宋体"/>
                <w:color w:val="auto"/>
                <w:sz w:val="18"/>
                <w:szCs w:val="18"/>
                <w:highlight w:val="none"/>
                <w:bdr w:val="single" w:color="auto" w:sz="4" w:space="0"/>
              </w:rPr>
              <w:t>√</w:t>
            </w:r>
            <w:r>
              <w:rPr>
                <w:rFonts w:hint="eastAsia" w:ascii="宋体" w:hAnsi="宋体"/>
                <w:color w:val="auto"/>
                <w:szCs w:val="21"/>
                <w:highlight w:val="none"/>
              </w:rPr>
              <w:t>不组织现场考察</w:t>
            </w:r>
          </w:p>
          <w:p w14:paraId="7DBD819A">
            <w:pPr>
              <w:snapToGrid w:val="0"/>
              <w:spacing w:line="360" w:lineRule="auto"/>
              <w:rPr>
                <w:rFonts w:ascii="宋体" w:hAnsi="宋体"/>
                <w:color w:val="auto"/>
                <w:szCs w:val="21"/>
                <w:highlight w:val="none"/>
              </w:rPr>
            </w:pPr>
            <w:r>
              <w:rPr>
                <w:rFonts w:hint="eastAsia" w:ascii="宋体" w:hAnsi="宋体"/>
                <w:color w:val="auto"/>
                <w:szCs w:val="21"/>
                <w:highlight w:val="none"/>
              </w:rPr>
              <w:t>□组织现场考察：</w:t>
            </w:r>
          </w:p>
          <w:p w14:paraId="38E4A5C1">
            <w:pPr>
              <w:snapToGrid w:val="0"/>
              <w:spacing w:line="360" w:lineRule="auto"/>
              <w:rPr>
                <w:rFonts w:ascii="宋体" w:hAnsi="宋体"/>
                <w:color w:val="auto"/>
                <w:szCs w:val="21"/>
                <w:highlight w:val="none"/>
                <w:u w:val="single"/>
              </w:rPr>
            </w:pPr>
            <w:r>
              <w:rPr>
                <w:rFonts w:hint="eastAsia" w:ascii="宋体" w:hAnsi="宋体"/>
                <w:color w:val="auto"/>
                <w:szCs w:val="21"/>
                <w:highlight w:val="none"/>
              </w:rPr>
              <w:t>集中时间：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日 </w:t>
            </w:r>
            <w:r>
              <w:rPr>
                <w:rFonts w:hint="eastAsia" w:ascii="宋体" w:hAnsi="宋体"/>
                <w:color w:val="auto"/>
                <w:szCs w:val="21"/>
                <w:highlight w:val="none"/>
                <w:u w:val="single"/>
              </w:rPr>
              <w:t xml:space="preserve">  </w:t>
            </w:r>
            <w:r>
              <w:rPr>
                <w:rFonts w:hint="eastAsia" w:ascii="宋体" w:hAnsi="宋体"/>
                <w:color w:val="auto"/>
                <w:szCs w:val="21"/>
                <w:highlight w:val="none"/>
              </w:rPr>
              <w:t>时</w:t>
            </w:r>
            <w:r>
              <w:rPr>
                <w:rFonts w:hint="eastAsia" w:ascii="宋体" w:hAnsi="宋体"/>
                <w:color w:val="auto"/>
                <w:szCs w:val="21"/>
                <w:highlight w:val="none"/>
                <w:u w:val="single"/>
              </w:rPr>
              <w:t xml:space="preserve">  分</w:t>
            </w:r>
            <w:r>
              <w:rPr>
                <w:rFonts w:hint="eastAsia" w:ascii="宋体" w:hAnsi="宋体"/>
                <w:color w:val="auto"/>
                <w:szCs w:val="21"/>
                <w:highlight w:val="none"/>
              </w:rPr>
              <w:t>，逾期后果自负。集中地点：</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14:paraId="379FA6F9">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联系人：</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；联系电话：</w:t>
            </w:r>
            <w:r>
              <w:rPr>
                <w:rFonts w:ascii="宋体" w:hAnsi="宋体"/>
                <w:color w:val="auto"/>
                <w:szCs w:val="21"/>
                <w:highlight w:val="none"/>
                <w:u w:val="single"/>
              </w:rPr>
              <w:t xml:space="preserve">                </w:t>
            </w:r>
          </w:p>
        </w:tc>
      </w:tr>
      <w:tr w14:paraId="78C3DC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03" w:hRule="atLeast"/>
        </w:trPr>
        <w:tc>
          <w:tcPr>
            <w:tcW w:w="978" w:type="dxa"/>
            <w:vMerge w:val="continue"/>
            <w:tcBorders>
              <w:left w:val="single" w:color="auto" w:sz="4" w:space="0"/>
              <w:bottom w:val="single" w:color="auto" w:sz="4" w:space="0"/>
              <w:right w:val="single" w:color="auto" w:sz="4" w:space="0"/>
            </w:tcBorders>
            <w:noWrap w:val="0"/>
            <w:vAlign w:val="center"/>
          </w:tcPr>
          <w:p w14:paraId="1D75047C">
            <w:pPr>
              <w:spacing w:line="360" w:lineRule="auto"/>
              <w:jc w:val="center"/>
              <w:rPr>
                <w:rFonts w:hint="eastAsia" w:ascii="宋体" w:hAnsi="宋体"/>
                <w:color w:val="auto"/>
                <w:szCs w:val="21"/>
                <w:highlight w:val="none"/>
              </w:rPr>
            </w:pPr>
          </w:p>
        </w:tc>
        <w:tc>
          <w:tcPr>
            <w:tcW w:w="8175" w:type="dxa"/>
            <w:tcBorders>
              <w:top w:val="single" w:color="auto" w:sz="4" w:space="0"/>
              <w:left w:val="single" w:color="auto" w:sz="4" w:space="0"/>
              <w:bottom w:val="single" w:color="auto" w:sz="4" w:space="0"/>
              <w:right w:val="single" w:color="auto" w:sz="4" w:space="0"/>
            </w:tcBorders>
            <w:noWrap w:val="0"/>
            <w:vAlign w:val="center"/>
          </w:tcPr>
          <w:p w14:paraId="39E139FF">
            <w:pPr>
              <w:snapToGrid w:val="0"/>
              <w:spacing w:line="360" w:lineRule="auto"/>
              <w:rPr>
                <w:rFonts w:ascii="宋体" w:hAnsi="宋体"/>
                <w:color w:val="auto"/>
                <w:szCs w:val="21"/>
                <w:highlight w:val="none"/>
              </w:rPr>
            </w:pPr>
            <w:r>
              <w:rPr>
                <w:rFonts w:ascii="宋体" w:hAnsi="宋体"/>
                <w:color w:val="auto"/>
                <w:sz w:val="18"/>
                <w:szCs w:val="18"/>
                <w:highlight w:val="none"/>
                <w:bdr w:val="single" w:color="auto" w:sz="4" w:space="0"/>
              </w:rPr>
              <w:t>√</w:t>
            </w:r>
            <w:r>
              <w:rPr>
                <w:rFonts w:hint="eastAsia" w:ascii="宋体" w:hAnsi="宋体"/>
                <w:color w:val="auto"/>
                <w:szCs w:val="21"/>
                <w:highlight w:val="none"/>
              </w:rPr>
              <w:t>不组织召开开标前答疑会</w:t>
            </w:r>
          </w:p>
          <w:p w14:paraId="66F018DE">
            <w:pPr>
              <w:snapToGrid w:val="0"/>
              <w:spacing w:line="360" w:lineRule="auto"/>
              <w:rPr>
                <w:rFonts w:ascii="宋体" w:hAnsi="宋体"/>
                <w:color w:val="auto"/>
                <w:szCs w:val="21"/>
                <w:highlight w:val="none"/>
              </w:rPr>
            </w:pPr>
            <w:r>
              <w:rPr>
                <w:rFonts w:hint="eastAsia" w:ascii="宋体" w:hAnsi="宋体"/>
                <w:color w:val="auto"/>
                <w:szCs w:val="21"/>
                <w:highlight w:val="none"/>
              </w:rPr>
              <w:t>□组织召开开标前答疑会</w:t>
            </w:r>
          </w:p>
          <w:p w14:paraId="2371BBDE">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会议开始时间：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日 </w:t>
            </w:r>
            <w:r>
              <w:rPr>
                <w:rFonts w:hint="eastAsia" w:ascii="宋体" w:hAnsi="宋体"/>
                <w:color w:val="auto"/>
                <w:szCs w:val="21"/>
                <w:highlight w:val="none"/>
                <w:u w:val="single"/>
              </w:rPr>
              <w:t xml:space="preserve">  </w:t>
            </w:r>
            <w:r>
              <w:rPr>
                <w:rFonts w:hint="eastAsia" w:ascii="宋体" w:hAnsi="宋体"/>
                <w:color w:val="auto"/>
                <w:szCs w:val="21"/>
                <w:highlight w:val="none"/>
              </w:rPr>
              <w:t>时</w:t>
            </w:r>
            <w:r>
              <w:rPr>
                <w:rFonts w:hint="eastAsia" w:ascii="宋体" w:hAnsi="宋体"/>
                <w:color w:val="auto"/>
                <w:szCs w:val="21"/>
                <w:highlight w:val="none"/>
                <w:u w:val="single"/>
              </w:rPr>
              <w:t xml:space="preserve">  分</w:t>
            </w:r>
            <w:r>
              <w:rPr>
                <w:rFonts w:hint="eastAsia" w:ascii="宋体" w:hAnsi="宋体"/>
                <w:color w:val="auto"/>
                <w:szCs w:val="21"/>
                <w:highlight w:val="none"/>
              </w:rPr>
              <w:t>，逾期后果自负。会议地点：</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tc>
      </w:tr>
      <w:tr w14:paraId="39866D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vMerge w:val="restart"/>
            <w:tcBorders>
              <w:top w:val="single" w:color="auto" w:sz="4" w:space="0"/>
              <w:left w:val="single" w:color="auto" w:sz="4" w:space="0"/>
              <w:right w:val="single" w:color="auto" w:sz="4" w:space="0"/>
            </w:tcBorders>
            <w:noWrap w:val="0"/>
            <w:vAlign w:val="center"/>
          </w:tcPr>
          <w:p w14:paraId="61BE7C99">
            <w:pPr>
              <w:spacing w:line="360" w:lineRule="auto"/>
              <w:rPr>
                <w:rFonts w:hint="eastAsia" w:ascii="宋体" w:hAnsi="宋体"/>
                <w:color w:val="auto"/>
                <w:szCs w:val="21"/>
                <w:highlight w:val="none"/>
              </w:rPr>
            </w:pPr>
            <w:bookmarkStart w:id="66" w:name="_13.1"/>
            <w:bookmarkEnd w:id="66"/>
            <w:r>
              <w:rPr>
                <w:rFonts w:hint="eastAsia" w:ascii="宋体" w:hAnsi="宋体"/>
                <w:color w:val="auto"/>
                <w:szCs w:val="21"/>
                <w:highlight w:val="none"/>
              </w:rPr>
              <w:t>13</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4D8842B8">
            <w:pPr>
              <w:snapToGrid w:val="0"/>
              <w:spacing w:line="360" w:lineRule="auto"/>
              <w:jc w:val="left"/>
              <w:rPr>
                <w:rFonts w:hint="eastAsia" w:ascii="宋体" w:hAnsi="宋体" w:cs="Courier New"/>
                <w:b/>
                <w:color w:val="auto"/>
                <w:szCs w:val="21"/>
                <w:highlight w:val="none"/>
              </w:rPr>
            </w:pPr>
            <w:r>
              <w:rPr>
                <w:rFonts w:hint="eastAsia" w:ascii="宋体" w:hAnsi="宋体" w:cs="Courier New"/>
                <w:b/>
                <w:color w:val="auto"/>
                <w:szCs w:val="21"/>
                <w:highlight w:val="none"/>
              </w:rPr>
              <w:t>报价文件：</w:t>
            </w:r>
          </w:p>
          <w:p w14:paraId="77867FFE">
            <w:pPr>
              <w:tabs>
                <w:tab w:val="left" w:pos="459"/>
              </w:tabs>
              <w:snapToGrid w:val="0"/>
              <w:spacing w:line="360" w:lineRule="auto"/>
              <w:ind w:left="420"/>
              <w:jc w:val="left"/>
              <w:rPr>
                <w:rFonts w:hint="eastAsia" w:ascii="宋体" w:hAnsi="宋体"/>
                <w:color w:val="auto"/>
                <w:szCs w:val="21"/>
                <w:highlight w:val="none"/>
              </w:rPr>
            </w:pPr>
            <w:bookmarkStart w:id="67" w:name="OLE_LINK28"/>
            <w:r>
              <w:rPr>
                <w:rFonts w:hint="eastAsia" w:ascii="宋体" w:hAnsi="宋体"/>
                <w:color w:val="auto"/>
                <w:szCs w:val="21"/>
                <w:highlight w:val="none"/>
              </w:rPr>
              <w:t>1.投标函（格式后附）；</w:t>
            </w:r>
            <w:r>
              <w:rPr>
                <w:rFonts w:hint="eastAsia" w:ascii="宋体" w:hAnsi="宋体"/>
                <w:b/>
                <w:color w:val="auto"/>
                <w:szCs w:val="21"/>
                <w:highlight w:val="none"/>
              </w:rPr>
              <w:t>（必须提供，否则按无效投标处理）</w:t>
            </w:r>
          </w:p>
          <w:bookmarkEnd w:id="67"/>
          <w:p w14:paraId="727972C3">
            <w:pPr>
              <w:tabs>
                <w:tab w:val="left" w:pos="459"/>
              </w:tabs>
              <w:snapToGrid w:val="0"/>
              <w:spacing w:line="360" w:lineRule="auto"/>
              <w:ind w:left="420" w:leftChars="0"/>
              <w:jc w:val="left"/>
              <w:rPr>
                <w:rFonts w:hint="eastAsia" w:ascii="宋体" w:hAnsi="宋体"/>
                <w:color w:val="auto"/>
                <w:szCs w:val="21"/>
                <w:highlight w:val="none"/>
                <w:lang w:val="en-US" w:eastAsia="zh-CN"/>
              </w:rPr>
            </w:pPr>
            <w:bookmarkStart w:id="68" w:name="OLE_LINK29"/>
            <w:r>
              <w:rPr>
                <w:rFonts w:hint="eastAsia" w:ascii="宋体" w:hAnsi="宋体"/>
                <w:color w:val="auto"/>
                <w:szCs w:val="21"/>
                <w:highlight w:val="none"/>
              </w:rPr>
              <w:t>2.开标一览表（格式后附）； （</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bookmarkEnd w:id="68"/>
          </w:p>
          <w:p w14:paraId="790B3979">
            <w:pPr>
              <w:tabs>
                <w:tab w:val="left" w:pos="15"/>
              </w:tabs>
              <w:snapToGrid w:val="0"/>
              <w:spacing w:line="360" w:lineRule="auto"/>
              <w:ind w:left="15" w:firstLine="403" w:firstLineChars="191"/>
              <w:jc w:val="left"/>
              <w:rPr>
                <w:rFonts w:hint="eastAsia" w:ascii="宋体" w:hAnsi="宋体"/>
                <w:color w:val="auto"/>
                <w:szCs w:val="21"/>
                <w:highlight w:val="none"/>
              </w:rPr>
            </w:pPr>
            <w:bookmarkStart w:id="69" w:name="OLE_LINK39"/>
            <w:r>
              <w:rPr>
                <w:rFonts w:hint="eastAsia" w:ascii="宋体" w:hAnsi="宋体" w:cs="宋体"/>
                <w:b/>
                <w:color w:val="auto"/>
                <w:szCs w:val="21"/>
                <w:highlight w:val="none"/>
              </w:rPr>
              <w:t>注：</w:t>
            </w:r>
            <w:r>
              <w:rPr>
                <w:rFonts w:hint="eastAsia" w:ascii="宋体" w:hAnsi="宋体"/>
                <w:b/>
                <w:bCs/>
                <w:color w:val="auto"/>
                <w:szCs w:val="21"/>
                <w:highlight w:val="none"/>
              </w:rPr>
              <w:t>以上标明“必须提供”的材料，格式</w:t>
            </w:r>
            <w:r>
              <w:rPr>
                <w:rFonts w:hint="eastAsia" w:ascii="宋体" w:hAnsi="宋体" w:cs="宋体"/>
                <w:b/>
                <w:color w:val="auto"/>
                <w:szCs w:val="21"/>
                <w:highlight w:val="none"/>
              </w:rPr>
              <w:t>中有要求法定代表人或者委托代理人签字的，必须按要求签字并加盖投标人电子签章</w:t>
            </w:r>
            <w:r>
              <w:rPr>
                <w:rFonts w:hint="eastAsia" w:ascii="宋体" w:hAnsi="宋体"/>
                <w:b/>
                <w:bCs/>
                <w:color w:val="auto"/>
                <w:szCs w:val="21"/>
                <w:highlight w:val="none"/>
              </w:rPr>
              <w:t>，否则按无效投标</w:t>
            </w:r>
            <w:r>
              <w:rPr>
                <w:rFonts w:hint="eastAsia" w:ascii="宋体" w:hAnsi="宋体" w:cs="Courier New"/>
                <w:b/>
                <w:color w:val="auto"/>
                <w:szCs w:val="21"/>
                <w:highlight w:val="none"/>
              </w:rPr>
              <w:t>处理。</w:t>
            </w:r>
            <w:bookmarkEnd w:id="69"/>
          </w:p>
        </w:tc>
      </w:tr>
      <w:tr w14:paraId="49A71C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vMerge w:val="continue"/>
            <w:tcBorders>
              <w:left w:val="single" w:color="auto" w:sz="4" w:space="0"/>
              <w:right w:val="single" w:color="auto" w:sz="4" w:space="0"/>
            </w:tcBorders>
            <w:noWrap w:val="0"/>
            <w:vAlign w:val="center"/>
          </w:tcPr>
          <w:p w14:paraId="15079A79">
            <w:pPr>
              <w:spacing w:line="360" w:lineRule="auto"/>
              <w:rPr>
                <w:rFonts w:hint="eastAsia" w:ascii="宋体" w:hAnsi="宋体"/>
                <w:color w:val="auto"/>
                <w:szCs w:val="21"/>
                <w:highlight w:val="none"/>
              </w:rPr>
            </w:pPr>
            <w:bookmarkStart w:id="70" w:name="_13.2"/>
            <w:bookmarkEnd w:id="70"/>
          </w:p>
        </w:tc>
        <w:tc>
          <w:tcPr>
            <w:tcW w:w="8175" w:type="dxa"/>
            <w:tcBorders>
              <w:top w:val="single" w:color="auto" w:sz="4" w:space="0"/>
              <w:left w:val="single" w:color="auto" w:sz="4" w:space="0"/>
              <w:bottom w:val="single" w:color="auto" w:sz="4" w:space="0"/>
              <w:right w:val="single" w:color="auto" w:sz="4" w:space="0"/>
            </w:tcBorders>
            <w:noWrap w:val="0"/>
            <w:vAlign w:val="center"/>
          </w:tcPr>
          <w:p w14:paraId="71C5B418">
            <w:pPr>
              <w:snapToGrid w:val="0"/>
              <w:spacing w:line="360" w:lineRule="auto"/>
              <w:jc w:val="left"/>
              <w:rPr>
                <w:rFonts w:hint="eastAsia" w:ascii="宋体" w:hAnsi="宋体" w:cs="Courier New"/>
                <w:b/>
                <w:color w:val="auto"/>
                <w:szCs w:val="21"/>
                <w:highlight w:val="none"/>
              </w:rPr>
            </w:pPr>
            <w:r>
              <w:rPr>
                <w:rFonts w:hint="eastAsia" w:ascii="宋体" w:hAnsi="宋体" w:cs="Courier New"/>
                <w:b/>
                <w:color w:val="auto"/>
                <w:szCs w:val="21"/>
                <w:highlight w:val="none"/>
              </w:rPr>
              <w:t>资格证明文件</w:t>
            </w:r>
          </w:p>
          <w:p w14:paraId="56E6AFD1">
            <w:pPr>
              <w:snapToGrid w:val="0"/>
              <w:spacing w:line="360" w:lineRule="auto"/>
              <w:ind w:firstLine="420" w:firstLineChars="200"/>
              <w:jc w:val="left"/>
              <w:rPr>
                <w:rFonts w:hint="eastAsia" w:ascii="宋体" w:hAnsi="宋体" w:cs="Courier New"/>
                <w:b/>
                <w:color w:val="auto"/>
                <w:szCs w:val="21"/>
                <w:highlight w:val="none"/>
              </w:rPr>
            </w:pPr>
            <w:bookmarkStart w:id="71" w:name="OLE_LINK49"/>
            <w:bookmarkStart w:id="72" w:name="OLE_LINK19"/>
            <w:r>
              <w:rPr>
                <w:rFonts w:hint="eastAsia" w:ascii="宋体" w:hAnsi="宋体"/>
                <w:color w:val="auto"/>
                <w:szCs w:val="21"/>
                <w:highlight w:val="none"/>
              </w:rPr>
              <w:t>1.投标人为法人或者其他组织的，提供营业执照等证明文件</w:t>
            </w:r>
            <w:r>
              <w:rPr>
                <w:rFonts w:hint="eastAsia" w:ascii="宋体" w:hAnsi="宋体" w:cs="宋体"/>
                <w:color w:val="auto"/>
                <w:szCs w:val="21"/>
                <w:highlight w:val="none"/>
              </w:rPr>
              <w:t>（如营业执照或者事业单位法人证书或者</w:t>
            </w:r>
            <w:r>
              <w:rPr>
                <w:rStyle w:val="86"/>
                <w:color w:val="auto"/>
                <w:sz w:val="21"/>
                <w:szCs w:val="21"/>
                <w:highlight w:val="none"/>
              </w:rPr>
              <w:t>执业许可证</w:t>
            </w:r>
            <w:r>
              <w:rPr>
                <w:rFonts w:hint="eastAsia" w:ascii="宋体" w:hAnsi="宋体" w:cs="宋体"/>
                <w:color w:val="auto"/>
                <w:szCs w:val="21"/>
                <w:highlight w:val="none"/>
              </w:rPr>
              <w:t>或者登记证书等）</w:t>
            </w:r>
            <w:r>
              <w:rPr>
                <w:rFonts w:hint="eastAsia" w:ascii="宋体" w:hAnsi="宋体"/>
                <w:color w:val="auto"/>
                <w:szCs w:val="21"/>
                <w:highlight w:val="none"/>
              </w:rPr>
              <w:t>，投</w:t>
            </w:r>
            <w:bookmarkEnd w:id="71"/>
            <w:r>
              <w:rPr>
                <w:rFonts w:hint="eastAsia" w:ascii="宋体" w:hAnsi="宋体"/>
                <w:color w:val="auto"/>
                <w:szCs w:val="21"/>
                <w:highlight w:val="none"/>
              </w:rPr>
              <w:t>标人为自然人的，提供身份证</w:t>
            </w:r>
            <w:r>
              <w:rPr>
                <w:rFonts w:hint="eastAsia" w:ascii="宋体" w:hAnsi="宋体" w:cs="宋体"/>
                <w:color w:val="auto"/>
                <w:szCs w:val="21"/>
                <w:highlight w:val="none"/>
              </w:rPr>
              <w:t>复印件</w:t>
            </w:r>
            <w:r>
              <w:rPr>
                <w:rFonts w:hint="eastAsia" w:ascii="宋体" w:hAnsi="宋体"/>
                <w:color w:val="auto"/>
                <w:szCs w:val="21"/>
                <w:highlight w:val="none"/>
              </w:rPr>
              <w:t>；（</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bookmarkEnd w:id="72"/>
          <w:p w14:paraId="00589703">
            <w:pPr>
              <w:snapToGrid w:val="0"/>
              <w:spacing w:line="360" w:lineRule="auto"/>
              <w:ind w:firstLine="420" w:firstLineChars="200"/>
              <w:jc w:val="left"/>
              <w:rPr>
                <w:rFonts w:hint="eastAsia" w:ascii="宋体" w:hAnsi="宋体" w:cs="Courier New"/>
                <w:b/>
                <w:color w:val="auto"/>
                <w:szCs w:val="21"/>
                <w:highlight w:val="none"/>
              </w:rPr>
            </w:pPr>
            <w:bookmarkStart w:id="73" w:name="OLE_LINK20"/>
            <w:r>
              <w:rPr>
                <w:rFonts w:hint="eastAsia" w:ascii="宋体" w:hAnsi="宋体" w:cs="宋体"/>
                <w:color w:val="auto"/>
                <w:szCs w:val="21"/>
                <w:highlight w:val="none"/>
              </w:rPr>
              <w:t>2.投标人依法缴纳税收的相关材料（</w:t>
            </w:r>
            <w:r>
              <w:rPr>
                <w:rFonts w:hint="eastAsia" w:ascii="宋体" w:hAnsi="宋体" w:cs="宋体"/>
                <w:color w:val="auto"/>
                <w:szCs w:val="21"/>
                <w:highlight w:val="none"/>
                <w:u w:val="single"/>
                <w:lang w:eastAsia="zh-CN"/>
              </w:rPr>
              <w:t>2025年11月-2026年4月内任意连续 3 个月</w:t>
            </w:r>
            <w:r>
              <w:rPr>
                <w:rFonts w:hint="eastAsia" w:ascii="宋体" w:hAnsi="宋体" w:cs="宋体"/>
                <w:color w:val="auto"/>
                <w:szCs w:val="21"/>
                <w:highlight w:val="none"/>
              </w:rPr>
              <w:t>的依法缴纳税收的</w:t>
            </w:r>
            <w:r>
              <w:rPr>
                <w:rFonts w:hint="eastAsia"/>
                <w:color w:val="auto"/>
                <w:highlight w:val="none"/>
              </w:rPr>
              <w:t>证明材料</w:t>
            </w:r>
            <w:r>
              <w:rPr>
                <w:rFonts w:hint="eastAsia" w:ascii="宋体" w:hAnsi="宋体" w:cs="宋体"/>
                <w:color w:val="auto"/>
                <w:szCs w:val="21"/>
                <w:highlight w:val="none"/>
              </w:rPr>
              <w:t>复印件；</w:t>
            </w:r>
            <w:r>
              <w:rPr>
                <w:rFonts w:hint="eastAsia" w:ascii="宋体" w:hAnsi="宋体"/>
                <w:color w:val="auto"/>
                <w:szCs w:val="21"/>
                <w:highlight w:val="none"/>
              </w:rPr>
              <w:t>依法免税的供应商，</w:t>
            </w:r>
            <w:r>
              <w:rPr>
                <w:rFonts w:hint="eastAsia"/>
                <w:color w:val="auto"/>
                <w:highlight w:val="none"/>
              </w:rPr>
              <w:t>必须提供符合免税条件的证明材料</w:t>
            </w:r>
            <w:r>
              <w:rPr>
                <w:rFonts w:hint="eastAsia" w:ascii="宋体" w:hAnsi="宋体"/>
                <w:color w:val="auto"/>
                <w:szCs w:val="21"/>
                <w:highlight w:val="none"/>
              </w:rPr>
              <w:t>。</w:t>
            </w:r>
            <w:r>
              <w:rPr>
                <w:rFonts w:hint="eastAsia" w:ascii="宋体" w:hAnsi="宋体" w:cs="宋体"/>
                <w:color w:val="auto"/>
                <w:szCs w:val="21"/>
                <w:highlight w:val="none"/>
              </w:rPr>
              <w:t>从</w:t>
            </w:r>
            <w:r>
              <w:rPr>
                <w:rFonts w:hint="eastAsia"/>
                <w:color w:val="auto"/>
                <w:szCs w:val="21"/>
                <w:highlight w:val="none"/>
              </w:rPr>
              <w:t>成立之日</w:t>
            </w:r>
            <w:r>
              <w:rPr>
                <w:rFonts w:hint="eastAsia" w:ascii="宋体" w:hAnsi="宋体" w:cs="宋体"/>
                <w:color w:val="auto"/>
                <w:szCs w:val="21"/>
                <w:highlight w:val="none"/>
              </w:rPr>
              <w:t>起到投标文件提交截止时间止不足要求月数的，只需提供从</w:t>
            </w:r>
            <w:r>
              <w:rPr>
                <w:rFonts w:hint="eastAsia"/>
                <w:color w:val="auto"/>
                <w:szCs w:val="21"/>
                <w:highlight w:val="none"/>
              </w:rPr>
              <w:t>成立之日起</w:t>
            </w:r>
            <w:r>
              <w:rPr>
                <w:rFonts w:hint="eastAsia" w:ascii="宋体" w:hAnsi="宋体" w:cs="宋体"/>
                <w:color w:val="auto"/>
                <w:szCs w:val="21"/>
                <w:highlight w:val="none"/>
              </w:rPr>
              <w:t>的依法缴纳税收</w:t>
            </w:r>
            <w:r>
              <w:rPr>
                <w:rFonts w:hint="eastAsia" w:ascii="宋体" w:hAnsi="宋体"/>
                <w:color w:val="auto"/>
                <w:szCs w:val="21"/>
                <w:highlight w:val="none"/>
              </w:rPr>
              <w:t>相应证明文件</w:t>
            </w:r>
            <w:r>
              <w:rPr>
                <w:rFonts w:hint="eastAsia" w:ascii="宋体" w:hAnsi="宋体" w:cs="宋体"/>
                <w:color w:val="auto"/>
                <w:szCs w:val="21"/>
                <w:highlight w:val="none"/>
              </w:rPr>
              <w:t>）</w:t>
            </w:r>
            <w:r>
              <w:rPr>
                <w:rFonts w:hint="eastAsia" w:ascii="宋体" w:hAnsi="宋体"/>
                <w:color w:val="auto"/>
                <w:szCs w:val="21"/>
                <w:highlight w:val="none"/>
              </w:rPr>
              <w:t>；（</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bookmarkEnd w:id="73"/>
          <w:p w14:paraId="2CC27E37">
            <w:pPr>
              <w:snapToGrid w:val="0"/>
              <w:spacing w:line="360" w:lineRule="auto"/>
              <w:ind w:firstLine="420" w:firstLineChars="200"/>
              <w:jc w:val="left"/>
              <w:rPr>
                <w:rFonts w:hint="eastAsia" w:ascii="宋体" w:hAnsi="宋体" w:cs="Courier New"/>
                <w:b/>
                <w:color w:val="auto"/>
                <w:szCs w:val="21"/>
                <w:highlight w:val="none"/>
              </w:rPr>
            </w:pPr>
            <w:bookmarkStart w:id="74" w:name="OLE_LINK21"/>
            <w:r>
              <w:rPr>
                <w:rFonts w:hint="eastAsia" w:ascii="宋体" w:hAnsi="宋体" w:cs="宋体"/>
                <w:color w:val="auto"/>
                <w:szCs w:val="21"/>
                <w:highlight w:val="none"/>
              </w:rPr>
              <w:t>3.投标人依法缴纳社会保障资金的相关材料[</w:t>
            </w:r>
            <w:r>
              <w:rPr>
                <w:rFonts w:hint="eastAsia" w:ascii="宋体" w:hAnsi="宋体" w:cs="宋体"/>
                <w:color w:val="auto"/>
                <w:szCs w:val="21"/>
                <w:highlight w:val="none"/>
                <w:u w:val="single"/>
                <w:lang w:eastAsia="zh-CN"/>
              </w:rPr>
              <w:t>2025年11月-2026年4月内任意连续 3 个月</w:t>
            </w:r>
            <w:r>
              <w:rPr>
                <w:rFonts w:hint="eastAsia" w:ascii="宋体" w:hAnsi="宋体" w:cs="宋体"/>
                <w:color w:val="auto"/>
                <w:szCs w:val="21"/>
                <w:highlight w:val="none"/>
              </w:rPr>
              <w:t>的依法缴纳社会保障资金的缴费</w:t>
            </w:r>
            <w:r>
              <w:rPr>
                <w:rFonts w:hint="eastAsia"/>
                <w:color w:val="auto"/>
                <w:highlight w:val="none"/>
              </w:rPr>
              <w:t>证明材料</w:t>
            </w:r>
            <w:r>
              <w:rPr>
                <w:rFonts w:hint="eastAsia" w:ascii="宋体" w:hAnsi="宋体" w:cs="宋体"/>
                <w:color w:val="auto"/>
                <w:szCs w:val="21"/>
                <w:highlight w:val="none"/>
              </w:rPr>
              <w:t>（</w:t>
            </w:r>
            <w:r>
              <w:rPr>
                <w:rFonts w:hint="eastAsia"/>
                <w:color w:val="auto"/>
                <w:highlight w:val="none"/>
              </w:rPr>
              <w:t>如：</w:t>
            </w:r>
            <w:r>
              <w:rPr>
                <w:rFonts w:hint="eastAsia" w:ascii="宋体" w:hAnsi="宋体" w:cs="宋体"/>
                <w:color w:val="auto"/>
                <w:szCs w:val="21"/>
                <w:highlight w:val="none"/>
              </w:rPr>
              <w:t>专用收据、社会保险缴纳清单或者社保部门的证明）复印件；</w:t>
            </w:r>
            <w:r>
              <w:rPr>
                <w:rFonts w:hint="eastAsia" w:ascii="宋体" w:hAnsi="宋体"/>
                <w:color w:val="auto"/>
                <w:szCs w:val="21"/>
                <w:highlight w:val="none"/>
              </w:rPr>
              <w:t>依法不需要缴纳社会保障资金的供应商，必须提供相应文件证明不需要缴纳社会保障资金。</w:t>
            </w:r>
            <w:r>
              <w:rPr>
                <w:rFonts w:hint="eastAsia" w:ascii="宋体" w:hAnsi="宋体" w:cs="宋体"/>
                <w:color w:val="auto"/>
                <w:szCs w:val="21"/>
                <w:highlight w:val="none"/>
              </w:rPr>
              <w:t>从</w:t>
            </w:r>
            <w:r>
              <w:rPr>
                <w:rFonts w:hint="eastAsia"/>
                <w:color w:val="auto"/>
                <w:szCs w:val="21"/>
                <w:highlight w:val="none"/>
              </w:rPr>
              <w:t>成立之日起</w:t>
            </w:r>
            <w:r>
              <w:rPr>
                <w:rFonts w:hint="eastAsia" w:ascii="宋体" w:hAnsi="宋体" w:cs="宋体"/>
                <w:color w:val="auto"/>
                <w:szCs w:val="21"/>
                <w:highlight w:val="none"/>
              </w:rPr>
              <w:t>到投标文件提交截止时间止不足要求月数的只需提供从</w:t>
            </w:r>
            <w:r>
              <w:rPr>
                <w:rFonts w:hint="eastAsia"/>
                <w:color w:val="auto"/>
                <w:szCs w:val="21"/>
                <w:highlight w:val="none"/>
              </w:rPr>
              <w:t>成立之日起</w:t>
            </w:r>
            <w:r>
              <w:rPr>
                <w:rFonts w:hint="eastAsia" w:ascii="宋体" w:hAnsi="宋体" w:cs="宋体"/>
                <w:color w:val="auto"/>
                <w:szCs w:val="21"/>
                <w:highlight w:val="none"/>
              </w:rPr>
              <w:t>的依法缴纳社会保障资金的</w:t>
            </w:r>
            <w:r>
              <w:rPr>
                <w:rFonts w:hint="eastAsia" w:ascii="宋体" w:hAnsi="宋体"/>
                <w:color w:val="auto"/>
                <w:szCs w:val="21"/>
                <w:highlight w:val="none"/>
              </w:rPr>
              <w:t>相应证明文件</w:t>
            </w:r>
            <w:r>
              <w:rPr>
                <w:rFonts w:hint="eastAsia" w:ascii="宋体" w:hAnsi="宋体" w:cs="宋体"/>
                <w:color w:val="auto"/>
                <w:szCs w:val="21"/>
                <w:highlight w:val="none"/>
                <w:lang w:eastAsia="zh-CN"/>
              </w:rPr>
              <w:t>）</w:t>
            </w:r>
            <w:r>
              <w:rPr>
                <w:rFonts w:hint="eastAsia" w:ascii="宋体" w:hAnsi="宋体"/>
                <w:color w:val="auto"/>
                <w:szCs w:val="21"/>
                <w:highlight w:val="none"/>
              </w:rPr>
              <w:t>；（</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bookmarkEnd w:id="74"/>
          <w:p w14:paraId="6CE9E1A3">
            <w:pPr>
              <w:snapToGrid w:val="0"/>
              <w:spacing w:line="360" w:lineRule="auto"/>
              <w:ind w:firstLine="420" w:firstLineChars="200"/>
              <w:jc w:val="left"/>
              <w:rPr>
                <w:rFonts w:hint="eastAsia" w:ascii="宋体" w:hAnsi="宋体" w:cs="Courier New"/>
                <w:b/>
                <w:color w:val="auto"/>
                <w:szCs w:val="21"/>
                <w:highlight w:val="none"/>
              </w:rPr>
            </w:pPr>
            <w:bookmarkStart w:id="75" w:name="OLE_LINK22"/>
            <w:r>
              <w:rPr>
                <w:rFonts w:hint="eastAsia" w:ascii="宋体" w:hAnsi="宋体" w:cs="宋体"/>
                <w:color w:val="auto"/>
                <w:szCs w:val="21"/>
                <w:highlight w:val="none"/>
              </w:rPr>
              <w:t>4.投标人</w:t>
            </w:r>
            <w:r>
              <w:rPr>
                <w:rFonts w:hint="eastAsia"/>
                <w:color w:val="auto"/>
                <w:szCs w:val="21"/>
                <w:highlight w:val="none"/>
              </w:rPr>
              <w:t>财务状况报告（</w:t>
            </w:r>
            <w:r>
              <w:rPr>
                <w:rFonts w:hint="eastAsia"/>
                <w:color w:val="auto"/>
                <w:szCs w:val="21"/>
                <w:highlight w:val="none"/>
                <w:u w:val="single"/>
                <w:lang w:val="en-US" w:eastAsia="zh-CN"/>
              </w:rPr>
              <w:t>2024或2025</w:t>
            </w:r>
            <w:r>
              <w:rPr>
                <w:rFonts w:hint="eastAsia"/>
                <w:color w:val="auto"/>
                <w:szCs w:val="21"/>
                <w:highlight w:val="none"/>
              </w:rPr>
              <w:t>年度财务报表复印件，或者银行出具的资信证明，或者中国人民银行征信中心出具的信用报告（企业投标的提供企业信用报告，自然人投标的提供个人信用报告</w:t>
            </w:r>
            <w:r>
              <w:rPr>
                <w:rFonts w:hint="eastAsia"/>
                <w:color w:val="auto"/>
                <w:highlight w:val="none"/>
              </w:rPr>
              <w:t>，</w:t>
            </w:r>
            <w:r>
              <w:rPr>
                <w:rFonts w:hint="eastAsia" w:ascii="宋体" w:hAnsi="宋体"/>
                <w:color w:val="auto"/>
                <w:highlight w:val="none"/>
              </w:rPr>
              <w:t>投标人属于成立时间在规定年度之后的法人或其他组织，</w:t>
            </w:r>
            <w:r>
              <w:rPr>
                <w:rFonts w:hint="eastAsia"/>
                <w:color w:val="auto"/>
                <w:highlight w:val="none"/>
              </w:rPr>
              <w:t>需提供成立之日起至投标截止时间前的月报表</w:t>
            </w:r>
            <w:r>
              <w:rPr>
                <w:rFonts w:hint="eastAsia"/>
                <w:color w:val="auto"/>
                <w:szCs w:val="21"/>
                <w:highlight w:val="none"/>
              </w:rPr>
              <w:t>或银行出具的资信证明或者中国人民银行征信中心出具的企业信用报告；资信证明应在有效期内，未注明有效期的，银行出具时间至投标截止时间不超过一年）；</w:t>
            </w:r>
            <w:r>
              <w:rPr>
                <w:rFonts w:hint="eastAsia" w:ascii="宋体" w:hAnsi="宋体"/>
                <w:color w:val="auto"/>
                <w:szCs w:val="21"/>
                <w:highlight w:val="none"/>
              </w:rPr>
              <w:t>（</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bookmarkEnd w:id="75"/>
          <w:p w14:paraId="332B827F">
            <w:pPr>
              <w:snapToGrid w:val="0"/>
              <w:spacing w:line="360" w:lineRule="auto"/>
              <w:ind w:firstLine="420" w:firstLineChars="200"/>
              <w:jc w:val="left"/>
              <w:rPr>
                <w:rFonts w:hint="eastAsia" w:ascii="宋体" w:hAnsi="宋体"/>
                <w:color w:val="auto"/>
                <w:szCs w:val="21"/>
                <w:highlight w:val="none"/>
              </w:rPr>
            </w:pPr>
            <w:bookmarkStart w:id="76" w:name="OLE_LINK23"/>
            <w:r>
              <w:rPr>
                <w:rFonts w:hint="eastAsia" w:ascii="宋体" w:hAnsi="宋体"/>
                <w:color w:val="auto"/>
                <w:szCs w:val="21"/>
                <w:highlight w:val="none"/>
              </w:rPr>
              <w:t>5.投标人直接控股信息表（格式后附）；（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bookmarkEnd w:id="76"/>
          <w:p w14:paraId="58FEF90C">
            <w:pPr>
              <w:snapToGrid w:val="0"/>
              <w:spacing w:line="360" w:lineRule="auto"/>
              <w:ind w:firstLine="420" w:firstLineChars="200"/>
              <w:jc w:val="left"/>
              <w:rPr>
                <w:rFonts w:hint="eastAsia" w:ascii="宋体" w:hAnsi="宋体"/>
                <w:color w:val="auto"/>
                <w:szCs w:val="21"/>
                <w:highlight w:val="none"/>
              </w:rPr>
            </w:pPr>
            <w:bookmarkStart w:id="77" w:name="OLE_LINK24"/>
            <w:r>
              <w:rPr>
                <w:rFonts w:hint="eastAsia" w:ascii="宋体" w:hAnsi="宋体"/>
                <w:color w:val="auto"/>
                <w:szCs w:val="21"/>
                <w:highlight w:val="none"/>
              </w:rPr>
              <w:t>6.投标人直接管理关系信息表（格式后附）；（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bookmarkEnd w:id="77"/>
          <w:p w14:paraId="2D3A0065">
            <w:pPr>
              <w:snapToGrid w:val="0"/>
              <w:spacing w:line="360" w:lineRule="auto"/>
              <w:ind w:firstLine="420" w:firstLineChars="200"/>
              <w:jc w:val="left"/>
              <w:rPr>
                <w:rFonts w:hint="eastAsia" w:ascii="宋体" w:hAnsi="宋体"/>
                <w:color w:val="auto"/>
                <w:szCs w:val="21"/>
                <w:highlight w:val="none"/>
              </w:rPr>
            </w:pPr>
            <w:bookmarkStart w:id="78" w:name="OLE_LINK25"/>
            <w:r>
              <w:rPr>
                <w:rFonts w:hint="eastAsia" w:ascii="宋体" w:hAnsi="宋体"/>
                <w:color w:val="auto"/>
                <w:szCs w:val="21"/>
                <w:highlight w:val="none"/>
              </w:rPr>
              <w:t>7.投标声明（格式后附）；（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bookmarkEnd w:id="78"/>
            <w:bookmarkStart w:id="79" w:name="OLE_LINK26"/>
          </w:p>
          <w:p w14:paraId="7444D9BD">
            <w:pPr>
              <w:snapToGrid w:val="0"/>
              <w:spacing w:line="360" w:lineRule="auto"/>
              <w:ind w:firstLine="420" w:firstLineChars="200"/>
              <w:jc w:val="left"/>
              <w:rPr>
                <w:rFonts w:hint="eastAsia" w:ascii="宋体" w:hAnsi="宋体"/>
                <w:color w:val="auto"/>
                <w:szCs w:val="21"/>
                <w:highlight w:val="none"/>
              </w:rPr>
            </w:pPr>
            <w:r>
              <w:rPr>
                <w:rFonts w:hint="eastAsia" w:ascii="宋体" w:hAnsi="宋体" w:eastAsia="宋体" w:cs="Times New Roman"/>
                <w:color w:val="auto"/>
                <w:szCs w:val="21"/>
                <w:highlight w:val="none"/>
                <w:lang w:val="en-US" w:eastAsia="zh-CN"/>
              </w:rPr>
              <w:t>8.</w:t>
            </w:r>
            <w:r>
              <w:rPr>
                <w:rFonts w:hint="eastAsia" w:ascii="宋体" w:hAnsi="宋体"/>
                <w:color w:val="auto"/>
                <w:szCs w:val="21"/>
                <w:highlight w:val="none"/>
              </w:rPr>
              <w:t>投标人</w:t>
            </w:r>
            <w:r>
              <w:rPr>
                <w:rFonts w:hint="eastAsia" w:ascii="宋体" w:hAnsi="宋体" w:cs="宋体"/>
                <w:b w:val="0"/>
                <w:bCs/>
                <w:color w:val="auto"/>
                <w:szCs w:val="21"/>
                <w:highlight w:val="none"/>
                <w:lang w:val="en-US" w:eastAsia="zh-CN"/>
              </w:rPr>
              <w:t>具备财政部门登记批准的会计师事务所执业证书</w:t>
            </w:r>
            <w:r>
              <w:rPr>
                <w:rFonts w:hint="eastAsia" w:ascii="宋体" w:hAnsi="宋体"/>
                <w:color w:val="auto"/>
                <w:szCs w:val="21"/>
                <w:highlight w:val="none"/>
              </w:rPr>
              <w:t>复印件</w:t>
            </w:r>
            <w:r>
              <w:rPr>
                <w:rFonts w:hint="eastAsia" w:ascii="宋体" w:hAnsi="宋体"/>
                <w:color w:val="auto"/>
                <w:szCs w:val="21"/>
                <w:highlight w:val="none"/>
                <w:lang w:eastAsia="zh-CN"/>
              </w:rPr>
              <w:t>；</w:t>
            </w:r>
            <w:r>
              <w:rPr>
                <w:rFonts w:hint="eastAsia" w:ascii="宋体" w:hAnsi="宋体"/>
                <w:color w:val="auto"/>
                <w:szCs w:val="21"/>
                <w:highlight w:val="none"/>
              </w:rPr>
              <w:t>（</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6F6A22AD">
            <w:pPr>
              <w:snapToGrid w:val="0"/>
              <w:spacing w:line="360" w:lineRule="auto"/>
              <w:ind w:firstLine="420" w:firstLineChars="200"/>
              <w:jc w:val="left"/>
              <w:rPr>
                <w:rFonts w:hint="eastAsia" w:ascii="宋体" w:hAnsi="宋体" w:eastAsia="宋体" w:cs="Times New Roman"/>
                <w:color w:val="auto"/>
                <w:szCs w:val="21"/>
                <w:highlight w:val="none"/>
                <w:lang w:val="en-US" w:eastAsia="zh-CN"/>
              </w:rPr>
            </w:pPr>
            <w:r>
              <w:rPr>
                <w:rFonts w:hint="eastAsia" w:ascii="宋体" w:hAnsi="宋体"/>
                <w:color w:val="auto"/>
                <w:szCs w:val="21"/>
                <w:highlight w:val="none"/>
                <w:lang w:val="en-US" w:eastAsia="zh-CN"/>
              </w:rPr>
              <w:t>9</w:t>
            </w:r>
            <w:r>
              <w:rPr>
                <w:rFonts w:hint="eastAsia" w:ascii="宋体" w:hAnsi="宋体"/>
                <w:color w:val="auto"/>
                <w:szCs w:val="21"/>
                <w:highlight w:val="none"/>
              </w:rPr>
              <w:t>.</w:t>
            </w:r>
            <w:r>
              <w:rPr>
                <w:rFonts w:hint="eastAsia" w:ascii="宋体" w:hAnsi="宋体"/>
                <w:iCs/>
                <w:color w:val="auto"/>
                <w:szCs w:val="21"/>
                <w:highlight w:val="none"/>
              </w:rPr>
              <w:t>投标人需提供《中小企业声明函》或《残疾人福利性单位声明函》或属于监狱企业的证明文件；</w:t>
            </w:r>
            <w:r>
              <w:rPr>
                <w:rFonts w:hint="eastAsia" w:ascii="宋体" w:hAnsi="宋体"/>
                <w:color w:val="auto"/>
                <w:szCs w:val="21"/>
                <w:highlight w:val="none"/>
              </w:rPr>
              <w:t>（</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bookmarkEnd w:id="79"/>
          <w:p w14:paraId="61F31EC2">
            <w:pPr>
              <w:snapToGrid w:val="0"/>
              <w:spacing w:line="360" w:lineRule="auto"/>
              <w:ind w:left="0" w:firstLine="420" w:firstLineChars="200"/>
              <w:jc w:val="left"/>
              <w:rPr>
                <w:rFonts w:hint="eastAsia" w:ascii="宋体" w:hAnsi="宋体"/>
                <w:color w:val="auto"/>
                <w:szCs w:val="21"/>
                <w:highlight w:val="none"/>
              </w:rPr>
            </w:pPr>
            <w:r>
              <w:rPr>
                <w:rFonts w:hint="eastAsia" w:ascii="宋体" w:hAnsi="宋体"/>
                <w:color w:val="auto"/>
                <w:szCs w:val="21"/>
                <w:highlight w:val="none"/>
                <w:lang w:val="en-US" w:eastAsia="zh-CN"/>
              </w:rPr>
              <w:t>10</w:t>
            </w:r>
            <w:r>
              <w:rPr>
                <w:rFonts w:hint="eastAsia" w:ascii="宋体" w:hAnsi="宋体"/>
                <w:color w:val="auto"/>
                <w:szCs w:val="21"/>
                <w:highlight w:val="none"/>
              </w:rPr>
              <w:t>.除招标文件规定必须提供以外，投标人认为需要提供的其他证明材料。（如有请提供）</w:t>
            </w:r>
          </w:p>
          <w:p w14:paraId="2CC930BC">
            <w:pPr>
              <w:snapToGrid w:val="0"/>
              <w:spacing w:line="360" w:lineRule="auto"/>
              <w:jc w:val="left"/>
              <w:rPr>
                <w:rFonts w:hint="eastAsia" w:ascii="宋体" w:hAnsi="宋体" w:cs="Courier New"/>
                <w:b/>
                <w:color w:val="auto"/>
                <w:szCs w:val="21"/>
                <w:highlight w:val="none"/>
              </w:rPr>
            </w:pPr>
            <w:bookmarkStart w:id="80" w:name="OLE_LINK27"/>
            <w:r>
              <w:rPr>
                <w:rFonts w:hint="eastAsia" w:ascii="宋体" w:hAnsi="宋体"/>
                <w:b/>
                <w:bCs/>
                <w:color w:val="auto"/>
                <w:szCs w:val="21"/>
                <w:highlight w:val="none"/>
              </w:rPr>
              <w:t>注：1.以上标明“必须提供”的材料，格式</w:t>
            </w:r>
            <w:r>
              <w:rPr>
                <w:rFonts w:hint="eastAsia" w:ascii="宋体" w:hAnsi="宋体" w:cs="宋体"/>
                <w:b/>
                <w:color w:val="auto"/>
                <w:szCs w:val="21"/>
                <w:highlight w:val="none"/>
              </w:rPr>
              <w:t>中有要求法定代表人或者委托代理人签字的，必须按要求签字并加盖投标人电子签章</w:t>
            </w:r>
            <w:r>
              <w:rPr>
                <w:rFonts w:hint="eastAsia" w:ascii="宋体" w:hAnsi="宋体"/>
                <w:b/>
                <w:bCs/>
                <w:color w:val="auto"/>
                <w:szCs w:val="21"/>
                <w:highlight w:val="none"/>
              </w:rPr>
              <w:t>，否则按无效投标</w:t>
            </w:r>
            <w:r>
              <w:rPr>
                <w:rFonts w:hint="eastAsia" w:ascii="宋体" w:hAnsi="宋体" w:cs="Courier New"/>
                <w:b/>
                <w:color w:val="auto"/>
                <w:szCs w:val="21"/>
                <w:highlight w:val="none"/>
              </w:rPr>
              <w:t>处理。</w:t>
            </w:r>
          </w:p>
          <w:p w14:paraId="31D4E45A">
            <w:pPr>
              <w:snapToGrid w:val="0"/>
              <w:spacing w:line="360" w:lineRule="auto"/>
              <w:ind w:firstLine="422" w:firstLineChars="200"/>
              <w:jc w:val="left"/>
              <w:rPr>
                <w:rFonts w:hint="eastAsia" w:ascii="宋体" w:hAnsi="宋体"/>
                <w:b/>
                <w:bCs/>
                <w:color w:val="auto"/>
                <w:szCs w:val="21"/>
                <w:highlight w:val="none"/>
              </w:rPr>
            </w:pPr>
            <w:r>
              <w:rPr>
                <w:rFonts w:hint="eastAsia" w:ascii="宋体" w:hAnsi="宋体"/>
                <w:b/>
                <w:bCs/>
                <w:color w:val="auto"/>
                <w:szCs w:val="21"/>
                <w:highlight w:val="none"/>
              </w:rPr>
              <w:t>2.联合体投标时，第1-6项资格证明文件联合体各方均必须分别提供，</w:t>
            </w:r>
            <w:r>
              <w:rPr>
                <w:rFonts w:hint="eastAsia"/>
                <w:b/>
                <w:color w:val="auto"/>
                <w:highlight w:val="none"/>
              </w:rPr>
              <w:t>并由</w:t>
            </w:r>
            <w:r>
              <w:rPr>
                <w:rFonts w:hint="eastAsia" w:ascii="宋体" w:hAnsi="宋体" w:cs="宋体"/>
                <w:b/>
                <w:color w:val="auto"/>
                <w:szCs w:val="21"/>
                <w:highlight w:val="none"/>
              </w:rPr>
              <w:t>联合体</w:t>
            </w:r>
            <w:r>
              <w:rPr>
                <w:rFonts w:hint="eastAsia"/>
                <w:b/>
                <w:color w:val="auto"/>
                <w:highlight w:val="none"/>
              </w:rPr>
              <w:t>牵头人加盖电子签章</w:t>
            </w:r>
            <w:r>
              <w:rPr>
                <w:rFonts w:hint="eastAsia" w:ascii="宋体" w:hAnsi="宋体" w:cs="宋体"/>
                <w:b/>
                <w:color w:val="auto"/>
                <w:szCs w:val="21"/>
                <w:highlight w:val="none"/>
              </w:rPr>
              <w:t>，</w:t>
            </w:r>
            <w:r>
              <w:rPr>
                <w:rFonts w:hint="eastAsia"/>
                <w:b/>
                <w:color w:val="auto"/>
                <w:highlight w:val="none"/>
              </w:rPr>
              <w:t>规定签字</w:t>
            </w:r>
            <w:r>
              <w:rPr>
                <w:rFonts w:hint="eastAsia" w:ascii="宋体" w:hAnsi="宋体" w:cs="宋体"/>
                <w:b/>
                <w:color w:val="auto"/>
                <w:szCs w:val="21"/>
                <w:highlight w:val="none"/>
              </w:rPr>
              <w:t>处签字</w:t>
            </w:r>
            <w:r>
              <w:rPr>
                <w:rFonts w:hint="eastAsia" w:ascii="宋体" w:hAnsi="宋体"/>
                <w:b/>
                <w:bCs/>
                <w:color w:val="auto"/>
                <w:szCs w:val="21"/>
                <w:highlight w:val="none"/>
              </w:rPr>
              <w:t>（或者电子签名），否则按无效投标</w:t>
            </w:r>
            <w:r>
              <w:rPr>
                <w:rFonts w:hint="eastAsia" w:ascii="宋体" w:hAnsi="宋体" w:cs="Courier New"/>
                <w:b/>
                <w:color w:val="auto"/>
                <w:szCs w:val="21"/>
                <w:highlight w:val="none"/>
              </w:rPr>
              <w:t>处理</w:t>
            </w:r>
            <w:r>
              <w:rPr>
                <w:rFonts w:hint="eastAsia" w:ascii="宋体" w:hAnsi="宋体"/>
                <w:b/>
                <w:bCs/>
                <w:color w:val="auto"/>
                <w:szCs w:val="21"/>
                <w:highlight w:val="none"/>
              </w:rPr>
              <w:t>。</w:t>
            </w:r>
            <w:bookmarkEnd w:id="80"/>
          </w:p>
        </w:tc>
      </w:tr>
      <w:tr w14:paraId="3E7E30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vMerge w:val="continue"/>
            <w:tcBorders>
              <w:left w:val="single" w:color="auto" w:sz="4" w:space="0"/>
              <w:right w:val="single" w:color="auto" w:sz="4" w:space="0"/>
            </w:tcBorders>
            <w:noWrap w:val="0"/>
            <w:vAlign w:val="center"/>
          </w:tcPr>
          <w:p w14:paraId="1082362A">
            <w:pPr>
              <w:spacing w:line="360" w:lineRule="auto"/>
              <w:rPr>
                <w:rFonts w:hint="eastAsia" w:ascii="宋体" w:hAnsi="宋体"/>
                <w:color w:val="auto"/>
                <w:szCs w:val="21"/>
                <w:highlight w:val="none"/>
              </w:rPr>
            </w:pPr>
            <w:bookmarkStart w:id="81" w:name="_13.3"/>
            <w:bookmarkEnd w:id="81"/>
          </w:p>
        </w:tc>
        <w:tc>
          <w:tcPr>
            <w:tcW w:w="8175" w:type="dxa"/>
            <w:tcBorders>
              <w:top w:val="single" w:color="auto" w:sz="4" w:space="0"/>
              <w:left w:val="single" w:color="auto" w:sz="4" w:space="0"/>
              <w:bottom w:val="single" w:color="auto" w:sz="4" w:space="0"/>
              <w:right w:val="single" w:color="auto" w:sz="4" w:space="0"/>
            </w:tcBorders>
            <w:noWrap w:val="0"/>
            <w:vAlign w:val="center"/>
          </w:tcPr>
          <w:p w14:paraId="27782F3F">
            <w:pPr>
              <w:snapToGrid w:val="0"/>
              <w:spacing w:line="360" w:lineRule="auto"/>
              <w:jc w:val="left"/>
              <w:rPr>
                <w:rFonts w:hint="eastAsia" w:ascii="宋体" w:hAnsi="宋体" w:cs="Courier New"/>
                <w:b/>
                <w:color w:val="auto"/>
                <w:szCs w:val="21"/>
                <w:highlight w:val="none"/>
              </w:rPr>
            </w:pPr>
            <w:r>
              <w:rPr>
                <w:rFonts w:hint="eastAsia"/>
                <w:b/>
                <w:color w:val="auto"/>
                <w:kern w:val="0"/>
                <w:highlight w:val="none"/>
                <w:u w:val="none"/>
              </w:rPr>
              <w:t>商务及技术文件</w:t>
            </w:r>
            <w:r>
              <w:rPr>
                <w:rFonts w:hint="eastAsia" w:ascii="宋体" w:hAnsi="宋体" w:cs="Courier New"/>
                <w:b/>
                <w:color w:val="auto"/>
                <w:szCs w:val="21"/>
                <w:highlight w:val="none"/>
              </w:rPr>
              <w:t>：</w:t>
            </w:r>
          </w:p>
          <w:p w14:paraId="3D1809C2">
            <w:pPr>
              <w:snapToGrid w:val="0"/>
              <w:spacing w:line="360" w:lineRule="auto"/>
              <w:ind w:left="413"/>
              <w:jc w:val="left"/>
              <w:rPr>
                <w:rFonts w:hint="eastAsia" w:ascii="宋体" w:hAnsi="宋体"/>
                <w:color w:val="auto"/>
                <w:szCs w:val="21"/>
                <w:highlight w:val="none"/>
              </w:rPr>
            </w:pPr>
            <w:bookmarkStart w:id="82" w:name="OLE_LINK30"/>
            <w:r>
              <w:rPr>
                <w:rFonts w:hint="eastAsia" w:ascii="宋体" w:hAnsi="宋体"/>
                <w:color w:val="auto"/>
                <w:szCs w:val="21"/>
                <w:highlight w:val="none"/>
              </w:rPr>
              <w:t>1.无串通投标行为的承诺函（格式后附）；（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bookmarkEnd w:id="82"/>
          <w:p w14:paraId="72CE50E5">
            <w:pPr>
              <w:snapToGrid w:val="0"/>
              <w:spacing w:line="360" w:lineRule="auto"/>
              <w:ind w:left="413"/>
              <w:jc w:val="left"/>
              <w:rPr>
                <w:rFonts w:hint="eastAsia" w:ascii="宋体" w:hAnsi="宋体"/>
                <w:color w:val="auto"/>
                <w:szCs w:val="21"/>
                <w:highlight w:val="none"/>
              </w:rPr>
            </w:pPr>
            <w:bookmarkStart w:id="83" w:name="OLE_LINK31"/>
            <w:r>
              <w:rPr>
                <w:rFonts w:hint="eastAsia" w:ascii="宋体" w:hAnsi="宋体"/>
                <w:color w:val="auto"/>
                <w:szCs w:val="21"/>
                <w:highlight w:val="none"/>
              </w:rPr>
              <w:t>2.投标保证金提交凭证；（</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bookmarkEnd w:id="83"/>
          <w:p w14:paraId="3FE43361">
            <w:pPr>
              <w:snapToGrid w:val="0"/>
              <w:spacing w:line="360" w:lineRule="auto"/>
              <w:ind w:left="413"/>
              <w:jc w:val="left"/>
              <w:rPr>
                <w:rFonts w:ascii="宋体" w:hAnsi="宋体"/>
                <w:color w:val="auto"/>
                <w:szCs w:val="21"/>
                <w:highlight w:val="none"/>
              </w:rPr>
            </w:pPr>
            <w:bookmarkStart w:id="84" w:name="OLE_LINK32"/>
            <w:r>
              <w:rPr>
                <w:rFonts w:hint="eastAsia" w:ascii="宋体" w:hAnsi="宋体"/>
                <w:color w:val="auto"/>
                <w:szCs w:val="21"/>
                <w:highlight w:val="none"/>
              </w:rPr>
              <w:t>3.法定代表人身份证明及法定代表人有效身份证正反面复印件（格式后附）；（</w:t>
            </w:r>
            <w:r>
              <w:rPr>
                <w:rFonts w:hint="eastAsia" w:ascii="宋体" w:hAnsi="宋体" w:cs="宋体"/>
                <w:b/>
                <w:bCs/>
                <w:color w:val="auto"/>
                <w:szCs w:val="21"/>
                <w:highlight w:val="none"/>
              </w:rPr>
              <w:t>除自然人投标外</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bookmarkEnd w:id="84"/>
          <w:p w14:paraId="06376A37">
            <w:pPr>
              <w:snapToGrid w:val="0"/>
              <w:spacing w:line="360" w:lineRule="auto"/>
              <w:ind w:left="413"/>
              <w:jc w:val="left"/>
              <w:rPr>
                <w:rFonts w:ascii="宋体" w:hAnsi="宋体"/>
                <w:color w:val="auto"/>
                <w:szCs w:val="21"/>
                <w:highlight w:val="none"/>
              </w:rPr>
            </w:pPr>
            <w:bookmarkStart w:id="85" w:name="OLE_LINK33"/>
            <w:r>
              <w:rPr>
                <w:rFonts w:hint="eastAsia" w:ascii="宋体" w:hAnsi="宋体"/>
                <w:color w:val="auto"/>
                <w:szCs w:val="21"/>
                <w:highlight w:val="none"/>
              </w:rPr>
              <w:t>4.授权委托书及委托代理人有效身份证正反面复印件（格式后附）；（</w:t>
            </w:r>
            <w:r>
              <w:rPr>
                <w:rFonts w:hint="eastAsia" w:ascii="宋体" w:hAnsi="宋体"/>
                <w:b/>
                <w:color w:val="auto"/>
                <w:szCs w:val="21"/>
                <w:highlight w:val="none"/>
              </w:rPr>
              <w:t>委托时必须提供，否则按无效投标处理</w:t>
            </w:r>
            <w:r>
              <w:rPr>
                <w:rFonts w:hint="eastAsia" w:ascii="宋体" w:hAnsi="宋体"/>
                <w:color w:val="auto"/>
                <w:szCs w:val="21"/>
                <w:highlight w:val="none"/>
              </w:rPr>
              <w:t>）</w:t>
            </w:r>
          </w:p>
          <w:bookmarkEnd w:id="85"/>
          <w:p w14:paraId="7F15DC8E">
            <w:pPr>
              <w:snapToGrid w:val="0"/>
              <w:spacing w:line="360" w:lineRule="auto"/>
              <w:ind w:left="413"/>
              <w:jc w:val="left"/>
              <w:rPr>
                <w:rFonts w:hint="eastAsia" w:ascii="宋体" w:hAnsi="宋体"/>
                <w:color w:val="auto"/>
                <w:szCs w:val="21"/>
                <w:highlight w:val="none"/>
              </w:rPr>
            </w:pPr>
            <w:bookmarkStart w:id="86" w:name="OLE_LINK34"/>
            <w:r>
              <w:rPr>
                <w:rFonts w:hint="eastAsia" w:ascii="宋体" w:hAnsi="宋体"/>
                <w:color w:val="auto"/>
                <w:szCs w:val="21"/>
                <w:highlight w:val="none"/>
              </w:rPr>
              <w:t>5</w:t>
            </w:r>
            <w:r>
              <w:rPr>
                <w:rFonts w:ascii="宋体" w:hAnsi="宋体"/>
                <w:color w:val="auto"/>
                <w:szCs w:val="21"/>
                <w:highlight w:val="none"/>
              </w:rPr>
              <w:t>.</w:t>
            </w:r>
            <w:r>
              <w:rPr>
                <w:rFonts w:hint="eastAsia" w:ascii="宋体" w:hAnsi="宋体"/>
                <w:color w:val="auto"/>
                <w:szCs w:val="21"/>
                <w:highlight w:val="none"/>
              </w:rPr>
              <w:t>商务要求偏离表（格式后附）；（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bookmarkEnd w:id="86"/>
          <w:p w14:paraId="0AF37864">
            <w:pPr>
              <w:snapToGrid w:val="0"/>
              <w:spacing w:line="360" w:lineRule="auto"/>
              <w:ind w:left="0" w:firstLine="420" w:firstLineChars="200"/>
              <w:jc w:val="left"/>
              <w:rPr>
                <w:rFonts w:hint="eastAsia" w:ascii="宋体" w:hAnsi="宋体"/>
                <w:color w:val="auto"/>
                <w:szCs w:val="21"/>
                <w:highlight w:val="none"/>
              </w:rPr>
            </w:pPr>
            <w:r>
              <w:rPr>
                <w:rFonts w:ascii="宋体" w:hAnsi="宋体"/>
                <w:color w:val="auto"/>
                <w:szCs w:val="21"/>
                <w:highlight w:val="none"/>
              </w:rPr>
              <w:t>6</w:t>
            </w:r>
            <w:r>
              <w:rPr>
                <w:rFonts w:hint="eastAsia" w:ascii="宋体" w:hAnsi="宋体"/>
                <w:color w:val="auto"/>
                <w:szCs w:val="21"/>
                <w:highlight w:val="none"/>
              </w:rPr>
              <w:t>.服务承诺（格式自拟）； （如有请提供）</w:t>
            </w:r>
          </w:p>
          <w:p w14:paraId="05929511">
            <w:pPr>
              <w:snapToGrid w:val="0"/>
              <w:spacing w:line="360" w:lineRule="auto"/>
              <w:ind w:left="0" w:firstLine="420" w:firstLineChars="200"/>
              <w:jc w:val="left"/>
              <w:rPr>
                <w:rFonts w:hint="eastAsia"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.投标人情况介绍（格式自拟）；（如有请提供）</w:t>
            </w:r>
          </w:p>
          <w:p w14:paraId="66CA4B37">
            <w:pPr>
              <w:snapToGrid w:val="0"/>
              <w:spacing w:line="360" w:lineRule="auto"/>
              <w:ind w:left="420"/>
              <w:jc w:val="left"/>
              <w:rPr>
                <w:rFonts w:hint="eastAsia" w:ascii="宋体" w:hAnsi="宋体"/>
                <w:color w:val="auto"/>
                <w:szCs w:val="21"/>
                <w:highlight w:val="none"/>
              </w:rPr>
            </w:pPr>
            <w:bookmarkStart w:id="87" w:name="OLE_LINK35"/>
            <w:r>
              <w:rPr>
                <w:rFonts w:hint="eastAsia" w:ascii="宋体" w:hAnsi="宋体"/>
                <w:color w:val="auto"/>
                <w:szCs w:val="21"/>
                <w:highlight w:val="none"/>
                <w:lang w:val="en-US" w:eastAsia="zh-CN"/>
              </w:rPr>
              <w:t>8</w:t>
            </w:r>
            <w:r>
              <w:rPr>
                <w:rFonts w:hint="eastAsia" w:ascii="宋体" w:hAnsi="宋体"/>
                <w:color w:val="auto"/>
                <w:szCs w:val="21"/>
                <w:highlight w:val="none"/>
              </w:rPr>
              <w:t>.技术要求偏离表（格式后附）；（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bookmarkEnd w:id="87"/>
          <w:p w14:paraId="0BE79EE2">
            <w:pPr>
              <w:snapToGrid w:val="0"/>
              <w:spacing w:line="360" w:lineRule="auto"/>
              <w:ind w:left="420"/>
              <w:jc w:val="left"/>
              <w:rPr>
                <w:rFonts w:hint="eastAsia" w:ascii="宋体" w:hAnsi="宋体"/>
                <w:color w:val="auto"/>
                <w:szCs w:val="21"/>
                <w:highlight w:val="none"/>
              </w:rPr>
            </w:pPr>
            <w:bookmarkStart w:id="88" w:name="OLE_LINK36"/>
            <w:r>
              <w:rPr>
                <w:rFonts w:hint="eastAsia" w:ascii="宋体" w:hAnsi="宋体"/>
                <w:color w:val="auto"/>
                <w:szCs w:val="21"/>
                <w:highlight w:val="none"/>
                <w:lang w:val="en-US" w:eastAsia="zh-CN"/>
              </w:rPr>
              <w:t>9</w:t>
            </w:r>
            <w:r>
              <w:rPr>
                <w:rFonts w:hint="eastAsia" w:ascii="宋体" w:hAnsi="宋体"/>
                <w:color w:val="auto"/>
                <w:szCs w:val="21"/>
                <w:highlight w:val="none"/>
              </w:rPr>
              <w:t>.项目</w:t>
            </w:r>
            <w:r>
              <w:rPr>
                <w:rFonts w:hint="eastAsia" w:ascii="宋体" w:hAnsi="宋体"/>
                <w:color w:val="auto"/>
                <w:szCs w:val="21"/>
                <w:highlight w:val="none"/>
                <w:lang w:val="en-US" w:eastAsia="zh-CN"/>
              </w:rPr>
              <w:t>实施</w:t>
            </w:r>
            <w:r>
              <w:rPr>
                <w:rFonts w:hint="eastAsia" w:ascii="宋体" w:hAnsi="宋体"/>
                <w:color w:val="auto"/>
                <w:szCs w:val="21"/>
                <w:highlight w:val="none"/>
              </w:rPr>
              <w:t>方案（格式自拟）；（</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bookmarkEnd w:id="88"/>
          <w:p w14:paraId="03712A61">
            <w:pPr>
              <w:snapToGrid w:val="0"/>
              <w:spacing w:line="360" w:lineRule="auto"/>
              <w:ind w:left="420"/>
              <w:jc w:val="left"/>
              <w:rPr>
                <w:rFonts w:hint="eastAsia" w:ascii="宋体" w:hAnsi="宋体"/>
                <w:color w:val="auto"/>
                <w:szCs w:val="21"/>
                <w:highlight w:val="none"/>
              </w:rPr>
            </w:pPr>
            <w:bookmarkStart w:id="89" w:name="OLE_LINK37"/>
            <w:r>
              <w:rPr>
                <w:rFonts w:hint="eastAsia" w:ascii="宋体" w:hAnsi="宋体"/>
                <w:color w:val="auto"/>
                <w:szCs w:val="21"/>
                <w:highlight w:val="none"/>
              </w:rPr>
              <w:t>1</w:t>
            </w:r>
            <w:r>
              <w:rPr>
                <w:rFonts w:hint="eastAsia" w:ascii="宋体" w:hAnsi="宋体"/>
                <w:color w:val="auto"/>
                <w:szCs w:val="21"/>
                <w:highlight w:val="none"/>
                <w:lang w:val="en-US" w:eastAsia="zh-CN"/>
              </w:rPr>
              <w:t>0</w:t>
            </w:r>
            <w:r>
              <w:rPr>
                <w:rFonts w:hint="eastAsia" w:ascii="宋体" w:hAnsi="宋体"/>
                <w:color w:val="auto"/>
                <w:szCs w:val="21"/>
                <w:highlight w:val="none"/>
              </w:rPr>
              <w:t>.项目实施人员一览表（格式后附）； （</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bookmarkEnd w:id="89"/>
          <w:p w14:paraId="22FA122D">
            <w:pPr>
              <w:snapToGrid w:val="0"/>
              <w:spacing w:line="360" w:lineRule="auto"/>
              <w:ind w:left="42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1</w:t>
            </w:r>
            <w:r>
              <w:rPr>
                <w:rFonts w:hint="eastAsia" w:ascii="宋体" w:hAnsi="宋体"/>
                <w:color w:val="auto"/>
                <w:szCs w:val="21"/>
                <w:highlight w:val="none"/>
              </w:rPr>
              <w:t>.投标人对本项目的合理化建议和改进措施（格式自拟）；（如有请提供）</w:t>
            </w:r>
          </w:p>
          <w:p w14:paraId="308A5874">
            <w:pPr>
              <w:snapToGrid w:val="0"/>
              <w:spacing w:line="360" w:lineRule="auto"/>
              <w:ind w:left="413"/>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2</w:t>
            </w:r>
            <w:r>
              <w:rPr>
                <w:rFonts w:hint="eastAsia" w:ascii="宋体" w:hAnsi="宋体"/>
                <w:color w:val="auto"/>
                <w:szCs w:val="21"/>
                <w:highlight w:val="none"/>
              </w:rPr>
              <w:t>.除招标文件规定必须提供以外，投标人认为需要提供的其他证明材料（格式自拟）。（投标人根据“第二章 采购需求”及“第四章 评标方法及评标标准”提供有关证明材料）。（如有请提供）</w:t>
            </w:r>
          </w:p>
          <w:p w14:paraId="138B4A81">
            <w:pPr>
              <w:snapToGrid w:val="0"/>
              <w:spacing w:line="360" w:lineRule="auto"/>
              <w:jc w:val="left"/>
              <w:rPr>
                <w:rFonts w:hint="eastAsia" w:ascii="宋体" w:hAnsi="宋体" w:cs="Courier New"/>
                <w:b/>
                <w:color w:val="auto"/>
                <w:szCs w:val="21"/>
                <w:highlight w:val="none"/>
              </w:rPr>
            </w:pPr>
            <w:bookmarkStart w:id="90" w:name="OLE_LINK38"/>
            <w:r>
              <w:rPr>
                <w:rFonts w:hint="eastAsia" w:ascii="宋体" w:hAnsi="宋体"/>
                <w:b/>
                <w:bCs/>
                <w:color w:val="auto"/>
                <w:szCs w:val="21"/>
                <w:highlight w:val="none"/>
              </w:rPr>
              <w:t>注：以上标明“必须提供”的材料，格式</w:t>
            </w:r>
            <w:r>
              <w:rPr>
                <w:rFonts w:hint="eastAsia" w:ascii="宋体" w:hAnsi="宋体" w:cs="宋体"/>
                <w:b/>
                <w:color w:val="auto"/>
                <w:szCs w:val="21"/>
                <w:highlight w:val="none"/>
              </w:rPr>
              <w:t>中有要求法定代表人或者委托代理人签字的，必须按要求签字并加盖投标人电子签章</w:t>
            </w:r>
            <w:r>
              <w:rPr>
                <w:rFonts w:hint="eastAsia" w:ascii="宋体" w:hAnsi="宋体"/>
                <w:b/>
                <w:bCs/>
                <w:color w:val="auto"/>
                <w:szCs w:val="21"/>
                <w:highlight w:val="none"/>
              </w:rPr>
              <w:t>，否则按无效投标</w:t>
            </w:r>
            <w:r>
              <w:rPr>
                <w:rFonts w:hint="eastAsia" w:ascii="宋体" w:hAnsi="宋体" w:cs="Courier New"/>
                <w:b/>
                <w:color w:val="auto"/>
                <w:szCs w:val="21"/>
                <w:highlight w:val="none"/>
              </w:rPr>
              <w:t>处理。</w:t>
            </w:r>
            <w:bookmarkEnd w:id="90"/>
          </w:p>
        </w:tc>
      </w:tr>
      <w:tr w14:paraId="1585EC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0A52492E">
            <w:pPr>
              <w:spacing w:line="360" w:lineRule="auto"/>
              <w:rPr>
                <w:rFonts w:hint="eastAsia" w:ascii="宋体" w:hAnsi="宋体"/>
                <w:color w:val="auto"/>
                <w:szCs w:val="21"/>
                <w:highlight w:val="none"/>
              </w:rPr>
            </w:pPr>
            <w:bookmarkStart w:id="91" w:name="_13.4"/>
            <w:bookmarkEnd w:id="91"/>
            <w:bookmarkStart w:id="92" w:name="_16.2"/>
            <w:bookmarkEnd w:id="92"/>
            <w:bookmarkStart w:id="93" w:name="_13.5"/>
            <w:bookmarkEnd w:id="93"/>
            <w:r>
              <w:rPr>
                <w:rFonts w:hint="eastAsia" w:ascii="宋体" w:hAnsi="宋体"/>
                <w:color w:val="auto"/>
                <w:szCs w:val="21"/>
                <w:highlight w:val="none"/>
              </w:rPr>
              <w:t>16</w:t>
            </w:r>
            <w:bookmarkStart w:id="94" w:name="_Hlt19194067"/>
            <w:bookmarkStart w:id="95" w:name="_Hlt19693759"/>
            <w:bookmarkStart w:id="96" w:name="_Hlt19194066"/>
            <w:bookmarkStart w:id="97" w:name="_Hlt19693758"/>
            <w:r>
              <w:rPr>
                <w:rFonts w:hint="eastAsia" w:ascii="宋体" w:hAnsi="宋体"/>
                <w:color w:val="auto"/>
                <w:szCs w:val="21"/>
                <w:highlight w:val="none"/>
              </w:rPr>
              <w:t>.</w:t>
            </w:r>
            <w:bookmarkEnd w:id="94"/>
            <w:bookmarkEnd w:id="95"/>
            <w:bookmarkEnd w:id="96"/>
            <w:bookmarkEnd w:id="97"/>
            <w:r>
              <w:rPr>
                <w:rFonts w:hint="eastAsia" w:ascii="宋体" w:hAnsi="宋体"/>
                <w:color w:val="auto"/>
                <w:szCs w:val="21"/>
                <w:highlight w:val="none"/>
              </w:rPr>
              <w:t>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087F11EB">
            <w:pPr>
              <w:snapToGrid w:val="0"/>
              <w:spacing w:line="360" w:lineRule="auto"/>
              <w:rPr>
                <w:rFonts w:hint="eastAsia" w:ascii="宋体" w:hAnsi="宋体"/>
                <w:b/>
                <w:i/>
                <w:color w:val="auto"/>
                <w:szCs w:val="21"/>
                <w:highlight w:val="none"/>
              </w:rPr>
            </w:pPr>
            <w:r>
              <w:rPr>
                <w:rFonts w:hint="eastAsia" w:ascii="宋体" w:hAnsi="宋体"/>
                <w:color w:val="auto"/>
                <w:szCs w:val="21"/>
                <w:highlight w:val="none"/>
              </w:rPr>
              <w:t>投标报价是履行合同的最终价格，</w:t>
            </w:r>
            <w:r>
              <w:rPr>
                <w:rFonts w:hint="eastAsia" w:ascii="宋体" w:hAnsi="宋体" w:cs="宋体"/>
                <w:color w:val="auto"/>
                <w:szCs w:val="21"/>
                <w:highlight w:val="none"/>
              </w:rPr>
              <w:t>具体详见采购需求中的约定。</w:t>
            </w:r>
          </w:p>
        </w:tc>
      </w:tr>
      <w:tr w14:paraId="6EAB62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3F445B3B">
            <w:pPr>
              <w:spacing w:line="360" w:lineRule="auto"/>
              <w:rPr>
                <w:rFonts w:hint="eastAsia" w:ascii="宋体" w:hAnsi="宋体"/>
                <w:color w:val="auto"/>
                <w:szCs w:val="21"/>
                <w:highlight w:val="none"/>
              </w:rPr>
            </w:pPr>
            <w:bookmarkStart w:id="98" w:name="_17.1"/>
            <w:bookmarkEnd w:id="98"/>
            <w:r>
              <w:rPr>
                <w:rFonts w:hint="eastAsia" w:ascii="宋体" w:hAnsi="宋体"/>
                <w:color w:val="auto"/>
                <w:szCs w:val="21"/>
                <w:highlight w:val="none"/>
              </w:rPr>
              <w:t>17.</w:t>
            </w:r>
            <w:r>
              <w:rPr>
                <w:rFonts w:ascii="宋体" w:hAnsi="宋体"/>
                <w:color w:val="auto"/>
                <w:szCs w:val="21"/>
                <w:highlight w:val="none"/>
              </w:rPr>
              <w:t>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1977EFA4">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投标有效期：自投标截止之日起</w:t>
            </w:r>
            <w:r>
              <w:rPr>
                <w:rFonts w:ascii="宋体" w:hAnsi="宋体"/>
                <w:color w:val="auto"/>
                <w:szCs w:val="21"/>
                <w:highlight w:val="none"/>
                <w:u w:val="single"/>
              </w:rPr>
              <w:t xml:space="preserve"> </w:t>
            </w:r>
            <w:r>
              <w:rPr>
                <w:rFonts w:hint="eastAsia" w:ascii="宋体" w:hAnsi="宋体"/>
                <w:color w:val="auto"/>
                <w:szCs w:val="21"/>
                <w:highlight w:val="none"/>
                <w:u w:val="single"/>
              </w:rPr>
              <w:t>90</w:t>
            </w:r>
            <w:r>
              <w:rPr>
                <w:rFonts w:ascii="宋体" w:hAnsi="宋体"/>
                <w:color w:val="auto"/>
                <w:szCs w:val="21"/>
                <w:highlight w:val="none"/>
                <w:u w:val="single"/>
              </w:rPr>
              <w:t xml:space="preserve"> </w:t>
            </w:r>
            <w:r>
              <w:rPr>
                <w:rFonts w:hint="eastAsia" w:ascii="宋体" w:hAnsi="宋体"/>
                <w:color w:val="auto"/>
                <w:szCs w:val="21"/>
                <w:highlight w:val="none"/>
              </w:rPr>
              <w:t>日。</w:t>
            </w:r>
          </w:p>
        </w:tc>
      </w:tr>
      <w:tr w14:paraId="21E855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34B38FCC">
            <w:pPr>
              <w:spacing w:line="360" w:lineRule="auto"/>
              <w:rPr>
                <w:rFonts w:hint="eastAsia" w:ascii="宋体" w:hAnsi="宋体"/>
                <w:color w:val="auto"/>
                <w:szCs w:val="21"/>
                <w:highlight w:val="none"/>
              </w:rPr>
            </w:pPr>
            <w:bookmarkStart w:id="99" w:name="_18"/>
            <w:bookmarkEnd w:id="99"/>
            <w:r>
              <w:rPr>
                <w:rFonts w:hint="eastAsia" w:ascii="宋体" w:hAnsi="宋体"/>
                <w:color w:val="auto"/>
                <w:szCs w:val="21"/>
                <w:highlight w:val="none"/>
              </w:rPr>
              <w:t>18</w:t>
            </w:r>
            <w:r>
              <w:rPr>
                <w:rFonts w:ascii="宋体" w:hAnsi="宋体"/>
                <w:color w:val="auto"/>
                <w:szCs w:val="21"/>
                <w:highlight w:val="none"/>
              </w:rPr>
              <w:t>.1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0111F319">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□本项目不收取投标保证金。</w:t>
            </w:r>
          </w:p>
          <w:p w14:paraId="2C314981">
            <w:pPr>
              <w:snapToGrid w:val="0"/>
              <w:spacing w:line="360" w:lineRule="auto"/>
              <w:rPr>
                <w:rFonts w:ascii="宋体" w:hAnsi="宋体"/>
                <w:color w:val="auto"/>
                <w:szCs w:val="21"/>
                <w:highlight w:val="none"/>
              </w:rPr>
            </w:pPr>
            <w:r>
              <w:rPr>
                <w:rFonts w:hint="eastAsia" w:ascii="宋体" w:hAnsi="宋体"/>
                <w:color w:val="auto"/>
                <w:sz w:val="18"/>
                <w:szCs w:val="18"/>
                <w:highlight w:val="none"/>
                <w:bdr w:val="single" w:color="auto" w:sz="4" w:space="0"/>
              </w:rPr>
              <w:t>√</w:t>
            </w:r>
            <w:r>
              <w:rPr>
                <w:rFonts w:hint="eastAsia" w:ascii="宋体" w:hAnsi="宋体"/>
                <w:color w:val="auto"/>
                <w:szCs w:val="21"/>
                <w:highlight w:val="none"/>
              </w:rPr>
              <w:t>本项目收取投标保证金，具体规定如下：</w:t>
            </w:r>
          </w:p>
          <w:p w14:paraId="1E08904E">
            <w:pPr>
              <w:snapToGrid w:val="0"/>
              <w:spacing w:line="360" w:lineRule="auto"/>
              <w:rPr>
                <w:rFonts w:hint="eastAsia" w:ascii="宋体" w:hAnsi="宋体"/>
                <w:color w:val="auto"/>
                <w:szCs w:val="21"/>
                <w:highlight w:val="none"/>
              </w:rPr>
            </w:pPr>
            <w:r>
              <w:rPr>
                <w:rFonts w:hint="eastAsia" w:ascii="宋体" w:hAnsi="宋体" w:cs="宋体"/>
                <w:color w:val="auto"/>
                <w:kern w:val="0"/>
                <w:szCs w:val="21"/>
                <w:highlight w:val="none"/>
              </w:rPr>
              <w:t>投标保证金</w:t>
            </w:r>
            <w:r>
              <w:rPr>
                <w:rFonts w:hint="eastAsia" w:ascii="宋体" w:hAnsi="宋体" w:cs="宋体"/>
                <w:color w:val="auto"/>
                <w:kern w:val="0"/>
                <w:szCs w:val="21"/>
                <w:highlight w:val="none"/>
                <w:lang w:eastAsia="zh-CN"/>
              </w:rPr>
              <w:t>：</w:t>
            </w:r>
            <w:r>
              <w:rPr>
                <w:rFonts w:hint="eastAsia" w:ascii="宋体" w:hAnsi="宋体"/>
                <w:color w:val="auto"/>
                <w:szCs w:val="21"/>
                <w:highlight w:val="none"/>
                <w:lang w:eastAsia="zh-CN"/>
              </w:rPr>
              <w:t>1分标：</w:t>
            </w:r>
            <w:r>
              <w:rPr>
                <w:rFonts w:hint="eastAsia" w:ascii="宋体" w:hAnsi="宋体"/>
                <w:color w:val="auto"/>
                <w:szCs w:val="21"/>
                <w:highlight w:val="none"/>
                <w:lang w:val="en-US" w:eastAsia="zh-CN"/>
              </w:rPr>
              <w:t>500.00</w:t>
            </w:r>
            <w:r>
              <w:rPr>
                <w:rFonts w:hint="eastAsia" w:ascii="宋体" w:hAnsi="宋体"/>
                <w:color w:val="auto"/>
                <w:szCs w:val="21"/>
                <w:highlight w:val="none"/>
                <w:lang w:eastAsia="zh-CN"/>
              </w:rPr>
              <w:t>元；2分标：</w:t>
            </w:r>
            <w:r>
              <w:rPr>
                <w:rFonts w:hint="eastAsia" w:ascii="宋体" w:hAnsi="宋体"/>
                <w:color w:val="auto"/>
                <w:szCs w:val="21"/>
                <w:highlight w:val="none"/>
                <w:lang w:val="en-US" w:eastAsia="zh-CN"/>
              </w:rPr>
              <w:t>3400.00</w:t>
            </w:r>
            <w:r>
              <w:rPr>
                <w:rFonts w:hint="eastAsia" w:ascii="宋体" w:hAnsi="宋体"/>
                <w:color w:val="auto"/>
                <w:szCs w:val="21"/>
                <w:highlight w:val="none"/>
                <w:lang w:eastAsia="zh-CN"/>
              </w:rPr>
              <w:t>元；3分标：</w:t>
            </w:r>
            <w:r>
              <w:rPr>
                <w:rFonts w:hint="eastAsia" w:ascii="宋体" w:hAnsi="宋体"/>
                <w:color w:val="auto"/>
                <w:szCs w:val="21"/>
                <w:highlight w:val="none"/>
                <w:lang w:val="en-US" w:eastAsia="zh-CN"/>
              </w:rPr>
              <w:t>1700.00</w:t>
            </w:r>
            <w:r>
              <w:rPr>
                <w:rFonts w:hint="eastAsia" w:ascii="宋体" w:hAnsi="宋体"/>
                <w:color w:val="auto"/>
                <w:szCs w:val="21"/>
                <w:highlight w:val="none"/>
                <w:lang w:eastAsia="zh-CN"/>
              </w:rPr>
              <w:t>元；4分标：</w:t>
            </w:r>
            <w:r>
              <w:rPr>
                <w:rFonts w:hint="eastAsia" w:ascii="宋体" w:hAnsi="宋体"/>
                <w:color w:val="auto"/>
                <w:szCs w:val="21"/>
                <w:highlight w:val="none"/>
                <w:lang w:val="en-US" w:eastAsia="zh-CN"/>
              </w:rPr>
              <w:t>2100.00</w:t>
            </w:r>
            <w:r>
              <w:rPr>
                <w:rFonts w:hint="eastAsia" w:ascii="宋体" w:hAnsi="宋体"/>
                <w:color w:val="auto"/>
                <w:szCs w:val="21"/>
                <w:highlight w:val="none"/>
                <w:lang w:eastAsia="zh-CN"/>
              </w:rPr>
              <w:t>元；5分标：</w:t>
            </w:r>
            <w:r>
              <w:rPr>
                <w:rFonts w:hint="eastAsia" w:ascii="宋体" w:hAnsi="宋体"/>
                <w:color w:val="auto"/>
                <w:szCs w:val="21"/>
                <w:highlight w:val="none"/>
                <w:lang w:val="en-US" w:eastAsia="zh-CN"/>
              </w:rPr>
              <w:t>2400.00</w:t>
            </w:r>
            <w:r>
              <w:rPr>
                <w:rFonts w:hint="eastAsia" w:ascii="宋体" w:hAnsi="宋体"/>
                <w:color w:val="auto"/>
                <w:szCs w:val="21"/>
                <w:highlight w:val="none"/>
                <w:lang w:eastAsia="zh-CN"/>
              </w:rPr>
              <w:t>元；6分标：</w:t>
            </w:r>
            <w:r>
              <w:rPr>
                <w:rFonts w:hint="eastAsia" w:ascii="宋体" w:hAnsi="宋体"/>
                <w:color w:val="auto"/>
                <w:szCs w:val="21"/>
                <w:highlight w:val="none"/>
                <w:lang w:val="en-US" w:eastAsia="zh-CN"/>
              </w:rPr>
              <w:t>2000.00</w:t>
            </w:r>
            <w:r>
              <w:rPr>
                <w:rFonts w:hint="eastAsia" w:ascii="宋体" w:hAnsi="宋体"/>
                <w:color w:val="auto"/>
                <w:szCs w:val="21"/>
                <w:highlight w:val="none"/>
                <w:lang w:eastAsia="zh-CN"/>
              </w:rPr>
              <w:t>元；7分标：</w:t>
            </w:r>
            <w:r>
              <w:rPr>
                <w:rFonts w:hint="eastAsia" w:ascii="宋体" w:hAnsi="宋体"/>
                <w:color w:val="auto"/>
                <w:szCs w:val="21"/>
                <w:highlight w:val="none"/>
                <w:lang w:val="en-US" w:eastAsia="zh-CN"/>
              </w:rPr>
              <w:t>1600.00</w:t>
            </w:r>
            <w:r>
              <w:rPr>
                <w:rFonts w:hint="eastAsia" w:ascii="宋体" w:hAnsi="宋体"/>
                <w:color w:val="auto"/>
                <w:szCs w:val="21"/>
                <w:highlight w:val="none"/>
                <w:lang w:eastAsia="zh-CN"/>
              </w:rPr>
              <w:t>元；</w:t>
            </w:r>
            <w:r>
              <w:rPr>
                <w:rFonts w:hint="eastAsia" w:ascii="宋体" w:hAnsi="宋体"/>
                <w:color w:val="auto"/>
                <w:szCs w:val="21"/>
                <w:highlight w:val="none"/>
                <w:lang w:val="en-US" w:eastAsia="zh-CN"/>
              </w:rPr>
              <w:t>8</w:t>
            </w:r>
            <w:r>
              <w:rPr>
                <w:rFonts w:hint="eastAsia" w:ascii="宋体" w:hAnsi="宋体"/>
                <w:color w:val="auto"/>
                <w:szCs w:val="21"/>
                <w:highlight w:val="none"/>
                <w:lang w:eastAsia="zh-CN"/>
              </w:rPr>
              <w:t>分标：</w:t>
            </w:r>
            <w:r>
              <w:rPr>
                <w:rFonts w:hint="eastAsia" w:ascii="宋体" w:hAnsi="宋体"/>
                <w:color w:val="auto"/>
                <w:szCs w:val="21"/>
                <w:highlight w:val="none"/>
                <w:lang w:val="en-US" w:eastAsia="zh-CN"/>
              </w:rPr>
              <w:t>800.00</w:t>
            </w:r>
            <w:r>
              <w:rPr>
                <w:rFonts w:hint="eastAsia" w:ascii="宋体" w:hAnsi="宋体"/>
                <w:color w:val="auto"/>
                <w:szCs w:val="21"/>
                <w:highlight w:val="none"/>
                <w:lang w:eastAsia="zh-CN"/>
              </w:rPr>
              <w:t>元。</w:t>
            </w:r>
          </w:p>
          <w:p w14:paraId="2A1F1194">
            <w:pPr>
              <w:snapToGrid w:val="0"/>
              <w:spacing w:line="360" w:lineRule="auto"/>
              <w:rPr>
                <w:rFonts w:hint="eastAsia" w:ascii="宋体" w:hAnsi="宋体"/>
                <w:color w:val="auto"/>
                <w:szCs w:val="21"/>
                <w:highlight w:val="none"/>
              </w:rPr>
            </w:pPr>
            <w:r>
              <w:rPr>
                <w:rFonts w:hint="eastAsia" w:ascii="宋体" w:hAnsi="宋体" w:cs="宋体"/>
                <w:color w:val="auto"/>
                <w:kern w:val="0"/>
                <w:szCs w:val="21"/>
                <w:highlight w:val="none"/>
              </w:rPr>
              <w:t>投标保证金的交纳方式：银行转账、支票、汇票、本票或者</w:t>
            </w:r>
            <w:r>
              <w:rPr>
                <w:rFonts w:hint="eastAsia" w:ascii="宋体" w:hAnsi="宋体" w:cs="宋体"/>
                <w:color w:val="auto"/>
                <w:kern w:val="0"/>
                <w:szCs w:val="21"/>
                <w:highlight w:val="none"/>
                <w:lang w:eastAsia="zh-CN"/>
              </w:rPr>
              <w:t>金融机构、担保机构出具的保函</w:t>
            </w:r>
            <w:r>
              <w:rPr>
                <w:color w:val="auto"/>
                <w:highlight w:val="none"/>
              </w:rPr>
              <w:t>（包含电子保函）</w:t>
            </w:r>
            <w:r>
              <w:rPr>
                <w:rFonts w:hint="eastAsia" w:ascii="宋体" w:hAnsi="宋体" w:cs="宋体"/>
                <w:color w:val="auto"/>
                <w:kern w:val="0"/>
                <w:szCs w:val="21"/>
                <w:highlight w:val="none"/>
              </w:rPr>
              <w:t>，禁止采用现钞方式。采用银行转账方式的，在投标截止时间前</w:t>
            </w:r>
            <w:r>
              <w:rPr>
                <w:rFonts w:hint="eastAsia"/>
                <w:color w:val="auto"/>
                <w:highlight w:val="none"/>
              </w:rPr>
              <w:t>从投标人账户</w:t>
            </w:r>
            <w:r>
              <w:rPr>
                <w:rFonts w:hint="eastAsia" w:ascii="宋体" w:hAnsi="宋体" w:cs="宋体"/>
                <w:color w:val="auto"/>
                <w:kern w:val="0"/>
                <w:szCs w:val="21"/>
                <w:highlight w:val="none"/>
              </w:rPr>
              <w:t>交至指定账户并且到账（</w:t>
            </w:r>
            <w:r>
              <w:rPr>
                <w:rFonts w:hint="eastAsia" w:ascii="宋体" w:hAnsi="宋体" w:cs="宋体"/>
                <w:b/>
                <w:bCs/>
                <w:color w:val="auto"/>
                <w:kern w:val="0"/>
                <w:szCs w:val="21"/>
                <w:highlight w:val="none"/>
              </w:rPr>
              <w:t>开户银行：招商银行南宁分行营业部，开户名称：</w:t>
            </w:r>
            <w:r>
              <w:rPr>
                <w:rFonts w:hint="eastAsia" w:ascii="宋体" w:hAnsi="宋体" w:cs="宋体"/>
                <w:b/>
                <w:bCs/>
                <w:color w:val="auto"/>
                <w:kern w:val="0"/>
                <w:szCs w:val="21"/>
                <w:highlight w:val="none"/>
                <w:lang w:eastAsia="zh-CN"/>
              </w:rPr>
              <w:t>广西建设工程机电设备招标中心有限公司</w:t>
            </w:r>
            <w:r>
              <w:rPr>
                <w:rFonts w:hint="eastAsia" w:ascii="宋体" w:hAnsi="宋体" w:cs="宋体"/>
                <w:b/>
                <w:bCs/>
                <w:color w:val="auto"/>
                <w:kern w:val="0"/>
                <w:szCs w:val="21"/>
                <w:highlight w:val="none"/>
              </w:rPr>
              <w:t>，银行账号：7719  0142  3310  201</w:t>
            </w:r>
            <w:r>
              <w:rPr>
                <w:rFonts w:hint="eastAsia" w:ascii="宋体" w:hAnsi="宋体" w:cs="宋体"/>
                <w:color w:val="auto"/>
                <w:kern w:val="0"/>
                <w:szCs w:val="21"/>
                <w:highlight w:val="none"/>
              </w:rPr>
              <w:t>）；采用支票、汇票、本票或者保函等方式的，在投标截止时间前，投标人必须递交单独密封的支票、汇票、本票或者保函原件。</w:t>
            </w:r>
            <w:r>
              <w:rPr>
                <w:rFonts w:hint="eastAsia" w:ascii="宋体" w:hAnsi="宋体" w:cs="宋体"/>
                <w:b/>
                <w:color w:val="auto"/>
                <w:kern w:val="0"/>
                <w:szCs w:val="21"/>
                <w:highlight w:val="none"/>
              </w:rPr>
              <w:t>否则视为无效投标保证金。</w:t>
            </w:r>
          </w:p>
          <w:p w14:paraId="176DAC90">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相关要求：</w:t>
            </w:r>
          </w:p>
          <w:p w14:paraId="2EDA277A">
            <w:pPr>
              <w:pStyle w:val="16"/>
              <w:spacing w:line="360" w:lineRule="auto"/>
              <w:rPr>
                <w:rFonts w:hint="eastAsia" w:ascii="宋体" w:hAnsi="宋体"/>
                <w:color w:val="auto"/>
                <w:szCs w:val="21"/>
                <w:highlight w:val="none"/>
              </w:rPr>
            </w:pPr>
            <w:r>
              <w:rPr>
                <w:rFonts w:hint="eastAsia" w:ascii="宋体" w:hAnsi="宋体"/>
                <w:color w:val="auto"/>
                <w:szCs w:val="21"/>
                <w:highlight w:val="none"/>
              </w:rPr>
              <w:t>1.投标保证金采用银行转账交纳方式</w:t>
            </w:r>
            <w:r>
              <w:rPr>
                <w:rFonts w:hint="eastAsia" w:ascii="宋体" w:hAnsi="宋体"/>
                <w:color w:val="auto"/>
                <w:szCs w:val="21"/>
                <w:highlight w:val="none"/>
                <w:lang w:val="en-US" w:eastAsia="zh-CN"/>
              </w:rPr>
              <w:t>的</w:t>
            </w:r>
            <w:r>
              <w:rPr>
                <w:rFonts w:hint="eastAsia" w:ascii="宋体" w:hAnsi="宋体"/>
                <w:color w:val="auto"/>
                <w:szCs w:val="21"/>
                <w:highlight w:val="none"/>
              </w:rPr>
              <w:t>，</w:t>
            </w:r>
            <w:r>
              <w:rPr>
                <w:rFonts w:hint="eastAsia" w:ascii="宋体" w:hAnsi="宋体"/>
                <w:color w:val="auto"/>
                <w:szCs w:val="21"/>
                <w:highlight w:val="none"/>
                <w:lang w:val="en-US" w:eastAsia="zh-CN"/>
              </w:rPr>
              <w:t>投标人转账时请在银行转账底单备注“项目名称+分标+用途”，</w:t>
            </w:r>
            <w:r>
              <w:rPr>
                <w:rFonts w:hint="eastAsia" w:ascii="宋体" w:hAnsi="宋体"/>
                <w:color w:val="auto"/>
                <w:szCs w:val="21"/>
                <w:highlight w:val="none"/>
              </w:rPr>
              <w:t>在投标截止时间前交至指定账户并且到账，投标人应将银行转账底单的复印件作为投标保证金提交凭证，</w:t>
            </w:r>
            <w:r>
              <w:rPr>
                <w:rFonts w:ascii="宋体" w:hAnsi="宋体"/>
                <w:color w:val="auto"/>
                <w:szCs w:val="21"/>
                <w:highlight w:val="none"/>
              </w:rPr>
              <w:t>放置于</w:t>
            </w:r>
            <w:r>
              <w:rPr>
                <w:rFonts w:hint="eastAsia" w:ascii="宋体" w:hAnsi="宋体"/>
                <w:color w:val="auto"/>
                <w:szCs w:val="21"/>
                <w:highlight w:val="none"/>
              </w:rPr>
              <w:t>商务及技术文件</w:t>
            </w:r>
            <w:r>
              <w:rPr>
                <w:rFonts w:ascii="宋体" w:hAnsi="宋体"/>
                <w:color w:val="auto"/>
                <w:szCs w:val="21"/>
                <w:highlight w:val="none"/>
              </w:rPr>
              <w:t>中</w:t>
            </w:r>
            <w:r>
              <w:rPr>
                <w:rFonts w:hint="eastAsia" w:ascii="宋体" w:hAnsi="宋体"/>
                <w:color w:val="auto"/>
                <w:szCs w:val="21"/>
                <w:highlight w:val="none"/>
              </w:rPr>
              <w:t>，</w:t>
            </w:r>
            <w:r>
              <w:rPr>
                <w:rFonts w:hint="eastAsia" w:ascii="宋体" w:hAnsi="宋体"/>
                <w:b/>
                <w:color w:val="auto"/>
                <w:szCs w:val="21"/>
                <w:highlight w:val="none"/>
              </w:rPr>
              <w:t>否则投标无效</w:t>
            </w:r>
            <w:r>
              <w:rPr>
                <w:rFonts w:hint="eastAsia" w:ascii="宋体" w:hAnsi="宋体"/>
                <w:color w:val="auto"/>
                <w:szCs w:val="21"/>
                <w:highlight w:val="none"/>
              </w:rPr>
              <w:t>。</w:t>
            </w:r>
          </w:p>
          <w:p w14:paraId="3307C9A5">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2.投标保证金采用支票、汇票、本票或者</w:t>
            </w:r>
            <w:r>
              <w:rPr>
                <w:rFonts w:hint="eastAsia" w:ascii="宋体" w:hAnsi="宋体"/>
                <w:color w:val="auto"/>
                <w:szCs w:val="21"/>
                <w:highlight w:val="none"/>
                <w:lang w:eastAsia="zh-CN"/>
              </w:rPr>
              <w:t>金融机构、担保机构出具的保函</w:t>
            </w:r>
            <w:r>
              <w:rPr>
                <w:color w:val="auto"/>
                <w:highlight w:val="none"/>
              </w:rPr>
              <w:t>（包含电子保函）</w:t>
            </w:r>
            <w:r>
              <w:rPr>
                <w:rFonts w:hint="eastAsia" w:ascii="宋体" w:hAnsi="宋体"/>
                <w:color w:val="auto"/>
                <w:szCs w:val="21"/>
                <w:highlight w:val="none"/>
              </w:rPr>
              <w:t>交纳方式的，投标人应将支票、汇票、本票或者</w:t>
            </w:r>
            <w:r>
              <w:rPr>
                <w:rFonts w:hint="eastAsia" w:ascii="宋体" w:hAnsi="宋体"/>
                <w:color w:val="auto"/>
                <w:szCs w:val="21"/>
                <w:highlight w:val="none"/>
                <w:lang w:eastAsia="zh-CN"/>
              </w:rPr>
              <w:t>金融机构、担保机构出具的保函</w:t>
            </w:r>
            <w:r>
              <w:rPr>
                <w:color w:val="auto"/>
                <w:highlight w:val="none"/>
              </w:rPr>
              <w:t>（包含电子保函）</w:t>
            </w:r>
            <w:r>
              <w:rPr>
                <w:rFonts w:hint="eastAsia" w:ascii="宋体" w:hAnsi="宋体"/>
                <w:color w:val="auto"/>
                <w:szCs w:val="21"/>
                <w:highlight w:val="none"/>
              </w:rPr>
              <w:t>的复印件作为投标保证金提交凭证，放置于商务及技术文件中，</w:t>
            </w:r>
            <w:r>
              <w:rPr>
                <w:rFonts w:hint="eastAsia" w:ascii="宋体" w:hAnsi="宋体"/>
                <w:b/>
                <w:color w:val="auto"/>
                <w:szCs w:val="21"/>
                <w:highlight w:val="none"/>
              </w:rPr>
              <w:t>否则投标无效</w:t>
            </w:r>
            <w:r>
              <w:rPr>
                <w:rFonts w:hint="eastAsia" w:ascii="宋体" w:hAnsi="宋体"/>
                <w:color w:val="auto"/>
                <w:szCs w:val="21"/>
                <w:highlight w:val="none"/>
              </w:rPr>
              <w:t>。投标人必须</w:t>
            </w:r>
            <w:r>
              <w:rPr>
                <w:rFonts w:hint="eastAsia"/>
                <w:color w:val="auto"/>
                <w:highlight w:val="none"/>
              </w:rPr>
              <w:t>在投标截止时间前采用现场或邮寄方式（现场提交或邮寄地址：</w:t>
            </w:r>
            <w:r>
              <w:rPr>
                <w:rFonts w:hint="eastAsia"/>
                <w:color w:val="auto"/>
                <w:highlight w:val="none"/>
                <w:lang w:eastAsia="zh-CN"/>
              </w:rPr>
              <w:t>南宁市青秀区枫林路18号广西国控集团（枫林路办公区）裙楼三层</w:t>
            </w:r>
            <w:r>
              <w:rPr>
                <w:rFonts w:hint="eastAsia"/>
                <w:color w:val="auto"/>
                <w:highlight w:val="none"/>
              </w:rPr>
              <w:t>，联系人：</w:t>
            </w:r>
            <w:r>
              <w:rPr>
                <w:rFonts w:hint="eastAsia"/>
                <w:color w:val="auto"/>
                <w:highlight w:val="none"/>
                <w:lang w:eastAsia="zh-CN"/>
              </w:rPr>
              <w:t>陈蓉、庞雄庆、陈有弟</w:t>
            </w:r>
            <w:r>
              <w:rPr>
                <w:rFonts w:hint="eastAsia"/>
                <w:color w:val="auto"/>
                <w:highlight w:val="none"/>
              </w:rPr>
              <w:t>，联系方式：</w:t>
            </w:r>
            <w:r>
              <w:rPr>
                <w:rFonts w:hint="eastAsia" w:ascii="宋体" w:hAnsi="宋体" w:eastAsia="宋体" w:cs="仿宋"/>
                <w:color w:val="auto"/>
                <w:kern w:val="0"/>
                <w:szCs w:val="21"/>
                <w:highlight w:val="none"/>
                <w:lang w:eastAsia="zh-CN"/>
              </w:rPr>
              <w:t>0771-2869912</w:t>
            </w:r>
            <w:r>
              <w:rPr>
                <w:rFonts w:hint="eastAsia"/>
                <w:color w:val="auto"/>
                <w:highlight w:val="none"/>
              </w:rPr>
              <w:t>）</w:t>
            </w:r>
            <w:r>
              <w:rPr>
                <w:rFonts w:hint="eastAsia" w:ascii="宋体" w:hAnsi="宋体"/>
                <w:color w:val="auto"/>
                <w:szCs w:val="21"/>
                <w:highlight w:val="none"/>
              </w:rPr>
              <w:t>将</w:t>
            </w:r>
            <w:r>
              <w:rPr>
                <w:rFonts w:hint="eastAsia" w:ascii="宋体" w:hAnsi="宋体" w:cs="宋体"/>
                <w:color w:val="auto"/>
                <w:kern w:val="0"/>
                <w:szCs w:val="21"/>
                <w:highlight w:val="none"/>
              </w:rPr>
              <w:t>单独密封的</w:t>
            </w:r>
            <w:r>
              <w:rPr>
                <w:rFonts w:hint="eastAsia" w:ascii="宋体" w:hAnsi="宋体"/>
                <w:color w:val="auto"/>
                <w:szCs w:val="21"/>
                <w:highlight w:val="none"/>
              </w:rPr>
              <w:t>支票、汇票、本票或者</w:t>
            </w:r>
            <w:r>
              <w:rPr>
                <w:rFonts w:hint="eastAsia" w:ascii="宋体" w:hAnsi="宋体"/>
                <w:color w:val="auto"/>
                <w:szCs w:val="21"/>
                <w:highlight w:val="none"/>
                <w:lang w:eastAsia="zh-CN"/>
              </w:rPr>
              <w:t>金融机构、担保机构出具的保函</w:t>
            </w:r>
            <w:r>
              <w:rPr>
                <w:rFonts w:hint="eastAsia" w:ascii="宋体" w:hAnsi="宋体"/>
                <w:color w:val="auto"/>
                <w:szCs w:val="21"/>
                <w:highlight w:val="none"/>
              </w:rPr>
              <w:t>原件提交给采购人或者采购代理机构，未按时提交的</w:t>
            </w:r>
            <w:r>
              <w:rPr>
                <w:rFonts w:hint="eastAsia" w:ascii="宋体" w:hAnsi="宋体"/>
                <w:b/>
                <w:color w:val="auto"/>
                <w:szCs w:val="21"/>
                <w:highlight w:val="none"/>
              </w:rPr>
              <w:t>，投标无效</w:t>
            </w:r>
            <w:r>
              <w:rPr>
                <w:rFonts w:hint="eastAsia" w:ascii="宋体" w:hAnsi="宋体"/>
                <w:color w:val="auto"/>
                <w:szCs w:val="21"/>
                <w:highlight w:val="none"/>
              </w:rPr>
              <w:t>，由采购人或者采购代理机构向投标人出具回执（邮寄方式的除外），并妥善保管。</w:t>
            </w:r>
          </w:p>
          <w:p w14:paraId="7DBA7C97">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3</w:t>
            </w:r>
            <w:r>
              <w:rPr>
                <w:rFonts w:hint="eastAsia" w:ascii="宋体" w:hAnsi="宋体" w:cs="宋体"/>
                <w:color w:val="auto"/>
                <w:szCs w:val="21"/>
                <w:highlight w:val="none"/>
              </w:rPr>
              <w:t>.投标人为联合体的，可以由联合体中的一方或者多方共同交纳投标保证金，其交纳的保证金对联合体各方均具有约束力。</w:t>
            </w:r>
          </w:p>
          <w:p w14:paraId="2B5B6631">
            <w:pPr>
              <w:snapToGrid w:val="0"/>
              <w:spacing w:line="360" w:lineRule="auto"/>
              <w:rPr>
                <w:rFonts w:hint="eastAsia" w:ascii="宋体" w:hAnsi="宋体"/>
                <w:b/>
                <w:color w:val="auto"/>
                <w:szCs w:val="21"/>
                <w:highlight w:val="none"/>
              </w:rPr>
            </w:pPr>
            <w:r>
              <w:rPr>
                <w:rFonts w:hint="eastAsia" w:ascii="宋体" w:hAnsi="宋体"/>
                <w:b/>
                <w:color w:val="auto"/>
                <w:szCs w:val="21"/>
                <w:highlight w:val="none"/>
              </w:rPr>
              <w:t xml:space="preserve">备注： </w:t>
            </w:r>
          </w:p>
          <w:p w14:paraId="71D781D2">
            <w:pPr>
              <w:snapToGrid w:val="0"/>
              <w:spacing w:line="360" w:lineRule="auto"/>
              <w:rPr>
                <w:rFonts w:hint="eastAsia" w:ascii="宋体" w:hAnsi="宋体"/>
                <w:b/>
                <w:color w:val="auto"/>
                <w:szCs w:val="21"/>
                <w:highlight w:val="none"/>
              </w:rPr>
            </w:pPr>
            <w:r>
              <w:rPr>
                <w:rFonts w:hint="eastAsia" w:ascii="宋体" w:hAnsi="宋体"/>
                <w:b/>
                <w:color w:val="auto"/>
                <w:szCs w:val="21"/>
                <w:highlight w:val="none"/>
              </w:rPr>
              <w:t>1. 投标保证金在投标截止时间后提交的，或者不按规定交纳方式交纳的，或者未足额交纳的（包含保函额度不足的），视为无效投标保证金。</w:t>
            </w:r>
          </w:p>
          <w:p w14:paraId="6C296612">
            <w:pPr>
              <w:snapToGrid w:val="0"/>
              <w:spacing w:line="360" w:lineRule="auto"/>
              <w:rPr>
                <w:rFonts w:hint="eastAsia" w:ascii="宋体" w:hAnsi="宋体"/>
                <w:b/>
                <w:color w:val="auto"/>
                <w:szCs w:val="21"/>
                <w:highlight w:val="none"/>
              </w:rPr>
            </w:pPr>
            <w:r>
              <w:rPr>
                <w:rFonts w:hint="eastAsia" w:ascii="宋体" w:hAnsi="宋体"/>
                <w:b/>
                <w:color w:val="auto"/>
                <w:szCs w:val="21"/>
                <w:highlight w:val="none"/>
              </w:rPr>
              <w:t>2.投标人采用现钞方式或者从个人账户（自然人投标除外）转出的投标保证金，视为无效投标保证金。</w:t>
            </w:r>
          </w:p>
          <w:p w14:paraId="2EB34A10">
            <w:pPr>
              <w:snapToGrid w:val="0"/>
              <w:spacing w:line="360" w:lineRule="auto"/>
              <w:rPr>
                <w:rFonts w:hint="eastAsia" w:ascii="宋体" w:hAnsi="宋体"/>
                <w:b/>
                <w:color w:val="auto"/>
                <w:szCs w:val="21"/>
                <w:highlight w:val="none"/>
              </w:rPr>
            </w:pPr>
            <w:r>
              <w:rPr>
                <w:rFonts w:hint="eastAsia" w:ascii="宋体" w:hAnsi="宋体"/>
                <w:b/>
                <w:color w:val="auto"/>
                <w:szCs w:val="21"/>
                <w:highlight w:val="none"/>
              </w:rPr>
              <w:t>3.支票、汇票或者本票出现无效或者背书情形的，视为无效投标保证金。</w:t>
            </w:r>
          </w:p>
          <w:p w14:paraId="485D3ADA">
            <w:pPr>
              <w:snapToGrid w:val="0"/>
              <w:spacing w:line="360" w:lineRule="auto"/>
              <w:rPr>
                <w:rFonts w:hint="eastAsia" w:ascii="宋体" w:hAnsi="宋体"/>
                <w:b/>
                <w:color w:val="auto"/>
                <w:szCs w:val="21"/>
                <w:highlight w:val="none"/>
              </w:rPr>
            </w:pPr>
            <w:r>
              <w:rPr>
                <w:rFonts w:hint="eastAsia" w:ascii="宋体" w:hAnsi="宋体"/>
                <w:b/>
                <w:color w:val="auto"/>
                <w:szCs w:val="21"/>
                <w:highlight w:val="none"/>
              </w:rPr>
              <w:t>4.保函有效期低于投标有效期的，视为无效投标保证金。</w:t>
            </w:r>
          </w:p>
          <w:p w14:paraId="0BD9DB7E">
            <w:pPr>
              <w:snapToGrid w:val="0"/>
              <w:spacing w:line="360" w:lineRule="auto"/>
              <w:rPr>
                <w:rFonts w:hint="eastAsia" w:ascii="宋体" w:hAnsi="宋体"/>
                <w:b/>
                <w:color w:val="auto"/>
                <w:szCs w:val="21"/>
                <w:highlight w:val="none"/>
              </w:rPr>
            </w:pPr>
            <w:r>
              <w:rPr>
                <w:rFonts w:hint="eastAsia" w:ascii="宋体" w:hAnsi="宋体"/>
                <w:b/>
                <w:color w:val="auto"/>
                <w:szCs w:val="21"/>
                <w:highlight w:val="none"/>
              </w:rPr>
              <w:t>5.采用银行、保险机构出具保函的，必须为无条件保函，否则视为无效投标保证金。</w:t>
            </w:r>
          </w:p>
        </w:tc>
      </w:tr>
      <w:tr w14:paraId="6385E2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0AADFFA7">
            <w:pPr>
              <w:spacing w:line="360" w:lineRule="auto"/>
              <w:jc w:val="center"/>
              <w:rPr>
                <w:rFonts w:hint="eastAsia" w:ascii="宋体" w:hAnsi="宋体"/>
                <w:color w:val="auto"/>
                <w:szCs w:val="21"/>
                <w:highlight w:val="none"/>
              </w:rPr>
            </w:pPr>
            <w:bookmarkStart w:id="100" w:name="_19.2"/>
            <w:bookmarkEnd w:id="100"/>
            <w:bookmarkStart w:id="101" w:name="_21.1"/>
            <w:bookmarkEnd w:id="101"/>
            <w:r>
              <w:rPr>
                <w:rFonts w:hint="eastAsia" w:ascii="宋体" w:hAnsi="宋体"/>
                <w:color w:val="auto"/>
                <w:szCs w:val="21"/>
                <w:highlight w:val="none"/>
              </w:rPr>
              <w:t>20</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594ADF00">
            <w:pPr>
              <w:autoSpaceDE w:val="0"/>
              <w:autoSpaceDN w:val="0"/>
              <w:adjustRightInd w:val="0"/>
              <w:spacing w:line="360" w:lineRule="auto"/>
              <w:textAlignment w:val="bottom"/>
              <w:rPr>
                <w:rFonts w:ascii="宋体" w:hAnsi="宋体"/>
                <w:color w:val="auto"/>
                <w:szCs w:val="21"/>
                <w:highlight w:val="none"/>
              </w:rPr>
            </w:pPr>
            <w:r>
              <w:rPr>
                <w:rFonts w:hint="eastAsia" w:ascii="宋体" w:hAnsi="宋体"/>
                <w:color w:val="auto"/>
                <w:sz w:val="18"/>
                <w:szCs w:val="18"/>
                <w:highlight w:val="none"/>
                <w:bdr w:val="single" w:color="auto" w:sz="4" w:space="0"/>
              </w:rPr>
              <w:t>√</w:t>
            </w:r>
            <w:r>
              <w:rPr>
                <w:rFonts w:hint="eastAsia" w:ascii="宋体" w:hAnsi="宋体"/>
                <w:color w:val="auto"/>
                <w:szCs w:val="21"/>
                <w:highlight w:val="none"/>
              </w:rPr>
              <w:t>本项目不接受</w:t>
            </w:r>
            <w:r>
              <w:rPr>
                <w:rFonts w:hint="eastAsia"/>
                <w:color w:val="auto"/>
                <w:highlight w:val="none"/>
              </w:rPr>
              <w:t>电子</w:t>
            </w:r>
            <w:r>
              <w:rPr>
                <w:rFonts w:hint="eastAsia" w:ascii="宋体" w:hAnsi="宋体"/>
                <w:color w:val="auto"/>
                <w:szCs w:val="21"/>
                <w:highlight w:val="none"/>
              </w:rPr>
              <w:t>备份投标文件；</w:t>
            </w:r>
          </w:p>
          <w:p w14:paraId="7EC62595">
            <w:pPr>
              <w:autoSpaceDE w:val="0"/>
              <w:autoSpaceDN w:val="0"/>
              <w:adjustRightIn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w:t>
            </w:r>
            <w:r>
              <w:rPr>
                <w:rFonts w:hint="eastAsia"/>
                <w:color w:val="auto"/>
                <w:highlight w:val="none"/>
              </w:rPr>
              <w:t>本项目接受电子备份投标文件。</w:t>
            </w:r>
          </w:p>
        </w:tc>
      </w:tr>
      <w:tr w14:paraId="3C82B3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7C4F787C">
            <w:pPr>
              <w:spacing w:line="360" w:lineRule="auto"/>
              <w:jc w:val="center"/>
              <w:rPr>
                <w:rFonts w:hint="eastAsia" w:ascii="宋体" w:hAnsi="宋体"/>
                <w:color w:val="auto"/>
                <w:szCs w:val="21"/>
                <w:highlight w:val="none"/>
              </w:rPr>
            </w:pPr>
            <w:r>
              <w:rPr>
                <w:rFonts w:hint="eastAsia" w:ascii="宋体" w:hAnsi="宋体"/>
                <w:color w:val="auto"/>
                <w:szCs w:val="21"/>
                <w:highlight w:val="none"/>
              </w:rPr>
              <w:t>21.1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02603CB3">
            <w:pPr>
              <w:snapToGrid w:val="0"/>
              <w:spacing w:line="360" w:lineRule="auto"/>
              <w:rPr>
                <w:rFonts w:hint="eastAsia" w:ascii="宋体" w:hAnsi="宋体"/>
                <w:color w:val="auto"/>
                <w:szCs w:val="21"/>
                <w:highlight w:val="none"/>
                <w:u w:val="single"/>
              </w:rPr>
            </w:pPr>
            <w:r>
              <w:rPr>
                <w:rFonts w:hint="eastAsia" w:ascii="宋体" w:hAnsi="宋体"/>
                <w:color w:val="auto"/>
                <w:szCs w:val="21"/>
                <w:highlight w:val="none"/>
              </w:rPr>
              <w:t>1.提交投标文件截止时间：详见招标公告</w:t>
            </w:r>
          </w:p>
          <w:p w14:paraId="27B57628">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2.投标地点：详见招标公告</w:t>
            </w:r>
          </w:p>
        </w:tc>
      </w:tr>
      <w:tr w14:paraId="5F153A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24305389">
            <w:pPr>
              <w:spacing w:line="360" w:lineRule="auto"/>
              <w:jc w:val="center"/>
              <w:rPr>
                <w:rFonts w:hint="eastAsia" w:ascii="宋体" w:hAnsi="宋体"/>
                <w:color w:val="auto"/>
                <w:szCs w:val="21"/>
                <w:highlight w:val="none"/>
              </w:rPr>
            </w:pPr>
            <w:bookmarkStart w:id="102" w:name="_23"/>
            <w:bookmarkEnd w:id="102"/>
            <w:r>
              <w:rPr>
                <w:rFonts w:hint="eastAsia" w:ascii="宋体" w:hAnsi="宋体"/>
                <w:color w:val="auto"/>
                <w:szCs w:val="21"/>
                <w:highlight w:val="none"/>
              </w:rPr>
              <w:t>23</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79DD6F5F">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1.开标时间：详见招标公告</w:t>
            </w:r>
          </w:p>
          <w:p w14:paraId="33DBA71C">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2.开标地点：详见招标公告</w:t>
            </w:r>
          </w:p>
        </w:tc>
      </w:tr>
      <w:tr w14:paraId="01C7D1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091EFA49">
            <w:pPr>
              <w:spacing w:line="360" w:lineRule="auto"/>
              <w:jc w:val="center"/>
              <w:rPr>
                <w:rFonts w:hint="eastAsia" w:ascii="宋体" w:hAnsi="宋体"/>
                <w:color w:val="auto"/>
                <w:szCs w:val="21"/>
                <w:highlight w:val="none"/>
              </w:rPr>
            </w:pPr>
            <w:r>
              <w:rPr>
                <w:rFonts w:hint="eastAsia" w:ascii="宋体" w:hAnsi="宋体"/>
                <w:color w:val="auto"/>
                <w:szCs w:val="21"/>
                <w:highlight w:val="none"/>
              </w:rPr>
              <w:t>24.3（1）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5A7FC621">
            <w:pPr>
              <w:snapToGrid w:val="0"/>
              <w:spacing w:line="360" w:lineRule="auto"/>
              <w:rPr>
                <w:rFonts w:hint="eastAsia" w:ascii="宋体" w:hAnsi="宋体"/>
                <w:color w:val="auto"/>
                <w:szCs w:val="21"/>
                <w:highlight w:val="none"/>
              </w:rPr>
            </w:pPr>
            <w:r>
              <w:rPr>
                <w:rFonts w:hint="eastAsia" w:hAnsi="宋体"/>
                <w:color w:val="auto"/>
                <w:highlight w:val="none"/>
              </w:rPr>
              <w:t>电子投标文件解密时间：</w:t>
            </w:r>
            <w:r>
              <w:rPr>
                <w:rFonts w:hint="eastAsia" w:hAnsi="宋体"/>
                <w:color w:val="auto"/>
                <w:highlight w:val="none"/>
                <w:u w:val="single"/>
              </w:rPr>
              <w:t xml:space="preserve"> </w:t>
            </w:r>
            <w:bookmarkStart w:id="103" w:name="OLE_LINK8"/>
            <w:r>
              <w:rPr>
                <w:rFonts w:hint="eastAsia" w:hAnsi="宋体"/>
                <w:color w:val="auto"/>
                <w:highlight w:val="none"/>
                <w:u w:val="single"/>
              </w:rPr>
              <w:t xml:space="preserve">45 </w:t>
            </w:r>
            <w:bookmarkEnd w:id="103"/>
            <w:r>
              <w:rPr>
                <w:rFonts w:hint="eastAsia" w:hAnsi="宋体"/>
                <w:color w:val="auto"/>
                <w:highlight w:val="none"/>
              </w:rPr>
              <w:t>分钟</w:t>
            </w:r>
          </w:p>
        </w:tc>
      </w:tr>
      <w:tr w14:paraId="4F94E3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6B546829">
            <w:pPr>
              <w:spacing w:line="360" w:lineRule="auto"/>
              <w:jc w:val="center"/>
              <w:rPr>
                <w:rFonts w:hint="eastAsia" w:ascii="宋体" w:hAnsi="宋体"/>
                <w:color w:val="auto"/>
                <w:szCs w:val="21"/>
                <w:highlight w:val="none"/>
              </w:rPr>
            </w:pPr>
            <w:bookmarkStart w:id="104" w:name="_25.3"/>
            <w:bookmarkEnd w:id="104"/>
            <w:r>
              <w:rPr>
                <w:rFonts w:hint="eastAsia" w:ascii="宋体" w:hAnsi="宋体"/>
                <w:color w:val="auto"/>
                <w:szCs w:val="21"/>
                <w:highlight w:val="none"/>
              </w:rPr>
              <w:t>25.3（2）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60E494E0">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采购人或者采购代理机构在资格审查结束前，对投标人进行信用查询。</w:t>
            </w:r>
          </w:p>
          <w:p w14:paraId="422E403B">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查询渠道：“信用中国”网站（www.creditchina.gov.cn） 、中国政府采购网（www.ccgp.gov.cn）</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中国证券监督管理委员会网站（http://www.csrc.gov.cn/）</w:t>
            </w:r>
            <w:r>
              <w:rPr>
                <w:rFonts w:hint="eastAsia" w:ascii="宋体" w:hAnsi="宋体"/>
                <w:color w:val="auto"/>
                <w:szCs w:val="21"/>
                <w:highlight w:val="none"/>
              </w:rPr>
              <w:t>。</w:t>
            </w:r>
          </w:p>
          <w:p w14:paraId="4239C5F7">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信用查询截止时点：资格审查结束前</w:t>
            </w:r>
          </w:p>
          <w:p w14:paraId="0C172929">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查询记录和证据留存方式：在查询网站中直接截图查询记录，截图作为在广西政府采购云平台（</w:t>
            </w:r>
            <w:r>
              <w:rPr>
                <w:rFonts w:hint="eastAsia" w:ascii="宋体" w:hAnsi="宋体"/>
                <w:bCs/>
                <w:color w:val="auto"/>
                <w:szCs w:val="21"/>
                <w:highlight w:val="none"/>
              </w:rPr>
              <w:t>https://www.gcy.zfcg.gxzf.gov.cn/</w:t>
            </w:r>
            <w:r>
              <w:rPr>
                <w:rFonts w:hint="eastAsia" w:ascii="宋体" w:hAnsi="宋体"/>
                <w:color w:val="auto"/>
                <w:szCs w:val="21"/>
                <w:highlight w:val="none"/>
              </w:rPr>
              <w:t>）作为附件上传保存。</w:t>
            </w:r>
          </w:p>
          <w:p w14:paraId="54168F8E">
            <w:pPr>
              <w:snapToGrid w:val="0"/>
              <w:spacing w:line="360" w:lineRule="auto"/>
              <w:rPr>
                <w:rFonts w:hint="eastAsia" w:ascii="宋体" w:hAnsi="宋体"/>
                <w:b/>
                <w:color w:val="auto"/>
                <w:szCs w:val="21"/>
                <w:highlight w:val="none"/>
              </w:rPr>
            </w:pPr>
            <w:r>
              <w:rPr>
                <w:rFonts w:hint="eastAsia" w:ascii="宋体" w:hAnsi="宋体"/>
                <w:color w:val="auto"/>
                <w:szCs w:val="21"/>
                <w:highlight w:val="none"/>
              </w:rPr>
              <w:t>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w:t>
            </w:r>
            <w:r>
              <w:rPr>
                <w:rFonts w:hint="eastAsia" w:ascii="宋体" w:hAnsi="宋体"/>
                <w:color w:val="auto"/>
                <w:szCs w:val="21"/>
                <w:highlight w:val="none"/>
                <w:lang w:val="en-US" w:eastAsia="zh-CN"/>
              </w:rPr>
              <w:t>及“中国证券监督管理委员会网站”（http://www.csrc.gov.cn/）中的市场诚信信息查询平台有违法违规失信记录</w:t>
            </w:r>
            <w:r>
              <w:rPr>
                <w:rFonts w:hint="eastAsia" w:ascii="宋体" w:hAnsi="宋体"/>
                <w:color w:val="auto"/>
                <w:szCs w:val="21"/>
                <w:highlight w:val="none"/>
              </w:rPr>
              <w:t>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tc>
      </w:tr>
      <w:tr w14:paraId="2E4710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7D048F6C">
            <w:pPr>
              <w:spacing w:line="360" w:lineRule="auto"/>
              <w:jc w:val="center"/>
              <w:rPr>
                <w:rFonts w:ascii="宋体" w:hAnsi="宋体"/>
                <w:color w:val="auto"/>
                <w:szCs w:val="21"/>
                <w:highlight w:val="none"/>
              </w:rPr>
            </w:pPr>
            <w:bookmarkStart w:id="105" w:name="_26"/>
            <w:bookmarkEnd w:id="105"/>
            <w:r>
              <w:rPr>
                <w:rFonts w:hint="eastAsia" w:ascii="宋体" w:hAnsi="宋体"/>
                <w:color w:val="auto"/>
                <w:szCs w:val="21"/>
                <w:highlight w:val="none"/>
              </w:rPr>
              <w:t>26.1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21FF561F">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评标委员会的人数：</w:t>
            </w:r>
            <w:r>
              <w:rPr>
                <w:rFonts w:hint="eastAsia" w:ascii="宋体" w:hAnsi="宋体"/>
                <w:color w:val="auto"/>
                <w:szCs w:val="21"/>
                <w:highlight w:val="none"/>
                <w:lang w:val="en-US" w:eastAsia="zh-CN"/>
              </w:rPr>
              <w:t>9</w:t>
            </w:r>
            <w:r>
              <w:rPr>
                <w:rFonts w:hint="eastAsia" w:ascii="宋体" w:hAnsi="宋体"/>
                <w:color w:val="auto"/>
                <w:szCs w:val="21"/>
                <w:highlight w:val="none"/>
              </w:rPr>
              <w:t>人</w:t>
            </w:r>
          </w:p>
        </w:tc>
      </w:tr>
      <w:tr w14:paraId="173A7B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7FFB48E4">
            <w:pPr>
              <w:spacing w:line="360" w:lineRule="auto"/>
              <w:jc w:val="center"/>
              <w:rPr>
                <w:rFonts w:hint="eastAsia" w:ascii="宋体" w:hAnsi="宋体"/>
                <w:color w:val="auto"/>
                <w:szCs w:val="21"/>
                <w:highlight w:val="none"/>
              </w:rPr>
            </w:pPr>
            <w:bookmarkStart w:id="106" w:name="_28.3"/>
            <w:bookmarkEnd w:id="106"/>
            <w:r>
              <w:rPr>
                <w:rFonts w:ascii="宋体" w:hAnsi="宋体"/>
                <w:color w:val="auto"/>
                <w:szCs w:val="21"/>
                <w:highlight w:val="none"/>
              </w:rPr>
              <w:t>29.1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280EEAAF">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评标方法：</w:t>
            </w:r>
          </w:p>
          <w:p w14:paraId="0AD27020">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 w:val="18"/>
                <w:szCs w:val="18"/>
                <w:highlight w:val="none"/>
                <w:bdr w:val="single" w:color="auto" w:sz="4" w:space="0"/>
              </w:rPr>
              <w:t>√</w:t>
            </w:r>
            <w:r>
              <w:rPr>
                <w:rFonts w:hint="eastAsia" w:ascii="宋体" w:hAnsi="宋体"/>
                <w:color w:val="auto"/>
                <w:szCs w:val="21"/>
                <w:highlight w:val="none"/>
              </w:rPr>
              <w:t>综合评分法</w:t>
            </w:r>
          </w:p>
          <w:p w14:paraId="7C3AFA75">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□最低评标价法</w:t>
            </w:r>
          </w:p>
        </w:tc>
      </w:tr>
      <w:tr w14:paraId="2316D9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4B1FBAF5">
            <w:pPr>
              <w:spacing w:line="360" w:lineRule="auto"/>
              <w:jc w:val="center"/>
              <w:rPr>
                <w:rFonts w:hint="eastAsia" w:ascii="宋体" w:hAnsi="宋体"/>
                <w:color w:val="auto"/>
                <w:szCs w:val="21"/>
                <w:highlight w:val="none"/>
              </w:rPr>
            </w:pPr>
            <w:bookmarkStart w:id="107" w:name="_29.2.2（2）"/>
            <w:bookmarkEnd w:id="107"/>
            <w:r>
              <w:rPr>
                <w:rFonts w:hint="eastAsia" w:ascii="宋体" w:hAnsi="宋体"/>
                <w:color w:val="auto"/>
                <w:szCs w:val="21"/>
                <w:highlight w:val="none"/>
              </w:rPr>
              <w:t>29</w:t>
            </w:r>
            <w:r>
              <w:rPr>
                <w:rFonts w:ascii="宋体" w:hAnsi="宋体"/>
                <w:color w:val="auto"/>
                <w:szCs w:val="21"/>
                <w:highlight w:val="none"/>
              </w:rPr>
              <w:t>.2</w:t>
            </w:r>
          </w:p>
        </w:tc>
        <w:tc>
          <w:tcPr>
            <w:tcW w:w="8175" w:type="dxa"/>
            <w:tcBorders>
              <w:top w:val="single" w:color="auto" w:sz="4" w:space="0"/>
              <w:left w:val="single" w:color="auto" w:sz="4" w:space="0"/>
              <w:right w:val="single" w:color="auto" w:sz="4" w:space="0"/>
            </w:tcBorders>
            <w:noWrap w:val="0"/>
            <w:vAlign w:val="center"/>
          </w:tcPr>
          <w:p w14:paraId="49108EA9">
            <w:pPr>
              <w:snapToGrid w:val="0"/>
              <w:spacing w:line="360" w:lineRule="auto"/>
              <w:rPr>
                <w:rFonts w:ascii="宋体" w:hAnsi="宋体"/>
                <w:color w:val="auto"/>
                <w:szCs w:val="21"/>
                <w:highlight w:val="none"/>
              </w:rPr>
            </w:pPr>
            <w:r>
              <w:rPr>
                <w:rFonts w:hint="eastAsia" w:ascii="宋体" w:hAnsi="宋体" w:cs="宋体"/>
                <w:color w:val="auto"/>
                <w:szCs w:val="21"/>
                <w:highlight w:val="none"/>
              </w:rPr>
              <w:t>商务要求</w:t>
            </w:r>
            <w:r>
              <w:rPr>
                <w:rFonts w:hint="eastAsia" w:ascii="宋体" w:hAnsi="宋体"/>
                <w:color w:val="auto"/>
                <w:szCs w:val="21"/>
                <w:highlight w:val="none"/>
              </w:rPr>
              <w:t>评审中允许负偏离的条款数为</w:t>
            </w:r>
            <w:r>
              <w:rPr>
                <w:rFonts w:hint="eastAsia" w:ascii="宋体" w:hAnsi="宋体"/>
                <w:color w:val="auto"/>
                <w:szCs w:val="21"/>
                <w:highlight w:val="none"/>
                <w:u w:val="single"/>
              </w:rPr>
              <w:t xml:space="preserve"> 0 </w:t>
            </w:r>
            <w:r>
              <w:rPr>
                <w:rFonts w:hint="eastAsia" w:ascii="宋体" w:hAnsi="宋体"/>
                <w:color w:val="auto"/>
                <w:szCs w:val="21"/>
                <w:highlight w:val="none"/>
              </w:rPr>
              <w:t>项。</w:t>
            </w:r>
          </w:p>
          <w:p w14:paraId="3A08F562">
            <w:pPr>
              <w:snapToGrid w:val="0"/>
              <w:spacing w:line="360" w:lineRule="auto"/>
              <w:rPr>
                <w:rFonts w:hint="eastAsia" w:ascii="宋体" w:hAnsi="宋体"/>
                <w:color w:val="auto"/>
                <w:szCs w:val="21"/>
                <w:highlight w:val="none"/>
              </w:rPr>
            </w:pPr>
            <w:r>
              <w:rPr>
                <w:rFonts w:hint="eastAsia" w:ascii="宋体" w:hAnsi="宋体" w:cs="宋体"/>
                <w:color w:val="auto"/>
                <w:szCs w:val="21"/>
                <w:highlight w:val="none"/>
              </w:rPr>
              <w:t>技术要求</w:t>
            </w:r>
            <w:r>
              <w:rPr>
                <w:rFonts w:hint="eastAsia" w:ascii="宋体" w:hAnsi="宋体"/>
                <w:color w:val="auto"/>
                <w:szCs w:val="21"/>
                <w:highlight w:val="none"/>
              </w:rPr>
              <w:t>评审中允许负偏离的条款数为</w:t>
            </w:r>
            <w:r>
              <w:rPr>
                <w:rFonts w:hint="eastAsia" w:ascii="宋体" w:hAnsi="宋体"/>
                <w:color w:val="auto"/>
                <w:szCs w:val="21"/>
                <w:highlight w:val="none"/>
                <w:u w:val="single"/>
              </w:rPr>
              <w:t xml:space="preserve"> 0 </w:t>
            </w:r>
            <w:r>
              <w:rPr>
                <w:rFonts w:hint="eastAsia" w:ascii="宋体" w:hAnsi="宋体"/>
                <w:color w:val="auto"/>
                <w:szCs w:val="21"/>
                <w:highlight w:val="none"/>
              </w:rPr>
              <w:t>项。</w:t>
            </w:r>
          </w:p>
        </w:tc>
      </w:tr>
      <w:tr w14:paraId="35A884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78" w:type="dxa"/>
            <w:tcBorders>
              <w:top w:val="single" w:color="auto" w:sz="4" w:space="0"/>
              <w:left w:val="single" w:color="auto" w:sz="4" w:space="0"/>
              <w:right w:val="single" w:color="auto" w:sz="4" w:space="0"/>
            </w:tcBorders>
            <w:noWrap w:val="0"/>
            <w:vAlign w:val="center"/>
          </w:tcPr>
          <w:p w14:paraId="299D57EC">
            <w:pPr>
              <w:spacing w:line="360" w:lineRule="auto"/>
              <w:jc w:val="center"/>
              <w:rPr>
                <w:rFonts w:ascii="宋体" w:hAnsi="宋体"/>
                <w:color w:val="auto"/>
                <w:szCs w:val="21"/>
                <w:highlight w:val="none"/>
              </w:rPr>
            </w:pPr>
            <w:r>
              <w:rPr>
                <w:rFonts w:hint="eastAsia" w:ascii="宋体" w:hAnsi="宋体"/>
                <w:color w:val="auto"/>
                <w:szCs w:val="21"/>
                <w:highlight w:val="none"/>
              </w:rPr>
              <w:t>29.3</w:t>
            </w:r>
          </w:p>
        </w:tc>
        <w:tc>
          <w:tcPr>
            <w:tcW w:w="8175" w:type="dxa"/>
            <w:tcBorders>
              <w:top w:val="single" w:color="auto" w:sz="4" w:space="0"/>
              <w:left w:val="single" w:color="auto" w:sz="4" w:space="0"/>
              <w:right w:val="single" w:color="auto" w:sz="4" w:space="0"/>
            </w:tcBorders>
            <w:noWrap w:val="0"/>
            <w:vAlign w:val="center"/>
          </w:tcPr>
          <w:p w14:paraId="123A0A15">
            <w:pPr>
              <w:snapToGrid w:val="0"/>
              <w:spacing w:line="360" w:lineRule="auto"/>
              <w:rPr>
                <w:rFonts w:hAnsi="宋体"/>
                <w:color w:val="auto"/>
                <w:highlight w:val="none"/>
              </w:rPr>
            </w:pPr>
            <w:r>
              <w:rPr>
                <w:rFonts w:hAnsi="宋体"/>
                <w:color w:val="auto"/>
                <w:highlight w:val="none"/>
              </w:rPr>
              <w:t>中标候选人推荐数量</w:t>
            </w:r>
            <w:r>
              <w:rPr>
                <w:rFonts w:hint="eastAsia" w:hAnsi="宋体"/>
                <w:color w:val="auto"/>
                <w:highlight w:val="none"/>
              </w:rPr>
              <w:t>：</w:t>
            </w:r>
          </w:p>
          <w:p w14:paraId="3DE08A11">
            <w:pPr>
              <w:snapToGrid w:val="0"/>
              <w:spacing w:line="360" w:lineRule="auto"/>
              <w:rPr>
                <w:rFonts w:hAnsi="宋体"/>
                <w:color w:val="auto"/>
                <w:highlight w:val="none"/>
              </w:rPr>
            </w:pPr>
            <w:r>
              <w:rPr>
                <w:rFonts w:hint="eastAsia" w:ascii="宋体" w:hAnsi="宋体"/>
                <w:color w:val="auto"/>
                <w:szCs w:val="21"/>
                <w:highlight w:val="none"/>
                <w:lang w:eastAsia="zh-CN"/>
              </w:rPr>
              <w:t>☑</w:t>
            </w:r>
            <w:r>
              <w:rPr>
                <w:rFonts w:hint="eastAsia" w:hAnsi="宋体"/>
                <w:color w:val="auto"/>
                <w:highlight w:val="none"/>
                <w:u w:val="single"/>
              </w:rPr>
              <w:t xml:space="preserve"> </w:t>
            </w:r>
            <w:r>
              <w:rPr>
                <w:rFonts w:hAnsi="宋体"/>
                <w:color w:val="auto"/>
                <w:highlight w:val="none"/>
                <w:u w:val="single"/>
              </w:rPr>
              <w:t xml:space="preserve"> </w:t>
            </w:r>
            <w:r>
              <w:rPr>
                <w:rFonts w:hint="eastAsia" w:hAnsi="宋体"/>
                <w:color w:val="auto"/>
                <w:highlight w:val="none"/>
                <w:u w:val="single"/>
                <w:lang w:val="en-US" w:eastAsia="zh-CN"/>
              </w:rPr>
              <w:t>每分标各3</w:t>
            </w:r>
            <w:r>
              <w:rPr>
                <w:rFonts w:hAnsi="宋体"/>
                <w:color w:val="auto"/>
                <w:highlight w:val="none"/>
                <w:u w:val="single"/>
              </w:rPr>
              <w:t xml:space="preserve"> </w:t>
            </w:r>
            <w:r>
              <w:rPr>
                <w:rFonts w:hAnsi="宋体"/>
                <w:color w:val="auto"/>
                <w:highlight w:val="none"/>
              </w:rPr>
              <w:t>名</w:t>
            </w:r>
          </w:p>
          <w:p w14:paraId="762FAA72">
            <w:pPr>
              <w:snapToGrid w:val="0"/>
              <w:spacing w:line="360" w:lineRule="auto"/>
              <w:rPr>
                <w:rFonts w:hint="eastAsia" w:ascii="宋体" w:hAnsi="宋体" w:cs="宋体"/>
                <w:color w:val="auto"/>
                <w:szCs w:val="21"/>
                <w:highlight w:val="none"/>
              </w:rPr>
            </w:pPr>
            <w:r>
              <w:rPr>
                <w:rFonts w:hint="eastAsia" w:ascii="宋体" w:hAnsi="宋体"/>
                <w:color w:val="auto"/>
                <w:szCs w:val="21"/>
                <w:highlight w:val="none"/>
                <w:lang w:eastAsia="zh-CN"/>
              </w:rPr>
              <w:t>□</w:t>
            </w:r>
            <w:r>
              <w:rPr>
                <w:rFonts w:hint="eastAsia" w:hAnsi="宋体"/>
                <w:color w:val="auto"/>
                <w:highlight w:val="none"/>
              </w:rPr>
              <w:t>根据总得分由高到低（综合评分法）排列次序并全部推荐为中标候选人</w:t>
            </w:r>
          </w:p>
        </w:tc>
      </w:tr>
      <w:tr w14:paraId="0F7216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789E1FA0">
            <w:pPr>
              <w:spacing w:line="360" w:lineRule="auto"/>
              <w:jc w:val="center"/>
              <w:rPr>
                <w:rFonts w:hint="eastAsia" w:ascii="宋体" w:hAnsi="宋体"/>
                <w:color w:val="auto"/>
                <w:szCs w:val="21"/>
                <w:highlight w:val="none"/>
              </w:rPr>
            </w:pPr>
            <w:r>
              <w:rPr>
                <w:rFonts w:hint="eastAsia" w:ascii="宋体" w:hAnsi="宋体"/>
                <w:color w:val="auto"/>
                <w:szCs w:val="21"/>
                <w:highlight w:val="none"/>
              </w:rPr>
              <w:t>30</w:t>
            </w:r>
            <w:r>
              <w:rPr>
                <w:rFonts w:ascii="宋体" w:hAnsi="宋体"/>
                <w:color w:val="auto"/>
                <w:szCs w:val="21"/>
                <w:highlight w:val="none"/>
              </w:rPr>
              <w:t>.1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6B4B94CF">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采用综合评分法的采购项目，采购人确定中标人时，出现中标候选人并列的情形，采购人按以下的方式确定中标人：</w:t>
            </w:r>
          </w:p>
          <w:p w14:paraId="43DD1752">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 w:val="18"/>
                <w:szCs w:val="18"/>
                <w:highlight w:val="none"/>
                <w:bdr w:val="single" w:color="auto" w:sz="4" w:space="0"/>
              </w:rPr>
              <w:t>√</w:t>
            </w:r>
            <w:r>
              <w:rPr>
                <w:rFonts w:hint="eastAsia" w:ascii="宋体" w:hAnsi="宋体"/>
                <w:color w:val="auto"/>
                <w:szCs w:val="21"/>
                <w:highlight w:val="none"/>
              </w:rPr>
              <w:t>依次按投标报价低的优先、政策分得分高的优先、技术评分高的优先、商务评分高的优先、响应时间短优先的顺序确定；</w:t>
            </w:r>
          </w:p>
          <w:p w14:paraId="7EEC9647">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□随机抽取；</w:t>
            </w:r>
          </w:p>
        </w:tc>
      </w:tr>
      <w:tr w14:paraId="1A1170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06A882DF">
            <w:pPr>
              <w:spacing w:line="360" w:lineRule="auto"/>
              <w:jc w:val="center"/>
              <w:rPr>
                <w:rFonts w:hint="eastAsia" w:ascii="宋体" w:hAnsi="宋体"/>
                <w:color w:val="auto"/>
                <w:szCs w:val="21"/>
                <w:highlight w:val="none"/>
              </w:rPr>
            </w:pPr>
            <w:bookmarkStart w:id="108" w:name="_39.1"/>
            <w:bookmarkEnd w:id="108"/>
            <w:r>
              <w:rPr>
                <w:rFonts w:hint="eastAsia" w:ascii="宋体" w:hAnsi="宋体"/>
                <w:color w:val="auto"/>
                <w:szCs w:val="21"/>
                <w:highlight w:val="none"/>
              </w:rPr>
              <w:t>35</w:t>
            </w:r>
            <w:r>
              <w:rPr>
                <w:rFonts w:ascii="宋体" w:hAnsi="宋体"/>
                <w:color w:val="auto"/>
                <w:szCs w:val="21"/>
                <w:highlight w:val="none"/>
              </w:rPr>
              <w:t>.1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00C99A18">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本项目不收取履约保证金。</w:t>
            </w:r>
          </w:p>
          <w:p w14:paraId="558A6731">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本项目收取履约保证金，具体规定如下：</w:t>
            </w:r>
          </w:p>
          <w:p w14:paraId="337717D1">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履约保证金金额：按中标金额的</w:t>
            </w:r>
            <w:r>
              <w:rPr>
                <w:rFonts w:hint="eastAsia" w:ascii="宋体" w:hAnsi="宋体" w:cs="Arial"/>
                <w:color w:val="auto"/>
                <w:szCs w:val="21"/>
                <w:highlight w:val="none"/>
                <w:u w:val="single"/>
              </w:rPr>
              <w:t xml:space="preserve"> </w:t>
            </w:r>
            <w:r>
              <w:rPr>
                <w:rFonts w:hint="eastAsia" w:ascii="宋体" w:hAnsi="宋体" w:cs="Arial"/>
                <w:color w:val="auto"/>
                <w:szCs w:val="21"/>
                <w:highlight w:val="none"/>
                <w:u w:val="single"/>
                <w:lang w:val="en-US" w:eastAsia="zh-CN"/>
              </w:rPr>
              <w:t xml:space="preserve">  </w:t>
            </w:r>
            <w:r>
              <w:rPr>
                <w:rFonts w:hint="eastAsia" w:ascii="宋体" w:hAnsi="宋体"/>
                <w:color w:val="auto"/>
                <w:szCs w:val="21"/>
                <w:highlight w:val="none"/>
              </w:rPr>
              <w:t>%。</w:t>
            </w:r>
          </w:p>
          <w:p w14:paraId="17928050">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履约保证金递交方式：银行转账、支票、汇票、本票或者</w:t>
            </w:r>
            <w:r>
              <w:rPr>
                <w:rFonts w:hint="eastAsia" w:ascii="宋体" w:hAnsi="宋体"/>
                <w:color w:val="auto"/>
                <w:szCs w:val="21"/>
                <w:highlight w:val="none"/>
                <w:lang w:eastAsia="zh-CN"/>
              </w:rPr>
              <w:t>金融机构、担保机构出具的保函</w:t>
            </w:r>
            <w:r>
              <w:rPr>
                <w:rFonts w:hint="eastAsia" w:ascii="宋体" w:hAnsi="宋体"/>
                <w:color w:val="auto"/>
                <w:szCs w:val="21"/>
                <w:highlight w:val="none"/>
              </w:rPr>
              <w:t>等非现金方式（参照投标保证金）</w:t>
            </w:r>
          </w:p>
          <w:p w14:paraId="3BE4E3B8">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履约保证金缴纳期限：自中标通知书发出之日起</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日内。</w:t>
            </w:r>
          </w:p>
          <w:p w14:paraId="71475A04">
            <w:pPr>
              <w:autoSpaceDE w:val="0"/>
              <w:autoSpaceDN w:val="0"/>
              <w:snapToGrid w:val="0"/>
              <w:spacing w:line="360" w:lineRule="auto"/>
              <w:textAlignment w:val="bottom"/>
              <w:rPr>
                <w:rFonts w:hint="eastAsia" w:ascii="宋体" w:hAnsi="宋体"/>
                <w:color w:val="auto"/>
                <w:szCs w:val="21"/>
                <w:highlight w:val="none"/>
                <w:u w:val="single"/>
              </w:rPr>
            </w:pPr>
            <w:r>
              <w:rPr>
                <w:rFonts w:hint="eastAsia" w:ascii="宋体" w:hAnsi="宋体"/>
                <w:color w:val="auto"/>
                <w:szCs w:val="21"/>
                <w:highlight w:val="none"/>
              </w:rPr>
              <w:t>履约保证金退付方式、时间及条件：</w:t>
            </w:r>
            <w:r>
              <w:rPr>
                <w:rFonts w:hint="eastAsia" w:ascii="宋体" w:hAnsi="宋体"/>
                <w:color w:val="auto"/>
                <w:szCs w:val="21"/>
                <w:highlight w:val="none"/>
                <w:lang w:val="en-US" w:eastAsia="zh-CN"/>
              </w:rPr>
              <w:t>履约</w:t>
            </w:r>
            <w:r>
              <w:rPr>
                <w:rFonts w:hint="eastAsia" w:ascii="宋体" w:hAnsi="宋体"/>
                <w:color w:val="auto"/>
                <w:szCs w:val="21"/>
                <w:highlight w:val="none"/>
              </w:rPr>
              <w:t>验收合格后无质量问题，履约保证金一次性无息退还中标人。如最终验收与合同不符，由中标人承担一切违约责任；</w:t>
            </w:r>
          </w:p>
          <w:p w14:paraId="7CFAFBC3">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履约保证金指定账户：</w:t>
            </w:r>
          </w:p>
          <w:p w14:paraId="74C4AD19">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开户名称：</w:t>
            </w:r>
          </w:p>
          <w:p w14:paraId="7F81AD59">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开户银行：</w:t>
            </w:r>
          </w:p>
          <w:p w14:paraId="4FEA54B2">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银行账号：</w:t>
            </w:r>
          </w:p>
          <w:p w14:paraId="035C5CCA">
            <w:pPr>
              <w:spacing w:line="360" w:lineRule="auto"/>
              <w:jc w:val="left"/>
              <w:rPr>
                <w:rFonts w:ascii="宋体" w:hAnsi="宋体" w:cs="Courier New"/>
                <w:color w:val="auto"/>
                <w:szCs w:val="21"/>
                <w:highlight w:val="none"/>
              </w:rPr>
            </w:pPr>
            <w:r>
              <w:rPr>
                <w:rFonts w:ascii="宋体" w:hAnsi="宋体" w:cs="Courier New"/>
                <w:color w:val="auto"/>
                <w:szCs w:val="21"/>
                <w:highlight w:val="none"/>
              </w:rPr>
              <w:t>备注：</w:t>
            </w:r>
          </w:p>
          <w:p w14:paraId="119A10B0">
            <w:pPr>
              <w:spacing w:line="360" w:lineRule="auto"/>
              <w:jc w:val="left"/>
              <w:rPr>
                <w:rFonts w:hint="eastAsia" w:ascii="宋体" w:hAnsi="宋体"/>
                <w:b/>
                <w:color w:val="auto"/>
                <w:szCs w:val="21"/>
                <w:highlight w:val="none"/>
              </w:rPr>
            </w:pPr>
            <w:r>
              <w:rPr>
                <w:rFonts w:ascii="宋体" w:hAnsi="宋体"/>
                <w:b/>
                <w:color w:val="auto"/>
                <w:szCs w:val="21"/>
                <w:highlight w:val="none"/>
              </w:rPr>
              <w:t>1.</w:t>
            </w:r>
            <w:r>
              <w:rPr>
                <w:rFonts w:hint="eastAsia" w:ascii="宋体" w:hAnsi="宋体"/>
                <w:b/>
                <w:color w:val="auto"/>
                <w:szCs w:val="21"/>
                <w:highlight w:val="none"/>
              </w:rPr>
              <w:t xml:space="preserve"> 根据《广西壮族自治区财政厅关于持续优化政府采购营商环境推动高质量发展的通知》（桂财采〔2024〕55号）的规定，履约保证金数额不得超过政府采购合同金额的5%；对中小企业收取的履约保证金数额不得超过政府采购合同金额的2%</w:t>
            </w:r>
            <w:r>
              <w:rPr>
                <w:rFonts w:hint="eastAsia" w:ascii="宋体" w:hAnsi="宋体" w:cs="宋体"/>
                <w:b/>
                <w:color w:val="auto"/>
                <w:kern w:val="0"/>
                <w:sz w:val="24"/>
                <w:highlight w:val="none"/>
              </w:rPr>
              <w:t>。</w:t>
            </w:r>
          </w:p>
          <w:p w14:paraId="2016182F">
            <w:pPr>
              <w:spacing w:line="360" w:lineRule="auto"/>
              <w:jc w:val="left"/>
              <w:rPr>
                <w:rFonts w:hint="eastAsia" w:ascii="宋体" w:hAnsi="宋体"/>
                <w:b/>
                <w:color w:val="auto"/>
                <w:szCs w:val="21"/>
                <w:highlight w:val="none"/>
              </w:rPr>
            </w:pPr>
            <w:r>
              <w:rPr>
                <w:rFonts w:ascii="宋体" w:hAnsi="宋体"/>
                <w:b/>
                <w:color w:val="auto"/>
                <w:szCs w:val="21"/>
                <w:highlight w:val="none"/>
              </w:rPr>
              <w:t>2.</w:t>
            </w:r>
            <w:r>
              <w:rPr>
                <w:rFonts w:hint="eastAsia" w:ascii="宋体" w:hAnsi="宋体"/>
                <w:color w:val="auto"/>
                <w:szCs w:val="21"/>
                <w:highlight w:val="none"/>
              </w:rPr>
              <w:t xml:space="preserve"> </w:t>
            </w:r>
            <w:r>
              <w:rPr>
                <w:rFonts w:hint="eastAsia" w:ascii="宋体" w:hAnsi="宋体"/>
                <w:b/>
                <w:color w:val="auto"/>
                <w:szCs w:val="21"/>
                <w:highlight w:val="none"/>
              </w:rPr>
              <w:t>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r>
              <w:rPr>
                <w:rFonts w:ascii="宋体" w:hAnsi="宋体"/>
                <w:b/>
                <w:color w:val="auto"/>
                <w:szCs w:val="21"/>
                <w:highlight w:val="none"/>
              </w:rPr>
              <w:br w:type="textWrapping"/>
            </w:r>
            <w:r>
              <w:rPr>
                <w:rFonts w:ascii="宋体" w:hAnsi="宋体"/>
                <w:b/>
                <w:color w:val="auto"/>
                <w:szCs w:val="21"/>
                <w:highlight w:val="none"/>
              </w:rPr>
              <w:t>3.采用</w:t>
            </w:r>
            <w:r>
              <w:rPr>
                <w:rFonts w:hint="eastAsia" w:ascii="宋体" w:hAnsi="宋体"/>
                <w:b/>
                <w:color w:val="auto"/>
                <w:szCs w:val="21"/>
                <w:highlight w:val="none"/>
                <w:lang w:eastAsia="zh-CN"/>
              </w:rPr>
              <w:t>金融机构、担保机构出具的保函</w:t>
            </w:r>
            <w:r>
              <w:rPr>
                <w:rFonts w:ascii="宋体" w:hAnsi="宋体"/>
                <w:b/>
                <w:color w:val="auto"/>
                <w:szCs w:val="21"/>
                <w:highlight w:val="none"/>
              </w:rPr>
              <w:t>的，必须为无条件保函，否则不予签订合同。</w:t>
            </w:r>
          </w:p>
          <w:p w14:paraId="6E5FDEA2">
            <w:pPr>
              <w:spacing w:line="360" w:lineRule="auto"/>
              <w:jc w:val="left"/>
              <w:rPr>
                <w:rFonts w:hint="eastAsia" w:ascii="宋体" w:hAnsi="宋体" w:cs="宋体"/>
                <w:color w:val="auto"/>
                <w:kern w:val="0"/>
                <w:szCs w:val="21"/>
                <w:highlight w:val="none"/>
              </w:rPr>
            </w:pPr>
            <w:r>
              <w:rPr>
                <w:rFonts w:ascii="宋体" w:hAnsi="宋体"/>
                <w:b/>
                <w:color w:val="auto"/>
                <w:szCs w:val="21"/>
                <w:highlight w:val="none"/>
              </w:rPr>
              <w:t>4.</w:t>
            </w:r>
            <w:r>
              <w:rPr>
                <w:rFonts w:hint="eastAsia" w:ascii="宋体" w:hAnsi="宋体"/>
                <w:b/>
                <w:color w:val="auto"/>
                <w:szCs w:val="21"/>
                <w:highlight w:val="none"/>
              </w:rPr>
              <w:t>投标人为联合体的，由联合体其中一方按规定提交的履约保证金，视为有效履约保证金。</w:t>
            </w:r>
          </w:p>
        </w:tc>
      </w:tr>
      <w:tr w14:paraId="11E0A8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1743E50D">
            <w:pPr>
              <w:spacing w:line="360" w:lineRule="auto"/>
              <w:jc w:val="center"/>
              <w:rPr>
                <w:rFonts w:hint="eastAsia" w:ascii="宋体" w:hAnsi="宋体"/>
                <w:color w:val="auto"/>
                <w:szCs w:val="21"/>
                <w:highlight w:val="none"/>
              </w:rPr>
            </w:pPr>
            <w:bookmarkStart w:id="109" w:name="_40.1"/>
            <w:bookmarkEnd w:id="109"/>
            <w:r>
              <w:rPr>
                <w:rFonts w:hint="eastAsia" w:ascii="宋体" w:hAnsi="宋体"/>
                <w:color w:val="auto"/>
                <w:szCs w:val="21"/>
                <w:highlight w:val="none"/>
              </w:rPr>
              <w:t>36.1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25D5E11D">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 xml:space="preserve">签订合同携带的证明材料： </w:t>
            </w:r>
          </w:p>
          <w:p w14:paraId="435141CC">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委托代理人负责签订合同的，须携带授权委托书及委托代理人身份证原件等其他资格证件。</w:t>
            </w:r>
          </w:p>
          <w:p w14:paraId="7E08A328">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法定代表人负责签订合同的，须携带法定代表人</w:t>
            </w:r>
            <w:r>
              <w:rPr>
                <w:rFonts w:ascii="宋体" w:hAnsi="宋体"/>
                <w:color w:val="auto"/>
                <w:szCs w:val="21"/>
                <w:highlight w:val="none"/>
              </w:rPr>
              <w:t>身份证明原件</w:t>
            </w:r>
            <w:r>
              <w:rPr>
                <w:rFonts w:hint="eastAsia" w:ascii="宋体" w:hAnsi="宋体"/>
                <w:color w:val="auto"/>
                <w:szCs w:val="21"/>
                <w:highlight w:val="none"/>
              </w:rPr>
              <w:t>及</w:t>
            </w:r>
            <w:r>
              <w:rPr>
                <w:rFonts w:ascii="宋体" w:hAnsi="宋体"/>
                <w:color w:val="auto"/>
                <w:szCs w:val="21"/>
                <w:highlight w:val="none"/>
              </w:rPr>
              <w:t>身份证原件</w:t>
            </w:r>
            <w:r>
              <w:rPr>
                <w:rFonts w:hint="eastAsia" w:ascii="宋体" w:hAnsi="宋体"/>
                <w:color w:val="auto"/>
                <w:szCs w:val="21"/>
                <w:highlight w:val="none"/>
              </w:rPr>
              <w:t>等其他证明材料。</w:t>
            </w:r>
          </w:p>
        </w:tc>
      </w:tr>
      <w:tr w14:paraId="1BAE78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33427E4F">
            <w:pPr>
              <w:spacing w:line="360" w:lineRule="auto"/>
              <w:jc w:val="center"/>
              <w:rPr>
                <w:rFonts w:hint="eastAsia"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8.2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1F473461">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接收质疑函方式：以书面形式</w:t>
            </w:r>
          </w:p>
          <w:p w14:paraId="735B90FD">
            <w:pPr>
              <w:snapToGrid w:val="0"/>
              <w:spacing w:line="360" w:lineRule="auto"/>
              <w:rPr>
                <w:rFonts w:hint="eastAsia" w:ascii="宋体" w:hAnsi="宋体" w:eastAsia="宋体"/>
                <w:color w:val="auto"/>
                <w:szCs w:val="21"/>
                <w:highlight w:val="none"/>
                <w:lang w:eastAsia="zh-CN"/>
              </w:rPr>
            </w:pPr>
            <w:r>
              <w:rPr>
                <w:rFonts w:hint="eastAsia" w:ascii="宋体" w:hAnsi="宋体"/>
                <w:color w:val="auto"/>
                <w:szCs w:val="21"/>
                <w:highlight w:val="none"/>
              </w:rPr>
              <w:t>质疑联系部门及联系方式：</w:t>
            </w:r>
            <w:r>
              <w:rPr>
                <w:rFonts w:hint="eastAsia" w:ascii="宋体" w:hAnsi="宋体"/>
                <w:color w:val="auto"/>
                <w:szCs w:val="21"/>
                <w:highlight w:val="none"/>
                <w:lang w:eastAsia="zh-CN"/>
              </w:rPr>
              <w:t>广西建设工程机电设备招标中心有限公司</w:t>
            </w:r>
            <w:r>
              <w:rPr>
                <w:rFonts w:hint="eastAsia" w:ascii="宋体" w:hAnsi="宋体"/>
                <w:color w:val="auto"/>
                <w:szCs w:val="21"/>
                <w:highlight w:val="none"/>
              </w:rPr>
              <w:t>，联系电话：</w:t>
            </w:r>
            <w:r>
              <w:rPr>
                <w:rFonts w:hint="eastAsia" w:ascii="宋体" w:hAnsi="宋体"/>
                <w:color w:val="auto"/>
                <w:szCs w:val="21"/>
                <w:highlight w:val="none"/>
                <w:lang w:eastAsia="zh-CN"/>
              </w:rPr>
              <w:t>0771-2869912</w:t>
            </w:r>
            <w:r>
              <w:rPr>
                <w:rFonts w:hint="eastAsia" w:ascii="宋体" w:hAnsi="宋体"/>
                <w:color w:val="auto"/>
                <w:szCs w:val="21"/>
                <w:highlight w:val="none"/>
              </w:rPr>
              <w:t>，通讯地址：</w:t>
            </w:r>
            <w:r>
              <w:rPr>
                <w:rFonts w:hint="eastAsia" w:ascii="宋体" w:hAnsi="宋体"/>
                <w:color w:val="auto"/>
                <w:szCs w:val="21"/>
                <w:highlight w:val="none"/>
                <w:lang w:eastAsia="zh-CN"/>
              </w:rPr>
              <w:t>南宁市青秀区枫林路18号广西国控集团（枫林路办公区）裙楼三层</w:t>
            </w:r>
          </w:p>
          <w:p w14:paraId="26055FD5">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业务时间：工作日每天上午</w:t>
            </w:r>
            <w:r>
              <w:rPr>
                <w:rFonts w:ascii="宋体" w:hAnsi="宋体"/>
                <w:color w:val="auto"/>
                <w:szCs w:val="21"/>
                <w:highlight w:val="none"/>
              </w:rPr>
              <w:t>8</w:t>
            </w:r>
            <w:r>
              <w:rPr>
                <w:rFonts w:hint="eastAsia" w:ascii="宋体" w:hAnsi="宋体"/>
                <w:color w:val="auto"/>
                <w:szCs w:val="21"/>
                <w:highlight w:val="none"/>
              </w:rPr>
              <w:t>时</w:t>
            </w:r>
            <w:r>
              <w:rPr>
                <w:rFonts w:ascii="宋体" w:hAnsi="宋体"/>
                <w:color w:val="auto"/>
                <w:szCs w:val="21"/>
                <w:highlight w:val="none"/>
              </w:rPr>
              <w:t>00</w:t>
            </w:r>
            <w:r>
              <w:rPr>
                <w:rFonts w:hint="eastAsia" w:ascii="宋体" w:hAnsi="宋体"/>
                <w:color w:val="auto"/>
                <w:szCs w:val="21"/>
                <w:highlight w:val="none"/>
              </w:rPr>
              <w:t>分到</w:t>
            </w:r>
            <w:r>
              <w:rPr>
                <w:rFonts w:ascii="宋体" w:hAnsi="宋体"/>
                <w:color w:val="auto"/>
                <w:szCs w:val="21"/>
                <w:highlight w:val="none"/>
              </w:rPr>
              <w:t>12</w:t>
            </w:r>
            <w:r>
              <w:rPr>
                <w:rFonts w:hint="eastAsia" w:ascii="宋体" w:hAnsi="宋体"/>
                <w:color w:val="auto"/>
                <w:szCs w:val="21"/>
                <w:highlight w:val="none"/>
              </w:rPr>
              <w:t>时</w:t>
            </w:r>
            <w:r>
              <w:rPr>
                <w:rFonts w:ascii="宋体" w:hAnsi="宋体"/>
                <w:color w:val="auto"/>
                <w:szCs w:val="21"/>
                <w:highlight w:val="none"/>
              </w:rPr>
              <w:t>00</w:t>
            </w:r>
            <w:r>
              <w:rPr>
                <w:rFonts w:hint="eastAsia" w:ascii="宋体" w:hAnsi="宋体"/>
                <w:color w:val="auto"/>
                <w:szCs w:val="21"/>
                <w:highlight w:val="none"/>
              </w:rPr>
              <w:t>分，下午</w:t>
            </w:r>
            <w:r>
              <w:rPr>
                <w:rFonts w:ascii="宋体" w:hAnsi="宋体"/>
                <w:color w:val="auto"/>
                <w:szCs w:val="21"/>
                <w:highlight w:val="none"/>
              </w:rPr>
              <w:t>3</w:t>
            </w:r>
            <w:r>
              <w:rPr>
                <w:rFonts w:hint="eastAsia" w:ascii="宋体" w:hAnsi="宋体"/>
                <w:color w:val="auto"/>
                <w:szCs w:val="21"/>
                <w:highlight w:val="none"/>
              </w:rPr>
              <w:t>时</w:t>
            </w:r>
            <w:r>
              <w:rPr>
                <w:rFonts w:ascii="宋体" w:hAnsi="宋体"/>
                <w:color w:val="auto"/>
                <w:szCs w:val="21"/>
                <w:highlight w:val="none"/>
              </w:rPr>
              <w:t>00</w:t>
            </w:r>
            <w:r>
              <w:rPr>
                <w:rFonts w:hint="eastAsia" w:ascii="宋体" w:hAnsi="宋体"/>
                <w:color w:val="auto"/>
                <w:szCs w:val="21"/>
                <w:highlight w:val="none"/>
              </w:rPr>
              <w:t>分到</w:t>
            </w:r>
            <w:r>
              <w:rPr>
                <w:rFonts w:ascii="宋体" w:hAnsi="宋体"/>
                <w:color w:val="auto"/>
                <w:szCs w:val="21"/>
                <w:highlight w:val="none"/>
              </w:rPr>
              <w:t>6</w:t>
            </w:r>
            <w:r>
              <w:rPr>
                <w:rFonts w:hint="eastAsia" w:ascii="宋体" w:hAnsi="宋体"/>
                <w:color w:val="auto"/>
                <w:szCs w:val="21"/>
                <w:highlight w:val="none"/>
              </w:rPr>
              <w:t>时</w:t>
            </w:r>
            <w:r>
              <w:rPr>
                <w:rFonts w:ascii="宋体" w:hAnsi="宋体"/>
                <w:color w:val="auto"/>
                <w:szCs w:val="21"/>
                <w:highlight w:val="none"/>
              </w:rPr>
              <w:t>00</w:t>
            </w:r>
            <w:r>
              <w:rPr>
                <w:rFonts w:hint="eastAsia" w:ascii="宋体" w:hAnsi="宋体"/>
                <w:color w:val="auto"/>
                <w:szCs w:val="21"/>
                <w:highlight w:val="none"/>
              </w:rPr>
              <w:t>分。</w:t>
            </w:r>
          </w:p>
        </w:tc>
      </w:tr>
      <w:tr w14:paraId="62F55C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5F9DF8EF">
            <w:pPr>
              <w:spacing w:line="360" w:lineRule="auto"/>
              <w:jc w:val="center"/>
              <w:rPr>
                <w:rFonts w:hint="eastAsia" w:ascii="宋体" w:hAnsi="宋体"/>
                <w:color w:val="auto"/>
                <w:szCs w:val="21"/>
                <w:highlight w:val="none"/>
              </w:rPr>
            </w:pPr>
            <w:bookmarkStart w:id="110" w:name="_41"/>
            <w:bookmarkEnd w:id="110"/>
            <w:bookmarkStart w:id="111" w:name="_42"/>
            <w:bookmarkEnd w:id="111"/>
            <w:bookmarkStart w:id="112" w:name="_Hlt17709148"/>
            <w:r>
              <w:rPr>
                <w:rFonts w:hint="eastAsia" w:ascii="宋体" w:hAnsi="宋体"/>
                <w:color w:val="auto"/>
                <w:szCs w:val="21"/>
                <w:highlight w:val="none"/>
              </w:rPr>
              <w:t>3</w:t>
            </w:r>
            <w:bookmarkEnd w:id="112"/>
            <w:r>
              <w:rPr>
                <w:rFonts w:ascii="宋体" w:hAnsi="宋体"/>
                <w:color w:val="auto"/>
                <w:szCs w:val="21"/>
                <w:highlight w:val="none"/>
              </w:rPr>
              <w:t>9.1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11979CDA">
            <w:pPr>
              <w:pStyle w:val="25"/>
              <w:snapToGrid w:val="0"/>
              <w:spacing w:line="360" w:lineRule="auto"/>
              <w:rPr>
                <w:rFonts w:hint="eastAsia" w:hAnsi="宋体" w:cs="宋体"/>
                <w:color w:val="auto"/>
                <w:sz w:val="21"/>
                <w:highlight w:val="none"/>
              </w:rPr>
            </w:pPr>
            <w:r>
              <w:rPr>
                <w:rFonts w:hint="eastAsia" w:hAnsi="宋体" w:cs="宋体"/>
                <w:color w:val="auto"/>
                <w:sz w:val="21"/>
                <w:highlight w:val="none"/>
              </w:rPr>
              <w:t>1.采购代理费支付方式：</w:t>
            </w:r>
          </w:p>
          <w:p w14:paraId="51D12C77">
            <w:pPr>
              <w:pStyle w:val="25"/>
              <w:snapToGrid w:val="0"/>
              <w:spacing w:line="360" w:lineRule="auto"/>
              <w:rPr>
                <w:rFonts w:hint="eastAsia" w:hAnsi="宋体" w:cs="宋体"/>
                <w:color w:val="auto"/>
                <w:sz w:val="21"/>
                <w:highlight w:val="none"/>
              </w:rPr>
            </w:pPr>
            <w:r>
              <w:rPr>
                <w:rFonts w:hint="eastAsia" w:hAnsi="宋体"/>
                <w:color w:val="auto"/>
                <w:sz w:val="18"/>
                <w:szCs w:val="18"/>
                <w:highlight w:val="none"/>
                <w:bdr w:val="single" w:color="auto" w:sz="4" w:space="0"/>
              </w:rPr>
              <w:t>√</w:t>
            </w:r>
            <w:r>
              <w:rPr>
                <w:rFonts w:hint="eastAsia" w:hAnsi="宋体" w:cs="宋体"/>
                <w:color w:val="auto"/>
                <w:sz w:val="21"/>
                <w:highlight w:val="none"/>
              </w:rPr>
              <w:t>本项目代理服务费由</w:t>
            </w:r>
            <w:r>
              <w:rPr>
                <w:rFonts w:hint="eastAsia" w:hAnsi="宋体" w:cs="宋体"/>
                <w:color w:val="auto"/>
                <w:sz w:val="21"/>
                <w:highlight w:val="none"/>
                <w:lang w:val="en-US" w:eastAsia="zh-CN"/>
              </w:rPr>
              <w:t>各分标的</w:t>
            </w:r>
            <w:r>
              <w:rPr>
                <w:rFonts w:hint="eastAsia" w:hAnsi="宋体" w:cs="宋体"/>
                <w:color w:val="auto"/>
                <w:sz w:val="21"/>
                <w:highlight w:val="none"/>
                <w:u w:val="single"/>
              </w:rPr>
              <w:t>中标人</w:t>
            </w:r>
            <w:r>
              <w:rPr>
                <w:rFonts w:hint="eastAsia" w:hAnsi="宋体" w:cs="宋体"/>
                <w:color w:val="auto"/>
                <w:sz w:val="21"/>
                <w:highlight w:val="none"/>
              </w:rPr>
              <w:t>一次性向采购代理机构支付。</w:t>
            </w:r>
          </w:p>
          <w:p w14:paraId="42706C91">
            <w:pPr>
              <w:pStyle w:val="25"/>
              <w:snapToGrid w:val="0"/>
              <w:spacing w:line="360" w:lineRule="auto"/>
              <w:rPr>
                <w:rFonts w:hint="eastAsia" w:hAnsi="宋体" w:cs="宋体"/>
                <w:color w:val="auto"/>
                <w:sz w:val="21"/>
                <w:highlight w:val="none"/>
              </w:rPr>
            </w:pPr>
            <w:r>
              <w:rPr>
                <w:rFonts w:hint="eastAsia" w:hAnsi="宋体" w:cs="宋体"/>
                <w:color w:val="auto"/>
                <w:sz w:val="21"/>
                <w:highlight w:val="none"/>
              </w:rPr>
              <w:t>□采购人支付。</w:t>
            </w:r>
          </w:p>
          <w:p w14:paraId="136544B9">
            <w:pPr>
              <w:pStyle w:val="25"/>
              <w:snapToGrid w:val="0"/>
              <w:spacing w:line="360" w:lineRule="auto"/>
              <w:rPr>
                <w:rFonts w:hint="eastAsia" w:hAnsi="宋体" w:cs="宋体"/>
                <w:color w:val="auto"/>
                <w:sz w:val="21"/>
                <w:highlight w:val="none"/>
              </w:rPr>
            </w:pPr>
            <w:r>
              <w:rPr>
                <w:rFonts w:hint="eastAsia" w:hAnsi="宋体" w:cs="宋体"/>
                <w:color w:val="auto"/>
                <w:sz w:val="21"/>
                <w:highlight w:val="none"/>
              </w:rPr>
              <w:t>2.采购代理费收取标准：</w:t>
            </w:r>
          </w:p>
          <w:p w14:paraId="4A838C41">
            <w:pPr>
              <w:pStyle w:val="25"/>
              <w:snapToGrid w:val="0"/>
              <w:spacing w:line="360" w:lineRule="auto"/>
              <w:rPr>
                <w:rFonts w:hint="eastAsia" w:hAnsi="宋体" w:cs="宋体"/>
                <w:color w:val="auto"/>
                <w:sz w:val="21"/>
                <w:highlight w:val="none"/>
              </w:rPr>
            </w:pPr>
            <w:r>
              <w:rPr>
                <w:rFonts w:hint="eastAsia" w:hAnsi="宋体" w:cs="宋体"/>
                <w:color w:val="auto"/>
                <w:sz w:val="21"/>
                <w:highlight w:val="none"/>
                <w:lang w:eastAsia="zh-CN"/>
              </w:rPr>
              <w:t>☑</w:t>
            </w:r>
            <w:r>
              <w:rPr>
                <w:rFonts w:hint="eastAsia" w:hAnsi="宋体" w:cs="宋体"/>
                <w:color w:val="auto"/>
                <w:sz w:val="21"/>
                <w:highlight w:val="none"/>
              </w:rPr>
              <w:t>以分标（</w:t>
            </w:r>
            <w:r>
              <w:rPr>
                <w:rFonts w:hint="eastAsia" w:hAnsi="宋体"/>
                <w:color w:val="auto"/>
                <w:sz w:val="18"/>
                <w:szCs w:val="18"/>
                <w:highlight w:val="none"/>
                <w:bdr w:val="single" w:color="auto" w:sz="4" w:space="0"/>
              </w:rPr>
              <w:t>√</w:t>
            </w:r>
            <w:r>
              <w:rPr>
                <w:rFonts w:hint="eastAsia" w:hAnsi="宋体" w:cs="宋体"/>
                <w:color w:val="auto"/>
                <w:sz w:val="21"/>
                <w:highlight w:val="none"/>
              </w:rPr>
              <w:t>中标金额/□采购预算/□暂定中标金额/</w:t>
            </w:r>
            <w:r>
              <w:rPr>
                <w:rFonts w:hint="eastAsia" w:hAnsi="宋体" w:cs="宋体"/>
                <w:color w:val="auto"/>
                <w:sz w:val="21"/>
                <w:highlight w:val="none"/>
                <w:lang w:eastAsia="zh-CN"/>
              </w:rPr>
              <w:t>□</w:t>
            </w:r>
            <w:r>
              <w:rPr>
                <w:rFonts w:hint="eastAsia" w:hAnsi="宋体" w:cs="宋体"/>
                <w:color w:val="auto"/>
                <w:sz w:val="21"/>
                <w:highlight w:val="none"/>
              </w:rPr>
              <w:t>其他</w:t>
            </w:r>
            <w:r>
              <w:rPr>
                <w:rFonts w:hint="eastAsia" w:hAnsi="宋体" w:cs="宋体"/>
                <w:color w:val="auto"/>
                <w:sz w:val="21"/>
                <w:highlight w:val="none"/>
                <w:u w:val="single"/>
              </w:rPr>
              <w:t xml:space="preserve"> </w:t>
            </w:r>
            <w:r>
              <w:rPr>
                <w:rFonts w:hAnsi="宋体" w:cs="宋体"/>
                <w:color w:val="auto"/>
                <w:sz w:val="21"/>
                <w:highlight w:val="none"/>
                <w:u w:val="single"/>
              </w:rPr>
              <w:t xml:space="preserve">  </w:t>
            </w:r>
            <w:r>
              <w:rPr>
                <w:rFonts w:hint="eastAsia" w:hAnsi="宋体" w:cs="宋体"/>
                <w:color w:val="auto"/>
                <w:sz w:val="21"/>
                <w:highlight w:val="none"/>
              </w:rPr>
              <w:t>）为计费额，按本须知正文第</w:t>
            </w:r>
            <w:r>
              <w:rPr>
                <w:rFonts w:hAnsi="宋体" w:cs="宋体"/>
                <w:color w:val="auto"/>
                <w:sz w:val="21"/>
                <w:highlight w:val="none"/>
              </w:rPr>
              <w:t>39</w:t>
            </w:r>
            <w:r>
              <w:rPr>
                <w:rFonts w:hint="eastAsia" w:hAnsi="宋体" w:cs="宋体"/>
                <w:color w:val="auto"/>
                <w:sz w:val="21"/>
                <w:highlight w:val="none"/>
              </w:rPr>
              <w:t>.</w:t>
            </w:r>
            <w:r>
              <w:rPr>
                <w:rFonts w:hAnsi="宋体" w:cs="宋体"/>
                <w:color w:val="auto"/>
                <w:sz w:val="21"/>
                <w:highlight w:val="none"/>
              </w:rPr>
              <w:t>2</w:t>
            </w:r>
            <w:r>
              <w:rPr>
                <w:rFonts w:hint="eastAsia" w:hAnsi="宋体" w:cs="宋体"/>
                <w:color w:val="auto"/>
                <w:sz w:val="21"/>
                <w:highlight w:val="none"/>
              </w:rPr>
              <w:t>条规定的收费计算标准（□货物招标/</w:t>
            </w:r>
            <w:r>
              <w:rPr>
                <w:rFonts w:hint="eastAsia" w:hAnsi="宋体"/>
                <w:color w:val="auto"/>
                <w:sz w:val="18"/>
                <w:szCs w:val="18"/>
                <w:highlight w:val="none"/>
                <w:bdr w:val="single" w:color="auto" w:sz="4" w:space="0"/>
              </w:rPr>
              <w:t>√</w:t>
            </w:r>
            <w:r>
              <w:rPr>
                <w:rFonts w:hint="eastAsia" w:hAnsi="宋体" w:cs="宋体"/>
                <w:color w:val="auto"/>
                <w:sz w:val="21"/>
                <w:highlight w:val="none"/>
              </w:rPr>
              <w:t>服务招标/□工程招标）采用差额定率累进法计算出收费基准价格，采购代理收费以（</w:t>
            </w:r>
            <w:r>
              <w:rPr>
                <w:rFonts w:hint="eastAsia" w:hAnsi="宋体" w:cs="宋体"/>
                <w:color w:val="auto"/>
                <w:sz w:val="21"/>
                <w:highlight w:val="none"/>
                <w:lang w:eastAsia="zh-CN"/>
              </w:rPr>
              <w:t>□</w:t>
            </w:r>
            <w:r>
              <w:rPr>
                <w:rFonts w:hint="eastAsia" w:hAnsi="宋体" w:cs="宋体"/>
                <w:color w:val="auto"/>
                <w:sz w:val="21"/>
                <w:highlight w:val="none"/>
              </w:rPr>
              <w:t>收费基准价格/</w:t>
            </w:r>
            <w:r>
              <w:rPr>
                <w:rFonts w:hint="eastAsia" w:hAnsi="宋体" w:cs="宋体"/>
                <w:color w:val="auto"/>
                <w:sz w:val="21"/>
                <w:highlight w:val="none"/>
                <w:lang w:eastAsia="zh-CN"/>
              </w:rPr>
              <w:t>☑</w:t>
            </w:r>
            <w:r>
              <w:rPr>
                <w:rFonts w:hint="eastAsia" w:hAnsi="宋体" w:cs="宋体"/>
                <w:color w:val="auto"/>
                <w:sz w:val="21"/>
                <w:highlight w:val="none"/>
              </w:rPr>
              <w:t>收费基准价格下浮</w:t>
            </w:r>
            <w:r>
              <w:rPr>
                <w:rFonts w:hint="eastAsia" w:hAnsi="宋体" w:cs="宋体"/>
                <w:color w:val="auto"/>
                <w:sz w:val="21"/>
                <w:highlight w:val="none"/>
                <w:u w:val="single"/>
              </w:rPr>
              <w:t xml:space="preserve"> </w:t>
            </w:r>
            <w:r>
              <w:rPr>
                <w:rFonts w:hint="eastAsia" w:hAnsi="宋体" w:cs="宋体"/>
                <w:color w:val="auto"/>
                <w:sz w:val="21"/>
                <w:highlight w:val="none"/>
                <w:u w:val="single"/>
                <w:lang w:val="en-US" w:eastAsia="zh-CN"/>
              </w:rPr>
              <w:t>20</w:t>
            </w:r>
            <w:r>
              <w:rPr>
                <w:rFonts w:hAnsi="宋体" w:cs="宋体"/>
                <w:color w:val="auto"/>
                <w:sz w:val="21"/>
                <w:highlight w:val="none"/>
                <w:u w:val="single"/>
              </w:rPr>
              <w:t xml:space="preserve"> </w:t>
            </w:r>
            <w:r>
              <w:rPr>
                <w:rFonts w:hint="eastAsia" w:hAnsi="宋体" w:cs="宋体"/>
                <w:color w:val="auto"/>
                <w:sz w:val="21"/>
                <w:highlight w:val="none"/>
                <w:u w:val="single"/>
              </w:rPr>
              <w:t>%</w:t>
            </w:r>
            <w:r>
              <w:rPr>
                <w:rFonts w:hAnsi="宋体" w:cs="宋体"/>
                <w:color w:val="auto"/>
                <w:sz w:val="21"/>
                <w:highlight w:val="none"/>
              </w:rPr>
              <w:t>/</w:t>
            </w:r>
            <w:r>
              <w:rPr>
                <w:rFonts w:hint="eastAsia" w:hAnsi="宋体" w:cs="宋体"/>
                <w:color w:val="auto"/>
                <w:sz w:val="21"/>
                <w:highlight w:val="none"/>
              </w:rPr>
              <w:t>□收费基准价格上浮</w:t>
            </w:r>
            <w:r>
              <w:rPr>
                <w:rFonts w:hint="eastAsia" w:hAnsi="宋体" w:cs="宋体"/>
                <w:color w:val="auto"/>
                <w:sz w:val="21"/>
                <w:highlight w:val="none"/>
                <w:u w:val="single"/>
              </w:rPr>
              <w:t xml:space="preserve"> </w:t>
            </w:r>
            <w:r>
              <w:rPr>
                <w:rFonts w:hAnsi="宋体" w:cs="宋体"/>
                <w:color w:val="auto"/>
                <w:sz w:val="21"/>
                <w:highlight w:val="none"/>
                <w:u w:val="single"/>
              </w:rPr>
              <w:t xml:space="preserve">  </w:t>
            </w:r>
            <w:r>
              <w:rPr>
                <w:rFonts w:hint="eastAsia" w:hAnsi="宋体" w:cs="宋体"/>
                <w:color w:val="auto"/>
                <w:sz w:val="21"/>
                <w:highlight w:val="none"/>
                <w:u w:val="single"/>
              </w:rPr>
              <w:t>%</w:t>
            </w:r>
            <w:r>
              <w:rPr>
                <w:rFonts w:hint="eastAsia" w:hAnsi="宋体" w:cs="宋体"/>
                <w:color w:val="auto"/>
                <w:sz w:val="21"/>
                <w:highlight w:val="none"/>
              </w:rPr>
              <w:t>）收取。</w:t>
            </w:r>
          </w:p>
          <w:p w14:paraId="07A70475">
            <w:pPr>
              <w:pStyle w:val="25"/>
              <w:snapToGrid w:val="0"/>
              <w:spacing w:line="360" w:lineRule="auto"/>
              <w:rPr>
                <w:rFonts w:hAnsi="宋体" w:cs="宋体"/>
                <w:color w:val="auto"/>
                <w:sz w:val="21"/>
                <w:highlight w:val="none"/>
                <w:u w:val="single"/>
              </w:rPr>
            </w:pPr>
            <w:r>
              <w:rPr>
                <w:rFonts w:hint="eastAsia" w:hAnsi="宋体" w:cs="宋体"/>
                <w:color w:val="auto"/>
                <w:sz w:val="21"/>
                <w:highlight w:val="none"/>
              </w:rPr>
              <w:t>□固定采购代理收费</w:t>
            </w:r>
            <w:r>
              <w:rPr>
                <w:rFonts w:hint="eastAsia" w:hAnsi="宋体" w:cs="宋体"/>
                <w:color w:val="auto"/>
                <w:sz w:val="21"/>
                <w:highlight w:val="none"/>
                <w:u w:val="single"/>
              </w:rPr>
              <w:t xml:space="preserve">              。</w:t>
            </w:r>
          </w:p>
          <w:p w14:paraId="10F843C0">
            <w:pPr>
              <w:pStyle w:val="25"/>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highlight w:val="none"/>
              </w:rPr>
              <w:t>3.</w:t>
            </w:r>
            <w:r>
              <w:rPr>
                <w:rFonts w:hint="eastAsia" w:ascii="宋体" w:hAnsi="宋体" w:eastAsia="宋体" w:cs="宋体"/>
                <w:color w:val="auto"/>
                <w:sz w:val="21"/>
                <w:szCs w:val="21"/>
                <w:highlight w:val="none"/>
              </w:rPr>
              <w:t xml:space="preserve">开户名称： 广西建设工程机电设备招标中心有限公司 </w:t>
            </w:r>
          </w:p>
          <w:p w14:paraId="30351988">
            <w:pPr>
              <w:pStyle w:val="25"/>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 招商银行南宁分行营业部</w:t>
            </w:r>
          </w:p>
          <w:p w14:paraId="43AB4C68">
            <w:pPr>
              <w:pStyle w:val="25"/>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    号： 7719  0142  3310  201</w:t>
            </w:r>
          </w:p>
          <w:p w14:paraId="6B3489C6">
            <w:pPr>
              <w:pStyle w:val="25"/>
              <w:snapToGrid w:val="0"/>
              <w:spacing w:line="360" w:lineRule="auto"/>
              <w:rPr>
                <w:rFonts w:hint="eastAsia" w:hAnsi="宋体" w:cs="宋体"/>
                <w:color w:val="auto"/>
                <w:sz w:val="21"/>
                <w:highlight w:val="none"/>
              </w:rPr>
            </w:pPr>
            <w:r>
              <w:rPr>
                <w:rFonts w:hint="eastAsia" w:hAnsi="宋体" w:cs="宋体"/>
                <w:color w:val="auto"/>
                <w:sz w:val="21"/>
                <w:highlight w:val="none"/>
              </w:rPr>
              <w:t>（投标人转账时，须在银行转账底单上备注标识“【</w:t>
            </w:r>
            <w:r>
              <w:rPr>
                <w:rFonts w:hint="eastAsia" w:hAnsi="宋体" w:cs="宋体"/>
                <w:color w:val="auto"/>
                <w:sz w:val="21"/>
                <w:highlight w:val="none"/>
                <w:lang w:val="en-US" w:eastAsia="zh-CN"/>
              </w:rPr>
              <w:t>项目名称+分标</w:t>
            </w:r>
            <w:r>
              <w:rPr>
                <w:rFonts w:hint="eastAsia" w:hAnsi="宋体" w:cs="宋体"/>
                <w:color w:val="auto"/>
                <w:sz w:val="21"/>
                <w:highlight w:val="none"/>
              </w:rPr>
              <w:t>】代理服务费”）</w:t>
            </w:r>
          </w:p>
        </w:tc>
      </w:tr>
      <w:tr w14:paraId="42279A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0AD8B4BC">
            <w:pPr>
              <w:snapToGrid w:val="0"/>
              <w:spacing w:line="360" w:lineRule="auto"/>
              <w:jc w:val="center"/>
              <w:rPr>
                <w:rFonts w:hint="eastAsia" w:ascii="宋体" w:hAnsi="宋体"/>
                <w:color w:val="auto"/>
                <w:szCs w:val="21"/>
                <w:highlight w:val="none"/>
              </w:rPr>
            </w:pPr>
            <w:r>
              <w:rPr>
                <w:rFonts w:ascii="宋体" w:hAnsi="宋体"/>
                <w:color w:val="auto"/>
                <w:szCs w:val="21"/>
                <w:highlight w:val="none"/>
              </w:rPr>
              <w:t>40.1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33DE0683">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解释：</w:t>
            </w:r>
            <w:r>
              <w:rPr>
                <w:rFonts w:ascii="宋体" w:hAnsi="宋体"/>
                <w:color w:val="auto"/>
                <w:szCs w:val="21"/>
                <w:highlight w:val="none"/>
              </w:rPr>
              <w:t>构成本招标文件的各个组成文件应互为解释，互为说明；除招标文件中有特别规定外，仅适用于招标投标阶段的规定，按</w:t>
            </w:r>
            <w:r>
              <w:rPr>
                <w:rFonts w:hint="eastAsia" w:ascii="宋体" w:hAnsi="宋体"/>
                <w:color w:val="auto"/>
                <w:szCs w:val="21"/>
                <w:highlight w:val="none"/>
              </w:rPr>
              <w:t>更正公告（澄清公告）</w:t>
            </w:r>
            <w:r>
              <w:rPr>
                <w:rFonts w:ascii="宋体" w:hAnsi="宋体"/>
                <w:color w:val="auto"/>
                <w:szCs w:val="21"/>
                <w:highlight w:val="none"/>
              </w:rPr>
              <w:t>、招标公告、</w:t>
            </w:r>
            <w:r>
              <w:rPr>
                <w:rFonts w:hint="eastAsia" w:ascii="宋体" w:hAnsi="宋体"/>
                <w:color w:val="auto"/>
                <w:szCs w:val="21"/>
                <w:highlight w:val="none"/>
              </w:rPr>
              <w:t>采购需求、</w:t>
            </w:r>
            <w:r>
              <w:rPr>
                <w:rFonts w:ascii="宋体" w:hAnsi="宋体"/>
                <w:color w:val="auto"/>
                <w:szCs w:val="21"/>
                <w:highlight w:val="none"/>
              </w:rPr>
              <w:t>投标人须知、</w:t>
            </w:r>
            <w:r>
              <w:rPr>
                <w:rFonts w:hint="eastAsia" w:ascii="宋体" w:hAnsi="宋体"/>
                <w:color w:val="auto"/>
                <w:szCs w:val="21"/>
                <w:highlight w:val="none"/>
              </w:rPr>
              <w:t>评标方法及评标标准</w:t>
            </w:r>
            <w:r>
              <w:rPr>
                <w:rFonts w:ascii="宋体" w:hAnsi="宋体"/>
                <w:color w:val="auto"/>
                <w:szCs w:val="21"/>
                <w:highlight w:val="none"/>
              </w:rPr>
              <w:t>、</w:t>
            </w:r>
            <w:r>
              <w:rPr>
                <w:rFonts w:hint="eastAsia" w:ascii="宋体" w:hAnsi="宋体"/>
                <w:color w:val="auto"/>
                <w:szCs w:val="21"/>
                <w:highlight w:val="none"/>
              </w:rPr>
              <w:t>拟签订的合同文本、</w:t>
            </w:r>
            <w:r>
              <w:rPr>
                <w:rFonts w:ascii="宋体" w:hAnsi="宋体"/>
                <w:color w:val="auto"/>
                <w:szCs w:val="21"/>
                <w:highlight w:val="none"/>
              </w:rPr>
              <w:t>投标文件格式的先后顺序解释；同一组成文件中就同一事项的规定或者约定不一致的，以编排顺序在后者为准；同一组成文件不同版本之间有不一致的，以形成时间在后者为准；</w:t>
            </w:r>
            <w:r>
              <w:rPr>
                <w:rFonts w:hint="eastAsia" w:ascii="宋体" w:hAnsi="宋体"/>
                <w:color w:val="auto"/>
                <w:szCs w:val="21"/>
                <w:highlight w:val="none"/>
              </w:rPr>
              <w:t>更正公告（澄清公告）</w:t>
            </w:r>
            <w:r>
              <w:rPr>
                <w:rFonts w:ascii="宋体" w:hAnsi="宋体"/>
                <w:color w:val="auto"/>
                <w:szCs w:val="21"/>
                <w:highlight w:val="none"/>
              </w:rPr>
              <w:t>与同步更新的招标文件不一致时以</w:t>
            </w:r>
            <w:r>
              <w:rPr>
                <w:rFonts w:hint="eastAsia" w:ascii="宋体" w:hAnsi="宋体"/>
                <w:color w:val="auto"/>
                <w:szCs w:val="21"/>
                <w:highlight w:val="none"/>
              </w:rPr>
              <w:t>更正公告（澄清公告）</w:t>
            </w:r>
            <w:r>
              <w:rPr>
                <w:rFonts w:ascii="宋体" w:hAnsi="宋体"/>
                <w:color w:val="auto"/>
                <w:szCs w:val="21"/>
                <w:highlight w:val="none"/>
              </w:rPr>
              <w:t>为准。按本款前述规定仍不能形成结论的，由</w:t>
            </w:r>
            <w:r>
              <w:rPr>
                <w:rFonts w:hint="eastAsia" w:ascii="宋体" w:hAnsi="宋体"/>
                <w:color w:val="auto"/>
                <w:szCs w:val="21"/>
                <w:highlight w:val="none"/>
              </w:rPr>
              <w:t>采购</w:t>
            </w:r>
            <w:r>
              <w:rPr>
                <w:rFonts w:ascii="宋体" w:hAnsi="宋体"/>
                <w:color w:val="auto"/>
                <w:szCs w:val="21"/>
                <w:highlight w:val="none"/>
              </w:rPr>
              <w:t>人</w:t>
            </w:r>
            <w:r>
              <w:rPr>
                <w:rFonts w:hint="eastAsia" w:ascii="宋体" w:hAnsi="宋体"/>
                <w:color w:val="auto"/>
                <w:szCs w:val="21"/>
                <w:highlight w:val="none"/>
              </w:rPr>
              <w:t>或者采购代理机构</w:t>
            </w:r>
            <w:r>
              <w:rPr>
                <w:rFonts w:ascii="宋体" w:hAnsi="宋体"/>
                <w:color w:val="auto"/>
                <w:szCs w:val="21"/>
                <w:highlight w:val="none"/>
              </w:rPr>
              <w:t>负责解释。</w:t>
            </w:r>
          </w:p>
        </w:tc>
      </w:tr>
      <w:tr w14:paraId="78E5E5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20C2E36B">
            <w:pPr>
              <w:snapToGrid w:val="0"/>
              <w:spacing w:line="360" w:lineRule="auto"/>
              <w:jc w:val="center"/>
              <w:rPr>
                <w:rFonts w:hint="eastAsia" w:ascii="宋体" w:hAnsi="宋体"/>
                <w:color w:val="auto"/>
                <w:szCs w:val="21"/>
                <w:highlight w:val="none"/>
              </w:rPr>
            </w:pPr>
            <w:r>
              <w:rPr>
                <w:rFonts w:ascii="宋体" w:hAnsi="宋体"/>
                <w:color w:val="auto"/>
                <w:szCs w:val="21"/>
                <w:highlight w:val="none"/>
              </w:rPr>
              <w:t>40.2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48FCAACE">
            <w:pPr>
              <w:pStyle w:val="25"/>
              <w:snapToGrid w:val="0"/>
              <w:spacing w:line="360" w:lineRule="auto"/>
              <w:rPr>
                <w:rFonts w:hint="eastAsia" w:hAnsi="宋体" w:cs="宋体"/>
                <w:bCs/>
                <w:color w:val="auto"/>
                <w:sz w:val="21"/>
                <w:highlight w:val="none"/>
              </w:rPr>
            </w:pPr>
            <w:r>
              <w:rPr>
                <w:rFonts w:hint="eastAsia" w:hAnsi="宋体" w:cs="宋体"/>
                <w:bCs/>
                <w:color w:val="auto"/>
                <w:sz w:val="21"/>
                <w:highlight w:val="none"/>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4B7A30F1">
            <w:pPr>
              <w:pStyle w:val="25"/>
              <w:snapToGrid w:val="0"/>
              <w:spacing w:line="360" w:lineRule="auto"/>
              <w:rPr>
                <w:rFonts w:hint="eastAsia" w:hAnsi="宋体" w:cs="宋体"/>
                <w:bCs/>
                <w:color w:val="auto"/>
                <w:sz w:val="21"/>
                <w:highlight w:val="none"/>
              </w:rPr>
            </w:pPr>
            <w:r>
              <w:rPr>
                <w:rFonts w:hint="eastAsia" w:hAnsi="宋体" w:cs="宋体"/>
                <w:bCs/>
                <w:color w:val="auto"/>
                <w:sz w:val="21"/>
                <w:highlight w:val="none"/>
              </w:rPr>
              <w:t>2.本招标文件所称的“</w:t>
            </w:r>
            <w:r>
              <w:rPr>
                <w:rFonts w:hint="eastAsia" w:hAnsi="宋体"/>
                <w:color w:val="auto"/>
                <w:sz w:val="21"/>
                <w:highlight w:val="none"/>
              </w:rPr>
              <w:t>电子签章</w:t>
            </w:r>
            <w:r>
              <w:rPr>
                <w:rFonts w:hint="eastAsia" w:hAnsi="宋体" w:cs="宋体"/>
                <w:bCs/>
                <w:color w:val="auto"/>
                <w:sz w:val="21"/>
                <w:highlight w:val="none"/>
              </w:rPr>
              <w:t>”“电子签名”</w:t>
            </w:r>
            <w:r>
              <w:rPr>
                <w:rFonts w:hint="eastAsia" w:hAnsi="宋体"/>
                <w:color w:val="auto"/>
                <w:sz w:val="21"/>
                <w:highlight w:val="none"/>
              </w:rPr>
              <w:t>，是指经广西政府采购云平台认可的CA认证的电子签名数据为表现形式的印章，可用于签署电子投标文件，电子印章与实物印章具有同等法律效力，不因其采用电子化表现形式而否定其法律效力。</w:t>
            </w:r>
          </w:p>
          <w:p w14:paraId="41DD702C">
            <w:pPr>
              <w:pStyle w:val="25"/>
              <w:snapToGrid w:val="0"/>
              <w:spacing w:line="360" w:lineRule="auto"/>
              <w:rPr>
                <w:rFonts w:hint="eastAsia" w:hAnsi="宋体" w:cs="宋体"/>
                <w:bCs/>
                <w:color w:val="auto"/>
                <w:sz w:val="21"/>
                <w:highlight w:val="none"/>
              </w:rPr>
            </w:pPr>
            <w:r>
              <w:rPr>
                <w:rFonts w:hint="eastAsia" w:hAnsi="宋体" w:cs="宋体"/>
                <w:bCs/>
                <w:color w:val="auto"/>
                <w:sz w:val="21"/>
                <w:highlight w:val="none"/>
              </w:rPr>
              <w:t>3.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66A71072">
            <w:pPr>
              <w:pStyle w:val="25"/>
              <w:snapToGrid w:val="0"/>
              <w:spacing w:line="360" w:lineRule="auto"/>
              <w:rPr>
                <w:rFonts w:hint="eastAsia" w:hAnsi="宋体" w:cs="宋体"/>
                <w:bCs/>
                <w:color w:val="auto"/>
                <w:sz w:val="21"/>
                <w:highlight w:val="none"/>
              </w:rPr>
            </w:pPr>
            <w:r>
              <w:rPr>
                <w:rFonts w:hint="eastAsia" w:hAnsi="宋体" w:cs="宋体"/>
                <w:bCs/>
                <w:color w:val="auto"/>
                <w:sz w:val="21"/>
                <w:highlight w:val="none"/>
              </w:rPr>
              <w:t>4.本招标文件中描述投标人的“签字”是指投标人的法定代表人或者委托代理人亲自在文件规定签字处亲笔写上个人的名字的行为，私章、签字章、印鉴、影印等其他形式均不能代替亲笔签字。</w:t>
            </w:r>
          </w:p>
          <w:p w14:paraId="28680C8C">
            <w:pPr>
              <w:spacing w:line="360" w:lineRule="auto"/>
              <w:jc w:val="left"/>
              <w:rPr>
                <w:rFonts w:hint="eastAsia" w:ascii="宋体" w:hAnsi="宋体"/>
                <w:color w:val="auto"/>
                <w:szCs w:val="21"/>
                <w:highlight w:val="none"/>
              </w:rPr>
            </w:pPr>
            <w:r>
              <w:rPr>
                <w:rFonts w:hint="eastAsia" w:hAnsi="宋体" w:cs="宋体"/>
                <w:bCs/>
                <w:color w:val="auto"/>
                <w:highlight w:val="none"/>
              </w:rPr>
              <w:t>5.</w:t>
            </w:r>
            <w:r>
              <w:rPr>
                <w:rFonts w:hint="eastAsia" w:ascii="宋体" w:hAnsi="宋体" w:cs="宋体"/>
                <w:bCs/>
                <w:color w:val="auto"/>
                <w:kern w:val="0"/>
                <w:szCs w:val="21"/>
                <w:highlight w:val="none"/>
              </w:rPr>
              <w:t>本招标文件所称的“以上”“以下”“以内”“届满”，包括本数；所称的“不满”“超过”“以外”，不包括本数。</w:t>
            </w:r>
          </w:p>
        </w:tc>
      </w:tr>
    </w:tbl>
    <w:p w14:paraId="5B9FE1EF">
      <w:pPr>
        <w:snapToGrid w:val="0"/>
        <w:rPr>
          <w:rFonts w:hint="eastAsia" w:ascii="宋体" w:hAnsi="宋体"/>
          <w:color w:val="auto"/>
          <w:sz w:val="24"/>
          <w:szCs w:val="20"/>
          <w:highlight w:val="none"/>
        </w:rPr>
      </w:pPr>
    </w:p>
    <w:p w14:paraId="208D13F2">
      <w:pPr>
        <w:snapToGrid w:val="0"/>
        <w:rPr>
          <w:rFonts w:hint="eastAsia" w:ascii="宋体" w:hAnsi="宋体"/>
          <w:color w:val="auto"/>
          <w:sz w:val="24"/>
          <w:szCs w:val="20"/>
          <w:highlight w:val="none"/>
        </w:rPr>
      </w:pPr>
    </w:p>
    <w:p w14:paraId="2B8571AB">
      <w:pPr>
        <w:pStyle w:val="4"/>
        <w:keepNext w:val="0"/>
        <w:keepLines w:val="0"/>
        <w:jc w:val="center"/>
        <w:rPr>
          <w:rFonts w:hint="eastAsia"/>
          <w:color w:val="auto"/>
          <w:highlight w:val="none"/>
        </w:rPr>
      </w:pPr>
      <w:r>
        <w:rPr>
          <w:color w:val="auto"/>
          <w:highlight w:val="none"/>
        </w:rPr>
        <w:br w:type="page"/>
      </w:r>
      <w:r>
        <w:rPr>
          <w:rFonts w:hint="eastAsia"/>
          <w:color w:val="auto"/>
          <w:highlight w:val="none"/>
        </w:rPr>
        <w:t>投标人须知正文</w:t>
      </w:r>
    </w:p>
    <w:p w14:paraId="354237D2">
      <w:pPr>
        <w:pStyle w:val="4"/>
        <w:keepNext w:val="0"/>
        <w:keepLines w:val="0"/>
        <w:jc w:val="center"/>
        <w:rPr>
          <w:rFonts w:hint="eastAsia"/>
          <w:color w:val="auto"/>
          <w:highlight w:val="none"/>
        </w:rPr>
      </w:pPr>
      <w:r>
        <w:rPr>
          <w:rFonts w:hint="eastAsia"/>
          <w:color w:val="auto"/>
          <w:highlight w:val="none"/>
        </w:rPr>
        <w:t>一、总  则</w:t>
      </w:r>
    </w:p>
    <w:p w14:paraId="67E3548B">
      <w:pPr>
        <w:pStyle w:val="6"/>
        <w:keepNext w:val="0"/>
        <w:keepLines w:val="0"/>
        <w:spacing w:before="0" w:after="0" w:line="360" w:lineRule="auto"/>
        <w:ind w:left="420" w:leftChars="200"/>
        <w:rPr>
          <w:rFonts w:hint="eastAsia" w:ascii="黑体" w:hAnsi="黑体" w:eastAsia="黑体"/>
          <w:color w:val="auto"/>
          <w:sz w:val="24"/>
          <w:highlight w:val="none"/>
        </w:rPr>
      </w:pPr>
      <w:bookmarkStart w:id="113" w:name="_Toc254970527"/>
      <w:bookmarkStart w:id="114" w:name="_Toc254970668"/>
      <w:r>
        <w:rPr>
          <w:rFonts w:hint="eastAsia" w:ascii="黑体" w:hAnsi="黑体" w:eastAsia="黑体"/>
          <w:color w:val="auto"/>
          <w:sz w:val="24"/>
          <w:highlight w:val="none"/>
        </w:rPr>
        <w:t>1.适用范围</w:t>
      </w:r>
      <w:bookmarkEnd w:id="113"/>
      <w:bookmarkEnd w:id="114"/>
    </w:p>
    <w:p w14:paraId="42B0CC65">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对政府采购有关规定的约束和保护。</w:t>
      </w:r>
    </w:p>
    <w:p w14:paraId="0F513B5E">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1.2本招标文件</w:t>
      </w:r>
      <w:r>
        <w:rPr>
          <w:rFonts w:hint="eastAsia" w:ascii="宋体" w:hAnsi="宋体" w:cs="宋体"/>
          <w:color w:val="auto"/>
          <w:spacing w:val="-6"/>
          <w:szCs w:val="21"/>
          <w:highlight w:val="none"/>
        </w:rPr>
        <w:t>适用于本项目的所有采购程序和环节（法律、法规另有规定的，从其规定）。</w:t>
      </w:r>
    </w:p>
    <w:p w14:paraId="03DAF1D6">
      <w:pPr>
        <w:pStyle w:val="6"/>
        <w:keepNext w:val="0"/>
        <w:keepLines w:val="0"/>
        <w:spacing w:before="0" w:after="0" w:line="360" w:lineRule="auto"/>
        <w:ind w:left="420" w:leftChars="200"/>
        <w:rPr>
          <w:rFonts w:hint="eastAsia" w:ascii="黑体" w:hAnsi="黑体" w:eastAsia="黑体"/>
          <w:color w:val="auto"/>
          <w:sz w:val="24"/>
          <w:highlight w:val="none"/>
        </w:rPr>
      </w:pPr>
      <w:bookmarkStart w:id="115" w:name="_Toc254970528"/>
      <w:bookmarkStart w:id="116" w:name="_Toc254970669"/>
      <w:r>
        <w:rPr>
          <w:rFonts w:hint="eastAsia" w:ascii="黑体" w:hAnsi="黑体" w:eastAsia="黑体"/>
          <w:color w:val="auto"/>
          <w:sz w:val="24"/>
          <w:highlight w:val="none"/>
        </w:rPr>
        <w:t>2.定义</w:t>
      </w:r>
      <w:bookmarkEnd w:id="115"/>
      <w:bookmarkEnd w:id="116"/>
    </w:p>
    <w:p w14:paraId="6110B68C">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2.1“采购人”是指依法进行政府采购的国家机关、事业单位、团体组织。</w:t>
      </w:r>
    </w:p>
    <w:p w14:paraId="00D0F16D">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2.2“采购代理机构”是指政府采购集中采购机构和集中采购机构以外的采购代理机构。</w:t>
      </w:r>
    </w:p>
    <w:p w14:paraId="2AA874EE">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2.3“供应商”是指向采购人提供货物、工程或者服务的法人、其他组织或者自然人。</w:t>
      </w:r>
    </w:p>
    <w:p w14:paraId="33D3CF79">
      <w:pPr>
        <w:pStyle w:val="7"/>
        <w:spacing w:line="360" w:lineRule="auto"/>
        <w:rPr>
          <w:rFonts w:hint="eastAsia" w:ascii="宋体" w:hAnsi="宋体"/>
          <w:color w:val="auto"/>
          <w:szCs w:val="21"/>
          <w:highlight w:val="none"/>
        </w:rPr>
      </w:pPr>
      <w:r>
        <w:rPr>
          <w:rFonts w:hint="eastAsia" w:ascii="宋体" w:hAnsi="宋体"/>
          <w:color w:val="auto"/>
          <w:szCs w:val="21"/>
          <w:highlight w:val="none"/>
        </w:rPr>
        <w:t>2.4“投标人”是指响应招标、参加投标竞争的法人、其他组织或者自然人。</w:t>
      </w:r>
    </w:p>
    <w:p w14:paraId="5EAE443A">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2.5“服务”是指除货物和工程以外的其他政府采购对象。</w:t>
      </w:r>
    </w:p>
    <w:p w14:paraId="37BAFF9C">
      <w:pPr>
        <w:pStyle w:val="6"/>
        <w:keepNext w:val="0"/>
        <w:keepLines w:val="0"/>
        <w:spacing w:before="0" w:after="0" w:line="360" w:lineRule="auto"/>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2.</w:t>
      </w:r>
      <w:r>
        <w:rPr>
          <w:rFonts w:ascii="宋体" w:hAnsi="宋体"/>
          <w:b w:val="0"/>
          <w:color w:val="auto"/>
          <w:sz w:val="21"/>
          <w:szCs w:val="21"/>
          <w:highlight w:val="none"/>
        </w:rPr>
        <w:t>6</w:t>
      </w:r>
      <w:r>
        <w:rPr>
          <w:rFonts w:hint="eastAsia" w:ascii="宋体" w:hAnsi="宋体"/>
          <w:b w:val="0"/>
          <w:color w:val="auto"/>
          <w:sz w:val="21"/>
          <w:szCs w:val="21"/>
          <w:highlight w:val="none"/>
        </w:rPr>
        <w:t>“书面形式”是指合同书、信件和数据电文（包括电报、电传、传真、电子数据交换和电子邮件）等可以有形地表现所载内容的形式。</w:t>
      </w:r>
    </w:p>
    <w:p w14:paraId="1B42A6D3">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2.</w:t>
      </w:r>
      <w:r>
        <w:rPr>
          <w:rFonts w:ascii="宋体" w:hAnsi="宋体"/>
          <w:b w:val="0"/>
          <w:color w:val="auto"/>
          <w:sz w:val="21"/>
          <w:szCs w:val="21"/>
          <w:highlight w:val="none"/>
        </w:rPr>
        <w:t>7</w:t>
      </w:r>
      <w:r>
        <w:rPr>
          <w:rFonts w:hint="eastAsia" w:ascii="宋体" w:hAnsi="宋体"/>
          <w:b w:val="0"/>
          <w:color w:val="auto"/>
          <w:sz w:val="21"/>
          <w:szCs w:val="21"/>
          <w:highlight w:val="none"/>
        </w:rPr>
        <w:t>“实质性要求”是指招标文件中已经指明不满足则投标无效的条款，或者不能负偏离的条款，或者采购需求中带“▲”的条款。</w:t>
      </w:r>
    </w:p>
    <w:p w14:paraId="511C6EDA">
      <w:pPr>
        <w:snapToGrid w:val="0"/>
        <w:spacing w:line="360" w:lineRule="auto"/>
        <w:ind w:firstLine="420" w:firstLineChars="200"/>
        <w:jc w:val="left"/>
        <w:rPr>
          <w:rFonts w:ascii="宋体" w:hAnsi="宋体" w:cs="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8</w:t>
      </w:r>
      <w:r>
        <w:rPr>
          <w:rFonts w:hint="eastAsia" w:ascii="宋体" w:hAnsi="宋体" w:cs="宋体"/>
          <w:color w:val="auto"/>
          <w:szCs w:val="21"/>
          <w:highlight w:val="none"/>
        </w:rPr>
        <w:t>“正偏离”，是指投标文件对招标文件“采购需求”中有关条款作出的响应优于条款要求并有利于采购人的情形。</w:t>
      </w:r>
    </w:p>
    <w:p w14:paraId="10D85CC1">
      <w:pPr>
        <w:snapToGrid w:val="0"/>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2.9</w:t>
      </w:r>
      <w:r>
        <w:rPr>
          <w:rFonts w:hint="eastAsia" w:ascii="宋体" w:hAnsi="宋体" w:cs="宋体"/>
          <w:color w:val="auto"/>
          <w:szCs w:val="21"/>
          <w:highlight w:val="none"/>
        </w:rPr>
        <w:t>“负偏离”，是指投标文件对招标文件“采购需求”中有关条款作出的响应不满足条款要求，导致采购人要求不能得到满足的情形。</w:t>
      </w:r>
    </w:p>
    <w:p w14:paraId="0B1BAC1A">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2.1</w:t>
      </w:r>
      <w:r>
        <w:rPr>
          <w:rFonts w:ascii="宋体" w:hAnsi="宋体"/>
          <w:color w:val="auto"/>
          <w:szCs w:val="21"/>
          <w:highlight w:val="none"/>
        </w:rPr>
        <w:t>0</w:t>
      </w:r>
      <w:r>
        <w:rPr>
          <w:rFonts w:hint="eastAsia" w:ascii="宋体" w:hAnsi="宋体" w:cs="宋体"/>
          <w:color w:val="auto"/>
          <w:szCs w:val="21"/>
          <w:highlight w:val="none"/>
        </w:rPr>
        <w:t>“允许负偏离的条款”是指采购需求中的不属于“实质性要求”的条款。</w:t>
      </w:r>
      <w:bookmarkStart w:id="117" w:name="_Toc254970529"/>
      <w:bookmarkStart w:id="118" w:name="_Toc254970670"/>
    </w:p>
    <w:p w14:paraId="3FC8C0F8">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3.</w:t>
      </w:r>
      <w:bookmarkEnd w:id="117"/>
      <w:bookmarkEnd w:id="118"/>
      <w:r>
        <w:rPr>
          <w:rFonts w:hint="eastAsia" w:ascii="黑体" w:hAnsi="黑体" w:eastAsia="黑体"/>
          <w:color w:val="auto"/>
          <w:sz w:val="24"/>
          <w:highlight w:val="none"/>
        </w:rPr>
        <w:t>投标人的资格要求</w:t>
      </w:r>
    </w:p>
    <w:p w14:paraId="0CB9C23D">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投标人的资格要求详见“投标人须知前附表”。</w:t>
      </w:r>
    </w:p>
    <w:p w14:paraId="08017AD5">
      <w:pPr>
        <w:pStyle w:val="6"/>
        <w:keepNext w:val="0"/>
        <w:keepLines w:val="0"/>
        <w:spacing w:before="0" w:after="0" w:line="360" w:lineRule="auto"/>
        <w:ind w:left="420" w:leftChars="200"/>
        <w:rPr>
          <w:rFonts w:hint="eastAsia" w:ascii="黑体" w:hAnsi="黑体" w:eastAsia="黑体"/>
          <w:color w:val="auto"/>
          <w:sz w:val="24"/>
          <w:highlight w:val="none"/>
        </w:rPr>
      </w:pPr>
      <w:bookmarkStart w:id="119" w:name="_Toc254970671"/>
      <w:bookmarkStart w:id="120" w:name="_Toc254970530"/>
      <w:r>
        <w:rPr>
          <w:rFonts w:hint="eastAsia" w:ascii="黑体" w:hAnsi="黑体" w:eastAsia="黑体"/>
          <w:color w:val="auto"/>
          <w:sz w:val="24"/>
          <w:highlight w:val="none"/>
        </w:rPr>
        <w:t>4.投标委托</w:t>
      </w:r>
      <w:bookmarkEnd w:id="119"/>
      <w:bookmarkEnd w:id="120"/>
    </w:p>
    <w:p w14:paraId="281E62EB">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投标人代表参加投标活动过程中必须携带个人有效身份证件。如投标人代表不是法定代表人，须持有授权委托书（按第六章要求格式填写）。</w:t>
      </w:r>
    </w:p>
    <w:p w14:paraId="0D2A1F17">
      <w:pPr>
        <w:pStyle w:val="6"/>
        <w:keepNext w:val="0"/>
        <w:keepLines w:val="0"/>
        <w:spacing w:before="0" w:after="0" w:line="360" w:lineRule="auto"/>
        <w:ind w:left="420" w:leftChars="200"/>
        <w:rPr>
          <w:rFonts w:hint="eastAsia" w:ascii="黑体" w:hAnsi="黑体" w:eastAsia="黑体"/>
          <w:color w:val="auto"/>
          <w:sz w:val="24"/>
          <w:highlight w:val="none"/>
        </w:rPr>
      </w:pPr>
      <w:bookmarkStart w:id="121" w:name="_5.投标费用"/>
      <w:bookmarkEnd w:id="121"/>
      <w:bookmarkStart w:id="122" w:name="_Toc254970531"/>
      <w:bookmarkStart w:id="123" w:name="_Toc254970672"/>
      <w:r>
        <w:rPr>
          <w:rFonts w:hint="eastAsia" w:ascii="黑体" w:hAnsi="黑体" w:eastAsia="黑体"/>
          <w:color w:val="auto"/>
          <w:sz w:val="24"/>
          <w:highlight w:val="none"/>
        </w:rPr>
        <w:t>5.投标费用</w:t>
      </w:r>
      <w:bookmarkEnd w:id="122"/>
      <w:bookmarkEnd w:id="123"/>
    </w:p>
    <w:p w14:paraId="65BCC4D2">
      <w:pPr>
        <w:snapToGrid w:val="0"/>
        <w:spacing w:line="360" w:lineRule="auto"/>
        <w:ind w:firstLine="420" w:firstLineChars="200"/>
        <w:jc w:val="left"/>
        <w:rPr>
          <w:rFonts w:hint="eastAsia" w:ascii="宋体" w:hAnsi="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投标费用：投标人应承担参与本次采购活动有关的所有费用，包括但不限于获取招标文件、勘查现场、编制和提交投标文件、参加澄清说明、签订合同等，不论投标结果如何，均应自行承担。</w:t>
      </w:r>
    </w:p>
    <w:p w14:paraId="2E500621">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6.联合体投标</w:t>
      </w:r>
    </w:p>
    <w:p w14:paraId="5CDEC0F2">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6.1本项目是否接受联合体投标，详见“投标人须知前附表”。</w:t>
      </w:r>
    </w:p>
    <w:p w14:paraId="023B053F">
      <w:pPr>
        <w:snapToGrid w:val="0"/>
        <w:spacing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6.2如接受联合体投标，联合体投标要求详见“投标人须知前附表”。</w:t>
      </w:r>
    </w:p>
    <w:p w14:paraId="3F28B148">
      <w:pPr>
        <w:snapToGrid w:val="0"/>
        <w:spacing w:line="360" w:lineRule="auto"/>
        <w:ind w:firstLine="420" w:firstLineChars="200"/>
        <w:jc w:val="left"/>
        <w:rPr>
          <w:rFonts w:hint="eastAsia" w:ascii="宋体" w:hAnsi="宋体"/>
          <w:color w:val="auto"/>
          <w:szCs w:val="21"/>
          <w:highlight w:val="none"/>
        </w:rPr>
      </w:pPr>
      <w:r>
        <w:rPr>
          <w:rFonts w:hint="eastAsia" w:ascii="宋体" w:hAnsi="宋体"/>
          <w:bCs/>
          <w:color w:val="auto"/>
          <w:szCs w:val="21"/>
          <w:highlight w:val="none"/>
        </w:rPr>
        <w:t>6.3根据《政府采购促进中小企业发展管理办法》（财库〔2020〕46号）及《广西壮族自治区财政厅关于持续优化政府采购营商环境推动高质量发展的通知》（桂财采〔2024〕55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p>
    <w:p w14:paraId="3F1A29D0">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 xml:space="preserve">7.转包与分包             </w:t>
      </w:r>
    </w:p>
    <w:p w14:paraId="4D390765">
      <w:pPr>
        <w:pStyle w:val="6"/>
        <w:keepNext w:val="0"/>
        <w:keepLines w:val="0"/>
        <w:spacing w:before="0" w:after="0" w:line="360" w:lineRule="auto"/>
        <w:ind w:left="420" w:leftChars="200"/>
        <w:rPr>
          <w:rFonts w:hint="eastAsia" w:ascii="宋体" w:hAnsi="宋体"/>
          <w:b w:val="0"/>
          <w:color w:val="auto"/>
          <w:sz w:val="21"/>
          <w:szCs w:val="21"/>
          <w:highlight w:val="none"/>
        </w:rPr>
      </w:pPr>
      <w:bookmarkStart w:id="124" w:name="_Toc254970673"/>
      <w:bookmarkStart w:id="125" w:name="_Toc254970532"/>
      <w:r>
        <w:rPr>
          <w:rFonts w:hint="eastAsia" w:ascii="宋体" w:hAnsi="宋体"/>
          <w:b w:val="0"/>
          <w:color w:val="auto"/>
          <w:sz w:val="21"/>
          <w:szCs w:val="21"/>
          <w:highlight w:val="none"/>
        </w:rPr>
        <w:t>7.1本项目不允许转包。</w:t>
      </w:r>
    </w:p>
    <w:p w14:paraId="151C1BD9">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的投标人应具备相应行政许可。</w:t>
      </w:r>
    </w:p>
    <w:p w14:paraId="417345D5">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7.3投标人根据招标文件的规定和采购项目的实际情况，拟在中标后将中标项目的非主体、非关键性工作分包的，应当在投标文件中载明分包承担主体，分包承担主体应当具备相应资质条件且不得再次分包。</w:t>
      </w:r>
    </w:p>
    <w:p w14:paraId="6A9C8F20">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8.特别说明</w:t>
      </w:r>
      <w:bookmarkEnd w:id="124"/>
      <w:bookmarkEnd w:id="125"/>
    </w:p>
    <w:p w14:paraId="00FCE726">
      <w:pPr>
        <w:pStyle w:val="6"/>
        <w:keepNext w:val="0"/>
        <w:keepLines w:val="0"/>
        <w:spacing w:before="0" w:after="0" w:line="360" w:lineRule="auto"/>
        <w:ind w:firstLine="367" w:firstLineChars="175"/>
        <w:rPr>
          <w:rFonts w:ascii="宋体" w:hAnsi="宋体"/>
          <w:b w:val="0"/>
          <w:color w:val="auto"/>
          <w:sz w:val="21"/>
          <w:szCs w:val="21"/>
          <w:highlight w:val="none"/>
        </w:rPr>
      </w:pPr>
      <w:r>
        <w:rPr>
          <w:rFonts w:hint="eastAsia" w:ascii="宋体" w:hAnsi="宋体"/>
          <w:b w:val="0"/>
          <w:color w:val="auto"/>
          <w:sz w:val="21"/>
          <w:szCs w:val="21"/>
          <w:highlight w:val="none"/>
        </w:rPr>
        <w:t>8.1如果本招标文件要求提供投标人或制造商的资格、信誉、荣誉、业绩与企业认证等材料的，资格、信誉、荣誉、业绩与企业认证等必须为投标人或者制造商所拥有或自身获得 。</w:t>
      </w:r>
    </w:p>
    <w:p w14:paraId="56F8A5C5">
      <w:pPr>
        <w:pStyle w:val="6"/>
        <w:keepNext w:val="0"/>
        <w:keepLines w:val="0"/>
        <w:spacing w:before="0" w:after="0" w:line="360" w:lineRule="auto"/>
        <w:ind w:firstLine="367" w:firstLineChars="175"/>
        <w:rPr>
          <w:rFonts w:hint="eastAsia" w:ascii="宋体" w:hAnsi="宋体"/>
          <w:b w:val="0"/>
          <w:color w:val="auto"/>
          <w:sz w:val="21"/>
          <w:szCs w:val="21"/>
          <w:highlight w:val="none"/>
        </w:rPr>
      </w:pPr>
      <w:r>
        <w:rPr>
          <w:rFonts w:hint="eastAsia" w:ascii="宋体" w:hAnsi="宋体"/>
          <w:b w:val="0"/>
          <w:color w:val="auto"/>
          <w:sz w:val="21"/>
          <w:szCs w:val="21"/>
          <w:highlight w:val="none"/>
        </w:rPr>
        <w:t>8.2投标人应仔细阅读招标文件的所有内容，按照招标文件的要求提交投标文件，并对所提供的全部资料的真实性承担法律责任。</w:t>
      </w:r>
    </w:p>
    <w:p w14:paraId="24F09D26">
      <w:pPr>
        <w:pStyle w:val="6"/>
        <w:keepNext w:val="0"/>
        <w:keepLines w:val="0"/>
        <w:spacing w:before="0" w:after="0" w:line="360" w:lineRule="auto"/>
        <w:ind w:firstLine="367" w:firstLineChars="175"/>
        <w:rPr>
          <w:rFonts w:hint="eastAsia" w:ascii="宋体" w:hAnsi="宋体"/>
          <w:b w:val="0"/>
          <w:color w:val="auto"/>
          <w:sz w:val="21"/>
          <w:szCs w:val="21"/>
          <w:highlight w:val="none"/>
        </w:rPr>
      </w:pPr>
      <w:r>
        <w:rPr>
          <w:rFonts w:hint="eastAsia" w:ascii="宋体" w:hAnsi="宋体"/>
          <w:b w:val="0"/>
          <w:color w:val="auto"/>
          <w:sz w:val="21"/>
          <w:szCs w:val="21"/>
          <w:highlight w:val="none"/>
        </w:rPr>
        <w:t>8.3投标人在投标活动中提供任何虚假材料，将报监管部门查处；中标后发现的，中标人须依照《中华人民共和国消费者权益保护法》规定赔偿采购人，且民事赔偿并不免除违法投标人的行政与刑事责任。</w:t>
      </w:r>
    </w:p>
    <w:p w14:paraId="4F48CE0D">
      <w:pPr>
        <w:pStyle w:val="6"/>
        <w:keepNext w:val="0"/>
        <w:keepLines w:val="0"/>
        <w:spacing w:before="0" w:after="0" w:line="360" w:lineRule="auto"/>
        <w:ind w:left="420" w:leftChars="200"/>
        <w:rPr>
          <w:rFonts w:ascii="黑体" w:hAnsi="黑体" w:eastAsia="黑体"/>
          <w:color w:val="auto"/>
          <w:sz w:val="24"/>
          <w:highlight w:val="none"/>
        </w:rPr>
      </w:pPr>
      <w:r>
        <w:rPr>
          <w:rFonts w:ascii="黑体" w:hAnsi="黑体" w:eastAsia="黑体"/>
          <w:color w:val="auto"/>
          <w:sz w:val="24"/>
          <w:highlight w:val="none"/>
        </w:rPr>
        <w:t>9.</w:t>
      </w:r>
      <w:r>
        <w:rPr>
          <w:rFonts w:hint="eastAsia" w:ascii="黑体" w:hAnsi="黑体" w:eastAsia="黑体"/>
          <w:color w:val="auto"/>
          <w:sz w:val="24"/>
          <w:highlight w:val="none"/>
        </w:rPr>
        <w:t>回避与串通投标</w:t>
      </w:r>
    </w:p>
    <w:p w14:paraId="0A92FE39">
      <w:pPr>
        <w:pStyle w:val="6"/>
        <w:keepNext w:val="0"/>
        <w:keepLines w:val="0"/>
        <w:spacing w:before="0" w:after="0" w:line="360" w:lineRule="auto"/>
        <w:ind w:firstLine="367" w:firstLineChars="175"/>
        <w:rPr>
          <w:rFonts w:ascii="宋体" w:hAnsi="宋体"/>
          <w:b w:val="0"/>
          <w:color w:val="auto"/>
          <w:sz w:val="21"/>
          <w:szCs w:val="21"/>
          <w:highlight w:val="none"/>
        </w:rPr>
      </w:pPr>
      <w:r>
        <w:rPr>
          <w:rFonts w:hint="eastAsia" w:ascii="宋体" w:hAnsi="宋体"/>
          <w:b w:val="0"/>
          <w:color w:val="auto"/>
          <w:sz w:val="21"/>
          <w:szCs w:val="21"/>
          <w:highlight w:val="none"/>
        </w:rPr>
        <w:t>9</w:t>
      </w:r>
      <w:r>
        <w:rPr>
          <w:rFonts w:ascii="宋体" w:hAnsi="宋体"/>
          <w:b w:val="0"/>
          <w:color w:val="auto"/>
          <w:sz w:val="21"/>
          <w:szCs w:val="21"/>
          <w:highlight w:val="none"/>
        </w:rPr>
        <w:t>.1在政府采购活动中，采购人员及相关人员与</w:t>
      </w:r>
      <w:r>
        <w:rPr>
          <w:rFonts w:hint="eastAsia" w:ascii="宋体" w:hAnsi="宋体"/>
          <w:b w:val="0"/>
          <w:color w:val="auto"/>
          <w:sz w:val="21"/>
          <w:szCs w:val="21"/>
          <w:highlight w:val="none"/>
        </w:rPr>
        <w:t>供应商</w:t>
      </w:r>
      <w:r>
        <w:rPr>
          <w:rFonts w:ascii="宋体" w:hAnsi="宋体"/>
          <w:b w:val="0"/>
          <w:color w:val="auto"/>
          <w:sz w:val="21"/>
          <w:szCs w:val="21"/>
          <w:highlight w:val="none"/>
        </w:rPr>
        <w:t>有下列利害关系之一的，应当回避：</w:t>
      </w:r>
    </w:p>
    <w:p w14:paraId="5F73FCA4">
      <w:pPr>
        <w:pStyle w:val="25"/>
        <w:snapToGrid w:val="0"/>
        <w:spacing w:line="360" w:lineRule="auto"/>
        <w:ind w:left="2" w:leftChars="1" w:firstLine="420"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1</w:t>
      </w:r>
      <w:r>
        <w:rPr>
          <w:rFonts w:hAnsi="宋体"/>
          <w:color w:val="auto"/>
          <w:kern w:val="2"/>
          <w:sz w:val="21"/>
          <w:highlight w:val="none"/>
        </w:rPr>
        <w:t>）参加采购活动前3年内与</w:t>
      </w:r>
      <w:r>
        <w:rPr>
          <w:rFonts w:hint="eastAsia" w:hAnsi="宋体"/>
          <w:color w:val="auto"/>
          <w:kern w:val="2"/>
          <w:sz w:val="21"/>
          <w:highlight w:val="none"/>
        </w:rPr>
        <w:t>供应商</w:t>
      </w:r>
      <w:r>
        <w:rPr>
          <w:rFonts w:hAnsi="宋体"/>
          <w:color w:val="auto"/>
          <w:kern w:val="2"/>
          <w:sz w:val="21"/>
          <w:highlight w:val="none"/>
        </w:rPr>
        <w:t>存在劳动关系；</w:t>
      </w:r>
    </w:p>
    <w:p w14:paraId="1971F1B1">
      <w:pPr>
        <w:pStyle w:val="25"/>
        <w:snapToGrid w:val="0"/>
        <w:spacing w:line="360" w:lineRule="auto"/>
        <w:ind w:left="2" w:leftChars="1" w:firstLine="420"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2</w:t>
      </w:r>
      <w:r>
        <w:rPr>
          <w:rFonts w:hAnsi="宋体"/>
          <w:color w:val="auto"/>
          <w:kern w:val="2"/>
          <w:sz w:val="21"/>
          <w:highlight w:val="none"/>
        </w:rPr>
        <w:t>）参加采购活动前3年内担任</w:t>
      </w:r>
      <w:r>
        <w:rPr>
          <w:rFonts w:hint="eastAsia" w:hAnsi="宋体"/>
          <w:color w:val="auto"/>
          <w:kern w:val="2"/>
          <w:sz w:val="21"/>
          <w:highlight w:val="none"/>
        </w:rPr>
        <w:t>供应商</w:t>
      </w:r>
      <w:r>
        <w:rPr>
          <w:rFonts w:hAnsi="宋体"/>
          <w:color w:val="auto"/>
          <w:kern w:val="2"/>
          <w:sz w:val="21"/>
          <w:highlight w:val="none"/>
        </w:rPr>
        <w:t>的董事、监事；</w:t>
      </w:r>
    </w:p>
    <w:p w14:paraId="5C02A0E9">
      <w:pPr>
        <w:pStyle w:val="25"/>
        <w:snapToGrid w:val="0"/>
        <w:spacing w:line="360" w:lineRule="auto"/>
        <w:ind w:left="2" w:leftChars="1" w:firstLine="420"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3</w:t>
      </w:r>
      <w:r>
        <w:rPr>
          <w:rFonts w:hAnsi="宋体"/>
          <w:color w:val="auto"/>
          <w:kern w:val="2"/>
          <w:sz w:val="21"/>
          <w:highlight w:val="none"/>
        </w:rPr>
        <w:t>）参加采购活动前3年内是</w:t>
      </w:r>
      <w:r>
        <w:rPr>
          <w:rFonts w:hint="eastAsia" w:hAnsi="宋体"/>
          <w:color w:val="auto"/>
          <w:kern w:val="2"/>
          <w:sz w:val="21"/>
          <w:highlight w:val="none"/>
        </w:rPr>
        <w:t>供应商</w:t>
      </w:r>
      <w:r>
        <w:rPr>
          <w:rFonts w:hAnsi="宋体"/>
          <w:color w:val="auto"/>
          <w:kern w:val="2"/>
          <w:sz w:val="21"/>
          <w:highlight w:val="none"/>
        </w:rPr>
        <w:t>的控股股东或者实际控制人；</w:t>
      </w:r>
    </w:p>
    <w:p w14:paraId="3C435968">
      <w:pPr>
        <w:pStyle w:val="25"/>
        <w:snapToGrid w:val="0"/>
        <w:spacing w:line="360" w:lineRule="auto"/>
        <w:ind w:left="2" w:leftChars="1" w:firstLine="420"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4</w:t>
      </w:r>
      <w:r>
        <w:rPr>
          <w:rFonts w:hAnsi="宋体"/>
          <w:color w:val="auto"/>
          <w:kern w:val="2"/>
          <w:sz w:val="21"/>
          <w:highlight w:val="none"/>
        </w:rPr>
        <w:t>）与</w:t>
      </w:r>
      <w:r>
        <w:rPr>
          <w:rFonts w:hint="eastAsia" w:hAnsi="宋体"/>
          <w:color w:val="auto"/>
          <w:kern w:val="2"/>
          <w:sz w:val="21"/>
          <w:highlight w:val="none"/>
        </w:rPr>
        <w:t>供应商</w:t>
      </w:r>
      <w:r>
        <w:rPr>
          <w:rFonts w:hAnsi="宋体"/>
          <w:color w:val="auto"/>
          <w:kern w:val="2"/>
          <w:sz w:val="21"/>
          <w:highlight w:val="none"/>
        </w:rPr>
        <w:t>的法定代表人或者负责人有夫妻、直系血亲、三代以内旁系血亲或者近姻亲关系；</w:t>
      </w:r>
    </w:p>
    <w:p w14:paraId="429B4922">
      <w:pPr>
        <w:pStyle w:val="25"/>
        <w:snapToGrid w:val="0"/>
        <w:spacing w:line="360" w:lineRule="auto"/>
        <w:ind w:left="2" w:leftChars="1" w:firstLine="420"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5</w:t>
      </w:r>
      <w:r>
        <w:rPr>
          <w:rFonts w:hAnsi="宋体"/>
          <w:color w:val="auto"/>
          <w:kern w:val="2"/>
          <w:sz w:val="21"/>
          <w:highlight w:val="none"/>
        </w:rPr>
        <w:t>）与</w:t>
      </w:r>
      <w:r>
        <w:rPr>
          <w:rFonts w:hint="eastAsia" w:hAnsi="宋体"/>
          <w:color w:val="auto"/>
          <w:kern w:val="2"/>
          <w:sz w:val="21"/>
          <w:highlight w:val="none"/>
        </w:rPr>
        <w:t>供应商</w:t>
      </w:r>
      <w:r>
        <w:rPr>
          <w:rFonts w:hAnsi="宋体"/>
          <w:color w:val="auto"/>
          <w:kern w:val="2"/>
          <w:sz w:val="21"/>
          <w:highlight w:val="none"/>
        </w:rPr>
        <w:t>有其他可能影响政府采购活动公平、公正进行的关系。</w:t>
      </w:r>
    </w:p>
    <w:p w14:paraId="22B07A93">
      <w:pPr>
        <w:pStyle w:val="25"/>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供应商</w:t>
      </w:r>
      <w:r>
        <w:rPr>
          <w:rFonts w:hAnsi="宋体"/>
          <w:color w:val="auto"/>
          <w:kern w:val="2"/>
          <w:sz w:val="21"/>
          <w:highlight w:val="none"/>
        </w:rPr>
        <w:t>认为采购人员及相关人员与其他</w:t>
      </w:r>
      <w:r>
        <w:rPr>
          <w:rFonts w:hint="eastAsia" w:hAnsi="宋体"/>
          <w:color w:val="auto"/>
          <w:kern w:val="2"/>
          <w:sz w:val="21"/>
          <w:highlight w:val="none"/>
        </w:rPr>
        <w:t>供应商</w:t>
      </w:r>
      <w:r>
        <w:rPr>
          <w:rFonts w:hAnsi="宋体"/>
          <w:color w:val="auto"/>
          <w:kern w:val="2"/>
          <w:sz w:val="21"/>
          <w:highlight w:val="none"/>
        </w:rPr>
        <w:t>有利害关系的，可以向采购人或者采购代理机构书面提出回避申请，并说明理由。采购人或者采购代理机构应当及时询问被申请回避人员，有利害关系的被申请回避人员应当回避。</w:t>
      </w:r>
    </w:p>
    <w:p w14:paraId="314C68C3">
      <w:pPr>
        <w:pStyle w:val="6"/>
        <w:keepNext w:val="0"/>
        <w:keepLines w:val="0"/>
        <w:spacing w:before="0" w:after="0" w:line="360" w:lineRule="auto"/>
        <w:ind w:left="420" w:leftChars="200"/>
        <w:rPr>
          <w:rFonts w:hint="eastAsia" w:ascii="宋体" w:hAnsi="宋体"/>
          <w:color w:val="auto"/>
          <w:sz w:val="21"/>
          <w:szCs w:val="21"/>
          <w:highlight w:val="none"/>
        </w:rPr>
      </w:pPr>
      <w:r>
        <w:rPr>
          <w:rFonts w:ascii="宋体" w:hAnsi="宋体"/>
          <w:color w:val="auto"/>
          <w:sz w:val="21"/>
          <w:szCs w:val="21"/>
          <w:highlight w:val="none"/>
        </w:rPr>
        <w:t>9.2</w:t>
      </w:r>
      <w:r>
        <w:rPr>
          <w:rFonts w:hint="eastAsia" w:ascii="宋体" w:hAnsi="宋体"/>
          <w:color w:val="auto"/>
          <w:sz w:val="21"/>
          <w:szCs w:val="21"/>
          <w:highlight w:val="none"/>
        </w:rPr>
        <w:t>有下列情形之一的视为投标人相互串通投标，投标文件将被视为无效：</w:t>
      </w:r>
    </w:p>
    <w:p w14:paraId="059286D3">
      <w:pPr>
        <w:pStyle w:val="25"/>
        <w:snapToGrid w:val="0"/>
        <w:spacing w:line="360" w:lineRule="auto"/>
        <w:ind w:left="2" w:leftChars="1" w:firstLine="422" w:firstLineChars="200"/>
        <w:rPr>
          <w:rFonts w:hint="eastAsia" w:hAnsi="宋体"/>
          <w:b/>
          <w:color w:val="auto"/>
          <w:kern w:val="2"/>
          <w:sz w:val="21"/>
          <w:highlight w:val="none"/>
        </w:rPr>
      </w:pPr>
      <w:r>
        <w:rPr>
          <w:rFonts w:hint="eastAsia" w:hAnsi="宋体"/>
          <w:b/>
          <w:color w:val="auto"/>
          <w:kern w:val="2"/>
          <w:sz w:val="21"/>
          <w:highlight w:val="none"/>
        </w:rPr>
        <w:t xml:space="preserve">（1）不同投标人的投标文件由同一单位或者个人编制； </w:t>
      </w:r>
    </w:p>
    <w:p w14:paraId="0C0E9735">
      <w:pPr>
        <w:pStyle w:val="25"/>
        <w:snapToGrid w:val="0"/>
        <w:spacing w:line="360" w:lineRule="auto"/>
        <w:ind w:left="2" w:leftChars="1" w:firstLine="422" w:firstLineChars="200"/>
        <w:rPr>
          <w:rFonts w:hint="eastAsia" w:hAnsi="宋体"/>
          <w:b/>
          <w:color w:val="auto"/>
          <w:kern w:val="2"/>
          <w:sz w:val="21"/>
          <w:highlight w:val="none"/>
        </w:rPr>
      </w:pPr>
      <w:r>
        <w:rPr>
          <w:rFonts w:hint="eastAsia" w:hAnsi="宋体"/>
          <w:b/>
          <w:color w:val="auto"/>
          <w:kern w:val="2"/>
          <w:sz w:val="21"/>
          <w:highlight w:val="none"/>
        </w:rPr>
        <w:t>（2）不同投标人委托同一单位或者个人办理投标事宜；</w:t>
      </w:r>
    </w:p>
    <w:p w14:paraId="5C21DEC7">
      <w:pPr>
        <w:pStyle w:val="25"/>
        <w:snapToGrid w:val="0"/>
        <w:spacing w:line="360" w:lineRule="auto"/>
        <w:ind w:left="2" w:leftChars="1" w:firstLine="422" w:firstLineChars="200"/>
        <w:rPr>
          <w:rFonts w:hint="eastAsia" w:hAnsi="宋体"/>
          <w:b/>
          <w:color w:val="auto"/>
          <w:kern w:val="2"/>
          <w:sz w:val="21"/>
          <w:highlight w:val="none"/>
        </w:rPr>
      </w:pPr>
      <w:r>
        <w:rPr>
          <w:rFonts w:hint="eastAsia" w:hAnsi="宋体"/>
          <w:b/>
          <w:color w:val="auto"/>
          <w:kern w:val="2"/>
          <w:sz w:val="21"/>
          <w:highlight w:val="none"/>
        </w:rPr>
        <w:t>（3）不同的投标人的投标文件载明的项目管理员为同一个人；</w:t>
      </w:r>
    </w:p>
    <w:p w14:paraId="39F6DCF6">
      <w:pPr>
        <w:pStyle w:val="25"/>
        <w:snapToGrid w:val="0"/>
        <w:spacing w:line="360" w:lineRule="auto"/>
        <w:ind w:left="2" w:leftChars="1" w:firstLine="422" w:firstLineChars="200"/>
        <w:rPr>
          <w:rFonts w:hint="eastAsia" w:hAnsi="宋体"/>
          <w:b/>
          <w:color w:val="auto"/>
          <w:kern w:val="2"/>
          <w:sz w:val="21"/>
          <w:highlight w:val="none"/>
        </w:rPr>
      </w:pPr>
      <w:r>
        <w:rPr>
          <w:rFonts w:hint="eastAsia" w:hAnsi="宋体"/>
          <w:b/>
          <w:color w:val="auto"/>
          <w:kern w:val="2"/>
          <w:sz w:val="21"/>
          <w:highlight w:val="none"/>
        </w:rPr>
        <w:t>（4）不同投标人的投标文件异常一致或者投标报价呈规律性差异；</w:t>
      </w:r>
    </w:p>
    <w:p w14:paraId="1DCAFD21">
      <w:pPr>
        <w:pStyle w:val="25"/>
        <w:snapToGrid w:val="0"/>
        <w:spacing w:line="360" w:lineRule="auto"/>
        <w:ind w:left="2" w:leftChars="1" w:firstLine="422" w:firstLineChars="200"/>
        <w:rPr>
          <w:rFonts w:hint="eastAsia" w:hAnsi="宋体"/>
          <w:b/>
          <w:color w:val="auto"/>
          <w:kern w:val="2"/>
          <w:sz w:val="21"/>
          <w:highlight w:val="none"/>
        </w:rPr>
      </w:pPr>
      <w:r>
        <w:rPr>
          <w:rFonts w:hint="eastAsia" w:hAnsi="宋体"/>
          <w:b/>
          <w:color w:val="auto"/>
          <w:kern w:val="2"/>
          <w:sz w:val="21"/>
          <w:highlight w:val="none"/>
        </w:rPr>
        <w:t>（5）不同投标人的投标文件相互混装；</w:t>
      </w:r>
    </w:p>
    <w:p w14:paraId="17ABDA69">
      <w:pPr>
        <w:pStyle w:val="25"/>
        <w:snapToGrid w:val="0"/>
        <w:spacing w:line="360" w:lineRule="auto"/>
        <w:ind w:left="2" w:leftChars="1" w:firstLine="422" w:firstLineChars="200"/>
        <w:rPr>
          <w:rFonts w:hint="eastAsia" w:hAnsi="宋体"/>
          <w:b/>
          <w:color w:val="auto"/>
          <w:kern w:val="2"/>
          <w:sz w:val="21"/>
          <w:highlight w:val="none"/>
        </w:rPr>
      </w:pPr>
      <w:r>
        <w:rPr>
          <w:rFonts w:hint="eastAsia" w:hAnsi="宋体"/>
          <w:b/>
          <w:color w:val="auto"/>
          <w:kern w:val="2"/>
          <w:sz w:val="21"/>
          <w:highlight w:val="none"/>
        </w:rPr>
        <w:t>（6）不同投标人的投标保证金从同一单位或者个人账户转出。</w:t>
      </w:r>
    </w:p>
    <w:p w14:paraId="7BC4835A">
      <w:pPr>
        <w:pStyle w:val="6"/>
        <w:keepNext w:val="0"/>
        <w:keepLines w:val="0"/>
        <w:spacing w:before="0" w:after="0" w:line="360" w:lineRule="auto"/>
        <w:ind w:left="420" w:leftChars="200"/>
        <w:rPr>
          <w:rFonts w:hint="eastAsia" w:ascii="宋体" w:hAnsi="宋体"/>
          <w:b w:val="0"/>
          <w:color w:val="auto"/>
          <w:sz w:val="21"/>
          <w:szCs w:val="21"/>
          <w:highlight w:val="none"/>
        </w:rPr>
      </w:pPr>
      <w:r>
        <w:rPr>
          <w:rFonts w:ascii="宋体" w:hAnsi="宋体"/>
          <w:b w:val="0"/>
          <w:color w:val="auto"/>
          <w:sz w:val="21"/>
          <w:szCs w:val="21"/>
          <w:highlight w:val="none"/>
        </w:rPr>
        <w:t>9.3</w:t>
      </w:r>
      <w:r>
        <w:rPr>
          <w:rFonts w:hint="eastAsia" w:ascii="宋体" w:hAnsi="宋体"/>
          <w:b w:val="0"/>
          <w:color w:val="auto"/>
          <w:sz w:val="21"/>
          <w:szCs w:val="21"/>
          <w:highlight w:val="none"/>
        </w:rPr>
        <w:t>供应商有下列情形之一的，属于恶意串通行为，将报同级监督管理部门：</w:t>
      </w:r>
    </w:p>
    <w:p w14:paraId="23E967FB">
      <w:pPr>
        <w:pStyle w:val="25"/>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（1）供应商直接或者间接从采购人或者采购代理机构处获得其他供应商的相关信息并修改其投标文件或者响应文件；</w:t>
      </w:r>
    </w:p>
    <w:p w14:paraId="6CB4ECFC">
      <w:pPr>
        <w:pStyle w:val="25"/>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（2）供应商按照采购人或者采购代理机构的授意撤换、修改投标文件或者响应文件；</w:t>
      </w:r>
    </w:p>
    <w:p w14:paraId="1616EC3A">
      <w:pPr>
        <w:pStyle w:val="25"/>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（3）供应商之间协商报价、技术方案等投标文件或者响应文件的实质性内容；</w:t>
      </w:r>
    </w:p>
    <w:p w14:paraId="06C15F03">
      <w:pPr>
        <w:pStyle w:val="25"/>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（4）属于同一集团、协会、商会等组织成员的供应商按照该组织要求协同参加政府采购活动；</w:t>
      </w:r>
    </w:p>
    <w:p w14:paraId="654E4E37">
      <w:pPr>
        <w:pStyle w:val="25"/>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（5）供应商之间事先约定一致抬高或者压低投标报价，或者在招标项目中事先约定轮流以高价位或者低价位中标，或者事先约定由某一特定供应商中标，然后再参加投标；</w:t>
      </w:r>
    </w:p>
    <w:p w14:paraId="3B16E293">
      <w:pPr>
        <w:pStyle w:val="25"/>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（6）供应商之间商定部分供应商放弃参加政府采购活动或者放弃中标；</w:t>
      </w:r>
    </w:p>
    <w:p w14:paraId="194635A7">
      <w:pPr>
        <w:pStyle w:val="25"/>
        <w:snapToGrid w:val="0"/>
        <w:spacing w:line="360" w:lineRule="auto"/>
        <w:ind w:left="2" w:leftChars="1" w:firstLine="420" w:firstLineChars="200"/>
        <w:rPr>
          <w:rFonts w:hAnsi="宋体"/>
          <w:color w:val="auto"/>
          <w:kern w:val="2"/>
          <w:sz w:val="21"/>
          <w:highlight w:val="none"/>
        </w:rPr>
      </w:pPr>
      <w:r>
        <w:rPr>
          <w:rFonts w:hint="eastAsia" w:hAnsi="宋体"/>
          <w:color w:val="auto"/>
          <w:kern w:val="2"/>
          <w:sz w:val="21"/>
          <w:highlight w:val="none"/>
        </w:rPr>
        <w:t>（7）供应商与采购人或者采购代理机构之间、供应商相互之间，为谋求特定供应商中标或者排斥其他供应商的其他串通行为。</w:t>
      </w:r>
    </w:p>
    <w:p w14:paraId="77AAF2F8">
      <w:pPr>
        <w:pStyle w:val="25"/>
        <w:snapToGrid w:val="0"/>
        <w:spacing w:line="360" w:lineRule="auto"/>
        <w:ind w:left="2" w:leftChars="1" w:firstLine="422" w:firstLineChars="200"/>
        <w:rPr>
          <w:rFonts w:hint="eastAsia" w:hAnsi="宋体"/>
          <w:b/>
          <w:color w:val="auto"/>
          <w:kern w:val="2"/>
          <w:sz w:val="21"/>
          <w:highlight w:val="none"/>
        </w:rPr>
      </w:pPr>
    </w:p>
    <w:p w14:paraId="2AE37248">
      <w:pPr>
        <w:pStyle w:val="4"/>
        <w:keepNext w:val="0"/>
        <w:keepLines w:val="0"/>
        <w:jc w:val="center"/>
        <w:rPr>
          <w:rFonts w:hint="eastAsia"/>
          <w:color w:val="auto"/>
          <w:highlight w:val="none"/>
        </w:rPr>
      </w:pPr>
      <w:bookmarkStart w:id="126" w:name="_Toc254970675"/>
      <w:bookmarkStart w:id="127" w:name="_Toc254970534"/>
      <w:r>
        <w:rPr>
          <w:rFonts w:hint="eastAsia"/>
          <w:color w:val="auto"/>
          <w:highlight w:val="none"/>
        </w:rPr>
        <w:t>二、招标文件</w:t>
      </w:r>
      <w:bookmarkEnd w:id="126"/>
      <w:bookmarkEnd w:id="127"/>
    </w:p>
    <w:p w14:paraId="4F7F7731">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10.招标文件的组成</w:t>
      </w:r>
    </w:p>
    <w:p w14:paraId="34CA11B8">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（1）招标公告；</w:t>
      </w:r>
    </w:p>
    <w:p w14:paraId="6ABFDE14">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 xml:space="preserve">（2）采购需求； </w:t>
      </w:r>
    </w:p>
    <w:p w14:paraId="40485AC5">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（3）投标人须知；</w:t>
      </w:r>
    </w:p>
    <w:p w14:paraId="358B54AD">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（4）评标方法及评标标准；</w:t>
      </w:r>
    </w:p>
    <w:p w14:paraId="1B06249C">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（5）拟签订的合同文本；</w:t>
      </w:r>
    </w:p>
    <w:p w14:paraId="3255109C">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（6）投标文件格式。</w:t>
      </w:r>
    </w:p>
    <w:p w14:paraId="362AF047">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11.招标文件的澄清、修改 、现场考察和答疑会</w:t>
      </w:r>
    </w:p>
    <w:p w14:paraId="4E162975">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04202C2E">
      <w:pPr>
        <w:pStyle w:val="25"/>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2D8CD993">
      <w:pPr>
        <w:pStyle w:val="25"/>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1</w:t>
      </w:r>
      <w:r>
        <w:rPr>
          <w:rFonts w:hAnsi="宋体"/>
          <w:color w:val="auto"/>
          <w:sz w:val="21"/>
          <w:highlight w:val="none"/>
        </w:rPr>
        <w:t>1.2</w:t>
      </w:r>
      <w:bookmarkStart w:id="128" w:name="_Hlk53134511"/>
      <w:r>
        <w:rPr>
          <w:rFonts w:hint="eastAsia" w:hAnsi="宋体"/>
          <w:color w:val="auto"/>
          <w:sz w:val="21"/>
          <w:highlight w:val="none"/>
        </w:rPr>
        <w:t>采购人或者采购代理机构可以在招标文件提供期限截止后，组织已获取招标文件的潜在投标人现场考察或者召开开标前答疑会，具体详见“投标人须知前附表”。</w:t>
      </w:r>
    </w:p>
    <w:bookmarkEnd w:id="128"/>
    <w:p w14:paraId="4ACF9F8D">
      <w:pPr>
        <w:pStyle w:val="4"/>
        <w:keepNext w:val="0"/>
        <w:keepLines w:val="0"/>
        <w:jc w:val="center"/>
        <w:rPr>
          <w:rFonts w:hint="eastAsia"/>
          <w:color w:val="auto"/>
          <w:highlight w:val="none"/>
        </w:rPr>
      </w:pPr>
      <w:bookmarkStart w:id="129" w:name="_Toc254970676"/>
      <w:bookmarkStart w:id="130" w:name="_Toc254970535"/>
      <w:r>
        <w:rPr>
          <w:rFonts w:hint="eastAsia"/>
          <w:color w:val="auto"/>
          <w:highlight w:val="none"/>
        </w:rPr>
        <w:t>三、投标文件的编制</w:t>
      </w:r>
      <w:bookmarkEnd w:id="129"/>
      <w:bookmarkEnd w:id="130"/>
    </w:p>
    <w:p w14:paraId="5349E471">
      <w:pPr>
        <w:pStyle w:val="6"/>
        <w:keepNext w:val="0"/>
        <w:keepLines w:val="0"/>
        <w:spacing w:before="0" w:after="0" w:line="360" w:lineRule="auto"/>
        <w:ind w:left="420" w:leftChars="200"/>
        <w:rPr>
          <w:rFonts w:hint="eastAsia" w:ascii="黑体" w:hAnsi="黑体" w:eastAsia="黑体"/>
          <w:color w:val="auto"/>
          <w:sz w:val="24"/>
          <w:highlight w:val="none"/>
        </w:rPr>
      </w:pPr>
      <w:bookmarkStart w:id="131" w:name="_Toc254970677"/>
      <w:bookmarkStart w:id="132" w:name="_Toc254970536"/>
      <w:r>
        <w:rPr>
          <w:rFonts w:hint="eastAsia" w:ascii="黑体" w:hAnsi="黑体" w:eastAsia="黑体"/>
          <w:color w:val="auto"/>
          <w:sz w:val="24"/>
          <w:highlight w:val="none"/>
        </w:rPr>
        <w:t>12.投标文件的编制原则</w:t>
      </w:r>
    </w:p>
    <w:p w14:paraId="370B563D">
      <w:pPr>
        <w:snapToGrid w:val="0"/>
        <w:spacing w:line="360" w:lineRule="auto"/>
        <w:ind w:firstLine="420"/>
        <w:jc w:val="left"/>
        <w:rPr>
          <w:rFonts w:hint="eastAsia" w:ascii="宋体" w:hAnsi="宋体" w:cs="Courier New"/>
          <w:color w:val="auto"/>
          <w:szCs w:val="21"/>
          <w:highlight w:val="none"/>
        </w:rPr>
      </w:pPr>
      <w:r>
        <w:rPr>
          <w:rFonts w:ascii="宋体" w:hAnsi="宋体"/>
          <w:color w:val="auto"/>
          <w:szCs w:val="21"/>
          <w:highlight w:val="none"/>
        </w:rPr>
        <w:t>投标人必须按照招标文件的要求编制投标文件。投标文件必须对招标文件提出的要求和条件作出明确响应。</w:t>
      </w:r>
    </w:p>
    <w:p w14:paraId="67A501B7">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13.投标文件的组成</w:t>
      </w:r>
      <w:bookmarkEnd w:id="131"/>
      <w:bookmarkEnd w:id="132"/>
    </w:p>
    <w:p w14:paraId="0B81501A">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投标文件由报价文件、资格证明文件、商务及技术文件三部分组成。</w:t>
      </w:r>
    </w:p>
    <w:p w14:paraId="02C98496">
      <w:pPr>
        <w:pStyle w:val="6"/>
        <w:keepNext w:val="0"/>
        <w:keepLines w:val="0"/>
        <w:spacing w:before="0" w:after="0" w:line="360" w:lineRule="auto"/>
        <w:ind w:left="420" w:leftChars="200"/>
        <w:rPr>
          <w:rFonts w:hint="eastAsia" w:ascii="宋体" w:hAnsi="宋体"/>
          <w:b w:val="0"/>
          <w:color w:val="auto"/>
          <w:sz w:val="21"/>
          <w:szCs w:val="21"/>
          <w:highlight w:val="none"/>
        </w:rPr>
      </w:pPr>
      <w:bookmarkStart w:id="133" w:name="_13.1报价文件:_具体材料见“投标人须知前附表”。"/>
      <w:bookmarkEnd w:id="133"/>
      <w:r>
        <w:rPr>
          <w:rFonts w:hint="eastAsia" w:ascii="宋体" w:hAnsi="宋体"/>
          <w:b w:val="0"/>
          <w:color w:val="auto"/>
          <w:sz w:val="21"/>
          <w:szCs w:val="21"/>
          <w:highlight w:val="none"/>
        </w:rPr>
        <w:t>（1）报价文件：</w:t>
      </w:r>
      <w:r>
        <w:rPr>
          <w:rFonts w:ascii="宋体" w:hAnsi="宋体"/>
          <w:b w:val="0"/>
          <w:color w:val="auto"/>
          <w:sz w:val="21"/>
          <w:szCs w:val="21"/>
          <w:highlight w:val="none"/>
        </w:rPr>
        <w:t xml:space="preserve"> 具体材料见“投标人须知前附表”</w:t>
      </w:r>
      <w:r>
        <w:rPr>
          <w:rFonts w:hint="eastAsia" w:ascii="宋体" w:hAnsi="宋体"/>
          <w:b w:val="0"/>
          <w:color w:val="auto"/>
          <w:sz w:val="21"/>
          <w:szCs w:val="21"/>
          <w:highlight w:val="none"/>
        </w:rPr>
        <w:t>。</w:t>
      </w:r>
    </w:p>
    <w:p w14:paraId="0C5BCE38">
      <w:pPr>
        <w:pStyle w:val="6"/>
        <w:keepNext w:val="0"/>
        <w:keepLines w:val="0"/>
        <w:spacing w:before="0" w:after="0" w:line="360" w:lineRule="auto"/>
        <w:ind w:left="420" w:leftChars="200"/>
        <w:rPr>
          <w:rFonts w:hint="eastAsia" w:ascii="宋体" w:hAnsi="宋体"/>
          <w:b w:val="0"/>
          <w:color w:val="auto"/>
          <w:sz w:val="21"/>
          <w:szCs w:val="21"/>
          <w:highlight w:val="none"/>
        </w:rPr>
      </w:pPr>
      <w:bookmarkStart w:id="134" w:name="_13.2资格证明文件：具体材料见“投标人须知前附表”。"/>
      <w:bookmarkEnd w:id="134"/>
      <w:r>
        <w:rPr>
          <w:rFonts w:hint="eastAsia" w:ascii="宋体" w:hAnsi="宋体"/>
          <w:b w:val="0"/>
          <w:color w:val="auto"/>
          <w:sz w:val="21"/>
          <w:szCs w:val="21"/>
          <w:highlight w:val="none"/>
        </w:rPr>
        <w:t>（</w:t>
      </w:r>
      <w:r>
        <w:rPr>
          <w:rFonts w:ascii="宋体" w:hAnsi="宋体"/>
          <w:b w:val="0"/>
          <w:color w:val="auto"/>
          <w:sz w:val="21"/>
          <w:szCs w:val="21"/>
          <w:highlight w:val="none"/>
        </w:rPr>
        <w:t>2</w:t>
      </w:r>
      <w:r>
        <w:rPr>
          <w:rFonts w:hint="eastAsia" w:ascii="宋体" w:hAnsi="宋体"/>
          <w:b w:val="0"/>
          <w:color w:val="auto"/>
          <w:sz w:val="21"/>
          <w:szCs w:val="21"/>
          <w:highlight w:val="none"/>
        </w:rPr>
        <w:t>）资格证明文件：</w:t>
      </w:r>
      <w:r>
        <w:rPr>
          <w:rFonts w:ascii="宋体" w:hAnsi="宋体"/>
          <w:b w:val="0"/>
          <w:color w:val="auto"/>
          <w:sz w:val="21"/>
          <w:szCs w:val="21"/>
          <w:highlight w:val="none"/>
        </w:rPr>
        <w:t>具体材料见“投标人须知前附表”</w:t>
      </w:r>
      <w:r>
        <w:rPr>
          <w:rFonts w:hint="eastAsia" w:ascii="宋体" w:hAnsi="宋体"/>
          <w:b w:val="0"/>
          <w:color w:val="auto"/>
          <w:sz w:val="21"/>
          <w:szCs w:val="21"/>
          <w:highlight w:val="none"/>
        </w:rPr>
        <w:t>。</w:t>
      </w:r>
    </w:p>
    <w:p w14:paraId="39090C52">
      <w:pPr>
        <w:pStyle w:val="6"/>
        <w:keepNext w:val="0"/>
        <w:keepLines w:val="0"/>
        <w:spacing w:before="0" w:after="0" w:line="360" w:lineRule="auto"/>
        <w:ind w:left="420" w:leftChars="200"/>
        <w:rPr>
          <w:rFonts w:hint="eastAsia" w:ascii="宋体" w:hAnsi="宋体"/>
          <w:b w:val="0"/>
          <w:color w:val="auto"/>
          <w:sz w:val="21"/>
          <w:szCs w:val="21"/>
          <w:highlight w:val="none"/>
        </w:rPr>
      </w:pPr>
      <w:bookmarkStart w:id="135" w:name="_13.3商务文件:_具体材料见“投标人须知前附表”。"/>
      <w:bookmarkEnd w:id="135"/>
      <w:r>
        <w:rPr>
          <w:rFonts w:hint="eastAsia" w:ascii="宋体" w:hAnsi="宋体"/>
          <w:b w:val="0"/>
          <w:color w:val="auto"/>
          <w:sz w:val="21"/>
          <w:szCs w:val="21"/>
          <w:highlight w:val="none"/>
        </w:rPr>
        <w:t>（</w:t>
      </w:r>
      <w:r>
        <w:rPr>
          <w:rFonts w:ascii="宋体" w:hAnsi="宋体"/>
          <w:b w:val="0"/>
          <w:color w:val="auto"/>
          <w:sz w:val="21"/>
          <w:szCs w:val="21"/>
          <w:highlight w:val="none"/>
        </w:rPr>
        <w:t>3</w:t>
      </w:r>
      <w:r>
        <w:rPr>
          <w:rFonts w:hint="eastAsia" w:ascii="宋体" w:hAnsi="宋体"/>
          <w:b w:val="0"/>
          <w:color w:val="auto"/>
          <w:sz w:val="21"/>
          <w:szCs w:val="21"/>
          <w:highlight w:val="none"/>
        </w:rPr>
        <w:t>）商务及技术文件：</w:t>
      </w:r>
      <w:r>
        <w:rPr>
          <w:rFonts w:ascii="宋体" w:hAnsi="宋体"/>
          <w:b w:val="0"/>
          <w:color w:val="auto"/>
          <w:sz w:val="21"/>
          <w:szCs w:val="21"/>
          <w:highlight w:val="none"/>
        </w:rPr>
        <w:t>具体材料见“投标人须知前附表”</w:t>
      </w:r>
      <w:r>
        <w:rPr>
          <w:rFonts w:hint="eastAsia" w:ascii="宋体" w:hAnsi="宋体"/>
          <w:b w:val="0"/>
          <w:color w:val="auto"/>
          <w:sz w:val="21"/>
          <w:szCs w:val="21"/>
          <w:highlight w:val="none"/>
        </w:rPr>
        <w:t>。</w:t>
      </w:r>
    </w:p>
    <w:p w14:paraId="58033426">
      <w:pPr>
        <w:pStyle w:val="6"/>
        <w:keepNext w:val="0"/>
        <w:keepLines w:val="0"/>
        <w:spacing w:before="0" w:after="0" w:line="360" w:lineRule="auto"/>
        <w:ind w:left="420" w:leftChars="200"/>
        <w:rPr>
          <w:rFonts w:hint="eastAsia" w:ascii="黑体" w:hAnsi="黑体" w:eastAsia="黑体"/>
          <w:color w:val="auto"/>
          <w:sz w:val="24"/>
          <w:highlight w:val="none"/>
        </w:rPr>
      </w:pPr>
      <w:bookmarkStart w:id="136" w:name="_13.4技术文件：具体材料见“投标人须知前附表”。"/>
      <w:bookmarkEnd w:id="136"/>
      <w:bookmarkStart w:id="137" w:name="_13.5投标文件电子版：具体材料见“投标人须知前附表”。"/>
      <w:bookmarkEnd w:id="137"/>
      <w:bookmarkStart w:id="138" w:name="_Toc254970678"/>
      <w:bookmarkStart w:id="139" w:name="_Toc254970537"/>
      <w:r>
        <w:rPr>
          <w:rFonts w:hint="eastAsia" w:ascii="黑体" w:hAnsi="黑体" w:eastAsia="黑体"/>
          <w:color w:val="auto"/>
          <w:sz w:val="24"/>
          <w:highlight w:val="none"/>
        </w:rPr>
        <w:t>14.投标文件的语言及计量</w:t>
      </w:r>
      <w:bookmarkEnd w:id="138"/>
      <w:bookmarkEnd w:id="139"/>
    </w:p>
    <w:p w14:paraId="2B6B209D">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14.1语言文字</w:t>
      </w:r>
    </w:p>
    <w:p w14:paraId="189A8FAD">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2142944C">
      <w:pPr>
        <w:pStyle w:val="6"/>
        <w:keepNext w:val="0"/>
        <w:keepLines w:val="0"/>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14.2投标计量单位</w:t>
      </w:r>
    </w:p>
    <w:p w14:paraId="6A225EF4">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招标文件已有明确规定的，使用招标文件规定的计量单位；招标文件没有规定的，应采用中华人民共和国法定计量单位，货币种类为人民币</w:t>
      </w:r>
      <w:r>
        <w:rPr>
          <w:rFonts w:hint="eastAsia" w:ascii="宋体" w:hAnsi="宋体"/>
          <w:bCs/>
          <w:color w:val="auto"/>
          <w:sz w:val="21"/>
          <w:szCs w:val="21"/>
          <w:highlight w:val="none"/>
        </w:rPr>
        <w:t>，否则视同未响应。</w:t>
      </w:r>
    </w:p>
    <w:p w14:paraId="254B9F35">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15.投标的风险</w:t>
      </w:r>
    </w:p>
    <w:p w14:paraId="04FEAD1F">
      <w:pPr>
        <w:pStyle w:val="25"/>
        <w:snapToGrid w:val="0"/>
        <w:spacing w:line="360" w:lineRule="auto"/>
        <w:ind w:firstLine="420" w:firstLineChars="200"/>
        <w:jc w:val="left"/>
        <w:rPr>
          <w:rFonts w:hint="eastAsia" w:hAnsi="宋体"/>
          <w:color w:val="auto"/>
          <w:sz w:val="21"/>
          <w:highlight w:val="none"/>
        </w:rPr>
      </w:pPr>
      <w:r>
        <w:rPr>
          <w:rFonts w:hint="eastAsia" w:hAnsi="宋体"/>
          <w:color w:val="auto"/>
          <w:sz w:val="21"/>
          <w:highlight w:val="none"/>
        </w:rPr>
        <w:t>投标人没有按照招标文件要求提供全部资料，或者投标人没有对招标文件作出实质性响应是投标人的风险，并可能导致其投标被拒绝。</w:t>
      </w:r>
    </w:p>
    <w:p w14:paraId="0399D65D">
      <w:pPr>
        <w:pStyle w:val="6"/>
        <w:keepNext w:val="0"/>
        <w:keepLines w:val="0"/>
        <w:spacing w:before="0" w:after="0" w:line="360" w:lineRule="auto"/>
        <w:ind w:left="420" w:leftChars="200"/>
        <w:rPr>
          <w:rFonts w:hint="eastAsia" w:ascii="黑体" w:hAnsi="黑体" w:eastAsia="黑体"/>
          <w:color w:val="auto"/>
          <w:sz w:val="24"/>
          <w:highlight w:val="none"/>
        </w:rPr>
      </w:pPr>
      <w:bookmarkStart w:id="140" w:name="_Toc254970679"/>
      <w:bookmarkStart w:id="141" w:name="_Toc254970538"/>
      <w:r>
        <w:rPr>
          <w:rFonts w:hint="eastAsia" w:ascii="黑体" w:hAnsi="黑体" w:eastAsia="黑体"/>
          <w:color w:val="auto"/>
          <w:sz w:val="24"/>
          <w:highlight w:val="none"/>
        </w:rPr>
        <w:t>16.投标报价</w:t>
      </w:r>
      <w:bookmarkEnd w:id="140"/>
      <w:bookmarkEnd w:id="141"/>
    </w:p>
    <w:p w14:paraId="66B2EC2A">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16.1投标报价应按“第六章　投标文件格式”中“开标一览表”格式填写。</w:t>
      </w:r>
    </w:p>
    <w:p w14:paraId="4D377086">
      <w:pPr>
        <w:pStyle w:val="6"/>
        <w:keepNext w:val="0"/>
        <w:keepLines w:val="0"/>
        <w:spacing w:before="0" w:after="0" w:line="360" w:lineRule="auto"/>
        <w:ind w:left="420" w:leftChars="200"/>
        <w:rPr>
          <w:rFonts w:hint="eastAsia" w:ascii="宋体" w:hAnsi="宋体"/>
          <w:b w:val="0"/>
          <w:color w:val="auto"/>
          <w:sz w:val="21"/>
          <w:szCs w:val="21"/>
          <w:highlight w:val="none"/>
        </w:rPr>
      </w:pPr>
      <w:bookmarkStart w:id="142" w:name="_16.2投标报价具体定义见投标人须知前附表。"/>
      <w:bookmarkEnd w:id="142"/>
      <w:r>
        <w:rPr>
          <w:rFonts w:hint="eastAsia" w:ascii="宋体" w:hAnsi="宋体"/>
          <w:b w:val="0"/>
          <w:color w:val="auto"/>
          <w:sz w:val="21"/>
          <w:szCs w:val="21"/>
          <w:highlight w:val="none"/>
        </w:rPr>
        <w:t>16.2投标报价具体包括内容详见“投标人须知前附表”。</w:t>
      </w:r>
    </w:p>
    <w:p w14:paraId="3CDBC32B">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16.3投标人必须就所投每个分标的全部内容分别作完整唯一总价报价，不得存在漏项报价；投标人必须就所投分标的单项内容作唯一报价。</w:t>
      </w:r>
    </w:p>
    <w:p w14:paraId="5C5FAB11">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17.投标有效期</w:t>
      </w:r>
    </w:p>
    <w:p w14:paraId="3B22F526">
      <w:pPr>
        <w:pStyle w:val="6"/>
        <w:keepNext w:val="0"/>
        <w:keepLines w:val="0"/>
        <w:spacing w:before="0" w:after="0" w:line="360" w:lineRule="auto"/>
        <w:ind w:firstLine="420" w:firstLineChars="200"/>
        <w:rPr>
          <w:rFonts w:hint="eastAsia" w:ascii="宋体" w:hAnsi="宋体"/>
          <w:b w:val="0"/>
          <w:color w:val="auto"/>
          <w:sz w:val="21"/>
          <w:szCs w:val="21"/>
          <w:highlight w:val="none"/>
        </w:rPr>
      </w:pPr>
      <w:bookmarkStart w:id="143" w:name="_17.1投标有效期应按“投标人须知中的前附表”规定的期限。"/>
      <w:bookmarkEnd w:id="143"/>
      <w:r>
        <w:rPr>
          <w:rFonts w:hint="eastAsia" w:ascii="宋体" w:hAnsi="宋体"/>
          <w:b w:val="0"/>
          <w:color w:val="auto"/>
          <w:sz w:val="21"/>
          <w:szCs w:val="21"/>
          <w:highlight w:val="none"/>
        </w:rPr>
        <w:t>17.1投标有效期是指为保证采购人有足够的时间在开标后完成评标、定标、合同签订等工作而要求投标人提交的投标文件在一定时间内保持有效的期限。</w:t>
      </w:r>
    </w:p>
    <w:p w14:paraId="74DD4DFD">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17.2</w:t>
      </w:r>
      <w:bookmarkStart w:id="144" w:name="_Toc254970681"/>
      <w:bookmarkStart w:id="145" w:name="_Toc254970540"/>
      <w:r>
        <w:rPr>
          <w:rFonts w:hint="eastAsia" w:ascii="宋体" w:hAnsi="宋体"/>
          <w:b w:val="0"/>
          <w:color w:val="auto"/>
          <w:sz w:val="21"/>
          <w:szCs w:val="21"/>
          <w:highlight w:val="none"/>
        </w:rPr>
        <w:t xml:space="preserve"> 投标有效期应按招标文件规定的期限作出承诺，具体详见“投标人须知前附表”。</w:t>
      </w:r>
      <w:r>
        <w:rPr>
          <w:rFonts w:hint="eastAsia" w:ascii="宋体" w:hAnsi="宋体"/>
          <w:color w:val="auto"/>
          <w:sz w:val="21"/>
          <w:szCs w:val="21"/>
          <w:highlight w:val="none"/>
        </w:rPr>
        <w:t>承诺的投标有效期低于招标文件规定期限的，按无效投标处理。</w:t>
      </w:r>
    </w:p>
    <w:p w14:paraId="662AD22E">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17.3投标人的投标文件在投标有效期内均保持有效。</w:t>
      </w:r>
      <w:bookmarkEnd w:id="144"/>
      <w:bookmarkEnd w:id="145"/>
    </w:p>
    <w:p w14:paraId="0A0715E8">
      <w:pPr>
        <w:pStyle w:val="6"/>
        <w:keepNext w:val="0"/>
        <w:keepLines w:val="0"/>
        <w:spacing w:before="0" w:after="0" w:line="360" w:lineRule="auto"/>
        <w:ind w:left="420" w:leftChars="200"/>
        <w:rPr>
          <w:rFonts w:hint="eastAsia" w:ascii="黑体" w:hAnsi="黑体" w:eastAsia="黑体"/>
          <w:color w:val="auto"/>
          <w:sz w:val="24"/>
          <w:highlight w:val="none"/>
        </w:rPr>
      </w:pPr>
      <w:bookmarkStart w:id="146" w:name="_18.投标保证金"/>
      <w:bookmarkEnd w:id="146"/>
      <w:bookmarkStart w:id="147" w:name="_Toc254970682"/>
      <w:bookmarkStart w:id="148" w:name="_Toc254970541"/>
      <w:r>
        <w:rPr>
          <w:rFonts w:hint="eastAsia" w:ascii="黑体" w:hAnsi="黑体" w:eastAsia="黑体"/>
          <w:color w:val="auto"/>
          <w:sz w:val="24"/>
          <w:highlight w:val="none"/>
        </w:rPr>
        <w:t>18.投标保证金</w:t>
      </w:r>
      <w:bookmarkEnd w:id="147"/>
      <w:bookmarkEnd w:id="148"/>
    </w:p>
    <w:p w14:paraId="0CABEE08">
      <w:pPr>
        <w:pStyle w:val="6"/>
        <w:keepNext w:val="0"/>
        <w:keepLines w:val="0"/>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18.1投标人须按“投标人须知前附表” 的规定提交投标保证金。</w:t>
      </w:r>
    </w:p>
    <w:p w14:paraId="0E8E6CEC">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18.2投标保证金的退还</w:t>
      </w:r>
    </w:p>
    <w:p w14:paraId="1D85EC85">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未中标人的投标保证金自中标通知书发出之日起5个工作日内退还；中标人的投标保证金自政府采购合同签订之日起5个工作日内退还。 </w:t>
      </w:r>
    </w:p>
    <w:p w14:paraId="62DB4490">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18.3除逾期退还投标保证金和终止招标的情形以外，投标保证金不计息。</w:t>
      </w:r>
    </w:p>
    <w:p w14:paraId="3D279169">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18.4投标人有下列情形之一的，投标保证金将不予退还： </w:t>
      </w:r>
    </w:p>
    <w:p w14:paraId="7CB3C419">
      <w:pPr>
        <w:snapToGrid w:val="0"/>
        <w:spacing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（1）投标人在投标有效期内撤销投标文件的；</w:t>
      </w:r>
    </w:p>
    <w:p w14:paraId="780891BE">
      <w:pPr>
        <w:snapToGrid w:val="0"/>
        <w:spacing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（2）未按规定提交履约保证金的；</w:t>
      </w:r>
    </w:p>
    <w:p w14:paraId="6000EC6E">
      <w:pPr>
        <w:snapToGrid w:val="0"/>
        <w:spacing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（3）投标人在投标过程中弄虚作假，提供虚假材料的；</w:t>
      </w:r>
    </w:p>
    <w:p w14:paraId="01638DB3">
      <w:pPr>
        <w:snapToGrid w:val="0"/>
        <w:spacing w:line="360" w:lineRule="auto"/>
        <w:ind w:firstLine="411" w:firstLineChars="196"/>
        <w:rPr>
          <w:rFonts w:hint="eastAsia" w:ascii="宋体" w:hAnsi="宋体"/>
          <w:color w:val="auto"/>
          <w:szCs w:val="21"/>
          <w:highlight w:val="none"/>
        </w:rPr>
      </w:pPr>
      <w:r>
        <w:rPr>
          <w:rFonts w:hint="eastAsia" w:ascii="宋体" w:hAnsi="宋体"/>
          <w:color w:val="auto"/>
          <w:szCs w:val="21"/>
          <w:highlight w:val="none"/>
        </w:rPr>
        <w:t>（4）中标人无正当理由不与采购人签订合同的；</w:t>
      </w:r>
    </w:p>
    <w:p w14:paraId="7EC8FD9D">
      <w:pPr>
        <w:snapToGrid w:val="0"/>
        <w:spacing w:line="360" w:lineRule="auto"/>
        <w:ind w:firstLine="420" w:firstLineChars="200"/>
        <w:rPr>
          <w:rFonts w:hint="eastAsia" w:ascii="宋体" w:hAnsi="宋体"/>
          <w:color w:val="auto"/>
          <w:szCs w:val="21"/>
          <w:highlight w:val="none"/>
        </w:rPr>
      </w:pPr>
      <w:bookmarkStart w:id="149" w:name="_Toc254970683"/>
      <w:bookmarkStart w:id="150" w:name="_Toc254970542"/>
      <w:r>
        <w:rPr>
          <w:rFonts w:hint="eastAsia" w:ascii="宋体" w:hAnsi="宋体"/>
          <w:color w:val="auto"/>
          <w:szCs w:val="21"/>
          <w:highlight w:val="none"/>
        </w:rPr>
        <w:t>（5）投标人出现本章第9.2、9.3情形的；</w:t>
      </w:r>
    </w:p>
    <w:p w14:paraId="23DD0D43">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w:t>
      </w:r>
      <w:r>
        <w:rPr>
          <w:rFonts w:hint="eastAsia" w:ascii="宋体" w:hAnsi="宋体" w:cs="宋体"/>
          <w:color w:val="auto"/>
          <w:szCs w:val="21"/>
          <w:highlight w:val="none"/>
        </w:rPr>
        <w:t>法律法规规定的其他情形</w:t>
      </w:r>
      <w:r>
        <w:rPr>
          <w:rFonts w:hint="eastAsia" w:ascii="宋体" w:hAnsi="宋体"/>
          <w:color w:val="auto"/>
          <w:szCs w:val="21"/>
          <w:highlight w:val="none"/>
        </w:rPr>
        <w:t>。</w:t>
      </w:r>
    </w:p>
    <w:bookmarkEnd w:id="149"/>
    <w:bookmarkEnd w:id="150"/>
    <w:p w14:paraId="0A9AE061">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19.投标文件的编制</w:t>
      </w:r>
    </w:p>
    <w:p w14:paraId="15DCA993">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19.1投标人应按照本项目招标文件规定的格式和顺序和广西政府采购云平台的要求编制投标文件并加密。投标文件内容不完整、编排混乱导致投标文件被误读、漏读或者查找不到相关内容的，由此引发的后果由投标人承担。</w:t>
      </w:r>
    </w:p>
    <w:p w14:paraId="6CEDA347">
      <w:pPr>
        <w:pStyle w:val="6"/>
        <w:keepNext w:val="0"/>
        <w:keepLines w:val="0"/>
        <w:spacing w:before="0" w:after="0" w:line="360" w:lineRule="auto"/>
        <w:ind w:firstLine="315" w:firstLineChars="150"/>
        <w:rPr>
          <w:rFonts w:hint="eastAsia" w:ascii="宋体" w:hAnsi="宋体"/>
          <w:b w:val="0"/>
          <w:color w:val="auto"/>
          <w:sz w:val="21"/>
          <w:szCs w:val="21"/>
          <w:highlight w:val="none"/>
        </w:rPr>
      </w:pPr>
      <w:bookmarkStart w:id="151" w:name="_19.2投标文件应按报价文件、资格证明文件、商务文件、技术文件分别编制"/>
      <w:bookmarkEnd w:id="151"/>
      <w:r>
        <w:rPr>
          <w:rFonts w:hint="eastAsia" w:ascii="宋体" w:hAnsi="宋体"/>
          <w:b w:val="0"/>
          <w:color w:val="auto"/>
          <w:sz w:val="21"/>
          <w:szCs w:val="21"/>
          <w:highlight w:val="none"/>
        </w:rPr>
        <w:t xml:space="preserve"> 19.2为确保网上操作合法、有效和安全，投标人应当在投标截止时间前完成在广西政府采购云平台的身份认证，确保在电子投标过程中能够对相关数据电文进行加密和使用电子签章。</w:t>
      </w:r>
    </w:p>
    <w:p w14:paraId="0D691341">
      <w:pPr>
        <w:pStyle w:val="6"/>
        <w:keepNext w:val="0"/>
        <w:keepLines w:val="0"/>
        <w:spacing w:before="0" w:after="0" w:line="360" w:lineRule="auto"/>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19.3投标文件须由投标人在规定位置签字（或者电子签名）、盖章（具体以投标人须知前附表或投标文件格式规定为准），</w:t>
      </w:r>
      <w:r>
        <w:rPr>
          <w:rFonts w:hint="eastAsia" w:ascii="宋体" w:hAnsi="宋体"/>
          <w:bCs/>
          <w:color w:val="auto"/>
          <w:sz w:val="21"/>
          <w:szCs w:val="21"/>
          <w:highlight w:val="none"/>
        </w:rPr>
        <w:t>否则按无效投标处理</w:t>
      </w:r>
      <w:r>
        <w:rPr>
          <w:rFonts w:hint="eastAsia" w:ascii="宋体" w:hAnsi="宋体"/>
          <w:b w:val="0"/>
          <w:color w:val="auto"/>
          <w:sz w:val="21"/>
          <w:szCs w:val="21"/>
          <w:highlight w:val="none"/>
        </w:rPr>
        <w:t>。</w:t>
      </w:r>
    </w:p>
    <w:p w14:paraId="378E44F4">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19.4投标文件中标注的投标人名称应与主体资格证明（如营业执照或者事业单位法人证书或者执业许可证或者登记证书等）及公章一致，并与广西政府采购云平台中获取招标文件的投标人名称一致，投标人为自然人的，标注的投标人名称应与身份证姓名及签名一致，</w:t>
      </w:r>
      <w:r>
        <w:rPr>
          <w:rFonts w:hint="eastAsia" w:ascii="宋体" w:hAnsi="宋体"/>
          <w:color w:val="auto"/>
          <w:sz w:val="21"/>
          <w:szCs w:val="21"/>
          <w:highlight w:val="none"/>
        </w:rPr>
        <w:t>否则按无效投标处理</w:t>
      </w:r>
      <w:r>
        <w:rPr>
          <w:rFonts w:hint="eastAsia" w:ascii="宋体" w:hAnsi="宋体"/>
          <w:b w:val="0"/>
          <w:color w:val="auto"/>
          <w:sz w:val="21"/>
          <w:szCs w:val="21"/>
          <w:highlight w:val="none"/>
        </w:rPr>
        <w:t>。</w:t>
      </w:r>
    </w:p>
    <w:p w14:paraId="3FC5D08A">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19.5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14:paraId="32C4ABEF">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20.电子备份投标文件</w:t>
      </w:r>
    </w:p>
    <w:p w14:paraId="25C39EE1">
      <w:pPr>
        <w:spacing w:line="360" w:lineRule="auto"/>
        <w:ind w:firstLine="420" w:firstLineChars="200"/>
        <w:rPr>
          <w:rFonts w:hint="eastAsia" w:ascii="黑体" w:hAnsi="黑体" w:eastAsia="黑体"/>
          <w:color w:val="auto"/>
          <w:sz w:val="24"/>
          <w:highlight w:val="none"/>
        </w:rPr>
      </w:pPr>
      <w:r>
        <w:rPr>
          <w:rFonts w:hint="eastAsia"/>
          <w:color w:val="auto"/>
          <w:highlight w:val="none"/>
        </w:rPr>
        <w:t>电子备份投标文件是指通过在线编制生成且后缀名为“</w:t>
      </w:r>
      <w:r>
        <w:rPr>
          <w:color w:val="auto"/>
          <w:highlight w:val="none"/>
        </w:rPr>
        <w:t>bfbs</w:t>
      </w:r>
      <w:r>
        <w:rPr>
          <w:rFonts w:hint="eastAsia"/>
          <w:color w:val="auto"/>
          <w:highlight w:val="none"/>
        </w:rPr>
        <w:t>”的文件，是否接受电子备份投标文件详见</w:t>
      </w:r>
      <w:r>
        <w:rPr>
          <w:rFonts w:hint="eastAsia" w:hAnsi="宋体"/>
          <w:bCs/>
          <w:color w:val="auto"/>
          <w:szCs w:val="21"/>
          <w:highlight w:val="none"/>
        </w:rPr>
        <w:t>“投标人须知前附表”。</w:t>
      </w:r>
    </w:p>
    <w:p w14:paraId="2788902E">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21.投标文件的提交</w:t>
      </w:r>
    </w:p>
    <w:p w14:paraId="457428A7">
      <w:pPr>
        <w:spacing w:line="360" w:lineRule="auto"/>
        <w:ind w:firstLine="420" w:firstLineChars="200"/>
        <w:rPr>
          <w:rFonts w:hint="eastAsia" w:hAnsi="宋体"/>
          <w:b/>
          <w:color w:val="auto"/>
          <w:highlight w:val="none"/>
        </w:rPr>
      </w:pPr>
      <w:bookmarkStart w:id="152" w:name="_21.1投标人必须在“投标人须知中的前附表”规定的投标文件接收时间和投"/>
      <w:bookmarkEnd w:id="152"/>
      <w:r>
        <w:rPr>
          <w:rFonts w:hint="eastAsia" w:hAnsi="宋体"/>
          <w:bCs/>
          <w:color w:val="auto"/>
          <w:szCs w:val="21"/>
          <w:highlight w:val="none"/>
        </w:rPr>
        <w:t>21.1投标人必须在“投标人须知前附表”规定的</w:t>
      </w:r>
      <w:r>
        <w:rPr>
          <w:rFonts w:hint="eastAsia" w:ascii="宋体" w:hAnsi="宋体"/>
          <w:color w:val="auto"/>
          <w:szCs w:val="21"/>
          <w:highlight w:val="none"/>
        </w:rPr>
        <w:t>提交投标文件截止时间前将</w:t>
      </w:r>
      <w:r>
        <w:rPr>
          <w:rFonts w:hint="eastAsia" w:hAnsi="宋体"/>
          <w:bCs/>
          <w:color w:val="auto"/>
          <w:szCs w:val="21"/>
          <w:highlight w:val="none"/>
        </w:rPr>
        <w:t>电子投标文件提交至投标地点。电子投标文件应在制作完成后，</w:t>
      </w:r>
      <w:r>
        <w:rPr>
          <w:rFonts w:hAnsi="宋体"/>
          <w:bCs/>
          <w:color w:val="auto"/>
          <w:szCs w:val="21"/>
          <w:highlight w:val="none"/>
        </w:rPr>
        <w:t>在投标截止时间前</w:t>
      </w:r>
      <w:r>
        <w:rPr>
          <w:rFonts w:hint="eastAsia" w:hAnsi="宋体"/>
          <w:bCs/>
          <w:color w:val="auto"/>
          <w:szCs w:val="21"/>
          <w:highlight w:val="none"/>
        </w:rPr>
        <w:t>通过有效数字证书（CA认证锁）进行电子签章、加密，然后通过网络将加密的电子投标文件递交至</w:t>
      </w:r>
      <w:r>
        <w:rPr>
          <w:rFonts w:hint="eastAsia" w:ascii="宋体" w:hAnsi="宋体"/>
          <w:b/>
          <w:color w:val="auto"/>
          <w:szCs w:val="21"/>
          <w:highlight w:val="none"/>
        </w:rPr>
        <w:t>广西政府采购云平台</w:t>
      </w:r>
      <w:r>
        <w:rPr>
          <w:rFonts w:hint="eastAsia" w:hAnsi="宋体"/>
          <w:bCs/>
          <w:color w:val="auto"/>
          <w:szCs w:val="21"/>
          <w:highlight w:val="none"/>
        </w:rPr>
        <w:t xml:space="preserve">。 </w:t>
      </w:r>
      <w:r>
        <w:rPr>
          <w:rFonts w:hint="eastAsia" w:hAnsi="宋体"/>
          <w:b/>
          <w:color w:val="auto"/>
          <w:highlight w:val="none"/>
        </w:rPr>
        <w:t xml:space="preserve"> </w:t>
      </w:r>
    </w:p>
    <w:p w14:paraId="70E160E2">
      <w:pPr>
        <w:spacing w:line="360" w:lineRule="auto"/>
        <w:ind w:firstLine="422" w:firstLineChars="200"/>
        <w:rPr>
          <w:rFonts w:hint="eastAsia" w:ascii="宋体" w:hAnsi="宋体"/>
          <w:b/>
          <w:color w:val="auto"/>
          <w:szCs w:val="20"/>
          <w:highlight w:val="none"/>
        </w:rPr>
      </w:pPr>
      <w:r>
        <w:rPr>
          <w:rFonts w:hint="eastAsia" w:ascii="宋体" w:hAnsi="宋体"/>
          <w:b/>
          <w:color w:val="auto"/>
          <w:szCs w:val="21"/>
          <w:highlight w:val="none"/>
        </w:rPr>
        <w:t>21.</w:t>
      </w:r>
      <w:r>
        <w:rPr>
          <w:rFonts w:ascii="宋体" w:hAnsi="宋体"/>
          <w:b/>
          <w:color w:val="auto"/>
          <w:szCs w:val="21"/>
          <w:highlight w:val="none"/>
        </w:rPr>
        <w:t>2</w:t>
      </w:r>
      <w:r>
        <w:rPr>
          <w:rFonts w:hint="eastAsia" w:ascii="宋体" w:hAnsi="宋体"/>
          <w:b/>
          <w:color w:val="auto"/>
          <w:szCs w:val="21"/>
          <w:highlight w:val="none"/>
        </w:rPr>
        <w:t>未在规定时间内提交或者未按照招标文件要求加密的电子投标文件，广西政府采购云平台将拒收。</w:t>
      </w:r>
    </w:p>
    <w:p w14:paraId="70CE49D5">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22. 投标文件的补充、修改、撤回与退回</w:t>
      </w:r>
    </w:p>
    <w:p w14:paraId="41FE1891">
      <w:pPr>
        <w:snapToGrid w:val="0"/>
        <w:spacing w:line="360" w:lineRule="auto"/>
        <w:ind w:firstLine="420"/>
        <w:jc w:val="left"/>
        <w:rPr>
          <w:rFonts w:hint="eastAsia" w:ascii="宋体" w:hAnsi="宋体"/>
          <w:color w:val="auto"/>
          <w:szCs w:val="21"/>
          <w:highlight w:val="none"/>
        </w:rPr>
      </w:pPr>
      <w:bookmarkStart w:id="153" w:name="_Toc254970684"/>
      <w:bookmarkStart w:id="154" w:name="_Toc254970543"/>
      <w:r>
        <w:rPr>
          <w:rFonts w:ascii="宋体" w:hAnsi="宋体" w:cs="宋体"/>
          <w:color w:val="auto"/>
          <w:szCs w:val="21"/>
          <w:highlight w:val="none"/>
        </w:rPr>
        <w:t>22</w:t>
      </w:r>
      <w:r>
        <w:rPr>
          <w:rFonts w:hint="eastAsia" w:ascii="宋体" w:hAnsi="宋体" w:cs="宋体"/>
          <w:color w:val="auto"/>
          <w:szCs w:val="21"/>
          <w:highlight w:val="none"/>
        </w:rPr>
        <w:t>.1</w:t>
      </w:r>
      <w:r>
        <w:rPr>
          <w:rFonts w:hint="eastAsia" w:ascii="宋体" w:hAnsi="宋体"/>
          <w:bCs/>
          <w:color w:val="auto"/>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r>
        <w:rPr>
          <w:rFonts w:hint="eastAsia" w:ascii="宋体" w:hAnsi="宋体" w:cs="宋体"/>
          <w:color w:val="auto"/>
          <w:szCs w:val="21"/>
          <w:highlight w:val="none"/>
        </w:rPr>
        <w:t>（补充、修改或者撤回方式可</w:t>
      </w:r>
      <w:r>
        <w:rPr>
          <w:rFonts w:hint="eastAsia" w:ascii="宋体" w:hAnsi="宋体"/>
          <w:color w:val="auto"/>
          <w:szCs w:val="21"/>
          <w:highlight w:val="none"/>
        </w:rPr>
        <w:t>登录</w:t>
      </w:r>
      <w:r>
        <w:rPr>
          <w:rFonts w:hint="eastAsia" w:ascii="宋体" w:hAnsi="宋体" w:cs="宋体"/>
          <w:color w:val="auto"/>
          <w:kern w:val="0"/>
          <w:szCs w:val="21"/>
          <w:highlight w:val="none"/>
        </w:rPr>
        <w:t>广西政府采购云平台，</w:t>
      </w:r>
      <w:r>
        <w:rPr>
          <w:rFonts w:hint="eastAsia" w:ascii="宋体" w:hAnsi="宋体"/>
          <w:color w:val="auto"/>
          <w:szCs w:val="21"/>
          <w:highlight w:val="none"/>
        </w:rPr>
        <w:t>依次进入“服务中心”中查看</w:t>
      </w:r>
      <w:r>
        <w:rPr>
          <w:rFonts w:hint="eastAsia" w:ascii="宋体" w:hAnsi="宋体" w:cs="宋体"/>
          <w:color w:val="auto"/>
          <w:szCs w:val="21"/>
          <w:highlight w:val="none"/>
        </w:rPr>
        <w:t xml:space="preserve"> “电子投标文件制作与投送教程”）</w:t>
      </w:r>
    </w:p>
    <w:bookmarkEnd w:id="153"/>
    <w:bookmarkEnd w:id="154"/>
    <w:p w14:paraId="6692AE3E">
      <w:pPr>
        <w:pStyle w:val="116"/>
        <w:spacing w:before="0"/>
        <w:ind w:firstLine="420"/>
        <w:rPr>
          <w:rFonts w:hint="eastAsia" w:ascii="宋体" w:hAnsi="宋体" w:cs="宋体"/>
          <w:color w:val="auto"/>
          <w:sz w:val="21"/>
          <w:szCs w:val="21"/>
          <w:highlight w:val="none"/>
        </w:rPr>
      </w:pPr>
      <w:r>
        <w:rPr>
          <w:rFonts w:ascii="宋体" w:hAnsi="宋体" w:cs="宋体"/>
          <w:color w:val="auto"/>
          <w:sz w:val="21"/>
          <w:szCs w:val="21"/>
          <w:highlight w:val="none"/>
        </w:rPr>
        <w:t>22.</w:t>
      </w:r>
      <w:r>
        <w:rPr>
          <w:rFonts w:hint="eastAsia" w:ascii="宋体" w:hAnsi="宋体" w:cs="宋体"/>
          <w:color w:val="auto"/>
          <w:sz w:val="21"/>
          <w:szCs w:val="21"/>
          <w:highlight w:val="none"/>
        </w:rPr>
        <w:t>2广西政府采购云平台收到投标文件后向供应商发出确认回执通知。在投标截止时间前，除供应商补充、修改或者撤回投标文件外，任何单位和个人不得解密或提取投标文件。</w:t>
      </w:r>
    </w:p>
    <w:p w14:paraId="6010E83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w:t>
      </w:r>
      <w:r>
        <w:rPr>
          <w:rFonts w:ascii="宋体" w:hAnsi="宋体" w:cs="宋体"/>
          <w:color w:val="auto"/>
          <w:szCs w:val="21"/>
          <w:highlight w:val="none"/>
        </w:rPr>
        <w:t>3</w:t>
      </w:r>
      <w:r>
        <w:rPr>
          <w:rFonts w:hint="eastAsia" w:ascii="宋体" w:hAnsi="宋体" w:cs="宋体"/>
          <w:color w:val="auto"/>
          <w:szCs w:val="21"/>
          <w:highlight w:val="none"/>
        </w:rPr>
        <w:t>在投标截止时间后，采购人和采购代理机构对已提交的投标文件概不退回。</w:t>
      </w:r>
    </w:p>
    <w:p w14:paraId="30A4C8A2">
      <w:pPr>
        <w:pStyle w:val="4"/>
        <w:keepNext w:val="0"/>
        <w:keepLines w:val="0"/>
        <w:jc w:val="center"/>
        <w:rPr>
          <w:rFonts w:hint="eastAsia"/>
          <w:color w:val="auto"/>
          <w:highlight w:val="none"/>
        </w:rPr>
      </w:pPr>
      <w:bookmarkStart w:id="155" w:name="_Toc254970544"/>
      <w:bookmarkStart w:id="156" w:name="_Toc254970685"/>
      <w:r>
        <w:rPr>
          <w:rFonts w:hint="eastAsia"/>
          <w:color w:val="auto"/>
          <w:highlight w:val="none"/>
        </w:rPr>
        <w:t>四、开    标</w:t>
      </w:r>
      <w:bookmarkEnd w:id="155"/>
      <w:bookmarkEnd w:id="156"/>
    </w:p>
    <w:p w14:paraId="565122F0">
      <w:pPr>
        <w:pStyle w:val="6"/>
        <w:keepNext w:val="0"/>
        <w:keepLines w:val="0"/>
        <w:spacing w:before="0" w:after="0" w:line="360" w:lineRule="auto"/>
        <w:ind w:left="420" w:leftChars="200"/>
        <w:rPr>
          <w:rFonts w:hint="eastAsia" w:ascii="黑体" w:hAnsi="黑体" w:eastAsia="黑体"/>
          <w:color w:val="auto"/>
          <w:sz w:val="24"/>
          <w:highlight w:val="none"/>
        </w:rPr>
      </w:pPr>
      <w:bookmarkStart w:id="157" w:name="_23.开标时间和地点"/>
      <w:bookmarkEnd w:id="157"/>
      <w:r>
        <w:rPr>
          <w:rFonts w:hint="eastAsia" w:ascii="黑体" w:hAnsi="黑体" w:eastAsia="黑体"/>
          <w:color w:val="auto"/>
          <w:sz w:val="24"/>
          <w:highlight w:val="none"/>
        </w:rPr>
        <w:t>23.开标时间和地点</w:t>
      </w:r>
    </w:p>
    <w:p w14:paraId="5FC805C2">
      <w:pPr>
        <w:spacing w:line="360" w:lineRule="auto"/>
        <w:ind w:firstLine="420" w:firstLineChars="200"/>
        <w:rPr>
          <w:rFonts w:hint="eastAsia" w:hAnsi="宋体"/>
          <w:bCs/>
          <w:color w:val="auto"/>
          <w:highlight w:val="none"/>
        </w:rPr>
      </w:pPr>
      <w:r>
        <w:rPr>
          <w:rFonts w:hint="eastAsia" w:hAnsi="宋体"/>
          <w:bCs/>
          <w:color w:val="auto"/>
          <w:highlight w:val="none"/>
        </w:rPr>
        <w:t>开标时间及地点详见“投标人须知前附表”</w:t>
      </w:r>
    </w:p>
    <w:p w14:paraId="7048B1E2">
      <w:pPr>
        <w:pStyle w:val="6"/>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24.开标程序</w:t>
      </w:r>
    </w:p>
    <w:p w14:paraId="2BAFF204">
      <w:pPr>
        <w:pStyle w:val="7"/>
        <w:spacing w:line="360" w:lineRule="auto"/>
        <w:rPr>
          <w:color w:val="auto"/>
          <w:highlight w:val="none"/>
        </w:rPr>
      </w:pPr>
      <w:r>
        <w:rPr>
          <w:rFonts w:hint="eastAsia"/>
          <w:color w:val="auto"/>
          <w:highlight w:val="none"/>
        </w:rPr>
        <w:t>2</w:t>
      </w:r>
      <w:r>
        <w:rPr>
          <w:color w:val="auto"/>
          <w:highlight w:val="none"/>
        </w:rPr>
        <w:t>4.1</w:t>
      </w:r>
      <w:r>
        <w:rPr>
          <w:rFonts w:hint="eastAsia"/>
          <w:color w:val="auto"/>
          <w:highlight w:val="none"/>
        </w:rPr>
        <w:t>提交投标文件截止时间止，投标人不足3家的，不得开标。</w:t>
      </w:r>
    </w:p>
    <w:p w14:paraId="66F44613">
      <w:pPr>
        <w:pStyle w:val="7"/>
        <w:spacing w:line="360" w:lineRule="auto"/>
        <w:rPr>
          <w:color w:val="auto"/>
          <w:highlight w:val="none"/>
        </w:rPr>
      </w:pPr>
      <w:r>
        <w:rPr>
          <w:rFonts w:hint="eastAsia"/>
          <w:color w:val="auto"/>
          <w:highlight w:val="none"/>
        </w:rPr>
        <w:t>24.</w:t>
      </w:r>
      <w:r>
        <w:rPr>
          <w:color w:val="auto"/>
          <w:highlight w:val="none"/>
        </w:rPr>
        <w:t>2</w:t>
      </w:r>
      <w:r>
        <w:rPr>
          <w:rFonts w:hint="eastAsia"/>
          <w:color w:val="auto"/>
          <w:highlight w:val="none"/>
        </w:rPr>
        <w:t>采购代理机构将按照招标文件规定的时间通过广西政府采购云平台组织线上开标活动，所有供应商均应当准时在线参加，投标人因未在线参加开标而导致投标文件无法按时解密等一切后果由投标人自己承担。</w:t>
      </w:r>
    </w:p>
    <w:p w14:paraId="00B6BA8C">
      <w:pPr>
        <w:pStyle w:val="7"/>
        <w:spacing w:line="360" w:lineRule="auto"/>
        <w:rPr>
          <w:rFonts w:hint="eastAsia"/>
          <w:color w:val="auto"/>
          <w:highlight w:val="none"/>
        </w:rPr>
      </w:pPr>
      <w:r>
        <w:rPr>
          <w:rFonts w:hint="eastAsia"/>
          <w:color w:val="auto"/>
          <w:highlight w:val="none"/>
        </w:rPr>
        <w:t>24.</w:t>
      </w:r>
      <w:r>
        <w:rPr>
          <w:color w:val="auto"/>
          <w:highlight w:val="none"/>
        </w:rPr>
        <w:t>3</w:t>
      </w:r>
      <w:r>
        <w:rPr>
          <w:rFonts w:hint="eastAsia"/>
          <w:color w:val="auto"/>
          <w:highlight w:val="none"/>
        </w:rPr>
        <w:t>开标程序</w:t>
      </w:r>
    </w:p>
    <w:p w14:paraId="45901A3F">
      <w:pPr>
        <w:pStyle w:val="7"/>
        <w:spacing w:line="360" w:lineRule="auto"/>
        <w:rPr>
          <w:rFonts w:hint="eastAsia"/>
          <w:color w:val="auto"/>
          <w:highlight w:val="none"/>
        </w:rPr>
      </w:pPr>
      <w:r>
        <w:rPr>
          <w:rFonts w:hint="eastAsia"/>
          <w:color w:val="auto"/>
          <w:highlight w:val="none"/>
        </w:rPr>
        <w:t>（1）解密电子投标文件。广西政府采购云平台按开标时间自动提取所有投标文件。采购代理机构依托广西政府采购云平台向各投标人发出电子加密投标文件【开始解密】通知，由投标人按</w:t>
      </w:r>
      <w:r>
        <w:rPr>
          <w:rFonts w:hint="eastAsia" w:hAnsi="宋体"/>
          <w:bCs/>
          <w:color w:val="auto"/>
          <w:szCs w:val="21"/>
          <w:highlight w:val="none"/>
        </w:rPr>
        <w:t>“投标人须知前附表”</w:t>
      </w:r>
      <w:r>
        <w:rPr>
          <w:rFonts w:hint="eastAsia"/>
          <w:color w:val="auto"/>
          <w:highlight w:val="none"/>
        </w:rPr>
        <w:t>规定的时间内自行进行投标文件解密。投标人的法定代表人或其委托代理人须凭加密时所用的CA锁准时登录到广西政府采购云平台电子开标大厅签到并对电子投标文件解密。</w:t>
      </w:r>
      <w:r>
        <w:rPr>
          <w:b/>
          <w:color w:val="auto"/>
          <w:highlight w:val="none"/>
        </w:rPr>
        <w:t>投标人</w:t>
      </w:r>
      <w:r>
        <w:rPr>
          <w:rFonts w:hint="eastAsia"/>
          <w:b/>
          <w:color w:val="auto"/>
          <w:highlight w:val="none"/>
        </w:rPr>
        <w:t>未在</w:t>
      </w:r>
      <w:r>
        <w:rPr>
          <w:b/>
          <w:color w:val="auto"/>
          <w:highlight w:val="none"/>
        </w:rPr>
        <w:t>规定的时间内解密</w:t>
      </w:r>
      <w:r>
        <w:rPr>
          <w:rFonts w:hint="eastAsia"/>
          <w:b/>
          <w:color w:val="auto"/>
          <w:highlight w:val="none"/>
        </w:rPr>
        <w:t>投标文件</w:t>
      </w:r>
      <w:r>
        <w:rPr>
          <w:b/>
          <w:color w:val="auto"/>
          <w:highlight w:val="none"/>
        </w:rPr>
        <w:t>或</w:t>
      </w:r>
      <w:r>
        <w:rPr>
          <w:rFonts w:hint="eastAsia"/>
          <w:b/>
          <w:color w:val="auto"/>
          <w:highlight w:val="none"/>
        </w:rPr>
        <w:t>者</w:t>
      </w:r>
      <w:r>
        <w:rPr>
          <w:b/>
          <w:color w:val="auto"/>
          <w:highlight w:val="none"/>
        </w:rPr>
        <w:t>解密失败的</w:t>
      </w:r>
      <w:r>
        <w:rPr>
          <w:rFonts w:hint="eastAsia"/>
          <w:b/>
          <w:color w:val="auto"/>
          <w:highlight w:val="none"/>
        </w:rPr>
        <w:t>，</w:t>
      </w:r>
      <w:r>
        <w:rPr>
          <w:rFonts w:hint="eastAsia" w:ascii="宋体" w:hAnsi="宋体"/>
          <w:b/>
          <w:color w:val="auto"/>
          <w:szCs w:val="21"/>
          <w:highlight w:val="none"/>
        </w:rPr>
        <w:t>投标人的投标文件作无效处理</w:t>
      </w:r>
      <w:r>
        <w:rPr>
          <w:b/>
          <w:color w:val="auto"/>
          <w:highlight w:val="none"/>
        </w:rPr>
        <w:t>。</w:t>
      </w:r>
    </w:p>
    <w:p w14:paraId="5AD33529">
      <w:pPr>
        <w:pStyle w:val="7"/>
        <w:spacing w:line="360" w:lineRule="auto"/>
        <w:rPr>
          <w:rFonts w:hint="eastAsia"/>
          <w:color w:val="auto"/>
          <w:highlight w:val="none"/>
        </w:rPr>
      </w:pPr>
      <w:r>
        <w:rPr>
          <w:rFonts w:hint="eastAsia"/>
          <w:color w:val="auto"/>
          <w:highlight w:val="none"/>
        </w:rPr>
        <w:t>（2）电子唱标。投标文件解密结束，宣布的内容均在广西政府采购云平台远程开标大厅展示，具体详见</w:t>
      </w:r>
      <w:r>
        <w:rPr>
          <w:rFonts w:hint="eastAsia" w:hAnsi="宋体"/>
          <w:bCs/>
          <w:color w:val="auto"/>
          <w:highlight w:val="none"/>
        </w:rPr>
        <w:t>“投标人须知前附表”</w:t>
      </w:r>
      <w:r>
        <w:rPr>
          <w:rFonts w:hint="eastAsia"/>
          <w:color w:val="auto"/>
          <w:highlight w:val="none"/>
        </w:rPr>
        <w:t>；</w:t>
      </w:r>
    </w:p>
    <w:p w14:paraId="3DD353CF">
      <w:pPr>
        <w:pStyle w:val="7"/>
        <w:spacing w:line="360" w:lineRule="auto"/>
        <w:rPr>
          <w:rFonts w:hint="eastAsia"/>
          <w:color w:val="auto"/>
          <w:highlight w:val="none"/>
        </w:rPr>
      </w:pPr>
      <w:r>
        <w:rPr>
          <w:rFonts w:hint="eastAsia"/>
          <w:color w:val="auto"/>
          <w:highlight w:val="none"/>
        </w:rPr>
        <w:t>（3）开标过程由采购代理机构如实记录，并电子留痕，由参加电子开标的各投标人代表对电子开标记录在开标记录公布后15分钟内进行当场校核及勘误，并线上确认是否有异议，未确认的视同认可开标结果。</w:t>
      </w:r>
    </w:p>
    <w:p w14:paraId="49849BAF">
      <w:pPr>
        <w:pStyle w:val="7"/>
        <w:spacing w:line="360" w:lineRule="auto"/>
        <w:rPr>
          <w:rFonts w:hint="eastAsia"/>
          <w:color w:val="auto"/>
          <w:highlight w:val="none"/>
        </w:rPr>
      </w:pPr>
      <w:r>
        <w:rPr>
          <w:rFonts w:hint="eastAsia"/>
          <w:color w:val="auto"/>
          <w:highlight w:val="none"/>
        </w:rPr>
        <w:t>（4）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475EE552">
      <w:pPr>
        <w:pStyle w:val="7"/>
        <w:spacing w:line="360" w:lineRule="auto"/>
        <w:rPr>
          <w:rFonts w:hint="eastAsia"/>
          <w:color w:val="auto"/>
          <w:szCs w:val="21"/>
          <w:highlight w:val="none"/>
        </w:rPr>
      </w:pPr>
      <w:r>
        <w:rPr>
          <w:rFonts w:hint="eastAsia"/>
          <w:color w:val="auto"/>
          <w:szCs w:val="21"/>
          <w:highlight w:val="none"/>
        </w:rPr>
        <w:t>（5）开标结束。</w:t>
      </w:r>
    </w:p>
    <w:p w14:paraId="0C1D3B65">
      <w:pPr>
        <w:pStyle w:val="25"/>
        <w:snapToGrid w:val="0"/>
        <w:spacing w:line="360" w:lineRule="auto"/>
        <w:ind w:firstLine="420" w:firstLineChars="200"/>
        <w:rPr>
          <w:rFonts w:hint="eastAsia" w:hAnsi="宋体"/>
          <w:color w:val="auto"/>
          <w:sz w:val="21"/>
          <w:highlight w:val="none"/>
        </w:rPr>
      </w:pPr>
      <w:r>
        <w:rPr>
          <w:rFonts w:hint="eastAsia"/>
          <w:color w:val="auto"/>
          <w:sz w:val="21"/>
          <w:highlight w:val="none"/>
        </w:rPr>
        <w:t>特别说明：如遇广西政府采购云平台电子化开标或评审程序调整的，按调整后执行。</w:t>
      </w:r>
    </w:p>
    <w:p w14:paraId="13CDB6C0">
      <w:pPr>
        <w:pStyle w:val="25"/>
        <w:snapToGrid w:val="0"/>
        <w:spacing w:line="360" w:lineRule="auto"/>
        <w:ind w:left="689" w:leftChars="228" w:hanging="210" w:hangingChars="100"/>
        <w:rPr>
          <w:rFonts w:hint="eastAsia" w:hAnsi="宋体"/>
          <w:color w:val="auto"/>
          <w:sz w:val="21"/>
          <w:highlight w:val="none"/>
        </w:rPr>
      </w:pPr>
    </w:p>
    <w:p w14:paraId="6BED328C">
      <w:pPr>
        <w:pStyle w:val="4"/>
        <w:keepNext w:val="0"/>
        <w:keepLines w:val="0"/>
        <w:jc w:val="center"/>
        <w:rPr>
          <w:rFonts w:hint="eastAsia"/>
          <w:color w:val="auto"/>
          <w:highlight w:val="none"/>
        </w:rPr>
      </w:pPr>
      <w:r>
        <w:rPr>
          <w:rFonts w:hint="eastAsia"/>
          <w:color w:val="auto"/>
          <w:highlight w:val="none"/>
        </w:rPr>
        <w:t>五、资格审查</w:t>
      </w:r>
    </w:p>
    <w:p w14:paraId="535DB789">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25.资格审查</w:t>
      </w:r>
    </w:p>
    <w:p w14:paraId="1C6C60BA">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25.1</w:t>
      </w:r>
      <w:r>
        <w:rPr>
          <w:rFonts w:ascii="宋体" w:hAnsi="宋体"/>
          <w:b w:val="0"/>
          <w:color w:val="auto"/>
          <w:sz w:val="21"/>
          <w:szCs w:val="21"/>
          <w:highlight w:val="none"/>
        </w:rPr>
        <w:t>开标结束后，</w:t>
      </w:r>
      <w:r>
        <w:rPr>
          <w:rFonts w:hint="eastAsia" w:ascii="宋体" w:hAnsi="宋体"/>
          <w:b w:val="0"/>
          <w:color w:val="auto"/>
          <w:sz w:val="21"/>
          <w:szCs w:val="21"/>
          <w:highlight w:val="none"/>
        </w:rPr>
        <w:t>采购人或者采购代理机构通过电子开评标系统依据招标文件对电子投标文件进行线上资格审查</w:t>
      </w:r>
      <w:r>
        <w:rPr>
          <w:rFonts w:ascii="宋体" w:hAnsi="宋体"/>
          <w:b w:val="0"/>
          <w:color w:val="auto"/>
          <w:sz w:val="21"/>
          <w:szCs w:val="21"/>
          <w:highlight w:val="none"/>
        </w:rPr>
        <w:t>。</w:t>
      </w:r>
    </w:p>
    <w:p w14:paraId="37D41F87">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25.2资格审查标准为本招标文件中载明对投标人资格要求的条件。本项目资格审查采用合格制，凡符合招标文件规定的投标人资格要求的投标人均通过资格审查。</w:t>
      </w:r>
    </w:p>
    <w:p w14:paraId="35AAF81E">
      <w:pPr>
        <w:pStyle w:val="6"/>
        <w:keepNext w:val="0"/>
        <w:keepLines w:val="0"/>
        <w:numPr>
          <w:ilvl w:val="0"/>
          <w:numId w:val="0"/>
        </w:numPr>
        <w:spacing w:before="0" w:after="0" w:line="360" w:lineRule="auto"/>
        <w:ind w:firstLine="422" w:firstLineChars="200"/>
        <w:rPr>
          <w:rFonts w:hint="eastAsia" w:ascii="宋体" w:hAnsi="宋体"/>
          <w:color w:val="auto"/>
          <w:sz w:val="21"/>
          <w:szCs w:val="21"/>
          <w:highlight w:val="none"/>
        </w:rPr>
      </w:pPr>
      <w:bookmarkStart w:id="158" w:name="_25.3_投标人有下列情形之一的，资格审查不通过而导致其投标无效："/>
      <w:bookmarkEnd w:id="158"/>
      <w:r>
        <w:rPr>
          <w:rFonts w:hint="eastAsia" w:ascii="宋体" w:hAnsi="宋体"/>
          <w:color w:val="auto"/>
          <w:sz w:val="21"/>
          <w:szCs w:val="21"/>
          <w:highlight w:val="none"/>
        </w:rPr>
        <w:t>25.3 投标人有下列情形之一的，资格审查不通过，作无效投标处理：</w:t>
      </w:r>
    </w:p>
    <w:p w14:paraId="37195AEB">
      <w:pPr>
        <w:pStyle w:val="25"/>
        <w:snapToGrid w:val="0"/>
        <w:spacing w:line="360" w:lineRule="auto"/>
        <w:ind w:firstLine="422" w:firstLineChars="200"/>
        <w:rPr>
          <w:rFonts w:hAnsi="宋体"/>
          <w:b/>
          <w:color w:val="auto"/>
          <w:sz w:val="21"/>
          <w:highlight w:val="none"/>
        </w:rPr>
      </w:pPr>
      <w:r>
        <w:rPr>
          <w:rFonts w:hint="eastAsia" w:hAnsi="宋体"/>
          <w:b/>
          <w:color w:val="auto"/>
          <w:sz w:val="21"/>
          <w:highlight w:val="none"/>
        </w:rPr>
        <w:t>（1）不具备招标文件中规定的资格要求的；</w:t>
      </w:r>
    </w:p>
    <w:p w14:paraId="4035F86B">
      <w:pPr>
        <w:pStyle w:val="25"/>
        <w:snapToGrid w:val="0"/>
        <w:spacing w:line="360" w:lineRule="auto"/>
        <w:ind w:firstLine="422" w:firstLineChars="200"/>
        <w:rPr>
          <w:rFonts w:hAnsi="宋体"/>
          <w:b/>
          <w:color w:val="auto"/>
          <w:sz w:val="21"/>
          <w:highlight w:val="none"/>
        </w:rPr>
      </w:pPr>
      <w:r>
        <w:rPr>
          <w:rFonts w:hint="eastAsia" w:hAnsi="宋体"/>
          <w:b/>
          <w:color w:val="auto"/>
          <w:sz w:val="21"/>
          <w:highlight w:val="none"/>
        </w:rPr>
        <w:t>（2）在“信用中国”网站（www.creditchina.gov.cn）、中国政府采购网（www.ccgp.gov.cn）被列入失信被执行人、重大税收违法失信主体、政府采购严重违法失信行为记录名单及其他不符合《中华人民共和国政府采购法》第二十二条规定条件的</w:t>
      </w:r>
      <w:r>
        <w:rPr>
          <w:rFonts w:hint="eastAsia" w:hAnsi="宋体"/>
          <w:b/>
          <w:color w:val="auto"/>
          <w:sz w:val="21"/>
          <w:highlight w:val="none"/>
          <w:lang w:val="en-US" w:eastAsia="zh-CN"/>
        </w:rPr>
        <w:t>及“中国证券监督管理委员会网站”（http://www.csrc.gov.cn/）中的市场诚信信息查询平台有违法违规失信记录</w:t>
      </w:r>
      <w:r>
        <w:rPr>
          <w:rFonts w:hint="eastAsia" w:hAnsi="宋体"/>
          <w:b/>
          <w:color w:val="auto"/>
          <w:sz w:val="21"/>
          <w:highlight w:val="none"/>
        </w:rPr>
        <w:t>的；（注：其中信用查询规则见“投标人须知前附表”）</w:t>
      </w:r>
    </w:p>
    <w:p w14:paraId="3B8637E7">
      <w:pPr>
        <w:pStyle w:val="25"/>
        <w:snapToGrid w:val="0"/>
        <w:spacing w:line="360" w:lineRule="auto"/>
        <w:ind w:firstLine="422" w:firstLineChars="200"/>
        <w:rPr>
          <w:rFonts w:hint="eastAsia" w:hAnsi="宋体"/>
          <w:b/>
          <w:color w:val="auto"/>
          <w:sz w:val="21"/>
          <w:highlight w:val="none"/>
        </w:rPr>
      </w:pPr>
      <w:r>
        <w:rPr>
          <w:rFonts w:hint="eastAsia" w:hAnsi="宋体"/>
          <w:b/>
          <w:color w:val="auto"/>
          <w:sz w:val="21"/>
          <w:highlight w:val="none"/>
        </w:rPr>
        <w:t>（3）同一合同项下的不同投标人，单位负责人为同一人或者存在直接控股、管理关系的；为本项目提供过整体设计、规范编制或者项目管理、监理、检测等服务的供应商，再参加该采购项目的其他采购活动的；</w:t>
      </w:r>
    </w:p>
    <w:p w14:paraId="449EC534">
      <w:pPr>
        <w:pStyle w:val="25"/>
        <w:snapToGrid w:val="0"/>
        <w:spacing w:line="360" w:lineRule="auto"/>
        <w:ind w:firstLine="422" w:firstLineChars="200"/>
        <w:rPr>
          <w:rFonts w:hint="eastAsia" w:hAnsi="宋体"/>
          <w:b/>
          <w:color w:val="auto"/>
          <w:sz w:val="21"/>
          <w:highlight w:val="none"/>
        </w:rPr>
      </w:pPr>
      <w:r>
        <w:rPr>
          <w:rFonts w:hint="eastAsia" w:hAnsi="宋体"/>
          <w:b/>
          <w:color w:val="auto"/>
          <w:sz w:val="21"/>
          <w:highlight w:val="none"/>
        </w:rPr>
        <w:t>（4）投标文件中的资格证明文件缺少任一项“投标人须知前附表”资格证明文件规定“必须提供”的文件资料的；</w:t>
      </w:r>
    </w:p>
    <w:p w14:paraId="107EE47E">
      <w:pPr>
        <w:pStyle w:val="25"/>
        <w:snapToGrid w:val="0"/>
        <w:spacing w:line="360" w:lineRule="auto"/>
        <w:ind w:firstLine="422" w:firstLineChars="200"/>
        <w:rPr>
          <w:rFonts w:hint="eastAsia" w:hAnsi="宋体"/>
          <w:b/>
          <w:color w:val="auto"/>
          <w:sz w:val="21"/>
          <w:highlight w:val="none"/>
        </w:rPr>
      </w:pPr>
      <w:r>
        <w:rPr>
          <w:rFonts w:hint="eastAsia" w:hAnsi="宋体"/>
          <w:b/>
          <w:color w:val="auto"/>
          <w:sz w:val="21"/>
          <w:highlight w:val="none"/>
        </w:rPr>
        <w:t>（5）投标文件中的资格证明文件出现任一项不符合“投标人须知前附表”资格证明文件规定“必须提供”的文件资料要求或者无效的。</w:t>
      </w:r>
    </w:p>
    <w:p w14:paraId="09D1E1F2">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color w:val="auto"/>
          <w:sz w:val="21"/>
          <w:szCs w:val="21"/>
          <w:highlight w:val="none"/>
        </w:rPr>
        <w:t>25.4</w:t>
      </w:r>
      <w:r>
        <w:rPr>
          <w:rFonts w:ascii="宋体" w:hAnsi="宋体"/>
          <w:color w:val="auto"/>
          <w:sz w:val="21"/>
          <w:szCs w:val="21"/>
          <w:highlight w:val="none"/>
        </w:rPr>
        <w:t>合格投标人不足3家的，不得评标。</w:t>
      </w:r>
    </w:p>
    <w:p w14:paraId="57D4E84B">
      <w:pPr>
        <w:pStyle w:val="25"/>
        <w:snapToGrid w:val="0"/>
        <w:spacing w:line="360" w:lineRule="auto"/>
        <w:ind w:left="689" w:leftChars="228" w:hanging="210" w:hangingChars="100"/>
        <w:rPr>
          <w:rFonts w:hint="eastAsia" w:hAnsi="宋体"/>
          <w:color w:val="auto"/>
          <w:sz w:val="21"/>
          <w:highlight w:val="none"/>
        </w:rPr>
      </w:pPr>
    </w:p>
    <w:p w14:paraId="5B9FBF15">
      <w:pPr>
        <w:pStyle w:val="4"/>
        <w:keepNext w:val="0"/>
        <w:keepLines w:val="0"/>
        <w:jc w:val="center"/>
        <w:rPr>
          <w:rFonts w:hint="eastAsia"/>
          <w:color w:val="auto"/>
          <w:highlight w:val="none"/>
        </w:rPr>
      </w:pPr>
      <w:r>
        <w:rPr>
          <w:rFonts w:hint="eastAsia"/>
          <w:color w:val="auto"/>
          <w:highlight w:val="none"/>
        </w:rPr>
        <w:t>六、评   标</w:t>
      </w:r>
    </w:p>
    <w:p w14:paraId="58E1C49B">
      <w:pPr>
        <w:pStyle w:val="6"/>
        <w:keepNext w:val="0"/>
        <w:keepLines w:val="0"/>
        <w:spacing w:before="0" w:after="0" w:line="360" w:lineRule="auto"/>
        <w:ind w:left="420" w:leftChars="200"/>
        <w:rPr>
          <w:rFonts w:hint="eastAsia" w:ascii="黑体" w:hAnsi="黑体" w:eastAsia="黑体"/>
          <w:color w:val="auto"/>
          <w:sz w:val="24"/>
          <w:highlight w:val="none"/>
        </w:rPr>
      </w:pPr>
      <w:bookmarkStart w:id="159" w:name="_26.组建评标委员会"/>
      <w:bookmarkEnd w:id="159"/>
      <w:r>
        <w:rPr>
          <w:rFonts w:hint="eastAsia" w:ascii="黑体" w:hAnsi="黑体" w:eastAsia="黑体"/>
          <w:color w:val="auto"/>
          <w:sz w:val="24"/>
          <w:highlight w:val="none"/>
        </w:rPr>
        <w:t>26.组建评标委员会</w:t>
      </w:r>
    </w:p>
    <w:p w14:paraId="45C619D6">
      <w:pPr>
        <w:pStyle w:val="25"/>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26.1评标委员会由采购人代表和评审专家组成，具体人数详见“投标人须知前附表”，其中评审专家不得少于成员总数的三分之二。</w:t>
      </w:r>
    </w:p>
    <w:p w14:paraId="67E7F6F8">
      <w:pPr>
        <w:pStyle w:val="25"/>
        <w:snapToGrid w:val="0"/>
        <w:spacing w:line="360" w:lineRule="auto"/>
        <w:ind w:left="2" w:leftChars="1" w:firstLine="420" w:firstLineChars="200"/>
        <w:rPr>
          <w:rFonts w:hint="eastAsia" w:hAnsi="宋体"/>
          <w:color w:val="auto"/>
          <w:sz w:val="21"/>
          <w:highlight w:val="none"/>
        </w:rPr>
      </w:pPr>
      <w:r>
        <w:rPr>
          <w:rFonts w:hint="eastAsia" w:hAnsi="宋体"/>
          <w:color w:val="auto"/>
          <w:sz w:val="21"/>
          <w:highlight w:val="none"/>
        </w:rPr>
        <w:t>26.2参加过采购项目前期咨询论证的专家，不得参加该采购项目的评审活动。</w:t>
      </w:r>
    </w:p>
    <w:p w14:paraId="7BE22D06">
      <w:pPr>
        <w:pStyle w:val="25"/>
        <w:snapToGrid w:val="0"/>
        <w:spacing w:line="360" w:lineRule="auto"/>
        <w:ind w:left="2" w:leftChars="1" w:firstLine="420" w:firstLineChars="200"/>
        <w:rPr>
          <w:rFonts w:hint="eastAsia" w:hAnsi="宋体"/>
          <w:color w:val="auto"/>
          <w:sz w:val="21"/>
          <w:highlight w:val="none"/>
        </w:rPr>
      </w:pPr>
      <w:r>
        <w:rPr>
          <w:rFonts w:hint="eastAsia" w:hAnsi="宋体"/>
          <w:color w:val="auto"/>
          <w:sz w:val="21"/>
          <w:highlight w:val="none"/>
        </w:rPr>
        <w:t>26.3</w:t>
      </w:r>
      <w:r>
        <w:rPr>
          <w:rFonts w:hint="eastAsia" w:hAnsi="宋体"/>
          <w:bCs/>
          <w:color w:val="auto"/>
          <w:sz w:val="21"/>
          <w:highlight w:val="none"/>
        </w:rPr>
        <w:t>采购代理机构应当基于广西政府采购云平台抽（选）取评审专家。</w:t>
      </w:r>
    </w:p>
    <w:p w14:paraId="739BE6F0">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27.评标的依据</w:t>
      </w:r>
    </w:p>
    <w:p w14:paraId="28A627C7">
      <w:pPr>
        <w:pStyle w:val="25"/>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评标委员会以</w:t>
      </w:r>
      <w:r>
        <w:rPr>
          <w:rFonts w:hint="eastAsia" w:hAnsi="宋体" w:cs="宋体"/>
          <w:color w:val="auto"/>
          <w:sz w:val="21"/>
          <w:highlight w:val="none"/>
        </w:rPr>
        <w:t>“第四章 评标方法和评标标准”</w:t>
      </w:r>
      <w:r>
        <w:rPr>
          <w:rFonts w:hint="eastAsia" w:hAnsi="宋体"/>
          <w:color w:val="auto"/>
          <w:sz w:val="21"/>
          <w:highlight w:val="none"/>
        </w:rPr>
        <w:t>为依据对投标文件进行评审，</w:t>
      </w:r>
      <w:r>
        <w:rPr>
          <w:rFonts w:hAnsi="宋体"/>
          <w:color w:val="auto"/>
          <w:sz w:val="21"/>
          <w:highlight w:val="none"/>
        </w:rPr>
        <w:t>没有规定的方法、评审因素和标准，不作为评标依据。</w:t>
      </w:r>
    </w:p>
    <w:p w14:paraId="1869F3F0">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28.评标原则</w:t>
      </w:r>
    </w:p>
    <w:p w14:paraId="17084F05">
      <w:pPr>
        <w:pStyle w:val="25"/>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1C8E5D1B">
      <w:pPr>
        <w:pStyle w:val="25"/>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28.2</w:t>
      </w:r>
      <w:bookmarkStart w:id="160" w:name="_28.3评标方法。本项目将按须知前附表规定的评标办法进行评标，具体评标"/>
      <w:bookmarkEnd w:id="160"/>
      <w:r>
        <w:rPr>
          <w:rFonts w:hint="eastAsia" w:hAnsi="宋体"/>
          <w:color w:val="auto"/>
          <w:sz w:val="21"/>
          <w:highlight w:val="none"/>
        </w:rPr>
        <w:t>评委表决。评标委员会成员对需要共同认定的事项存在争议的，应当按照少数服从多数的原则作出结论。</w:t>
      </w:r>
    </w:p>
    <w:p w14:paraId="1B8FC935">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28.</w:t>
      </w:r>
      <w:r>
        <w:rPr>
          <w:rFonts w:hAnsi="宋体"/>
          <w:color w:val="auto"/>
          <w:sz w:val="21"/>
          <w:highlight w:val="none"/>
        </w:rPr>
        <w:t>3</w:t>
      </w:r>
      <w:r>
        <w:rPr>
          <w:rFonts w:hint="eastAsia" w:hAnsi="宋体"/>
          <w:color w:val="auto"/>
          <w:sz w:val="21"/>
          <w:highlight w:val="none"/>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36E97C4A">
      <w:pPr>
        <w:pStyle w:val="25"/>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w:t>
      </w:r>
      <w:r>
        <w:rPr>
          <w:rFonts w:hAnsi="宋体"/>
          <w:color w:val="auto"/>
          <w:sz w:val="21"/>
          <w:highlight w:val="none"/>
        </w:rPr>
        <w:t>8.4</w:t>
      </w:r>
      <w:r>
        <w:rPr>
          <w:rFonts w:hint="eastAsia" w:hAnsi="宋体"/>
          <w:color w:val="auto"/>
          <w:sz w:val="21"/>
          <w:highlight w:val="none"/>
        </w:rPr>
        <w:t>评标过程的监控。本项目电子评标过程实行网上留痕、全程录音、录像监控，</w:t>
      </w:r>
      <w:r>
        <w:rPr>
          <w:rFonts w:hint="eastAsia" w:hAnsi="宋体"/>
          <w:b/>
          <w:color w:val="auto"/>
          <w:sz w:val="21"/>
          <w:highlight w:val="none"/>
        </w:rPr>
        <w:t>投标人在评标过程中所进行的试图影响评标结果的不公正活动，可能导致其投标按无效处理。</w:t>
      </w:r>
    </w:p>
    <w:p w14:paraId="375F0304">
      <w:pPr>
        <w:pStyle w:val="6"/>
        <w:keepNext w:val="0"/>
        <w:keepLines w:val="0"/>
        <w:spacing w:before="0" w:after="0" w:line="360" w:lineRule="auto"/>
        <w:ind w:left="420" w:leftChars="200"/>
        <w:rPr>
          <w:rFonts w:hint="eastAsia" w:ascii="黑体" w:hAnsi="黑体" w:eastAsia="黑体"/>
          <w:color w:val="auto"/>
          <w:sz w:val="21"/>
          <w:szCs w:val="21"/>
          <w:highlight w:val="none"/>
        </w:rPr>
      </w:pPr>
      <w:r>
        <w:rPr>
          <w:rFonts w:hint="eastAsia" w:ascii="黑体" w:hAnsi="黑体" w:eastAsia="黑体"/>
          <w:color w:val="auto"/>
          <w:sz w:val="21"/>
          <w:szCs w:val="21"/>
          <w:highlight w:val="none"/>
        </w:rPr>
        <w:t>29.评标方法及中标候选人推荐</w:t>
      </w:r>
    </w:p>
    <w:p w14:paraId="03A48665">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2</w:t>
      </w:r>
      <w:r>
        <w:rPr>
          <w:rFonts w:hAnsi="宋体"/>
          <w:color w:val="auto"/>
          <w:sz w:val="21"/>
          <w:highlight w:val="none"/>
        </w:rPr>
        <w:t>9.1</w:t>
      </w:r>
      <w:r>
        <w:rPr>
          <w:rFonts w:hint="eastAsia" w:hAnsi="宋体"/>
          <w:color w:val="auto"/>
          <w:sz w:val="21"/>
          <w:highlight w:val="none"/>
        </w:rPr>
        <w:t>本项目的评标方法详见“投标人须知前附表”。</w:t>
      </w:r>
    </w:p>
    <w:p w14:paraId="6F3CA7A0">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2</w:t>
      </w:r>
      <w:r>
        <w:rPr>
          <w:rFonts w:hAnsi="宋体"/>
          <w:color w:val="auto"/>
          <w:sz w:val="21"/>
          <w:highlight w:val="none"/>
        </w:rPr>
        <w:t>9.2</w:t>
      </w:r>
      <w:r>
        <w:rPr>
          <w:rFonts w:hAnsi="宋体" w:cs="宋体"/>
          <w:color w:val="auto"/>
          <w:sz w:val="21"/>
          <w:highlight w:val="none"/>
        </w:rPr>
        <w:t xml:space="preserve"> </w:t>
      </w:r>
      <w:r>
        <w:rPr>
          <w:rFonts w:hint="eastAsia" w:hAnsi="宋体" w:cs="宋体"/>
          <w:color w:val="auto"/>
          <w:sz w:val="21"/>
          <w:highlight w:val="none"/>
        </w:rPr>
        <w:t>商务/技术要求</w:t>
      </w:r>
      <w:r>
        <w:rPr>
          <w:rFonts w:hint="eastAsia" w:hAnsi="宋体"/>
          <w:color w:val="auto"/>
          <w:sz w:val="21"/>
          <w:highlight w:val="none"/>
        </w:rPr>
        <w:t>允许负偏离的条款数</w:t>
      </w:r>
      <w:r>
        <w:rPr>
          <w:rFonts w:hAnsi="宋体"/>
          <w:color w:val="auto"/>
          <w:sz w:val="21"/>
          <w:highlight w:val="none"/>
        </w:rPr>
        <w:t>详见</w:t>
      </w:r>
      <w:r>
        <w:rPr>
          <w:rFonts w:hint="eastAsia" w:hAnsi="宋体"/>
          <w:color w:val="auto"/>
          <w:sz w:val="21"/>
          <w:highlight w:val="none"/>
        </w:rPr>
        <w:t>“投标人须知前附表”。</w:t>
      </w:r>
    </w:p>
    <w:p w14:paraId="76006539">
      <w:pPr>
        <w:pStyle w:val="25"/>
        <w:snapToGrid w:val="0"/>
        <w:spacing w:line="360" w:lineRule="auto"/>
        <w:ind w:firstLine="420" w:firstLineChars="200"/>
        <w:rPr>
          <w:rFonts w:hint="eastAsia" w:hAnsi="宋体" w:cs="宋体"/>
          <w:color w:val="auto"/>
          <w:sz w:val="21"/>
          <w:highlight w:val="none"/>
        </w:rPr>
      </w:pPr>
      <w:r>
        <w:rPr>
          <w:rFonts w:hint="eastAsia" w:hAnsi="宋体"/>
          <w:color w:val="auto"/>
          <w:sz w:val="21"/>
          <w:highlight w:val="none"/>
        </w:rPr>
        <w:t>2</w:t>
      </w:r>
      <w:r>
        <w:rPr>
          <w:rFonts w:hAnsi="宋体"/>
          <w:color w:val="auto"/>
          <w:sz w:val="21"/>
          <w:highlight w:val="none"/>
        </w:rPr>
        <w:t>9.3</w:t>
      </w:r>
      <w:r>
        <w:rPr>
          <w:rFonts w:hAnsi="宋体" w:cs="宋体"/>
          <w:color w:val="auto"/>
          <w:sz w:val="21"/>
          <w:highlight w:val="none"/>
        </w:rPr>
        <w:t xml:space="preserve"> </w:t>
      </w:r>
      <w:r>
        <w:rPr>
          <w:rFonts w:hAnsi="宋体"/>
          <w:color w:val="auto"/>
          <w:sz w:val="21"/>
          <w:highlight w:val="none"/>
        </w:rPr>
        <w:t>中标候选人推荐数量详见</w:t>
      </w:r>
      <w:r>
        <w:rPr>
          <w:rFonts w:hint="eastAsia" w:hAnsi="宋体"/>
          <w:color w:val="auto"/>
          <w:sz w:val="21"/>
          <w:highlight w:val="none"/>
        </w:rPr>
        <w:t>“投标人须知前附表”。</w:t>
      </w:r>
    </w:p>
    <w:p w14:paraId="4831473B">
      <w:pPr>
        <w:pStyle w:val="25"/>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29.</w:t>
      </w:r>
      <w:r>
        <w:rPr>
          <w:rFonts w:hAnsi="宋体"/>
          <w:color w:val="auto"/>
          <w:sz w:val="21"/>
          <w:highlight w:val="none"/>
        </w:rPr>
        <w:t>4</w:t>
      </w:r>
      <w:r>
        <w:rPr>
          <w:rFonts w:hint="eastAsia" w:hAnsi="宋体"/>
          <w:color w:val="auto"/>
          <w:sz w:val="21"/>
          <w:highlight w:val="none"/>
        </w:rPr>
        <w:t xml:space="preserve"> 电子交易活动的中止。采购过程中出现以下情形，导致电子交易平台无法正常运行，或者无法保证电子交易的公平、公正和安全时，采购代理机构可以中止电子交易活动：</w:t>
      </w:r>
    </w:p>
    <w:p w14:paraId="7E93B989">
      <w:pPr>
        <w:pStyle w:val="25"/>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 xml:space="preserve">（1）电子交易平台发生故障而无法登录访问的； </w:t>
      </w:r>
    </w:p>
    <w:p w14:paraId="513AFC65">
      <w:pPr>
        <w:pStyle w:val="25"/>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（2）电子交易平台应用或数据库出现错误，不能进行正常操作的；</w:t>
      </w:r>
    </w:p>
    <w:p w14:paraId="713CCB0B">
      <w:pPr>
        <w:pStyle w:val="25"/>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（3）电子交易平台发现严重安全漏洞，有潜在泄密危险的；</w:t>
      </w:r>
    </w:p>
    <w:p w14:paraId="0D667F89">
      <w:pPr>
        <w:pStyle w:val="25"/>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 xml:space="preserve">（4）病毒发作导致不能进行正常操作的； </w:t>
      </w:r>
    </w:p>
    <w:p w14:paraId="3C6BB294">
      <w:pPr>
        <w:pStyle w:val="25"/>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（5）其他无法保证电子交易的公平、公正和安全的情况。</w:t>
      </w:r>
    </w:p>
    <w:p w14:paraId="29274C69">
      <w:pPr>
        <w:pStyle w:val="25"/>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w:t>
      </w:r>
      <w:r>
        <w:rPr>
          <w:rFonts w:hint="eastAsia" w:hAnsi="宋体"/>
          <w:color w:val="auto"/>
          <w:sz w:val="21"/>
          <w:highlight w:val="none"/>
          <w:lang w:val="en-US" w:eastAsia="zh-CN"/>
        </w:rPr>
        <w:t>做出</w:t>
      </w:r>
      <w:r>
        <w:rPr>
          <w:rFonts w:hint="eastAsia" w:hAnsi="宋体"/>
          <w:color w:val="auto"/>
          <w:sz w:val="21"/>
          <w:highlight w:val="none"/>
        </w:rPr>
        <w:t>妥善保密处理，并报财政部门备案。</w:t>
      </w:r>
    </w:p>
    <w:p w14:paraId="5616277B">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29.5出现下列情形之一的，应予废标：</w:t>
      </w:r>
    </w:p>
    <w:p w14:paraId="146080D2">
      <w:pPr>
        <w:pStyle w:val="25"/>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（1）符合专业条件的供应商或者对招标文件作实质响应的供应商不足三家的；</w:t>
      </w:r>
    </w:p>
    <w:p w14:paraId="19C7E361">
      <w:pPr>
        <w:pStyle w:val="25"/>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（2）出现影响采购公正的违法、违规行为的；</w:t>
      </w:r>
    </w:p>
    <w:p w14:paraId="432C6C91">
      <w:pPr>
        <w:pStyle w:val="25"/>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（3）投标人的报价均超过了采购预算，采购人不能支付的；</w:t>
      </w:r>
    </w:p>
    <w:p w14:paraId="14B40951">
      <w:pPr>
        <w:pStyle w:val="25"/>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（4）因重大变故，采购任务取消的。</w:t>
      </w:r>
    </w:p>
    <w:p w14:paraId="402BCDCE">
      <w:pPr>
        <w:pStyle w:val="25"/>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废标后，采购人应当将废标理由通知所有投标人。</w:t>
      </w:r>
    </w:p>
    <w:p w14:paraId="7CACF6CC">
      <w:pPr>
        <w:pStyle w:val="25"/>
        <w:snapToGrid w:val="0"/>
        <w:spacing w:line="360" w:lineRule="auto"/>
        <w:rPr>
          <w:rFonts w:hint="eastAsia" w:hAnsi="宋体"/>
          <w:color w:val="auto"/>
          <w:sz w:val="21"/>
          <w:highlight w:val="none"/>
        </w:rPr>
      </w:pPr>
    </w:p>
    <w:p w14:paraId="0D5FDAF7">
      <w:pPr>
        <w:pStyle w:val="4"/>
        <w:keepNext w:val="0"/>
        <w:keepLines w:val="0"/>
        <w:jc w:val="center"/>
        <w:rPr>
          <w:rFonts w:hint="eastAsia"/>
          <w:color w:val="auto"/>
          <w:highlight w:val="none"/>
        </w:rPr>
      </w:pPr>
      <w:bookmarkStart w:id="161" w:name="_Toc254970546"/>
      <w:bookmarkStart w:id="162" w:name="_Toc254970687"/>
      <w:r>
        <w:rPr>
          <w:rFonts w:hint="eastAsia"/>
          <w:color w:val="auto"/>
          <w:highlight w:val="none"/>
        </w:rPr>
        <w:t>七、</w:t>
      </w:r>
      <w:bookmarkEnd w:id="161"/>
      <w:bookmarkEnd w:id="162"/>
      <w:r>
        <w:rPr>
          <w:rFonts w:hint="eastAsia"/>
          <w:color w:val="auto"/>
          <w:highlight w:val="none"/>
        </w:rPr>
        <w:t>中标和合同</w:t>
      </w:r>
    </w:p>
    <w:p w14:paraId="298D86E0">
      <w:pPr>
        <w:pStyle w:val="6"/>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30</w:t>
      </w:r>
      <w:r>
        <w:rPr>
          <w:rFonts w:ascii="黑体" w:hAnsi="黑体" w:eastAsia="黑体"/>
          <w:color w:val="auto"/>
          <w:sz w:val="24"/>
          <w:highlight w:val="none"/>
        </w:rPr>
        <w:t xml:space="preserve"> </w:t>
      </w:r>
      <w:r>
        <w:rPr>
          <w:rFonts w:hint="eastAsia" w:ascii="黑体" w:hAnsi="黑体" w:eastAsia="黑体"/>
          <w:color w:val="auto"/>
          <w:sz w:val="24"/>
          <w:highlight w:val="none"/>
        </w:rPr>
        <w:t>确定中标人</w:t>
      </w:r>
    </w:p>
    <w:p w14:paraId="37EC7E95">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ascii="宋体" w:hAnsi="宋体"/>
          <w:b w:val="0"/>
          <w:color w:val="auto"/>
          <w:sz w:val="21"/>
          <w:szCs w:val="21"/>
          <w:highlight w:val="none"/>
        </w:rPr>
        <w:t>30.1</w:t>
      </w:r>
      <w:r>
        <w:rPr>
          <w:rFonts w:hint="eastAsia" w:ascii="宋体" w:hAnsi="宋体"/>
          <w:b w:val="0"/>
          <w:color w:val="auto"/>
          <w:sz w:val="21"/>
          <w:szCs w:val="21"/>
          <w:highlight w:val="none"/>
        </w:rPr>
        <w:t>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432C9159">
      <w:pPr>
        <w:snapToGrid w:val="0"/>
        <w:spacing w:line="360" w:lineRule="auto"/>
        <w:ind w:firstLine="420" w:firstLineChars="200"/>
        <w:rPr>
          <w:rFonts w:hint="eastAsia" w:ascii="宋体" w:hAnsi="宋体" w:cs="Courier New"/>
          <w:color w:val="auto"/>
          <w:szCs w:val="21"/>
          <w:highlight w:val="none"/>
        </w:rPr>
      </w:pPr>
      <w:r>
        <w:rPr>
          <w:rFonts w:ascii="宋体" w:hAnsi="宋体" w:cs="Courier New"/>
          <w:color w:val="auto"/>
          <w:szCs w:val="21"/>
          <w:highlight w:val="none"/>
        </w:rPr>
        <w:t>30.2</w:t>
      </w:r>
      <w:r>
        <w:rPr>
          <w:rFonts w:hint="eastAsia" w:ascii="宋体" w:hAnsi="宋体" w:cs="Courier New"/>
          <w:color w:val="auto"/>
          <w:szCs w:val="21"/>
          <w:highlight w:val="none"/>
        </w:rPr>
        <w:t>采购人在收到评标报告5个工作日内未按评标报告推荐的中标候选人顺序确定中标人，又不能说明合法理由的，视同按评标报告推荐的顺序确定排名第一的中标候选人为中标人。</w:t>
      </w:r>
    </w:p>
    <w:p w14:paraId="58AD59CC">
      <w:pPr>
        <w:pStyle w:val="6"/>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31. 结果公告</w:t>
      </w:r>
    </w:p>
    <w:p w14:paraId="0460A7FB">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3</w:t>
      </w:r>
      <w:r>
        <w:rPr>
          <w:rFonts w:ascii="宋体" w:hAnsi="宋体"/>
          <w:b w:val="0"/>
          <w:color w:val="auto"/>
          <w:sz w:val="21"/>
          <w:szCs w:val="21"/>
          <w:highlight w:val="none"/>
        </w:rPr>
        <w:t>1.1</w:t>
      </w:r>
      <w:r>
        <w:rPr>
          <w:rFonts w:hint="eastAsia" w:ascii="宋体" w:hAnsi="宋体"/>
          <w:b w:val="0"/>
          <w:color w:val="auto"/>
          <w:sz w:val="21"/>
          <w:szCs w:val="21"/>
          <w:highlight w:val="none"/>
        </w:rPr>
        <w:t>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w:t>
      </w:r>
    </w:p>
    <w:p w14:paraId="76C40CD0">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以上信息查询记录及相关证据与招标文件一并保存。</w:t>
      </w:r>
    </w:p>
    <w:p w14:paraId="65C07020">
      <w:pPr>
        <w:pStyle w:val="6"/>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31.2</w:t>
      </w:r>
      <w:r>
        <w:rPr>
          <w:rFonts w:hint="eastAsia" w:ascii="宋体" w:hAnsi="宋体"/>
          <w:b w:val="0"/>
          <w:color w:val="auto"/>
          <w:sz w:val="21"/>
          <w:szCs w:val="21"/>
          <w:highlight w:val="none"/>
          <w:lang w:eastAsia="zh-CN"/>
        </w:rPr>
        <w:t>中标人</w:t>
      </w:r>
      <w:r>
        <w:rPr>
          <w:rFonts w:hint="eastAsia" w:ascii="宋体" w:hAnsi="宋体"/>
          <w:b w:val="0"/>
          <w:color w:val="auto"/>
          <w:sz w:val="21"/>
          <w:szCs w:val="21"/>
          <w:highlight w:val="none"/>
        </w:rPr>
        <w:t>享受《政府采购促进中小企业发展管理办法》（财库〔2020〕46号）规定的中小企业扶持政策的，采购人、采购代理机构应当随中标结果公开</w:t>
      </w:r>
      <w:r>
        <w:rPr>
          <w:rFonts w:hint="eastAsia" w:ascii="宋体" w:hAnsi="宋体"/>
          <w:b w:val="0"/>
          <w:color w:val="auto"/>
          <w:sz w:val="21"/>
          <w:szCs w:val="21"/>
          <w:highlight w:val="none"/>
          <w:lang w:eastAsia="zh-CN"/>
        </w:rPr>
        <w:t>中标人</w:t>
      </w:r>
      <w:r>
        <w:rPr>
          <w:rFonts w:hint="eastAsia" w:ascii="宋体" w:hAnsi="宋体"/>
          <w:b w:val="0"/>
          <w:color w:val="auto"/>
          <w:sz w:val="21"/>
          <w:szCs w:val="21"/>
          <w:highlight w:val="none"/>
        </w:rPr>
        <w:t>的《中小企业声明函》。</w:t>
      </w:r>
    </w:p>
    <w:p w14:paraId="2308FCFE">
      <w:pPr>
        <w:pStyle w:val="6"/>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32.发出中标通知书</w:t>
      </w:r>
    </w:p>
    <w:p w14:paraId="6BF4ADF4">
      <w:pPr>
        <w:pStyle w:val="6"/>
        <w:keepNext w:val="0"/>
        <w:keepLines w:val="0"/>
        <w:spacing w:before="0" w:after="0" w:line="360" w:lineRule="auto"/>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w:t>
      </w:r>
      <w:r>
        <w:rPr>
          <w:rFonts w:ascii="宋体" w:hAnsi="宋体"/>
          <w:b w:val="0"/>
          <w:color w:val="auto"/>
          <w:sz w:val="21"/>
          <w:szCs w:val="21"/>
          <w:highlight w:val="none"/>
        </w:rPr>
        <w:t xml:space="preserve">   </w:t>
      </w:r>
      <w:r>
        <w:rPr>
          <w:rFonts w:hint="eastAsia" w:ascii="宋体" w:hAnsi="宋体"/>
          <w:b w:val="0"/>
          <w:color w:val="auto"/>
          <w:sz w:val="21"/>
          <w:szCs w:val="21"/>
          <w:highlight w:val="none"/>
        </w:rPr>
        <w:t>在发布中标公告的同时，采购代理机构向中标人通过广西政府采购云平台发出电子中标通知书。对未通过资格审查的投标人，应当告知其未通过的原因；采用综合评分办法评审的，还应当告知未中标人本人的评审得分与排序。</w:t>
      </w:r>
    </w:p>
    <w:p w14:paraId="48537FE2">
      <w:pPr>
        <w:pStyle w:val="6"/>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33. 无义务解释未中标原因</w:t>
      </w:r>
    </w:p>
    <w:p w14:paraId="37FDB060">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采购代理机构无义务向未中标的投标人解释未中标原因。</w:t>
      </w:r>
    </w:p>
    <w:p w14:paraId="18DC71AD">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34.合同授予标准</w:t>
      </w:r>
    </w:p>
    <w:p w14:paraId="43CAAF1B">
      <w:pPr>
        <w:snapToGrid w:val="0"/>
        <w:spacing w:line="360" w:lineRule="auto"/>
        <w:ind w:firstLine="420" w:firstLineChars="200"/>
        <w:rPr>
          <w:rFonts w:hint="eastAsia" w:ascii="宋体" w:hAnsi="宋体"/>
          <w:color w:val="auto"/>
          <w:szCs w:val="21"/>
          <w:highlight w:val="none"/>
        </w:rPr>
      </w:pPr>
      <w:r>
        <w:rPr>
          <w:rFonts w:hint="eastAsia" w:ascii="宋体" w:hAnsi="宋体" w:cs="Courier New"/>
          <w:color w:val="auto"/>
          <w:szCs w:val="21"/>
          <w:highlight w:val="none"/>
        </w:rPr>
        <w:t>合同将授予被确定实质上响应招标文件要求，具备履行合同能力的中标人。</w:t>
      </w:r>
    </w:p>
    <w:p w14:paraId="4DC11F98">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35.履约保证金</w:t>
      </w:r>
    </w:p>
    <w:p w14:paraId="418EFE65">
      <w:pPr>
        <w:pStyle w:val="6"/>
        <w:keepNext w:val="0"/>
        <w:keepLines w:val="0"/>
        <w:spacing w:before="0" w:after="0" w:line="360" w:lineRule="auto"/>
        <w:ind w:firstLine="315" w:firstLineChars="150"/>
        <w:rPr>
          <w:rFonts w:hint="eastAsia" w:ascii="宋体" w:hAnsi="宋体"/>
          <w:b w:val="0"/>
          <w:color w:val="auto"/>
          <w:sz w:val="21"/>
          <w:szCs w:val="21"/>
          <w:highlight w:val="none"/>
        </w:rPr>
      </w:pPr>
      <w:bookmarkStart w:id="163" w:name="_39.1中标人须于签订合同前按本须知前附表规定的金额转账或电汇到指定账"/>
      <w:bookmarkEnd w:id="163"/>
      <w:r>
        <w:rPr>
          <w:rFonts w:ascii="宋体" w:hAnsi="宋体"/>
          <w:b w:val="0"/>
          <w:color w:val="auto"/>
          <w:sz w:val="21"/>
          <w:szCs w:val="21"/>
          <w:highlight w:val="none"/>
        </w:rPr>
        <w:t xml:space="preserve"> </w:t>
      </w:r>
      <w:r>
        <w:rPr>
          <w:rFonts w:hint="eastAsia" w:ascii="宋体" w:hAnsi="宋体"/>
          <w:b w:val="0"/>
          <w:color w:val="auto"/>
          <w:sz w:val="21"/>
          <w:szCs w:val="21"/>
          <w:highlight w:val="none"/>
        </w:rPr>
        <w:t>3</w:t>
      </w:r>
      <w:r>
        <w:rPr>
          <w:rFonts w:ascii="宋体" w:hAnsi="宋体"/>
          <w:b w:val="0"/>
          <w:color w:val="auto"/>
          <w:sz w:val="21"/>
          <w:szCs w:val="21"/>
          <w:highlight w:val="none"/>
        </w:rPr>
        <w:t>5</w:t>
      </w:r>
      <w:r>
        <w:rPr>
          <w:rFonts w:hint="eastAsia" w:ascii="宋体" w:hAnsi="宋体"/>
          <w:b w:val="0"/>
          <w:color w:val="auto"/>
          <w:sz w:val="21"/>
          <w:szCs w:val="21"/>
          <w:highlight w:val="none"/>
        </w:rPr>
        <w:t>.1 履约保证金的金额、提交方式、缴纳期限、退付的时间和条件详见 “投标人须知前附表”。中标人未按规定提交履约保证金的，视为拒绝与采购人签订合同。</w:t>
      </w:r>
    </w:p>
    <w:p w14:paraId="113358D2">
      <w:pPr>
        <w:pStyle w:val="6"/>
        <w:keepNext w:val="0"/>
        <w:keepLines w:val="0"/>
        <w:spacing w:before="0" w:after="0" w:line="360" w:lineRule="auto"/>
        <w:ind w:firstLine="316" w:firstLineChars="150"/>
        <w:rPr>
          <w:rFonts w:hint="eastAsia" w:ascii="宋体" w:hAnsi="宋体"/>
          <w:color w:val="auto"/>
          <w:sz w:val="21"/>
          <w:szCs w:val="21"/>
          <w:highlight w:val="none"/>
        </w:rPr>
      </w:pPr>
      <w:r>
        <w:rPr>
          <w:rFonts w:hint="eastAsia" w:ascii="宋体" w:hAnsi="宋体"/>
          <w:color w:val="auto"/>
          <w:sz w:val="21"/>
          <w:szCs w:val="21"/>
          <w:highlight w:val="none"/>
        </w:rPr>
        <w:t xml:space="preserve"> </w:t>
      </w:r>
      <w:r>
        <w:rPr>
          <w:rFonts w:hint="eastAsia" w:ascii="宋体" w:hAnsi="宋体"/>
          <w:b w:val="0"/>
          <w:bCs/>
          <w:color w:val="auto"/>
          <w:sz w:val="21"/>
          <w:szCs w:val="21"/>
          <w:highlight w:val="none"/>
        </w:rPr>
        <w:t>35.2在履约保证金退还日期前，若中标人的开户名称、开户银行、账号有变动的，请以书面形式通知履约保证金收取单位，否则由此产生的后果由中标人自行承担。</w:t>
      </w:r>
    </w:p>
    <w:p w14:paraId="43DD16B3">
      <w:pPr>
        <w:pStyle w:val="6"/>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36.签订合同</w:t>
      </w:r>
    </w:p>
    <w:p w14:paraId="316FEB0F">
      <w:pPr>
        <w:pStyle w:val="6"/>
        <w:keepNext w:val="0"/>
        <w:keepLines w:val="0"/>
        <w:spacing w:before="0" w:after="0" w:line="360" w:lineRule="auto"/>
        <w:ind w:firstLine="315" w:firstLineChars="150"/>
        <w:rPr>
          <w:rFonts w:hint="eastAsia" w:ascii="宋体" w:hAnsi="宋体"/>
          <w:b w:val="0"/>
          <w:color w:val="auto"/>
          <w:sz w:val="21"/>
          <w:szCs w:val="21"/>
          <w:highlight w:val="none"/>
        </w:rPr>
      </w:pPr>
      <w:bookmarkStart w:id="164" w:name="_40.1投标人接到中标通知书后，按须知前附表规定向采购人出示相关资格证"/>
      <w:bookmarkEnd w:id="164"/>
      <w:r>
        <w:rPr>
          <w:rFonts w:hint="eastAsia" w:ascii="宋体" w:hAnsi="宋体"/>
          <w:b w:val="0"/>
          <w:color w:val="auto"/>
          <w:sz w:val="21"/>
          <w:szCs w:val="21"/>
          <w:highlight w:val="none"/>
        </w:rPr>
        <w:t xml:space="preserve"> </w:t>
      </w:r>
      <w:r>
        <w:rPr>
          <w:rFonts w:hint="eastAsia" w:ascii="宋体" w:hAnsi="宋体"/>
          <w:color w:val="auto"/>
          <w:sz w:val="21"/>
          <w:szCs w:val="21"/>
          <w:highlight w:val="none"/>
        </w:rPr>
        <w:t>36.1签订电子采购合同：中标人领取电子中标通知书后，</w:t>
      </w:r>
      <w:r>
        <w:rPr>
          <w:rFonts w:hint="eastAsia" w:ascii="宋体" w:hAnsi="宋体"/>
          <w:color w:val="auto"/>
          <w:kern w:val="0"/>
          <w:sz w:val="21"/>
          <w:szCs w:val="21"/>
          <w:highlight w:val="none"/>
        </w:rPr>
        <w:t>在</w:t>
      </w:r>
      <w:r>
        <w:rPr>
          <w:rFonts w:hint="eastAsia" w:ascii="宋体" w:hAnsi="宋体"/>
          <w:color w:val="auto"/>
          <w:kern w:val="0"/>
          <w:sz w:val="21"/>
          <w:szCs w:val="21"/>
          <w:highlight w:val="none"/>
          <w:lang w:val="zh-CN"/>
        </w:rPr>
        <w:t>规定的日期、时间、地点，由法定代表人或其授权代表与采购人代表签订电子采购合同。如中标人为联合体的，由联合体成员各方法定代表人或其授权代表与采购人代表签订合同。</w:t>
      </w:r>
    </w:p>
    <w:p w14:paraId="6FF53D22">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线下签订纸质合同：投标人领取中标通知书后，按“投标人须知前附表”规定向采购人出示相关证明材料，经采购人核验合格后方可签订合同。</w:t>
      </w:r>
    </w:p>
    <w:p w14:paraId="74DECC9E">
      <w:pPr>
        <w:pStyle w:val="6"/>
        <w:keepNext w:val="0"/>
        <w:keepLines w:val="0"/>
        <w:numPr>
          <w:ilvl w:val="0"/>
          <w:numId w:val="0"/>
        </w:numPr>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36.2签订合同时间：按中标通知书规定的时间与采购人签订合同。</w:t>
      </w:r>
    </w:p>
    <w:p w14:paraId="2012A666">
      <w:pPr>
        <w:pStyle w:val="6"/>
        <w:keepNext w:val="0"/>
        <w:keepLines w:val="0"/>
        <w:spacing w:before="0" w:after="0" w:line="360" w:lineRule="auto"/>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36.</w:t>
      </w:r>
      <w:r>
        <w:rPr>
          <w:rFonts w:ascii="宋体" w:hAnsi="宋体"/>
          <w:b w:val="0"/>
          <w:color w:val="auto"/>
          <w:sz w:val="21"/>
          <w:szCs w:val="21"/>
          <w:highlight w:val="none"/>
        </w:rPr>
        <w:t>3</w:t>
      </w:r>
      <w:r>
        <w:rPr>
          <w:rFonts w:hint="eastAsia" w:ascii="宋体" w:hAnsi="宋体"/>
          <w:b w:val="0"/>
          <w:color w:val="auto"/>
          <w:sz w:val="21"/>
          <w:szCs w:val="21"/>
          <w:highlight w:val="none"/>
        </w:rPr>
        <w:t>中标人拒绝签订政府采购合同（包括但不限于放弃中标、因不可抗力不能履行合同而放弃签订合同），采购人可以按照评审报告推荐的中标候选人名单排序，确定下一候选人为</w:t>
      </w:r>
      <w:r>
        <w:rPr>
          <w:rFonts w:hint="eastAsia" w:ascii="宋体" w:hAnsi="宋体"/>
          <w:b w:val="0"/>
          <w:color w:val="auto"/>
          <w:sz w:val="21"/>
          <w:szCs w:val="21"/>
          <w:highlight w:val="none"/>
          <w:lang w:eastAsia="zh-CN"/>
        </w:rPr>
        <w:t>中标人</w:t>
      </w:r>
      <w:r>
        <w:rPr>
          <w:rFonts w:hint="eastAsia" w:ascii="宋体" w:hAnsi="宋体"/>
          <w:b w:val="0"/>
          <w:color w:val="auto"/>
          <w:sz w:val="21"/>
          <w:szCs w:val="21"/>
          <w:highlight w:val="none"/>
        </w:rPr>
        <w:t>，也可以重新开展政府采购活动。如采购人无正当理由拒签合同的，给</w:t>
      </w:r>
      <w:r>
        <w:rPr>
          <w:rFonts w:hint="eastAsia" w:ascii="宋体" w:hAnsi="宋体"/>
          <w:b w:val="0"/>
          <w:color w:val="auto"/>
          <w:sz w:val="21"/>
          <w:szCs w:val="21"/>
          <w:highlight w:val="none"/>
          <w:lang w:eastAsia="zh-CN"/>
        </w:rPr>
        <w:t>中标人</w:t>
      </w:r>
      <w:r>
        <w:rPr>
          <w:rFonts w:hint="eastAsia" w:ascii="宋体" w:hAnsi="宋体"/>
          <w:b w:val="0"/>
          <w:color w:val="auto"/>
          <w:sz w:val="21"/>
          <w:szCs w:val="21"/>
          <w:highlight w:val="none"/>
        </w:rPr>
        <w:t>造成损失的，</w:t>
      </w:r>
      <w:r>
        <w:rPr>
          <w:rFonts w:hint="eastAsia" w:ascii="宋体" w:hAnsi="宋体"/>
          <w:b w:val="0"/>
          <w:color w:val="auto"/>
          <w:sz w:val="21"/>
          <w:szCs w:val="21"/>
          <w:highlight w:val="none"/>
          <w:lang w:eastAsia="zh-CN"/>
        </w:rPr>
        <w:t>中标人</w:t>
      </w:r>
      <w:r>
        <w:rPr>
          <w:rFonts w:hint="eastAsia" w:ascii="宋体" w:hAnsi="宋体"/>
          <w:b w:val="0"/>
          <w:color w:val="auto"/>
          <w:sz w:val="21"/>
          <w:szCs w:val="21"/>
          <w:highlight w:val="none"/>
        </w:rPr>
        <w:t>可追究采购人承担相应的法律责任。</w:t>
      </w:r>
    </w:p>
    <w:p w14:paraId="7D0B01A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36.4政府采购合同是政府采购项目验收的依据，</w:t>
      </w:r>
      <w:r>
        <w:rPr>
          <w:rFonts w:hint="eastAsia" w:ascii="宋体" w:hAnsi="宋体"/>
          <w:color w:val="auto"/>
          <w:szCs w:val="21"/>
          <w:highlight w:val="none"/>
          <w:lang w:eastAsia="zh-CN"/>
        </w:rPr>
        <w:t>中标人</w:t>
      </w:r>
      <w:r>
        <w:rPr>
          <w:rFonts w:hint="eastAsia" w:ascii="宋体" w:hAnsi="宋体"/>
          <w:color w:val="auto"/>
          <w:szCs w:val="21"/>
          <w:highlight w:val="none"/>
        </w:rPr>
        <w:t>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5E84929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36.5采购人或</w:t>
      </w:r>
      <w:r>
        <w:rPr>
          <w:rFonts w:hint="eastAsia" w:ascii="宋体" w:hAnsi="宋体"/>
          <w:color w:val="auto"/>
          <w:szCs w:val="21"/>
          <w:highlight w:val="none"/>
          <w:lang w:eastAsia="zh-CN"/>
        </w:rPr>
        <w:t>中标人</w:t>
      </w:r>
      <w:r>
        <w:rPr>
          <w:rFonts w:hint="eastAsia" w:ascii="宋体" w:hAnsi="宋体"/>
          <w:color w:val="auto"/>
          <w:szCs w:val="21"/>
          <w:highlight w:val="none"/>
        </w:rPr>
        <w:t>不得单方面向合同另一方提出任何招标文件没有约定的条件或不合理的要求，作为签订合同的条件；也不得协商另行订立背离招标文件和合同实质性内容的协议。</w:t>
      </w:r>
    </w:p>
    <w:p w14:paraId="1907060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36.6</w:t>
      </w:r>
      <w:r>
        <w:rPr>
          <w:rFonts w:hint="eastAsia" w:ascii="宋体" w:hAnsi="宋体" w:cs="仿宋_GB2312"/>
          <w:color w:val="auto"/>
          <w:szCs w:val="21"/>
          <w:highlight w:val="none"/>
        </w:rPr>
        <w:t>如签订合同并生效后，供应商无故拒绝或延期，除按照合同条款处理外，将承担相应的法律责任。</w:t>
      </w:r>
    </w:p>
    <w:p w14:paraId="21DFF99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36.7</w:t>
      </w:r>
      <w:r>
        <w:rPr>
          <w:rFonts w:hint="eastAsia" w:ascii="宋体" w:hAnsi="宋体" w:cs="宋体"/>
          <w:color w:val="auto"/>
          <w:szCs w:val="21"/>
          <w:highlight w:val="none"/>
        </w:rPr>
        <w:t>政府采购合同履行中，采购人需追加与合同标的相同的货物、工程或者服务的，在不改变合同其他条款的前提下，可以与供应商协商签订补充合同，但所有补充合同的采购金额不得超过原合同采购金额的10%。</w:t>
      </w:r>
    </w:p>
    <w:p w14:paraId="3617E6B2">
      <w:pPr>
        <w:pStyle w:val="6"/>
        <w:keepNext w:val="0"/>
        <w:keepLines w:val="0"/>
        <w:spacing w:before="0" w:after="0" w:line="360" w:lineRule="auto"/>
        <w:ind w:left="420" w:leftChars="200"/>
        <w:rPr>
          <w:rFonts w:hint="eastAsia" w:ascii="黑体" w:hAnsi="黑体" w:eastAsia="黑体"/>
          <w:color w:val="auto"/>
          <w:sz w:val="24"/>
          <w:highlight w:val="none"/>
        </w:rPr>
      </w:pPr>
      <w:bookmarkStart w:id="165" w:name="_41.政府采购合同公告"/>
      <w:bookmarkEnd w:id="165"/>
      <w:r>
        <w:rPr>
          <w:rFonts w:hint="eastAsia" w:ascii="黑体" w:hAnsi="黑体" w:eastAsia="黑体"/>
          <w:color w:val="auto"/>
          <w:sz w:val="24"/>
          <w:highlight w:val="none"/>
        </w:rPr>
        <w:t>37.政府采购合同公告</w:t>
      </w:r>
    </w:p>
    <w:p w14:paraId="0ABDB839">
      <w:pPr>
        <w:pStyle w:val="25"/>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采购人或者受托采购代理机构应当自政府采购合同签订之日起2个工作日内，将政府采购合同在省级以上人民政府财政部门指定的媒体上公告，</w:t>
      </w:r>
      <w:r>
        <w:rPr>
          <w:rFonts w:hAnsi="宋体"/>
          <w:color w:val="auto"/>
          <w:sz w:val="21"/>
          <w:highlight w:val="none"/>
        </w:rPr>
        <w:t>但政府采购合同中涉及国家秘密、商业秘密的内容除外。</w:t>
      </w:r>
    </w:p>
    <w:p w14:paraId="2082BE0E">
      <w:pPr>
        <w:pStyle w:val="6"/>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3</w:t>
      </w:r>
      <w:r>
        <w:rPr>
          <w:rFonts w:ascii="黑体" w:hAnsi="黑体" w:eastAsia="黑体"/>
          <w:color w:val="auto"/>
          <w:sz w:val="24"/>
          <w:highlight w:val="none"/>
        </w:rPr>
        <w:t>8.</w:t>
      </w:r>
      <w:r>
        <w:rPr>
          <w:rFonts w:hint="eastAsia" w:ascii="黑体" w:hAnsi="黑体" w:eastAsia="黑体"/>
          <w:color w:val="auto"/>
          <w:sz w:val="24"/>
          <w:highlight w:val="none"/>
        </w:rPr>
        <w:t xml:space="preserve"> 询问、质疑和投诉</w:t>
      </w:r>
    </w:p>
    <w:p w14:paraId="71CCA594">
      <w:pPr>
        <w:pStyle w:val="7"/>
        <w:spacing w:line="360" w:lineRule="auto"/>
        <w:rPr>
          <w:rFonts w:hint="eastAsia" w:ascii="宋体" w:hAnsi="宋体"/>
          <w:color w:val="auto"/>
          <w:szCs w:val="21"/>
          <w:highlight w:val="none"/>
        </w:rPr>
      </w:pPr>
      <w:r>
        <w:rPr>
          <w:rFonts w:ascii="宋体" w:hAnsi="宋体"/>
          <w:color w:val="auto"/>
          <w:szCs w:val="21"/>
          <w:highlight w:val="none"/>
        </w:rPr>
        <w:t>38.1</w:t>
      </w:r>
      <w:r>
        <w:rPr>
          <w:rFonts w:hint="eastAsia" w:ascii="宋体" w:hAnsi="宋体"/>
          <w:color w:val="auto"/>
          <w:szCs w:val="21"/>
          <w:highlight w:val="none"/>
        </w:rPr>
        <w:t>供应商对政府采购活动事项有疑问的，可以向采购人提出询问，采购人或者采购代理机构应当在3个工作日内对供应商依法提出的询问作出答复，但答复的内容不得涉及商业秘密。</w:t>
      </w:r>
    </w:p>
    <w:p w14:paraId="37107033">
      <w:pPr>
        <w:pStyle w:val="6"/>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w:t>
      </w:r>
      <w:r>
        <w:rPr>
          <w:rFonts w:ascii="宋体" w:hAnsi="宋体"/>
          <w:b w:val="0"/>
          <w:color w:val="auto"/>
          <w:sz w:val="21"/>
          <w:szCs w:val="21"/>
          <w:highlight w:val="none"/>
        </w:rPr>
        <w:t>38</w:t>
      </w:r>
      <w:r>
        <w:rPr>
          <w:rFonts w:hint="eastAsia" w:ascii="宋体" w:hAnsi="宋体"/>
          <w:b w:val="0"/>
          <w:color w:val="auto"/>
          <w:sz w:val="21"/>
          <w:szCs w:val="21"/>
          <w:highlight w:val="none"/>
        </w:rPr>
        <w:t>.</w:t>
      </w:r>
      <w:r>
        <w:rPr>
          <w:rFonts w:ascii="宋体" w:hAnsi="宋体"/>
          <w:b w:val="0"/>
          <w:color w:val="auto"/>
          <w:sz w:val="21"/>
          <w:szCs w:val="21"/>
          <w:highlight w:val="none"/>
        </w:rPr>
        <w:t>2</w:t>
      </w:r>
      <w:r>
        <w:rPr>
          <w:rFonts w:hint="eastAsia" w:ascii="宋体" w:hAnsi="宋体"/>
          <w:b w:val="0"/>
          <w:color w:val="auto"/>
          <w:sz w:val="21"/>
          <w:szCs w:val="21"/>
          <w:highlight w:val="none"/>
        </w:rPr>
        <w:t xml:space="preserve">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 </w:t>
      </w:r>
    </w:p>
    <w:p w14:paraId="0E1EA7E9">
      <w:pPr>
        <w:pStyle w:val="25"/>
        <w:snapToGrid w:val="0"/>
        <w:spacing w:line="360" w:lineRule="auto"/>
        <w:ind w:firstLine="420" w:firstLineChars="200"/>
        <w:rPr>
          <w:rFonts w:hAnsi="宋体"/>
          <w:color w:val="auto"/>
          <w:sz w:val="21"/>
          <w:highlight w:val="none"/>
        </w:rPr>
      </w:pPr>
      <w:r>
        <w:rPr>
          <w:rFonts w:hAnsi="宋体"/>
          <w:color w:val="auto"/>
          <w:sz w:val="21"/>
          <w:highlight w:val="none"/>
        </w:rPr>
        <w:t>（</w:t>
      </w:r>
      <w:r>
        <w:rPr>
          <w:rFonts w:hint="eastAsia" w:hAnsi="宋体"/>
          <w:color w:val="auto"/>
          <w:sz w:val="21"/>
          <w:highlight w:val="none"/>
        </w:rPr>
        <w:t>1</w:t>
      </w:r>
      <w:r>
        <w:rPr>
          <w:rFonts w:hAnsi="宋体"/>
          <w:color w:val="auto"/>
          <w:sz w:val="21"/>
          <w:highlight w:val="none"/>
        </w:rPr>
        <w:t>）对可以质疑的</w:t>
      </w:r>
      <w:r>
        <w:rPr>
          <w:rFonts w:hint="eastAsia" w:hAnsi="宋体"/>
          <w:color w:val="auto"/>
          <w:sz w:val="21"/>
          <w:highlight w:val="none"/>
        </w:rPr>
        <w:t>招标</w:t>
      </w:r>
      <w:r>
        <w:rPr>
          <w:rFonts w:hAnsi="宋体"/>
          <w:color w:val="auto"/>
          <w:sz w:val="21"/>
          <w:highlight w:val="none"/>
        </w:rPr>
        <w:t>文件提出质疑的，为收到</w:t>
      </w:r>
      <w:r>
        <w:rPr>
          <w:rFonts w:hint="eastAsia" w:hAnsi="宋体"/>
          <w:color w:val="auto"/>
          <w:sz w:val="21"/>
          <w:highlight w:val="none"/>
        </w:rPr>
        <w:t>招标</w:t>
      </w:r>
      <w:r>
        <w:rPr>
          <w:rFonts w:hAnsi="宋体"/>
          <w:color w:val="auto"/>
          <w:sz w:val="21"/>
          <w:highlight w:val="none"/>
        </w:rPr>
        <w:t>文件之日</w:t>
      </w:r>
      <w:r>
        <w:rPr>
          <w:rFonts w:hint="eastAsia" w:hAnsi="宋体"/>
          <w:color w:val="auto"/>
          <w:sz w:val="21"/>
          <w:highlight w:val="none"/>
        </w:rPr>
        <w:t>或者招标文件公告期限届满之日</w:t>
      </w:r>
      <w:r>
        <w:rPr>
          <w:rFonts w:hAnsi="宋体"/>
          <w:color w:val="auto"/>
          <w:sz w:val="21"/>
          <w:highlight w:val="none"/>
        </w:rPr>
        <w:t>；</w:t>
      </w:r>
    </w:p>
    <w:p w14:paraId="105BB90E">
      <w:pPr>
        <w:pStyle w:val="25"/>
        <w:snapToGrid w:val="0"/>
        <w:spacing w:line="360" w:lineRule="auto"/>
        <w:ind w:firstLine="420" w:firstLineChars="200"/>
        <w:rPr>
          <w:rFonts w:hint="eastAsia" w:hAnsi="宋体"/>
          <w:color w:val="auto"/>
          <w:sz w:val="21"/>
          <w:highlight w:val="none"/>
        </w:rPr>
      </w:pPr>
      <w:r>
        <w:rPr>
          <w:rFonts w:hAnsi="宋体"/>
          <w:color w:val="auto"/>
          <w:sz w:val="21"/>
          <w:highlight w:val="none"/>
        </w:rPr>
        <w:t>（</w:t>
      </w:r>
      <w:r>
        <w:rPr>
          <w:rFonts w:hint="eastAsia" w:hAnsi="宋体"/>
          <w:color w:val="auto"/>
          <w:sz w:val="21"/>
          <w:highlight w:val="none"/>
        </w:rPr>
        <w:t>2</w:t>
      </w:r>
      <w:r>
        <w:rPr>
          <w:rFonts w:hAnsi="宋体"/>
          <w:color w:val="auto"/>
          <w:sz w:val="21"/>
          <w:highlight w:val="none"/>
        </w:rPr>
        <w:t>）对</w:t>
      </w:r>
      <w:r>
        <w:rPr>
          <w:rFonts w:hint="eastAsia" w:hAnsi="宋体"/>
          <w:color w:val="auto"/>
          <w:sz w:val="21"/>
          <w:highlight w:val="none"/>
        </w:rPr>
        <w:t>采购</w:t>
      </w:r>
      <w:r>
        <w:rPr>
          <w:rFonts w:hAnsi="宋体"/>
          <w:color w:val="auto"/>
          <w:sz w:val="21"/>
          <w:highlight w:val="none"/>
        </w:rPr>
        <w:t>过程提出质疑的，为各采购程序环节结束之日；</w:t>
      </w:r>
    </w:p>
    <w:p w14:paraId="4EB24CE6">
      <w:pPr>
        <w:pStyle w:val="25"/>
        <w:snapToGrid w:val="0"/>
        <w:spacing w:line="360" w:lineRule="auto"/>
        <w:ind w:firstLine="420" w:firstLineChars="200"/>
        <w:rPr>
          <w:rFonts w:hint="eastAsia" w:hAnsi="宋体"/>
          <w:bCs/>
          <w:color w:val="auto"/>
          <w:sz w:val="21"/>
          <w:highlight w:val="none"/>
        </w:rPr>
      </w:pPr>
      <w:r>
        <w:rPr>
          <w:rFonts w:hAnsi="宋体"/>
          <w:color w:val="auto"/>
          <w:sz w:val="21"/>
          <w:highlight w:val="none"/>
        </w:rPr>
        <w:t>（</w:t>
      </w:r>
      <w:r>
        <w:rPr>
          <w:rFonts w:hint="eastAsia" w:hAnsi="宋体"/>
          <w:color w:val="auto"/>
          <w:sz w:val="21"/>
          <w:highlight w:val="none"/>
        </w:rPr>
        <w:t>3</w:t>
      </w:r>
      <w:r>
        <w:rPr>
          <w:rFonts w:hAnsi="宋体"/>
          <w:color w:val="auto"/>
          <w:sz w:val="21"/>
          <w:highlight w:val="none"/>
        </w:rPr>
        <w:t>）对中标结果提出质疑的，为中标结果公告期限届满之日。</w:t>
      </w:r>
    </w:p>
    <w:p w14:paraId="282C34DA">
      <w:pPr>
        <w:pStyle w:val="6"/>
        <w:keepNext w:val="0"/>
        <w:keepLines w:val="0"/>
        <w:spacing w:before="0" w:after="0" w:line="360" w:lineRule="auto"/>
        <w:ind w:firstLine="315" w:firstLineChars="150"/>
        <w:rPr>
          <w:rFonts w:ascii="宋体" w:hAnsi="宋体"/>
          <w:b w:val="0"/>
          <w:color w:val="auto"/>
          <w:sz w:val="21"/>
          <w:szCs w:val="21"/>
          <w:highlight w:val="none"/>
        </w:rPr>
      </w:pPr>
      <w:bookmarkStart w:id="166" w:name="_9.2质疑、投诉应当采用书面形式，质疑函、投诉书均应明确阐述招标文件、"/>
      <w:bookmarkEnd w:id="166"/>
      <w:r>
        <w:rPr>
          <w:rFonts w:hint="eastAsia" w:ascii="宋体" w:hAnsi="宋体"/>
          <w:b w:val="0"/>
          <w:color w:val="auto"/>
          <w:sz w:val="21"/>
          <w:szCs w:val="21"/>
          <w:highlight w:val="none"/>
        </w:rPr>
        <w:t xml:space="preserve"> </w:t>
      </w:r>
      <w:r>
        <w:rPr>
          <w:rFonts w:ascii="宋体" w:hAnsi="宋体"/>
          <w:b w:val="0"/>
          <w:color w:val="auto"/>
          <w:sz w:val="21"/>
          <w:szCs w:val="21"/>
          <w:highlight w:val="none"/>
        </w:rPr>
        <w:t>38</w:t>
      </w:r>
      <w:r>
        <w:rPr>
          <w:rFonts w:hint="eastAsia" w:ascii="宋体" w:hAnsi="宋体"/>
          <w:b w:val="0"/>
          <w:color w:val="auto"/>
          <w:sz w:val="21"/>
          <w:szCs w:val="21"/>
          <w:highlight w:val="none"/>
        </w:rPr>
        <w:t>.</w:t>
      </w:r>
      <w:r>
        <w:rPr>
          <w:rFonts w:ascii="宋体" w:hAnsi="宋体"/>
          <w:b w:val="0"/>
          <w:color w:val="auto"/>
          <w:sz w:val="21"/>
          <w:szCs w:val="21"/>
          <w:highlight w:val="none"/>
        </w:rPr>
        <w:t>3</w:t>
      </w:r>
      <w:r>
        <w:rPr>
          <w:rFonts w:hint="eastAsia" w:ascii="宋体" w:hAnsi="宋体"/>
          <w:b w:val="0"/>
          <w:color w:val="auto"/>
          <w:sz w:val="21"/>
          <w:szCs w:val="21"/>
          <w:highlight w:val="none"/>
        </w:rPr>
        <w:t xml:space="preserve"> </w:t>
      </w:r>
      <w:r>
        <w:rPr>
          <w:rFonts w:hAnsi="宋体"/>
          <w:b w:val="0"/>
          <w:bCs/>
          <w:color w:val="auto"/>
          <w:sz w:val="21"/>
          <w:highlight w:val="none"/>
        </w:rPr>
        <w:t>供应商提出质疑应当提交质疑函和必要的证明材料</w:t>
      </w:r>
      <w:r>
        <w:rPr>
          <w:rFonts w:hint="eastAsia" w:hAnsi="宋体"/>
          <w:b w:val="0"/>
          <w:bCs/>
          <w:color w:val="auto"/>
          <w:sz w:val="21"/>
          <w:highlight w:val="none"/>
        </w:rPr>
        <w:t>，</w:t>
      </w:r>
      <w:r>
        <w:rPr>
          <w:rFonts w:hAnsi="宋体"/>
          <w:b w:val="0"/>
          <w:bCs/>
          <w:color w:val="auto"/>
          <w:sz w:val="21"/>
          <w:highlight w:val="none"/>
        </w:rPr>
        <w:t>针对同一采购程序环节的质疑</w:t>
      </w:r>
      <w:r>
        <w:rPr>
          <w:rFonts w:hint="eastAsia" w:hAnsi="宋体"/>
          <w:b w:val="0"/>
          <w:bCs/>
          <w:color w:val="auto"/>
          <w:sz w:val="21"/>
          <w:highlight w:val="none"/>
        </w:rPr>
        <w:t>必须</w:t>
      </w:r>
      <w:r>
        <w:rPr>
          <w:rFonts w:hAnsi="宋体"/>
          <w:b w:val="0"/>
          <w:bCs/>
          <w:color w:val="auto"/>
          <w:sz w:val="21"/>
          <w:highlight w:val="none"/>
        </w:rPr>
        <w:t>在法定质疑期内一次性提出。质疑函应当包括下列内容</w:t>
      </w:r>
      <w:r>
        <w:rPr>
          <w:rFonts w:hint="eastAsia" w:hAnsi="宋体"/>
          <w:b w:val="0"/>
          <w:bCs/>
          <w:color w:val="auto"/>
          <w:sz w:val="21"/>
          <w:highlight w:val="none"/>
        </w:rPr>
        <w:t>（质疑函格式后附）</w:t>
      </w:r>
      <w:r>
        <w:rPr>
          <w:rFonts w:hAnsi="宋体"/>
          <w:b w:val="0"/>
          <w:bCs/>
          <w:color w:val="auto"/>
          <w:sz w:val="21"/>
          <w:highlight w:val="none"/>
        </w:rPr>
        <w:t>：</w:t>
      </w:r>
    </w:p>
    <w:p w14:paraId="137D9A11">
      <w:pPr>
        <w:pStyle w:val="25"/>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1</w:t>
      </w:r>
      <w:r>
        <w:rPr>
          <w:rFonts w:hAnsi="宋体"/>
          <w:bCs/>
          <w:color w:val="auto"/>
          <w:sz w:val="21"/>
          <w:highlight w:val="none"/>
        </w:rPr>
        <w:t>）供应商的姓名或者名称、地址、邮编、联系人及联系电话；</w:t>
      </w:r>
    </w:p>
    <w:p w14:paraId="757412D5">
      <w:pPr>
        <w:pStyle w:val="25"/>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2</w:t>
      </w:r>
      <w:r>
        <w:rPr>
          <w:rFonts w:hAnsi="宋体"/>
          <w:bCs/>
          <w:color w:val="auto"/>
          <w:sz w:val="21"/>
          <w:highlight w:val="none"/>
        </w:rPr>
        <w:t>）质疑项目的名称、编号；</w:t>
      </w:r>
    </w:p>
    <w:p w14:paraId="27CAA63E">
      <w:pPr>
        <w:pStyle w:val="25"/>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3</w:t>
      </w:r>
      <w:r>
        <w:rPr>
          <w:rFonts w:hAnsi="宋体"/>
          <w:bCs/>
          <w:color w:val="auto"/>
          <w:sz w:val="21"/>
          <w:highlight w:val="none"/>
        </w:rPr>
        <w:t>）具体、明确的质疑事项和与质疑事项相关的请求；</w:t>
      </w:r>
    </w:p>
    <w:p w14:paraId="528004F5">
      <w:pPr>
        <w:pStyle w:val="25"/>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4</w:t>
      </w:r>
      <w:r>
        <w:rPr>
          <w:rFonts w:hAnsi="宋体"/>
          <w:bCs/>
          <w:color w:val="auto"/>
          <w:sz w:val="21"/>
          <w:highlight w:val="none"/>
        </w:rPr>
        <w:t>）事实依据；</w:t>
      </w:r>
    </w:p>
    <w:p w14:paraId="611FC1BA">
      <w:pPr>
        <w:pStyle w:val="25"/>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5</w:t>
      </w:r>
      <w:r>
        <w:rPr>
          <w:rFonts w:hAnsi="宋体"/>
          <w:bCs/>
          <w:color w:val="auto"/>
          <w:sz w:val="21"/>
          <w:highlight w:val="none"/>
        </w:rPr>
        <w:t>）必要的法律依据；</w:t>
      </w:r>
    </w:p>
    <w:p w14:paraId="69783A9B">
      <w:pPr>
        <w:pStyle w:val="25"/>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6</w:t>
      </w:r>
      <w:r>
        <w:rPr>
          <w:rFonts w:hAnsi="宋体"/>
          <w:bCs/>
          <w:color w:val="auto"/>
          <w:sz w:val="21"/>
          <w:highlight w:val="none"/>
        </w:rPr>
        <w:t>）提出质疑的日期。</w:t>
      </w:r>
    </w:p>
    <w:p w14:paraId="4831E74E">
      <w:pPr>
        <w:pStyle w:val="25"/>
        <w:snapToGrid w:val="0"/>
        <w:spacing w:line="360" w:lineRule="auto"/>
        <w:ind w:firstLine="420" w:firstLineChars="200"/>
        <w:rPr>
          <w:rFonts w:hint="eastAsia" w:hAnsi="宋体"/>
          <w:bCs/>
          <w:color w:val="auto"/>
          <w:sz w:val="21"/>
          <w:highlight w:val="none"/>
        </w:rPr>
      </w:pPr>
      <w:r>
        <w:rPr>
          <w:rFonts w:hAnsi="宋体"/>
          <w:bCs/>
          <w:color w:val="auto"/>
          <w:sz w:val="21"/>
          <w:highlight w:val="none"/>
        </w:rPr>
        <w:t>供应商为自然人的，应当由本人签字；供应商为法人或者其他组织的，应当由法定代表人、主要负责人，或者其委托代理人签字或者盖章，并加盖公章</w:t>
      </w:r>
      <w:r>
        <w:rPr>
          <w:rFonts w:hint="eastAsia" w:hAnsi="宋体"/>
          <w:bCs/>
          <w:color w:val="auto"/>
          <w:sz w:val="21"/>
          <w:highlight w:val="none"/>
        </w:rPr>
        <w:t>。</w:t>
      </w:r>
    </w:p>
    <w:p w14:paraId="61E385D2">
      <w:pPr>
        <w:pStyle w:val="6"/>
        <w:keepNext w:val="0"/>
        <w:keepLines w:val="0"/>
        <w:snapToGrid w:val="0"/>
        <w:spacing w:before="0" w:after="0" w:line="360" w:lineRule="auto"/>
        <w:ind w:firstLine="420" w:firstLineChars="200"/>
        <w:rPr>
          <w:rFonts w:hint="eastAsia" w:ascii="宋体" w:hAnsi="宋体"/>
          <w:b w:val="0"/>
          <w:bCs/>
          <w:color w:val="auto"/>
          <w:sz w:val="21"/>
          <w:szCs w:val="21"/>
          <w:highlight w:val="none"/>
        </w:rPr>
      </w:pPr>
      <w:r>
        <w:rPr>
          <w:rFonts w:ascii="宋体" w:hAnsi="宋体"/>
          <w:b w:val="0"/>
          <w:color w:val="auto"/>
          <w:sz w:val="21"/>
          <w:szCs w:val="21"/>
          <w:highlight w:val="none"/>
        </w:rPr>
        <w:t>3</w:t>
      </w:r>
      <w:r>
        <w:rPr>
          <w:rFonts w:ascii="宋体" w:hAnsi="宋体"/>
          <w:b w:val="0"/>
          <w:bCs/>
          <w:color w:val="auto"/>
          <w:sz w:val="21"/>
          <w:szCs w:val="21"/>
          <w:highlight w:val="none"/>
        </w:rPr>
        <w:t>8.4</w:t>
      </w:r>
      <w:r>
        <w:rPr>
          <w:rFonts w:hint="eastAsia" w:ascii="宋体" w:hAnsi="宋体"/>
          <w:b w:val="0"/>
          <w:bCs/>
          <w:color w:val="auto"/>
          <w:sz w:val="21"/>
          <w:szCs w:val="21"/>
          <w:highlight w:val="none"/>
        </w:rPr>
        <w:t>采购人、采购代理机构认为供应商质疑不成立，或者成立但未对中标结果构成影响的，继续开展采购活动；认为供应商质疑成立且影响或者可能影响中标结果的，按照下列情况处理：</w:t>
      </w:r>
    </w:p>
    <w:p w14:paraId="5095F74F">
      <w:pPr>
        <w:pStyle w:val="25"/>
        <w:snapToGrid w:val="0"/>
        <w:spacing w:line="360" w:lineRule="auto"/>
        <w:rPr>
          <w:rFonts w:hint="eastAsia" w:hAnsi="宋体"/>
          <w:bCs/>
          <w:color w:val="auto"/>
          <w:sz w:val="21"/>
          <w:highlight w:val="none"/>
        </w:rPr>
      </w:pPr>
      <w:r>
        <w:rPr>
          <w:rFonts w:hint="eastAsia" w:hAnsi="宋体"/>
          <w:bCs/>
          <w:color w:val="auto"/>
          <w:sz w:val="21"/>
          <w:highlight w:val="none"/>
        </w:rPr>
        <w:t>　　（一）对招标文件提出的质疑，依法通过澄清或者修改可以继续开展采购活动的，澄清或者修改招标文件后继续开展采购活动；否则应当修改招标文件后重新开展采购活动。</w:t>
      </w:r>
    </w:p>
    <w:p w14:paraId="79537D2A">
      <w:pPr>
        <w:pStyle w:val="25"/>
        <w:snapToGrid w:val="0"/>
        <w:spacing w:line="360" w:lineRule="auto"/>
        <w:rPr>
          <w:rFonts w:hint="eastAsia" w:hAnsi="宋体"/>
          <w:bCs/>
          <w:color w:val="auto"/>
          <w:sz w:val="21"/>
          <w:highlight w:val="none"/>
        </w:rPr>
      </w:pPr>
      <w:r>
        <w:rPr>
          <w:rFonts w:hint="eastAsia" w:hAnsi="宋体"/>
          <w:bCs/>
          <w:color w:val="auto"/>
          <w:sz w:val="21"/>
          <w:highlight w:val="none"/>
        </w:rPr>
        <w:t>　　（二）对采购过程、中标结果提出的质疑，合格供应商符合法定数量时，可以从合格的中标候选人中另行确定</w:t>
      </w:r>
      <w:r>
        <w:rPr>
          <w:rFonts w:hint="eastAsia" w:hAnsi="宋体"/>
          <w:bCs/>
          <w:color w:val="auto"/>
          <w:sz w:val="21"/>
          <w:highlight w:val="none"/>
          <w:lang w:eastAsia="zh-CN"/>
        </w:rPr>
        <w:t>中标人</w:t>
      </w:r>
      <w:r>
        <w:rPr>
          <w:rFonts w:hint="eastAsia" w:hAnsi="宋体"/>
          <w:bCs/>
          <w:color w:val="auto"/>
          <w:sz w:val="21"/>
          <w:highlight w:val="none"/>
        </w:rPr>
        <w:t>的，应当依法另行确定</w:t>
      </w:r>
      <w:r>
        <w:rPr>
          <w:rFonts w:hint="eastAsia" w:hAnsi="宋体"/>
          <w:bCs/>
          <w:color w:val="auto"/>
          <w:sz w:val="21"/>
          <w:highlight w:val="none"/>
          <w:lang w:eastAsia="zh-CN"/>
        </w:rPr>
        <w:t>中标人</w:t>
      </w:r>
      <w:r>
        <w:rPr>
          <w:rFonts w:hint="eastAsia" w:hAnsi="宋体"/>
          <w:bCs/>
          <w:color w:val="auto"/>
          <w:sz w:val="21"/>
          <w:highlight w:val="none"/>
        </w:rPr>
        <w:t>；否则应当重新开展采购活动。</w:t>
      </w:r>
    </w:p>
    <w:p w14:paraId="7A59E99A">
      <w:pPr>
        <w:pStyle w:val="25"/>
        <w:snapToGrid w:val="0"/>
        <w:spacing w:line="360" w:lineRule="auto"/>
        <w:ind w:firstLine="420"/>
        <w:rPr>
          <w:rFonts w:hAnsi="宋体"/>
          <w:bCs/>
          <w:color w:val="auto"/>
          <w:sz w:val="21"/>
          <w:highlight w:val="none"/>
        </w:rPr>
      </w:pPr>
      <w:r>
        <w:rPr>
          <w:rFonts w:hint="eastAsia" w:hAnsi="宋体"/>
          <w:bCs/>
          <w:color w:val="auto"/>
          <w:sz w:val="21"/>
          <w:highlight w:val="none"/>
        </w:rPr>
        <w:t>质疑答复导致中标结果改变的，采购人或者采购代理机构应当将有关情况书面报告本级财政部门。</w:t>
      </w:r>
    </w:p>
    <w:p w14:paraId="48FD77A9">
      <w:pPr>
        <w:pStyle w:val="25"/>
        <w:snapToGrid w:val="0"/>
        <w:spacing w:line="360" w:lineRule="auto"/>
        <w:ind w:firstLine="420" w:firstLineChars="200"/>
        <w:rPr>
          <w:rFonts w:hint="eastAsia" w:hAnsi="宋体"/>
          <w:color w:val="auto"/>
          <w:sz w:val="21"/>
          <w:highlight w:val="none"/>
        </w:rPr>
      </w:pPr>
      <w:r>
        <w:rPr>
          <w:rFonts w:hAnsi="宋体"/>
          <w:color w:val="auto"/>
          <w:sz w:val="21"/>
          <w:highlight w:val="none"/>
        </w:rPr>
        <w:t>38</w:t>
      </w:r>
      <w:r>
        <w:rPr>
          <w:rFonts w:hint="eastAsia" w:hAnsi="宋体"/>
          <w:color w:val="auto"/>
          <w:sz w:val="21"/>
          <w:highlight w:val="none"/>
        </w:rPr>
        <w:t>.</w:t>
      </w:r>
      <w:r>
        <w:rPr>
          <w:rFonts w:hAnsi="宋体"/>
          <w:color w:val="auto"/>
          <w:sz w:val="21"/>
          <w:highlight w:val="none"/>
        </w:rPr>
        <w:t>5</w:t>
      </w:r>
      <w:r>
        <w:rPr>
          <w:rFonts w:hint="eastAsia" w:hAnsi="宋体"/>
          <w:color w:val="auto"/>
          <w:sz w:val="21"/>
          <w:highlight w:val="none"/>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7ED56973">
      <w:pPr>
        <w:pStyle w:val="4"/>
        <w:keepNext w:val="0"/>
        <w:keepLines w:val="0"/>
        <w:spacing w:before="240" w:after="240" w:line="415" w:lineRule="auto"/>
        <w:jc w:val="center"/>
        <w:rPr>
          <w:rFonts w:hint="eastAsia"/>
          <w:color w:val="auto"/>
          <w:highlight w:val="none"/>
        </w:rPr>
      </w:pPr>
      <w:bookmarkStart w:id="167" w:name="_八、其他事项"/>
      <w:bookmarkEnd w:id="167"/>
      <w:r>
        <w:rPr>
          <w:rFonts w:hint="eastAsia"/>
          <w:color w:val="auto"/>
          <w:highlight w:val="none"/>
        </w:rPr>
        <w:t>八、其他事项</w:t>
      </w:r>
    </w:p>
    <w:p w14:paraId="669D848A">
      <w:pPr>
        <w:pStyle w:val="6"/>
        <w:keepNext w:val="0"/>
        <w:keepLines w:val="0"/>
        <w:spacing w:before="0" w:after="0" w:line="360" w:lineRule="auto"/>
        <w:ind w:left="420" w:leftChars="200"/>
        <w:rPr>
          <w:rFonts w:hint="eastAsia" w:ascii="黑体" w:hAnsi="黑体" w:eastAsia="黑体"/>
          <w:color w:val="auto"/>
          <w:sz w:val="24"/>
          <w:highlight w:val="none"/>
        </w:rPr>
      </w:pPr>
      <w:bookmarkStart w:id="168" w:name="_42.代理服务费"/>
      <w:bookmarkEnd w:id="168"/>
      <w:r>
        <w:rPr>
          <w:rFonts w:hint="eastAsia" w:ascii="黑体" w:hAnsi="黑体" w:eastAsia="黑体"/>
          <w:color w:val="auto"/>
          <w:sz w:val="24"/>
          <w:highlight w:val="none"/>
        </w:rPr>
        <w:t>3</w:t>
      </w:r>
      <w:r>
        <w:rPr>
          <w:rFonts w:ascii="黑体" w:hAnsi="黑体" w:eastAsia="黑体"/>
          <w:color w:val="auto"/>
          <w:sz w:val="24"/>
          <w:highlight w:val="none"/>
        </w:rPr>
        <w:t>9</w:t>
      </w:r>
      <w:r>
        <w:rPr>
          <w:rFonts w:hint="eastAsia" w:ascii="黑体" w:hAnsi="黑体" w:eastAsia="黑体"/>
          <w:color w:val="auto"/>
          <w:sz w:val="24"/>
          <w:highlight w:val="none"/>
        </w:rPr>
        <w:t>.代理服务费</w:t>
      </w:r>
    </w:p>
    <w:p w14:paraId="3177DABD">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3</w:t>
      </w:r>
      <w:r>
        <w:rPr>
          <w:rFonts w:ascii="宋体" w:hAnsi="宋体"/>
          <w:b w:val="0"/>
          <w:color w:val="auto"/>
          <w:sz w:val="21"/>
          <w:szCs w:val="21"/>
          <w:highlight w:val="none"/>
        </w:rPr>
        <w:t>9</w:t>
      </w:r>
      <w:r>
        <w:rPr>
          <w:rFonts w:hint="eastAsia" w:ascii="宋体" w:hAnsi="宋体"/>
          <w:b w:val="0"/>
          <w:color w:val="auto"/>
          <w:sz w:val="21"/>
          <w:szCs w:val="21"/>
          <w:highlight w:val="none"/>
        </w:rPr>
        <w:t>.1代理服务收取标准及缴费账户详见“投标人须知前附表”，投标人为联合体的，可以由联合体中的一方或者多方共同交纳代理服务费。</w:t>
      </w:r>
    </w:p>
    <w:p w14:paraId="4D164DC0">
      <w:pPr>
        <w:pStyle w:val="6"/>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3</w:t>
      </w:r>
      <w:r>
        <w:rPr>
          <w:rFonts w:ascii="宋体" w:hAnsi="宋体"/>
          <w:b w:val="0"/>
          <w:color w:val="auto"/>
          <w:sz w:val="21"/>
          <w:szCs w:val="21"/>
          <w:highlight w:val="none"/>
        </w:rPr>
        <w:t>9</w:t>
      </w:r>
      <w:r>
        <w:rPr>
          <w:rFonts w:hint="eastAsia" w:ascii="宋体" w:hAnsi="宋体"/>
          <w:b w:val="0"/>
          <w:color w:val="auto"/>
          <w:sz w:val="21"/>
          <w:szCs w:val="21"/>
          <w:highlight w:val="none"/>
        </w:rPr>
        <w:t>.2代理服务收费标准：</w:t>
      </w:r>
    </w:p>
    <w:p w14:paraId="70C96D0E">
      <w:pPr>
        <w:spacing w:line="360" w:lineRule="auto"/>
        <w:rPr>
          <w:rFonts w:hint="eastAsia" w:ascii="宋体" w:hAnsi="宋体"/>
          <w:color w:val="auto"/>
          <w:szCs w:val="21"/>
          <w:highlight w:val="none"/>
        </w:rPr>
      </w:pPr>
    </w:p>
    <w:tbl>
      <w:tblPr>
        <w:tblStyle w:val="47"/>
        <w:tblW w:w="0" w:type="auto"/>
        <w:tblInd w:w="4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16957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noWrap w:val="0"/>
            <w:vAlign w:val="top"/>
          </w:tcPr>
          <w:p w14:paraId="06047039">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费率</w:t>
            </w:r>
          </w:p>
          <w:p w14:paraId="712435E6">
            <w:pPr>
              <w:spacing w:line="360" w:lineRule="auto"/>
              <w:rPr>
                <w:rFonts w:hint="eastAsia" w:ascii="宋体" w:hAnsi="宋体"/>
                <w:color w:val="auto"/>
                <w:szCs w:val="21"/>
                <w:highlight w:val="none"/>
              </w:rPr>
            </w:pPr>
            <w:r>
              <w:rPr>
                <w:rFonts w:hint="eastAsia" w:ascii="宋体" w:hAnsi="宋体"/>
                <w:color w:val="auto"/>
                <w:szCs w:val="21"/>
                <w:highlight w:val="none"/>
              </w:rPr>
              <w:t>中标金额</w:t>
            </w:r>
          </w:p>
        </w:tc>
        <w:tc>
          <w:tcPr>
            <w:tcW w:w="1659" w:type="dxa"/>
            <w:noWrap w:val="0"/>
            <w:vAlign w:val="center"/>
          </w:tcPr>
          <w:p w14:paraId="4C4819A8">
            <w:pPr>
              <w:spacing w:line="360" w:lineRule="auto"/>
              <w:ind w:firstLine="105" w:firstLineChars="50"/>
              <w:jc w:val="center"/>
              <w:rPr>
                <w:rFonts w:hint="eastAsia" w:ascii="宋体" w:hAnsi="宋体"/>
                <w:color w:val="auto"/>
                <w:szCs w:val="21"/>
                <w:highlight w:val="none"/>
              </w:rPr>
            </w:pPr>
            <w:r>
              <w:rPr>
                <w:rFonts w:hint="eastAsia" w:ascii="宋体" w:hAnsi="宋体"/>
                <w:color w:val="auto"/>
                <w:szCs w:val="21"/>
                <w:highlight w:val="none"/>
              </w:rPr>
              <w:t>货物招标</w:t>
            </w:r>
          </w:p>
        </w:tc>
        <w:tc>
          <w:tcPr>
            <w:tcW w:w="1687" w:type="dxa"/>
            <w:noWrap w:val="0"/>
            <w:vAlign w:val="center"/>
          </w:tcPr>
          <w:p w14:paraId="62BDF7D4">
            <w:pPr>
              <w:spacing w:line="360" w:lineRule="auto"/>
              <w:jc w:val="center"/>
              <w:rPr>
                <w:rFonts w:hint="eastAsia" w:ascii="宋体" w:hAnsi="宋体"/>
                <w:color w:val="auto"/>
                <w:szCs w:val="21"/>
                <w:highlight w:val="none"/>
              </w:rPr>
            </w:pPr>
            <w:r>
              <w:rPr>
                <w:rFonts w:hint="eastAsia" w:ascii="宋体" w:hAnsi="宋体"/>
                <w:color w:val="auto"/>
                <w:szCs w:val="21"/>
                <w:highlight w:val="none"/>
              </w:rPr>
              <w:t>服务招标</w:t>
            </w:r>
          </w:p>
        </w:tc>
        <w:tc>
          <w:tcPr>
            <w:tcW w:w="1659" w:type="dxa"/>
            <w:noWrap w:val="0"/>
            <w:vAlign w:val="center"/>
          </w:tcPr>
          <w:p w14:paraId="3DD7D813">
            <w:pPr>
              <w:spacing w:line="360" w:lineRule="auto"/>
              <w:jc w:val="center"/>
              <w:rPr>
                <w:rFonts w:hint="eastAsia" w:ascii="宋体" w:hAnsi="宋体"/>
                <w:color w:val="auto"/>
                <w:szCs w:val="21"/>
                <w:highlight w:val="none"/>
              </w:rPr>
            </w:pPr>
            <w:r>
              <w:rPr>
                <w:rFonts w:hint="eastAsia" w:ascii="宋体" w:hAnsi="宋体"/>
                <w:color w:val="auto"/>
                <w:szCs w:val="21"/>
                <w:highlight w:val="none"/>
              </w:rPr>
              <w:t>工程招标</w:t>
            </w:r>
          </w:p>
        </w:tc>
      </w:tr>
      <w:tr w14:paraId="1B049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CA41912">
            <w:pPr>
              <w:spacing w:line="360" w:lineRule="auto"/>
              <w:rPr>
                <w:rFonts w:ascii="宋体" w:hAnsi="宋体"/>
                <w:color w:val="auto"/>
                <w:szCs w:val="21"/>
                <w:highlight w:val="none"/>
              </w:rPr>
            </w:pPr>
            <w:r>
              <w:rPr>
                <w:rFonts w:hint="eastAsia" w:ascii="宋体" w:hAnsi="宋体"/>
                <w:color w:val="auto"/>
                <w:szCs w:val="21"/>
                <w:highlight w:val="none"/>
              </w:rPr>
              <w:t>100万元以下</w:t>
            </w:r>
          </w:p>
        </w:tc>
        <w:tc>
          <w:tcPr>
            <w:tcW w:w="1659" w:type="dxa"/>
            <w:noWrap w:val="0"/>
            <w:vAlign w:val="top"/>
          </w:tcPr>
          <w:p w14:paraId="75790468">
            <w:pPr>
              <w:spacing w:line="360" w:lineRule="auto"/>
              <w:rPr>
                <w:rFonts w:ascii="宋体" w:hAnsi="宋体"/>
                <w:color w:val="auto"/>
                <w:szCs w:val="21"/>
                <w:highlight w:val="none"/>
              </w:rPr>
            </w:pP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1.5% </w:t>
            </w: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 xml:space="preserve">    </w:t>
            </w:r>
          </w:p>
        </w:tc>
        <w:tc>
          <w:tcPr>
            <w:tcW w:w="1687" w:type="dxa"/>
            <w:noWrap w:val="0"/>
            <w:vAlign w:val="top"/>
          </w:tcPr>
          <w:p w14:paraId="212CBDE6">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1.5%</w:t>
            </w:r>
          </w:p>
        </w:tc>
        <w:tc>
          <w:tcPr>
            <w:tcW w:w="1659" w:type="dxa"/>
            <w:noWrap w:val="0"/>
            <w:vAlign w:val="top"/>
          </w:tcPr>
          <w:p w14:paraId="465DE354">
            <w:pPr>
              <w:spacing w:line="360" w:lineRule="auto"/>
              <w:ind w:firstLine="210" w:firstLineChars="100"/>
              <w:rPr>
                <w:rFonts w:hint="eastAsia" w:ascii="宋体" w:hAnsi="宋体"/>
                <w:color w:val="auto"/>
                <w:szCs w:val="21"/>
                <w:highlight w:val="none"/>
              </w:rPr>
            </w:pPr>
            <w:r>
              <w:rPr>
                <w:rFonts w:ascii="宋体" w:hAnsi="宋体" w:cs="宋体"/>
                <w:color w:val="auto"/>
                <w:kern w:val="0"/>
                <w:szCs w:val="21"/>
                <w:highlight w:val="none"/>
              </w:rPr>
              <w:t xml:space="preserve">1.0% </w:t>
            </w:r>
          </w:p>
        </w:tc>
      </w:tr>
      <w:tr w14:paraId="1436A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9BDD3B9">
            <w:pPr>
              <w:spacing w:line="360" w:lineRule="auto"/>
              <w:rPr>
                <w:rFonts w:ascii="宋体" w:hAnsi="宋体"/>
                <w:color w:val="auto"/>
                <w:szCs w:val="21"/>
                <w:highlight w:val="none"/>
              </w:rPr>
            </w:pPr>
            <w:r>
              <w:rPr>
                <w:rFonts w:hint="eastAsia" w:ascii="宋体" w:hAnsi="宋体"/>
                <w:color w:val="auto"/>
                <w:szCs w:val="21"/>
                <w:highlight w:val="none"/>
              </w:rPr>
              <w:t>100万元～500万元</w:t>
            </w:r>
          </w:p>
        </w:tc>
        <w:tc>
          <w:tcPr>
            <w:tcW w:w="1659" w:type="dxa"/>
            <w:noWrap w:val="0"/>
            <w:vAlign w:val="top"/>
          </w:tcPr>
          <w:p w14:paraId="4602AA43">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 xml:space="preserve">1.1% </w:t>
            </w:r>
            <w:r>
              <w:rPr>
                <w:rFonts w:hint="eastAsia" w:ascii="宋体" w:hAnsi="宋体" w:cs="宋体"/>
                <w:color w:val="auto"/>
                <w:kern w:val="0"/>
                <w:szCs w:val="21"/>
                <w:highlight w:val="none"/>
              </w:rPr>
              <w:t xml:space="preserve">                </w:t>
            </w:r>
          </w:p>
        </w:tc>
        <w:tc>
          <w:tcPr>
            <w:tcW w:w="1687" w:type="dxa"/>
            <w:noWrap w:val="0"/>
            <w:vAlign w:val="top"/>
          </w:tcPr>
          <w:p w14:paraId="7BF832F6">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0.8%</w:t>
            </w:r>
          </w:p>
        </w:tc>
        <w:tc>
          <w:tcPr>
            <w:tcW w:w="1659" w:type="dxa"/>
            <w:noWrap w:val="0"/>
            <w:vAlign w:val="top"/>
          </w:tcPr>
          <w:p w14:paraId="0B23B123">
            <w:pPr>
              <w:spacing w:line="360" w:lineRule="auto"/>
              <w:ind w:firstLine="210" w:firstLineChars="100"/>
              <w:rPr>
                <w:rFonts w:hint="eastAsia" w:ascii="宋体" w:hAnsi="宋体"/>
                <w:color w:val="auto"/>
                <w:szCs w:val="21"/>
                <w:highlight w:val="none"/>
              </w:rPr>
            </w:pPr>
            <w:r>
              <w:rPr>
                <w:rFonts w:ascii="宋体" w:hAnsi="宋体" w:cs="宋体"/>
                <w:color w:val="auto"/>
                <w:kern w:val="0"/>
                <w:szCs w:val="21"/>
                <w:highlight w:val="none"/>
              </w:rPr>
              <w:t xml:space="preserve">0.7% </w:t>
            </w:r>
          </w:p>
        </w:tc>
      </w:tr>
      <w:tr w14:paraId="4202E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6386D6A0">
            <w:pPr>
              <w:spacing w:line="360" w:lineRule="auto"/>
              <w:rPr>
                <w:rFonts w:ascii="宋体" w:hAnsi="宋体"/>
                <w:color w:val="auto"/>
                <w:szCs w:val="21"/>
                <w:highlight w:val="none"/>
              </w:rPr>
            </w:pPr>
            <w:r>
              <w:rPr>
                <w:rFonts w:hint="eastAsia" w:ascii="宋体" w:hAnsi="宋体"/>
                <w:color w:val="auto"/>
                <w:szCs w:val="21"/>
                <w:highlight w:val="none"/>
              </w:rPr>
              <w:t>500万元～1000万元</w:t>
            </w:r>
          </w:p>
        </w:tc>
        <w:tc>
          <w:tcPr>
            <w:tcW w:w="1659" w:type="dxa"/>
            <w:noWrap w:val="0"/>
            <w:vAlign w:val="top"/>
          </w:tcPr>
          <w:p w14:paraId="5625C7D5">
            <w:pPr>
              <w:spacing w:line="360" w:lineRule="auto"/>
              <w:rPr>
                <w:rFonts w:ascii="宋体" w:hAnsi="宋体"/>
                <w:color w:val="auto"/>
                <w:szCs w:val="21"/>
                <w:highlight w:val="none"/>
              </w:rPr>
            </w:pP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0.8% </w:t>
            </w:r>
            <w:r>
              <w:rPr>
                <w:rFonts w:hint="eastAsia" w:ascii="宋体" w:hAnsi="宋体" w:cs="宋体"/>
                <w:color w:val="auto"/>
                <w:kern w:val="0"/>
                <w:szCs w:val="21"/>
                <w:highlight w:val="none"/>
              </w:rPr>
              <w:t xml:space="preserve">               </w:t>
            </w:r>
          </w:p>
        </w:tc>
        <w:tc>
          <w:tcPr>
            <w:tcW w:w="1687" w:type="dxa"/>
            <w:noWrap w:val="0"/>
            <w:vAlign w:val="top"/>
          </w:tcPr>
          <w:p w14:paraId="653A9745">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0.45%</w:t>
            </w:r>
          </w:p>
        </w:tc>
        <w:tc>
          <w:tcPr>
            <w:tcW w:w="1659" w:type="dxa"/>
            <w:noWrap w:val="0"/>
            <w:vAlign w:val="top"/>
          </w:tcPr>
          <w:p w14:paraId="1D0397F3">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0.55%</w:t>
            </w:r>
          </w:p>
        </w:tc>
      </w:tr>
      <w:tr w14:paraId="02435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435C1C9D">
            <w:pPr>
              <w:spacing w:line="360" w:lineRule="auto"/>
              <w:rPr>
                <w:rFonts w:ascii="宋体" w:hAnsi="宋体"/>
                <w:color w:val="auto"/>
                <w:szCs w:val="21"/>
                <w:highlight w:val="none"/>
              </w:rPr>
            </w:pPr>
            <w:r>
              <w:rPr>
                <w:rFonts w:hint="eastAsia" w:ascii="宋体" w:hAnsi="宋体"/>
                <w:color w:val="auto"/>
                <w:szCs w:val="21"/>
                <w:highlight w:val="none"/>
              </w:rPr>
              <w:t>1000万元～5000万元</w:t>
            </w:r>
          </w:p>
        </w:tc>
        <w:tc>
          <w:tcPr>
            <w:tcW w:w="1659" w:type="dxa"/>
            <w:noWrap w:val="0"/>
            <w:vAlign w:val="top"/>
          </w:tcPr>
          <w:p w14:paraId="73214BC5">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 xml:space="preserve">0.5% </w:t>
            </w:r>
            <w:r>
              <w:rPr>
                <w:rFonts w:hint="eastAsia" w:ascii="宋体" w:hAnsi="宋体" w:cs="宋体"/>
                <w:color w:val="auto"/>
                <w:kern w:val="0"/>
                <w:szCs w:val="21"/>
                <w:highlight w:val="none"/>
              </w:rPr>
              <w:t xml:space="preserve">               </w:t>
            </w:r>
          </w:p>
        </w:tc>
        <w:tc>
          <w:tcPr>
            <w:tcW w:w="1687" w:type="dxa"/>
            <w:noWrap w:val="0"/>
            <w:vAlign w:val="top"/>
          </w:tcPr>
          <w:p w14:paraId="1D02C8C3">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0.25%</w:t>
            </w:r>
          </w:p>
        </w:tc>
        <w:tc>
          <w:tcPr>
            <w:tcW w:w="1659" w:type="dxa"/>
            <w:noWrap w:val="0"/>
            <w:vAlign w:val="top"/>
          </w:tcPr>
          <w:p w14:paraId="060316A6">
            <w:pPr>
              <w:spacing w:line="360" w:lineRule="auto"/>
              <w:ind w:firstLine="210" w:firstLineChars="100"/>
              <w:rPr>
                <w:rFonts w:hint="eastAsia" w:ascii="宋体" w:hAnsi="宋体"/>
                <w:color w:val="auto"/>
                <w:szCs w:val="21"/>
                <w:highlight w:val="none"/>
              </w:rPr>
            </w:pPr>
            <w:r>
              <w:rPr>
                <w:rFonts w:ascii="宋体" w:hAnsi="宋体" w:cs="宋体"/>
                <w:color w:val="auto"/>
                <w:kern w:val="0"/>
                <w:szCs w:val="21"/>
                <w:highlight w:val="none"/>
              </w:rPr>
              <w:t xml:space="preserve">0.35% </w:t>
            </w:r>
          </w:p>
        </w:tc>
      </w:tr>
      <w:tr w14:paraId="773C4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CB900FA">
            <w:pPr>
              <w:spacing w:line="360" w:lineRule="auto"/>
              <w:rPr>
                <w:rFonts w:ascii="宋体" w:hAnsi="宋体"/>
                <w:color w:val="auto"/>
                <w:szCs w:val="21"/>
                <w:highlight w:val="none"/>
              </w:rPr>
            </w:pPr>
            <w:r>
              <w:rPr>
                <w:rFonts w:hint="eastAsia" w:ascii="宋体" w:hAnsi="宋体"/>
                <w:color w:val="auto"/>
                <w:szCs w:val="21"/>
                <w:highlight w:val="none"/>
              </w:rPr>
              <w:t>5000万元～1亿元</w:t>
            </w:r>
          </w:p>
        </w:tc>
        <w:tc>
          <w:tcPr>
            <w:tcW w:w="1659" w:type="dxa"/>
            <w:noWrap w:val="0"/>
            <w:vAlign w:val="top"/>
          </w:tcPr>
          <w:p w14:paraId="5F1E81C5">
            <w:pPr>
              <w:spacing w:line="360" w:lineRule="auto"/>
              <w:ind w:firstLine="210" w:firstLineChars="100"/>
              <w:rPr>
                <w:rFonts w:hint="eastAsia" w:ascii="宋体" w:hAnsi="宋体"/>
                <w:color w:val="auto"/>
                <w:szCs w:val="21"/>
                <w:highlight w:val="none"/>
              </w:rPr>
            </w:pPr>
            <w:r>
              <w:rPr>
                <w:rFonts w:ascii="宋体" w:hAnsi="宋体" w:cs="宋体"/>
                <w:color w:val="auto"/>
                <w:kern w:val="0"/>
                <w:szCs w:val="21"/>
                <w:highlight w:val="none"/>
              </w:rPr>
              <w:t xml:space="preserve">0.25% </w:t>
            </w: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 xml:space="preserve">         </w:t>
            </w:r>
          </w:p>
        </w:tc>
        <w:tc>
          <w:tcPr>
            <w:tcW w:w="1687" w:type="dxa"/>
            <w:noWrap w:val="0"/>
            <w:vAlign w:val="top"/>
          </w:tcPr>
          <w:p w14:paraId="7608C04D">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0.1%</w:t>
            </w:r>
          </w:p>
        </w:tc>
        <w:tc>
          <w:tcPr>
            <w:tcW w:w="1659" w:type="dxa"/>
            <w:noWrap w:val="0"/>
            <w:vAlign w:val="top"/>
          </w:tcPr>
          <w:p w14:paraId="54D02514">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0.2%</w:t>
            </w:r>
          </w:p>
        </w:tc>
      </w:tr>
      <w:tr w14:paraId="05D20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3628F89E">
            <w:pPr>
              <w:spacing w:line="360" w:lineRule="auto"/>
              <w:rPr>
                <w:rFonts w:ascii="宋体" w:hAnsi="宋体"/>
                <w:color w:val="auto"/>
                <w:szCs w:val="21"/>
                <w:highlight w:val="none"/>
              </w:rPr>
            </w:pPr>
            <w:r>
              <w:rPr>
                <w:rFonts w:hint="eastAsia" w:ascii="宋体" w:hAnsi="宋体"/>
                <w:color w:val="auto"/>
                <w:szCs w:val="21"/>
                <w:highlight w:val="none"/>
              </w:rPr>
              <w:t>1亿元～5亿元</w:t>
            </w:r>
          </w:p>
        </w:tc>
        <w:tc>
          <w:tcPr>
            <w:tcW w:w="1659" w:type="dxa"/>
            <w:noWrap w:val="0"/>
            <w:vAlign w:val="top"/>
          </w:tcPr>
          <w:p w14:paraId="592126AB">
            <w:pPr>
              <w:spacing w:line="360" w:lineRule="auto"/>
              <w:ind w:firstLine="210" w:firstLineChars="100"/>
              <w:rPr>
                <w:rFonts w:hint="eastAsia" w:ascii="宋体" w:hAnsi="宋体"/>
                <w:color w:val="auto"/>
                <w:szCs w:val="21"/>
                <w:highlight w:val="none"/>
              </w:rPr>
            </w:pPr>
            <w:r>
              <w:rPr>
                <w:rFonts w:hint="eastAsia" w:ascii="宋体" w:hAnsi="宋体"/>
                <w:color w:val="auto"/>
                <w:szCs w:val="21"/>
                <w:highlight w:val="none"/>
              </w:rPr>
              <w:t>0.05%</w:t>
            </w:r>
          </w:p>
        </w:tc>
        <w:tc>
          <w:tcPr>
            <w:tcW w:w="1687" w:type="dxa"/>
            <w:noWrap w:val="0"/>
            <w:vAlign w:val="top"/>
          </w:tcPr>
          <w:p w14:paraId="5B98C0CD">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0.05%</w:t>
            </w:r>
          </w:p>
        </w:tc>
        <w:tc>
          <w:tcPr>
            <w:tcW w:w="1659" w:type="dxa"/>
            <w:noWrap w:val="0"/>
            <w:vAlign w:val="top"/>
          </w:tcPr>
          <w:p w14:paraId="0D0C4469">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0.05%</w:t>
            </w:r>
          </w:p>
        </w:tc>
      </w:tr>
      <w:tr w14:paraId="34C99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4D6CBAF1">
            <w:pPr>
              <w:spacing w:line="360" w:lineRule="auto"/>
              <w:rPr>
                <w:rFonts w:ascii="宋体" w:hAnsi="宋体"/>
                <w:color w:val="auto"/>
                <w:szCs w:val="21"/>
                <w:highlight w:val="none"/>
              </w:rPr>
            </w:pPr>
            <w:r>
              <w:rPr>
                <w:rFonts w:hint="eastAsia" w:ascii="宋体" w:hAnsi="宋体"/>
                <w:color w:val="auto"/>
                <w:szCs w:val="21"/>
                <w:highlight w:val="none"/>
              </w:rPr>
              <w:t>5亿元～10亿元</w:t>
            </w:r>
          </w:p>
        </w:tc>
        <w:tc>
          <w:tcPr>
            <w:tcW w:w="1659" w:type="dxa"/>
            <w:noWrap w:val="0"/>
            <w:vAlign w:val="top"/>
          </w:tcPr>
          <w:p w14:paraId="29E8686E">
            <w:pPr>
              <w:spacing w:line="360" w:lineRule="auto"/>
              <w:ind w:firstLine="105" w:firstLineChars="50"/>
              <w:rPr>
                <w:rFonts w:hint="eastAsia" w:ascii="宋体" w:hAnsi="宋体"/>
                <w:color w:val="auto"/>
                <w:szCs w:val="21"/>
                <w:highlight w:val="none"/>
              </w:rPr>
            </w:pPr>
            <w:r>
              <w:rPr>
                <w:rFonts w:hint="eastAsia" w:ascii="宋体" w:hAnsi="宋体"/>
                <w:color w:val="auto"/>
                <w:szCs w:val="21"/>
                <w:highlight w:val="none"/>
              </w:rPr>
              <w:t>0.035%</w:t>
            </w:r>
          </w:p>
        </w:tc>
        <w:tc>
          <w:tcPr>
            <w:tcW w:w="1687" w:type="dxa"/>
            <w:noWrap w:val="0"/>
            <w:vAlign w:val="top"/>
          </w:tcPr>
          <w:p w14:paraId="7FF646C5">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0.035%</w:t>
            </w:r>
          </w:p>
        </w:tc>
        <w:tc>
          <w:tcPr>
            <w:tcW w:w="1659" w:type="dxa"/>
            <w:noWrap w:val="0"/>
            <w:vAlign w:val="top"/>
          </w:tcPr>
          <w:p w14:paraId="1EEF7394">
            <w:pPr>
              <w:spacing w:line="360" w:lineRule="auto"/>
              <w:ind w:firstLine="105" w:firstLineChars="50"/>
              <w:rPr>
                <w:rFonts w:ascii="宋体" w:hAnsi="宋体"/>
                <w:color w:val="auto"/>
                <w:szCs w:val="21"/>
                <w:highlight w:val="none"/>
              </w:rPr>
            </w:pPr>
            <w:r>
              <w:rPr>
                <w:rFonts w:hint="eastAsia" w:ascii="宋体" w:hAnsi="宋体"/>
                <w:color w:val="auto"/>
                <w:szCs w:val="21"/>
                <w:highlight w:val="none"/>
              </w:rPr>
              <w:t>0.035%</w:t>
            </w:r>
          </w:p>
        </w:tc>
      </w:tr>
      <w:tr w14:paraId="10666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3D372474">
            <w:pPr>
              <w:spacing w:line="360" w:lineRule="auto"/>
              <w:rPr>
                <w:rFonts w:ascii="宋体" w:hAnsi="宋体"/>
                <w:color w:val="auto"/>
                <w:szCs w:val="21"/>
                <w:highlight w:val="none"/>
              </w:rPr>
            </w:pPr>
            <w:r>
              <w:rPr>
                <w:rFonts w:hint="eastAsia" w:ascii="宋体" w:hAnsi="宋体"/>
                <w:color w:val="auto"/>
                <w:szCs w:val="21"/>
                <w:highlight w:val="none"/>
              </w:rPr>
              <w:t>10亿元～50亿元</w:t>
            </w:r>
          </w:p>
        </w:tc>
        <w:tc>
          <w:tcPr>
            <w:tcW w:w="1659" w:type="dxa"/>
            <w:noWrap w:val="0"/>
            <w:vAlign w:val="top"/>
          </w:tcPr>
          <w:p w14:paraId="129258D0">
            <w:pPr>
              <w:spacing w:line="360" w:lineRule="auto"/>
              <w:ind w:firstLine="105" w:firstLineChars="50"/>
              <w:rPr>
                <w:rFonts w:hint="eastAsia" w:ascii="宋体" w:hAnsi="宋体"/>
                <w:color w:val="auto"/>
                <w:szCs w:val="21"/>
                <w:highlight w:val="none"/>
              </w:rPr>
            </w:pPr>
            <w:r>
              <w:rPr>
                <w:rFonts w:hint="eastAsia" w:ascii="宋体" w:hAnsi="宋体"/>
                <w:color w:val="auto"/>
                <w:szCs w:val="21"/>
                <w:highlight w:val="none"/>
              </w:rPr>
              <w:t>0.008%</w:t>
            </w:r>
          </w:p>
        </w:tc>
        <w:tc>
          <w:tcPr>
            <w:tcW w:w="1687" w:type="dxa"/>
            <w:noWrap w:val="0"/>
            <w:vAlign w:val="top"/>
          </w:tcPr>
          <w:p w14:paraId="79F32228">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0.008%</w:t>
            </w:r>
          </w:p>
        </w:tc>
        <w:tc>
          <w:tcPr>
            <w:tcW w:w="1659" w:type="dxa"/>
            <w:noWrap w:val="0"/>
            <w:vAlign w:val="top"/>
          </w:tcPr>
          <w:p w14:paraId="793BE084">
            <w:pPr>
              <w:spacing w:line="360" w:lineRule="auto"/>
              <w:ind w:firstLine="105" w:firstLineChars="50"/>
              <w:rPr>
                <w:rFonts w:ascii="宋体" w:hAnsi="宋体"/>
                <w:color w:val="auto"/>
                <w:szCs w:val="21"/>
                <w:highlight w:val="none"/>
              </w:rPr>
            </w:pPr>
            <w:r>
              <w:rPr>
                <w:rFonts w:hint="eastAsia" w:ascii="宋体" w:hAnsi="宋体"/>
                <w:color w:val="auto"/>
                <w:szCs w:val="21"/>
                <w:highlight w:val="none"/>
              </w:rPr>
              <w:t>0.008%</w:t>
            </w:r>
          </w:p>
        </w:tc>
      </w:tr>
      <w:tr w14:paraId="271B8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6C085630">
            <w:pPr>
              <w:spacing w:line="360" w:lineRule="auto"/>
              <w:rPr>
                <w:rFonts w:ascii="宋体" w:hAnsi="宋体"/>
                <w:color w:val="auto"/>
                <w:szCs w:val="21"/>
                <w:highlight w:val="none"/>
              </w:rPr>
            </w:pPr>
            <w:r>
              <w:rPr>
                <w:rFonts w:hint="eastAsia" w:ascii="宋体" w:hAnsi="宋体"/>
                <w:color w:val="auto"/>
                <w:szCs w:val="21"/>
                <w:highlight w:val="none"/>
              </w:rPr>
              <w:t>50亿元～100亿元</w:t>
            </w:r>
          </w:p>
        </w:tc>
        <w:tc>
          <w:tcPr>
            <w:tcW w:w="1659" w:type="dxa"/>
            <w:noWrap w:val="0"/>
            <w:vAlign w:val="top"/>
          </w:tcPr>
          <w:p w14:paraId="41778262">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0.006%</w:t>
            </w:r>
          </w:p>
        </w:tc>
        <w:tc>
          <w:tcPr>
            <w:tcW w:w="1687" w:type="dxa"/>
            <w:noWrap w:val="0"/>
            <w:vAlign w:val="top"/>
          </w:tcPr>
          <w:p w14:paraId="12C69414">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0.006%</w:t>
            </w:r>
          </w:p>
        </w:tc>
        <w:tc>
          <w:tcPr>
            <w:tcW w:w="1659" w:type="dxa"/>
            <w:noWrap w:val="0"/>
            <w:vAlign w:val="top"/>
          </w:tcPr>
          <w:p w14:paraId="639D53D7">
            <w:pPr>
              <w:spacing w:line="360" w:lineRule="auto"/>
              <w:ind w:firstLine="105" w:firstLineChars="50"/>
              <w:rPr>
                <w:rFonts w:ascii="宋体" w:hAnsi="宋体"/>
                <w:color w:val="auto"/>
                <w:szCs w:val="21"/>
                <w:highlight w:val="none"/>
              </w:rPr>
            </w:pPr>
            <w:r>
              <w:rPr>
                <w:rFonts w:hint="eastAsia" w:ascii="宋体" w:hAnsi="宋体"/>
                <w:color w:val="auto"/>
                <w:szCs w:val="21"/>
                <w:highlight w:val="none"/>
              </w:rPr>
              <w:t>0.006%</w:t>
            </w:r>
          </w:p>
        </w:tc>
      </w:tr>
      <w:tr w14:paraId="1F584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4A89C2F6">
            <w:pPr>
              <w:spacing w:line="360" w:lineRule="auto"/>
              <w:rPr>
                <w:rFonts w:ascii="宋体" w:hAnsi="宋体"/>
                <w:color w:val="auto"/>
                <w:szCs w:val="21"/>
                <w:highlight w:val="none"/>
              </w:rPr>
            </w:pPr>
            <w:r>
              <w:rPr>
                <w:rFonts w:hint="eastAsia" w:ascii="宋体" w:hAnsi="宋体"/>
                <w:color w:val="auto"/>
                <w:szCs w:val="21"/>
                <w:highlight w:val="none"/>
              </w:rPr>
              <w:t>100亿以上</w:t>
            </w:r>
          </w:p>
        </w:tc>
        <w:tc>
          <w:tcPr>
            <w:tcW w:w="1659" w:type="dxa"/>
            <w:noWrap w:val="0"/>
            <w:vAlign w:val="top"/>
          </w:tcPr>
          <w:p w14:paraId="7781327F">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0.004%</w:t>
            </w:r>
          </w:p>
        </w:tc>
        <w:tc>
          <w:tcPr>
            <w:tcW w:w="1687" w:type="dxa"/>
            <w:noWrap w:val="0"/>
            <w:vAlign w:val="top"/>
          </w:tcPr>
          <w:p w14:paraId="1F983AF8">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0.004%</w:t>
            </w:r>
          </w:p>
        </w:tc>
        <w:tc>
          <w:tcPr>
            <w:tcW w:w="1659" w:type="dxa"/>
            <w:noWrap w:val="0"/>
            <w:vAlign w:val="top"/>
          </w:tcPr>
          <w:p w14:paraId="770B4913">
            <w:pPr>
              <w:spacing w:line="360" w:lineRule="auto"/>
              <w:ind w:firstLine="105" w:firstLineChars="50"/>
              <w:rPr>
                <w:rFonts w:ascii="宋体" w:hAnsi="宋体"/>
                <w:color w:val="auto"/>
                <w:szCs w:val="21"/>
                <w:highlight w:val="none"/>
              </w:rPr>
            </w:pPr>
            <w:r>
              <w:rPr>
                <w:rFonts w:hint="eastAsia" w:ascii="宋体" w:hAnsi="宋体"/>
                <w:color w:val="auto"/>
                <w:szCs w:val="21"/>
                <w:highlight w:val="none"/>
              </w:rPr>
              <w:t>0.004%</w:t>
            </w:r>
          </w:p>
        </w:tc>
      </w:tr>
    </w:tbl>
    <w:p w14:paraId="4762D813">
      <w:pPr>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注：</w:t>
      </w:r>
      <w:r>
        <w:rPr>
          <w:rFonts w:ascii="宋体" w:hAnsi="宋体" w:cs="宋体"/>
          <w:color w:val="auto"/>
          <w:szCs w:val="21"/>
          <w:highlight w:val="none"/>
        </w:rPr>
        <w:t xml:space="preserve"> </w:t>
      </w:r>
    </w:p>
    <w:p w14:paraId="2A9F19C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按本表费率计算的收费为</w:t>
      </w:r>
      <w:r>
        <w:rPr>
          <w:rFonts w:hint="eastAsia" w:ascii="宋体" w:hAnsi="宋体" w:cs="宋体"/>
          <w:color w:val="auto"/>
          <w:szCs w:val="21"/>
          <w:highlight w:val="none"/>
        </w:rPr>
        <w:t>采购</w:t>
      </w:r>
      <w:r>
        <w:rPr>
          <w:rFonts w:ascii="宋体" w:hAnsi="宋体" w:cs="宋体"/>
          <w:color w:val="auto"/>
          <w:szCs w:val="21"/>
          <w:highlight w:val="none"/>
        </w:rPr>
        <w:t>代理的收费基准价格</w:t>
      </w:r>
      <w:r>
        <w:rPr>
          <w:rFonts w:hint="eastAsia" w:ascii="宋体" w:hAnsi="宋体" w:cs="宋体"/>
          <w:color w:val="auto"/>
          <w:szCs w:val="21"/>
          <w:highlight w:val="none"/>
        </w:rPr>
        <w:t>；</w:t>
      </w:r>
    </w:p>
    <w:p w14:paraId="63B8030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（2）采购</w:t>
      </w:r>
      <w:r>
        <w:rPr>
          <w:rFonts w:ascii="宋体" w:hAnsi="宋体" w:cs="宋体"/>
          <w:color w:val="auto"/>
          <w:szCs w:val="21"/>
          <w:highlight w:val="none"/>
        </w:rPr>
        <w:t>代理收费按差额定率累进法计算。</w:t>
      </w:r>
    </w:p>
    <w:p w14:paraId="0FCB9312">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例如：某</w:t>
      </w:r>
      <w:r>
        <w:rPr>
          <w:rFonts w:hint="eastAsia" w:ascii="宋体" w:hAnsi="宋体" w:cs="宋体"/>
          <w:color w:val="auto"/>
          <w:szCs w:val="21"/>
          <w:highlight w:val="none"/>
        </w:rPr>
        <w:t>服务采购</w:t>
      </w:r>
      <w:r>
        <w:rPr>
          <w:rFonts w:ascii="宋体" w:hAnsi="宋体" w:cs="宋体"/>
          <w:color w:val="auto"/>
          <w:szCs w:val="21"/>
          <w:highlight w:val="none"/>
        </w:rPr>
        <w:t>代理业务</w:t>
      </w:r>
      <w:r>
        <w:rPr>
          <w:rFonts w:hint="eastAsia" w:ascii="宋体" w:hAnsi="宋体" w:cs="宋体"/>
          <w:color w:val="auto"/>
          <w:szCs w:val="21"/>
          <w:highlight w:val="none"/>
        </w:rPr>
        <w:t>中标</w:t>
      </w:r>
      <w:r>
        <w:rPr>
          <w:rFonts w:ascii="宋体" w:hAnsi="宋体" w:cs="宋体"/>
          <w:color w:val="auto"/>
          <w:szCs w:val="21"/>
          <w:highlight w:val="none"/>
        </w:rPr>
        <w:t>金额</w:t>
      </w:r>
      <w:r>
        <w:rPr>
          <w:rFonts w:hint="eastAsia" w:ascii="宋体" w:hAnsi="宋体" w:cs="宋体"/>
          <w:color w:val="auto"/>
          <w:szCs w:val="21"/>
          <w:highlight w:val="none"/>
        </w:rPr>
        <w:t>或者暂定价</w:t>
      </w:r>
      <w:r>
        <w:rPr>
          <w:rFonts w:ascii="宋体" w:hAnsi="宋体" w:cs="宋体"/>
          <w:color w:val="auto"/>
          <w:szCs w:val="21"/>
          <w:highlight w:val="none"/>
        </w:rPr>
        <w:t>为200万元，计算</w:t>
      </w:r>
      <w:r>
        <w:rPr>
          <w:rFonts w:hint="eastAsia" w:ascii="宋体" w:hAnsi="宋体" w:cs="宋体"/>
          <w:color w:val="auto"/>
          <w:szCs w:val="21"/>
          <w:highlight w:val="none"/>
        </w:rPr>
        <w:t>采购</w:t>
      </w:r>
      <w:r>
        <w:rPr>
          <w:rFonts w:ascii="宋体" w:hAnsi="宋体" w:cs="宋体"/>
          <w:color w:val="auto"/>
          <w:szCs w:val="21"/>
          <w:highlight w:val="none"/>
        </w:rPr>
        <w:t>代理收费额如下：</w:t>
      </w:r>
    </w:p>
    <w:p w14:paraId="076AF2A8">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100 万元×l.5 %＝ 1.5 万元</w:t>
      </w:r>
    </w:p>
    <w:p w14:paraId="2F7C721D">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 200 － 100 ）万元 ×0.8%＝0.8万元</w:t>
      </w:r>
    </w:p>
    <w:p w14:paraId="3B7F3541">
      <w:pPr>
        <w:pStyle w:val="25"/>
        <w:snapToGrid w:val="0"/>
        <w:spacing w:line="360" w:lineRule="auto"/>
        <w:ind w:firstLine="420" w:firstLineChars="200"/>
        <w:rPr>
          <w:rFonts w:hAnsi="宋体" w:cs="宋体"/>
          <w:color w:val="auto"/>
          <w:sz w:val="21"/>
          <w:highlight w:val="none"/>
        </w:rPr>
      </w:pPr>
      <w:r>
        <w:rPr>
          <w:rFonts w:hAnsi="宋体" w:cs="宋体"/>
          <w:color w:val="auto"/>
          <w:sz w:val="21"/>
          <w:highlight w:val="none"/>
        </w:rPr>
        <w:t>合计</w:t>
      </w:r>
      <w:r>
        <w:rPr>
          <w:rFonts w:hint="eastAsia" w:hAnsi="宋体" w:cs="宋体"/>
          <w:color w:val="auto"/>
          <w:sz w:val="21"/>
          <w:highlight w:val="none"/>
          <w:lang w:val="en-US" w:eastAsia="zh-CN"/>
        </w:rPr>
        <w:t>下浮20%</w:t>
      </w:r>
      <w:r>
        <w:rPr>
          <w:rFonts w:hAnsi="宋体" w:cs="宋体"/>
          <w:color w:val="auto"/>
          <w:sz w:val="21"/>
          <w:highlight w:val="none"/>
        </w:rPr>
        <w:t xml:space="preserve">收费＝ </w:t>
      </w:r>
      <w:r>
        <w:rPr>
          <w:rFonts w:hint="eastAsia" w:hAnsi="宋体" w:cs="宋体"/>
          <w:color w:val="auto"/>
          <w:sz w:val="21"/>
          <w:highlight w:val="none"/>
          <w:lang w:eastAsia="zh-CN"/>
        </w:rPr>
        <w:t>（</w:t>
      </w:r>
      <w:r>
        <w:rPr>
          <w:rFonts w:hAnsi="宋体" w:cs="宋体"/>
          <w:color w:val="auto"/>
          <w:sz w:val="21"/>
          <w:highlight w:val="none"/>
        </w:rPr>
        <w:t>1.5</w:t>
      </w:r>
      <w:r>
        <w:rPr>
          <w:rFonts w:hint="eastAsia" w:hAnsi="宋体" w:cs="宋体"/>
          <w:color w:val="auto"/>
          <w:sz w:val="21"/>
          <w:highlight w:val="none"/>
        </w:rPr>
        <w:t>+</w:t>
      </w:r>
      <w:r>
        <w:rPr>
          <w:rFonts w:hAnsi="宋体" w:cs="宋体"/>
          <w:color w:val="auto"/>
          <w:sz w:val="21"/>
          <w:highlight w:val="none"/>
        </w:rPr>
        <w:t>0.8</w:t>
      </w:r>
      <w:r>
        <w:rPr>
          <w:rFonts w:hint="eastAsia" w:hAnsi="宋体" w:cs="宋体"/>
          <w:color w:val="auto"/>
          <w:sz w:val="21"/>
          <w:highlight w:val="none"/>
          <w:lang w:eastAsia="zh-CN"/>
        </w:rPr>
        <w:t>）</w:t>
      </w:r>
      <w:r>
        <w:rPr>
          <w:rFonts w:hint="eastAsia" w:hAnsi="宋体" w:cs="宋体"/>
          <w:color w:val="auto"/>
          <w:sz w:val="21"/>
          <w:highlight w:val="none"/>
          <w:lang w:val="en-US" w:eastAsia="zh-CN"/>
        </w:rPr>
        <w:t>*0.8</w:t>
      </w:r>
      <w:r>
        <w:rPr>
          <w:rFonts w:hAnsi="宋体" w:cs="宋体"/>
          <w:color w:val="auto"/>
          <w:sz w:val="21"/>
          <w:highlight w:val="none"/>
        </w:rPr>
        <w:t xml:space="preserve">＝ </w:t>
      </w:r>
      <w:r>
        <w:rPr>
          <w:rFonts w:hint="eastAsia" w:hAnsi="宋体" w:cs="宋体"/>
          <w:color w:val="auto"/>
          <w:sz w:val="21"/>
          <w:highlight w:val="none"/>
          <w:lang w:val="en-US" w:eastAsia="zh-CN"/>
        </w:rPr>
        <w:t>1.84</w:t>
      </w:r>
      <w:r>
        <w:rPr>
          <w:rFonts w:hAnsi="宋体" w:cs="宋体"/>
          <w:color w:val="auto"/>
          <w:sz w:val="21"/>
          <w:highlight w:val="none"/>
        </w:rPr>
        <w:t>（万元）</w:t>
      </w:r>
    </w:p>
    <w:p w14:paraId="2A13A948">
      <w:pPr>
        <w:pStyle w:val="6"/>
        <w:keepNext w:val="0"/>
        <w:keepLines w:val="0"/>
        <w:spacing w:before="0" w:after="0" w:line="360" w:lineRule="auto"/>
        <w:ind w:left="420" w:leftChars="200"/>
        <w:rPr>
          <w:rFonts w:ascii="黑体" w:hAnsi="黑体" w:eastAsia="黑体"/>
          <w:color w:val="auto"/>
          <w:sz w:val="24"/>
          <w:highlight w:val="none"/>
        </w:rPr>
      </w:pPr>
      <w:r>
        <w:rPr>
          <w:rFonts w:ascii="黑体" w:hAnsi="黑体" w:eastAsia="黑体"/>
          <w:color w:val="auto"/>
          <w:sz w:val="24"/>
          <w:highlight w:val="none"/>
        </w:rPr>
        <w:t>40. 需要补充的其他内容</w:t>
      </w:r>
    </w:p>
    <w:p w14:paraId="75FAF1D7">
      <w:pPr>
        <w:pStyle w:val="25"/>
        <w:spacing w:line="360" w:lineRule="auto"/>
        <w:ind w:firstLine="420" w:firstLineChars="200"/>
        <w:rPr>
          <w:rFonts w:hint="eastAsia" w:hAnsi="宋体" w:cs="宋体"/>
          <w:color w:val="auto"/>
          <w:sz w:val="21"/>
          <w:highlight w:val="none"/>
        </w:rPr>
      </w:pPr>
      <w:r>
        <w:rPr>
          <w:rFonts w:hint="eastAsia" w:hAnsi="宋体" w:cs="宋体"/>
          <w:color w:val="auto"/>
          <w:sz w:val="21"/>
          <w:highlight w:val="none"/>
        </w:rPr>
        <w:t>40.1本招标文件解释规则详见“投标人须知前附表”。</w:t>
      </w:r>
    </w:p>
    <w:p w14:paraId="16FC300C">
      <w:pPr>
        <w:pStyle w:val="25"/>
        <w:spacing w:line="360" w:lineRule="auto"/>
        <w:ind w:firstLine="420" w:firstLineChars="200"/>
        <w:rPr>
          <w:rFonts w:hint="eastAsia" w:hAnsi="宋体" w:cs="宋体"/>
          <w:color w:val="auto"/>
          <w:sz w:val="21"/>
          <w:highlight w:val="none"/>
        </w:rPr>
      </w:pPr>
      <w:r>
        <w:rPr>
          <w:rFonts w:hint="eastAsia" w:hAnsi="宋体" w:cs="宋体"/>
          <w:color w:val="auto"/>
          <w:sz w:val="21"/>
          <w:highlight w:val="none"/>
        </w:rPr>
        <w:t>40.2 其他事项详见“投标人须知前附表”。</w:t>
      </w:r>
    </w:p>
    <w:p w14:paraId="038222B0">
      <w:pPr>
        <w:pStyle w:val="25"/>
        <w:spacing w:line="360" w:lineRule="auto"/>
        <w:ind w:firstLine="420" w:firstLineChars="200"/>
        <w:rPr>
          <w:rFonts w:hint="eastAsia" w:hAnsi="宋体" w:cs="宋体"/>
          <w:color w:val="auto"/>
          <w:sz w:val="21"/>
          <w:highlight w:val="none"/>
        </w:rPr>
      </w:pPr>
      <w:r>
        <w:rPr>
          <w:rFonts w:hint="eastAsia" w:hAnsi="宋体" w:cs="宋体"/>
          <w:color w:val="auto"/>
          <w:sz w:val="21"/>
          <w:highlight w:val="none"/>
        </w:rPr>
        <w:t>40.3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4EE69600">
      <w:pPr>
        <w:pStyle w:val="25"/>
        <w:spacing w:line="360" w:lineRule="auto"/>
        <w:ind w:firstLine="420" w:firstLineChars="200"/>
        <w:rPr>
          <w:rFonts w:hint="eastAsia" w:hAnsi="宋体" w:cs="宋体"/>
          <w:color w:val="auto"/>
          <w:sz w:val="21"/>
          <w:highlight w:val="none"/>
        </w:rPr>
      </w:pPr>
      <w:r>
        <w:rPr>
          <w:rFonts w:hint="eastAsia" w:hAnsi="宋体" w:cs="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68E996B6">
      <w:pPr>
        <w:pStyle w:val="25"/>
        <w:spacing w:line="360" w:lineRule="auto"/>
        <w:ind w:firstLine="420" w:firstLineChars="200"/>
        <w:rPr>
          <w:rFonts w:hint="eastAsia" w:hAnsi="宋体" w:cs="宋体"/>
          <w:color w:val="auto"/>
          <w:sz w:val="21"/>
          <w:highlight w:val="none"/>
        </w:rPr>
      </w:pPr>
      <w:r>
        <w:rPr>
          <w:rFonts w:hint="eastAsia" w:hAnsi="宋体" w:cs="宋体"/>
          <w:color w:val="auto"/>
          <w:sz w:val="21"/>
          <w:highlight w:val="none"/>
        </w:rPr>
        <w:t>（2）在工程采购项目中，工程由中小企业承建，即工程施工单位为中小企业，不对其中涉及的货物的制造商和服务的承接商作出要求；</w:t>
      </w:r>
    </w:p>
    <w:p w14:paraId="5E1AF429">
      <w:pPr>
        <w:pStyle w:val="25"/>
        <w:spacing w:line="360" w:lineRule="auto"/>
        <w:ind w:firstLine="420" w:firstLineChars="200"/>
        <w:rPr>
          <w:rFonts w:hint="eastAsia" w:hAnsi="宋体" w:cs="宋体"/>
          <w:color w:val="auto"/>
          <w:sz w:val="21"/>
          <w:highlight w:val="none"/>
        </w:rPr>
      </w:pPr>
      <w:r>
        <w:rPr>
          <w:rFonts w:hint="eastAsia" w:hAnsi="宋体" w:cs="宋体"/>
          <w:color w:val="auto"/>
          <w:sz w:val="21"/>
          <w:highlight w:val="none"/>
        </w:rPr>
        <w:t>（3）在服务采购项目中，服务由中小企业承接，即提供服务的人员为中小企业依照《</w:t>
      </w:r>
      <w:r>
        <w:rPr>
          <w:rFonts w:hint="eastAsia" w:hAnsi="宋体" w:cs="宋体"/>
          <w:color w:val="auto"/>
          <w:sz w:val="21"/>
          <w:highlight w:val="none"/>
          <w:lang w:eastAsia="zh-CN"/>
        </w:rPr>
        <w:t>中华人民共和国劳动合同法</w:t>
      </w:r>
      <w:r>
        <w:rPr>
          <w:rFonts w:hint="eastAsia" w:hAnsi="宋体" w:cs="宋体"/>
          <w:color w:val="auto"/>
          <w:sz w:val="21"/>
          <w:highlight w:val="none"/>
        </w:rPr>
        <w:t>》订立劳动合同的从业人员，不对其中涉及的货物的制造商和工程承建商作出要求。</w:t>
      </w:r>
    </w:p>
    <w:p w14:paraId="4991E729">
      <w:pPr>
        <w:pStyle w:val="25"/>
        <w:spacing w:line="360" w:lineRule="auto"/>
        <w:ind w:firstLine="420" w:firstLineChars="200"/>
        <w:rPr>
          <w:rFonts w:hint="eastAsia" w:hAnsi="宋体" w:cs="宋体"/>
          <w:color w:val="auto"/>
          <w:sz w:val="21"/>
          <w:highlight w:val="none"/>
        </w:rPr>
      </w:pPr>
      <w:r>
        <w:rPr>
          <w:rFonts w:hint="eastAsia" w:hAnsi="宋体" w:cs="宋体"/>
          <w:color w:val="auto"/>
          <w:sz w:val="21"/>
          <w:highlight w:val="none"/>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2C207B2E">
      <w:pPr>
        <w:pStyle w:val="2"/>
        <w:jc w:val="center"/>
        <w:rPr>
          <w:rFonts w:hint="eastAsia"/>
          <w:color w:val="auto"/>
          <w:highlight w:val="none"/>
        </w:rPr>
      </w:pPr>
      <w:r>
        <w:rPr>
          <w:rFonts w:hint="eastAsia" w:hAnsi="宋体" w:cs="宋体"/>
          <w:color w:val="auto"/>
          <w:sz w:val="21"/>
          <w:highlight w:val="none"/>
        </w:rPr>
        <w:t>依据本招标文件规定享受扶持政策获得政府采购合同的，小微企业不得将合同分包给大中型企业，中型企业不得将合同分包给大型企业。</w:t>
      </w:r>
      <w:r>
        <w:rPr>
          <w:rFonts w:hAnsi="宋体"/>
          <w:color w:val="auto"/>
          <w:highlight w:val="none"/>
        </w:rPr>
        <w:br w:type="page"/>
      </w:r>
      <w:bookmarkStart w:id="169" w:name="_Toc254970689"/>
      <w:bookmarkStart w:id="170" w:name="_Toc254970548"/>
      <w:bookmarkStart w:id="171" w:name="_Toc15687"/>
      <w:bookmarkStart w:id="172" w:name="_Toc330456896"/>
      <w:r>
        <w:rPr>
          <w:rFonts w:hint="eastAsia"/>
          <w:color w:val="auto"/>
          <w:highlight w:val="none"/>
        </w:rPr>
        <w:t>第四章  评标方法及评标标准</w:t>
      </w:r>
      <w:bookmarkEnd w:id="169"/>
      <w:bookmarkEnd w:id="170"/>
      <w:bookmarkEnd w:id="171"/>
      <w:bookmarkEnd w:id="172"/>
    </w:p>
    <w:p w14:paraId="076F58FD">
      <w:pPr>
        <w:pStyle w:val="25"/>
        <w:spacing w:line="360" w:lineRule="exact"/>
        <w:rPr>
          <w:rFonts w:hint="eastAsia" w:hAnsi="宋体"/>
          <w:bCs/>
          <w:color w:val="auto"/>
          <w:highlight w:val="none"/>
        </w:rPr>
      </w:pPr>
    </w:p>
    <w:p w14:paraId="09A9C72C">
      <w:pPr>
        <w:pStyle w:val="4"/>
        <w:keepNext w:val="0"/>
        <w:keepLines w:val="0"/>
        <w:jc w:val="center"/>
        <w:rPr>
          <w:color w:val="auto"/>
          <w:highlight w:val="none"/>
        </w:rPr>
      </w:pPr>
      <w:r>
        <w:rPr>
          <w:rFonts w:hint="eastAsia"/>
          <w:color w:val="auto"/>
          <w:highlight w:val="none"/>
        </w:rPr>
        <w:t>一、评标方法</w:t>
      </w:r>
    </w:p>
    <w:p w14:paraId="289FEC81">
      <w:pPr>
        <w:pStyle w:val="25"/>
        <w:spacing w:line="360" w:lineRule="auto"/>
        <w:ind w:firstLine="420"/>
        <w:rPr>
          <w:rFonts w:hAnsi="宋体"/>
          <w:color w:val="auto"/>
          <w:sz w:val="21"/>
          <w:highlight w:val="none"/>
        </w:rPr>
      </w:pPr>
      <w:r>
        <w:rPr>
          <w:rFonts w:hint="eastAsia" w:hAnsi="宋体"/>
          <w:color w:val="auto"/>
          <w:sz w:val="21"/>
          <w:highlight w:val="none"/>
        </w:rPr>
        <w:t>综合评分法，是指投标文件满足招标文件全部实质性要求，且按照评审因素的量化指标评审得分最高的投标人为中标候选人的评标方法。</w:t>
      </w:r>
    </w:p>
    <w:p w14:paraId="5045446A">
      <w:pPr>
        <w:pStyle w:val="4"/>
        <w:keepNext w:val="0"/>
        <w:keepLines w:val="0"/>
        <w:jc w:val="center"/>
        <w:rPr>
          <w:rFonts w:hint="eastAsia"/>
          <w:color w:val="auto"/>
          <w:highlight w:val="none"/>
        </w:rPr>
      </w:pPr>
      <w:r>
        <w:rPr>
          <w:rFonts w:hint="eastAsia"/>
          <w:color w:val="auto"/>
          <w:highlight w:val="none"/>
        </w:rPr>
        <w:t>二、评标程序</w:t>
      </w:r>
    </w:p>
    <w:p w14:paraId="32F9F247">
      <w:pPr>
        <w:pStyle w:val="6"/>
        <w:keepNext w:val="0"/>
        <w:keepLines w:val="0"/>
        <w:spacing w:before="0" w:after="0" w:line="360" w:lineRule="auto"/>
        <w:ind w:left="420" w:leftChars="200"/>
        <w:rPr>
          <w:rFonts w:hint="eastAsia" w:ascii="宋体" w:hAnsi="宋体"/>
          <w:color w:val="auto"/>
          <w:sz w:val="21"/>
          <w:szCs w:val="21"/>
          <w:highlight w:val="none"/>
        </w:rPr>
      </w:pPr>
      <w:r>
        <w:rPr>
          <w:rFonts w:hint="eastAsia" w:ascii="宋体" w:hAnsi="宋体"/>
          <w:color w:val="auto"/>
          <w:sz w:val="21"/>
          <w:szCs w:val="21"/>
          <w:highlight w:val="none"/>
        </w:rPr>
        <w:t>1.符合性审查</w:t>
      </w:r>
    </w:p>
    <w:p w14:paraId="2BF6A905">
      <w:pPr>
        <w:pStyle w:val="25"/>
        <w:snapToGrid w:val="0"/>
        <w:spacing w:line="360" w:lineRule="auto"/>
        <w:ind w:left="1" w:firstLine="420"/>
        <w:rPr>
          <w:rFonts w:hint="eastAsia" w:hAnsi="宋体"/>
          <w:b/>
          <w:color w:val="auto"/>
          <w:kern w:val="2"/>
          <w:sz w:val="21"/>
          <w:highlight w:val="none"/>
        </w:rPr>
      </w:pPr>
      <w:r>
        <w:rPr>
          <w:rFonts w:hint="eastAsia" w:hAnsi="宋体"/>
          <w:b/>
          <w:color w:val="auto"/>
          <w:kern w:val="2"/>
          <w:sz w:val="21"/>
          <w:highlight w:val="none"/>
        </w:rPr>
        <w:t>评标委员会应当对符合资格的投标人的投标文件进行投标报价、商务、技术等实质性内容符合性审查，以确定其是否满足招标文件的实质性要求。</w:t>
      </w:r>
    </w:p>
    <w:p w14:paraId="19F8F8EB">
      <w:pPr>
        <w:pStyle w:val="6"/>
        <w:keepNext w:val="0"/>
        <w:keepLines w:val="0"/>
        <w:spacing w:before="0" w:after="0" w:line="360" w:lineRule="auto"/>
        <w:ind w:left="420" w:leftChars="200"/>
        <w:rPr>
          <w:rFonts w:hint="eastAsia" w:ascii="宋体" w:hAnsi="宋体"/>
          <w:color w:val="auto"/>
          <w:sz w:val="21"/>
          <w:szCs w:val="21"/>
          <w:highlight w:val="none"/>
        </w:rPr>
      </w:pPr>
      <w:r>
        <w:rPr>
          <w:rFonts w:hint="eastAsia" w:ascii="宋体" w:hAnsi="宋体"/>
          <w:color w:val="auto"/>
          <w:sz w:val="21"/>
          <w:szCs w:val="21"/>
          <w:highlight w:val="none"/>
        </w:rPr>
        <w:t>2</w:t>
      </w:r>
      <w:r>
        <w:rPr>
          <w:rFonts w:ascii="宋体" w:hAnsi="宋体"/>
          <w:color w:val="auto"/>
          <w:sz w:val="21"/>
          <w:szCs w:val="21"/>
          <w:highlight w:val="none"/>
        </w:rPr>
        <w:t>.</w:t>
      </w:r>
      <w:r>
        <w:rPr>
          <w:rFonts w:hint="eastAsia" w:ascii="宋体" w:hAnsi="宋体"/>
          <w:color w:val="auto"/>
          <w:sz w:val="21"/>
          <w:szCs w:val="21"/>
          <w:highlight w:val="none"/>
        </w:rPr>
        <w:t>符合性审查不通过而导致投标无效的情形</w:t>
      </w:r>
    </w:p>
    <w:p w14:paraId="115D6294">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投标人的投标文件中存在对招标文件的任何实质性要求和条件的负偏离，将被视为投标无效。</w:t>
      </w:r>
    </w:p>
    <w:p w14:paraId="3E5A0613">
      <w:pPr>
        <w:pStyle w:val="6"/>
        <w:keepNext w:val="0"/>
        <w:keepLines w:val="0"/>
        <w:spacing w:before="0" w:after="0" w:line="360" w:lineRule="auto"/>
        <w:ind w:left="420" w:leftChars="200"/>
        <w:rPr>
          <w:rFonts w:hint="eastAsia" w:ascii="宋体" w:hAnsi="宋体"/>
          <w:color w:val="auto"/>
          <w:sz w:val="21"/>
          <w:szCs w:val="21"/>
          <w:highlight w:val="none"/>
        </w:rPr>
      </w:pPr>
      <w:r>
        <w:rPr>
          <w:rFonts w:hint="eastAsia" w:ascii="宋体" w:hAnsi="宋体"/>
          <w:color w:val="auto"/>
          <w:sz w:val="21"/>
          <w:szCs w:val="21"/>
          <w:highlight w:val="none"/>
        </w:rPr>
        <w:t>2.1在报价评审时，如发现下列情形之一的，将被视为投标无效：</w:t>
      </w:r>
    </w:p>
    <w:p w14:paraId="72039B8C">
      <w:pPr>
        <w:pStyle w:val="7"/>
        <w:numPr>
          <w:ilvl w:val="0"/>
          <w:numId w:val="3"/>
        </w:numPr>
        <w:spacing w:line="360" w:lineRule="auto"/>
        <w:ind w:firstLine="398" w:firstLineChars="200"/>
        <w:rPr>
          <w:rFonts w:hint="eastAsia" w:ascii="宋体" w:hAnsi="宋体"/>
          <w:b/>
          <w:color w:val="auto"/>
          <w:spacing w:val="-6"/>
          <w:szCs w:val="21"/>
          <w:highlight w:val="none"/>
        </w:rPr>
      </w:pPr>
      <w:r>
        <w:rPr>
          <w:rFonts w:hint="eastAsia" w:ascii="宋体" w:hAnsi="宋体"/>
          <w:b/>
          <w:color w:val="auto"/>
          <w:spacing w:val="-6"/>
          <w:szCs w:val="21"/>
          <w:highlight w:val="none"/>
        </w:rPr>
        <w:t>报价文件未提供“投标人须知前附表”第13条</w:t>
      </w:r>
      <w:r>
        <w:rPr>
          <w:rFonts w:hint="eastAsia" w:ascii="宋体" w:hAnsi="宋体"/>
          <w:b/>
          <w:color w:val="auto"/>
          <w:szCs w:val="21"/>
          <w:highlight w:val="none"/>
        </w:rPr>
        <w:t>“报价文件”</w:t>
      </w:r>
      <w:r>
        <w:rPr>
          <w:rFonts w:hint="eastAsia" w:ascii="宋体" w:hAnsi="宋体"/>
          <w:b/>
          <w:color w:val="auto"/>
          <w:spacing w:val="-6"/>
          <w:szCs w:val="21"/>
          <w:highlight w:val="none"/>
        </w:rPr>
        <w:t>规定中“必须提供”的文件资料的；</w:t>
      </w:r>
    </w:p>
    <w:p w14:paraId="461216A4">
      <w:pPr>
        <w:pStyle w:val="7"/>
        <w:numPr>
          <w:ilvl w:val="0"/>
          <w:numId w:val="3"/>
        </w:num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未采用人民币报价或者未按照招标文件标明的币种报价的；</w:t>
      </w:r>
    </w:p>
    <w:p w14:paraId="2749E8F9">
      <w:pPr>
        <w:pStyle w:val="7"/>
        <w:numPr>
          <w:ilvl w:val="0"/>
          <w:numId w:val="3"/>
        </w:numPr>
        <w:spacing w:line="360" w:lineRule="auto"/>
        <w:ind w:left="-2" w:firstLine="422"/>
        <w:rPr>
          <w:rFonts w:hint="eastAsia" w:ascii="宋体" w:hAnsi="宋体"/>
          <w:b/>
          <w:color w:val="auto"/>
          <w:spacing w:val="-6"/>
          <w:szCs w:val="21"/>
          <w:highlight w:val="none"/>
        </w:rPr>
      </w:pPr>
      <w:r>
        <w:rPr>
          <w:rFonts w:hint="eastAsia" w:ascii="宋体" w:hAnsi="宋体"/>
          <w:b/>
          <w:color w:val="auto"/>
          <w:spacing w:val="-6"/>
          <w:szCs w:val="21"/>
          <w:highlight w:val="none"/>
        </w:rPr>
        <w:t>各分标报价超出招标文件相应分标规定最高限价，或者超出相应分标采购预算金额的；</w:t>
      </w:r>
    </w:p>
    <w:p w14:paraId="54417502">
      <w:pPr>
        <w:pStyle w:val="7"/>
        <w:numPr>
          <w:ilvl w:val="0"/>
          <w:numId w:val="3"/>
        </w:num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6D4760F3">
      <w:pPr>
        <w:pStyle w:val="7"/>
        <w:numPr>
          <w:ilvl w:val="0"/>
          <w:numId w:val="3"/>
        </w:num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修正后的报价，投标人不确认的；</w:t>
      </w:r>
    </w:p>
    <w:p w14:paraId="3CDDA1A8">
      <w:pPr>
        <w:pStyle w:val="7"/>
        <w:numPr>
          <w:ilvl w:val="0"/>
          <w:numId w:val="3"/>
        </w:num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投标人属于本章第</w:t>
      </w:r>
      <w:r>
        <w:rPr>
          <w:rFonts w:ascii="宋体" w:hAnsi="宋体"/>
          <w:b/>
          <w:color w:val="auto"/>
          <w:szCs w:val="21"/>
          <w:highlight w:val="none"/>
        </w:rPr>
        <w:t>5.1</w:t>
      </w:r>
      <w:r>
        <w:rPr>
          <w:rFonts w:hint="eastAsia" w:ascii="宋体" w:hAnsi="宋体"/>
          <w:b/>
          <w:color w:val="auto"/>
          <w:szCs w:val="21"/>
          <w:highlight w:val="none"/>
        </w:rPr>
        <w:t>条（2）或者第5</w:t>
      </w:r>
      <w:r>
        <w:rPr>
          <w:rFonts w:ascii="宋体" w:hAnsi="宋体"/>
          <w:b/>
          <w:color w:val="auto"/>
          <w:szCs w:val="21"/>
          <w:highlight w:val="none"/>
        </w:rPr>
        <w:t>.2条</w:t>
      </w:r>
      <w:r>
        <w:rPr>
          <w:rFonts w:hint="eastAsia" w:ascii="宋体" w:hAnsi="宋体"/>
          <w:b/>
          <w:color w:val="auto"/>
          <w:szCs w:val="21"/>
          <w:highlight w:val="none"/>
        </w:rPr>
        <w:t>（2）项情形的。</w:t>
      </w:r>
    </w:p>
    <w:p w14:paraId="0A506F0F">
      <w:pPr>
        <w:pStyle w:val="7"/>
        <w:numPr>
          <w:ilvl w:val="0"/>
          <w:numId w:val="3"/>
        </w:numPr>
        <w:spacing w:line="360" w:lineRule="auto"/>
        <w:ind w:firstLine="398" w:firstLineChars="200"/>
        <w:rPr>
          <w:rFonts w:hint="eastAsia" w:ascii="宋体" w:hAnsi="宋体"/>
          <w:b/>
          <w:color w:val="auto"/>
          <w:szCs w:val="21"/>
          <w:highlight w:val="none"/>
        </w:rPr>
      </w:pPr>
      <w:r>
        <w:rPr>
          <w:rFonts w:hint="eastAsia" w:ascii="宋体" w:hAnsi="宋体"/>
          <w:b/>
          <w:color w:val="auto"/>
          <w:spacing w:val="-6"/>
          <w:szCs w:val="21"/>
          <w:highlight w:val="none"/>
        </w:rPr>
        <w:t>报价文件</w:t>
      </w:r>
      <w:r>
        <w:rPr>
          <w:rFonts w:hint="eastAsia" w:ascii="宋体" w:hAnsi="宋体"/>
          <w:b/>
          <w:color w:val="auto"/>
          <w:szCs w:val="21"/>
          <w:highlight w:val="none"/>
        </w:rPr>
        <w:t>响应的标的数量及单位与招标文件要求实质性不一致的。</w:t>
      </w:r>
    </w:p>
    <w:p w14:paraId="2B8F99EB">
      <w:pPr>
        <w:pStyle w:val="6"/>
        <w:keepNext w:val="0"/>
        <w:keepLines w:val="0"/>
        <w:spacing w:before="0" w:after="0" w:line="360" w:lineRule="auto"/>
        <w:ind w:left="420" w:leftChars="200"/>
        <w:rPr>
          <w:rFonts w:hint="eastAsia" w:ascii="宋体" w:hAnsi="宋体"/>
          <w:color w:val="auto"/>
          <w:sz w:val="21"/>
          <w:szCs w:val="21"/>
          <w:highlight w:val="none"/>
        </w:rPr>
      </w:pPr>
      <w:r>
        <w:rPr>
          <w:rFonts w:hint="eastAsia" w:ascii="宋体" w:hAnsi="宋体"/>
          <w:color w:val="auto"/>
          <w:sz w:val="21"/>
          <w:szCs w:val="21"/>
          <w:highlight w:val="none"/>
        </w:rPr>
        <w:t>2.2在商务及技术评审时，如发现下列情形之一的，将被视为投标无效：</w:t>
      </w:r>
    </w:p>
    <w:p w14:paraId="33B99A69">
      <w:pPr>
        <w:numPr>
          <w:ilvl w:val="0"/>
          <w:numId w:val="4"/>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投标文件未按招标文件要求签署、盖章的；</w:t>
      </w:r>
    </w:p>
    <w:p w14:paraId="3CC6730E">
      <w:pPr>
        <w:numPr>
          <w:ilvl w:val="0"/>
          <w:numId w:val="4"/>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 xml:space="preserve">委托代理人未能出具有效身份证或者出具的身份证与授权委托书中的信息不符的； </w:t>
      </w:r>
    </w:p>
    <w:p w14:paraId="1800CF22">
      <w:pPr>
        <w:numPr>
          <w:ilvl w:val="0"/>
          <w:numId w:val="4"/>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为无效投标保证金的或者未按照招标文件的规定提交投标保证金的；</w:t>
      </w:r>
    </w:p>
    <w:p w14:paraId="5C2BDD3C">
      <w:pPr>
        <w:numPr>
          <w:ilvl w:val="0"/>
          <w:numId w:val="4"/>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投标文件未提供“投标人须知前附表”第13条“商务及技术文件”规定中“必须提供”或者“委托时必须提供”的文件资料的；</w:t>
      </w:r>
    </w:p>
    <w:p w14:paraId="1BB819A2">
      <w:pPr>
        <w:numPr>
          <w:ilvl w:val="0"/>
          <w:numId w:val="4"/>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商务要求评审允许负偏离的条款数超过“投标人须知前附表”规定项数的；</w:t>
      </w:r>
    </w:p>
    <w:p w14:paraId="15332DF4">
      <w:pPr>
        <w:numPr>
          <w:ilvl w:val="0"/>
          <w:numId w:val="4"/>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投标文件的实质性内容未使用中文表述、使用计量单位不符合招标文件要求的；</w:t>
      </w:r>
    </w:p>
    <w:p w14:paraId="5E55B75B">
      <w:pPr>
        <w:numPr>
          <w:ilvl w:val="0"/>
          <w:numId w:val="4"/>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投标文件中的文件资料因填写不齐全或者内容虚假或者出现其他情形而导致被评标委员会认定无效的；</w:t>
      </w:r>
    </w:p>
    <w:p w14:paraId="79685249">
      <w:pPr>
        <w:numPr>
          <w:ilvl w:val="0"/>
          <w:numId w:val="4"/>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投标文件含有采购人不能接受的附加条件的；</w:t>
      </w:r>
    </w:p>
    <w:p w14:paraId="4848AE90">
      <w:pPr>
        <w:numPr>
          <w:ilvl w:val="0"/>
          <w:numId w:val="4"/>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属于投标人须知正文第</w:t>
      </w:r>
      <w:r>
        <w:rPr>
          <w:rFonts w:ascii="宋体" w:hAnsi="宋体"/>
          <w:b/>
          <w:color w:val="auto"/>
          <w:szCs w:val="21"/>
          <w:highlight w:val="none"/>
        </w:rPr>
        <w:t>9.2</w:t>
      </w:r>
      <w:r>
        <w:rPr>
          <w:rFonts w:hint="eastAsia" w:ascii="宋体" w:hAnsi="宋体"/>
          <w:b/>
          <w:color w:val="auto"/>
          <w:szCs w:val="21"/>
          <w:highlight w:val="none"/>
        </w:rPr>
        <w:t>条情形的；</w:t>
      </w:r>
    </w:p>
    <w:p w14:paraId="58769682">
      <w:pPr>
        <w:numPr>
          <w:ilvl w:val="0"/>
          <w:numId w:val="4"/>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投标文件标注的项目名称或者项目编号与招标文件标注的项目名称或者项目编号不一致的；</w:t>
      </w:r>
    </w:p>
    <w:p w14:paraId="7C9B1AAD">
      <w:pPr>
        <w:numPr>
          <w:ilvl w:val="0"/>
          <w:numId w:val="4"/>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投标文件中承诺的投标有效期低于招标文件要求的期限的；</w:t>
      </w:r>
    </w:p>
    <w:p w14:paraId="30660675">
      <w:pPr>
        <w:numPr>
          <w:ilvl w:val="0"/>
          <w:numId w:val="4"/>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虚假投标，或者出现其他情形而导致被评标委员会认定无效的；</w:t>
      </w:r>
    </w:p>
    <w:p w14:paraId="7C2A98B1">
      <w:pPr>
        <w:numPr>
          <w:ilvl w:val="0"/>
          <w:numId w:val="4"/>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招标文件未载明允许提供备选（替代）投标方案或明确不允许提供备选（替代）投标方案时，投标人提供了备选（替代）投标方案的；</w:t>
      </w:r>
    </w:p>
    <w:p w14:paraId="4F967202">
      <w:pPr>
        <w:numPr>
          <w:ilvl w:val="0"/>
          <w:numId w:val="4"/>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未响应招标文件实质性要求的。</w:t>
      </w:r>
    </w:p>
    <w:p w14:paraId="7445BDC2">
      <w:pPr>
        <w:numPr>
          <w:ilvl w:val="0"/>
          <w:numId w:val="4"/>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法律、法规和招标文件规定的其他无效情形。</w:t>
      </w:r>
    </w:p>
    <w:p w14:paraId="6A94E409">
      <w:pPr>
        <w:pStyle w:val="6"/>
        <w:keepNext w:val="0"/>
        <w:keepLines w:val="0"/>
        <w:spacing w:before="0" w:after="0" w:line="360" w:lineRule="auto"/>
        <w:ind w:left="420" w:leftChars="200"/>
        <w:rPr>
          <w:rFonts w:hint="eastAsia" w:ascii="宋体" w:hAnsi="宋体"/>
          <w:color w:val="auto"/>
          <w:sz w:val="21"/>
          <w:szCs w:val="21"/>
          <w:highlight w:val="none"/>
        </w:rPr>
      </w:pPr>
      <w:r>
        <w:rPr>
          <w:rFonts w:hint="eastAsia" w:ascii="宋体" w:hAnsi="宋体"/>
          <w:color w:val="auto"/>
          <w:sz w:val="21"/>
          <w:szCs w:val="21"/>
          <w:highlight w:val="none"/>
        </w:rPr>
        <w:t>3</w:t>
      </w:r>
      <w:r>
        <w:rPr>
          <w:rFonts w:ascii="宋体" w:hAnsi="宋体"/>
          <w:color w:val="auto"/>
          <w:sz w:val="21"/>
          <w:szCs w:val="21"/>
          <w:highlight w:val="none"/>
        </w:rPr>
        <w:t>.</w:t>
      </w:r>
      <w:r>
        <w:rPr>
          <w:rFonts w:hint="eastAsia" w:ascii="宋体" w:hAnsi="宋体"/>
          <w:color w:val="auto"/>
          <w:sz w:val="21"/>
          <w:szCs w:val="21"/>
          <w:highlight w:val="none"/>
        </w:rPr>
        <w:t>澄清补正</w:t>
      </w:r>
    </w:p>
    <w:p w14:paraId="7407A881">
      <w:pPr>
        <w:spacing w:line="360" w:lineRule="auto"/>
        <w:ind w:firstLine="420" w:firstLineChars="200"/>
        <w:rPr>
          <w:rFonts w:hint="eastAsia" w:ascii="宋体" w:hAnsi="宋体" w:cs="Courier New"/>
          <w:b/>
          <w:color w:val="auto"/>
          <w:szCs w:val="21"/>
          <w:highlight w:val="none"/>
        </w:rPr>
      </w:pPr>
      <w:r>
        <w:rPr>
          <w:rFonts w:hint="eastAsia" w:ascii="宋体" w:hAnsi="宋体" w:cs="Courier New"/>
          <w:color w:val="auto"/>
          <w:szCs w:val="21"/>
          <w:highlight w:val="none"/>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687323DA">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7305552F">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未按评标委员会的要求作出明确澄清、说明或者更正的投标人的投标文件将按照有利于采购人的原则由评标委员会进行判定。</w:t>
      </w:r>
    </w:p>
    <w:p w14:paraId="30443276">
      <w:pPr>
        <w:pStyle w:val="6"/>
        <w:keepNext w:val="0"/>
        <w:keepLines w:val="0"/>
        <w:spacing w:before="0" w:after="0" w:line="360" w:lineRule="auto"/>
        <w:ind w:left="420" w:leftChars="200"/>
        <w:rPr>
          <w:rFonts w:hint="eastAsia" w:ascii="宋体" w:hAnsi="宋体"/>
          <w:color w:val="auto"/>
          <w:sz w:val="21"/>
          <w:szCs w:val="21"/>
          <w:highlight w:val="none"/>
        </w:rPr>
      </w:pPr>
      <w:r>
        <w:rPr>
          <w:rFonts w:ascii="宋体" w:hAnsi="宋体"/>
          <w:color w:val="auto"/>
          <w:sz w:val="21"/>
          <w:szCs w:val="21"/>
          <w:highlight w:val="none"/>
        </w:rPr>
        <w:t>4.</w:t>
      </w:r>
      <w:r>
        <w:rPr>
          <w:rFonts w:hint="eastAsia" w:ascii="宋体" w:hAnsi="宋体"/>
          <w:color w:val="auto"/>
          <w:sz w:val="21"/>
          <w:szCs w:val="21"/>
          <w:highlight w:val="none"/>
        </w:rPr>
        <w:t>投标文件修正</w:t>
      </w:r>
    </w:p>
    <w:p w14:paraId="02F7F31E">
      <w:pPr>
        <w:pStyle w:val="6"/>
        <w:keepNext w:val="0"/>
        <w:keepLines w:val="0"/>
        <w:spacing w:before="0" w:after="0" w:line="360" w:lineRule="auto"/>
        <w:ind w:left="420" w:leftChars="200"/>
        <w:rPr>
          <w:rFonts w:hint="eastAsia" w:ascii="宋体" w:hAnsi="宋体"/>
          <w:b w:val="0"/>
          <w:color w:val="auto"/>
          <w:sz w:val="21"/>
          <w:szCs w:val="21"/>
          <w:highlight w:val="none"/>
        </w:rPr>
      </w:pPr>
      <w:r>
        <w:rPr>
          <w:rFonts w:ascii="宋体" w:hAnsi="宋体"/>
          <w:b w:val="0"/>
          <w:color w:val="auto"/>
          <w:sz w:val="21"/>
          <w:szCs w:val="21"/>
          <w:highlight w:val="none"/>
        </w:rPr>
        <w:t>4</w:t>
      </w:r>
      <w:r>
        <w:rPr>
          <w:rFonts w:hint="eastAsia" w:ascii="宋体" w:hAnsi="宋体"/>
          <w:b w:val="0"/>
          <w:color w:val="auto"/>
          <w:sz w:val="21"/>
          <w:szCs w:val="21"/>
          <w:highlight w:val="none"/>
        </w:rPr>
        <w:t xml:space="preserve">.1投标文件报价出现前后不一致的，按照下列规定修正： </w:t>
      </w:r>
    </w:p>
    <w:p w14:paraId="2E20593D">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（1）投标文件中开标一览表（报价表）内容与投标文件中相应内容不一致的，以开标一览表（报价表）为准；</w:t>
      </w:r>
    </w:p>
    <w:p w14:paraId="1A165B7A">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（2）大写金额和小写金额不一致的，以大写金额为准；</w:t>
      </w:r>
    </w:p>
    <w:p w14:paraId="3FCE4C98">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（3）单价金额小数点或者百分比有明显错位的，以开标一览表的总价为准，并修改单价；</w:t>
      </w:r>
    </w:p>
    <w:p w14:paraId="75243BDF">
      <w:pPr>
        <w:pStyle w:val="25"/>
        <w:snapToGrid w:val="0"/>
        <w:spacing w:line="360" w:lineRule="auto"/>
        <w:ind w:firstLine="420" w:firstLineChars="200"/>
        <w:rPr>
          <w:rFonts w:hAnsi="宋体"/>
          <w:color w:val="auto"/>
          <w:sz w:val="21"/>
          <w:highlight w:val="none"/>
        </w:rPr>
      </w:pPr>
      <w:r>
        <w:rPr>
          <w:rFonts w:hint="eastAsia" w:hAnsi="宋体"/>
          <w:color w:val="auto"/>
          <w:sz w:val="21"/>
          <w:highlight w:val="none"/>
        </w:rPr>
        <w:t>（4）总价金额与按单价汇总金额不一致的，以单价金额计算结果为准。</w:t>
      </w:r>
    </w:p>
    <w:p w14:paraId="40BB67A8">
      <w:pPr>
        <w:pStyle w:val="25"/>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同时出现两种以上不一致的，按照以上（1）-（4）规定的顺序修正。修正后的报价经投标人确认后产生约束力，投标人不确认的，</w:t>
      </w:r>
      <w:r>
        <w:rPr>
          <w:rFonts w:hint="eastAsia" w:hAnsi="宋体"/>
          <w:b/>
          <w:color w:val="auto"/>
          <w:kern w:val="2"/>
          <w:sz w:val="21"/>
          <w:highlight w:val="none"/>
        </w:rPr>
        <w:t>其投标无效</w:t>
      </w:r>
      <w:r>
        <w:rPr>
          <w:rFonts w:hint="eastAsia" w:hAnsi="宋体"/>
          <w:color w:val="auto"/>
          <w:sz w:val="21"/>
          <w:highlight w:val="none"/>
        </w:rPr>
        <w:t>。</w:t>
      </w:r>
    </w:p>
    <w:p w14:paraId="37A752D8">
      <w:pPr>
        <w:pStyle w:val="6"/>
        <w:keepNext w:val="0"/>
        <w:keepLines w:val="0"/>
        <w:spacing w:before="0" w:after="0" w:line="360" w:lineRule="auto"/>
        <w:rPr>
          <w:rFonts w:hint="eastAsia" w:ascii="宋体" w:hAnsi="宋体"/>
          <w:b w:val="0"/>
          <w:color w:val="auto"/>
          <w:sz w:val="21"/>
          <w:szCs w:val="21"/>
          <w:highlight w:val="none"/>
        </w:rPr>
      </w:pPr>
      <w:r>
        <w:rPr>
          <w:rFonts w:ascii="宋体" w:hAnsi="宋体"/>
          <w:b w:val="0"/>
          <w:color w:val="auto"/>
          <w:sz w:val="21"/>
          <w:szCs w:val="21"/>
          <w:highlight w:val="none"/>
        </w:rPr>
        <w:t xml:space="preserve">    4</w:t>
      </w:r>
      <w:r>
        <w:rPr>
          <w:rFonts w:hint="eastAsia" w:ascii="宋体" w:hAnsi="宋体"/>
          <w:b w:val="0"/>
          <w:color w:val="auto"/>
          <w:sz w:val="21"/>
          <w:szCs w:val="21"/>
          <w:highlight w:val="none"/>
        </w:rPr>
        <w:t>.2经投标人确认修正后的报价若超过采购预算金额或者最高限价，</w:t>
      </w:r>
      <w:r>
        <w:rPr>
          <w:rFonts w:hint="eastAsia" w:ascii="宋体" w:hAnsi="宋体"/>
          <w:color w:val="auto"/>
          <w:sz w:val="21"/>
          <w:szCs w:val="21"/>
          <w:highlight w:val="none"/>
        </w:rPr>
        <w:t>投标人的投标文件作无效投标处理</w:t>
      </w:r>
      <w:r>
        <w:rPr>
          <w:rFonts w:hint="eastAsia" w:ascii="宋体" w:hAnsi="宋体"/>
          <w:b w:val="0"/>
          <w:color w:val="auto"/>
          <w:sz w:val="21"/>
          <w:szCs w:val="21"/>
          <w:highlight w:val="none"/>
        </w:rPr>
        <w:t>。</w:t>
      </w:r>
    </w:p>
    <w:p w14:paraId="1A5072FE">
      <w:pPr>
        <w:snapToGrid w:val="0"/>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.3经投标人确认修正后的报价作为签订合同的依据，并以此报价计算价格分。</w:t>
      </w:r>
    </w:p>
    <w:p w14:paraId="79055AA1">
      <w:pPr>
        <w:pStyle w:val="6"/>
        <w:keepNext w:val="0"/>
        <w:keepLines w:val="0"/>
        <w:spacing w:before="0" w:after="0" w:line="360" w:lineRule="auto"/>
        <w:ind w:left="420" w:leftChars="200"/>
        <w:rPr>
          <w:rFonts w:hint="eastAsia" w:ascii="宋体" w:hAnsi="宋体"/>
          <w:color w:val="auto"/>
          <w:sz w:val="21"/>
          <w:szCs w:val="21"/>
          <w:highlight w:val="none"/>
        </w:rPr>
      </w:pPr>
      <w:r>
        <w:rPr>
          <w:rFonts w:ascii="宋体" w:hAnsi="宋体"/>
          <w:color w:val="auto"/>
          <w:sz w:val="21"/>
          <w:szCs w:val="21"/>
          <w:highlight w:val="none"/>
        </w:rPr>
        <w:t>5.</w:t>
      </w:r>
      <w:r>
        <w:rPr>
          <w:rFonts w:hint="eastAsia" w:ascii="宋体" w:hAnsi="宋体"/>
          <w:color w:val="auto"/>
          <w:sz w:val="21"/>
          <w:szCs w:val="21"/>
          <w:highlight w:val="none"/>
        </w:rPr>
        <w:t>比较与评价</w:t>
      </w:r>
    </w:p>
    <w:p w14:paraId="639EF060">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采用综合评分法的</w:t>
      </w:r>
    </w:p>
    <w:p w14:paraId="1C7851C6">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（1）评标委员会按照招标文件中规定的评标方法及评标标准，对符合性审查合格的投标文件进行商务和技术评估，综合比较与评价。</w:t>
      </w:r>
    </w:p>
    <w:p w14:paraId="2BFAF5F3">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（2）评标委员会独立对每个投标人的投标文件进行评价，并汇总每个投标人的得分。</w:t>
      </w:r>
    </w:p>
    <w:p w14:paraId="6BD4DB5A">
      <w:pPr>
        <w:shd w:val="clear" w:color="auto" w:fill="auto"/>
        <w:snapToGrid w:val="0"/>
        <w:spacing w:line="360" w:lineRule="auto"/>
        <w:ind w:firstLine="422" w:firstLineChars="200"/>
        <w:rPr>
          <w:rFonts w:hint="eastAsia" w:ascii="宋体" w:hAnsi="宋体"/>
          <w:color w:val="auto"/>
          <w:szCs w:val="21"/>
          <w:highlight w:val="none"/>
          <w:lang w:val="en-US" w:eastAsia="zh-CN"/>
        </w:rPr>
      </w:pP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3</w:t>
      </w: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根据财政部《关于推动解决政府采购异常低价问题的通知》（财库〔2026〕2号），政府采购评审中出现下列情形之一的，评审委员会应当启动异常低价投标审查程序：</w:t>
      </w:r>
    </w:p>
    <w:p w14:paraId="417CDCCD">
      <w:pPr>
        <w:shd w:val="clear" w:color="auto" w:fill="auto"/>
        <w:snapToGrid w:val="0"/>
        <w:spacing w:line="360" w:lineRule="auto"/>
        <w:ind w:firstLine="420" w:firstLineChars="200"/>
        <w:rPr>
          <w:rFonts w:hint="default" w:ascii="宋体" w:hAnsi="宋体"/>
          <w:color w:val="auto"/>
          <w:szCs w:val="21"/>
          <w:highlight w:val="none"/>
          <w:lang w:val="en-US" w:eastAsia="zh-CN"/>
        </w:rPr>
      </w:pPr>
      <w:r>
        <w:rPr>
          <w:rFonts w:hint="default" w:ascii="Calibri" w:hAnsi="Calibri" w:cs="Calibri"/>
          <w:color w:val="auto"/>
          <w:szCs w:val="21"/>
          <w:highlight w:val="none"/>
          <w:lang w:val="en-US" w:eastAsia="zh-CN"/>
        </w:rPr>
        <w:t>①</w:t>
      </w:r>
      <w:r>
        <w:rPr>
          <w:rFonts w:hint="default" w:ascii="宋体" w:hAnsi="宋体"/>
          <w:color w:val="auto"/>
          <w:szCs w:val="21"/>
          <w:highlight w:val="none"/>
          <w:lang w:val="en-US" w:eastAsia="zh-CN"/>
        </w:rPr>
        <w:t>投标报价低于全部通过符合性审查供应商投标报价平均值</w:t>
      </w:r>
      <w:r>
        <w:rPr>
          <w:rFonts w:hint="eastAsia" w:ascii="宋体" w:hAnsi="宋体"/>
          <w:color w:val="auto"/>
          <w:szCs w:val="21"/>
          <w:highlight w:val="none"/>
          <w:lang w:val="en-US" w:eastAsia="zh-CN"/>
        </w:rPr>
        <w:t>50%</w:t>
      </w:r>
      <w:r>
        <w:rPr>
          <w:rFonts w:hint="default" w:ascii="宋体" w:hAnsi="宋体"/>
          <w:color w:val="auto"/>
          <w:szCs w:val="21"/>
          <w:highlight w:val="none"/>
          <w:lang w:val="en-US" w:eastAsia="zh-CN"/>
        </w:rPr>
        <w:t>的，即投标报价&lt;全部通过符合性审查供应商投标报价平均值×</w:t>
      </w:r>
      <w:r>
        <w:rPr>
          <w:rFonts w:hint="eastAsia" w:ascii="宋体" w:hAnsi="宋体"/>
          <w:color w:val="auto"/>
          <w:szCs w:val="21"/>
          <w:highlight w:val="none"/>
          <w:lang w:val="en-US" w:eastAsia="zh-CN"/>
        </w:rPr>
        <w:t>50%</w:t>
      </w:r>
      <w:r>
        <w:rPr>
          <w:rFonts w:hint="default" w:ascii="宋体" w:hAnsi="宋体"/>
          <w:color w:val="auto"/>
          <w:szCs w:val="21"/>
          <w:highlight w:val="none"/>
          <w:lang w:val="en-US" w:eastAsia="zh-CN"/>
        </w:rPr>
        <w:t>； </w:t>
      </w:r>
    </w:p>
    <w:p w14:paraId="33643ACC">
      <w:pPr>
        <w:shd w:val="clear" w:color="auto" w:fill="auto"/>
        <w:snapToGrid w:val="0"/>
        <w:spacing w:line="360" w:lineRule="auto"/>
        <w:ind w:firstLine="420" w:firstLineChars="200"/>
        <w:rPr>
          <w:rFonts w:hint="default" w:ascii="宋体" w:hAnsi="宋体"/>
          <w:color w:val="auto"/>
          <w:szCs w:val="21"/>
          <w:highlight w:val="none"/>
          <w:lang w:val="en-US" w:eastAsia="zh-CN"/>
        </w:rPr>
      </w:pPr>
      <w:r>
        <w:rPr>
          <w:rFonts w:hint="default" w:ascii="Calibri" w:hAnsi="Calibri" w:cs="Calibri"/>
          <w:color w:val="auto"/>
          <w:szCs w:val="21"/>
          <w:highlight w:val="none"/>
          <w:lang w:val="en-US" w:eastAsia="zh-CN"/>
        </w:rPr>
        <w:t>②</w:t>
      </w:r>
      <w:r>
        <w:rPr>
          <w:rFonts w:hint="default" w:ascii="宋体" w:hAnsi="宋体"/>
          <w:color w:val="auto"/>
          <w:szCs w:val="21"/>
          <w:highlight w:val="none"/>
          <w:lang w:val="en-US" w:eastAsia="zh-CN"/>
        </w:rPr>
        <w:t>投标报价低于通过符合性审查的次低报价供应商投标报价</w:t>
      </w:r>
      <w:r>
        <w:rPr>
          <w:rFonts w:hint="eastAsia" w:ascii="宋体" w:hAnsi="宋体"/>
          <w:color w:val="auto"/>
          <w:szCs w:val="21"/>
          <w:highlight w:val="none"/>
          <w:lang w:val="en-US" w:eastAsia="zh-CN"/>
        </w:rPr>
        <w:t>50%</w:t>
      </w:r>
      <w:r>
        <w:rPr>
          <w:rFonts w:hint="default" w:ascii="宋体" w:hAnsi="宋体"/>
          <w:color w:val="auto"/>
          <w:szCs w:val="21"/>
          <w:highlight w:val="none"/>
          <w:lang w:val="en-US" w:eastAsia="zh-CN"/>
        </w:rPr>
        <w:t>的，即投标报价&lt;通过符合性审查的次低报价供应商投标报价×</w:t>
      </w:r>
      <w:r>
        <w:rPr>
          <w:rFonts w:hint="eastAsia" w:ascii="宋体" w:hAnsi="宋体"/>
          <w:color w:val="auto"/>
          <w:szCs w:val="21"/>
          <w:highlight w:val="none"/>
          <w:lang w:val="en-US" w:eastAsia="zh-CN"/>
        </w:rPr>
        <w:t>50%</w:t>
      </w:r>
      <w:r>
        <w:rPr>
          <w:rFonts w:hint="default" w:ascii="宋体" w:hAnsi="宋体"/>
          <w:color w:val="auto"/>
          <w:szCs w:val="21"/>
          <w:highlight w:val="none"/>
          <w:lang w:val="en-US" w:eastAsia="zh-CN"/>
        </w:rPr>
        <w:t>； </w:t>
      </w:r>
    </w:p>
    <w:p w14:paraId="0386B82D">
      <w:pPr>
        <w:shd w:val="clear" w:color="auto" w:fill="auto"/>
        <w:snapToGrid w:val="0"/>
        <w:spacing w:line="360" w:lineRule="auto"/>
        <w:ind w:firstLine="420" w:firstLineChars="200"/>
        <w:rPr>
          <w:rFonts w:hint="default" w:ascii="宋体" w:hAnsi="宋体"/>
          <w:color w:val="auto"/>
          <w:szCs w:val="21"/>
          <w:highlight w:val="none"/>
          <w:lang w:val="en-US" w:eastAsia="zh-CN"/>
        </w:rPr>
      </w:pPr>
      <w:r>
        <w:rPr>
          <w:rFonts w:hint="default" w:ascii="Calibri" w:hAnsi="Calibri" w:cs="Calibri"/>
          <w:color w:val="auto"/>
          <w:szCs w:val="21"/>
          <w:highlight w:val="none"/>
          <w:lang w:val="en-US" w:eastAsia="zh-CN"/>
        </w:rPr>
        <w:t>③</w:t>
      </w:r>
      <w:r>
        <w:rPr>
          <w:rFonts w:hint="default" w:ascii="宋体" w:hAnsi="宋体"/>
          <w:color w:val="auto"/>
          <w:szCs w:val="21"/>
          <w:highlight w:val="none"/>
          <w:lang w:val="en-US" w:eastAsia="zh-CN"/>
        </w:rPr>
        <w:t>投标报价低于采购项目最高限价</w:t>
      </w:r>
      <w:r>
        <w:rPr>
          <w:rFonts w:hint="eastAsia" w:ascii="宋体" w:hAnsi="宋体"/>
          <w:color w:val="auto"/>
          <w:szCs w:val="21"/>
          <w:highlight w:val="none"/>
          <w:lang w:val="en-US" w:eastAsia="zh-CN"/>
        </w:rPr>
        <w:t>50%</w:t>
      </w:r>
      <w:r>
        <w:rPr>
          <w:rFonts w:hint="default" w:ascii="宋体" w:hAnsi="宋体"/>
          <w:color w:val="auto"/>
          <w:szCs w:val="21"/>
          <w:highlight w:val="none"/>
          <w:lang w:val="en-US" w:eastAsia="zh-CN"/>
        </w:rPr>
        <w:t>的，即投标报价&lt;采购项目最高限价×</w:t>
      </w:r>
      <w:r>
        <w:rPr>
          <w:rFonts w:hint="eastAsia" w:ascii="宋体" w:hAnsi="宋体"/>
          <w:color w:val="auto"/>
          <w:szCs w:val="21"/>
          <w:highlight w:val="none"/>
          <w:lang w:val="en-US" w:eastAsia="zh-CN"/>
        </w:rPr>
        <w:t>50%</w:t>
      </w:r>
      <w:r>
        <w:rPr>
          <w:rFonts w:hint="default" w:ascii="宋体" w:hAnsi="宋体"/>
          <w:color w:val="auto"/>
          <w:szCs w:val="21"/>
          <w:highlight w:val="none"/>
          <w:lang w:val="en-US" w:eastAsia="zh-CN"/>
        </w:rPr>
        <w:t>； </w:t>
      </w:r>
    </w:p>
    <w:p w14:paraId="41A266E4">
      <w:pPr>
        <w:shd w:val="clear" w:color="auto" w:fill="auto"/>
        <w:snapToGrid w:val="0"/>
        <w:spacing w:line="360" w:lineRule="auto"/>
        <w:ind w:firstLine="420" w:firstLineChars="200"/>
        <w:rPr>
          <w:rFonts w:hint="default" w:ascii="宋体" w:hAnsi="宋体"/>
          <w:color w:val="auto"/>
          <w:szCs w:val="21"/>
          <w:highlight w:val="none"/>
          <w:lang w:val="en-US" w:eastAsia="zh-CN"/>
        </w:rPr>
      </w:pPr>
      <w:r>
        <w:rPr>
          <w:rFonts w:hint="default" w:ascii="Calibri" w:hAnsi="Calibri" w:eastAsia="宋体" w:cs="Calibri"/>
          <w:color w:val="auto"/>
          <w:szCs w:val="21"/>
          <w:highlight w:val="none"/>
          <w:lang w:val="en-US" w:eastAsia="zh-CN"/>
        </w:rPr>
        <w:t>④</w:t>
      </w:r>
      <w:r>
        <w:rPr>
          <w:rFonts w:hint="default" w:ascii="宋体" w:hAnsi="宋体"/>
          <w:color w:val="auto"/>
          <w:szCs w:val="21"/>
          <w:highlight w:val="none"/>
          <w:lang w:val="en-US" w:eastAsia="zh-CN"/>
        </w:rPr>
        <w:t>评审委员会基于专业判断，认为供应商报价过低，有可能影响产品质量或者不能诚信履约的其他情形。 </w:t>
      </w:r>
    </w:p>
    <w:p w14:paraId="3278F357">
      <w:pPr>
        <w:shd w:val="clear" w:color="auto" w:fill="auto"/>
        <w:snapToGrid w:val="0"/>
        <w:spacing w:line="360" w:lineRule="auto"/>
        <w:ind w:firstLine="420" w:firstLineChars="200"/>
        <w:rPr>
          <w:rFonts w:hint="default" w:ascii="宋体" w:hAnsi="宋体"/>
          <w:color w:val="auto"/>
          <w:szCs w:val="21"/>
          <w:highlight w:val="none"/>
          <w:lang w:val="en-US" w:eastAsia="zh-CN"/>
        </w:rPr>
      </w:pPr>
      <w:r>
        <w:rPr>
          <w:rFonts w:hint="default" w:ascii="宋体" w:hAnsi="宋体"/>
          <w:color w:val="auto"/>
          <w:szCs w:val="21"/>
          <w:highlight w:val="none"/>
          <w:lang w:val="en-US" w:eastAsia="zh-CN"/>
        </w:rPr>
        <w:t>相关法律法规对供应商报价有规定的，从其规定。 </w:t>
      </w:r>
    </w:p>
    <w:p w14:paraId="172BCECE">
      <w:pPr>
        <w:shd w:val="clear" w:color="auto" w:fill="auto"/>
        <w:snapToGrid w:val="0"/>
        <w:spacing w:line="360" w:lineRule="auto"/>
        <w:ind w:firstLine="420" w:firstLineChars="200"/>
        <w:rPr>
          <w:rFonts w:hint="default" w:ascii="宋体" w:hAnsi="宋体"/>
          <w:color w:val="auto"/>
          <w:szCs w:val="21"/>
          <w:highlight w:val="none"/>
          <w:lang w:val="en-US" w:eastAsia="zh-CN"/>
        </w:rPr>
      </w:pPr>
      <w:r>
        <w:rPr>
          <w:rFonts w:hint="default" w:ascii="宋体" w:hAnsi="宋体"/>
          <w:color w:val="auto"/>
          <w:szCs w:val="21"/>
          <w:highlight w:val="none"/>
          <w:lang w:val="en-US" w:eastAsia="zh-CN"/>
        </w:rPr>
        <w:t>评审委员会启动异常低价投标审查后，属于前述第</w:t>
      </w:r>
      <w:r>
        <w:rPr>
          <w:rFonts w:hint="default" w:ascii="Calibri" w:hAnsi="Calibri" w:cs="Calibri"/>
          <w:color w:val="auto"/>
          <w:szCs w:val="21"/>
          <w:highlight w:val="none"/>
          <w:lang w:val="en-US" w:eastAsia="zh-CN"/>
        </w:rPr>
        <w:t>①</w:t>
      </w:r>
      <w:r>
        <w:rPr>
          <w:rFonts w:hint="default" w:ascii="宋体" w:hAnsi="宋体"/>
          <w:color w:val="auto"/>
          <w:szCs w:val="21"/>
          <w:highlight w:val="none"/>
          <w:lang w:val="en-US" w:eastAsia="zh-CN"/>
        </w:rPr>
        <w:t>项至第</w:t>
      </w:r>
      <w:r>
        <w:rPr>
          <w:rFonts w:hint="default" w:ascii="Calibri" w:hAnsi="Calibri" w:eastAsia="宋体" w:cs="Calibri"/>
          <w:color w:val="auto"/>
          <w:szCs w:val="21"/>
          <w:highlight w:val="none"/>
          <w:lang w:val="en-US" w:eastAsia="zh-CN"/>
        </w:rPr>
        <w:t>④</w:t>
      </w:r>
      <w:r>
        <w:rPr>
          <w:rFonts w:hint="default" w:ascii="宋体" w:hAnsi="宋体"/>
          <w:color w:val="auto"/>
          <w:szCs w:val="21"/>
          <w:highlight w:val="none"/>
          <w:lang w:val="en-US" w:eastAsia="zh-CN"/>
        </w:rPr>
        <w:t>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w:t>
      </w:r>
      <w:r>
        <w:rPr>
          <w:rFonts w:hint="default" w:ascii="Calibri" w:hAnsi="Calibri" w:cs="Calibri"/>
          <w:color w:val="auto"/>
          <w:szCs w:val="21"/>
          <w:highlight w:val="none"/>
          <w:lang w:val="en-US" w:eastAsia="zh-CN"/>
        </w:rPr>
        <w:t>③</w:t>
      </w:r>
      <w:r>
        <w:rPr>
          <w:rFonts w:hint="default" w:ascii="宋体" w:hAnsi="宋体"/>
          <w:color w:val="auto"/>
          <w:szCs w:val="21"/>
          <w:highlight w:val="none"/>
          <w:lang w:val="en-US" w:eastAsia="zh-CN"/>
        </w:rPr>
        <w:t>项情形，供应商已随投标文件一并提交相关书面说明及必要的证明材料的，在评审现场可不再重复提交。 </w:t>
      </w:r>
    </w:p>
    <w:p w14:paraId="6ED629FA">
      <w:pPr>
        <w:shd w:val="clear" w:color="auto" w:fill="auto"/>
        <w:snapToGrid w:val="0"/>
        <w:spacing w:line="360" w:lineRule="auto"/>
        <w:ind w:firstLine="420" w:firstLineChars="200"/>
        <w:rPr>
          <w:rFonts w:hint="default" w:ascii="宋体" w:hAnsi="宋体"/>
          <w:color w:val="auto"/>
          <w:szCs w:val="21"/>
          <w:highlight w:val="none"/>
          <w:lang w:val="en-US" w:eastAsia="zh-CN"/>
        </w:rPr>
      </w:pPr>
      <w:r>
        <w:rPr>
          <w:rFonts w:hint="default" w:ascii="宋体" w:hAnsi="宋体"/>
          <w:color w:val="auto"/>
          <w:szCs w:val="21"/>
          <w:highlight w:val="none"/>
          <w:lang w:val="en-US" w:eastAsia="zh-CN"/>
        </w:rPr>
        <w:t>评审委员会依据专业经验，参考同类项目中标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审委员会应当将其作为无效投标处理。 </w:t>
      </w:r>
    </w:p>
    <w:p w14:paraId="1AF33A63">
      <w:pPr>
        <w:shd w:val="clear" w:color="auto" w:fill="auto"/>
        <w:snapToGrid w:val="0"/>
        <w:spacing w:line="360" w:lineRule="auto"/>
        <w:ind w:firstLine="420" w:firstLineChars="200"/>
        <w:rPr>
          <w:rFonts w:hint="default" w:ascii="宋体" w:hAnsi="宋体"/>
          <w:color w:val="auto"/>
          <w:szCs w:val="21"/>
          <w:highlight w:val="none"/>
          <w:lang w:val="en-US" w:eastAsia="zh-CN"/>
        </w:rPr>
      </w:pPr>
      <w:r>
        <w:rPr>
          <w:rFonts w:hint="default" w:ascii="宋体" w:hAnsi="宋体"/>
          <w:color w:val="auto"/>
          <w:szCs w:val="21"/>
          <w:highlight w:val="none"/>
          <w:lang w:val="en-US" w:eastAsia="zh-CN"/>
        </w:rPr>
        <w:t>采购人、采购代理机构应当为评审委员会在评审现场及时获取同类项目中标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w:t>
      </w:r>
    </w:p>
    <w:p w14:paraId="4CD75510">
      <w:pPr>
        <w:shd w:val="clear" w:color="auto" w:fill="auto"/>
        <w:snapToGrid w:val="0"/>
        <w:spacing w:line="360" w:lineRule="auto"/>
        <w:ind w:firstLine="420" w:firstLineChars="200"/>
        <w:rPr>
          <w:rFonts w:hint="default" w:ascii="宋体" w:hAnsi="宋体"/>
          <w:color w:val="auto"/>
          <w:szCs w:val="21"/>
          <w:highlight w:val="none"/>
          <w:lang w:val="en-US" w:eastAsia="zh-CN"/>
        </w:rPr>
      </w:pPr>
      <w:r>
        <w:rPr>
          <w:rFonts w:hint="default" w:ascii="宋体" w:hAnsi="宋体"/>
          <w:color w:val="auto"/>
          <w:szCs w:val="21"/>
          <w:highlight w:val="none"/>
          <w:lang w:val="en-US" w:eastAsia="zh-CN"/>
        </w:rPr>
        <w:t>异常低价投标审查的启动原因、审查意见和审查结果应当在评审报告中记录，并随供应商提供的相关书面说明及证明材料，以及评审委员会有关互联网浏览、查询历史一并归档。</w:t>
      </w:r>
    </w:p>
    <w:p w14:paraId="44DC9206">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）评标委员会按照招标文件中规定的评标方法和标准计算各投标人的报价得分。在计算过程中，不得去掉最高报价或者最低报价。</w:t>
      </w:r>
    </w:p>
    <w:p w14:paraId="4BF4C20A">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）各投标人的得分为所有评委的有效评分的算术平均数。</w:t>
      </w:r>
    </w:p>
    <w:p w14:paraId="0AE98ECE">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）评标委员会按照招标文件中的规定推荐中标候选人。</w:t>
      </w:r>
    </w:p>
    <w:p w14:paraId="63C4E878">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7</w:t>
      </w:r>
      <w:r>
        <w:rPr>
          <w:rFonts w:hint="eastAsia" w:ascii="宋体" w:hAnsi="宋体"/>
          <w:color w:val="auto"/>
          <w:szCs w:val="21"/>
          <w:highlight w:val="none"/>
        </w:rPr>
        <w:t>）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787AE46F">
      <w:pPr>
        <w:snapToGrid w:val="0"/>
        <w:spacing w:line="360" w:lineRule="auto"/>
        <w:ind w:firstLine="424" w:firstLineChars="202"/>
        <w:jc w:val="left"/>
        <w:rPr>
          <w:rFonts w:ascii="宋体" w:hAnsi="宋体"/>
          <w:color w:val="auto"/>
          <w:szCs w:val="21"/>
          <w:highlight w:val="none"/>
        </w:rPr>
      </w:pPr>
    </w:p>
    <w:p w14:paraId="143CDD42">
      <w:pPr>
        <w:snapToGrid w:val="0"/>
        <w:spacing w:line="360" w:lineRule="auto"/>
        <w:ind w:firstLine="424" w:firstLineChars="202"/>
        <w:jc w:val="center"/>
        <w:rPr>
          <w:rFonts w:hint="eastAsia" w:ascii="宋体" w:hAnsi="宋体"/>
          <w:color w:val="auto"/>
          <w:szCs w:val="21"/>
          <w:highlight w:val="none"/>
        </w:rPr>
      </w:pPr>
    </w:p>
    <w:p w14:paraId="6AC3FAF7">
      <w:pPr>
        <w:snapToGrid w:val="0"/>
        <w:spacing w:line="360" w:lineRule="auto"/>
        <w:ind w:firstLine="424" w:firstLineChars="202"/>
        <w:jc w:val="center"/>
        <w:rPr>
          <w:rFonts w:hint="eastAsia"/>
          <w:color w:val="auto"/>
          <w:highlight w:val="none"/>
        </w:rPr>
      </w:pPr>
      <w:r>
        <w:rPr>
          <w:rFonts w:hAnsi="宋体"/>
          <w:color w:val="auto"/>
          <w:highlight w:val="none"/>
        </w:rPr>
        <w:br w:type="page"/>
      </w:r>
      <w:bookmarkStart w:id="173" w:name="_Hlk71707917"/>
      <w:r>
        <w:rPr>
          <w:rFonts w:ascii="宋体" w:hAnsi="宋体" w:cs="宋体"/>
          <w:b/>
          <w:bCs/>
          <w:color w:val="auto"/>
          <w:sz w:val="32"/>
          <w:szCs w:val="32"/>
          <w:highlight w:val="none"/>
        </w:rPr>
        <w:t>三</w:t>
      </w:r>
      <w:r>
        <w:rPr>
          <w:rFonts w:hint="eastAsia" w:ascii="宋体" w:hAnsi="宋体" w:cs="宋体"/>
          <w:b/>
          <w:bCs/>
          <w:color w:val="auto"/>
          <w:sz w:val="32"/>
          <w:szCs w:val="32"/>
          <w:highlight w:val="none"/>
        </w:rPr>
        <w:t>、评标标准</w:t>
      </w:r>
    </w:p>
    <w:p w14:paraId="19F5F8C8">
      <w:pPr>
        <w:pStyle w:val="4"/>
        <w:keepNext w:val="0"/>
        <w:keepLines w:val="0"/>
        <w:jc w:val="center"/>
        <w:rPr>
          <w:rFonts w:hint="eastAsia"/>
          <w:color w:val="auto"/>
          <w:highlight w:val="none"/>
        </w:rPr>
      </w:pPr>
      <w:r>
        <w:rPr>
          <w:rFonts w:hint="eastAsia"/>
          <w:color w:val="auto"/>
          <w:highlight w:val="none"/>
        </w:rPr>
        <w:t>综合评分法</w:t>
      </w:r>
    </w:p>
    <w:tbl>
      <w:tblPr>
        <w:tblStyle w:val="47"/>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7"/>
        <w:gridCol w:w="770"/>
        <w:gridCol w:w="1242"/>
        <w:gridCol w:w="6480"/>
      </w:tblGrid>
      <w:tr w14:paraId="3E774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17" w:type="dxa"/>
            <w:gridSpan w:val="2"/>
            <w:noWrap w:val="0"/>
            <w:vAlign w:val="center"/>
          </w:tcPr>
          <w:p w14:paraId="6EAE1BEC">
            <w:pPr>
              <w:adjustRightInd w:val="0"/>
              <w:spacing w:line="410" w:lineRule="exact"/>
              <w:jc w:val="center"/>
              <w:textAlignment w:val="baseline"/>
              <w:rPr>
                <w:rFonts w:hint="eastAsia" w:ascii="宋体" w:hAnsi="宋体"/>
                <w:b/>
                <w:color w:val="auto"/>
                <w:szCs w:val="22"/>
                <w:highlight w:val="none"/>
              </w:rPr>
            </w:pPr>
            <w:r>
              <w:rPr>
                <w:rFonts w:hint="eastAsia" w:ascii="宋体" w:hAnsi="宋体"/>
                <w:b/>
                <w:color w:val="auto"/>
                <w:szCs w:val="22"/>
                <w:highlight w:val="none"/>
              </w:rPr>
              <w:t>序号</w:t>
            </w:r>
          </w:p>
        </w:tc>
        <w:tc>
          <w:tcPr>
            <w:tcW w:w="1242" w:type="dxa"/>
            <w:noWrap w:val="0"/>
            <w:vAlign w:val="center"/>
          </w:tcPr>
          <w:p w14:paraId="4C298D84">
            <w:pPr>
              <w:adjustRightInd w:val="0"/>
              <w:spacing w:line="410" w:lineRule="exact"/>
              <w:jc w:val="center"/>
              <w:textAlignment w:val="baseline"/>
              <w:rPr>
                <w:rFonts w:hint="eastAsia" w:ascii="宋体" w:hAnsi="宋体"/>
                <w:b/>
                <w:color w:val="auto"/>
                <w:szCs w:val="22"/>
                <w:highlight w:val="none"/>
              </w:rPr>
            </w:pPr>
            <w:r>
              <w:rPr>
                <w:rFonts w:hint="eastAsia" w:ascii="宋体" w:hAnsi="宋体"/>
                <w:b/>
                <w:color w:val="auto"/>
                <w:szCs w:val="22"/>
                <w:highlight w:val="none"/>
              </w:rPr>
              <w:t>评审因素</w:t>
            </w:r>
          </w:p>
        </w:tc>
        <w:tc>
          <w:tcPr>
            <w:tcW w:w="6480" w:type="dxa"/>
            <w:noWrap w:val="0"/>
            <w:vAlign w:val="center"/>
          </w:tcPr>
          <w:p w14:paraId="42473AE5">
            <w:pPr>
              <w:adjustRightInd w:val="0"/>
              <w:spacing w:line="410" w:lineRule="exact"/>
              <w:jc w:val="center"/>
              <w:textAlignment w:val="baseline"/>
              <w:rPr>
                <w:rFonts w:hint="eastAsia" w:ascii="宋体" w:hAnsi="宋体"/>
                <w:b/>
                <w:color w:val="auto"/>
                <w:szCs w:val="22"/>
                <w:highlight w:val="none"/>
              </w:rPr>
            </w:pPr>
            <w:r>
              <w:rPr>
                <w:rFonts w:hint="eastAsia" w:ascii="宋体" w:hAnsi="宋体"/>
                <w:b/>
                <w:color w:val="auto"/>
                <w:szCs w:val="22"/>
                <w:highlight w:val="none"/>
              </w:rPr>
              <w:t>评标标准</w:t>
            </w:r>
          </w:p>
        </w:tc>
      </w:tr>
      <w:tr w14:paraId="4DB37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47" w:type="dxa"/>
            <w:noWrap w:val="0"/>
            <w:vAlign w:val="center"/>
          </w:tcPr>
          <w:p w14:paraId="2A3869E0">
            <w:pPr>
              <w:adjustRightInd w:val="0"/>
              <w:spacing w:line="360" w:lineRule="exact"/>
              <w:jc w:val="center"/>
              <w:textAlignment w:val="baseline"/>
              <w:rPr>
                <w:rFonts w:hint="eastAsia" w:ascii="宋体" w:hAnsi="宋体"/>
                <w:color w:val="auto"/>
                <w:szCs w:val="22"/>
                <w:highlight w:val="none"/>
              </w:rPr>
            </w:pPr>
            <w:r>
              <w:rPr>
                <w:rFonts w:hint="eastAsia" w:ascii="宋体" w:hAnsi="宋体"/>
                <w:color w:val="auto"/>
                <w:szCs w:val="22"/>
                <w:highlight w:val="none"/>
              </w:rPr>
              <w:t>1</w:t>
            </w:r>
          </w:p>
        </w:tc>
        <w:tc>
          <w:tcPr>
            <w:tcW w:w="770" w:type="dxa"/>
            <w:noWrap w:val="0"/>
            <w:vAlign w:val="center"/>
          </w:tcPr>
          <w:p w14:paraId="26902829">
            <w:pPr>
              <w:adjustRightInd w:val="0"/>
              <w:spacing w:line="360" w:lineRule="exact"/>
              <w:jc w:val="center"/>
              <w:textAlignment w:val="baseline"/>
              <w:rPr>
                <w:rFonts w:hint="eastAsia" w:ascii="宋体" w:hAnsi="宋体"/>
                <w:b/>
                <w:bCs/>
                <w:color w:val="auto"/>
                <w:szCs w:val="22"/>
                <w:highlight w:val="none"/>
              </w:rPr>
            </w:pPr>
            <w:r>
              <w:rPr>
                <w:rFonts w:hint="eastAsia" w:ascii="宋体" w:hAnsi="宋体"/>
                <w:b/>
                <w:bCs/>
                <w:color w:val="auto"/>
                <w:szCs w:val="22"/>
                <w:highlight w:val="none"/>
              </w:rPr>
              <w:t>价格分</w:t>
            </w:r>
          </w:p>
          <w:p w14:paraId="2D42BEA4">
            <w:pPr>
              <w:adjustRightInd w:val="0"/>
              <w:spacing w:line="360" w:lineRule="exact"/>
              <w:jc w:val="center"/>
              <w:textAlignment w:val="baseline"/>
              <w:rPr>
                <w:rFonts w:hint="eastAsia" w:ascii="宋体" w:hAnsi="宋体"/>
                <w:b/>
                <w:bCs/>
                <w:color w:val="auto"/>
                <w:szCs w:val="22"/>
                <w:highlight w:val="none"/>
              </w:rPr>
            </w:pPr>
            <w:r>
              <w:rPr>
                <w:rFonts w:hint="eastAsia" w:ascii="宋体" w:hAnsi="宋体"/>
                <w:b/>
                <w:bCs/>
                <w:color w:val="auto"/>
                <w:szCs w:val="22"/>
                <w:highlight w:val="none"/>
              </w:rPr>
              <w:t xml:space="preserve">（满分 </w:t>
            </w:r>
            <w:r>
              <w:rPr>
                <w:rFonts w:hint="eastAsia" w:ascii="宋体" w:hAnsi="宋体"/>
                <w:b/>
                <w:bCs/>
                <w:color w:val="auto"/>
                <w:szCs w:val="22"/>
                <w:highlight w:val="none"/>
                <w:lang w:val="en-US" w:eastAsia="zh-CN"/>
              </w:rPr>
              <w:t>10</w:t>
            </w:r>
            <w:r>
              <w:rPr>
                <w:rFonts w:hint="eastAsia" w:ascii="宋体" w:hAnsi="宋体"/>
                <w:b/>
                <w:bCs/>
                <w:color w:val="auto"/>
                <w:szCs w:val="22"/>
                <w:highlight w:val="none"/>
              </w:rPr>
              <w:t xml:space="preserve"> 分）</w:t>
            </w:r>
          </w:p>
        </w:tc>
        <w:tc>
          <w:tcPr>
            <w:tcW w:w="1242" w:type="dxa"/>
            <w:noWrap w:val="0"/>
            <w:vAlign w:val="center"/>
          </w:tcPr>
          <w:p w14:paraId="731CF59C">
            <w:pPr>
              <w:adjustRightInd w:val="0"/>
              <w:spacing w:line="360" w:lineRule="exact"/>
              <w:jc w:val="center"/>
              <w:textAlignment w:val="baseline"/>
              <w:rPr>
                <w:rFonts w:hint="eastAsia" w:ascii="宋体" w:hAnsi="宋体"/>
                <w:b/>
                <w:bCs/>
                <w:color w:val="auto"/>
                <w:szCs w:val="22"/>
                <w:highlight w:val="none"/>
              </w:rPr>
            </w:pPr>
            <w:r>
              <w:rPr>
                <w:rFonts w:hint="eastAsia" w:ascii="宋体" w:hAnsi="宋体"/>
                <w:b/>
                <w:bCs/>
                <w:color w:val="auto"/>
                <w:szCs w:val="22"/>
                <w:highlight w:val="none"/>
              </w:rPr>
              <w:t>投标报价</w:t>
            </w:r>
          </w:p>
        </w:tc>
        <w:tc>
          <w:tcPr>
            <w:tcW w:w="6480" w:type="dxa"/>
            <w:noWrap w:val="0"/>
            <w:vAlign w:val="center"/>
          </w:tcPr>
          <w:p w14:paraId="1A3C93A7">
            <w:pPr>
              <w:snapToGrid/>
              <w:spacing w:line="360" w:lineRule="auto"/>
              <w:ind w:firstLine="420" w:firstLineChars="200"/>
              <w:outlineLvl w:val="0"/>
              <w:rPr>
                <w:rFonts w:hint="eastAsia" w:ascii="宋体" w:hAnsi="宋体"/>
                <w:bCs/>
                <w:color w:val="auto"/>
                <w:szCs w:val="21"/>
                <w:highlight w:val="none"/>
              </w:rPr>
            </w:pPr>
            <w:r>
              <w:rPr>
                <w:rFonts w:hint="eastAsia" w:ascii="宋体" w:hAnsi="宋体"/>
                <w:bCs/>
                <w:color w:val="auto"/>
                <w:szCs w:val="21"/>
                <w:highlight w:val="none"/>
              </w:rPr>
              <w:t>（1）本项目为专门面向中小企业预留项目，不再执行价格分政策扣除。满足</w:t>
            </w:r>
            <w:r>
              <w:rPr>
                <w:rFonts w:hint="eastAsia" w:ascii="宋体" w:hAnsi="宋体"/>
                <w:bCs/>
                <w:color w:val="auto"/>
                <w:szCs w:val="21"/>
                <w:highlight w:val="none"/>
                <w:lang w:val="en-US" w:eastAsia="zh-CN"/>
              </w:rPr>
              <w:t>采购</w:t>
            </w:r>
            <w:r>
              <w:rPr>
                <w:rFonts w:hint="eastAsia" w:ascii="宋体" w:hAnsi="宋体"/>
                <w:bCs/>
                <w:color w:val="auto"/>
                <w:szCs w:val="21"/>
                <w:highlight w:val="none"/>
              </w:rPr>
              <w:t>文件要求且评标报价最低的评标报价为评标基准价，其价格分为满分。</w:t>
            </w:r>
          </w:p>
          <w:p w14:paraId="5224260F">
            <w:pPr>
              <w:spacing w:line="360" w:lineRule="auto"/>
              <w:ind w:firstLine="420" w:firstLineChars="200"/>
              <w:outlineLvl w:val="0"/>
              <w:rPr>
                <w:rFonts w:hint="eastAsia" w:ascii="宋体" w:hAnsi="宋体"/>
                <w:bCs/>
                <w:color w:val="auto"/>
                <w:szCs w:val="21"/>
                <w:highlight w:val="none"/>
              </w:rPr>
            </w:pPr>
            <w:r>
              <w:rPr>
                <w:rFonts w:hint="eastAsia" w:ascii="宋体" w:hAnsi="宋体"/>
                <w:bCs/>
                <w:color w:val="auto"/>
                <w:szCs w:val="21"/>
                <w:highlight w:val="none"/>
              </w:rPr>
              <w:t>（</w:t>
            </w:r>
            <w:r>
              <w:rPr>
                <w:rFonts w:hint="eastAsia" w:ascii="宋体" w:hAnsi="宋体"/>
                <w:bCs/>
                <w:color w:val="auto"/>
                <w:szCs w:val="21"/>
                <w:highlight w:val="none"/>
                <w:lang w:val="en-US" w:eastAsia="zh-CN"/>
              </w:rPr>
              <w:t>2</w:t>
            </w:r>
            <w:r>
              <w:rPr>
                <w:rFonts w:hint="eastAsia" w:ascii="宋体" w:hAnsi="宋体"/>
                <w:bCs/>
                <w:color w:val="auto"/>
                <w:szCs w:val="21"/>
                <w:highlight w:val="none"/>
              </w:rPr>
              <w:t xml:space="preserve">）价格分计算公式：        </w:t>
            </w:r>
          </w:p>
          <w:p w14:paraId="13DEA658">
            <w:pPr>
              <w:spacing w:line="360" w:lineRule="auto"/>
              <w:ind w:firstLine="420" w:firstLineChars="200"/>
              <w:outlineLvl w:val="0"/>
              <w:rPr>
                <w:color w:val="auto"/>
                <w:highlight w:val="none"/>
              </w:rPr>
            </w:pPr>
            <w:r>
              <w:rPr>
                <w:rFonts w:hint="eastAsia" w:ascii="宋体" w:hAnsi="宋体"/>
                <w:bCs/>
                <w:color w:val="auto"/>
                <w:szCs w:val="21"/>
                <w:highlight w:val="none"/>
              </w:rPr>
              <w:t xml:space="preserve">价格分=（评标基准价／评标报价）× </w:t>
            </w:r>
            <w:r>
              <w:rPr>
                <w:rFonts w:hint="eastAsia" w:ascii="宋体" w:hAnsi="宋体"/>
                <w:bCs/>
                <w:color w:val="auto"/>
                <w:szCs w:val="21"/>
                <w:highlight w:val="none"/>
                <w:lang w:val="en-US" w:eastAsia="zh-CN"/>
              </w:rPr>
              <w:t>1</w:t>
            </w:r>
            <w:r>
              <w:rPr>
                <w:rFonts w:ascii="宋体" w:hAnsi="宋体"/>
                <w:bCs/>
                <w:color w:val="auto"/>
                <w:szCs w:val="21"/>
                <w:highlight w:val="none"/>
              </w:rPr>
              <w:t>0</w:t>
            </w:r>
            <w:r>
              <w:rPr>
                <w:rFonts w:hint="eastAsia" w:ascii="宋体" w:hAnsi="宋体"/>
                <w:bCs/>
                <w:color w:val="auto"/>
                <w:szCs w:val="21"/>
                <w:highlight w:val="none"/>
              </w:rPr>
              <w:t>分</w:t>
            </w:r>
          </w:p>
        </w:tc>
      </w:tr>
      <w:tr w14:paraId="1B565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6" w:hRule="atLeast"/>
          <w:jc w:val="center"/>
        </w:trPr>
        <w:tc>
          <w:tcPr>
            <w:tcW w:w="547" w:type="dxa"/>
            <w:vMerge w:val="restart"/>
            <w:noWrap w:val="0"/>
            <w:vAlign w:val="center"/>
          </w:tcPr>
          <w:p w14:paraId="6686B602">
            <w:pPr>
              <w:adjustRightInd w:val="0"/>
              <w:snapToGrid w:val="0"/>
              <w:spacing w:line="360" w:lineRule="atLeast"/>
              <w:jc w:val="center"/>
              <w:textAlignment w:val="baseline"/>
              <w:rPr>
                <w:rFonts w:hint="default" w:ascii="宋体" w:hAnsi="宋体" w:eastAsia="宋体"/>
                <w:color w:val="auto"/>
                <w:szCs w:val="22"/>
                <w:highlight w:val="none"/>
                <w:lang w:val="en-US" w:eastAsia="zh-CN"/>
              </w:rPr>
            </w:pPr>
            <w:r>
              <w:rPr>
                <w:rFonts w:hint="default" w:ascii="宋体" w:hAnsi="宋体"/>
                <w:color w:val="auto"/>
                <w:szCs w:val="22"/>
                <w:highlight w:val="none"/>
                <w:lang w:val="en-US"/>
              </w:rPr>
              <w:t>2</w:t>
            </w:r>
          </w:p>
        </w:tc>
        <w:tc>
          <w:tcPr>
            <w:tcW w:w="770" w:type="dxa"/>
            <w:vMerge w:val="restart"/>
            <w:noWrap w:val="0"/>
            <w:vAlign w:val="center"/>
          </w:tcPr>
          <w:p w14:paraId="7037F2B8">
            <w:pPr>
              <w:widowControl/>
              <w:tabs>
                <w:tab w:val="left" w:pos="8460"/>
              </w:tabs>
              <w:adjustRightInd w:val="0"/>
              <w:spacing w:line="400" w:lineRule="exact"/>
              <w:jc w:val="center"/>
              <w:textAlignment w:val="baseline"/>
              <w:rPr>
                <w:rFonts w:hint="eastAsia" w:ascii="宋体" w:hAnsi="宋体"/>
                <w:b/>
                <w:color w:val="auto"/>
                <w:spacing w:val="-18"/>
                <w:szCs w:val="22"/>
                <w:highlight w:val="none"/>
              </w:rPr>
            </w:pPr>
            <w:r>
              <w:rPr>
                <w:rFonts w:hint="eastAsia" w:ascii="宋体" w:hAnsi="宋体" w:cs="宋体"/>
                <w:color w:val="auto"/>
                <w:kern w:val="0"/>
                <w:szCs w:val="22"/>
                <w:highlight w:val="none"/>
              </w:rPr>
              <w:t>技术分（满分</w:t>
            </w:r>
            <w:r>
              <w:rPr>
                <w:rFonts w:hint="eastAsia" w:ascii="宋体" w:hAnsi="宋体" w:cs="宋体"/>
                <w:color w:val="auto"/>
                <w:kern w:val="0"/>
                <w:szCs w:val="22"/>
                <w:highlight w:val="none"/>
                <w:lang w:val="en-US" w:eastAsia="zh-CN"/>
              </w:rPr>
              <w:t>36</w:t>
            </w:r>
            <w:r>
              <w:rPr>
                <w:rFonts w:hint="eastAsia" w:ascii="宋体" w:hAnsi="宋体" w:cs="宋体"/>
                <w:color w:val="auto"/>
                <w:kern w:val="0"/>
                <w:szCs w:val="22"/>
                <w:highlight w:val="none"/>
              </w:rPr>
              <w:t>分）</w:t>
            </w:r>
          </w:p>
        </w:tc>
        <w:tc>
          <w:tcPr>
            <w:tcW w:w="1242" w:type="dxa"/>
            <w:noWrap w:val="0"/>
            <w:vAlign w:val="center"/>
          </w:tcPr>
          <w:p w14:paraId="0676F050">
            <w:pPr>
              <w:snapToGrid w:val="0"/>
              <w:spacing w:line="440" w:lineRule="exact"/>
              <w:jc w:val="center"/>
              <w:rPr>
                <w:rFonts w:hint="eastAsia" w:ascii="宋体" w:hAnsi="宋体"/>
                <w:b/>
                <w:color w:val="auto"/>
                <w:kern w:val="2"/>
                <w:sz w:val="21"/>
                <w:szCs w:val="21"/>
                <w:highlight w:val="none"/>
                <w:lang w:val="en-US" w:eastAsia="zh-CN" w:bidi="ar-SA"/>
              </w:rPr>
            </w:pPr>
            <w:r>
              <w:rPr>
                <w:rFonts w:hint="eastAsia" w:ascii="宋体" w:hAnsi="宋体"/>
                <w:b/>
                <w:bCs/>
                <w:color w:val="auto"/>
                <w:szCs w:val="21"/>
                <w:highlight w:val="none"/>
              </w:rPr>
              <w:t>2.1服务方案分（满分1</w:t>
            </w:r>
            <w:r>
              <w:rPr>
                <w:rFonts w:hint="eastAsia" w:ascii="宋体" w:hAnsi="宋体"/>
                <w:b/>
                <w:bCs/>
                <w:color w:val="auto"/>
                <w:szCs w:val="21"/>
                <w:highlight w:val="none"/>
                <w:lang w:val="en-US" w:eastAsia="zh-CN"/>
              </w:rPr>
              <w:t>2</w:t>
            </w:r>
            <w:r>
              <w:rPr>
                <w:rFonts w:hint="eastAsia" w:ascii="宋体" w:hAnsi="宋体"/>
                <w:b/>
                <w:bCs/>
                <w:color w:val="auto"/>
                <w:szCs w:val="21"/>
                <w:highlight w:val="none"/>
              </w:rPr>
              <w:t>分）</w:t>
            </w:r>
          </w:p>
        </w:tc>
        <w:tc>
          <w:tcPr>
            <w:tcW w:w="6480" w:type="dxa"/>
            <w:noWrap w:val="0"/>
            <w:vAlign w:val="center"/>
          </w:tcPr>
          <w:p w14:paraId="1E8739C3">
            <w:pPr>
              <w:widowControl/>
              <w:snapToGrid w:val="0"/>
              <w:spacing w:line="360" w:lineRule="auto"/>
              <w:rPr>
                <w:rFonts w:hint="eastAsia" w:ascii="宋体" w:hAnsi="宋体" w:cs="微软雅黑"/>
                <w:color w:val="auto"/>
                <w:szCs w:val="21"/>
                <w:highlight w:val="none"/>
              </w:rPr>
            </w:pPr>
            <w:r>
              <w:rPr>
                <w:rFonts w:hint="eastAsia" w:ascii="宋体" w:hAnsi="宋体" w:cs="微软雅黑"/>
                <w:color w:val="auto"/>
                <w:szCs w:val="21"/>
                <w:highlight w:val="none"/>
              </w:rPr>
              <w:t>由</w:t>
            </w:r>
            <w:r>
              <w:rPr>
                <w:rFonts w:hint="eastAsia" w:ascii="宋体" w:hAnsi="宋体" w:cs="微软雅黑"/>
                <w:color w:val="auto"/>
                <w:szCs w:val="21"/>
                <w:highlight w:val="none"/>
                <w:lang w:eastAsia="zh-CN"/>
              </w:rPr>
              <w:t>评标委员会</w:t>
            </w:r>
            <w:r>
              <w:rPr>
                <w:rFonts w:hint="eastAsia" w:ascii="宋体" w:hAnsi="宋体" w:cs="微软雅黑"/>
                <w:color w:val="auto"/>
                <w:szCs w:val="21"/>
                <w:highlight w:val="none"/>
              </w:rPr>
              <w:t>根据</w:t>
            </w:r>
            <w:r>
              <w:rPr>
                <w:rFonts w:hint="eastAsia" w:ascii="宋体" w:hAnsi="宋体" w:cs="微软雅黑"/>
                <w:color w:val="auto"/>
                <w:szCs w:val="21"/>
                <w:highlight w:val="none"/>
                <w:lang w:eastAsia="zh-CN"/>
              </w:rPr>
              <w:t>各</w:t>
            </w:r>
            <w:r>
              <w:rPr>
                <w:rFonts w:hint="eastAsia" w:ascii="宋体" w:hAnsi="宋体" w:cs="微软雅黑"/>
                <w:color w:val="auto"/>
                <w:szCs w:val="21"/>
                <w:highlight w:val="none"/>
              </w:rPr>
              <w:t>供应商提供的</w:t>
            </w:r>
            <w:r>
              <w:rPr>
                <w:rFonts w:hint="eastAsia" w:ascii="宋体" w:hAnsi="宋体" w:cs="微软雅黑"/>
                <w:color w:val="auto"/>
                <w:szCs w:val="21"/>
                <w:highlight w:val="none"/>
                <w:lang w:eastAsia="zh-CN"/>
              </w:rPr>
              <w:t>服务</w:t>
            </w:r>
            <w:r>
              <w:rPr>
                <w:rFonts w:hint="eastAsia" w:ascii="宋体" w:hAnsi="宋体" w:cs="微软雅黑"/>
                <w:color w:val="auto"/>
                <w:szCs w:val="21"/>
                <w:highlight w:val="none"/>
              </w:rPr>
              <w:t>方案进行独立打分，未提供</w:t>
            </w:r>
            <w:r>
              <w:rPr>
                <w:rFonts w:hint="eastAsia" w:ascii="宋体" w:hAnsi="宋体"/>
                <w:bCs/>
                <w:color w:val="auto"/>
                <w:szCs w:val="21"/>
                <w:highlight w:val="none"/>
              </w:rPr>
              <w:t>方案</w:t>
            </w:r>
            <w:r>
              <w:rPr>
                <w:rFonts w:hint="eastAsia" w:ascii="宋体" w:hAnsi="宋体" w:cs="微软雅黑"/>
                <w:color w:val="auto"/>
                <w:szCs w:val="21"/>
                <w:highlight w:val="none"/>
              </w:rPr>
              <w:t>或提供的</w:t>
            </w:r>
            <w:r>
              <w:rPr>
                <w:rFonts w:hint="eastAsia" w:ascii="宋体" w:hAnsi="宋体"/>
                <w:bCs/>
                <w:color w:val="auto"/>
                <w:szCs w:val="21"/>
                <w:highlight w:val="none"/>
              </w:rPr>
              <w:t>方案</w:t>
            </w:r>
            <w:r>
              <w:rPr>
                <w:rFonts w:hint="eastAsia" w:ascii="宋体" w:hAnsi="宋体" w:cs="微软雅黑"/>
                <w:color w:val="auto"/>
                <w:szCs w:val="21"/>
                <w:highlight w:val="none"/>
              </w:rPr>
              <w:t>不能满足一档要求的得0分。</w:t>
            </w:r>
          </w:p>
          <w:p w14:paraId="2D0D56E6">
            <w:pPr>
              <w:widowControl/>
              <w:snapToGrid w:val="0"/>
              <w:spacing w:line="360" w:lineRule="auto"/>
              <w:rPr>
                <w:rFonts w:ascii="宋体" w:hAnsi="宋体"/>
                <w:color w:val="auto"/>
                <w:highlight w:val="none"/>
              </w:rPr>
            </w:pPr>
            <w:r>
              <w:rPr>
                <w:rFonts w:hint="eastAsia" w:ascii="宋体" w:hAnsi="宋体"/>
                <w:color w:val="auto"/>
                <w:highlight w:val="none"/>
              </w:rPr>
              <w:t>一档（</w:t>
            </w:r>
            <w:r>
              <w:rPr>
                <w:rFonts w:hint="eastAsia" w:ascii="宋体" w:hAnsi="宋体"/>
                <w:color w:val="auto"/>
                <w:highlight w:val="none"/>
                <w:lang w:val="en-US" w:eastAsia="zh-CN"/>
              </w:rPr>
              <w:t>4</w:t>
            </w:r>
            <w:r>
              <w:rPr>
                <w:rFonts w:hint="eastAsia" w:ascii="宋体" w:hAnsi="宋体"/>
                <w:color w:val="auto"/>
                <w:highlight w:val="none"/>
              </w:rPr>
              <w:t>分）：基本能够理解本项目的业务特点、业务目标、业务范围；能够把握本项目的审计重点、难点和要点；提出了基本可行的服务方案、内部管理机制、质量控制、进度控制和后续服务措施。</w:t>
            </w:r>
          </w:p>
          <w:p w14:paraId="2002D85D">
            <w:pPr>
              <w:widowControl/>
              <w:snapToGrid w:val="0"/>
              <w:spacing w:line="360" w:lineRule="auto"/>
              <w:rPr>
                <w:rFonts w:ascii="宋体" w:hAnsi="宋体"/>
                <w:color w:val="auto"/>
                <w:highlight w:val="none"/>
              </w:rPr>
            </w:pPr>
            <w:r>
              <w:rPr>
                <w:rFonts w:hint="eastAsia" w:ascii="宋体" w:hAnsi="宋体"/>
                <w:color w:val="auto"/>
                <w:highlight w:val="none"/>
              </w:rPr>
              <w:t>二档（</w:t>
            </w:r>
            <w:r>
              <w:rPr>
                <w:rFonts w:hint="eastAsia" w:ascii="宋体" w:hAnsi="宋体"/>
                <w:color w:val="auto"/>
                <w:highlight w:val="none"/>
                <w:lang w:val="en-US" w:eastAsia="zh-CN"/>
              </w:rPr>
              <w:t>8</w:t>
            </w:r>
            <w:r>
              <w:rPr>
                <w:rFonts w:hint="eastAsia" w:ascii="宋体" w:hAnsi="宋体"/>
                <w:color w:val="auto"/>
                <w:highlight w:val="none"/>
              </w:rPr>
              <w:t>分）：准确理解本项目的业务特点、业务目标、业务范围；完全把握本项目的技术重点、难点和要点；提出完整、科学可行的服务方案、内部管理机制、质量控制、进度控制和后续服务措施。</w:t>
            </w:r>
          </w:p>
          <w:p w14:paraId="624065CF">
            <w:pPr>
              <w:widowControl/>
              <w:snapToGrid w:val="0"/>
              <w:spacing w:line="360" w:lineRule="auto"/>
              <w:rPr>
                <w:rFonts w:hint="eastAsia" w:ascii="宋体" w:hAnsi="宋体"/>
                <w:color w:val="auto"/>
                <w:kern w:val="2"/>
                <w:sz w:val="21"/>
                <w:szCs w:val="24"/>
                <w:highlight w:val="none"/>
                <w:lang w:val="en-US" w:eastAsia="zh-CN" w:bidi="ar-SA"/>
              </w:rPr>
            </w:pPr>
            <w:r>
              <w:rPr>
                <w:rFonts w:hint="eastAsia" w:ascii="宋体" w:hAnsi="宋体"/>
                <w:color w:val="auto"/>
                <w:highlight w:val="none"/>
              </w:rPr>
              <w:t>三档（1</w:t>
            </w:r>
            <w:r>
              <w:rPr>
                <w:rFonts w:hint="eastAsia" w:ascii="宋体" w:hAnsi="宋体"/>
                <w:color w:val="auto"/>
                <w:highlight w:val="none"/>
                <w:lang w:val="en-US" w:eastAsia="zh-CN"/>
              </w:rPr>
              <w:t>2</w:t>
            </w:r>
            <w:r>
              <w:rPr>
                <w:rFonts w:hint="eastAsia" w:ascii="宋体" w:hAnsi="宋体"/>
                <w:color w:val="auto"/>
                <w:highlight w:val="none"/>
              </w:rPr>
              <w:t>分）：准确理解本项目的业务特点、业务目标、业务范围；实施服务方案具有针对性的工作思路、审计目标、审计服务内容详细、清晰，针对审计过程中可能遇到的重大争议问题有完整的应对方案，能很好协调并处理争议问题。对采购需求内各项工作均有完善、科学、合理、切实可行的重点环节（工序）审计方案，有完善的内部管理机制、服务措施，可操作性高，科学完全可行。能够</w:t>
            </w:r>
            <w:r>
              <w:rPr>
                <w:rFonts w:ascii="宋体" w:hAnsi="宋体"/>
                <w:color w:val="auto"/>
                <w:highlight w:val="none"/>
              </w:rPr>
              <w:t>按审计组工作方案、时间节点要求，完成时间节点工作任务，提交工作成果</w:t>
            </w:r>
            <w:r>
              <w:rPr>
                <w:rFonts w:hint="eastAsia" w:ascii="宋体" w:hAnsi="宋体"/>
                <w:color w:val="auto"/>
                <w:highlight w:val="none"/>
              </w:rPr>
              <w:t>。</w:t>
            </w:r>
          </w:p>
        </w:tc>
      </w:tr>
      <w:tr w14:paraId="3419E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547" w:type="dxa"/>
            <w:vMerge w:val="continue"/>
            <w:noWrap w:val="0"/>
            <w:vAlign w:val="center"/>
          </w:tcPr>
          <w:p w14:paraId="5B71E43C">
            <w:pPr>
              <w:adjustRightInd w:val="0"/>
              <w:snapToGrid w:val="0"/>
              <w:spacing w:line="360" w:lineRule="atLeast"/>
              <w:jc w:val="center"/>
              <w:textAlignment w:val="baseline"/>
              <w:rPr>
                <w:rFonts w:hint="eastAsia" w:ascii="宋体" w:hAnsi="宋体"/>
                <w:color w:val="auto"/>
                <w:szCs w:val="22"/>
                <w:highlight w:val="none"/>
              </w:rPr>
            </w:pPr>
          </w:p>
        </w:tc>
        <w:tc>
          <w:tcPr>
            <w:tcW w:w="770" w:type="dxa"/>
            <w:vMerge w:val="continue"/>
            <w:noWrap w:val="0"/>
            <w:vAlign w:val="center"/>
          </w:tcPr>
          <w:p w14:paraId="7F0F7764">
            <w:pPr>
              <w:widowControl/>
              <w:tabs>
                <w:tab w:val="left" w:pos="8460"/>
              </w:tabs>
              <w:adjustRightInd w:val="0"/>
              <w:spacing w:line="400" w:lineRule="exact"/>
              <w:jc w:val="center"/>
              <w:textAlignment w:val="baseline"/>
              <w:rPr>
                <w:rFonts w:hint="eastAsia" w:ascii="宋体" w:hAnsi="宋体" w:cs="宋体"/>
                <w:color w:val="auto"/>
                <w:kern w:val="0"/>
                <w:szCs w:val="22"/>
                <w:highlight w:val="none"/>
              </w:rPr>
            </w:pPr>
          </w:p>
        </w:tc>
        <w:tc>
          <w:tcPr>
            <w:tcW w:w="1242" w:type="dxa"/>
            <w:noWrap w:val="0"/>
            <w:vAlign w:val="center"/>
          </w:tcPr>
          <w:p w14:paraId="5FC40331">
            <w:pPr>
              <w:snapToGrid w:val="0"/>
              <w:spacing w:line="440" w:lineRule="exact"/>
              <w:jc w:val="center"/>
              <w:rPr>
                <w:rFonts w:hint="eastAsia" w:ascii="宋体" w:hAnsi="宋体"/>
                <w:b/>
                <w:bCs/>
                <w:color w:val="auto"/>
                <w:kern w:val="2"/>
                <w:sz w:val="21"/>
                <w:szCs w:val="21"/>
                <w:highlight w:val="none"/>
                <w:lang w:val="en-US" w:eastAsia="zh-CN" w:bidi="ar-SA"/>
              </w:rPr>
            </w:pPr>
            <w:r>
              <w:rPr>
                <w:rFonts w:hint="eastAsia" w:ascii="宋体" w:hAnsi="宋体"/>
                <w:b/>
                <w:bCs/>
                <w:color w:val="auto"/>
                <w:szCs w:val="21"/>
                <w:highlight w:val="none"/>
              </w:rPr>
              <w:t>2.2服务质量承诺分（满分1</w:t>
            </w:r>
            <w:r>
              <w:rPr>
                <w:rFonts w:hint="eastAsia" w:ascii="宋体" w:hAnsi="宋体"/>
                <w:b/>
                <w:bCs/>
                <w:color w:val="auto"/>
                <w:szCs w:val="21"/>
                <w:highlight w:val="none"/>
                <w:lang w:val="en-US" w:eastAsia="zh-CN"/>
              </w:rPr>
              <w:t>2</w:t>
            </w:r>
            <w:r>
              <w:rPr>
                <w:rFonts w:hint="eastAsia" w:ascii="宋体" w:hAnsi="宋体"/>
                <w:b/>
                <w:bCs/>
                <w:color w:val="auto"/>
                <w:szCs w:val="21"/>
                <w:highlight w:val="none"/>
              </w:rPr>
              <w:t>分）</w:t>
            </w:r>
          </w:p>
        </w:tc>
        <w:tc>
          <w:tcPr>
            <w:tcW w:w="6480" w:type="dxa"/>
            <w:noWrap w:val="0"/>
            <w:vAlign w:val="center"/>
          </w:tcPr>
          <w:p w14:paraId="7B691FF5">
            <w:pPr>
              <w:widowControl/>
              <w:snapToGrid w:val="0"/>
              <w:spacing w:line="360" w:lineRule="auto"/>
              <w:rPr>
                <w:rFonts w:hint="eastAsia" w:ascii="宋体" w:hAnsi="宋体" w:cs="微软雅黑"/>
                <w:color w:val="auto"/>
                <w:szCs w:val="21"/>
                <w:highlight w:val="none"/>
              </w:rPr>
            </w:pPr>
            <w:r>
              <w:rPr>
                <w:rFonts w:hint="eastAsia" w:ascii="宋体" w:hAnsi="宋体" w:eastAsia="宋体" w:cs="微软雅黑"/>
                <w:color w:val="auto"/>
                <w:szCs w:val="21"/>
                <w:highlight w:val="none"/>
              </w:rPr>
              <w:t>由</w:t>
            </w:r>
            <w:r>
              <w:rPr>
                <w:rFonts w:hint="eastAsia" w:ascii="宋体" w:hAnsi="宋体" w:eastAsia="宋体" w:cs="微软雅黑"/>
                <w:color w:val="auto"/>
                <w:szCs w:val="21"/>
                <w:highlight w:val="none"/>
                <w:lang w:eastAsia="zh-CN"/>
              </w:rPr>
              <w:t>评标</w:t>
            </w:r>
            <w:r>
              <w:rPr>
                <w:rFonts w:hint="eastAsia" w:ascii="宋体" w:hAnsi="宋体" w:cs="微软雅黑"/>
                <w:color w:val="auto"/>
                <w:szCs w:val="21"/>
                <w:highlight w:val="none"/>
                <w:lang w:eastAsia="zh-CN"/>
              </w:rPr>
              <w:t>委员会</w:t>
            </w:r>
            <w:r>
              <w:rPr>
                <w:rFonts w:hint="eastAsia" w:ascii="宋体" w:hAnsi="宋体" w:cs="微软雅黑"/>
                <w:color w:val="auto"/>
                <w:szCs w:val="21"/>
                <w:highlight w:val="none"/>
              </w:rPr>
              <w:t>根据各供应商提交服务质量承诺进行独立打分，未提供</w:t>
            </w:r>
            <w:r>
              <w:rPr>
                <w:rFonts w:hint="eastAsia" w:ascii="宋体" w:hAnsi="宋体"/>
                <w:bCs/>
                <w:color w:val="auto"/>
                <w:szCs w:val="21"/>
                <w:highlight w:val="none"/>
              </w:rPr>
              <w:t>方案</w:t>
            </w:r>
            <w:r>
              <w:rPr>
                <w:rFonts w:hint="eastAsia" w:ascii="宋体" w:hAnsi="宋体" w:cs="微软雅黑"/>
                <w:color w:val="auto"/>
                <w:szCs w:val="21"/>
                <w:highlight w:val="none"/>
              </w:rPr>
              <w:t>或提供的</w:t>
            </w:r>
            <w:r>
              <w:rPr>
                <w:rFonts w:hint="eastAsia" w:ascii="宋体" w:hAnsi="宋体"/>
                <w:bCs/>
                <w:color w:val="auto"/>
                <w:szCs w:val="21"/>
                <w:highlight w:val="none"/>
              </w:rPr>
              <w:t>方案</w:t>
            </w:r>
            <w:r>
              <w:rPr>
                <w:rFonts w:hint="eastAsia" w:ascii="宋体" w:hAnsi="宋体" w:cs="微软雅黑"/>
                <w:color w:val="auto"/>
                <w:szCs w:val="21"/>
                <w:highlight w:val="none"/>
              </w:rPr>
              <w:t>不能满足一档要求的得0分。</w:t>
            </w:r>
          </w:p>
          <w:p w14:paraId="49DA37CC">
            <w:pPr>
              <w:widowControl/>
              <w:snapToGrid w:val="0"/>
              <w:spacing w:line="360" w:lineRule="auto"/>
              <w:rPr>
                <w:rFonts w:ascii="宋体" w:hAnsi="宋体" w:cs="微软雅黑"/>
                <w:color w:val="auto"/>
                <w:szCs w:val="21"/>
                <w:highlight w:val="none"/>
              </w:rPr>
            </w:pPr>
            <w:r>
              <w:rPr>
                <w:rFonts w:hint="eastAsia" w:ascii="宋体" w:hAnsi="宋体" w:cs="微软雅黑"/>
                <w:color w:val="auto"/>
                <w:szCs w:val="21"/>
                <w:highlight w:val="none"/>
              </w:rPr>
              <w:t>一档（</w:t>
            </w:r>
            <w:r>
              <w:rPr>
                <w:rFonts w:hint="eastAsia" w:ascii="宋体" w:hAnsi="宋体" w:cs="微软雅黑"/>
                <w:color w:val="auto"/>
                <w:szCs w:val="21"/>
                <w:highlight w:val="none"/>
                <w:lang w:val="en-US" w:eastAsia="zh-CN"/>
              </w:rPr>
              <w:t>4</w:t>
            </w:r>
            <w:r>
              <w:rPr>
                <w:rFonts w:hint="eastAsia" w:ascii="宋体" w:hAnsi="宋体" w:cs="微软雅黑"/>
                <w:color w:val="auto"/>
                <w:szCs w:val="21"/>
                <w:highlight w:val="none"/>
              </w:rPr>
              <w:t>分）：服务质量承诺</w:t>
            </w:r>
            <w:r>
              <w:rPr>
                <w:rFonts w:hint="eastAsia" w:ascii="宋体" w:hAnsi="宋体" w:cs="微软雅黑"/>
                <w:color w:val="auto"/>
                <w:szCs w:val="21"/>
                <w:highlight w:val="none"/>
                <w:lang w:val="en-US" w:eastAsia="zh-CN"/>
              </w:rPr>
              <w:t>对项目</w:t>
            </w:r>
            <w:r>
              <w:rPr>
                <w:rFonts w:hint="eastAsia" w:ascii="宋体" w:hAnsi="宋体" w:cs="微软雅黑"/>
                <w:color w:val="auto"/>
                <w:szCs w:val="21"/>
                <w:highlight w:val="none"/>
              </w:rPr>
              <w:t>完成时间</w:t>
            </w:r>
            <w:r>
              <w:rPr>
                <w:rFonts w:hint="eastAsia" w:ascii="宋体" w:hAnsi="宋体" w:cs="微软雅黑"/>
                <w:color w:val="auto"/>
                <w:szCs w:val="21"/>
                <w:highlight w:val="none"/>
                <w:lang w:eastAsia="zh-CN"/>
              </w:rPr>
              <w:t>、</w:t>
            </w:r>
            <w:r>
              <w:rPr>
                <w:rFonts w:hint="eastAsia" w:ascii="宋体" w:hAnsi="宋体" w:cs="微软雅黑"/>
                <w:color w:val="auto"/>
                <w:szCs w:val="21"/>
                <w:highlight w:val="none"/>
              </w:rPr>
              <w:t>审计报告质量</w:t>
            </w:r>
            <w:r>
              <w:rPr>
                <w:rFonts w:hint="eastAsia" w:ascii="宋体" w:hAnsi="宋体" w:cs="微软雅黑"/>
                <w:color w:val="auto"/>
                <w:szCs w:val="21"/>
                <w:highlight w:val="none"/>
                <w:lang w:val="en-US" w:eastAsia="zh-CN"/>
              </w:rPr>
              <w:t>等内容有简单的描述，</w:t>
            </w:r>
            <w:r>
              <w:rPr>
                <w:rFonts w:hint="eastAsia" w:ascii="宋体" w:hAnsi="宋体" w:cs="微软雅黑"/>
                <w:color w:val="auto"/>
                <w:szCs w:val="21"/>
                <w:highlight w:val="none"/>
              </w:rPr>
              <w:t>满足采购需求。</w:t>
            </w:r>
          </w:p>
          <w:p w14:paraId="17172265">
            <w:pPr>
              <w:widowControl/>
              <w:snapToGrid w:val="0"/>
              <w:spacing w:line="360" w:lineRule="auto"/>
              <w:rPr>
                <w:rFonts w:ascii="宋体" w:hAnsi="宋体" w:cs="微软雅黑"/>
                <w:color w:val="auto"/>
                <w:szCs w:val="21"/>
                <w:highlight w:val="none"/>
              </w:rPr>
            </w:pPr>
            <w:r>
              <w:rPr>
                <w:rFonts w:hint="eastAsia" w:ascii="宋体" w:hAnsi="宋体" w:cs="微软雅黑"/>
                <w:color w:val="auto"/>
                <w:szCs w:val="21"/>
                <w:highlight w:val="none"/>
              </w:rPr>
              <w:t>二档（</w:t>
            </w:r>
            <w:r>
              <w:rPr>
                <w:rFonts w:hint="eastAsia" w:ascii="宋体" w:hAnsi="宋体" w:cs="微软雅黑"/>
                <w:color w:val="auto"/>
                <w:szCs w:val="21"/>
                <w:highlight w:val="none"/>
                <w:lang w:val="en-US" w:eastAsia="zh-CN"/>
              </w:rPr>
              <w:t>8</w:t>
            </w:r>
            <w:r>
              <w:rPr>
                <w:rFonts w:hint="eastAsia" w:ascii="宋体" w:hAnsi="宋体" w:cs="微软雅黑"/>
                <w:color w:val="auto"/>
                <w:szCs w:val="21"/>
                <w:highlight w:val="none"/>
              </w:rPr>
              <w:t>分）：服务质量承诺</w:t>
            </w:r>
            <w:r>
              <w:rPr>
                <w:rFonts w:hint="eastAsia" w:ascii="宋体" w:hAnsi="宋体" w:cs="微软雅黑"/>
                <w:color w:val="auto"/>
                <w:szCs w:val="21"/>
                <w:highlight w:val="none"/>
                <w:lang w:val="en-US" w:eastAsia="zh-CN"/>
              </w:rPr>
              <w:t>对项目</w:t>
            </w:r>
            <w:r>
              <w:rPr>
                <w:rFonts w:hint="eastAsia" w:ascii="宋体" w:hAnsi="宋体" w:cs="微软雅黑"/>
                <w:color w:val="auto"/>
                <w:szCs w:val="21"/>
                <w:highlight w:val="none"/>
              </w:rPr>
              <w:t>完成时间</w:t>
            </w:r>
            <w:r>
              <w:rPr>
                <w:rFonts w:hint="eastAsia" w:ascii="宋体" w:hAnsi="宋体" w:cs="微软雅黑"/>
                <w:color w:val="auto"/>
                <w:szCs w:val="21"/>
                <w:highlight w:val="none"/>
                <w:lang w:eastAsia="zh-CN"/>
              </w:rPr>
              <w:t>、</w:t>
            </w:r>
            <w:r>
              <w:rPr>
                <w:rFonts w:hint="eastAsia" w:ascii="宋体" w:hAnsi="宋体" w:cs="微软雅黑"/>
                <w:color w:val="auto"/>
                <w:szCs w:val="21"/>
                <w:highlight w:val="none"/>
              </w:rPr>
              <w:t>审计报告质量</w:t>
            </w:r>
            <w:r>
              <w:rPr>
                <w:rFonts w:hint="eastAsia" w:ascii="宋体" w:hAnsi="宋体" w:cs="微软雅黑"/>
                <w:color w:val="auto"/>
                <w:szCs w:val="21"/>
                <w:highlight w:val="none"/>
                <w:lang w:eastAsia="zh-CN"/>
              </w:rPr>
              <w:t>、</w:t>
            </w:r>
            <w:r>
              <w:rPr>
                <w:rFonts w:hint="eastAsia" w:ascii="宋体" w:hAnsi="宋体" w:cs="微软雅黑"/>
                <w:color w:val="auto"/>
                <w:szCs w:val="21"/>
                <w:highlight w:val="none"/>
              </w:rPr>
              <w:t>审计步骤、审计深度</w:t>
            </w:r>
            <w:r>
              <w:rPr>
                <w:rFonts w:hint="eastAsia" w:ascii="宋体" w:hAnsi="宋体" w:cs="微软雅黑"/>
                <w:color w:val="auto"/>
                <w:szCs w:val="21"/>
                <w:highlight w:val="none"/>
                <w:lang w:val="en-US" w:eastAsia="zh-CN"/>
              </w:rPr>
              <w:t>等内容有</w:t>
            </w:r>
            <w:r>
              <w:rPr>
                <w:rFonts w:hint="eastAsia" w:ascii="宋体" w:hAnsi="宋体" w:cs="微软雅黑"/>
                <w:color w:val="auto"/>
                <w:szCs w:val="21"/>
                <w:highlight w:val="none"/>
              </w:rPr>
              <w:t>完整</w:t>
            </w:r>
            <w:r>
              <w:rPr>
                <w:rFonts w:hint="eastAsia" w:ascii="宋体" w:hAnsi="宋体" w:cs="微软雅黑"/>
                <w:color w:val="auto"/>
                <w:szCs w:val="21"/>
                <w:highlight w:val="none"/>
                <w:lang w:val="en-US" w:eastAsia="zh-CN"/>
              </w:rPr>
              <w:t>的描述，</w:t>
            </w:r>
            <w:r>
              <w:rPr>
                <w:rFonts w:hint="eastAsia" w:ascii="宋体" w:hAnsi="宋体" w:cs="微软雅黑"/>
                <w:color w:val="auto"/>
                <w:szCs w:val="21"/>
                <w:highlight w:val="none"/>
              </w:rPr>
              <w:t>内容明确，有针对性。</w:t>
            </w:r>
          </w:p>
          <w:p w14:paraId="47345FCC">
            <w:pPr>
              <w:widowControl/>
              <w:snapToGrid w:val="0"/>
              <w:spacing w:line="360" w:lineRule="auto"/>
              <w:rPr>
                <w:rFonts w:hint="eastAsia" w:ascii="宋体" w:hAnsi="宋体" w:cs="微软雅黑"/>
                <w:color w:val="auto"/>
                <w:kern w:val="2"/>
                <w:sz w:val="21"/>
                <w:szCs w:val="21"/>
                <w:highlight w:val="none"/>
                <w:lang w:val="en-US" w:eastAsia="zh-CN" w:bidi="ar-SA"/>
              </w:rPr>
            </w:pPr>
            <w:r>
              <w:rPr>
                <w:rFonts w:hint="eastAsia" w:ascii="宋体" w:hAnsi="宋体" w:cs="微软雅黑"/>
                <w:color w:val="auto"/>
                <w:szCs w:val="21"/>
                <w:highlight w:val="none"/>
              </w:rPr>
              <w:t>三档（</w:t>
            </w:r>
            <w:r>
              <w:rPr>
                <w:rFonts w:hint="eastAsia" w:ascii="宋体" w:hAnsi="宋体" w:cs="微软雅黑"/>
                <w:color w:val="auto"/>
                <w:szCs w:val="21"/>
                <w:highlight w:val="none"/>
                <w:lang w:val="en-US" w:eastAsia="zh-CN"/>
              </w:rPr>
              <w:t>12</w:t>
            </w:r>
            <w:r>
              <w:rPr>
                <w:rFonts w:hint="eastAsia" w:ascii="宋体" w:hAnsi="宋体" w:cs="微软雅黑"/>
                <w:color w:val="auto"/>
                <w:szCs w:val="21"/>
                <w:highlight w:val="none"/>
              </w:rPr>
              <w:t>分）：服务质量承诺</w:t>
            </w:r>
            <w:r>
              <w:rPr>
                <w:rFonts w:hint="eastAsia" w:ascii="宋体" w:hAnsi="宋体" w:cs="微软雅黑"/>
                <w:color w:val="auto"/>
                <w:szCs w:val="21"/>
                <w:highlight w:val="none"/>
                <w:lang w:val="en-US" w:eastAsia="zh-CN"/>
              </w:rPr>
              <w:t>对项目</w:t>
            </w:r>
            <w:r>
              <w:rPr>
                <w:rFonts w:hint="eastAsia" w:ascii="宋体" w:hAnsi="宋体" w:cs="微软雅黑"/>
                <w:color w:val="auto"/>
                <w:szCs w:val="21"/>
                <w:highlight w:val="none"/>
              </w:rPr>
              <w:t>完成时间</w:t>
            </w:r>
            <w:r>
              <w:rPr>
                <w:rFonts w:hint="eastAsia" w:ascii="宋体" w:hAnsi="宋体" w:cs="微软雅黑"/>
                <w:color w:val="auto"/>
                <w:szCs w:val="21"/>
                <w:highlight w:val="none"/>
                <w:lang w:eastAsia="zh-CN"/>
              </w:rPr>
              <w:t>、</w:t>
            </w:r>
            <w:r>
              <w:rPr>
                <w:rFonts w:hint="eastAsia" w:ascii="宋体" w:hAnsi="宋体" w:cs="微软雅黑"/>
                <w:color w:val="auto"/>
                <w:szCs w:val="21"/>
                <w:highlight w:val="none"/>
              </w:rPr>
              <w:t>审计报告质量</w:t>
            </w:r>
            <w:r>
              <w:rPr>
                <w:rFonts w:hint="eastAsia" w:ascii="宋体" w:hAnsi="宋体" w:cs="微软雅黑"/>
                <w:color w:val="auto"/>
                <w:szCs w:val="21"/>
                <w:highlight w:val="none"/>
                <w:lang w:eastAsia="zh-CN"/>
              </w:rPr>
              <w:t>、</w:t>
            </w:r>
            <w:r>
              <w:rPr>
                <w:rFonts w:hint="eastAsia" w:ascii="宋体" w:hAnsi="宋体" w:cs="微软雅黑"/>
                <w:color w:val="auto"/>
                <w:szCs w:val="21"/>
                <w:highlight w:val="none"/>
              </w:rPr>
              <w:t>审计步骤、审计深度、审计目标的实现</w:t>
            </w:r>
            <w:r>
              <w:rPr>
                <w:rFonts w:hint="eastAsia" w:ascii="宋体" w:hAnsi="宋体" w:cs="微软雅黑"/>
                <w:color w:val="auto"/>
                <w:szCs w:val="21"/>
                <w:highlight w:val="none"/>
                <w:lang w:eastAsia="zh-CN"/>
              </w:rPr>
              <w:t>、</w:t>
            </w:r>
            <w:r>
              <w:rPr>
                <w:rFonts w:hint="eastAsia" w:ascii="宋体" w:hAnsi="宋体" w:cs="微软雅黑"/>
                <w:color w:val="auto"/>
                <w:szCs w:val="21"/>
                <w:highlight w:val="none"/>
              </w:rPr>
              <w:t>服务态度</w:t>
            </w:r>
            <w:r>
              <w:rPr>
                <w:rFonts w:hint="eastAsia" w:ascii="宋体" w:hAnsi="宋体" w:cs="微软雅黑"/>
                <w:color w:val="auto"/>
                <w:szCs w:val="21"/>
                <w:highlight w:val="none"/>
                <w:lang w:eastAsia="zh-CN"/>
              </w:rPr>
              <w:t>、</w:t>
            </w:r>
            <w:r>
              <w:rPr>
                <w:rFonts w:hint="eastAsia" w:ascii="宋体" w:hAnsi="宋体" w:cs="微软雅黑"/>
                <w:color w:val="auto"/>
                <w:szCs w:val="21"/>
                <w:highlight w:val="none"/>
              </w:rPr>
              <w:t>廉洁承诺</w:t>
            </w:r>
            <w:r>
              <w:rPr>
                <w:rFonts w:hint="eastAsia" w:ascii="宋体" w:hAnsi="宋体" w:cs="微软雅黑"/>
                <w:color w:val="auto"/>
                <w:szCs w:val="21"/>
                <w:highlight w:val="none"/>
                <w:lang w:val="en-US" w:eastAsia="zh-CN"/>
              </w:rPr>
              <w:t>等内容的描述详细、合理、</w:t>
            </w:r>
            <w:r>
              <w:rPr>
                <w:rFonts w:hint="eastAsia" w:ascii="宋体" w:hAnsi="宋体" w:cs="微软雅黑"/>
                <w:color w:val="auto"/>
                <w:szCs w:val="21"/>
                <w:highlight w:val="none"/>
              </w:rPr>
              <w:t>清晰明确、针对性强，承诺</w:t>
            </w:r>
            <w:r>
              <w:rPr>
                <w:rFonts w:ascii="宋体" w:hAnsi="宋体" w:cs="微软雅黑"/>
                <w:color w:val="auto"/>
                <w:szCs w:val="21"/>
                <w:highlight w:val="none"/>
              </w:rPr>
              <w:t>坚决服</w:t>
            </w:r>
            <w:r>
              <w:rPr>
                <w:rFonts w:hint="eastAsia" w:ascii="宋体" w:hAnsi="宋体" w:cs="微软雅黑"/>
                <w:color w:val="auto"/>
                <w:szCs w:val="21"/>
                <w:highlight w:val="none"/>
              </w:rPr>
              <w:t>从</w:t>
            </w:r>
            <w:r>
              <w:rPr>
                <w:rFonts w:ascii="宋体" w:hAnsi="宋体" w:cs="微软雅黑"/>
                <w:color w:val="auto"/>
                <w:szCs w:val="21"/>
                <w:highlight w:val="none"/>
              </w:rPr>
              <w:t>审计组的领导和管理，</w:t>
            </w:r>
            <w:r>
              <w:rPr>
                <w:rFonts w:hint="eastAsia" w:ascii="宋体" w:hAnsi="宋体" w:cs="微软雅黑"/>
                <w:color w:val="auto"/>
                <w:szCs w:val="21"/>
                <w:highlight w:val="none"/>
              </w:rPr>
              <w:t>完全满足采购需求。</w:t>
            </w:r>
          </w:p>
        </w:tc>
      </w:tr>
      <w:tr w14:paraId="04180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47" w:type="dxa"/>
            <w:vMerge w:val="continue"/>
            <w:noWrap w:val="0"/>
            <w:vAlign w:val="center"/>
          </w:tcPr>
          <w:p w14:paraId="01FEBE91">
            <w:pPr>
              <w:adjustRightInd w:val="0"/>
              <w:snapToGrid w:val="0"/>
              <w:spacing w:line="360" w:lineRule="atLeast"/>
              <w:jc w:val="center"/>
              <w:textAlignment w:val="baseline"/>
              <w:rPr>
                <w:rFonts w:hint="eastAsia" w:ascii="宋体" w:hAnsi="宋体"/>
                <w:color w:val="auto"/>
                <w:szCs w:val="22"/>
                <w:highlight w:val="none"/>
              </w:rPr>
            </w:pPr>
          </w:p>
        </w:tc>
        <w:tc>
          <w:tcPr>
            <w:tcW w:w="770" w:type="dxa"/>
            <w:vMerge w:val="continue"/>
            <w:noWrap w:val="0"/>
            <w:vAlign w:val="center"/>
          </w:tcPr>
          <w:p w14:paraId="2DCF7FBB">
            <w:pPr>
              <w:widowControl/>
              <w:tabs>
                <w:tab w:val="left" w:pos="8460"/>
              </w:tabs>
              <w:adjustRightInd w:val="0"/>
              <w:spacing w:line="400" w:lineRule="exact"/>
              <w:jc w:val="center"/>
              <w:textAlignment w:val="baseline"/>
              <w:rPr>
                <w:rFonts w:hint="eastAsia" w:ascii="宋体" w:hAnsi="宋体" w:cs="宋体"/>
                <w:color w:val="auto"/>
                <w:kern w:val="0"/>
                <w:szCs w:val="22"/>
                <w:highlight w:val="none"/>
              </w:rPr>
            </w:pPr>
          </w:p>
        </w:tc>
        <w:tc>
          <w:tcPr>
            <w:tcW w:w="1242" w:type="dxa"/>
            <w:vMerge w:val="restart"/>
            <w:noWrap w:val="0"/>
            <w:vAlign w:val="center"/>
          </w:tcPr>
          <w:p w14:paraId="54FAA90D">
            <w:pPr>
              <w:snapToGrid w:val="0"/>
              <w:spacing w:line="440" w:lineRule="exact"/>
              <w:jc w:val="center"/>
              <w:rPr>
                <w:rFonts w:hint="eastAsia" w:ascii="宋体" w:hAnsi="宋体"/>
                <w:b/>
                <w:bCs/>
                <w:color w:val="auto"/>
                <w:kern w:val="2"/>
                <w:sz w:val="21"/>
                <w:szCs w:val="21"/>
                <w:highlight w:val="none"/>
                <w:lang w:val="en-US" w:eastAsia="zh-CN" w:bidi="ar-SA"/>
              </w:rPr>
            </w:pPr>
            <w:r>
              <w:rPr>
                <w:rFonts w:hint="eastAsia" w:ascii="宋体" w:hAnsi="宋体"/>
                <w:b/>
                <w:bCs/>
                <w:color w:val="auto"/>
                <w:szCs w:val="21"/>
                <w:highlight w:val="none"/>
              </w:rPr>
              <w:t>2.3服务进度保证措施分（满分1</w:t>
            </w:r>
            <w:r>
              <w:rPr>
                <w:rFonts w:hint="eastAsia" w:ascii="宋体" w:hAnsi="宋体"/>
                <w:b/>
                <w:bCs/>
                <w:color w:val="auto"/>
                <w:szCs w:val="21"/>
                <w:highlight w:val="none"/>
                <w:lang w:val="en-US" w:eastAsia="zh-CN"/>
              </w:rPr>
              <w:t>2</w:t>
            </w:r>
            <w:r>
              <w:rPr>
                <w:rFonts w:hint="eastAsia" w:ascii="宋体" w:hAnsi="宋体"/>
                <w:b/>
                <w:bCs/>
                <w:color w:val="auto"/>
                <w:szCs w:val="21"/>
                <w:highlight w:val="none"/>
              </w:rPr>
              <w:t>分）</w:t>
            </w:r>
          </w:p>
        </w:tc>
        <w:tc>
          <w:tcPr>
            <w:tcW w:w="6480" w:type="dxa"/>
            <w:noWrap w:val="0"/>
            <w:vAlign w:val="center"/>
          </w:tcPr>
          <w:p w14:paraId="1AF5FC14">
            <w:pPr>
              <w:widowControl/>
              <w:snapToGrid w:val="0"/>
              <w:spacing w:line="360" w:lineRule="auto"/>
              <w:rPr>
                <w:rFonts w:hint="eastAsia" w:ascii="宋体" w:hAnsi="宋体" w:cs="微软雅黑"/>
                <w:color w:val="auto"/>
                <w:szCs w:val="21"/>
                <w:highlight w:val="none"/>
              </w:rPr>
            </w:pPr>
            <w:r>
              <w:rPr>
                <w:rFonts w:hint="eastAsia" w:ascii="宋体" w:hAnsi="宋体" w:cs="微软雅黑"/>
                <w:color w:val="auto"/>
                <w:szCs w:val="21"/>
                <w:highlight w:val="none"/>
              </w:rPr>
              <w:t>由</w:t>
            </w:r>
            <w:r>
              <w:rPr>
                <w:rFonts w:hint="eastAsia" w:ascii="宋体" w:hAnsi="宋体" w:cs="微软雅黑"/>
                <w:color w:val="auto"/>
                <w:szCs w:val="21"/>
                <w:highlight w:val="none"/>
                <w:lang w:eastAsia="zh-CN"/>
              </w:rPr>
              <w:t>评标委员会</w:t>
            </w:r>
            <w:r>
              <w:rPr>
                <w:rFonts w:hint="eastAsia" w:ascii="宋体" w:hAnsi="宋体" w:cs="微软雅黑"/>
                <w:color w:val="auto"/>
                <w:szCs w:val="21"/>
                <w:highlight w:val="none"/>
              </w:rPr>
              <w:t>根据各供应商</w:t>
            </w:r>
            <w:r>
              <w:rPr>
                <w:rFonts w:hint="eastAsia" w:ascii="宋体" w:hAnsi="宋体" w:cs="微软雅黑"/>
                <w:color w:val="auto"/>
                <w:szCs w:val="21"/>
                <w:highlight w:val="none"/>
                <w:lang w:eastAsia="zh-CN"/>
              </w:rPr>
              <w:t>按照</w:t>
            </w:r>
            <w:r>
              <w:rPr>
                <w:rFonts w:hint="eastAsia" w:ascii="宋体" w:hAnsi="宋体" w:cs="微软雅黑"/>
                <w:color w:val="auto"/>
                <w:szCs w:val="21"/>
                <w:highlight w:val="none"/>
              </w:rPr>
              <w:t>审计服务要求提供的详细服务进度保证措施进行独立打分，未提供</w:t>
            </w:r>
            <w:r>
              <w:rPr>
                <w:rFonts w:hint="eastAsia" w:ascii="宋体" w:hAnsi="宋体"/>
                <w:bCs/>
                <w:color w:val="auto"/>
                <w:szCs w:val="21"/>
                <w:highlight w:val="none"/>
              </w:rPr>
              <w:t>方案</w:t>
            </w:r>
            <w:r>
              <w:rPr>
                <w:rFonts w:hint="eastAsia" w:ascii="宋体" w:hAnsi="宋体" w:cs="微软雅黑"/>
                <w:color w:val="auto"/>
                <w:szCs w:val="21"/>
                <w:highlight w:val="none"/>
              </w:rPr>
              <w:t>或提供的</w:t>
            </w:r>
            <w:r>
              <w:rPr>
                <w:rFonts w:hint="eastAsia" w:ascii="宋体" w:hAnsi="宋体"/>
                <w:bCs/>
                <w:color w:val="auto"/>
                <w:szCs w:val="21"/>
                <w:highlight w:val="none"/>
              </w:rPr>
              <w:t>方案</w:t>
            </w:r>
            <w:r>
              <w:rPr>
                <w:rFonts w:hint="eastAsia" w:ascii="宋体" w:hAnsi="宋体" w:cs="微软雅黑"/>
                <w:color w:val="auto"/>
                <w:szCs w:val="21"/>
                <w:highlight w:val="none"/>
              </w:rPr>
              <w:t>不能满足一档要求的得0分。</w:t>
            </w:r>
          </w:p>
          <w:p w14:paraId="3D666F31">
            <w:pPr>
              <w:widowControl/>
              <w:snapToGrid w:val="0"/>
              <w:spacing w:line="360" w:lineRule="auto"/>
              <w:rPr>
                <w:rFonts w:hint="eastAsia" w:ascii="宋体" w:hAnsi="宋体" w:eastAsia="宋体" w:cs="微软雅黑"/>
                <w:color w:val="auto"/>
                <w:szCs w:val="21"/>
                <w:highlight w:val="none"/>
                <w:lang w:eastAsia="zh-CN"/>
              </w:rPr>
            </w:pPr>
            <w:r>
              <w:rPr>
                <w:rFonts w:hint="eastAsia" w:ascii="宋体" w:hAnsi="宋体" w:cs="微软雅黑"/>
                <w:color w:val="auto"/>
                <w:szCs w:val="21"/>
                <w:highlight w:val="none"/>
              </w:rPr>
              <w:t>一档(</w:t>
            </w:r>
            <w:r>
              <w:rPr>
                <w:rFonts w:hint="eastAsia" w:ascii="宋体" w:hAnsi="宋体" w:cs="微软雅黑"/>
                <w:color w:val="auto"/>
                <w:szCs w:val="21"/>
                <w:highlight w:val="none"/>
                <w:lang w:val="en-US" w:eastAsia="zh-CN"/>
              </w:rPr>
              <w:t>4</w:t>
            </w:r>
            <w:r>
              <w:rPr>
                <w:rFonts w:hint="eastAsia" w:ascii="宋体" w:hAnsi="宋体" w:cs="微软雅黑"/>
                <w:color w:val="auto"/>
                <w:szCs w:val="21"/>
                <w:highlight w:val="none"/>
              </w:rPr>
              <w:t>分)：对本项目工作大纲、工作进度、对本项目的工作开展指导作用均有阐述。</w:t>
            </w:r>
            <w:r>
              <w:rPr>
                <w:rFonts w:hint="eastAsia" w:ascii="宋体" w:hAnsi="宋体" w:eastAsia="宋体" w:cs="宋体"/>
                <w:color w:val="auto"/>
                <w:highlight w:val="none"/>
              </w:rPr>
              <w:t>基本服从工作安排，服务进度安排基本合理，措施基本可行，勉强能完成服务项目</w:t>
            </w:r>
            <w:r>
              <w:rPr>
                <w:rFonts w:hint="eastAsia" w:ascii="宋体" w:hAnsi="宋体" w:eastAsia="宋体" w:cs="宋体"/>
                <w:color w:val="auto"/>
                <w:highlight w:val="none"/>
                <w:lang w:eastAsia="zh-CN"/>
              </w:rPr>
              <w:t>。</w:t>
            </w:r>
          </w:p>
          <w:p w14:paraId="00CA03E0">
            <w:pPr>
              <w:widowControl/>
              <w:snapToGrid w:val="0"/>
              <w:spacing w:line="360" w:lineRule="auto"/>
              <w:rPr>
                <w:rFonts w:hint="eastAsia" w:ascii="宋体" w:hAnsi="宋体" w:cs="微软雅黑"/>
                <w:color w:val="auto"/>
                <w:szCs w:val="21"/>
                <w:highlight w:val="none"/>
              </w:rPr>
            </w:pPr>
            <w:r>
              <w:rPr>
                <w:rFonts w:hint="eastAsia" w:ascii="宋体" w:hAnsi="宋体" w:cs="微软雅黑"/>
                <w:color w:val="auto"/>
                <w:szCs w:val="21"/>
                <w:highlight w:val="none"/>
              </w:rPr>
              <w:t>二档(</w:t>
            </w:r>
            <w:r>
              <w:rPr>
                <w:rFonts w:hint="eastAsia" w:ascii="宋体" w:hAnsi="宋体" w:cs="微软雅黑"/>
                <w:color w:val="auto"/>
                <w:szCs w:val="21"/>
                <w:highlight w:val="none"/>
                <w:lang w:val="en-US" w:eastAsia="zh-CN"/>
              </w:rPr>
              <w:t>8</w:t>
            </w:r>
            <w:r>
              <w:rPr>
                <w:rFonts w:hint="eastAsia" w:ascii="宋体" w:hAnsi="宋体" w:cs="微软雅黑"/>
                <w:color w:val="auto"/>
                <w:szCs w:val="21"/>
                <w:highlight w:val="none"/>
              </w:rPr>
              <w:t>分)：对本项目工作大纲、工作进度计划比较明确，对本项目的工作开展指导作用阐述合理。</w:t>
            </w:r>
            <w:r>
              <w:rPr>
                <w:rFonts w:hint="eastAsia" w:ascii="宋体" w:hAnsi="宋体" w:eastAsia="宋体" w:cs="宋体"/>
                <w:color w:val="auto"/>
                <w:highlight w:val="none"/>
              </w:rPr>
              <w:t>有明确的质量保证体系，工作进度安排较合理，措施可行，没有随意、频繁换人情形，能按时完成服务项目，能按照审计组指出的工作重点、疑点展开工作，并及时</w:t>
            </w:r>
            <w:r>
              <w:rPr>
                <w:rFonts w:hint="eastAsia" w:ascii="宋体" w:hAnsi="宋体" w:eastAsia="宋体" w:cs="宋体"/>
                <w:color w:val="auto"/>
                <w:highlight w:val="none"/>
                <w:lang w:eastAsia="zh-CN"/>
              </w:rPr>
              <w:t>出审计</w:t>
            </w:r>
            <w:r>
              <w:rPr>
                <w:rFonts w:hint="eastAsia" w:ascii="宋体" w:hAnsi="宋体" w:eastAsia="宋体" w:cs="宋体"/>
                <w:color w:val="auto"/>
                <w:highlight w:val="none"/>
              </w:rPr>
              <w:t>结果</w:t>
            </w:r>
            <w:r>
              <w:rPr>
                <w:rFonts w:hint="eastAsia" w:ascii="宋体" w:hAnsi="宋体" w:eastAsia="宋体" w:cs="宋体"/>
                <w:color w:val="auto"/>
                <w:highlight w:val="none"/>
                <w:lang w:eastAsia="zh-CN"/>
              </w:rPr>
              <w:t>。</w:t>
            </w:r>
          </w:p>
          <w:p w14:paraId="100DC03A">
            <w:pPr>
              <w:widowControl/>
              <w:snapToGrid w:val="0"/>
              <w:spacing w:line="360" w:lineRule="auto"/>
              <w:rPr>
                <w:rFonts w:hint="eastAsia" w:ascii="宋体" w:hAnsi="宋体" w:cs="微软雅黑"/>
                <w:color w:val="auto"/>
                <w:kern w:val="2"/>
                <w:sz w:val="21"/>
                <w:szCs w:val="21"/>
                <w:highlight w:val="none"/>
                <w:lang w:val="en-US" w:eastAsia="zh-CN" w:bidi="ar-SA"/>
              </w:rPr>
            </w:pPr>
            <w:r>
              <w:rPr>
                <w:rFonts w:hint="eastAsia" w:ascii="宋体" w:hAnsi="宋体" w:cs="微软雅黑"/>
                <w:color w:val="auto"/>
                <w:szCs w:val="21"/>
                <w:highlight w:val="none"/>
              </w:rPr>
              <w:t>三档(</w:t>
            </w:r>
            <w:r>
              <w:rPr>
                <w:rFonts w:hint="eastAsia" w:ascii="宋体" w:hAnsi="宋体" w:cs="微软雅黑"/>
                <w:color w:val="auto"/>
                <w:szCs w:val="21"/>
                <w:highlight w:val="none"/>
                <w:lang w:val="en-US" w:eastAsia="zh-CN"/>
              </w:rPr>
              <w:t>12</w:t>
            </w:r>
            <w:r>
              <w:rPr>
                <w:rFonts w:hint="eastAsia" w:ascii="宋体" w:hAnsi="宋体" w:cs="微软雅黑"/>
                <w:color w:val="auto"/>
                <w:szCs w:val="21"/>
                <w:highlight w:val="none"/>
              </w:rPr>
              <w:t>分)：对本项目工作大纲阐述全面，工作进度计划十分明确、对本项目的工作开展指导作用阐述合理且有深入分析。</w:t>
            </w:r>
            <w:r>
              <w:rPr>
                <w:rFonts w:hint="eastAsia" w:ascii="宋体" w:hAnsi="宋体" w:eastAsia="宋体" w:cs="宋体"/>
                <w:color w:val="auto"/>
                <w:highlight w:val="none"/>
              </w:rPr>
              <w:t>有明确完整的质量保证体系，工作进度安排详细合理，对整个项目质量管理有具体的保障制度和措施，且措施切实可行，如审计人员经验及素质达不到审计组的要求，不能按时完成工作任务的，经审计组提出更换或补充人员需求，供应商承诺无条件满足，确保能按时优质完成服务项目。</w:t>
            </w:r>
          </w:p>
        </w:tc>
      </w:tr>
      <w:tr w14:paraId="4783F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7" w:type="dxa"/>
            <w:vMerge w:val="restart"/>
            <w:noWrap w:val="0"/>
            <w:vAlign w:val="center"/>
          </w:tcPr>
          <w:p w14:paraId="317C15D0">
            <w:pPr>
              <w:adjustRightInd w:val="0"/>
              <w:snapToGrid w:val="0"/>
              <w:spacing w:line="360" w:lineRule="atLeast"/>
              <w:jc w:val="center"/>
              <w:textAlignment w:val="baseline"/>
              <w:rPr>
                <w:rFonts w:hint="eastAsia" w:ascii="宋体" w:hAnsi="宋体"/>
                <w:color w:val="auto"/>
                <w:szCs w:val="22"/>
                <w:highlight w:val="none"/>
              </w:rPr>
            </w:pPr>
            <w:r>
              <w:rPr>
                <w:rFonts w:hint="eastAsia" w:ascii="宋体" w:hAnsi="宋体"/>
                <w:color w:val="auto"/>
                <w:szCs w:val="22"/>
                <w:highlight w:val="none"/>
              </w:rPr>
              <w:t>3</w:t>
            </w:r>
          </w:p>
        </w:tc>
        <w:tc>
          <w:tcPr>
            <w:tcW w:w="770" w:type="dxa"/>
            <w:vMerge w:val="restart"/>
            <w:noWrap w:val="0"/>
            <w:vAlign w:val="center"/>
          </w:tcPr>
          <w:p w14:paraId="4584B936">
            <w:pPr>
              <w:widowControl/>
              <w:tabs>
                <w:tab w:val="left" w:pos="8460"/>
              </w:tabs>
              <w:adjustRightInd w:val="0"/>
              <w:spacing w:line="400" w:lineRule="exact"/>
              <w:jc w:val="center"/>
              <w:textAlignment w:val="baseline"/>
              <w:rPr>
                <w:rFonts w:hint="eastAsia" w:ascii="宋体" w:hAnsi="宋体" w:cs="Courier New"/>
                <w:bCs/>
                <w:color w:val="auto"/>
                <w:szCs w:val="22"/>
                <w:highlight w:val="none"/>
              </w:rPr>
            </w:pPr>
            <w:r>
              <w:rPr>
                <w:rFonts w:hint="eastAsia" w:ascii="宋体" w:hAnsi="宋体" w:cs="Courier New"/>
                <w:bCs/>
                <w:color w:val="auto"/>
                <w:szCs w:val="22"/>
                <w:highlight w:val="none"/>
              </w:rPr>
              <w:t>商务分</w:t>
            </w:r>
          </w:p>
          <w:p w14:paraId="0FDD5A08">
            <w:pPr>
              <w:adjustRightInd w:val="0"/>
              <w:snapToGrid w:val="0"/>
              <w:spacing w:line="360" w:lineRule="atLeast"/>
              <w:jc w:val="center"/>
              <w:textAlignment w:val="baseline"/>
              <w:rPr>
                <w:rFonts w:hint="eastAsia" w:ascii="宋体" w:hAnsi="宋体" w:cs="Courier New"/>
                <w:bCs/>
                <w:color w:val="auto"/>
                <w:szCs w:val="22"/>
                <w:highlight w:val="none"/>
              </w:rPr>
            </w:pPr>
            <w:r>
              <w:rPr>
                <w:rFonts w:hint="eastAsia" w:ascii="宋体" w:hAnsi="宋体" w:cs="Courier New"/>
                <w:bCs/>
                <w:color w:val="auto"/>
                <w:szCs w:val="22"/>
                <w:highlight w:val="none"/>
              </w:rPr>
              <w:t>（满分</w:t>
            </w:r>
            <w:r>
              <w:rPr>
                <w:rFonts w:hint="eastAsia" w:ascii="宋体" w:hAnsi="宋体" w:cs="Courier New"/>
                <w:bCs/>
                <w:color w:val="auto"/>
                <w:szCs w:val="22"/>
                <w:highlight w:val="none"/>
                <w:lang w:val="en-US" w:eastAsia="zh-CN"/>
              </w:rPr>
              <w:t>54</w:t>
            </w:r>
            <w:r>
              <w:rPr>
                <w:rFonts w:hint="eastAsia" w:ascii="宋体" w:hAnsi="宋体" w:cs="Courier New"/>
                <w:bCs/>
                <w:color w:val="auto"/>
                <w:szCs w:val="22"/>
                <w:highlight w:val="none"/>
              </w:rPr>
              <w:t>分）</w:t>
            </w:r>
          </w:p>
        </w:tc>
        <w:tc>
          <w:tcPr>
            <w:tcW w:w="1242" w:type="dxa"/>
            <w:vMerge w:val="restart"/>
            <w:noWrap w:val="0"/>
            <w:vAlign w:val="center"/>
          </w:tcPr>
          <w:p w14:paraId="0CFD1951">
            <w:pPr>
              <w:rPr>
                <w:color w:val="auto"/>
                <w:highlight w:val="none"/>
              </w:rPr>
            </w:pPr>
            <w:r>
              <w:rPr>
                <w:rFonts w:hint="eastAsia" w:ascii="宋体" w:hAnsi="宋体"/>
                <w:b/>
                <w:color w:val="auto"/>
                <w:szCs w:val="21"/>
                <w:highlight w:val="none"/>
                <w:lang w:val="en-US" w:eastAsia="zh-CN"/>
              </w:rPr>
              <w:t>3.1</w:t>
            </w:r>
            <w:r>
              <w:rPr>
                <w:rFonts w:hint="eastAsia" w:ascii="宋体" w:hAnsi="宋体"/>
                <w:b/>
                <w:color w:val="auto"/>
                <w:szCs w:val="21"/>
                <w:highlight w:val="none"/>
              </w:rPr>
              <w:t>拟投入团队分（满分</w:t>
            </w:r>
            <w:r>
              <w:rPr>
                <w:rFonts w:hint="eastAsia" w:ascii="宋体" w:hAnsi="宋体"/>
                <w:b/>
                <w:color w:val="auto"/>
                <w:szCs w:val="21"/>
                <w:highlight w:val="none"/>
                <w:lang w:val="en-US" w:eastAsia="zh-CN"/>
              </w:rPr>
              <w:t>36</w:t>
            </w:r>
            <w:r>
              <w:rPr>
                <w:rFonts w:hint="eastAsia" w:ascii="宋体" w:hAnsi="宋体"/>
                <w:b/>
                <w:color w:val="auto"/>
                <w:szCs w:val="21"/>
                <w:highlight w:val="none"/>
              </w:rPr>
              <w:t>分）</w:t>
            </w:r>
          </w:p>
          <w:p w14:paraId="1E5682AC">
            <w:pPr>
              <w:snapToGrid w:val="0"/>
              <w:spacing w:line="440" w:lineRule="exact"/>
              <w:jc w:val="center"/>
              <w:rPr>
                <w:rFonts w:hint="eastAsia" w:ascii="宋体" w:hAnsi="宋体"/>
                <w:b/>
                <w:color w:val="auto"/>
                <w:kern w:val="2"/>
                <w:sz w:val="21"/>
                <w:szCs w:val="21"/>
                <w:highlight w:val="none"/>
                <w:lang w:val="en-US" w:eastAsia="zh-CN" w:bidi="ar-SA"/>
              </w:rPr>
            </w:pPr>
          </w:p>
        </w:tc>
        <w:tc>
          <w:tcPr>
            <w:tcW w:w="6480" w:type="dxa"/>
            <w:noWrap w:val="0"/>
            <w:vAlign w:val="center"/>
          </w:tcPr>
          <w:p w14:paraId="6127E118">
            <w:pPr>
              <w:widowControl/>
              <w:snapToGrid/>
              <w:spacing w:line="360" w:lineRule="auto"/>
              <w:jc w:val="left"/>
              <w:rPr>
                <w:rFonts w:hint="eastAsia" w:ascii="宋体" w:hAnsi="宋体" w:eastAsia="宋体" w:cs="宋体"/>
                <w:color w:val="auto"/>
                <w:highlight w:val="none"/>
                <w:lang w:eastAsia="zh-CN"/>
              </w:rPr>
            </w:pPr>
            <w:r>
              <w:rPr>
                <w:rFonts w:hint="eastAsia" w:ascii="宋体" w:hAnsi="宋体" w:cs="宋体"/>
                <w:b/>
                <w:bCs/>
                <w:color w:val="auto"/>
                <w:sz w:val="28"/>
                <w:szCs w:val="36"/>
                <w:highlight w:val="none"/>
                <w:lang w:val="en-US" w:eastAsia="zh-CN"/>
              </w:rPr>
              <w:t>1分标评分标准：</w:t>
            </w:r>
          </w:p>
          <w:p w14:paraId="2186BF93">
            <w:pPr>
              <w:widowControl/>
              <w:snapToGrid/>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在满足采购需求的基础上，</w:t>
            </w:r>
            <w:r>
              <w:rPr>
                <w:rFonts w:hint="eastAsia" w:ascii="宋体" w:hAnsi="宋体" w:eastAsia="宋体" w:cs="宋体"/>
                <w:color w:val="auto"/>
                <w:highlight w:val="none"/>
                <w:lang w:eastAsia="zh-CN"/>
              </w:rPr>
              <w:t>投入项目现场的</w:t>
            </w:r>
            <w:r>
              <w:rPr>
                <w:rFonts w:hint="eastAsia" w:ascii="宋体" w:hAnsi="宋体" w:eastAsia="宋体" w:cs="宋体"/>
                <w:color w:val="auto"/>
                <w:highlight w:val="none"/>
              </w:rPr>
              <w:t>项目负责人具有</w:t>
            </w:r>
            <w:r>
              <w:rPr>
                <w:rFonts w:hint="eastAsia" w:ascii="宋体" w:hAnsi="宋体"/>
                <w:color w:val="auto"/>
                <w:szCs w:val="21"/>
                <w:highlight w:val="none"/>
              </w:rPr>
              <w:t>造价工程师</w:t>
            </w:r>
            <w:r>
              <w:rPr>
                <w:rFonts w:hint="eastAsia" w:ascii="宋体" w:hAnsi="宋体"/>
                <w:color w:val="auto"/>
                <w:szCs w:val="21"/>
                <w:highlight w:val="none"/>
                <w:lang w:val="en-US" w:eastAsia="zh-CN"/>
              </w:rPr>
              <w:t>或</w:t>
            </w:r>
            <w:r>
              <w:rPr>
                <w:rFonts w:hint="eastAsia" w:ascii="宋体" w:hAnsi="宋体" w:eastAsia="宋体" w:cs="宋体"/>
                <w:color w:val="auto"/>
                <w:highlight w:val="none"/>
              </w:rPr>
              <w:t>高级职称的加</w:t>
            </w:r>
            <w:r>
              <w:rPr>
                <w:rFonts w:hint="eastAsia" w:ascii="宋体" w:hAnsi="宋体" w:cs="宋体"/>
                <w:color w:val="auto"/>
                <w:highlight w:val="none"/>
                <w:lang w:val="en-US" w:eastAsia="zh-CN"/>
              </w:rPr>
              <w:t>3</w:t>
            </w:r>
            <w:r>
              <w:rPr>
                <w:rFonts w:hint="eastAsia" w:ascii="宋体" w:hAnsi="宋体" w:eastAsia="宋体" w:cs="宋体"/>
                <w:color w:val="auto"/>
                <w:highlight w:val="none"/>
              </w:rPr>
              <w:t>分；项目负责人具有担任同类审计或审核服务项目负责人业绩的，每个业绩加</w:t>
            </w:r>
            <w:r>
              <w:rPr>
                <w:rFonts w:hint="eastAsia" w:ascii="宋体" w:hAnsi="宋体" w:cs="宋体"/>
                <w:color w:val="auto"/>
                <w:highlight w:val="none"/>
                <w:lang w:val="en-US" w:eastAsia="zh-CN"/>
              </w:rPr>
              <w:t>3</w:t>
            </w:r>
            <w:r>
              <w:rPr>
                <w:rFonts w:hint="eastAsia" w:ascii="宋体" w:hAnsi="宋体" w:eastAsia="宋体" w:cs="宋体"/>
                <w:color w:val="auto"/>
                <w:highlight w:val="none"/>
              </w:rPr>
              <w:t>分，最多加</w:t>
            </w:r>
            <w:r>
              <w:rPr>
                <w:rFonts w:hint="eastAsia" w:ascii="宋体" w:hAnsi="宋体" w:cs="宋体"/>
                <w:color w:val="auto"/>
                <w:highlight w:val="none"/>
                <w:lang w:val="en-US" w:eastAsia="zh-CN"/>
              </w:rPr>
              <w:t>9</w:t>
            </w:r>
            <w:r>
              <w:rPr>
                <w:rFonts w:hint="eastAsia" w:ascii="宋体" w:hAnsi="宋体" w:eastAsia="宋体" w:cs="宋体"/>
                <w:color w:val="auto"/>
                <w:highlight w:val="none"/>
              </w:rPr>
              <w:t>分；此项满分</w:t>
            </w:r>
            <w:r>
              <w:rPr>
                <w:rFonts w:hint="eastAsia" w:ascii="宋体" w:hAnsi="宋体" w:cs="宋体"/>
                <w:color w:val="auto"/>
                <w:highlight w:val="none"/>
                <w:lang w:val="en-US" w:eastAsia="zh-CN"/>
              </w:rPr>
              <w:t>12</w:t>
            </w:r>
            <w:r>
              <w:rPr>
                <w:rFonts w:hint="eastAsia" w:ascii="宋体" w:hAnsi="宋体" w:eastAsia="宋体" w:cs="宋体"/>
                <w:color w:val="auto"/>
                <w:highlight w:val="none"/>
              </w:rPr>
              <w:t>分。</w:t>
            </w:r>
          </w:p>
          <w:p w14:paraId="558D35F1">
            <w:pPr>
              <w:widowControl/>
              <w:snapToGrid/>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在满足采购需求的基础上，</w:t>
            </w:r>
            <w:r>
              <w:rPr>
                <w:rFonts w:hint="eastAsia" w:ascii="宋体" w:hAnsi="宋体" w:eastAsia="宋体" w:cs="宋体"/>
                <w:color w:val="auto"/>
                <w:highlight w:val="none"/>
                <w:lang w:eastAsia="zh-CN"/>
              </w:rPr>
              <w:t>投入项目现场的</w:t>
            </w:r>
            <w:r>
              <w:rPr>
                <w:rFonts w:hint="eastAsia" w:ascii="宋体" w:hAnsi="宋体" w:eastAsia="宋体" w:cs="宋体"/>
                <w:color w:val="auto"/>
                <w:highlight w:val="none"/>
                <w:lang w:val="en-US" w:eastAsia="zh-CN"/>
              </w:rPr>
              <w:t>其他人员（除项目负责人外）具有</w:t>
            </w:r>
            <w:r>
              <w:rPr>
                <w:rFonts w:hint="eastAsia" w:ascii="宋体" w:hAnsi="宋体" w:eastAsia="宋体" w:cs="宋体"/>
                <w:color w:val="auto"/>
                <w:highlight w:val="none"/>
              </w:rPr>
              <w:t>注册造价工程师</w:t>
            </w:r>
            <w:r>
              <w:rPr>
                <w:rFonts w:hint="eastAsia" w:ascii="宋体" w:hAnsi="宋体" w:eastAsia="宋体" w:cs="宋体"/>
                <w:color w:val="auto"/>
                <w:highlight w:val="none"/>
                <w:lang w:val="en-US" w:eastAsia="zh-CN"/>
              </w:rPr>
              <w:t>或注册会计师或高级职称</w:t>
            </w:r>
            <w:r>
              <w:rPr>
                <w:rFonts w:hint="eastAsia" w:ascii="宋体" w:hAnsi="宋体" w:eastAsia="宋体" w:cs="宋体"/>
                <w:color w:val="auto"/>
                <w:highlight w:val="none"/>
              </w:rPr>
              <w:t>的加</w:t>
            </w:r>
            <w:r>
              <w:rPr>
                <w:rFonts w:hint="eastAsia" w:ascii="宋体" w:hAnsi="宋体" w:cs="宋体"/>
                <w:color w:val="auto"/>
                <w:highlight w:val="none"/>
                <w:lang w:val="en-US" w:eastAsia="zh-CN"/>
              </w:rPr>
              <w:t>3</w:t>
            </w:r>
            <w:r>
              <w:rPr>
                <w:rFonts w:hint="eastAsia" w:ascii="宋体" w:hAnsi="宋体" w:eastAsia="宋体" w:cs="宋体"/>
                <w:color w:val="auto"/>
                <w:highlight w:val="none"/>
              </w:rPr>
              <w:t>分；注册造价工程师</w:t>
            </w:r>
            <w:r>
              <w:rPr>
                <w:rFonts w:hint="eastAsia" w:ascii="宋体" w:hAnsi="宋体" w:eastAsia="宋体" w:cs="宋体"/>
                <w:color w:val="auto"/>
                <w:highlight w:val="none"/>
                <w:lang w:val="en-US" w:eastAsia="zh-CN"/>
              </w:rPr>
              <w:t>或注册会计师</w:t>
            </w:r>
            <w:r>
              <w:rPr>
                <w:rFonts w:hint="eastAsia" w:ascii="宋体" w:hAnsi="宋体" w:eastAsia="宋体" w:cs="宋体"/>
                <w:color w:val="auto"/>
                <w:highlight w:val="none"/>
              </w:rPr>
              <w:t>具有担任同类审计或审核服务项目负责人业绩的，每个业绩加</w:t>
            </w:r>
            <w:r>
              <w:rPr>
                <w:rFonts w:hint="eastAsia" w:ascii="宋体" w:hAnsi="宋体" w:cs="宋体"/>
                <w:color w:val="auto"/>
                <w:highlight w:val="none"/>
                <w:lang w:val="en-US" w:eastAsia="zh-CN"/>
              </w:rPr>
              <w:t>3</w:t>
            </w:r>
            <w:r>
              <w:rPr>
                <w:rFonts w:hint="eastAsia" w:ascii="宋体" w:hAnsi="宋体" w:eastAsia="宋体" w:cs="宋体"/>
                <w:color w:val="auto"/>
                <w:highlight w:val="none"/>
              </w:rPr>
              <w:t>分，最多加</w:t>
            </w:r>
            <w:r>
              <w:rPr>
                <w:rFonts w:hint="eastAsia" w:ascii="宋体" w:hAnsi="宋体" w:cs="宋体"/>
                <w:color w:val="auto"/>
                <w:highlight w:val="none"/>
                <w:lang w:val="en-US" w:eastAsia="zh-CN"/>
              </w:rPr>
              <w:t>9</w:t>
            </w:r>
            <w:r>
              <w:rPr>
                <w:rFonts w:hint="eastAsia" w:ascii="宋体" w:hAnsi="宋体" w:eastAsia="宋体" w:cs="宋体"/>
                <w:color w:val="auto"/>
                <w:highlight w:val="none"/>
              </w:rPr>
              <w:t>分</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此项满分</w:t>
            </w:r>
            <w:r>
              <w:rPr>
                <w:rFonts w:hint="eastAsia" w:ascii="宋体" w:hAnsi="宋体" w:eastAsia="宋体" w:cs="宋体"/>
                <w:color w:val="auto"/>
                <w:highlight w:val="none"/>
                <w:lang w:val="en-US" w:eastAsia="zh-CN"/>
              </w:rPr>
              <w:t>12</w:t>
            </w:r>
            <w:r>
              <w:rPr>
                <w:rFonts w:hint="eastAsia" w:ascii="宋体" w:hAnsi="宋体" w:eastAsia="宋体" w:cs="宋体"/>
                <w:color w:val="auto"/>
                <w:highlight w:val="none"/>
              </w:rPr>
              <w:t>分。</w:t>
            </w:r>
          </w:p>
          <w:p w14:paraId="3357ABD9">
            <w:pPr>
              <w:spacing w:line="360" w:lineRule="auto"/>
              <w:jc w:val="left"/>
              <w:rPr>
                <w:rFonts w:hint="eastAsia"/>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在满足采购需求的基础上，</w:t>
            </w:r>
            <w:r>
              <w:rPr>
                <w:rFonts w:hint="eastAsia" w:ascii="宋体" w:hAnsi="宋体" w:eastAsia="宋体" w:cs="宋体"/>
                <w:color w:val="auto"/>
                <w:highlight w:val="none"/>
                <w:lang w:eastAsia="zh-CN"/>
              </w:rPr>
              <w:t>投入本项目现场的</w:t>
            </w:r>
            <w:r>
              <w:rPr>
                <w:rFonts w:hint="eastAsia" w:ascii="宋体" w:hAnsi="宋体" w:eastAsia="宋体" w:cs="宋体"/>
                <w:color w:val="auto"/>
                <w:highlight w:val="none"/>
              </w:rPr>
              <w:t>其他人员，具有</w:t>
            </w:r>
            <w:r>
              <w:rPr>
                <w:rFonts w:hint="eastAsia" w:ascii="宋体" w:hAnsi="宋体" w:cs="宋体"/>
                <w:color w:val="auto"/>
                <w:highlight w:val="none"/>
                <w:lang w:eastAsia="zh-CN"/>
              </w:rPr>
              <w:t>会计类或审计类或经济类</w:t>
            </w:r>
            <w:r>
              <w:rPr>
                <w:rFonts w:hint="eastAsia" w:ascii="宋体" w:hAnsi="宋体" w:eastAsia="宋体" w:cs="宋体"/>
                <w:color w:val="auto"/>
                <w:highlight w:val="none"/>
              </w:rPr>
              <w:t>高级职称的，每人加1</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分，最多加</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分。</w:t>
            </w:r>
          </w:p>
          <w:p w14:paraId="3963B5EF">
            <w:pPr>
              <w:widowControl/>
              <w:snapToGrid/>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在满足采购需求的基础上，</w:t>
            </w:r>
            <w:r>
              <w:rPr>
                <w:rFonts w:hint="eastAsia" w:ascii="宋体" w:hAnsi="宋体" w:eastAsia="宋体" w:cs="宋体"/>
                <w:color w:val="auto"/>
                <w:highlight w:val="none"/>
                <w:lang w:eastAsia="zh-CN"/>
              </w:rPr>
              <w:t>投入本项目现场的</w:t>
            </w:r>
            <w:r>
              <w:rPr>
                <w:rFonts w:hint="eastAsia" w:ascii="宋体" w:hAnsi="宋体" w:eastAsia="宋体" w:cs="宋体"/>
                <w:color w:val="auto"/>
                <w:highlight w:val="none"/>
              </w:rPr>
              <w:t>其他人员，具有</w:t>
            </w:r>
            <w:r>
              <w:rPr>
                <w:rFonts w:hint="eastAsia" w:ascii="宋体" w:hAnsi="宋体" w:cs="宋体"/>
                <w:color w:val="auto"/>
                <w:highlight w:val="none"/>
                <w:lang w:eastAsia="zh-CN"/>
              </w:rPr>
              <w:t>会计类或审计类或经济类</w:t>
            </w:r>
            <w:r>
              <w:rPr>
                <w:rFonts w:hint="eastAsia" w:ascii="宋体" w:hAnsi="宋体" w:eastAsia="宋体" w:cs="宋体"/>
                <w:color w:val="auto"/>
                <w:highlight w:val="none"/>
              </w:rPr>
              <w:t>中级职称的，每人加1分，最多加</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分。</w:t>
            </w:r>
          </w:p>
          <w:p w14:paraId="2315F9E7">
            <w:pPr>
              <w:widowControl/>
              <w:snapToGrid/>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在满足采购需求的基础上，</w:t>
            </w:r>
            <w:r>
              <w:rPr>
                <w:rFonts w:hint="eastAsia" w:ascii="宋体" w:hAnsi="宋体" w:eastAsia="宋体" w:cs="宋体"/>
                <w:color w:val="auto"/>
                <w:highlight w:val="none"/>
                <w:lang w:eastAsia="zh-CN"/>
              </w:rPr>
              <w:t>投入本项目现场的</w:t>
            </w:r>
            <w:r>
              <w:rPr>
                <w:rFonts w:hint="eastAsia" w:ascii="宋体" w:hAnsi="宋体" w:eastAsia="宋体" w:cs="宋体"/>
                <w:color w:val="auto"/>
                <w:highlight w:val="none"/>
              </w:rPr>
              <w:t>人员，每增加1名具有</w:t>
            </w:r>
            <w:r>
              <w:rPr>
                <w:rFonts w:hint="eastAsia" w:ascii="宋体" w:hAnsi="宋体" w:cs="宋体"/>
                <w:color w:val="auto"/>
                <w:highlight w:val="none"/>
                <w:lang w:eastAsia="zh-CN"/>
              </w:rPr>
              <w:t>会计类或审计类或经济类</w:t>
            </w:r>
            <w:r>
              <w:rPr>
                <w:rFonts w:hint="eastAsia" w:ascii="宋体" w:hAnsi="宋体" w:eastAsia="宋体" w:cs="宋体"/>
                <w:color w:val="auto"/>
                <w:highlight w:val="none"/>
              </w:rPr>
              <w:t>初级职称的，每增加1名加0.5分，最多加3分；</w:t>
            </w:r>
          </w:p>
          <w:p w14:paraId="007B3938">
            <w:pPr>
              <w:widowControl/>
              <w:snapToGrid/>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lang w:eastAsia="zh-CN"/>
              </w:rPr>
              <w:t>）投入本项目现场的人员中具有中国注册会计师资格或国际注册内部审计师资格的，每个加</w:t>
            </w:r>
            <w:r>
              <w:rPr>
                <w:rFonts w:hint="eastAsia" w:ascii="宋体" w:hAnsi="宋体" w:eastAsia="宋体" w:cs="宋体"/>
                <w:color w:val="auto"/>
                <w:highlight w:val="none"/>
                <w:lang w:val="en-US" w:eastAsia="zh-CN"/>
              </w:rPr>
              <w:t>1.5</w:t>
            </w:r>
            <w:r>
              <w:rPr>
                <w:rFonts w:hint="eastAsia" w:ascii="宋体" w:hAnsi="宋体" w:eastAsia="宋体" w:cs="宋体"/>
                <w:color w:val="auto"/>
                <w:highlight w:val="none"/>
                <w:lang w:eastAsia="zh-CN"/>
              </w:rPr>
              <w:t>分，最多加</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分。</w:t>
            </w:r>
          </w:p>
          <w:p w14:paraId="0C918DBB">
            <w:pPr>
              <w:widowControl/>
              <w:spacing w:line="360" w:lineRule="auto"/>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eastAsia="zh-CN"/>
              </w:rPr>
              <w:t>注：</w:t>
            </w:r>
            <w:r>
              <w:rPr>
                <w:rFonts w:hint="eastAsia" w:ascii="宋体" w:hAnsi="宋体" w:eastAsia="宋体" w:cs="宋体"/>
                <w:color w:val="auto"/>
                <w:highlight w:val="none"/>
                <w:lang w:val="en-US" w:eastAsia="zh-CN"/>
              </w:rPr>
              <w:t>1.以上人员不重复计分；2.须提供拟投入的工作组成员一览表，所有人员须为供应商本单位人员，且须提供拟投入人员的专业技能或资格证书、供应商为拟投入人员缴纳的</w:t>
            </w:r>
            <w:r>
              <w:rPr>
                <w:rFonts w:hint="eastAsia" w:ascii="宋体" w:hAnsi="宋体" w:cs="宋体"/>
                <w:color w:val="auto"/>
                <w:highlight w:val="none"/>
                <w:lang w:val="en-US" w:eastAsia="zh-CN"/>
              </w:rPr>
              <w:t>2025年11月-2026年4月</w:t>
            </w:r>
            <w:r>
              <w:rPr>
                <w:rFonts w:hint="eastAsia" w:ascii="宋体" w:hAnsi="宋体" w:eastAsia="宋体" w:cs="宋体"/>
                <w:color w:val="auto"/>
                <w:highlight w:val="none"/>
                <w:lang w:val="en-US" w:eastAsia="zh-CN"/>
              </w:rPr>
              <w:t>内任意连续 3 个月的社保缴费证明或《投保单》或单位代缴个人所得税税单等复印件（加盖公章）或提供供应商与拟投入本项目团队成员签订的劳务合同复印件（法定代表人除外</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。3.须提供能够体现担任同类审计或审核服务项目（指与对应分标采购内容相同的项目）负责人的业绩证明等材料。上述材料不提供不计分。</w:t>
            </w:r>
          </w:p>
        </w:tc>
      </w:tr>
      <w:tr w14:paraId="7ED2D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47" w:type="dxa"/>
            <w:vMerge w:val="continue"/>
            <w:noWrap w:val="0"/>
            <w:vAlign w:val="center"/>
          </w:tcPr>
          <w:p w14:paraId="5C0AEDEC">
            <w:pPr>
              <w:adjustRightInd w:val="0"/>
              <w:snapToGrid w:val="0"/>
              <w:spacing w:line="360" w:lineRule="atLeast"/>
              <w:jc w:val="center"/>
              <w:textAlignment w:val="baseline"/>
              <w:rPr>
                <w:rFonts w:hint="eastAsia" w:ascii="宋体" w:hAnsi="宋体"/>
                <w:color w:val="auto"/>
                <w:szCs w:val="22"/>
                <w:highlight w:val="none"/>
              </w:rPr>
            </w:pPr>
          </w:p>
        </w:tc>
        <w:tc>
          <w:tcPr>
            <w:tcW w:w="770" w:type="dxa"/>
            <w:vMerge w:val="continue"/>
            <w:noWrap w:val="0"/>
            <w:vAlign w:val="center"/>
          </w:tcPr>
          <w:p w14:paraId="62FE573A">
            <w:pPr>
              <w:adjustRightInd w:val="0"/>
              <w:snapToGrid w:val="0"/>
              <w:spacing w:line="360" w:lineRule="atLeast"/>
              <w:jc w:val="center"/>
              <w:textAlignment w:val="baseline"/>
              <w:rPr>
                <w:rFonts w:hint="eastAsia" w:ascii="宋体" w:hAnsi="宋体" w:cs="Courier New"/>
                <w:bCs/>
                <w:color w:val="auto"/>
                <w:szCs w:val="22"/>
                <w:highlight w:val="none"/>
              </w:rPr>
            </w:pPr>
          </w:p>
        </w:tc>
        <w:tc>
          <w:tcPr>
            <w:tcW w:w="1242" w:type="dxa"/>
            <w:vMerge w:val="continue"/>
            <w:noWrap w:val="0"/>
            <w:vAlign w:val="center"/>
          </w:tcPr>
          <w:p w14:paraId="5BBA31D2">
            <w:pPr>
              <w:snapToGrid w:val="0"/>
              <w:spacing w:line="440" w:lineRule="exact"/>
              <w:jc w:val="center"/>
              <w:rPr>
                <w:rFonts w:hint="eastAsia" w:ascii="宋体" w:hAnsi="宋体"/>
                <w:b/>
                <w:color w:val="auto"/>
                <w:kern w:val="2"/>
                <w:sz w:val="21"/>
                <w:szCs w:val="21"/>
                <w:highlight w:val="none"/>
                <w:lang w:val="en-US" w:eastAsia="zh-CN" w:bidi="ar-SA"/>
              </w:rPr>
            </w:pPr>
          </w:p>
        </w:tc>
        <w:tc>
          <w:tcPr>
            <w:tcW w:w="6480" w:type="dxa"/>
            <w:noWrap w:val="0"/>
            <w:vAlign w:val="center"/>
          </w:tcPr>
          <w:p w14:paraId="282B561B">
            <w:pPr>
              <w:widowControl/>
              <w:snapToGrid/>
              <w:spacing w:line="360" w:lineRule="auto"/>
              <w:jc w:val="left"/>
              <w:rPr>
                <w:rFonts w:hint="eastAsia" w:ascii="宋体" w:hAnsi="宋体" w:eastAsia="宋体" w:cs="宋体"/>
                <w:color w:val="auto"/>
                <w:highlight w:val="none"/>
                <w:lang w:eastAsia="zh-CN"/>
              </w:rPr>
            </w:pPr>
            <w:r>
              <w:rPr>
                <w:rFonts w:hint="eastAsia" w:ascii="宋体" w:hAnsi="宋体" w:cs="宋体"/>
                <w:b/>
                <w:bCs/>
                <w:color w:val="auto"/>
                <w:sz w:val="28"/>
                <w:szCs w:val="36"/>
                <w:highlight w:val="none"/>
                <w:lang w:val="en-US" w:eastAsia="zh-CN"/>
              </w:rPr>
              <w:t>2分标评分标准：</w:t>
            </w:r>
          </w:p>
          <w:p w14:paraId="1875B340">
            <w:pPr>
              <w:widowControl/>
              <w:snapToGrid/>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在满足采购需求的基础上，</w:t>
            </w:r>
            <w:r>
              <w:rPr>
                <w:rFonts w:hint="eastAsia" w:ascii="宋体" w:hAnsi="宋体" w:eastAsia="宋体" w:cs="宋体"/>
                <w:color w:val="auto"/>
                <w:highlight w:val="none"/>
                <w:lang w:eastAsia="zh-CN"/>
              </w:rPr>
              <w:t>投入项目现场的</w:t>
            </w:r>
            <w:r>
              <w:rPr>
                <w:rFonts w:hint="eastAsia" w:ascii="宋体" w:hAnsi="宋体" w:eastAsia="宋体" w:cs="宋体"/>
                <w:color w:val="auto"/>
                <w:highlight w:val="none"/>
              </w:rPr>
              <w:t>项目负责人具有</w:t>
            </w:r>
            <w:r>
              <w:rPr>
                <w:rFonts w:hint="eastAsia" w:ascii="宋体" w:hAnsi="宋体"/>
                <w:color w:val="auto"/>
                <w:szCs w:val="21"/>
                <w:highlight w:val="none"/>
              </w:rPr>
              <w:t>造价工程师</w:t>
            </w:r>
            <w:r>
              <w:rPr>
                <w:rFonts w:hint="eastAsia" w:ascii="宋体" w:hAnsi="宋体"/>
                <w:color w:val="auto"/>
                <w:szCs w:val="21"/>
                <w:highlight w:val="none"/>
                <w:lang w:val="en-US" w:eastAsia="zh-CN"/>
              </w:rPr>
              <w:t>或</w:t>
            </w:r>
            <w:r>
              <w:rPr>
                <w:rFonts w:hint="eastAsia" w:ascii="宋体" w:hAnsi="宋体" w:eastAsia="宋体" w:cs="宋体"/>
                <w:color w:val="auto"/>
                <w:highlight w:val="none"/>
              </w:rPr>
              <w:t>高级职称的加</w:t>
            </w:r>
            <w:r>
              <w:rPr>
                <w:rFonts w:hint="eastAsia" w:ascii="宋体" w:hAnsi="宋体" w:cs="宋体"/>
                <w:color w:val="auto"/>
                <w:highlight w:val="none"/>
                <w:lang w:val="en-US" w:eastAsia="zh-CN"/>
              </w:rPr>
              <w:t>3</w:t>
            </w:r>
            <w:r>
              <w:rPr>
                <w:rFonts w:hint="eastAsia" w:ascii="宋体" w:hAnsi="宋体" w:eastAsia="宋体" w:cs="宋体"/>
                <w:color w:val="auto"/>
                <w:highlight w:val="none"/>
              </w:rPr>
              <w:t>分；项目负责人具有担任同类审计或审核服务项目负责人业绩的，每个业绩加</w:t>
            </w:r>
            <w:r>
              <w:rPr>
                <w:rFonts w:hint="eastAsia" w:ascii="宋体" w:hAnsi="宋体" w:cs="宋体"/>
                <w:color w:val="auto"/>
                <w:highlight w:val="none"/>
                <w:lang w:val="en-US" w:eastAsia="zh-CN"/>
              </w:rPr>
              <w:t>3</w:t>
            </w:r>
            <w:r>
              <w:rPr>
                <w:rFonts w:hint="eastAsia" w:ascii="宋体" w:hAnsi="宋体" w:eastAsia="宋体" w:cs="宋体"/>
                <w:color w:val="auto"/>
                <w:highlight w:val="none"/>
              </w:rPr>
              <w:t>分，最多加</w:t>
            </w:r>
            <w:r>
              <w:rPr>
                <w:rFonts w:hint="eastAsia" w:ascii="宋体" w:hAnsi="宋体" w:cs="宋体"/>
                <w:color w:val="auto"/>
                <w:highlight w:val="none"/>
                <w:lang w:val="en-US" w:eastAsia="zh-CN"/>
              </w:rPr>
              <w:t>9</w:t>
            </w:r>
            <w:r>
              <w:rPr>
                <w:rFonts w:hint="eastAsia" w:ascii="宋体" w:hAnsi="宋体" w:eastAsia="宋体" w:cs="宋体"/>
                <w:color w:val="auto"/>
                <w:highlight w:val="none"/>
              </w:rPr>
              <w:t>分；此项满分</w:t>
            </w:r>
            <w:r>
              <w:rPr>
                <w:rFonts w:hint="eastAsia" w:ascii="宋体" w:hAnsi="宋体" w:cs="宋体"/>
                <w:color w:val="auto"/>
                <w:highlight w:val="none"/>
                <w:lang w:val="en-US" w:eastAsia="zh-CN"/>
              </w:rPr>
              <w:t>12</w:t>
            </w:r>
            <w:r>
              <w:rPr>
                <w:rFonts w:hint="eastAsia" w:ascii="宋体" w:hAnsi="宋体" w:eastAsia="宋体" w:cs="宋体"/>
                <w:color w:val="auto"/>
                <w:highlight w:val="none"/>
              </w:rPr>
              <w:t>分。</w:t>
            </w:r>
          </w:p>
          <w:p w14:paraId="61F386CF">
            <w:pPr>
              <w:widowControl/>
              <w:snapToGrid/>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在满足采购需求的基础上，</w:t>
            </w:r>
            <w:r>
              <w:rPr>
                <w:rFonts w:hint="eastAsia" w:ascii="宋体" w:hAnsi="宋体" w:eastAsia="宋体" w:cs="宋体"/>
                <w:color w:val="auto"/>
                <w:highlight w:val="none"/>
                <w:lang w:eastAsia="zh-CN"/>
              </w:rPr>
              <w:t>投入项目现场的</w:t>
            </w:r>
            <w:r>
              <w:rPr>
                <w:rFonts w:hint="eastAsia" w:ascii="宋体" w:hAnsi="宋体" w:eastAsia="宋体" w:cs="宋体"/>
                <w:color w:val="auto"/>
                <w:highlight w:val="none"/>
                <w:lang w:val="en-US" w:eastAsia="zh-CN"/>
              </w:rPr>
              <w:t>其他人员（除项目负责人外）具有</w:t>
            </w:r>
            <w:r>
              <w:rPr>
                <w:rFonts w:hint="eastAsia" w:ascii="宋体" w:hAnsi="宋体" w:eastAsia="宋体" w:cs="宋体"/>
                <w:color w:val="auto"/>
                <w:highlight w:val="none"/>
              </w:rPr>
              <w:t>注册造价工程师</w:t>
            </w:r>
            <w:r>
              <w:rPr>
                <w:rFonts w:hint="eastAsia" w:ascii="宋体" w:hAnsi="宋体" w:eastAsia="宋体" w:cs="宋体"/>
                <w:color w:val="auto"/>
                <w:highlight w:val="none"/>
                <w:lang w:val="en-US" w:eastAsia="zh-CN"/>
              </w:rPr>
              <w:t>或注册会计师或高级职称</w:t>
            </w:r>
            <w:r>
              <w:rPr>
                <w:rFonts w:hint="eastAsia" w:ascii="宋体" w:hAnsi="宋体" w:eastAsia="宋体" w:cs="宋体"/>
                <w:color w:val="auto"/>
                <w:highlight w:val="none"/>
              </w:rPr>
              <w:t>的加</w:t>
            </w:r>
            <w:r>
              <w:rPr>
                <w:rFonts w:hint="eastAsia" w:ascii="宋体" w:hAnsi="宋体" w:cs="宋体"/>
                <w:color w:val="auto"/>
                <w:highlight w:val="none"/>
                <w:lang w:val="en-US" w:eastAsia="zh-CN"/>
              </w:rPr>
              <w:t>3</w:t>
            </w:r>
            <w:r>
              <w:rPr>
                <w:rFonts w:hint="eastAsia" w:ascii="宋体" w:hAnsi="宋体" w:eastAsia="宋体" w:cs="宋体"/>
                <w:color w:val="auto"/>
                <w:highlight w:val="none"/>
              </w:rPr>
              <w:t>分；注册造价工程师</w:t>
            </w:r>
            <w:r>
              <w:rPr>
                <w:rFonts w:hint="eastAsia" w:ascii="宋体" w:hAnsi="宋体" w:eastAsia="宋体" w:cs="宋体"/>
                <w:color w:val="auto"/>
                <w:highlight w:val="none"/>
                <w:lang w:val="en-US" w:eastAsia="zh-CN"/>
              </w:rPr>
              <w:t>或注册会计师</w:t>
            </w:r>
            <w:r>
              <w:rPr>
                <w:rFonts w:hint="eastAsia" w:ascii="宋体" w:hAnsi="宋体" w:eastAsia="宋体" w:cs="宋体"/>
                <w:color w:val="auto"/>
                <w:highlight w:val="none"/>
              </w:rPr>
              <w:t>具有担任同类审计或审核服务项目负责人业绩的，每个业绩加</w:t>
            </w:r>
            <w:r>
              <w:rPr>
                <w:rFonts w:hint="eastAsia" w:ascii="宋体" w:hAnsi="宋体" w:cs="宋体"/>
                <w:color w:val="auto"/>
                <w:highlight w:val="none"/>
                <w:lang w:val="en-US" w:eastAsia="zh-CN"/>
              </w:rPr>
              <w:t>3</w:t>
            </w:r>
            <w:r>
              <w:rPr>
                <w:rFonts w:hint="eastAsia" w:ascii="宋体" w:hAnsi="宋体" w:eastAsia="宋体" w:cs="宋体"/>
                <w:color w:val="auto"/>
                <w:highlight w:val="none"/>
              </w:rPr>
              <w:t>分，最多加</w:t>
            </w:r>
            <w:r>
              <w:rPr>
                <w:rFonts w:hint="eastAsia" w:ascii="宋体" w:hAnsi="宋体" w:cs="宋体"/>
                <w:color w:val="auto"/>
                <w:highlight w:val="none"/>
                <w:lang w:val="en-US" w:eastAsia="zh-CN"/>
              </w:rPr>
              <w:t>9</w:t>
            </w:r>
            <w:r>
              <w:rPr>
                <w:rFonts w:hint="eastAsia" w:ascii="宋体" w:hAnsi="宋体" w:eastAsia="宋体" w:cs="宋体"/>
                <w:color w:val="auto"/>
                <w:highlight w:val="none"/>
              </w:rPr>
              <w:t>分</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此项满分</w:t>
            </w:r>
            <w:r>
              <w:rPr>
                <w:rFonts w:hint="eastAsia" w:ascii="宋体" w:hAnsi="宋体" w:eastAsia="宋体" w:cs="宋体"/>
                <w:color w:val="auto"/>
                <w:highlight w:val="none"/>
                <w:lang w:val="en-US" w:eastAsia="zh-CN"/>
              </w:rPr>
              <w:t>12</w:t>
            </w:r>
            <w:r>
              <w:rPr>
                <w:rFonts w:hint="eastAsia" w:ascii="宋体" w:hAnsi="宋体" w:eastAsia="宋体" w:cs="宋体"/>
                <w:color w:val="auto"/>
                <w:highlight w:val="none"/>
              </w:rPr>
              <w:t>分。</w:t>
            </w:r>
          </w:p>
          <w:p w14:paraId="339C522D">
            <w:pPr>
              <w:spacing w:line="360" w:lineRule="auto"/>
              <w:jc w:val="left"/>
              <w:rPr>
                <w:rFonts w:hint="eastAsia"/>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在满足采购需求的基础上，</w:t>
            </w:r>
            <w:r>
              <w:rPr>
                <w:rFonts w:hint="eastAsia" w:ascii="宋体" w:hAnsi="宋体" w:eastAsia="宋体" w:cs="宋体"/>
                <w:color w:val="auto"/>
                <w:highlight w:val="none"/>
                <w:lang w:eastAsia="zh-CN"/>
              </w:rPr>
              <w:t>投入本项目现场的</w:t>
            </w:r>
            <w:r>
              <w:rPr>
                <w:rFonts w:hint="eastAsia" w:ascii="宋体" w:hAnsi="宋体" w:eastAsia="宋体" w:cs="宋体"/>
                <w:color w:val="auto"/>
                <w:highlight w:val="none"/>
              </w:rPr>
              <w:t>其他人员，具有</w:t>
            </w:r>
            <w:r>
              <w:rPr>
                <w:rFonts w:hint="eastAsia" w:ascii="宋体" w:hAnsi="宋体" w:cs="宋体"/>
                <w:color w:val="auto"/>
                <w:highlight w:val="none"/>
                <w:lang w:eastAsia="zh-CN"/>
              </w:rPr>
              <w:t>会计类或审计类或经济类</w:t>
            </w:r>
            <w:r>
              <w:rPr>
                <w:rFonts w:hint="eastAsia" w:ascii="宋体" w:hAnsi="宋体" w:eastAsia="宋体" w:cs="宋体"/>
                <w:color w:val="auto"/>
                <w:highlight w:val="none"/>
              </w:rPr>
              <w:t>高级职称的，每人加1</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分，最多加</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分。</w:t>
            </w:r>
          </w:p>
          <w:p w14:paraId="06586EA2">
            <w:pPr>
              <w:widowControl/>
              <w:snapToGrid/>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在满足采购需求的基础上，</w:t>
            </w:r>
            <w:r>
              <w:rPr>
                <w:rFonts w:hint="eastAsia" w:ascii="宋体" w:hAnsi="宋体" w:eastAsia="宋体" w:cs="宋体"/>
                <w:color w:val="auto"/>
                <w:highlight w:val="none"/>
                <w:lang w:eastAsia="zh-CN"/>
              </w:rPr>
              <w:t>投入本项目现场的</w:t>
            </w:r>
            <w:r>
              <w:rPr>
                <w:rFonts w:hint="eastAsia" w:ascii="宋体" w:hAnsi="宋体" w:eastAsia="宋体" w:cs="宋体"/>
                <w:color w:val="auto"/>
                <w:highlight w:val="none"/>
              </w:rPr>
              <w:t>其他人员，具有</w:t>
            </w:r>
            <w:r>
              <w:rPr>
                <w:rFonts w:hint="eastAsia" w:ascii="宋体" w:hAnsi="宋体" w:cs="宋体"/>
                <w:color w:val="auto"/>
                <w:highlight w:val="none"/>
                <w:lang w:eastAsia="zh-CN"/>
              </w:rPr>
              <w:t>会计类或审计类或经济类</w:t>
            </w:r>
            <w:r>
              <w:rPr>
                <w:rFonts w:hint="eastAsia" w:ascii="宋体" w:hAnsi="宋体" w:eastAsia="宋体" w:cs="宋体"/>
                <w:color w:val="auto"/>
                <w:highlight w:val="none"/>
              </w:rPr>
              <w:t>中级职称的，每人加1分，最多加</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分。</w:t>
            </w:r>
          </w:p>
          <w:p w14:paraId="5C7054F7">
            <w:pPr>
              <w:widowControl/>
              <w:snapToGrid/>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在满足采购需求的基础上，</w:t>
            </w:r>
            <w:r>
              <w:rPr>
                <w:rFonts w:hint="eastAsia" w:ascii="宋体" w:hAnsi="宋体" w:eastAsia="宋体" w:cs="宋体"/>
                <w:color w:val="auto"/>
                <w:highlight w:val="none"/>
                <w:lang w:eastAsia="zh-CN"/>
              </w:rPr>
              <w:t>投入本项目现场的</w:t>
            </w:r>
            <w:r>
              <w:rPr>
                <w:rFonts w:hint="eastAsia" w:ascii="宋体" w:hAnsi="宋体" w:eastAsia="宋体" w:cs="宋体"/>
                <w:color w:val="auto"/>
                <w:highlight w:val="none"/>
              </w:rPr>
              <w:t>人员，每增加1名具有</w:t>
            </w:r>
            <w:r>
              <w:rPr>
                <w:rFonts w:hint="eastAsia" w:ascii="宋体" w:hAnsi="宋体" w:cs="宋体"/>
                <w:color w:val="auto"/>
                <w:highlight w:val="none"/>
                <w:lang w:eastAsia="zh-CN"/>
              </w:rPr>
              <w:t>会计类或审计类或经济类</w:t>
            </w:r>
            <w:r>
              <w:rPr>
                <w:rFonts w:hint="eastAsia" w:ascii="宋体" w:hAnsi="宋体" w:eastAsia="宋体" w:cs="宋体"/>
                <w:color w:val="auto"/>
                <w:highlight w:val="none"/>
              </w:rPr>
              <w:t>初级职称的，每增加1名加0.5分，最多加3分；</w:t>
            </w:r>
          </w:p>
          <w:p w14:paraId="79C9F736">
            <w:pPr>
              <w:widowControl/>
              <w:snapToGrid/>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lang w:eastAsia="zh-CN"/>
              </w:rPr>
              <w:t>）投入本项目现场的人员中具有中国注册会计师资格或国际注册内部审计师资格的，每个加</w:t>
            </w:r>
            <w:r>
              <w:rPr>
                <w:rFonts w:hint="eastAsia" w:ascii="宋体" w:hAnsi="宋体" w:eastAsia="宋体" w:cs="宋体"/>
                <w:color w:val="auto"/>
                <w:highlight w:val="none"/>
                <w:lang w:val="en-US" w:eastAsia="zh-CN"/>
              </w:rPr>
              <w:t>1.5</w:t>
            </w:r>
            <w:r>
              <w:rPr>
                <w:rFonts w:hint="eastAsia" w:ascii="宋体" w:hAnsi="宋体" w:eastAsia="宋体" w:cs="宋体"/>
                <w:color w:val="auto"/>
                <w:highlight w:val="none"/>
                <w:lang w:eastAsia="zh-CN"/>
              </w:rPr>
              <w:t>分，最多加</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分。</w:t>
            </w:r>
          </w:p>
          <w:p w14:paraId="4CABC617">
            <w:pPr>
              <w:widowControl/>
              <w:snapToGrid/>
              <w:spacing w:line="360" w:lineRule="auto"/>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eastAsia="zh-CN"/>
              </w:rPr>
              <w:t>注：</w:t>
            </w:r>
            <w:r>
              <w:rPr>
                <w:rFonts w:hint="eastAsia" w:ascii="宋体" w:hAnsi="宋体" w:eastAsia="宋体" w:cs="宋体"/>
                <w:color w:val="auto"/>
                <w:highlight w:val="none"/>
                <w:lang w:val="en-US" w:eastAsia="zh-CN"/>
              </w:rPr>
              <w:t>1.以上人员不重复计分；2.须提供拟投入的工作组成员一览表，所有人员须为供应商本单位人员，且须提供拟投入人员的专业技能或资格证书、供应商为拟投入人员缴纳的</w:t>
            </w:r>
            <w:r>
              <w:rPr>
                <w:rFonts w:hint="eastAsia" w:ascii="宋体" w:hAnsi="宋体" w:cs="宋体"/>
                <w:color w:val="auto"/>
                <w:highlight w:val="none"/>
                <w:lang w:val="en-US" w:eastAsia="zh-CN"/>
              </w:rPr>
              <w:t>2025年11月-2026年4月</w:t>
            </w:r>
            <w:r>
              <w:rPr>
                <w:rFonts w:hint="eastAsia" w:ascii="宋体" w:hAnsi="宋体" w:eastAsia="宋体" w:cs="宋体"/>
                <w:color w:val="auto"/>
                <w:highlight w:val="none"/>
                <w:lang w:val="en-US" w:eastAsia="zh-CN"/>
              </w:rPr>
              <w:t>内任意连续 3 个月的社保缴费证明或《投保单》或单位代缴个人所得税税单等复印件（加盖公章）或提供供应商与拟投入本项目团队成员签订的劳务合同复印件（法定代表人除外</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。3.须提供能够体现担任同类审计或审核服务项目（指与对应分标采购内容相同的项目）负责人的业绩证明等材料。上述材料不提供不计分。</w:t>
            </w:r>
          </w:p>
        </w:tc>
      </w:tr>
      <w:tr w14:paraId="7AD2C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47" w:type="dxa"/>
            <w:vMerge w:val="continue"/>
            <w:noWrap w:val="0"/>
            <w:vAlign w:val="center"/>
          </w:tcPr>
          <w:p w14:paraId="5C4FD8FF">
            <w:pPr>
              <w:adjustRightInd w:val="0"/>
              <w:snapToGrid w:val="0"/>
              <w:spacing w:line="360" w:lineRule="atLeast"/>
              <w:jc w:val="center"/>
              <w:textAlignment w:val="baseline"/>
              <w:rPr>
                <w:rFonts w:hint="eastAsia" w:ascii="宋体" w:hAnsi="宋体"/>
                <w:color w:val="auto"/>
                <w:szCs w:val="22"/>
                <w:highlight w:val="none"/>
              </w:rPr>
            </w:pPr>
          </w:p>
        </w:tc>
        <w:tc>
          <w:tcPr>
            <w:tcW w:w="770" w:type="dxa"/>
            <w:vMerge w:val="continue"/>
            <w:noWrap w:val="0"/>
            <w:vAlign w:val="center"/>
          </w:tcPr>
          <w:p w14:paraId="6D9AC18F">
            <w:pPr>
              <w:adjustRightInd w:val="0"/>
              <w:snapToGrid w:val="0"/>
              <w:spacing w:line="360" w:lineRule="atLeast"/>
              <w:jc w:val="center"/>
              <w:textAlignment w:val="baseline"/>
              <w:rPr>
                <w:rFonts w:hint="eastAsia" w:ascii="宋体" w:hAnsi="宋体" w:cs="Courier New"/>
                <w:bCs/>
                <w:color w:val="auto"/>
                <w:szCs w:val="22"/>
                <w:highlight w:val="none"/>
              </w:rPr>
            </w:pPr>
          </w:p>
        </w:tc>
        <w:tc>
          <w:tcPr>
            <w:tcW w:w="1242" w:type="dxa"/>
            <w:vMerge w:val="continue"/>
            <w:noWrap w:val="0"/>
            <w:vAlign w:val="center"/>
          </w:tcPr>
          <w:p w14:paraId="31CB5BD6">
            <w:pPr>
              <w:snapToGrid w:val="0"/>
              <w:spacing w:line="440" w:lineRule="exact"/>
              <w:jc w:val="center"/>
              <w:rPr>
                <w:rFonts w:hint="eastAsia" w:ascii="宋体" w:hAnsi="宋体"/>
                <w:b/>
                <w:color w:val="auto"/>
                <w:kern w:val="2"/>
                <w:sz w:val="21"/>
                <w:szCs w:val="21"/>
                <w:highlight w:val="none"/>
                <w:lang w:val="en-US" w:eastAsia="zh-CN" w:bidi="ar-SA"/>
              </w:rPr>
            </w:pPr>
          </w:p>
        </w:tc>
        <w:tc>
          <w:tcPr>
            <w:tcW w:w="6480" w:type="dxa"/>
            <w:noWrap w:val="0"/>
            <w:vAlign w:val="center"/>
          </w:tcPr>
          <w:p w14:paraId="588E2E46">
            <w:pPr>
              <w:widowControl/>
              <w:snapToGrid/>
              <w:spacing w:line="360" w:lineRule="auto"/>
              <w:jc w:val="left"/>
              <w:rPr>
                <w:rFonts w:hint="eastAsia" w:ascii="宋体" w:hAnsi="宋体" w:eastAsia="宋体" w:cs="宋体"/>
                <w:color w:val="auto"/>
                <w:highlight w:val="none"/>
                <w:lang w:eastAsia="zh-CN"/>
              </w:rPr>
            </w:pPr>
            <w:r>
              <w:rPr>
                <w:rFonts w:hint="eastAsia" w:ascii="宋体" w:hAnsi="宋体" w:cs="宋体"/>
                <w:b/>
                <w:bCs/>
                <w:color w:val="auto"/>
                <w:sz w:val="28"/>
                <w:szCs w:val="36"/>
                <w:highlight w:val="none"/>
                <w:lang w:val="en-US" w:eastAsia="zh-CN"/>
              </w:rPr>
              <w:t>3分标评分标准：</w:t>
            </w:r>
          </w:p>
          <w:p w14:paraId="713CBB50">
            <w:pPr>
              <w:widowControl/>
              <w:snapToGrid/>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在满足采购需求的基础上，</w:t>
            </w:r>
            <w:r>
              <w:rPr>
                <w:rFonts w:hint="eastAsia" w:ascii="宋体" w:hAnsi="宋体" w:eastAsia="宋体" w:cs="宋体"/>
                <w:color w:val="auto"/>
                <w:highlight w:val="none"/>
                <w:lang w:eastAsia="zh-CN"/>
              </w:rPr>
              <w:t>投入项目现场的</w:t>
            </w:r>
            <w:r>
              <w:rPr>
                <w:rFonts w:hint="eastAsia" w:ascii="宋体" w:hAnsi="宋体" w:eastAsia="宋体" w:cs="宋体"/>
                <w:color w:val="auto"/>
                <w:highlight w:val="none"/>
              </w:rPr>
              <w:t>项目负责人具有</w:t>
            </w:r>
            <w:r>
              <w:rPr>
                <w:rFonts w:hint="eastAsia" w:ascii="宋体" w:hAnsi="宋体"/>
                <w:color w:val="auto"/>
                <w:szCs w:val="21"/>
                <w:highlight w:val="none"/>
              </w:rPr>
              <w:t>造价工程师</w:t>
            </w:r>
            <w:r>
              <w:rPr>
                <w:rFonts w:hint="eastAsia" w:ascii="宋体" w:hAnsi="宋体"/>
                <w:color w:val="auto"/>
                <w:szCs w:val="21"/>
                <w:highlight w:val="none"/>
                <w:lang w:val="en-US" w:eastAsia="zh-CN"/>
              </w:rPr>
              <w:t>或</w:t>
            </w:r>
            <w:r>
              <w:rPr>
                <w:rFonts w:hint="eastAsia" w:ascii="宋体" w:hAnsi="宋体" w:eastAsia="宋体" w:cs="宋体"/>
                <w:color w:val="auto"/>
                <w:highlight w:val="none"/>
              </w:rPr>
              <w:t>高级职称的加</w:t>
            </w:r>
            <w:r>
              <w:rPr>
                <w:rFonts w:hint="eastAsia" w:ascii="宋体" w:hAnsi="宋体" w:cs="宋体"/>
                <w:color w:val="auto"/>
                <w:highlight w:val="none"/>
                <w:lang w:val="en-US" w:eastAsia="zh-CN"/>
              </w:rPr>
              <w:t>3</w:t>
            </w:r>
            <w:r>
              <w:rPr>
                <w:rFonts w:hint="eastAsia" w:ascii="宋体" w:hAnsi="宋体" w:eastAsia="宋体" w:cs="宋体"/>
                <w:color w:val="auto"/>
                <w:highlight w:val="none"/>
              </w:rPr>
              <w:t>分；项目负责人具有担任同类审计或审核服务项目负责人业绩的，每个业绩加</w:t>
            </w:r>
            <w:r>
              <w:rPr>
                <w:rFonts w:hint="eastAsia" w:ascii="宋体" w:hAnsi="宋体" w:cs="宋体"/>
                <w:color w:val="auto"/>
                <w:highlight w:val="none"/>
                <w:lang w:val="en-US" w:eastAsia="zh-CN"/>
              </w:rPr>
              <w:t>3</w:t>
            </w:r>
            <w:r>
              <w:rPr>
                <w:rFonts w:hint="eastAsia" w:ascii="宋体" w:hAnsi="宋体" w:eastAsia="宋体" w:cs="宋体"/>
                <w:color w:val="auto"/>
                <w:highlight w:val="none"/>
              </w:rPr>
              <w:t>分，最多加</w:t>
            </w:r>
            <w:r>
              <w:rPr>
                <w:rFonts w:hint="eastAsia" w:ascii="宋体" w:hAnsi="宋体" w:cs="宋体"/>
                <w:color w:val="auto"/>
                <w:highlight w:val="none"/>
                <w:lang w:val="en-US" w:eastAsia="zh-CN"/>
              </w:rPr>
              <w:t>9</w:t>
            </w:r>
            <w:r>
              <w:rPr>
                <w:rFonts w:hint="eastAsia" w:ascii="宋体" w:hAnsi="宋体" w:eastAsia="宋体" w:cs="宋体"/>
                <w:color w:val="auto"/>
                <w:highlight w:val="none"/>
              </w:rPr>
              <w:t>分；此项满分</w:t>
            </w:r>
            <w:r>
              <w:rPr>
                <w:rFonts w:hint="eastAsia" w:ascii="宋体" w:hAnsi="宋体" w:cs="宋体"/>
                <w:color w:val="auto"/>
                <w:highlight w:val="none"/>
                <w:lang w:val="en-US" w:eastAsia="zh-CN"/>
              </w:rPr>
              <w:t>12</w:t>
            </w:r>
            <w:r>
              <w:rPr>
                <w:rFonts w:hint="eastAsia" w:ascii="宋体" w:hAnsi="宋体" w:eastAsia="宋体" w:cs="宋体"/>
                <w:color w:val="auto"/>
                <w:highlight w:val="none"/>
              </w:rPr>
              <w:t>分。</w:t>
            </w:r>
          </w:p>
          <w:p w14:paraId="57A0E8C8">
            <w:pPr>
              <w:widowControl/>
              <w:snapToGrid/>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在满足采购需求的基础上，</w:t>
            </w:r>
            <w:r>
              <w:rPr>
                <w:rFonts w:hint="eastAsia" w:ascii="宋体" w:hAnsi="宋体" w:eastAsia="宋体" w:cs="宋体"/>
                <w:color w:val="auto"/>
                <w:highlight w:val="none"/>
                <w:lang w:eastAsia="zh-CN"/>
              </w:rPr>
              <w:t>投入项目现场的</w:t>
            </w:r>
            <w:r>
              <w:rPr>
                <w:rFonts w:hint="eastAsia" w:ascii="宋体" w:hAnsi="宋体" w:eastAsia="宋体" w:cs="宋体"/>
                <w:color w:val="auto"/>
                <w:highlight w:val="none"/>
                <w:lang w:val="en-US" w:eastAsia="zh-CN"/>
              </w:rPr>
              <w:t>其他人员（除项目负责人外）具有</w:t>
            </w:r>
            <w:r>
              <w:rPr>
                <w:rFonts w:hint="eastAsia" w:ascii="宋体" w:hAnsi="宋体" w:eastAsia="宋体" w:cs="宋体"/>
                <w:color w:val="auto"/>
                <w:highlight w:val="none"/>
              </w:rPr>
              <w:t>注册造价工程师</w:t>
            </w:r>
            <w:r>
              <w:rPr>
                <w:rFonts w:hint="eastAsia" w:ascii="宋体" w:hAnsi="宋体" w:eastAsia="宋体" w:cs="宋体"/>
                <w:color w:val="auto"/>
                <w:highlight w:val="none"/>
                <w:lang w:val="en-US" w:eastAsia="zh-CN"/>
              </w:rPr>
              <w:t>或注册会计师或高级职称</w:t>
            </w:r>
            <w:r>
              <w:rPr>
                <w:rFonts w:hint="eastAsia" w:ascii="宋体" w:hAnsi="宋体" w:eastAsia="宋体" w:cs="宋体"/>
                <w:color w:val="auto"/>
                <w:highlight w:val="none"/>
              </w:rPr>
              <w:t>的加</w:t>
            </w:r>
            <w:r>
              <w:rPr>
                <w:rFonts w:hint="eastAsia" w:ascii="宋体" w:hAnsi="宋体" w:cs="宋体"/>
                <w:color w:val="auto"/>
                <w:highlight w:val="none"/>
                <w:lang w:val="en-US" w:eastAsia="zh-CN"/>
              </w:rPr>
              <w:t>3</w:t>
            </w:r>
            <w:r>
              <w:rPr>
                <w:rFonts w:hint="eastAsia" w:ascii="宋体" w:hAnsi="宋体" w:eastAsia="宋体" w:cs="宋体"/>
                <w:color w:val="auto"/>
                <w:highlight w:val="none"/>
              </w:rPr>
              <w:t>分；注册造价工程师</w:t>
            </w:r>
            <w:r>
              <w:rPr>
                <w:rFonts w:hint="eastAsia" w:ascii="宋体" w:hAnsi="宋体" w:eastAsia="宋体" w:cs="宋体"/>
                <w:color w:val="auto"/>
                <w:highlight w:val="none"/>
                <w:lang w:val="en-US" w:eastAsia="zh-CN"/>
              </w:rPr>
              <w:t>或注册会计师</w:t>
            </w:r>
            <w:r>
              <w:rPr>
                <w:rFonts w:hint="eastAsia" w:ascii="宋体" w:hAnsi="宋体" w:eastAsia="宋体" w:cs="宋体"/>
                <w:color w:val="auto"/>
                <w:highlight w:val="none"/>
              </w:rPr>
              <w:t>具有担任同类审计或审核服务项目负责人业绩的，每个业绩加</w:t>
            </w:r>
            <w:r>
              <w:rPr>
                <w:rFonts w:hint="eastAsia" w:ascii="宋体" w:hAnsi="宋体" w:cs="宋体"/>
                <w:color w:val="auto"/>
                <w:highlight w:val="none"/>
                <w:lang w:val="en-US" w:eastAsia="zh-CN"/>
              </w:rPr>
              <w:t>3</w:t>
            </w:r>
            <w:r>
              <w:rPr>
                <w:rFonts w:hint="eastAsia" w:ascii="宋体" w:hAnsi="宋体" w:eastAsia="宋体" w:cs="宋体"/>
                <w:color w:val="auto"/>
                <w:highlight w:val="none"/>
              </w:rPr>
              <w:t>分，最多加</w:t>
            </w:r>
            <w:r>
              <w:rPr>
                <w:rFonts w:hint="eastAsia" w:ascii="宋体" w:hAnsi="宋体" w:cs="宋体"/>
                <w:color w:val="auto"/>
                <w:highlight w:val="none"/>
                <w:lang w:val="en-US" w:eastAsia="zh-CN"/>
              </w:rPr>
              <w:t>9</w:t>
            </w:r>
            <w:r>
              <w:rPr>
                <w:rFonts w:hint="eastAsia" w:ascii="宋体" w:hAnsi="宋体" w:eastAsia="宋体" w:cs="宋体"/>
                <w:color w:val="auto"/>
                <w:highlight w:val="none"/>
              </w:rPr>
              <w:t>分</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此项满分</w:t>
            </w:r>
            <w:r>
              <w:rPr>
                <w:rFonts w:hint="eastAsia" w:ascii="宋体" w:hAnsi="宋体" w:eastAsia="宋体" w:cs="宋体"/>
                <w:color w:val="auto"/>
                <w:highlight w:val="none"/>
                <w:lang w:val="en-US" w:eastAsia="zh-CN"/>
              </w:rPr>
              <w:t>12</w:t>
            </w:r>
            <w:r>
              <w:rPr>
                <w:rFonts w:hint="eastAsia" w:ascii="宋体" w:hAnsi="宋体" w:eastAsia="宋体" w:cs="宋体"/>
                <w:color w:val="auto"/>
                <w:highlight w:val="none"/>
              </w:rPr>
              <w:t>分。</w:t>
            </w:r>
          </w:p>
          <w:p w14:paraId="3C5FBBB3">
            <w:pPr>
              <w:spacing w:line="360" w:lineRule="auto"/>
              <w:jc w:val="left"/>
              <w:rPr>
                <w:rFonts w:hint="eastAsia"/>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在满足采购需求的基础上，</w:t>
            </w:r>
            <w:r>
              <w:rPr>
                <w:rFonts w:hint="eastAsia" w:ascii="宋体" w:hAnsi="宋体" w:eastAsia="宋体" w:cs="宋体"/>
                <w:color w:val="auto"/>
                <w:highlight w:val="none"/>
                <w:lang w:eastAsia="zh-CN"/>
              </w:rPr>
              <w:t>投入本项目现场的</w:t>
            </w:r>
            <w:r>
              <w:rPr>
                <w:rFonts w:hint="eastAsia" w:ascii="宋体" w:hAnsi="宋体" w:eastAsia="宋体" w:cs="宋体"/>
                <w:color w:val="auto"/>
                <w:highlight w:val="none"/>
              </w:rPr>
              <w:t>其他人员，具有</w:t>
            </w:r>
            <w:r>
              <w:rPr>
                <w:rFonts w:hint="eastAsia" w:ascii="宋体" w:hAnsi="宋体" w:cs="宋体"/>
                <w:color w:val="auto"/>
                <w:highlight w:val="none"/>
                <w:lang w:eastAsia="zh-CN"/>
              </w:rPr>
              <w:t>会计类或审计类或经济类</w:t>
            </w:r>
            <w:r>
              <w:rPr>
                <w:rFonts w:hint="eastAsia" w:ascii="宋体" w:hAnsi="宋体" w:eastAsia="宋体" w:cs="宋体"/>
                <w:color w:val="auto"/>
                <w:highlight w:val="none"/>
              </w:rPr>
              <w:t>高级职称的，每人加1</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分，最多加</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分。</w:t>
            </w:r>
          </w:p>
          <w:p w14:paraId="36849292">
            <w:pPr>
              <w:widowControl/>
              <w:snapToGrid/>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在满足采购需求的基础上，</w:t>
            </w:r>
            <w:r>
              <w:rPr>
                <w:rFonts w:hint="eastAsia" w:ascii="宋体" w:hAnsi="宋体" w:eastAsia="宋体" w:cs="宋体"/>
                <w:color w:val="auto"/>
                <w:highlight w:val="none"/>
                <w:lang w:eastAsia="zh-CN"/>
              </w:rPr>
              <w:t>投入本项目现场的</w:t>
            </w:r>
            <w:r>
              <w:rPr>
                <w:rFonts w:hint="eastAsia" w:ascii="宋体" w:hAnsi="宋体" w:eastAsia="宋体" w:cs="宋体"/>
                <w:color w:val="auto"/>
                <w:highlight w:val="none"/>
              </w:rPr>
              <w:t>其他人员，具有</w:t>
            </w:r>
            <w:r>
              <w:rPr>
                <w:rFonts w:hint="eastAsia" w:ascii="宋体" w:hAnsi="宋体" w:cs="宋体"/>
                <w:color w:val="auto"/>
                <w:highlight w:val="none"/>
                <w:lang w:eastAsia="zh-CN"/>
              </w:rPr>
              <w:t>会计类或审计类或经济类</w:t>
            </w:r>
            <w:r>
              <w:rPr>
                <w:rFonts w:hint="eastAsia" w:ascii="宋体" w:hAnsi="宋体" w:eastAsia="宋体" w:cs="宋体"/>
                <w:color w:val="auto"/>
                <w:highlight w:val="none"/>
              </w:rPr>
              <w:t>中级职称的，每人加1分，最多加</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分。</w:t>
            </w:r>
          </w:p>
          <w:p w14:paraId="16D13A12">
            <w:pPr>
              <w:widowControl/>
              <w:snapToGrid/>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在满足采购需求的基础上，</w:t>
            </w:r>
            <w:r>
              <w:rPr>
                <w:rFonts w:hint="eastAsia" w:ascii="宋体" w:hAnsi="宋体" w:eastAsia="宋体" w:cs="宋体"/>
                <w:color w:val="auto"/>
                <w:highlight w:val="none"/>
                <w:lang w:eastAsia="zh-CN"/>
              </w:rPr>
              <w:t>投入本项目现场的</w:t>
            </w:r>
            <w:r>
              <w:rPr>
                <w:rFonts w:hint="eastAsia" w:ascii="宋体" w:hAnsi="宋体" w:eastAsia="宋体" w:cs="宋体"/>
                <w:color w:val="auto"/>
                <w:highlight w:val="none"/>
              </w:rPr>
              <w:t>人员，每增加1名具有</w:t>
            </w:r>
            <w:r>
              <w:rPr>
                <w:rFonts w:hint="eastAsia" w:ascii="宋体" w:hAnsi="宋体" w:cs="宋体"/>
                <w:color w:val="auto"/>
                <w:highlight w:val="none"/>
                <w:lang w:eastAsia="zh-CN"/>
              </w:rPr>
              <w:t>会计类或审计类或经济类</w:t>
            </w:r>
            <w:r>
              <w:rPr>
                <w:rFonts w:hint="eastAsia" w:ascii="宋体" w:hAnsi="宋体" w:eastAsia="宋体" w:cs="宋体"/>
                <w:color w:val="auto"/>
                <w:highlight w:val="none"/>
              </w:rPr>
              <w:t>初级职称的，每增加1名加0.5分，最多加3分；</w:t>
            </w:r>
          </w:p>
          <w:p w14:paraId="6CADD092">
            <w:pPr>
              <w:widowControl/>
              <w:snapToGrid/>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lang w:eastAsia="zh-CN"/>
              </w:rPr>
              <w:t>）投入本项目现场的人员中具有中国注册会计师资格或国际注册内部审计师资格的，每个加</w:t>
            </w:r>
            <w:r>
              <w:rPr>
                <w:rFonts w:hint="eastAsia" w:ascii="宋体" w:hAnsi="宋体" w:eastAsia="宋体" w:cs="宋体"/>
                <w:color w:val="auto"/>
                <w:highlight w:val="none"/>
                <w:lang w:val="en-US" w:eastAsia="zh-CN"/>
              </w:rPr>
              <w:t>1.5</w:t>
            </w:r>
            <w:r>
              <w:rPr>
                <w:rFonts w:hint="eastAsia" w:ascii="宋体" w:hAnsi="宋体" w:eastAsia="宋体" w:cs="宋体"/>
                <w:color w:val="auto"/>
                <w:highlight w:val="none"/>
                <w:lang w:eastAsia="zh-CN"/>
              </w:rPr>
              <w:t>分，最多加</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分。</w:t>
            </w:r>
          </w:p>
          <w:p w14:paraId="76F938E5">
            <w:pPr>
              <w:widowControl/>
              <w:snapToGrid/>
              <w:spacing w:line="360" w:lineRule="auto"/>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eastAsia="zh-CN"/>
              </w:rPr>
              <w:t>注：</w:t>
            </w:r>
            <w:r>
              <w:rPr>
                <w:rFonts w:hint="eastAsia" w:ascii="宋体" w:hAnsi="宋体" w:eastAsia="宋体" w:cs="宋体"/>
                <w:color w:val="auto"/>
                <w:highlight w:val="none"/>
                <w:lang w:val="en-US" w:eastAsia="zh-CN"/>
              </w:rPr>
              <w:t>1.以上人员不重复计分；2.须提供拟投入的工作组成员一览表，所有人员须为供应商本单位人员，且须提供拟投入人员的专业技能或资格证书、供应商为拟投入人员缴纳的</w:t>
            </w:r>
            <w:r>
              <w:rPr>
                <w:rFonts w:hint="eastAsia" w:ascii="宋体" w:hAnsi="宋体" w:cs="宋体"/>
                <w:color w:val="auto"/>
                <w:highlight w:val="none"/>
                <w:lang w:val="en-US" w:eastAsia="zh-CN"/>
              </w:rPr>
              <w:t>2025年11月-2026年4月</w:t>
            </w:r>
            <w:r>
              <w:rPr>
                <w:rFonts w:hint="eastAsia" w:ascii="宋体" w:hAnsi="宋体" w:eastAsia="宋体" w:cs="宋体"/>
                <w:color w:val="auto"/>
                <w:highlight w:val="none"/>
                <w:lang w:val="en-US" w:eastAsia="zh-CN"/>
              </w:rPr>
              <w:t>内任意连续 3 个月的社保缴费证明或《投保单》或单位代缴个人所得税税单等复印件（加盖公章）或提供供应商与拟投入本项目团队成员签订的劳务合同复印件（法定代表人除外</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。3.须提供能够体现担任同类审计或审核服务项目（指与对应分标采购内容相同的项目）负责人的业绩证明等材料。上述材料不提供不计分。</w:t>
            </w:r>
          </w:p>
        </w:tc>
      </w:tr>
      <w:tr w14:paraId="35EDC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47" w:type="dxa"/>
            <w:vMerge w:val="continue"/>
            <w:noWrap w:val="0"/>
            <w:vAlign w:val="center"/>
          </w:tcPr>
          <w:p w14:paraId="0FA9E215">
            <w:pPr>
              <w:adjustRightInd w:val="0"/>
              <w:snapToGrid w:val="0"/>
              <w:spacing w:line="360" w:lineRule="atLeast"/>
              <w:jc w:val="center"/>
              <w:textAlignment w:val="baseline"/>
              <w:rPr>
                <w:rFonts w:hint="eastAsia" w:ascii="宋体" w:hAnsi="宋体"/>
                <w:color w:val="auto"/>
                <w:szCs w:val="22"/>
                <w:highlight w:val="none"/>
              </w:rPr>
            </w:pPr>
          </w:p>
        </w:tc>
        <w:tc>
          <w:tcPr>
            <w:tcW w:w="770" w:type="dxa"/>
            <w:vMerge w:val="continue"/>
            <w:noWrap w:val="0"/>
            <w:vAlign w:val="center"/>
          </w:tcPr>
          <w:p w14:paraId="38FE9879">
            <w:pPr>
              <w:adjustRightInd w:val="0"/>
              <w:snapToGrid w:val="0"/>
              <w:spacing w:line="360" w:lineRule="atLeast"/>
              <w:jc w:val="center"/>
              <w:textAlignment w:val="baseline"/>
              <w:rPr>
                <w:rFonts w:hint="eastAsia" w:ascii="宋体" w:hAnsi="宋体" w:cs="Courier New"/>
                <w:bCs/>
                <w:color w:val="auto"/>
                <w:szCs w:val="22"/>
                <w:highlight w:val="none"/>
              </w:rPr>
            </w:pPr>
          </w:p>
        </w:tc>
        <w:tc>
          <w:tcPr>
            <w:tcW w:w="1242" w:type="dxa"/>
            <w:vMerge w:val="continue"/>
            <w:noWrap w:val="0"/>
            <w:vAlign w:val="center"/>
          </w:tcPr>
          <w:p w14:paraId="0F1AAFA7">
            <w:pPr>
              <w:snapToGrid w:val="0"/>
              <w:spacing w:line="440" w:lineRule="exact"/>
              <w:jc w:val="center"/>
              <w:rPr>
                <w:rFonts w:hint="eastAsia" w:ascii="宋体" w:hAnsi="宋体"/>
                <w:b/>
                <w:color w:val="auto"/>
                <w:kern w:val="2"/>
                <w:sz w:val="21"/>
                <w:szCs w:val="21"/>
                <w:highlight w:val="none"/>
                <w:lang w:val="en-US" w:eastAsia="zh-CN" w:bidi="ar-SA"/>
              </w:rPr>
            </w:pPr>
          </w:p>
        </w:tc>
        <w:tc>
          <w:tcPr>
            <w:tcW w:w="6480" w:type="dxa"/>
            <w:noWrap w:val="0"/>
            <w:vAlign w:val="center"/>
          </w:tcPr>
          <w:p w14:paraId="687E29D0">
            <w:pPr>
              <w:widowControl/>
              <w:snapToGrid/>
              <w:spacing w:line="360" w:lineRule="auto"/>
              <w:jc w:val="left"/>
              <w:rPr>
                <w:rFonts w:hint="eastAsia" w:ascii="宋体" w:hAnsi="宋体" w:eastAsia="宋体" w:cs="宋体"/>
                <w:color w:val="auto"/>
                <w:highlight w:val="none"/>
                <w:lang w:eastAsia="zh-CN"/>
              </w:rPr>
            </w:pPr>
            <w:r>
              <w:rPr>
                <w:rFonts w:hint="eastAsia" w:ascii="宋体" w:hAnsi="宋体" w:cs="宋体"/>
                <w:b/>
                <w:bCs/>
                <w:color w:val="auto"/>
                <w:sz w:val="28"/>
                <w:szCs w:val="36"/>
                <w:highlight w:val="none"/>
                <w:lang w:val="en-US" w:eastAsia="zh-CN"/>
              </w:rPr>
              <w:t>4分标评分标准：</w:t>
            </w:r>
          </w:p>
          <w:p w14:paraId="2EDC2138">
            <w:pPr>
              <w:widowControl/>
              <w:snapToGrid/>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在满足采购需求的基础上，</w:t>
            </w:r>
            <w:r>
              <w:rPr>
                <w:rFonts w:hint="eastAsia" w:ascii="宋体" w:hAnsi="宋体" w:eastAsia="宋体" w:cs="宋体"/>
                <w:color w:val="auto"/>
                <w:highlight w:val="none"/>
                <w:lang w:eastAsia="zh-CN"/>
              </w:rPr>
              <w:t>投入项目现场的</w:t>
            </w:r>
            <w:r>
              <w:rPr>
                <w:rFonts w:hint="eastAsia" w:ascii="宋体" w:hAnsi="宋体" w:eastAsia="宋体" w:cs="宋体"/>
                <w:color w:val="auto"/>
                <w:highlight w:val="none"/>
              </w:rPr>
              <w:t>项目负责人具有</w:t>
            </w:r>
            <w:r>
              <w:rPr>
                <w:rFonts w:hint="eastAsia" w:ascii="宋体" w:hAnsi="宋体"/>
                <w:color w:val="auto"/>
                <w:szCs w:val="21"/>
                <w:highlight w:val="none"/>
              </w:rPr>
              <w:t>造价工程师</w:t>
            </w:r>
            <w:r>
              <w:rPr>
                <w:rFonts w:hint="eastAsia" w:ascii="宋体" w:hAnsi="宋体"/>
                <w:color w:val="auto"/>
                <w:szCs w:val="21"/>
                <w:highlight w:val="none"/>
                <w:lang w:val="en-US" w:eastAsia="zh-CN"/>
              </w:rPr>
              <w:t>或</w:t>
            </w:r>
            <w:r>
              <w:rPr>
                <w:rFonts w:hint="eastAsia" w:ascii="宋体" w:hAnsi="宋体" w:eastAsia="宋体" w:cs="宋体"/>
                <w:color w:val="auto"/>
                <w:highlight w:val="none"/>
              </w:rPr>
              <w:t>高级职称的加</w:t>
            </w:r>
            <w:r>
              <w:rPr>
                <w:rFonts w:hint="eastAsia" w:ascii="宋体" w:hAnsi="宋体" w:cs="宋体"/>
                <w:color w:val="auto"/>
                <w:highlight w:val="none"/>
                <w:lang w:val="en-US" w:eastAsia="zh-CN"/>
              </w:rPr>
              <w:t>3</w:t>
            </w:r>
            <w:r>
              <w:rPr>
                <w:rFonts w:hint="eastAsia" w:ascii="宋体" w:hAnsi="宋体" w:eastAsia="宋体" w:cs="宋体"/>
                <w:color w:val="auto"/>
                <w:highlight w:val="none"/>
              </w:rPr>
              <w:t>分；项目负责人具有担任同类审计或审核服务项目负责人业绩的，每个业绩加</w:t>
            </w:r>
            <w:r>
              <w:rPr>
                <w:rFonts w:hint="eastAsia" w:ascii="宋体" w:hAnsi="宋体" w:cs="宋体"/>
                <w:color w:val="auto"/>
                <w:highlight w:val="none"/>
                <w:lang w:val="en-US" w:eastAsia="zh-CN"/>
              </w:rPr>
              <w:t>3</w:t>
            </w:r>
            <w:r>
              <w:rPr>
                <w:rFonts w:hint="eastAsia" w:ascii="宋体" w:hAnsi="宋体" w:eastAsia="宋体" w:cs="宋体"/>
                <w:color w:val="auto"/>
                <w:highlight w:val="none"/>
              </w:rPr>
              <w:t>分，最多加</w:t>
            </w:r>
            <w:r>
              <w:rPr>
                <w:rFonts w:hint="eastAsia" w:ascii="宋体" w:hAnsi="宋体" w:cs="宋体"/>
                <w:color w:val="auto"/>
                <w:highlight w:val="none"/>
                <w:lang w:val="en-US" w:eastAsia="zh-CN"/>
              </w:rPr>
              <w:t>9</w:t>
            </w:r>
            <w:r>
              <w:rPr>
                <w:rFonts w:hint="eastAsia" w:ascii="宋体" w:hAnsi="宋体" w:eastAsia="宋体" w:cs="宋体"/>
                <w:color w:val="auto"/>
                <w:highlight w:val="none"/>
              </w:rPr>
              <w:t>分；此项满分</w:t>
            </w:r>
            <w:r>
              <w:rPr>
                <w:rFonts w:hint="eastAsia" w:ascii="宋体" w:hAnsi="宋体" w:cs="宋体"/>
                <w:color w:val="auto"/>
                <w:highlight w:val="none"/>
                <w:lang w:val="en-US" w:eastAsia="zh-CN"/>
              </w:rPr>
              <w:t>12</w:t>
            </w:r>
            <w:r>
              <w:rPr>
                <w:rFonts w:hint="eastAsia" w:ascii="宋体" w:hAnsi="宋体" w:eastAsia="宋体" w:cs="宋体"/>
                <w:color w:val="auto"/>
                <w:highlight w:val="none"/>
              </w:rPr>
              <w:t>分。</w:t>
            </w:r>
          </w:p>
          <w:p w14:paraId="4C3EB12A">
            <w:pPr>
              <w:widowControl/>
              <w:snapToGrid/>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在满足采购需求的基础上，</w:t>
            </w:r>
            <w:r>
              <w:rPr>
                <w:rFonts w:hint="eastAsia" w:ascii="宋体" w:hAnsi="宋体" w:eastAsia="宋体" w:cs="宋体"/>
                <w:color w:val="auto"/>
                <w:highlight w:val="none"/>
                <w:lang w:eastAsia="zh-CN"/>
              </w:rPr>
              <w:t>投入项目现场的</w:t>
            </w:r>
            <w:r>
              <w:rPr>
                <w:rFonts w:hint="eastAsia" w:ascii="宋体" w:hAnsi="宋体" w:eastAsia="宋体" w:cs="宋体"/>
                <w:color w:val="auto"/>
                <w:highlight w:val="none"/>
                <w:lang w:val="en-US" w:eastAsia="zh-CN"/>
              </w:rPr>
              <w:t>其他人员（除项目负责人外）具有</w:t>
            </w:r>
            <w:r>
              <w:rPr>
                <w:rFonts w:hint="eastAsia" w:ascii="宋体" w:hAnsi="宋体" w:eastAsia="宋体" w:cs="宋体"/>
                <w:color w:val="auto"/>
                <w:highlight w:val="none"/>
              </w:rPr>
              <w:t>注册造价工程师</w:t>
            </w:r>
            <w:r>
              <w:rPr>
                <w:rFonts w:hint="eastAsia" w:ascii="宋体" w:hAnsi="宋体" w:eastAsia="宋体" w:cs="宋体"/>
                <w:color w:val="auto"/>
                <w:highlight w:val="none"/>
                <w:lang w:val="en-US" w:eastAsia="zh-CN"/>
              </w:rPr>
              <w:t>或注册会计师或高级职称</w:t>
            </w:r>
            <w:r>
              <w:rPr>
                <w:rFonts w:hint="eastAsia" w:ascii="宋体" w:hAnsi="宋体" w:eastAsia="宋体" w:cs="宋体"/>
                <w:color w:val="auto"/>
                <w:highlight w:val="none"/>
              </w:rPr>
              <w:t>的加</w:t>
            </w:r>
            <w:r>
              <w:rPr>
                <w:rFonts w:hint="eastAsia" w:ascii="宋体" w:hAnsi="宋体" w:cs="宋体"/>
                <w:color w:val="auto"/>
                <w:highlight w:val="none"/>
                <w:lang w:val="en-US" w:eastAsia="zh-CN"/>
              </w:rPr>
              <w:t>3</w:t>
            </w:r>
            <w:r>
              <w:rPr>
                <w:rFonts w:hint="eastAsia" w:ascii="宋体" w:hAnsi="宋体" w:eastAsia="宋体" w:cs="宋体"/>
                <w:color w:val="auto"/>
                <w:highlight w:val="none"/>
              </w:rPr>
              <w:t>分；注册造价工程师</w:t>
            </w:r>
            <w:r>
              <w:rPr>
                <w:rFonts w:hint="eastAsia" w:ascii="宋体" w:hAnsi="宋体" w:eastAsia="宋体" w:cs="宋体"/>
                <w:color w:val="auto"/>
                <w:highlight w:val="none"/>
                <w:lang w:val="en-US" w:eastAsia="zh-CN"/>
              </w:rPr>
              <w:t>或注册会计师</w:t>
            </w:r>
            <w:r>
              <w:rPr>
                <w:rFonts w:hint="eastAsia" w:ascii="宋体" w:hAnsi="宋体" w:eastAsia="宋体" w:cs="宋体"/>
                <w:color w:val="auto"/>
                <w:highlight w:val="none"/>
              </w:rPr>
              <w:t>具有担任同类审计或审核服务项目负责人业绩的，每个业绩加</w:t>
            </w:r>
            <w:r>
              <w:rPr>
                <w:rFonts w:hint="eastAsia" w:ascii="宋体" w:hAnsi="宋体" w:cs="宋体"/>
                <w:color w:val="auto"/>
                <w:highlight w:val="none"/>
                <w:lang w:val="en-US" w:eastAsia="zh-CN"/>
              </w:rPr>
              <w:t>3</w:t>
            </w:r>
            <w:r>
              <w:rPr>
                <w:rFonts w:hint="eastAsia" w:ascii="宋体" w:hAnsi="宋体" w:eastAsia="宋体" w:cs="宋体"/>
                <w:color w:val="auto"/>
                <w:highlight w:val="none"/>
              </w:rPr>
              <w:t>分，最多加</w:t>
            </w:r>
            <w:r>
              <w:rPr>
                <w:rFonts w:hint="eastAsia" w:ascii="宋体" w:hAnsi="宋体" w:cs="宋体"/>
                <w:color w:val="auto"/>
                <w:highlight w:val="none"/>
                <w:lang w:val="en-US" w:eastAsia="zh-CN"/>
              </w:rPr>
              <w:t>9</w:t>
            </w:r>
            <w:r>
              <w:rPr>
                <w:rFonts w:hint="eastAsia" w:ascii="宋体" w:hAnsi="宋体" w:eastAsia="宋体" w:cs="宋体"/>
                <w:color w:val="auto"/>
                <w:highlight w:val="none"/>
              </w:rPr>
              <w:t>分</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此项满分</w:t>
            </w:r>
            <w:r>
              <w:rPr>
                <w:rFonts w:hint="eastAsia" w:ascii="宋体" w:hAnsi="宋体" w:eastAsia="宋体" w:cs="宋体"/>
                <w:color w:val="auto"/>
                <w:highlight w:val="none"/>
                <w:lang w:val="en-US" w:eastAsia="zh-CN"/>
              </w:rPr>
              <w:t>12</w:t>
            </w:r>
            <w:r>
              <w:rPr>
                <w:rFonts w:hint="eastAsia" w:ascii="宋体" w:hAnsi="宋体" w:eastAsia="宋体" w:cs="宋体"/>
                <w:color w:val="auto"/>
                <w:highlight w:val="none"/>
              </w:rPr>
              <w:t>分。</w:t>
            </w:r>
          </w:p>
          <w:p w14:paraId="4D40DCB0">
            <w:pPr>
              <w:spacing w:line="360" w:lineRule="auto"/>
              <w:jc w:val="left"/>
              <w:rPr>
                <w:rFonts w:hint="eastAsia"/>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在满足采购需求的基础上，</w:t>
            </w:r>
            <w:r>
              <w:rPr>
                <w:rFonts w:hint="eastAsia" w:ascii="宋体" w:hAnsi="宋体" w:eastAsia="宋体" w:cs="宋体"/>
                <w:color w:val="auto"/>
                <w:highlight w:val="none"/>
                <w:lang w:eastAsia="zh-CN"/>
              </w:rPr>
              <w:t>投入本项目现场的</w:t>
            </w:r>
            <w:r>
              <w:rPr>
                <w:rFonts w:hint="eastAsia" w:ascii="宋体" w:hAnsi="宋体" w:eastAsia="宋体" w:cs="宋体"/>
                <w:color w:val="auto"/>
                <w:highlight w:val="none"/>
              </w:rPr>
              <w:t>其他人员，具有</w:t>
            </w:r>
            <w:r>
              <w:rPr>
                <w:rFonts w:hint="eastAsia" w:ascii="宋体" w:hAnsi="宋体" w:cs="宋体"/>
                <w:color w:val="auto"/>
                <w:highlight w:val="none"/>
                <w:lang w:eastAsia="zh-CN"/>
              </w:rPr>
              <w:t>会计类或审计类或经济类</w:t>
            </w:r>
            <w:r>
              <w:rPr>
                <w:rFonts w:hint="eastAsia" w:ascii="宋体" w:hAnsi="宋体" w:eastAsia="宋体" w:cs="宋体"/>
                <w:color w:val="auto"/>
                <w:highlight w:val="none"/>
              </w:rPr>
              <w:t>高级职称的，每人加1</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分，最多加</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分。</w:t>
            </w:r>
          </w:p>
          <w:p w14:paraId="2E039B2E">
            <w:pPr>
              <w:widowControl/>
              <w:snapToGrid/>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在满足采购需求的基础上，</w:t>
            </w:r>
            <w:r>
              <w:rPr>
                <w:rFonts w:hint="eastAsia" w:ascii="宋体" w:hAnsi="宋体" w:eastAsia="宋体" w:cs="宋体"/>
                <w:color w:val="auto"/>
                <w:highlight w:val="none"/>
                <w:lang w:eastAsia="zh-CN"/>
              </w:rPr>
              <w:t>投入本项目现场的</w:t>
            </w:r>
            <w:r>
              <w:rPr>
                <w:rFonts w:hint="eastAsia" w:ascii="宋体" w:hAnsi="宋体" w:eastAsia="宋体" w:cs="宋体"/>
                <w:color w:val="auto"/>
                <w:highlight w:val="none"/>
              </w:rPr>
              <w:t>其他人员，具有</w:t>
            </w:r>
            <w:r>
              <w:rPr>
                <w:rFonts w:hint="eastAsia" w:ascii="宋体" w:hAnsi="宋体" w:cs="宋体"/>
                <w:color w:val="auto"/>
                <w:highlight w:val="none"/>
                <w:lang w:eastAsia="zh-CN"/>
              </w:rPr>
              <w:t>会计类或审计类或经济类</w:t>
            </w:r>
            <w:r>
              <w:rPr>
                <w:rFonts w:hint="eastAsia" w:ascii="宋体" w:hAnsi="宋体" w:eastAsia="宋体" w:cs="宋体"/>
                <w:color w:val="auto"/>
                <w:highlight w:val="none"/>
              </w:rPr>
              <w:t>中级职称的，每人加1分，最多加</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分。</w:t>
            </w:r>
          </w:p>
          <w:p w14:paraId="77CFE5FE">
            <w:pPr>
              <w:widowControl/>
              <w:snapToGrid/>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在满足采购需求的基础上，</w:t>
            </w:r>
            <w:r>
              <w:rPr>
                <w:rFonts w:hint="eastAsia" w:ascii="宋体" w:hAnsi="宋体" w:eastAsia="宋体" w:cs="宋体"/>
                <w:color w:val="auto"/>
                <w:highlight w:val="none"/>
                <w:lang w:eastAsia="zh-CN"/>
              </w:rPr>
              <w:t>投入本项目现场的</w:t>
            </w:r>
            <w:r>
              <w:rPr>
                <w:rFonts w:hint="eastAsia" w:ascii="宋体" w:hAnsi="宋体" w:eastAsia="宋体" w:cs="宋体"/>
                <w:color w:val="auto"/>
                <w:highlight w:val="none"/>
              </w:rPr>
              <w:t>人员，每增加1名具有</w:t>
            </w:r>
            <w:r>
              <w:rPr>
                <w:rFonts w:hint="eastAsia" w:ascii="宋体" w:hAnsi="宋体" w:cs="宋体"/>
                <w:color w:val="auto"/>
                <w:highlight w:val="none"/>
                <w:lang w:eastAsia="zh-CN"/>
              </w:rPr>
              <w:t>会计类或审计类或经济类</w:t>
            </w:r>
            <w:r>
              <w:rPr>
                <w:rFonts w:hint="eastAsia" w:ascii="宋体" w:hAnsi="宋体" w:eastAsia="宋体" w:cs="宋体"/>
                <w:color w:val="auto"/>
                <w:highlight w:val="none"/>
              </w:rPr>
              <w:t>初级职称的，每增加1名加0.5分，最多加3分；</w:t>
            </w:r>
          </w:p>
          <w:p w14:paraId="0E30208A">
            <w:pPr>
              <w:widowControl/>
              <w:snapToGrid/>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lang w:eastAsia="zh-CN"/>
              </w:rPr>
              <w:t>）投入本项目现场的人员中具有中国注册会计师资格或国际注册内部审计师资格的，每个加</w:t>
            </w:r>
            <w:r>
              <w:rPr>
                <w:rFonts w:hint="eastAsia" w:ascii="宋体" w:hAnsi="宋体" w:eastAsia="宋体" w:cs="宋体"/>
                <w:color w:val="auto"/>
                <w:highlight w:val="none"/>
                <w:lang w:val="en-US" w:eastAsia="zh-CN"/>
              </w:rPr>
              <w:t>1.5</w:t>
            </w:r>
            <w:r>
              <w:rPr>
                <w:rFonts w:hint="eastAsia" w:ascii="宋体" w:hAnsi="宋体" w:eastAsia="宋体" w:cs="宋体"/>
                <w:color w:val="auto"/>
                <w:highlight w:val="none"/>
                <w:lang w:eastAsia="zh-CN"/>
              </w:rPr>
              <w:t>分，最多加</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分。</w:t>
            </w:r>
          </w:p>
          <w:p w14:paraId="68CC4DF1">
            <w:pPr>
              <w:widowControl/>
              <w:snapToGrid/>
              <w:spacing w:line="360" w:lineRule="auto"/>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eastAsia="zh-CN"/>
              </w:rPr>
              <w:t>注：</w:t>
            </w:r>
            <w:r>
              <w:rPr>
                <w:rFonts w:hint="eastAsia" w:ascii="宋体" w:hAnsi="宋体" w:eastAsia="宋体" w:cs="宋体"/>
                <w:color w:val="auto"/>
                <w:highlight w:val="none"/>
                <w:lang w:val="en-US" w:eastAsia="zh-CN"/>
              </w:rPr>
              <w:t>1.以上人员不重复计分；2.须提供拟投入的工作组成员一览表，所有人员须为供应商本单位人员，且须提供拟投入人员的专业技能或资格证书、供应商为拟投入人员缴纳的</w:t>
            </w:r>
            <w:r>
              <w:rPr>
                <w:rFonts w:hint="eastAsia" w:ascii="宋体" w:hAnsi="宋体" w:cs="宋体"/>
                <w:color w:val="auto"/>
                <w:highlight w:val="none"/>
                <w:lang w:val="en-US" w:eastAsia="zh-CN"/>
              </w:rPr>
              <w:t>2025年11月-2026年4月</w:t>
            </w:r>
            <w:r>
              <w:rPr>
                <w:rFonts w:hint="eastAsia" w:ascii="宋体" w:hAnsi="宋体" w:eastAsia="宋体" w:cs="宋体"/>
                <w:color w:val="auto"/>
                <w:highlight w:val="none"/>
                <w:lang w:val="en-US" w:eastAsia="zh-CN"/>
              </w:rPr>
              <w:t>内任意连续 3 个月的社保缴费证明或《投保单》或单位代缴个人所得税税单等复印件（加盖公章）或提供供应商与拟投入本项目团队成员签订的劳务合同复印件（法定代表人除外</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。3.须提供能够体现担任同类审计或审核服务项目（指与对应分标采购内容相同的项目）负责人的业绩证明等材料。上述材料不提供不计分。</w:t>
            </w:r>
          </w:p>
        </w:tc>
      </w:tr>
      <w:tr w14:paraId="0E313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47" w:type="dxa"/>
            <w:vMerge w:val="continue"/>
            <w:noWrap w:val="0"/>
            <w:vAlign w:val="center"/>
          </w:tcPr>
          <w:p w14:paraId="2444B0FD">
            <w:pPr>
              <w:adjustRightInd w:val="0"/>
              <w:snapToGrid w:val="0"/>
              <w:spacing w:line="360" w:lineRule="atLeast"/>
              <w:jc w:val="center"/>
              <w:textAlignment w:val="baseline"/>
              <w:rPr>
                <w:rFonts w:hint="eastAsia" w:ascii="宋体" w:hAnsi="宋体"/>
                <w:color w:val="auto"/>
                <w:szCs w:val="22"/>
                <w:highlight w:val="none"/>
              </w:rPr>
            </w:pPr>
          </w:p>
        </w:tc>
        <w:tc>
          <w:tcPr>
            <w:tcW w:w="770" w:type="dxa"/>
            <w:vMerge w:val="continue"/>
            <w:noWrap w:val="0"/>
            <w:vAlign w:val="center"/>
          </w:tcPr>
          <w:p w14:paraId="69A8309E">
            <w:pPr>
              <w:adjustRightInd w:val="0"/>
              <w:snapToGrid w:val="0"/>
              <w:spacing w:line="360" w:lineRule="atLeast"/>
              <w:jc w:val="center"/>
              <w:textAlignment w:val="baseline"/>
              <w:rPr>
                <w:rFonts w:hint="eastAsia" w:ascii="宋体" w:hAnsi="宋体" w:cs="Courier New"/>
                <w:bCs/>
                <w:color w:val="auto"/>
                <w:szCs w:val="22"/>
                <w:highlight w:val="none"/>
              </w:rPr>
            </w:pPr>
          </w:p>
        </w:tc>
        <w:tc>
          <w:tcPr>
            <w:tcW w:w="1242" w:type="dxa"/>
            <w:vMerge w:val="continue"/>
            <w:noWrap w:val="0"/>
            <w:vAlign w:val="center"/>
          </w:tcPr>
          <w:p w14:paraId="76174B62">
            <w:pPr>
              <w:snapToGrid w:val="0"/>
              <w:spacing w:line="440" w:lineRule="exact"/>
              <w:jc w:val="center"/>
              <w:rPr>
                <w:rFonts w:hint="eastAsia" w:ascii="宋体" w:hAnsi="宋体"/>
                <w:b/>
                <w:color w:val="auto"/>
                <w:kern w:val="2"/>
                <w:sz w:val="21"/>
                <w:szCs w:val="21"/>
                <w:highlight w:val="none"/>
                <w:lang w:val="en-US" w:eastAsia="zh-CN" w:bidi="ar-SA"/>
              </w:rPr>
            </w:pPr>
          </w:p>
        </w:tc>
        <w:tc>
          <w:tcPr>
            <w:tcW w:w="6480" w:type="dxa"/>
            <w:noWrap w:val="0"/>
            <w:vAlign w:val="center"/>
          </w:tcPr>
          <w:p w14:paraId="6DA8594B">
            <w:pPr>
              <w:widowControl/>
              <w:snapToGrid/>
              <w:spacing w:line="360" w:lineRule="auto"/>
              <w:jc w:val="left"/>
              <w:rPr>
                <w:rFonts w:hint="eastAsia" w:ascii="宋体" w:hAnsi="宋体" w:eastAsia="宋体" w:cs="宋体"/>
                <w:color w:val="auto"/>
                <w:highlight w:val="none"/>
                <w:lang w:eastAsia="zh-CN"/>
              </w:rPr>
            </w:pPr>
            <w:r>
              <w:rPr>
                <w:rFonts w:hint="eastAsia" w:ascii="宋体" w:hAnsi="宋体" w:cs="宋体"/>
                <w:b/>
                <w:bCs/>
                <w:color w:val="auto"/>
                <w:sz w:val="28"/>
                <w:szCs w:val="36"/>
                <w:highlight w:val="none"/>
                <w:lang w:val="en-US" w:eastAsia="zh-CN"/>
              </w:rPr>
              <w:t>5分标评分标准：</w:t>
            </w:r>
          </w:p>
          <w:p w14:paraId="52096499">
            <w:pPr>
              <w:widowControl/>
              <w:snapToGrid/>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在满足采购需求的基础上，</w:t>
            </w:r>
            <w:r>
              <w:rPr>
                <w:rFonts w:hint="eastAsia" w:ascii="宋体" w:hAnsi="宋体" w:eastAsia="宋体" w:cs="宋体"/>
                <w:color w:val="auto"/>
                <w:highlight w:val="none"/>
                <w:lang w:eastAsia="zh-CN"/>
              </w:rPr>
              <w:t>投入项目现场的</w:t>
            </w:r>
            <w:r>
              <w:rPr>
                <w:rFonts w:hint="eastAsia" w:ascii="宋体" w:hAnsi="宋体" w:eastAsia="宋体" w:cs="宋体"/>
                <w:color w:val="auto"/>
                <w:highlight w:val="none"/>
              </w:rPr>
              <w:t>项目负责人具有</w:t>
            </w:r>
            <w:r>
              <w:rPr>
                <w:rFonts w:hint="eastAsia" w:ascii="宋体" w:hAnsi="宋体"/>
                <w:color w:val="auto"/>
                <w:szCs w:val="21"/>
                <w:highlight w:val="none"/>
              </w:rPr>
              <w:t>造价工程师</w:t>
            </w:r>
            <w:r>
              <w:rPr>
                <w:rFonts w:hint="eastAsia" w:ascii="宋体" w:hAnsi="宋体"/>
                <w:color w:val="auto"/>
                <w:szCs w:val="21"/>
                <w:highlight w:val="none"/>
                <w:lang w:val="en-US" w:eastAsia="zh-CN"/>
              </w:rPr>
              <w:t>或</w:t>
            </w:r>
            <w:r>
              <w:rPr>
                <w:rFonts w:hint="eastAsia" w:ascii="宋体" w:hAnsi="宋体" w:eastAsia="宋体" w:cs="宋体"/>
                <w:color w:val="auto"/>
                <w:highlight w:val="none"/>
              </w:rPr>
              <w:t>高级职称的加</w:t>
            </w:r>
            <w:r>
              <w:rPr>
                <w:rFonts w:hint="eastAsia" w:ascii="宋体" w:hAnsi="宋体" w:cs="宋体"/>
                <w:color w:val="auto"/>
                <w:highlight w:val="none"/>
                <w:lang w:val="en-US" w:eastAsia="zh-CN"/>
              </w:rPr>
              <w:t>3</w:t>
            </w:r>
            <w:r>
              <w:rPr>
                <w:rFonts w:hint="eastAsia" w:ascii="宋体" w:hAnsi="宋体" w:eastAsia="宋体" w:cs="宋体"/>
                <w:color w:val="auto"/>
                <w:highlight w:val="none"/>
              </w:rPr>
              <w:t>分；项目负责人具有担任同类审计或审核服务项目负责人业绩的，每个业绩加</w:t>
            </w:r>
            <w:r>
              <w:rPr>
                <w:rFonts w:hint="eastAsia" w:ascii="宋体" w:hAnsi="宋体" w:cs="宋体"/>
                <w:color w:val="auto"/>
                <w:highlight w:val="none"/>
                <w:lang w:val="en-US" w:eastAsia="zh-CN"/>
              </w:rPr>
              <w:t>3</w:t>
            </w:r>
            <w:r>
              <w:rPr>
                <w:rFonts w:hint="eastAsia" w:ascii="宋体" w:hAnsi="宋体" w:eastAsia="宋体" w:cs="宋体"/>
                <w:color w:val="auto"/>
                <w:highlight w:val="none"/>
              </w:rPr>
              <w:t>分，最多加</w:t>
            </w:r>
            <w:r>
              <w:rPr>
                <w:rFonts w:hint="eastAsia" w:ascii="宋体" w:hAnsi="宋体" w:cs="宋体"/>
                <w:color w:val="auto"/>
                <w:highlight w:val="none"/>
                <w:lang w:val="en-US" w:eastAsia="zh-CN"/>
              </w:rPr>
              <w:t>9</w:t>
            </w:r>
            <w:r>
              <w:rPr>
                <w:rFonts w:hint="eastAsia" w:ascii="宋体" w:hAnsi="宋体" w:eastAsia="宋体" w:cs="宋体"/>
                <w:color w:val="auto"/>
                <w:highlight w:val="none"/>
              </w:rPr>
              <w:t>分；此项满分</w:t>
            </w:r>
            <w:r>
              <w:rPr>
                <w:rFonts w:hint="eastAsia" w:ascii="宋体" w:hAnsi="宋体" w:cs="宋体"/>
                <w:color w:val="auto"/>
                <w:highlight w:val="none"/>
                <w:lang w:val="en-US" w:eastAsia="zh-CN"/>
              </w:rPr>
              <w:t>12</w:t>
            </w:r>
            <w:r>
              <w:rPr>
                <w:rFonts w:hint="eastAsia" w:ascii="宋体" w:hAnsi="宋体" w:eastAsia="宋体" w:cs="宋体"/>
                <w:color w:val="auto"/>
                <w:highlight w:val="none"/>
              </w:rPr>
              <w:t>分。</w:t>
            </w:r>
          </w:p>
          <w:p w14:paraId="75B33812">
            <w:pPr>
              <w:widowControl/>
              <w:snapToGrid/>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在满足采购需求的基础上，</w:t>
            </w:r>
            <w:r>
              <w:rPr>
                <w:rFonts w:hint="eastAsia" w:ascii="宋体" w:hAnsi="宋体" w:eastAsia="宋体" w:cs="宋体"/>
                <w:color w:val="auto"/>
                <w:highlight w:val="none"/>
                <w:lang w:eastAsia="zh-CN"/>
              </w:rPr>
              <w:t>投入项目现场的</w:t>
            </w:r>
            <w:r>
              <w:rPr>
                <w:rFonts w:hint="eastAsia" w:ascii="宋体" w:hAnsi="宋体" w:eastAsia="宋体" w:cs="宋体"/>
                <w:color w:val="auto"/>
                <w:highlight w:val="none"/>
                <w:lang w:val="en-US" w:eastAsia="zh-CN"/>
              </w:rPr>
              <w:t>其他人员（除项目负责人外）具有</w:t>
            </w:r>
            <w:r>
              <w:rPr>
                <w:rFonts w:hint="eastAsia" w:ascii="宋体" w:hAnsi="宋体" w:eastAsia="宋体" w:cs="宋体"/>
                <w:color w:val="auto"/>
                <w:highlight w:val="none"/>
              </w:rPr>
              <w:t>注册造价工程师</w:t>
            </w:r>
            <w:r>
              <w:rPr>
                <w:rFonts w:hint="eastAsia" w:ascii="宋体" w:hAnsi="宋体" w:eastAsia="宋体" w:cs="宋体"/>
                <w:color w:val="auto"/>
                <w:highlight w:val="none"/>
                <w:lang w:val="en-US" w:eastAsia="zh-CN"/>
              </w:rPr>
              <w:t>或注册会计师或高级职称</w:t>
            </w:r>
            <w:r>
              <w:rPr>
                <w:rFonts w:hint="eastAsia" w:ascii="宋体" w:hAnsi="宋体" w:eastAsia="宋体" w:cs="宋体"/>
                <w:color w:val="auto"/>
                <w:highlight w:val="none"/>
              </w:rPr>
              <w:t>的加</w:t>
            </w:r>
            <w:r>
              <w:rPr>
                <w:rFonts w:hint="eastAsia" w:ascii="宋体" w:hAnsi="宋体" w:cs="宋体"/>
                <w:color w:val="auto"/>
                <w:highlight w:val="none"/>
                <w:lang w:val="en-US" w:eastAsia="zh-CN"/>
              </w:rPr>
              <w:t>3</w:t>
            </w:r>
            <w:r>
              <w:rPr>
                <w:rFonts w:hint="eastAsia" w:ascii="宋体" w:hAnsi="宋体" w:eastAsia="宋体" w:cs="宋体"/>
                <w:color w:val="auto"/>
                <w:highlight w:val="none"/>
              </w:rPr>
              <w:t>分；注册造价工程师</w:t>
            </w:r>
            <w:r>
              <w:rPr>
                <w:rFonts w:hint="eastAsia" w:ascii="宋体" w:hAnsi="宋体" w:eastAsia="宋体" w:cs="宋体"/>
                <w:color w:val="auto"/>
                <w:highlight w:val="none"/>
                <w:lang w:val="en-US" w:eastAsia="zh-CN"/>
              </w:rPr>
              <w:t>或注册会计师</w:t>
            </w:r>
            <w:r>
              <w:rPr>
                <w:rFonts w:hint="eastAsia" w:ascii="宋体" w:hAnsi="宋体" w:eastAsia="宋体" w:cs="宋体"/>
                <w:color w:val="auto"/>
                <w:highlight w:val="none"/>
              </w:rPr>
              <w:t>具有担任同类审计或审核服务项目负责人业绩的，每个业绩加</w:t>
            </w:r>
            <w:r>
              <w:rPr>
                <w:rFonts w:hint="eastAsia" w:ascii="宋体" w:hAnsi="宋体" w:cs="宋体"/>
                <w:color w:val="auto"/>
                <w:highlight w:val="none"/>
                <w:lang w:val="en-US" w:eastAsia="zh-CN"/>
              </w:rPr>
              <w:t>3</w:t>
            </w:r>
            <w:r>
              <w:rPr>
                <w:rFonts w:hint="eastAsia" w:ascii="宋体" w:hAnsi="宋体" w:eastAsia="宋体" w:cs="宋体"/>
                <w:color w:val="auto"/>
                <w:highlight w:val="none"/>
              </w:rPr>
              <w:t>分，最多加</w:t>
            </w:r>
            <w:r>
              <w:rPr>
                <w:rFonts w:hint="eastAsia" w:ascii="宋体" w:hAnsi="宋体" w:cs="宋体"/>
                <w:color w:val="auto"/>
                <w:highlight w:val="none"/>
                <w:lang w:val="en-US" w:eastAsia="zh-CN"/>
              </w:rPr>
              <w:t>9</w:t>
            </w:r>
            <w:r>
              <w:rPr>
                <w:rFonts w:hint="eastAsia" w:ascii="宋体" w:hAnsi="宋体" w:eastAsia="宋体" w:cs="宋体"/>
                <w:color w:val="auto"/>
                <w:highlight w:val="none"/>
              </w:rPr>
              <w:t>分</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此项满分</w:t>
            </w:r>
            <w:r>
              <w:rPr>
                <w:rFonts w:hint="eastAsia" w:ascii="宋体" w:hAnsi="宋体" w:eastAsia="宋体" w:cs="宋体"/>
                <w:color w:val="auto"/>
                <w:highlight w:val="none"/>
                <w:lang w:val="en-US" w:eastAsia="zh-CN"/>
              </w:rPr>
              <w:t>12</w:t>
            </w:r>
            <w:r>
              <w:rPr>
                <w:rFonts w:hint="eastAsia" w:ascii="宋体" w:hAnsi="宋体" w:eastAsia="宋体" w:cs="宋体"/>
                <w:color w:val="auto"/>
                <w:highlight w:val="none"/>
              </w:rPr>
              <w:t>分。</w:t>
            </w:r>
          </w:p>
          <w:p w14:paraId="7237F2F4">
            <w:pPr>
              <w:spacing w:line="360" w:lineRule="auto"/>
              <w:jc w:val="left"/>
              <w:rPr>
                <w:rFonts w:hint="eastAsia"/>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在满足采购需求的基础上，</w:t>
            </w:r>
            <w:r>
              <w:rPr>
                <w:rFonts w:hint="eastAsia" w:ascii="宋体" w:hAnsi="宋体" w:eastAsia="宋体" w:cs="宋体"/>
                <w:color w:val="auto"/>
                <w:highlight w:val="none"/>
                <w:lang w:eastAsia="zh-CN"/>
              </w:rPr>
              <w:t>投入本项目现场的</w:t>
            </w:r>
            <w:r>
              <w:rPr>
                <w:rFonts w:hint="eastAsia" w:ascii="宋体" w:hAnsi="宋体" w:eastAsia="宋体" w:cs="宋体"/>
                <w:color w:val="auto"/>
                <w:highlight w:val="none"/>
              </w:rPr>
              <w:t>其他人员，具有</w:t>
            </w:r>
            <w:r>
              <w:rPr>
                <w:rFonts w:hint="eastAsia" w:ascii="宋体" w:hAnsi="宋体" w:cs="宋体"/>
                <w:color w:val="auto"/>
                <w:highlight w:val="none"/>
                <w:lang w:eastAsia="zh-CN"/>
              </w:rPr>
              <w:t>会计类或审计类或经济类</w:t>
            </w:r>
            <w:r>
              <w:rPr>
                <w:rFonts w:hint="eastAsia" w:ascii="宋体" w:hAnsi="宋体" w:eastAsia="宋体" w:cs="宋体"/>
                <w:color w:val="auto"/>
                <w:highlight w:val="none"/>
              </w:rPr>
              <w:t>高级职称的，每人加1</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分，最多加</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分。</w:t>
            </w:r>
          </w:p>
          <w:p w14:paraId="00371860">
            <w:pPr>
              <w:widowControl/>
              <w:snapToGrid/>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在满足采购需求的基础上，</w:t>
            </w:r>
            <w:r>
              <w:rPr>
                <w:rFonts w:hint="eastAsia" w:ascii="宋体" w:hAnsi="宋体" w:eastAsia="宋体" w:cs="宋体"/>
                <w:color w:val="auto"/>
                <w:highlight w:val="none"/>
                <w:lang w:eastAsia="zh-CN"/>
              </w:rPr>
              <w:t>投入本项目现场的</w:t>
            </w:r>
            <w:r>
              <w:rPr>
                <w:rFonts w:hint="eastAsia" w:ascii="宋体" w:hAnsi="宋体" w:eastAsia="宋体" w:cs="宋体"/>
                <w:color w:val="auto"/>
                <w:highlight w:val="none"/>
              </w:rPr>
              <w:t>其他人员，具有</w:t>
            </w:r>
            <w:r>
              <w:rPr>
                <w:rFonts w:hint="eastAsia" w:ascii="宋体" w:hAnsi="宋体" w:cs="宋体"/>
                <w:color w:val="auto"/>
                <w:highlight w:val="none"/>
                <w:lang w:eastAsia="zh-CN"/>
              </w:rPr>
              <w:t>会计类或审计类或经济类</w:t>
            </w:r>
            <w:r>
              <w:rPr>
                <w:rFonts w:hint="eastAsia" w:ascii="宋体" w:hAnsi="宋体" w:eastAsia="宋体" w:cs="宋体"/>
                <w:color w:val="auto"/>
                <w:highlight w:val="none"/>
              </w:rPr>
              <w:t>中级职称的，每人加1分，最多加</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分。</w:t>
            </w:r>
          </w:p>
          <w:p w14:paraId="23B5CE67">
            <w:pPr>
              <w:widowControl/>
              <w:snapToGrid/>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在满足采购需求的基础上，</w:t>
            </w:r>
            <w:r>
              <w:rPr>
                <w:rFonts w:hint="eastAsia" w:ascii="宋体" w:hAnsi="宋体" w:eastAsia="宋体" w:cs="宋体"/>
                <w:color w:val="auto"/>
                <w:highlight w:val="none"/>
                <w:lang w:eastAsia="zh-CN"/>
              </w:rPr>
              <w:t>投入本项目现场的</w:t>
            </w:r>
            <w:r>
              <w:rPr>
                <w:rFonts w:hint="eastAsia" w:ascii="宋体" w:hAnsi="宋体" w:eastAsia="宋体" w:cs="宋体"/>
                <w:color w:val="auto"/>
                <w:highlight w:val="none"/>
              </w:rPr>
              <w:t>人员，每增加1名具有</w:t>
            </w:r>
            <w:r>
              <w:rPr>
                <w:rFonts w:hint="eastAsia" w:ascii="宋体" w:hAnsi="宋体" w:cs="宋体"/>
                <w:color w:val="auto"/>
                <w:highlight w:val="none"/>
                <w:lang w:eastAsia="zh-CN"/>
              </w:rPr>
              <w:t>会计类或审计类或经济类</w:t>
            </w:r>
            <w:r>
              <w:rPr>
                <w:rFonts w:hint="eastAsia" w:ascii="宋体" w:hAnsi="宋体" w:eastAsia="宋体" w:cs="宋体"/>
                <w:color w:val="auto"/>
                <w:highlight w:val="none"/>
              </w:rPr>
              <w:t>初级职称的，每增加1名加0.5分，最多加3分；</w:t>
            </w:r>
          </w:p>
          <w:p w14:paraId="249CD3F2">
            <w:pPr>
              <w:widowControl/>
              <w:snapToGrid/>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lang w:eastAsia="zh-CN"/>
              </w:rPr>
              <w:t>）投入本项目现场的人员中具有中国注册会计师资格或国际注册内部审计师资格的，每个加</w:t>
            </w:r>
            <w:r>
              <w:rPr>
                <w:rFonts w:hint="eastAsia" w:ascii="宋体" w:hAnsi="宋体" w:eastAsia="宋体" w:cs="宋体"/>
                <w:color w:val="auto"/>
                <w:highlight w:val="none"/>
                <w:lang w:val="en-US" w:eastAsia="zh-CN"/>
              </w:rPr>
              <w:t>1.5</w:t>
            </w:r>
            <w:r>
              <w:rPr>
                <w:rFonts w:hint="eastAsia" w:ascii="宋体" w:hAnsi="宋体" w:eastAsia="宋体" w:cs="宋体"/>
                <w:color w:val="auto"/>
                <w:highlight w:val="none"/>
                <w:lang w:eastAsia="zh-CN"/>
              </w:rPr>
              <w:t>分，最多加</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分。</w:t>
            </w:r>
          </w:p>
          <w:p w14:paraId="45C0F0E1">
            <w:pPr>
              <w:widowControl/>
              <w:snapToGrid/>
              <w:spacing w:line="360" w:lineRule="auto"/>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eastAsia="zh-CN"/>
              </w:rPr>
              <w:t>注：</w:t>
            </w:r>
            <w:r>
              <w:rPr>
                <w:rFonts w:hint="eastAsia" w:ascii="宋体" w:hAnsi="宋体" w:eastAsia="宋体" w:cs="宋体"/>
                <w:color w:val="auto"/>
                <w:highlight w:val="none"/>
                <w:lang w:val="en-US" w:eastAsia="zh-CN"/>
              </w:rPr>
              <w:t>1.以上人员不重复计分；2.须提供拟投入的工作组成员一览表，所有人员须为供应商本单位人员，且须提供拟投入人员的专业技能或资格证书、供应商为拟投入人员缴纳的</w:t>
            </w:r>
            <w:r>
              <w:rPr>
                <w:rFonts w:hint="eastAsia" w:ascii="宋体" w:hAnsi="宋体" w:cs="宋体"/>
                <w:color w:val="auto"/>
                <w:highlight w:val="none"/>
                <w:lang w:val="en-US" w:eastAsia="zh-CN"/>
              </w:rPr>
              <w:t>2025年11月-2026年4月</w:t>
            </w:r>
            <w:r>
              <w:rPr>
                <w:rFonts w:hint="eastAsia" w:ascii="宋体" w:hAnsi="宋体" w:eastAsia="宋体" w:cs="宋体"/>
                <w:color w:val="auto"/>
                <w:highlight w:val="none"/>
                <w:lang w:val="en-US" w:eastAsia="zh-CN"/>
              </w:rPr>
              <w:t>内任意连续 3 个月的社保缴费证明或《投保单》或单位代缴个人所得税税单等复印件（加盖公章）或提供供应商与拟投入本项目团队成员签订的劳务合同复印件（法定代表人除外</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。3.须提供能够体现担任同类审计或审核服务项目（指与对应分标采购内容相同的项目）负责人的业绩证明等材料。上述材料不提供不计分。</w:t>
            </w:r>
          </w:p>
        </w:tc>
      </w:tr>
      <w:tr w14:paraId="45045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47" w:type="dxa"/>
            <w:vMerge w:val="continue"/>
            <w:noWrap w:val="0"/>
            <w:vAlign w:val="center"/>
          </w:tcPr>
          <w:p w14:paraId="4E85C500">
            <w:pPr>
              <w:adjustRightInd w:val="0"/>
              <w:snapToGrid w:val="0"/>
              <w:spacing w:line="360" w:lineRule="atLeast"/>
              <w:jc w:val="center"/>
              <w:textAlignment w:val="baseline"/>
              <w:rPr>
                <w:rFonts w:hint="eastAsia" w:ascii="宋体" w:hAnsi="宋体"/>
                <w:color w:val="auto"/>
                <w:szCs w:val="22"/>
                <w:highlight w:val="none"/>
              </w:rPr>
            </w:pPr>
          </w:p>
        </w:tc>
        <w:tc>
          <w:tcPr>
            <w:tcW w:w="770" w:type="dxa"/>
            <w:vMerge w:val="continue"/>
            <w:noWrap w:val="0"/>
            <w:vAlign w:val="center"/>
          </w:tcPr>
          <w:p w14:paraId="0C3E7BAF">
            <w:pPr>
              <w:adjustRightInd w:val="0"/>
              <w:snapToGrid w:val="0"/>
              <w:spacing w:line="360" w:lineRule="atLeast"/>
              <w:jc w:val="center"/>
              <w:textAlignment w:val="baseline"/>
              <w:rPr>
                <w:rFonts w:hint="eastAsia" w:ascii="宋体" w:hAnsi="宋体" w:cs="Courier New"/>
                <w:bCs/>
                <w:color w:val="auto"/>
                <w:szCs w:val="22"/>
                <w:highlight w:val="none"/>
              </w:rPr>
            </w:pPr>
          </w:p>
        </w:tc>
        <w:tc>
          <w:tcPr>
            <w:tcW w:w="1242" w:type="dxa"/>
            <w:vMerge w:val="continue"/>
            <w:noWrap w:val="0"/>
            <w:vAlign w:val="center"/>
          </w:tcPr>
          <w:p w14:paraId="06FBBCEA">
            <w:pPr>
              <w:snapToGrid w:val="0"/>
              <w:spacing w:line="440" w:lineRule="exact"/>
              <w:jc w:val="center"/>
              <w:rPr>
                <w:rFonts w:hint="eastAsia" w:ascii="宋体" w:hAnsi="宋体"/>
                <w:b/>
                <w:color w:val="auto"/>
                <w:kern w:val="2"/>
                <w:sz w:val="21"/>
                <w:szCs w:val="21"/>
                <w:highlight w:val="none"/>
                <w:lang w:val="en-US" w:eastAsia="zh-CN" w:bidi="ar-SA"/>
              </w:rPr>
            </w:pPr>
          </w:p>
        </w:tc>
        <w:tc>
          <w:tcPr>
            <w:tcW w:w="6480" w:type="dxa"/>
            <w:noWrap w:val="0"/>
            <w:vAlign w:val="center"/>
          </w:tcPr>
          <w:p w14:paraId="4FF635E1">
            <w:pPr>
              <w:widowControl/>
              <w:snapToGrid/>
              <w:spacing w:line="360" w:lineRule="auto"/>
              <w:jc w:val="left"/>
              <w:rPr>
                <w:rFonts w:hint="eastAsia" w:ascii="宋体" w:hAnsi="宋体" w:eastAsia="宋体" w:cs="宋体"/>
                <w:color w:val="auto"/>
                <w:highlight w:val="none"/>
                <w:lang w:eastAsia="zh-CN"/>
              </w:rPr>
            </w:pPr>
            <w:r>
              <w:rPr>
                <w:rFonts w:hint="eastAsia" w:ascii="宋体" w:hAnsi="宋体" w:cs="宋体"/>
                <w:b/>
                <w:bCs/>
                <w:color w:val="auto"/>
                <w:sz w:val="28"/>
                <w:szCs w:val="36"/>
                <w:highlight w:val="none"/>
                <w:lang w:val="en-US" w:eastAsia="zh-CN"/>
              </w:rPr>
              <w:t>6分标评分标准：</w:t>
            </w:r>
          </w:p>
          <w:p w14:paraId="7C7F7E13">
            <w:pPr>
              <w:widowControl/>
              <w:snapToGrid/>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在满足采购需求的基础上，</w:t>
            </w:r>
            <w:r>
              <w:rPr>
                <w:rFonts w:hint="eastAsia" w:ascii="宋体" w:hAnsi="宋体" w:eastAsia="宋体" w:cs="宋体"/>
                <w:color w:val="auto"/>
                <w:highlight w:val="none"/>
                <w:lang w:eastAsia="zh-CN"/>
              </w:rPr>
              <w:t>投入项目现场的</w:t>
            </w:r>
            <w:r>
              <w:rPr>
                <w:rFonts w:hint="eastAsia" w:ascii="宋体" w:hAnsi="宋体" w:eastAsia="宋体" w:cs="宋体"/>
                <w:color w:val="auto"/>
                <w:highlight w:val="none"/>
              </w:rPr>
              <w:t>项目负责人具有</w:t>
            </w:r>
            <w:r>
              <w:rPr>
                <w:rFonts w:hint="eastAsia" w:ascii="宋体" w:hAnsi="宋体"/>
                <w:color w:val="auto"/>
                <w:szCs w:val="21"/>
                <w:highlight w:val="none"/>
              </w:rPr>
              <w:t>造价工程师</w:t>
            </w:r>
            <w:r>
              <w:rPr>
                <w:rFonts w:hint="eastAsia" w:ascii="宋体" w:hAnsi="宋体"/>
                <w:color w:val="auto"/>
                <w:szCs w:val="21"/>
                <w:highlight w:val="none"/>
                <w:lang w:val="en-US" w:eastAsia="zh-CN"/>
              </w:rPr>
              <w:t>或</w:t>
            </w:r>
            <w:r>
              <w:rPr>
                <w:rFonts w:hint="eastAsia" w:ascii="宋体" w:hAnsi="宋体" w:eastAsia="宋体" w:cs="宋体"/>
                <w:color w:val="auto"/>
                <w:highlight w:val="none"/>
              </w:rPr>
              <w:t>高级职称的加</w:t>
            </w:r>
            <w:r>
              <w:rPr>
                <w:rFonts w:hint="eastAsia" w:ascii="宋体" w:hAnsi="宋体" w:cs="宋体"/>
                <w:color w:val="auto"/>
                <w:highlight w:val="none"/>
                <w:lang w:val="en-US" w:eastAsia="zh-CN"/>
              </w:rPr>
              <w:t>3</w:t>
            </w:r>
            <w:r>
              <w:rPr>
                <w:rFonts w:hint="eastAsia" w:ascii="宋体" w:hAnsi="宋体" w:eastAsia="宋体" w:cs="宋体"/>
                <w:color w:val="auto"/>
                <w:highlight w:val="none"/>
              </w:rPr>
              <w:t>分；项目负责人具有担任同类审计或审核服务项目负责人业绩的，每个业绩加</w:t>
            </w:r>
            <w:r>
              <w:rPr>
                <w:rFonts w:hint="eastAsia" w:ascii="宋体" w:hAnsi="宋体" w:cs="宋体"/>
                <w:color w:val="auto"/>
                <w:highlight w:val="none"/>
                <w:lang w:val="en-US" w:eastAsia="zh-CN"/>
              </w:rPr>
              <w:t>3</w:t>
            </w:r>
            <w:r>
              <w:rPr>
                <w:rFonts w:hint="eastAsia" w:ascii="宋体" w:hAnsi="宋体" w:eastAsia="宋体" w:cs="宋体"/>
                <w:color w:val="auto"/>
                <w:highlight w:val="none"/>
              </w:rPr>
              <w:t>分，最多加</w:t>
            </w:r>
            <w:r>
              <w:rPr>
                <w:rFonts w:hint="eastAsia" w:ascii="宋体" w:hAnsi="宋体" w:cs="宋体"/>
                <w:color w:val="auto"/>
                <w:highlight w:val="none"/>
                <w:lang w:val="en-US" w:eastAsia="zh-CN"/>
              </w:rPr>
              <w:t>9</w:t>
            </w:r>
            <w:r>
              <w:rPr>
                <w:rFonts w:hint="eastAsia" w:ascii="宋体" w:hAnsi="宋体" w:eastAsia="宋体" w:cs="宋体"/>
                <w:color w:val="auto"/>
                <w:highlight w:val="none"/>
              </w:rPr>
              <w:t>分；此项满分</w:t>
            </w:r>
            <w:r>
              <w:rPr>
                <w:rFonts w:hint="eastAsia" w:ascii="宋体" w:hAnsi="宋体" w:cs="宋体"/>
                <w:color w:val="auto"/>
                <w:highlight w:val="none"/>
                <w:lang w:val="en-US" w:eastAsia="zh-CN"/>
              </w:rPr>
              <w:t>12</w:t>
            </w:r>
            <w:r>
              <w:rPr>
                <w:rFonts w:hint="eastAsia" w:ascii="宋体" w:hAnsi="宋体" w:eastAsia="宋体" w:cs="宋体"/>
                <w:color w:val="auto"/>
                <w:highlight w:val="none"/>
              </w:rPr>
              <w:t>分。</w:t>
            </w:r>
          </w:p>
          <w:p w14:paraId="738BA6D9">
            <w:pPr>
              <w:widowControl/>
              <w:snapToGrid/>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在满足采购需求的基础上，</w:t>
            </w:r>
            <w:r>
              <w:rPr>
                <w:rFonts w:hint="eastAsia" w:ascii="宋体" w:hAnsi="宋体" w:eastAsia="宋体" w:cs="宋体"/>
                <w:color w:val="auto"/>
                <w:highlight w:val="none"/>
                <w:lang w:eastAsia="zh-CN"/>
              </w:rPr>
              <w:t>投入项目现场的</w:t>
            </w:r>
            <w:r>
              <w:rPr>
                <w:rFonts w:hint="eastAsia" w:ascii="宋体" w:hAnsi="宋体" w:eastAsia="宋体" w:cs="宋体"/>
                <w:color w:val="auto"/>
                <w:highlight w:val="none"/>
                <w:lang w:val="en-US" w:eastAsia="zh-CN"/>
              </w:rPr>
              <w:t>其他人员（除项目负责人外）具有</w:t>
            </w:r>
            <w:r>
              <w:rPr>
                <w:rFonts w:hint="eastAsia" w:ascii="宋体" w:hAnsi="宋体" w:eastAsia="宋体" w:cs="宋体"/>
                <w:color w:val="auto"/>
                <w:highlight w:val="none"/>
              </w:rPr>
              <w:t>注册造价工程师</w:t>
            </w:r>
            <w:r>
              <w:rPr>
                <w:rFonts w:hint="eastAsia" w:ascii="宋体" w:hAnsi="宋体" w:eastAsia="宋体" w:cs="宋体"/>
                <w:color w:val="auto"/>
                <w:highlight w:val="none"/>
                <w:lang w:val="en-US" w:eastAsia="zh-CN"/>
              </w:rPr>
              <w:t>或注册会计师或高级职称</w:t>
            </w:r>
            <w:r>
              <w:rPr>
                <w:rFonts w:hint="eastAsia" w:ascii="宋体" w:hAnsi="宋体" w:eastAsia="宋体" w:cs="宋体"/>
                <w:color w:val="auto"/>
                <w:highlight w:val="none"/>
              </w:rPr>
              <w:t>的加</w:t>
            </w:r>
            <w:r>
              <w:rPr>
                <w:rFonts w:hint="eastAsia" w:ascii="宋体" w:hAnsi="宋体" w:cs="宋体"/>
                <w:color w:val="auto"/>
                <w:highlight w:val="none"/>
                <w:lang w:val="en-US" w:eastAsia="zh-CN"/>
              </w:rPr>
              <w:t>3</w:t>
            </w:r>
            <w:r>
              <w:rPr>
                <w:rFonts w:hint="eastAsia" w:ascii="宋体" w:hAnsi="宋体" w:eastAsia="宋体" w:cs="宋体"/>
                <w:color w:val="auto"/>
                <w:highlight w:val="none"/>
              </w:rPr>
              <w:t>分；注册造价工程师</w:t>
            </w:r>
            <w:r>
              <w:rPr>
                <w:rFonts w:hint="eastAsia" w:ascii="宋体" w:hAnsi="宋体" w:eastAsia="宋体" w:cs="宋体"/>
                <w:color w:val="auto"/>
                <w:highlight w:val="none"/>
                <w:lang w:val="en-US" w:eastAsia="zh-CN"/>
              </w:rPr>
              <w:t>或注册会计师</w:t>
            </w:r>
            <w:r>
              <w:rPr>
                <w:rFonts w:hint="eastAsia" w:ascii="宋体" w:hAnsi="宋体" w:eastAsia="宋体" w:cs="宋体"/>
                <w:color w:val="auto"/>
                <w:highlight w:val="none"/>
              </w:rPr>
              <w:t>具有担任同类审计或审核服务项目负责人业绩的，每个业绩加</w:t>
            </w:r>
            <w:r>
              <w:rPr>
                <w:rFonts w:hint="eastAsia" w:ascii="宋体" w:hAnsi="宋体" w:cs="宋体"/>
                <w:color w:val="auto"/>
                <w:highlight w:val="none"/>
                <w:lang w:val="en-US" w:eastAsia="zh-CN"/>
              </w:rPr>
              <w:t>3</w:t>
            </w:r>
            <w:r>
              <w:rPr>
                <w:rFonts w:hint="eastAsia" w:ascii="宋体" w:hAnsi="宋体" w:eastAsia="宋体" w:cs="宋体"/>
                <w:color w:val="auto"/>
                <w:highlight w:val="none"/>
              </w:rPr>
              <w:t>分，最多加</w:t>
            </w:r>
            <w:r>
              <w:rPr>
                <w:rFonts w:hint="eastAsia" w:ascii="宋体" w:hAnsi="宋体" w:cs="宋体"/>
                <w:color w:val="auto"/>
                <w:highlight w:val="none"/>
                <w:lang w:val="en-US" w:eastAsia="zh-CN"/>
              </w:rPr>
              <w:t>9</w:t>
            </w:r>
            <w:r>
              <w:rPr>
                <w:rFonts w:hint="eastAsia" w:ascii="宋体" w:hAnsi="宋体" w:eastAsia="宋体" w:cs="宋体"/>
                <w:color w:val="auto"/>
                <w:highlight w:val="none"/>
              </w:rPr>
              <w:t>分</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此项满分</w:t>
            </w:r>
            <w:r>
              <w:rPr>
                <w:rFonts w:hint="eastAsia" w:ascii="宋体" w:hAnsi="宋体" w:eastAsia="宋体" w:cs="宋体"/>
                <w:color w:val="auto"/>
                <w:highlight w:val="none"/>
                <w:lang w:val="en-US" w:eastAsia="zh-CN"/>
              </w:rPr>
              <w:t>12</w:t>
            </w:r>
            <w:r>
              <w:rPr>
                <w:rFonts w:hint="eastAsia" w:ascii="宋体" w:hAnsi="宋体" w:eastAsia="宋体" w:cs="宋体"/>
                <w:color w:val="auto"/>
                <w:highlight w:val="none"/>
              </w:rPr>
              <w:t>分。</w:t>
            </w:r>
          </w:p>
          <w:p w14:paraId="1923C14A">
            <w:pPr>
              <w:spacing w:line="360" w:lineRule="auto"/>
              <w:jc w:val="left"/>
              <w:rPr>
                <w:rFonts w:hint="eastAsia"/>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在满足采购需求的基础上，</w:t>
            </w:r>
            <w:r>
              <w:rPr>
                <w:rFonts w:hint="eastAsia" w:ascii="宋体" w:hAnsi="宋体" w:eastAsia="宋体" w:cs="宋体"/>
                <w:color w:val="auto"/>
                <w:highlight w:val="none"/>
                <w:lang w:eastAsia="zh-CN"/>
              </w:rPr>
              <w:t>投入本项目现场的</w:t>
            </w:r>
            <w:r>
              <w:rPr>
                <w:rFonts w:hint="eastAsia" w:ascii="宋体" w:hAnsi="宋体" w:eastAsia="宋体" w:cs="宋体"/>
                <w:color w:val="auto"/>
                <w:highlight w:val="none"/>
              </w:rPr>
              <w:t>其他人员，具有</w:t>
            </w:r>
            <w:r>
              <w:rPr>
                <w:rFonts w:hint="eastAsia" w:ascii="宋体" w:hAnsi="宋体" w:cs="宋体"/>
                <w:color w:val="auto"/>
                <w:highlight w:val="none"/>
                <w:lang w:eastAsia="zh-CN"/>
              </w:rPr>
              <w:t>会计类或审计类或经济类</w:t>
            </w:r>
            <w:r>
              <w:rPr>
                <w:rFonts w:hint="eastAsia" w:ascii="宋体" w:hAnsi="宋体" w:eastAsia="宋体" w:cs="宋体"/>
                <w:color w:val="auto"/>
                <w:highlight w:val="none"/>
              </w:rPr>
              <w:t>高级职称的，每人加1</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分，最多加</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分。</w:t>
            </w:r>
          </w:p>
          <w:p w14:paraId="005FB236">
            <w:pPr>
              <w:widowControl/>
              <w:snapToGrid/>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在满足采购需求的基础上，</w:t>
            </w:r>
            <w:r>
              <w:rPr>
                <w:rFonts w:hint="eastAsia" w:ascii="宋体" w:hAnsi="宋体" w:eastAsia="宋体" w:cs="宋体"/>
                <w:color w:val="auto"/>
                <w:highlight w:val="none"/>
                <w:lang w:eastAsia="zh-CN"/>
              </w:rPr>
              <w:t>投入本项目现场的</w:t>
            </w:r>
            <w:r>
              <w:rPr>
                <w:rFonts w:hint="eastAsia" w:ascii="宋体" w:hAnsi="宋体" w:eastAsia="宋体" w:cs="宋体"/>
                <w:color w:val="auto"/>
                <w:highlight w:val="none"/>
              </w:rPr>
              <w:t>其他人员，具有</w:t>
            </w:r>
            <w:r>
              <w:rPr>
                <w:rFonts w:hint="eastAsia" w:ascii="宋体" w:hAnsi="宋体" w:cs="宋体"/>
                <w:color w:val="auto"/>
                <w:highlight w:val="none"/>
                <w:lang w:eastAsia="zh-CN"/>
              </w:rPr>
              <w:t>会计类或审计类或经济类</w:t>
            </w:r>
            <w:r>
              <w:rPr>
                <w:rFonts w:hint="eastAsia" w:ascii="宋体" w:hAnsi="宋体" w:eastAsia="宋体" w:cs="宋体"/>
                <w:color w:val="auto"/>
                <w:highlight w:val="none"/>
              </w:rPr>
              <w:t>中级职称的，每人加1分，最多加</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分。</w:t>
            </w:r>
          </w:p>
          <w:p w14:paraId="32FC40FD">
            <w:pPr>
              <w:widowControl/>
              <w:snapToGrid/>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在满足采购需求的基础上，</w:t>
            </w:r>
            <w:r>
              <w:rPr>
                <w:rFonts w:hint="eastAsia" w:ascii="宋体" w:hAnsi="宋体" w:eastAsia="宋体" w:cs="宋体"/>
                <w:color w:val="auto"/>
                <w:highlight w:val="none"/>
                <w:lang w:eastAsia="zh-CN"/>
              </w:rPr>
              <w:t>投入本项目现场的</w:t>
            </w:r>
            <w:r>
              <w:rPr>
                <w:rFonts w:hint="eastAsia" w:ascii="宋体" w:hAnsi="宋体" w:eastAsia="宋体" w:cs="宋体"/>
                <w:color w:val="auto"/>
                <w:highlight w:val="none"/>
              </w:rPr>
              <w:t>人员，每增加1名具有</w:t>
            </w:r>
            <w:r>
              <w:rPr>
                <w:rFonts w:hint="eastAsia" w:ascii="宋体" w:hAnsi="宋体" w:cs="宋体"/>
                <w:color w:val="auto"/>
                <w:highlight w:val="none"/>
                <w:lang w:eastAsia="zh-CN"/>
              </w:rPr>
              <w:t>会计类或审计类或经济类</w:t>
            </w:r>
            <w:r>
              <w:rPr>
                <w:rFonts w:hint="eastAsia" w:ascii="宋体" w:hAnsi="宋体" w:eastAsia="宋体" w:cs="宋体"/>
                <w:color w:val="auto"/>
                <w:highlight w:val="none"/>
              </w:rPr>
              <w:t>初级职称的，每增加1名加0.5分，最多加3分；</w:t>
            </w:r>
          </w:p>
          <w:p w14:paraId="7025BFAD">
            <w:pPr>
              <w:widowControl/>
              <w:snapToGrid/>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lang w:eastAsia="zh-CN"/>
              </w:rPr>
              <w:t>）投入本项目现场的人员中具有中国注册会计师资格或国际注册内部审计师资格的，每个加</w:t>
            </w:r>
            <w:r>
              <w:rPr>
                <w:rFonts w:hint="eastAsia" w:ascii="宋体" w:hAnsi="宋体" w:eastAsia="宋体" w:cs="宋体"/>
                <w:color w:val="auto"/>
                <w:highlight w:val="none"/>
                <w:lang w:val="en-US" w:eastAsia="zh-CN"/>
              </w:rPr>
              <w:t>1.5</w:t>
            </w:r>
            <w:r>
              <w:rPr>
                <w:rFonts w:hint="eastAsia" w:ascii="宋体" w:hAnsi="宋体" w:eastAsia="宋体" w:cs="宋体"/>
                <w:color w:val="auto"/>
                <w:highlight w:val="none"/>
                <w:lang w:eastAsia="zh-CN"/>
              </w:rPr>
              <w:t>分，最多加</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分。</w:t>
            </w:r>
          </w:p>
          <w:p w14:paraId="6894D13A">
            <w:pPr>
              <w:widowControl/>
              <w:snapToGrid/>
              <w:spacing w:line="360" w:lineRule="auto"/>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eastAsia="zh-CN"/>
              </w:rPr>
              <w:t>注：</w:t>
            </w:r>
            <w:r>
              <w:rPr>
                <w:rFonts w:hint="eastAsia" w:ascii="宋体" w:hAnsi="宋体" w:eastAsia="宋体" w:cs="宋体"/>
                <w:color w:val="auto"/>
                <w:highlight w:val="none"/>
                <w:lang w:val="en-US" w:eastAsia="zh-CN"/>
              </w:rPr>
              <w:t>1.以上人员不重复计分；2.须提供拟投入的工作组成员一览表，所有人员须为供应商本单位人员，且须提供拟投入人员的专业技能或资格证书、供应商为拟投入人员缴纳的</w:t>
            </w:r>
            <w:r>
              <w:rPr>
                <w:rFonts w:hint="eastAsia" w:ascii="宋体" w:hAnsi="宋体" w:cs="宋体"/>
                <w:color w:val="auto"/>
                <w:highlight w:val="none"/>
                <w:lang w:val="en-US" w:eastAsia="zh-CN"/>
              </w:rPr>
              <w:t>2025年11月-2026年4月</w:t>
            </w:r>
            <w:r>
              <w:rPr>
                <w:rFonts w:hint="eastAsia" w:ascii="宋体" w:hAnsi="宋体" w:eastAsia="宋体" w:cs="宋体"/>
                <w:color w:val="auto"/>
                <w:highlight w:val="none"/>
                <w:lang w:val="en-US" w:eastAsia="zh-CN"/>
              </w:rPr>
              <w:t>内任意连续 3 个月的社保缴费证明或《投保单》或单位代缴个人所得税税单等复印件（加盖公章）或提供供应商与拟投入本项目团队成员签订的劳务合同复印件（法定代表人除外</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。3.须提供能够体现担任同类审计或审核服务项目（指与对应分标采购内容相同的项目）负责人的业绩证明等材料。上述材料不提供不计分。</w:t>
            </w:r>
          </w:p>
        </w:tc>
      </w:tr>
      <w:tr w14:paraId="7E84A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47" w:type="dxa"/>
            <w:vMerge w:val="continue"/>
            <w:noWrap w:val="0"/>
            <w:vAlign w:val="center"/>
          </w:tcPr>
          <w:p w14:paraId="0D33F6CA">
            <w:pPr>
              <w:adjustRightInd w:val="0"/>
              <w:snapToGrid w:val="0"/>
              <w:spacing w:line="360" w:lineRule="atLeast"/>
              <w:jc w:val="center"/>
              <w:textAlignment w:val="baseline"/>
              <w:rPr>
                <w:rFonts w:hint="eastAsia" w:ascii="宋体" w:hAnsi="宋体"/>
                <w:color w:val="auto"/>
                <w:szCs w:val="22"/>
                <w:highlight w:val="none"/>
              </w:rPr>
            </w:pPr>
          </w:p>
        </w:tc>
        <w:tc>
          <w:tcPr>
            <w:tcW w:w="770" w:type="dxa"/>
            <w:vMerge w:val="continue"/>
            <w:noWrap w:val="0"/>
            <w:vAlign w:val="center"/>
          </w:tcPr>
          <w:p w14:paraId="2692B303">
            <w:pPr>
              <w:adjustRightInd w:val="0"/>
              <w:snapToGrid w:val="0"/>
              <w:spacing w:line="360" w:lineRule="atLeast"/>
              <w:jc w:val="center"/>
              <w:textAlignment w:val="baseline"/>
              <w:rPr>
                <w:rFonts w:hint="eastAsia" w:ascii="宋体" w:hAnsi="宋体" w:cs="Courier New"/>
                <w:bCs/>
                <w:color w:val="auto"/>
                <w:szCs w:val="22"/>
                <w:highlight w:val="none"/>
              </w:rPr>
            </w:pPr>
          </w:p>
        </w:tc>
        <w:tc>
          <w:tcPr>
            <w:tcW w:w="1242" w:type="dxa"/>
            <w:vMerge w:val="continue"/>
            <w:noWrap w:val="0"/>
            <w:vAlign w:val="center"/>
          </w:tcPr>
          <w:p w14:paraId="1C00429B">
            <w:pPr>
              <w:snapToGrid w:val="0"/>
              <w:spacing w:line="440" w:lineRule="exact"/>
              <w:jc w:val="center"/>
              <w:rPr>
                <w:rFonts w:hint="eastAsia" w:ascii="宋体" w:hAnsi="宋体"/>
                <w:b/>
                <w:color w:val="auto"/>
                <w:kern w:val="2"/>
                <w:sz w:val="21"/>
                <w:szCs w:val="21"/>
                <w:highlight w:val="none"/>
                <w:lang w:val="en-US" w:eastAsia="zh-CN" w:bidi="ar-SA"/>
              </w:rPr>
            </w:pPr>
          </w:p>
        </w:tc>
        <w:tc>
          <w:tcPr>
            <w:tcW w:w="6480" w:type="dxa"/>
            <w:noWrap w:val="0"/>
            <w:vAlign w:val="center"/>
          </w:tcPr>
          <w:p w14:paraId="0C8CB513">
            <w:pPr>
              <w:widowControl/>
              <w:snapToGrid/>
              <w:spacing w:line="360" w:lineRule="auto"/>
              <w:jc w:val="left"/>
              <w:rPr>
                <w:rFonts w:hint="eastAsia" w:ascii="宋体" w:hAnsi="宋体" w:eastAsia="宋体" w:cs="宋体"/>
                <w:color w:val="auto"/>
                <w:highlight w:val="none"/>
                <w:lang w:eastAsia="zh-CN"/>
              </w:rPr>
            </w:pPr>
            <w:r>
              <w:rPr>
                <w:rFonts w:hint="eastAsia" w:ascii="宋体" w:hAnsi="宋体" w:cs="宋体"/>
                <w:b/>
                <w:bCs/>
                <w:color w:val="auto"/>
                <w:sz w:val="28"/>
                <w:szCs w:val="36"/>
                <w:highlight w:val="none"/>
                <w:lang w:val="en-US" w:eastAsia="zh-CN"/>
              </w:rPr>
              <w:t>7分标评分标准：</w:t>
            </w:r>
          </w:p>
          <w:p w14:paraId="176E104D">
            <w:pPr>
              <w:widowControl/>
              <w:snapToGrid/>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在满足采购需求的基础上，</w:t>
            </w:r>
            <w:r>
              <w:rPr>
                <w:rFonts w:hint="eastAsia" w:ascii="宋体" w:hAnsi="宋体" w:eastAsia="宋体" w:cs="宋体"/>
                <w:color w:val="auto"/>
                <w:highlight w:val="none"/>
                <w:lang w:eastAsia="zh-CN"/>
              </w:rPr>
              <w:t>投入项目现场的</w:t>
            </w:r>
            <w:r>
              <w:rPr>
                <w:rFonts w:hint="eastAsia" w:ascii="宋体" w:hAnsi="宋体" w:eastAsia="宋体" w:cs="宋体"/>
                <w:color w:val="auto"/>
                <w:highlight w:val="none"/>
              </w:rPr>
              <w:t>项目负责人具有</w:t>
            </w:r>
            <w:r>
              <w:rPr>
                <w:rFonts w:hint="eastAsia" w:ascii="宋体" w:hAnsi="宋体"/>
                <w:color w:val="auto"/>
                <w:szCs w:val="21"/>
                <w:highlight w:val="none"/>
              </w:rPr>
              <w:t>造价工程师</w:t>
            </w:r>
            <w:r>
              <w:rPr>
                <w:rFonts w:hint="eastAsia" w:ascii="宋体" w:hAnsi="宋体"/>
                <w:color w:val="auto"/>
                <w:szCs w:val="21"/>
                <w:highlight w:val="none"/>
                <w:lang w:val="en-US" w:eastAsia="zh-CN"/>
              </w:rPr>
              <w:t>或</w:t>
            </w:r>
            <w:r>
              <w:rPr>
                <w:rFonts w:hint="eastAsia" w:ascii="宋体" w:hAnsi="宋体" w:eastAsia="宋体" w:cs="宋体"/>
                <w:color w:val="auto"/>
                <w:highlight w:val="none"/>
              </w:rPr>
              <w:t>高级职称的加</w:t>
            </w:r>
            <w:r>
              <w:rPr>
                <w:rFonts w:hint="eastAsia" w:ascii="宋体" w:hAnsi="宋体" w:cs="宋体"/>
                <w:color w:val="auto"/>
                <w:highlight w:val="none"/>
                <w:lang w:val="en-US" w:eastAsia="zh-CN"/>
              </w:rPr>
              <w:t>3</w:t>
            </w:r>
            <w:r>
              <w:rPr>
                <w:rFonts w:hint="eastAsia" w:ascii="宋体" w:hAnsi="宋体" w:eastAsia="宋体" w:cs="宋体"/>
                <w:color w:val="auto"/>
                <w:highlight w:val="none"/>
              </w:rPr>
              <w:t>分；项目负责人具有担任同类审计或审核服务项目负责人业绩的，每个业绩加</w:t>
            </w:r>
            <w:r>
              <w:rPr>
                <w:rFonts w:hint="eastAsia" w:ascii="宋体" w:hAnsi="宋体" w:cs="宋体"/>
                <w:color w:val="auto"/>
                <w:highlight w:val="none"/>
                <w:lang w:val="en-US" w:eastAsia="zh-CN"/>
              </w:rPr>
              <w:t>3</w:t>
            </w:r>
            <w:r>
              <w:rPr>
                <w:rFonts w:hint="eastAsia" w:ascii="宋体" w:hAnsi="宋体" w:eastAsia="宋体" w:cs="宋体"/>
                <w:color w:val="auto"/>
                <w:highlight w:val="none"/>
              </w:rPr>
              <w:t>分，最多加</w:t>
            </w:r>
            <w:r>
              <w:rPr>
                <w:rFonts w:hint="eastAsia" w:ascii="宋体" w:hAnsi="宋体" w:cs="宋体"/>
                <w:color w:val="auto"/>
                <w:highlight w:val="none"/>
                <w:lang w:val="en-US" w:eastAsia="zh-CN"/>
              </w:rPr>
              <w:t>9</w:t>
            </w:r>
            <w:r>
              <w:rPr>
                <w:rFonts w:hint="eastAsia" w:ascii="宋体" w:hAnsi="宋体" w:eastAsia="宋体" w:cs="宋体"/>
                <w:color w:val="auto"/>
                <w:highlight w:val="none"/>
              </w:rPr>
              <w:t>分；此项满分</w:t>
            </w:r>
            <w:r>
              <w:rPr>
                <w:rFonts w:hint="eastAsia" w:ascii="宋体" w:hAnsi="宋体" w:cs="宋体"/>
                <w:color w:val="auto"/>
                <w:highlight w:val="none"/>
                <w:lang w:val="en-US" w:eastAsia="zh-CN"/>
              </w:rPr>
              <w:t>12</w:t>
            </w:r>
            <w:r>
              <w:rPr>
                <w:rFonts w:hint="eastAsia" w:ascii="宋体" w:hAnsi="宋体" w:eastAsia="宋体" w:cs="宋体"/>
                <w:color w:val="auto"/>
                <w:highlight w:val="none"/>
              </w:rPr>
              <w:t>分。</w:t>
            </w:r>
          </w:p>
          <w:p w14:paraId="0D6A3204">
            <w:pPr>
              <w:widowControl/>
              <w:snapToGrid/>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在满足采购需求的基础上，</w:t>
            </w:r>
            <w:r>
              <w:rPr>
                <w:rFonts w:hint="eastAsia" w:ascii="宋体" w:hAnsi="宋体" w:eastAsia="宋体" w:cs="宋体"/>
                <w:color w:val="auto"/>
                <w:highlight w:val="none"/>
                <w:lang w:eastAsia="zh-CN"/>
              </w:rPr>
              <w:t>投入项目现场的</w:t>
            </w:r>
            <w:r>
              <w:rPr>
                <w:rFonts w:hint="eastAsia" w:ascii="宋体" w:hAnsi="宋体" w:eastAsia="宋体" w:cs="宋体"/>
                <w:color w:val="auto"/>
                <w:highlight w:val="none"/>
                <w:lang w:val="en-US" w:eastAsia="zh-CN"/>
              </w:rPr>
              <w:t>其他人员（除项目负责人外）具有</w:t>
            </w:r>
            <w:r>
              <w:rPr>
                <w:rFonts w:hint="eastAsia" w:ascii="宋体" w:hAnsi="宋体" w:eastAsia="宋体" w:cs="宋体"/>
                <w:color w:val="auto"/>
                <w:highlight w:val="none"/>
              </w:rPr>
              <w:t>注册造价工程师</w:t>
            </w:r>
            <w:r>
              <w:rPr>
                <w:rFonts w:hint="eastAsia" w:ascii="宋体" w:hAnsi="宋体" w:eastAsia="宋体" w:cs="宋体"/>
                <w:color w:val="auto"/>
                <w:highlight w:val="none"/>
                <w:lang w:val="en-US" w:eastAsia="zh-CN"/>
              </w:rPr>
              <w:t>或注册会计师或高级职称</w:t>
            </w:r>
            <w:r>
              <w:rPr>
                <w:rFonts w:hint="eastAsia" w:ascii="宋体" w:hAnsi="宋体" w:eastAsia="宋体" w:cs="宋体"/>
                <w:color w:val="auto"/>
                <w:highlight w:val="none"/>
              </w:rPr>
              <w:t>的加</w:t>
            </w:r>
            <w:r>
              <w:rPr>
                <w:rFonts w:hint="eastAsia" w:ascii="宋体" w:hAnsi="宋体" w:cs="宋体"/>
                <w:color w:val="auto"/>
                <w:highlight w:val="none"/>
                <w:lang w:val="en-US" w:eastAsia="zh-CN"/>
              </w:rPr>
              <w:t>3</w:t>
            </w:r>
            <w:r>
              <w:rPr>
                <w:rFonts w:hint="eastAsia" w:ascii="宋体" w:hAnsi="宋体" w:eastAsia="宋体" w:cs="宋体"/>
                <w:color w:val="auto"/>
                <w:highlight w:val="none"/>
              </w:rPr>
              <w:t>分；注册造价工程师</w:t>
            </w:r>
            <w:r>
              <w:rPr>
                <w:rFonts w:hint="eastAsia" w:ascii="宋体" w:hAnsi="宋体" w:eastAsia="宋体" w:cs="宋体"/>
                <w:color w:val="auto"/>
                <w:highlight w:val="none"/>
                <w:lang w:val="en-US" w:eastAsia="zh-CN"/>
              </w:rPr>
              <w:t>或注册会计师</w:t>
            </w:r>
            <w:r>
              <w:rPr>
                <w:rFonts w:hint="eastAsia" w:ascii="宋体" w:hAnsi="宋体" w:eastAsia="宋体" w:cs="宋体"/>
                <w:color w:val="auto"/>
                <w:highlight w:val="none"/>
              </w:rPr>
              <w:t>具有担任同类审计或审核服务项目负责人业绩的，每个业绩加</w:t>
            </w:r>
            <w:r>
              <w:rPr>
                <w:rFonts w:hint="eastAsia" w:ascii="宋体" w:hAnsi="宋体" w:cs="宋体"/>
                <w:color w:val="auto"/>
                <w:highlight w:val="none"/>
                <w:lang w:val="en-US" w:eastAsia="zh-CN"/>
              </w:rPr>
              <w:t>3</w:t>
            </w:r>
            <w:r>
              <w:rPr>
                <w:rFonts w:hint="eastAsia" w:ascii="宋体" w:hAnsi="宋体" w:eastAsia="宋体" w:cs="宋体"/>
                <w:color w:val="auto"/>
                <w:highlight w:val="none"/>
              </w:rPr>
              <w:t>分，最多加</w:t>
            </w:r>
            <w:r>
              <w:rPr>
                <w:rFonts w:hint="eastAsia" w:ascii="宋体" w:hAnsi="宋体" w:cs="宋体"/>
                <w:color w:val="auto"/>
                <w:highlight w:val="none"/>
                <w:lang w:val="en-US" w:eastAsia="zh-CN"/>
              </w:rPr>
              <w:t>9</w:t>
            </w:r>
            <w:r>
              <w:rPr>
                <w:rFonts w:hint="eastAsia" w:ascii="宋体" w:hAnsi="宋体" w:eastAsia="宋体" w:cs="宋体"/>
                <w:color w:val="auto"/>
                <w:highlight w:val="none"/>
              </w:rPr>
              <w:t>分</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此项满分</w:t>
            </w:r>
            <w:r>
              <w:rPr>
                <w:rFonts w:hint="eastAsia" w:ascii="宋体" w:hAnsi="宋体" w:eastAsia="宋体" w:cs="宋体"/>
                <w:color w:val="auto"/>
                <w:highlight w:val="none"/>
                <w:lang w:val="en-US" w:eastAsia="zh-CN"/>
              </w:rPr>
              <w:t>12</w:t>
            </w:r>
            <w:r>
              <w:rPr>
                <w:rFonts w:hint="eastAsia" w:ascii="宋体" w:hAnsi="宋体" w:eastAsia="宋体" w:cs="宋体"/>
                <w:color w:val="auto"/>
                <w:highlight w:val="none"/>
              </w:rPr>
              <w:t>分。</w:t>
            </w:r>
          </w:p>
          <w:p w14:paraId="4E9987EF">
            <w:pPr>
              <w:spacing w:line="360" w:lineRule="auto"/>
              <w:jc w:val="left"/>
              <w:rPr>
                <w:rFonts w:hint="eastAsia"/>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在满足采购需求的基础上，</w:t>
            </w:r>
            <w:r>
              <w:rPr>
                <w:rFonts w:hint="eastAsia" w:ascii="宋体" w:hAnsi="宋体" w:eastAsia="宋体" w:cs="宋体"/>
                <w:color w:val="auto"/>
                <w:highlight w:val="none"/>
                <w:lang w:eastAsia="zh-CN"/>
              </w:rPr>
              <w:t>投入本项目现场的</w:t>
            </w:r>
            <w:r>
              <w:rPr>
                <w:rFonts w:hint="eastAsia" w:ascii="宋体" w:hAnsi="宋体" w:eastAsia="宋体" w:cs="宋体"/>
                <w:color w:val="auto"/>
                <w:highlight w:val="none"/>
              </w:rPr>
              <w:t>其他人员，具有</w:t>
            </w:r>
            <w:r>
              <w:rPr>
                <w:rFonts w:hint="eastAsia" w:ascii="宋体" w:hAnsi="宋体" w:cs="宋体"/>
                <w:color w:val="auto"/>
                <w:highlight w:val="none"/>
                <w:lang w:eastAsia="zh-CN"/>
              </w:rPr>
              <w:t>会计类或审计类或经济类</w:t>
            </w:r>
            <w:r>
              <w:rPr>
                <w:rFonts w:hint="eastAsia" w:ascii="宋体" w:hAnsi="宋体" w:eastAsia="宋体" w:cs="宋体"/>
                <w:color w:val="auto"/>
                <w:highlight w:val="none"/>
              </w:rPr>
              <w:t>高级职称的，每人加1</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分，最多加</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分。</w:t>
            </w:r>
          </w:p>
          <w:p w14:paraId="79F3C1C2">
            <w:pPr>
              <w:widowControl/>
              <w:snapToGrid/>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在满足采购需求的基础上，</w:t>
            </w:r>
            <w:r>
              <w:rPr>
                <w:rFonts w:hint="eastAsia" w:ascii="宋体" w:hAnsi="宋体" w:eastAsia="宋体" w:cs="宋体"/>
                <w:color w:val="auto"/>
                <w:highlight w:val="none"/>
                <w:lang w:eastAsia="zh-CN"/>
              </w:rPr>
              <w:t>投入本项目现场的</w:t>
            </w:r>
            <w:r>
              <w:rPr>
                <w:rFonts w:hint="eastAsia" w:ascii="宋体" w:hAnsi="宋体" w:eastAsia="宋体" w:cs="宋体"/>
                <w:color w:val="auto"/>
                <w:highlight w:val="none"/>
              </w:rPr>
              <w:t>其他人员，具有</w:t>
            </w:r>
            <w:r>
              <w:rPr>
                <w:rFonts w:hint="eastAsia" w:ascii="宋体" w:hAnsi="宋体" w:cs="宋体"/>
                <w:color w:val="auto"/>
                <w:highlight w:val="none"/>
                <w:lang w:eastAsia="zh-CN"/>
              </w:rPr>
              <w:t>会计类或审计类或经济类</w:t>
            </w:r>
            <w:r>
              <w:rPr>
                <w:rFonts w:hint="eastAsia" w:ascii="宋体" w:hAnsi="宋体" w:eastAsia="宋体" w:cs="宋体"/>
                <w:color w:val="auto"/>
                <w:highlight w:val="none"/>
              </w:rPr>
              <w:t>中级职称的，每人加1分，最多加</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分。</w:t>
            </w:r>
          </w:p>
          <w:p w14:paraId="5FA5E778">
            <w:pPr>
              <w:widowControl/>
              <w:snapToGrid/>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在满足采购需求的基础上，</w:t>
            </w:r>
            <w:r>
              <w:rPr>
                <w:rFonts w:hint="eastAsia" w:ascii="宋体" w:hAnsi="宋体" w:eastAsia="宋体" w:cs="宋体"/>
                <w:color w:val="auto"/>
                <w:highlight w:val="none"/>
                <w:lang w:eastAsia="zh-CN"/>
              </w:rPr>
              <w:t>投入本项目现场的</w:t>
            </w:r>
            <w:r>
              <w:rPr>
                <w:rFonts w:hint="eastAsia" w:ascii="宋体" w:hAnsi="宋体" w:eastAsia="宋体" w:cs="宋体"/>
                <w:color w:val="auto"/>
                <w:highlight w:val="none"/>
              </w:rPr>
              <w:t>人员，每增加1名具有</w:t>
            </w:r>
            <w:r>
              <w:rPr>
                <w:rFonts w:hint="eastAsia" w:ascii="宋体" w:hAnsi="宋体" w:cs="宋体"/>
                <w:color w:val="auto"/>
                <w:highlight w:val="none"/>
                <w:lang w:eastAsia="zh-CN"/>
              </w:rPr>
              <w:t>会计类或审计类或经济类</w:t>
            </w:r>
            <w:r>
              <w:rPr>
                <w:rFonts w:hint="eastAsia" w:ascii="宋体" w:hAnsi="宋体" w:eastAsia="宋体" w:cs="宋体"/>
                <w:color w:val="auto"/>
                <w:highlight w:val="none"/>
              </w:rPr>
              <w:t>初级职称的，每增加1名加0.5分，最多加3分；</w:t>
            </w:r>
          </w:p>
          <w:p w14:paraId="0D461ACB">
            <w:pPr>
              <w:widowControl/>
              <w:snapToGrid/>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lang w:eastAsia="zh-CN"/>
              </w:rPr>
              <w:t>）投入本项目现场的人员中具有中国注册会计师资格或国际注册内部审计师资格的，每个加</w:t>
            </w:r>
            <w:r>
              <w:rPr>
                <w:rFonts w:hint="eastAsia" w:ascii="宋体" w:hAnsi="宋体" w:eastAsia="宋体" w:cs="宋体"/>
                <w:color w:val="auto"/>
                <w:highlight w:val="none"/>
                <w:lang w:val="en-US" w:eastAsia="zh-CN"/>
              </w:rPr>
              <w:t>1.5</w:t>
            </w:r>
            <w:r>
              <w:rPr>
                <w:rFonts w:hint="eastAsia" w:ascii="宋体" w:hAnsi="宋体" w:eastAsia="宋体" w:cs="宋体"/>
                <w:color w:val="auto"/>
                <w:highlight w:val="none"/>
                <w:lang w:eastAsia="zh-CN"/>
              </w:rPr>
              <w:t>分，最多加</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分。</w:t>
            </w:r>
          </w:p>
          <w:p w14:paraId="4B52898F">
            <w:pPr>
              <w:widowControl/>
              <w:snapToGrid/>
              <w:spacing w:line="360" w:lineRule="auto"/>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eastAsia="zh-CN"/>
              </w:rPr>
              <w:t>注：</w:t>
            </w:r>
            <w:r>
              <w:rPr>
                <w:rFonts w:hint="eastAsia" w:ascii="宋体" w:hAnsi="宋体" w:eastAsia="宋体" w:cs="宋体"/>
                <w:color w:val="auto"/>
                <w:highlight w:val="none"/>
                <w:lang w:val="en-US" w:eastAsia="zh-CN"/>
              </w:rPr>
              <w:t>1.以上人员不重复计分；2.须提供拟投入的工作组成员一览表，所有人员须为供应商本单位人员，且须提供拟投入人员的专业技能或资格证书、供应商为拟投入人员缴纳的</w:t>
            </w:r>
            <w:r>
              <w:rPr>
                <w:rFonts w:hint="eastAsia" w:ascii="宋体" w:hAnsi="宋体" w:cs="宋体"/>
                <w:color w:val="auto"/>
                <w:highlight w:val="none"/>
                <w:lang w:val="en-US" w:eastAsia="zh-CN"/>
              </w:rPr>
              <w:t>2025年11月-2026年4月</w:t>
            </w:r>
            <w:r>
              <w:rPr>
                <w:rFonts w:hint="eastAsia" w:ascii="宋体" w:hAnsi="宋体" w:eastAsia="宋体" w:cs="宋体"/>
                <w:color w:val="auto"/>
                <w:highlight w:val="none"/>
                <w:lang w:val="en-US" w:eastAsia="zh-CN"/>
              </w:rPr>
              <w:t>内任意连续 3 个月的社保缴费证明或《投保单》或单位代缴个人所得税税单等复印件（加盖公章）或提供供应商与拟投入本项目团队成员签订的劳务合同复印件（法定代表人除外</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。3.须提供能够体现担任同类审计或审核服务项目（指与对应分标采购内容相同的项目）负责人的业绩证明等材料。上述材料不提供不计分。</w:t>
            </w:r>
          </w:p>
        </w:tc>
      </w:tr>
      <w:tr w14:paraId="0A96F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547" w:type="dxa"/>
            <w:vMerge w:val="continue"/>
            <w:noWrap w:val="0"/>
            <w:vAlign w:val="center"/>
          </w:tcPr>
          <w:p w14:paraId="38D1FC75">
            <w:pPr>
              <w:adjustRightInd w:val="0"/>
              <w:snapToGrid w:val="0"/>
              <w:spacing w:line="360" w:lineRule="atLeast"/>
              <w:jc w:val="center"/>
              <w:textAlignment w:val="baseline"/>
              <w:rPr>
                <w:rFonts w:hint="eastAsia" w:ascii="宋体" w:hAnsi="宋体"/>
                <w:color w:val="auto"/>
                <w:szCs w:val="22"/>
                <w:highlight w:val="none"/>
              </w:rPr>
            </w:pPr>
          </w:p>
        </w:tc>
        <w:tc>
          <w:tcPr>
            <w:tcW w:w="770" w:type="dxa"/>
            <w:vMerge w:val="continue"/>
            <w:noWrap w:val="0"/>
            <w:vAlign w:val="center"/>
          </w:tcPr>
          <w:p w14:paraId="02FC3169">
            <w:pPr>
              <w:adjustRightInd w:val="0"/>
              <w:snapToGrid w:val="0"/>
              <w:spacing w:line="360" w:lineRule="atLeast"/>
              <w:jc w:val="center"/>
              <w:textAlignment w:val="baseline"/>
              <w:rPr>
                <w:rFonts w:hint="eastAsia" w:ascii="宋体" w:hAnsi="宋体" w:cs="Courier New"/>
                <w:bCs/>
                <w:color w:val="auto"/>
                <w:szCs w:val="22"/>
                <w:highlight w:val="none"/>
              </w:rPr>
            </w:pPr>
          </w:p>
        </w:tc>
        <w:tc>
          <w:tcPr>
            <w:tcW w:w="1242" w:type="dxa"/>
            <w:vMerge w:val="continue"/>
            <w:noWrap w:val="0"/>
            <w:vAlign w:val="center"/>
          </w:tcPr>
          <w:p w14:paraId="5749EE91">
            <w:pPr>
              <w:snapToGrid w:val="0"/>
              <w:spacing w:line="440" w:lineRule="exact"/>
              <w:jc w:val="center"/>
              <w:rPr>
                <w:rFonts w:hint="eastAsia" w:ascii="宋体" w:hAnsi="宋体"/>
                <w:b/>
                <w:color w:val="auto"/>
                <w:kern w:val="2"/>
                <w:sz w:val="21"/>
                <w:szCs w:val="21"/>
                <w:highlight w:val="none"/>
                <w:lang w:val="en-US" w:eastAsia="zh-CN" w:bidi="ar-SA"/>
              </w:rPr>
            </w:pPr>
          </w:p>
        </w:tc>
        <w:tc>
          <w:tcPr>
            <w:tcW w:w="6480" w:type="dxa"/>
            <w:noWrap w:val="0"/>
            <w:vAlign w:val="center"/>
          </w:tcPr>
          <w:p w14:paraId="272FD62E">
            <w:pPr>
              <w:widowControl/>
              <w:snapToGrid/>
              <w:spacing w:line="360" w:lineRule="auto"/>
              <w:jc w:val="left"/>
              <w:rPr>
                <w:rFonts w:hint="eastAsia" w:ascii="宋体" w:hAnsi="宋体" w:eastAsia="宋体" w:cs="宋体"/>
                <w:color w:val="auto"/>
                <w:highlight w:val="none"/>
                <w:lang w:eastAsia="zh-CN"/>
              </w:rPr>
            </w:pPr>
            <w:r>
              <w:rPr>
                <w:rFonts w:hint="eastAsia" w:ascii="宋体" w:hAnsi="宋体" w:cs="宋体"/>
                <w:b/>
                <w:bCs/>
                <w:color w:val="auto"/>
                <w:sz w:val="28"/>
                <w:szCs w:val="36"/>
                <w:highlight w:val="none"/>
                <w:lang w:val="en-US" w:eastAsia="zh-CN"/>
              </w:rPr>
              <w:t>8分标评分标准：</w:t>
            </w:r>
          </w:p>
          <w:p w14:paraId="29D0A21F">
            <w:pPr>
              <w:widowControl/>
              <w:snapToGrid/>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在满足采购需求的基础上，</w:t>
            </w:r>
            <w:r>
              <w:rPr>
                <w:rFonts w:hint="eastAsia" w:ascii="宋体" w:hAnsi="宋体" w:eastAsia="宋体" w:cs="宋体"/>
                <w:color w:val="auto"/>
                <w:highlight w:val="none"/>
                <w:lang w:eastAsia="zh-CN"/>
              </w:rPr>
              <w:t>投入项目现场的</w:t>
            </w:r>
            <w:r>
              <w:rPr>
                <w:rFonts w:hint="eastAsia" w:ascii="宋体" w:hAnsi="宋体" w:eastAsia="宋体" w:cs="宋体"/>
                <w:color w:val="auto"/>
                <w:highlight w:val="none"/>
              </w:rPr>
              <w:t>项目负责人具有</w:t>
            </w:r>
            <w:r>
              <w:rPr>
                <w:rFonts w:hint="eastAsia" w:ascii="宋体" w:hAnsi="宋体"/>
                <w:color w:val="auto"/>
                <w:szCs w:val="21"/>
                <w:highlight w:val="none"/>
              </w:rPr>
              <w:t>造价工程师</w:t>
            </w:r>
            <w:r>
              <w:rPr>
                <w:rFonts w:hint="eastAsia" w:ascii="宋体" w:hAnsi="宋体"/>
                <w:color w:val="auto"/>
                <w:szCs w:val="21"/>
                <w:highlight w:val="none"/>
                <w:lang w:val="en-US" w:eastAsia="zh-CN"/>
              </w:rPr>
              <w:t>或</w:t>
            </w:r>
            <w:r>
              <w:rPr>
                <w:rFonts w:hint="eastAsia" w:ascii="宋体" w:hAnsi="宋体" w:eastAsia="宋体" w:cs="宋体"/>
                <w:color w:val="auto"/>
                <w:highlight w:val="none"/>
              </w:rPr>
              <w:t>高级职称的加</w:t>
            </w:r>
            <w:r>
              <w:rPr>
                <w:rFonts w:hint="eastAsia" w:ascii="宋体" w:hAnsi="宋体" w:cs="宋体"/>
                <w:color w:val="auto"/>
                <w:highlight w:val="none"/>
                <w:lang w:val="en-US" w:eastAsia="zh-CN"/>
              </w:rPr>
              <w:t>3</w:t>
            </w:r>
            <w:r>
              <w:rPr>
                <w:rFonts w:hint="eastAsia" w:ascii="宋体" w:hAnsi="宋体" w:eastAsia="宋体" w:cs="宋体"/>
                <w:color w:val="auto"/>
                <w:highlight w:val="none"/>
              </w:rPr>
              <w:t>分；项目负责人具有担任同类审计或审核服务项目负责人业绩的，每个业绩加</w:t>
            </w:r>
            <w:r>
              <w:rPr>
                <w:rFonts w:hint="eastAsia" w:ascii="宋体" w:hAnsi="宋体" w:cs="宋体"/>
                <w:color w:val="auto"/>
                <w:highlight w:val="none"/>
                <w:lang w:val="en-US" w:eastAsia="zh-CN"/>
              </w:rPr>
              <w:t>3</w:t>
            </w:r>
            <w:r>
              <w:rPr>
                <w:rFonts w:hint="eastAsia" w:ascii="宋体" w:hAnsi="宋体" w:eastAsia="宋体" w:cs="宋体"/>
                <w:color w:val="auto"/>
                <w:highlight w:val="none"/>
              </w:rPr>
              <w:t>分，最多加</w:t>
            </w:r>
            <w:r>
              <w:rPr>
                <w:rFonts w:hint="eastAsia" w:ascii="宋体" w:hAnsi="宋体" w:eastAsia="宋体" w:cs="宋体"/>
                <w:color w:val="auto"/>
                <w:highlight w:val="none"/>
                <w:lang w:val="en-US" w:eastAsia="zh-CN"/>
              </w:rPr>
              <w:t>9</w:t>
            </w:r>
            <w:r>
              <w:rPr>
                <w:rFonts w:hint="eastAsia" w:ascii="宋体" w:hAnsi="宋体" w:eastAsia="宋体" w:cs="宋体"/>
                <w:color w:val="auto"/>
                <w:highlight w:val="none"/>
              </w:rPr>
              <w:t>分；此项满分</w:t>
            </w:r>
            <w:r>
              <w:rPr>
                <w:rFonts w:hint="eastAsia" w:ascii="宋体" w:hAnsi="宋体" w:cs="宋体"/>
                <w:color w:val="auto"/>
                <w:highlight w:val="none"/>
                <w:lang w:val="en-US" w:eastAsia="zh-CN"/>
              </w:rPr>
              <w:t>12</w:t>
            </w:r>
            <w:r>
              <w:rPr>
                <w:rFonts w:hint="eastAsia" w:ascii="宋体" w:hAnsi="宋体" w:eastAsia="宋体" w:cs="宋体"/>
                <w:color w:val="auto"/>
                <w:highlight w:val="none"/>
              </w:rPr>
              <w:t>分。</w:t>
            </w:r>
          </w:p>
          <w:p w14:paraId="2553574F">
            <w:pPr>
              <w:widowControl/>
              <w:snapToGrid/>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在满足采购需求的基础上，</w:t>
            </w:r>
            <w:r>
              <w:rPr>
                <w:rFonts w:hint="eastAsia" w:ascii="宋体" w:hAnsi="宋体" w:eastAsia="宋体" w:cs="宋体"/>
                <w:color w:val="auto"/>
                <w:highlight w:val="none"/>
                <w:lang w:eastAsia="zh-CN"/>
              </w:rPr>
              <w:t>投入项目现场的</w:t>
            </w:r>
            <w:r>
              <w:rPr>
                <w:rFonts w:hint="eastAsia" w:ascii="宋体" w:hAnsi="宋体" w:eastAsia="宋体" w:cs="宋体"/>
                <w:color w:val="auto"/>
                <w:highlight w:val="none"/>
                <w:lang w:val="en-US" w:eastAsia="zh-CN"/>
              </w:rPr>
              <w:t>其他人员（除项目负责人外）具有</w:t>
            </w:r>
            <w:r>
              <w:rPr>
                <w:rFonts w:hint="eastAsia" w:ascii="宋体" w:hAnsi="宋体" w:eastAsia="宋体" w:cs="宋体"/>
                <w:color w:val="auto"/>
                <w:highlight w:val="none"/>
              </w:rPr>
              <w:t>注册造价工程师</w:t>
            </w:r>
            <w:r>
              <w:rPr>
                <w:rFonts w:hint="eastAsia" w:ascii="宋体" w:hAnsi="宋体" w:eastAsia="宋体" w:cs="宋体"/>
                <w:color w:val="auto"/>
                <w:highlight w:val="none"/>
                <w:lang w:val="en-US" w:eastAsia="zh-CN"/>
              </w:rPr>
              <w:t>或注册会计师或高级职称</w:t>
            </w:r>
            <w:r>
              <w:rPr>
                <w:rFonts w:hint="eastAsia" w:ascii="宋体" w:hAnsi="宋体" w:eastAsia="宋体" w:cs="宋体"/>
                <w:color w:val="auto"/>
                <w:highlight w:val="none"/>
              </w:rPr>
              <w:t>的加</w:t>
            </w:r>
            <w:r>
              <w:rPr>
                <w:rFonts w:hint="eastAsia" w:ascii="宋体" w:hAnsi="宋体" w:cs="宋体"/>
                <w:color w:val="auto"/>
                <w:highlight w:val="none"/>
                <w:lang w:val="en-US" w:eastAsia="zh-CN"/>
              </w:rPr>
              <w:t>3</w:t>
            </w:r>
            <w:r>
              <w:rPr>
                <w:rFonts w:hint="eastAsia" w:ascii="宋体" w:hAnsi="宋体" w:eastAsia="宋体" w:cs="宋体"/>
                <w:color w:val="auto"/>
                <w:highlight w:val="none"/>
              </w:rPr>
              <w:t>分；注册造价工程师</w:t>
            </w:r>
            <w:r>
              <w:rPr>
                <w:rFonts w:hint="eastAsia" w:ascii="宋体" w:hAnsi="宋体" w:eastAsia="宋体" w:cs="宋体"/>
                <w:color w:val="auto"/>
                <w:highlight w:val="none"/>
                <w:lang w:val="en-US" w:eastAsia="zh-CN"/>
              </w:rPr>
              <w:t>或注册会计师</w:t>
            </w:r>
            <w:r>
              <w:rPr>
                <w:rFonts w:hint="eastAsia" w:ascii="宋体" w:hAnsi="宋体" w:eastAsia="宋体" w:cs="宋体"/>
                <w:color w:val="auto"/>
                <w:highlight w:val="none"/>
              </w:rPr>
              <w:t>具有担任同类审计或审核服务项目负责人业绩的，每个业绩加</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分，最多加</w:t>
            </w:r>
            <w:r>
              <w:rPr>
                <w:rFonts w:hint="eastAsia" w:ascii="宋体" w:hAnsi="宋体" w:eastAsia="宋体" w:cs="宋体"/>
                <w:color w:val="auto"/>
                <w:highlight w:val="none"/>
                <w:lang w:val="en-US" w:eastAsia="zh-CN"/>
              </w:rPr>
              <w:t>9</w:t>
            </w:r>
            <w:r>
              <w:rPr>
                <w:rFonts w:hint="eastAsia" w:ascii="宋体" w:hAnsi="宋体" w:eastAsia="宋体" w:cs="宋体"/>
                <w:color w:val="auto"/>
                <w:highlight w:val="none"/>
              </w:rPr>
              <w:t>分</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此项满分</w:t>
            </w:r>
            <w:r>
              <w:rPr>
                <w:rFonts w:hint="eastAsia" w:ascii="宋体" w:hAnsi="宋体" w:eastAsia="宋体" w:cs="宋体"/>
                <w:color w:val="auto"/>
                <w:highlight w:val="none"/>
                <w:lang w:val="en-US" w:eastAsia="zh-CN"/>
              </w:rPr>
              <w:t>12</w:t>
            </w:r>
            <w:r>
              <w:rPr>
                <w:rFonts w:hint="eastAsia" w:ascii="宋体" w:hAnsi="宋体" w:eastAsia="宋体" w:cs="宋体"/>
                <w:color w:val="auto"/>
                <w:highlight w:val="none"/>
              </w:rPr>
              <w:t>分。</w:t>
            </w:r>
          </w:p>
          <w:p w14:paraId="571B953A">
            <w:pPr>
              <w:spacing w:line="360" w:lineRule="auto"/>
              <w:jc w:val="left"/>
              <w:rPr>
                <w:rFonts w:hint="eastAsia"/>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在满足采购需求的基础上，</w:t>
            </w:r>
            <w:r>
              <w:rPr>
                <w:rFonts w:hint="eastAsia" w:ascii="宋体" w:hAnsi="宋体" w:eastAsia="宋体" w:cs="宋体"/>
                <w:color w:val="auto"/>
                <w:highlight w:val="none"/>
                <w:lang w:eastAsia="zh-CN"/>
              </w:rPr>
              <w:t>投入本项目现场的</w:t>
            </w:r>
            <w:r>
              <w:rPr>
                <w:rFonts w:hint="eastAsia" w:ascii="宋体" w:hAnsi="宋体" w:eastAsia="宋体" w:cs="宋体"/>
                <w:color w:val="auto"/>
                <w:highlight w:val="none"/>
              </w:rPr>
              <w:t>其他人员，具有</w:t>
            </w:r>
            <w:r>
              <w:rPr>
                <w:rFonts w:hint="eastAsia" w:ascii="宋体" w:hAnsi="宋体" w:cs="宋体"/>
                <w:color w:val="auto"/>
                <w:highlight w:val="none"/>
                <w:lang w:val="en-US" w:eastAsia="zh-CN"/>
              </w:rPr>
              <w:t>工程类或</w:t>
            </w:r>
            <w:r>
              <w:rPr>
                <w:rFonts w:hint="eastAsia" w:ascii="宋体" w:hAnsi="宋体" w:cs="宋体"/>
                <w:color w:val="auto"/>
                <w:highlight w:val="none"/>
                <w:lang w:eastAsia="zh-CN"/>
              </w:rPr>
              <w:t>会计类或审计类或经济类</w:t>
            </w:r>
            <w:r>
              <w:rPr>
                <w:rFonts w:hint="eastAsia" w:ascii="宋体" w:hAnsi="宋体" w:eastAsia="宋体" w:cs="宋体"/>
                <w:color w:val="auto"/>
                <w:highlight w:val="none"/>
              </w:rPr>
              <w:t>高级职称的，每人加1</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分，最多加</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分。</w:t>
            </w:r>
          </w:p>
          <w:p w14:paraId="33767FF1">
            <w:pPr>
              <w:widowControl/>
              <w:snapToGrid/>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在满足采购需求的基础上，</w:t>
            </w:r>
            <w:r>
              <w:rPr>
                <w:rFonts w:hint="eastAsia" w:ascii="宋体" w:hAnsi="宋体" w:eastAsia="宋体" w:cs="宋体"/>
                <w:color w:val="auto"/>
                <w:highlight w:val="none"/>
                <w:lang w:eastAsia="zh-CN"/>
              </w:rPr>
              <w:t>投入本项目现场的</w:t>
            </w:r>
            <w:r>
              <w:rPr>
                <w:rFonts w:hint="eastAsia" w:ascii="宋体" w:hAnsi="宋体" w:eastAsia="宋体" w:cs="宋体"/>
                <w:color w:val="auto"/>
                <w:highlight w:val="none"/>
              </w:rPr>
              <w:t>其他人员，具有</w:t>
            </w:r>
            <w:r>
              <w:rPr>
                <w:rFonts w:hint="eastAsia" w:ascii="宋体" w:hAnsi="宋体" w:cs="宋体"/>
                <w:color w:val="auto"/>
                <w:highlight w:val="none"/>
                <w:lang w:val="en-US" w:eastAsia="zh-CN"/>
              </w:rPr>
              <w:t>工程类或</w:t>
            </w:r>
            <w:r>
              <w:rPr>
                <w:rFonts w:hint="eastAsia" w:ascii="宋体" w:hAnsi="宋体" w:cs="宋体"/>
                <w:color w:val="auto"/>
                <w:highlight w:val="none"/>
                <w:lang w:eastAsia="zh-CN"/>
              </w:rPr>
              <w:t>会计类或审计类或经济类</w:t>
            </w:r>
            <w:r>
              <w:rPr>
                <w:rFonts w:hint="eastAsia" w:ascii="宋体" w:hAnsi="宋体" w:eastAsia="宋体" w:cs="宋体"/>
                <w:color w:val="auto"/>
                <w:highlight w:val="none"/>
              </w:rPr>
              <w:t>中级职称的，每人加1分，最多加</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分。</w:t>
            </w:r>
          </w:p>
          <w:p w14:paraId="31FF45F8">
            <w:pPr>
              <w:widowControl/>
              <w:snapToGrid/>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在满足采购需求的基础上，</w:t>
            </w:r>
            <w:r>
              <w:rPr>
                <w:rFonts w:hint="eastAsia" w:ascii="宋体" w:hAnsi="宋体" w:eastAsia="宋体" w:cs="宋体"/>
                <w:color w:val="auto"/>
                <w:highlight w:val="none"/>
                <w:lang w:eastAsia="zh-CN"/>
              </w:rPr>
              <w:t>投入本项目现场的</w:t>
            </w:r>
            <w:r>
              <w:rPr>
                <w:rFonts w:hint="eastAsia" w:ascii="宋体" w:hAnsi="宋体" w:eastAsia="宋体" w:cs="宋体"/>
                <w:color w:val="auto"/>
                <w:highlight w:val="none"/>
              </w:rPr>
              <w:t>人员，每增加1名具有</w:t>
            </w:r>
            <w:r>
              <w:rPr>
                <w:rFonts w:hint="eastAsia" w:ascii="宋体" w:hAnsi="宋体" w:cs="宋体"/>
                <w:color w:val="auto"/>
                <w:highlight w:val="none"/>
                <w:lang w:val="en-US" w:eastAsia="zh-CN"/>
              </w:rPr>
              <w:t>工程类或</w:t>
            </w:r>
            <w:r>
              <w:rPr>
                <w:rFonts w:hint="eastAsia" w:ascii="宋体" w:hAnsi="宋体" w:cs="宋体"/>
                <w:color w:val="auto"/>
                <w:highlight w:val="none"/>
                <w:lang w:eastAsia="zh-CN"/>
              </w:rPr>
              <w:t>会计类或审计类或经济类</w:t>
            </w:r>
            <w:r>
              <w:rPr>
                <w:rFonts w:hint="eastAsia" w:ascii="宋体" w:hAnsi="宋体" w:eastAsia="宋体" w:cs="宋体"/>
                <w:color w:val="auto"/>
                <w:highlight w:val="none"/>
              </w:rPr>
              <w:t>初级职称的，每增加1名加0.5分，最多加3分；</w:t>
            </w:r>
          </w:p>
          <w:p w14:paraId="01B8965E">
            <w:pPr>
              <w:widowControl/>
              <w:snapToGrid/>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lang w:eastAsia="zh-CN"/>
              </w:rPr>
              <w:t>）投入本项目现场的人员中具有中国注册会计师资格或国际注册内部审计师资格的，每个加1.5分，最多加3分。</w:t>
            </w:r>
          </w:p>
          <w:p w14:paraId="5151C231">
            <w:pPr>
              <w:widowControl/>
              <w:snapToGrid/>
              <w:spacing w:line="360" w:lineRule="auto"/>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eastAsia="zh-CN"/>
              </w:rPr>
              <w:t>注：</w:t>
            </w:r>
            <w:r>
              <w:rPr>
                <w:rFonts w:hint="eastAsia" w:ascii="宋体" w:hAnsi="宋体" w:eastAsia="宋体" w:cs="宋体"/>
                <w:color w:val="auto"/>
                <w:highlight w:val="none"/>
                <w:lang w:val="en-US" w:eastAsia="zh-CN"/>
              </w:rPr>
              <w:t>1.以上人员不重复计分；2.须提供拟投入的工作组成员一览表，所有人员须为供应商本单位人员，且须提供拟投入人员的专业技能或资格证书、供应商为拟投入人员缴纳的</w:t>
            </w:r>
            <w:r>
              <w:rPr>
                <w:rFonts w:hint="eastAsia" w:ascii="宋体" w:hAnsi="宋体" w:cs="宋体"/>
                <w:color w:val="auto"/>
                <w:highlight w:val="none"/>
                <w:lang w:val="en-US" w:eastAsia="zh-CN"/>
              </w:rPr>
              <w:t>2025年11月-2026年4月</w:t>
            </w:r>
            <w:r>
              <w:rPr>
                <w:rFonts w:hint="eastAsia" w:ascii="宋体" w:hAnsi="宋体" w:eastAsia="宋体" w:cs="宋体"/>
                <w:color w:val="auto"/>
                <w:highlight w:val="none"/>
                <w:lang w:val="en-US" w:eastAsia="zh-CN"/>
              </w:rPr>
              <w:t>内任意连续 3 个月的社保缴费证明或《投保单》或单位代缴个人所得税税单等复印件（加盖公章）或提供供应商与拟投入本项目团队成员签订的劳务合同复印件（法定代表人除外</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。3.须提供能够体现担任同类审计或审核服务项目（指与对应分标采购内容相同的项目）负责人的业绩证明等材料。上述材料不提供不计分。</w:t>
            </w:r>
          </w:p>
        </w:tc>
      </w:tr>
      <w:tr w14:paraId="33492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jc w:val="center"/>
        </w:trPr>
        <w:tc>
          <w:tcPr>
            <w:tcW w:w="547" w:type="dxa"/>
            <w:vMerge w:val="continue"/>
            <w:noWrap w:val="0"/>
            <w:vAlign w:val="center"/>
          </w:tcPr>
          <w:p w14:paraId="0C1A4C50">
            <w:pPr>
              <w:adjustRightInd w:val="0"/>
              <w:snapToGrid w:val="0"/>
              <w:spacing w:line="360" w:lineRule="atLeast"/>
              <w:jc w:val="center"/>
              <w:textAlignment w:val="baseline"/>
              <w:rPr>
                <w:rFonts w:hint="eastAsia" w:ascii="宋体" w:hAnsi="宋体"/>
                <w:color w:val="auto"/>
                <w:szCs w:val="22"/>
                <w:highlight w:val="none"/>
              </w:rPr>
            </w:pPr>
          </w:p>
        </w:tc>
        <w:tc>
          <w:tcPr>
            <w:tcW w:w="770" w:type="dxa"/>
            <w:vMerge w:val="continue"/>
            <w:noWrap w:val="0"/>
            <w:vAlign w:val="center"/>
          </w:tcPr>
          <w:p w14:paraId="279C7619">
            <w:pPr>
              <w:adjustRightInd w:val="0"/>
              <w:snapToGrid w:val="0"/>
              <w:spacing w:line="360" w:lineRule="atLeast"/>
              <w:jc w:val="center"/>
              <w:textAlignment w:val="baseline"/>
              <w:rPr>
                <w:rFonts w:hint="eastAsia" w:ascii="宋体" w:hAnsi="宋体" w:cs="Courier New"/>
                <w:bCs/>
                <w:color w:val="auto"/>
                <w:szCs w:val="22"/>
                <w:highlight w:val="none"/>
              </w:rPr>
            </w:pPr>
          </w:p>
        </w:tc>
        <w:tc>
          <w:tcPr>
            <w:tcW w:w="1242" w:type="dxa"/>
            <w:noWrap w:val="0"/>
            <w:vAlign w:val="center"/>
          </w:tcPr>
          <w:p w14:paraId="1180592E">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Times New Roman"/>
                <w:b/>
                <w:color w:val="auto"/>
                <w:szCs w:val="21"/>
                <w:highlight w:val="none"/>
                <w:lang w:val="en-US" w:eastAsia="zh-CN"/>
              </w:rPr>
              <w:t>3.2业绩</w:t>
            </w:r>
            <w:r>
              <w:rPr>
                <w:rFonts w:hint="eastAsia" w:ascii="宋体" w:hAnsi="宋体" w:cs="Times New Roman"/>
                <w:b/>
                <w:color w:val="auto"/>
                <w:szCs w:val="21"/>
                <w:highlight w:val="none"/>
                <w:lang w:val="en-US" w:eastAsia="zh-CN"/>
              </w:rPr>
              <w:t>、信誉</w:t>
            </w:r>
            <w:r>
              <w:rPr>
                <w:rFonts w:hint="eastAsia" w:ascii="宋体" w:hAnsi="宋体" w:eastAsia="宋体" w:cs="Times New Roman"/>
                <w:b/>
                <w:color w:val="auto"/>
                <w:szCs w:val="21"/>
                <w:highlight w:val="none"/>
                <w:lang w:val="en-US" w:eastAsia="zh-CN"/>
              </w:rPr>
              <w:t>分</w:t>
            </w:r>
            <w:r>
              <w:rPr>
                <w:rFonts w:hint="eastAsia" w:ascii="宋体" w:hAnsi="宋体" w:eastAsia="宋体" w:cs="Times New Roman"/>
                <w:b/>
                <w:color w:val="auto"/>
                <w:szCs w:val="21"/>
                <w:highlight w:val="none"/>
              </w:rPr>
              <w:t>（满分</w:t>
            </w:r>
            <w:r>
              <w:rPr>
                <w:rFonts w:hint="eastAsia" w:ascii="宋体" w:hAnsi="宋体" w:cs="Times New Roman"/>
                <w:b/>
                <w:color w:val="auto"/>
                <w:szCs w:val="21"/>
                <w:highlight w:val="none"/>
                <w:lang w:val="en-US" w:eastAsia="zh-CN"/>
              </w:rPr>
              <w:t>18</w:t>
            </w:r>
            <w:r>
              <w:rPr>
                <w:rFonts w:hint="eastAsia" w:ascii="宋体" w:hAnsi="宋体" w:eastAsia="宋体" w:cs="Times New Roman"/>
                <w:b/>
                <w:color w:val="auto"/>
                <w:szCs w:val="21"/>
                <w:highlight w:val="none"/>
              </w:rPr>
              <w:t>分）</w:t>
            </w:r>
          </w:p>
        </w:tc>
        <w:tc>
          <w:tcPr>
            <w:tcW w:w="6480" w:type="dxa"/>
            <w:noWrap w:val="0"/>
            <w:vAlign w:val="center"/>
          </w:tcPr>
          <w:p w14:paraId="2D8D67FF">
            <w:pPr>
              <w:numPr>
                <w:ilvl w:val="-1"/>
                <w:numId w:val="0"/>
              </w:numPr>
              <w:spacing w:line="360" w:lineRule="auto"/>
              <w:jc w:val="left"/>
              <w:rPr>
                <w:rFonts w:hint="eastAsia" w:ascii="宋体" w:hAnsi="宋体"/>
                <w:color w:val="auto"/>
                <w:highlight w:val="none"/>
              </w:rPr>
            </w:pPr>
            <w:r>
              <w:rPr>
                <w:rFonts w:hint="eastAsia" w:ascii="宋体" w:hAnsi="宋体"/>
                <w:color w:val="auto"/>
                <w:highlight w:val="none"/>
                <w:lang w:val="en-US" w:eastAsia="zh-CN"/>
              </w:rPr>
              <w:t>1、</w:t>
            </w:r>
            <w:r>
              <w:rPr>
                <w:rFonts w:hint="eastAsia" w:ascii="宋体" w:hAnsi="宋体"/>
                <w:color w:val="auto"/>
                <w:highlight w:val="none"/>
              </w:rPr>
              <w:t>自202</w:t>
            </w:r>
            <w:r>
              <w:rPr>
                <w:rFonts w:hint="eastAsia" w:ascii="宋体" w:hAnsi="宋体"/>
                <w:color w:val="auto"/>
                <w:highlight w:val="none"/>
                <w:lang w:val="en-US" w:eastAsia="zh-CN"/>
              </w:rPr>
              <w:t>3</w:t>
            </w:r>
            <w:r>
              <w:rPr>
                <w:rFonts w:hint="eastAsia" w:ascii="宋体" w:hAnsi="宋体"/>
                <w:color w:val="auto"/>
                <w:highlight w:val="none"/>
              </w:rPr>
              <w:t>年以来供应商具有同类审计或审核服务项目业绩的，每个项目得</w:t>
            </w:r>
            <w:r>
              <w:rPr>
                <w:rFonts w:hint="eastAsia" w:ascii="宋体" w:hAnsi="宋体"/>
                <w:color w:val="auto"/>
                <w:highlight w:val="none"/>
                <w:lang w:val="en-US" w:eastAsia="zh-CN"/>
              </w:rPr>
              <w:t>3</w:t>
            </w:r>
            <w:r>
              <w:rPr>
                <w:rFonts w:hint="eastAsia" w:ascii="宋体" w:hAnsi="宋体"/>
                <w:color w:val="auto"/>
                <w:highlight w:val="none"/>
              </w:rPr>
              <w:t>分</w:t>
            </w:r>
            <w:r>
              <w:rPr>
                <w:rFonts w:hint="eastAsia" w:ascii="宋体" w:hAnsi="宋体"/>
                <w:color w:val="auto"/>
                <w:highlight w:val="none"/>
                <w:lang w:eastAsia="zh-CN"/>
              </w:rPr>
              <w:t>，此项满分</w:t>
            </w:r>
            <w:r>
              <w:rPr>
                <w:rFonts w:hint="eastAsia" w:ascii="宋体" w:hAnsi="宋体"/>
                <w:color w:val="auto"/>
                <w:highlight w:val="none"/>
                <w:lang w:val="en-US" w:eastAsia="zh-CN"/>
              </w:rPr>
              <w:t>9分</w:t>
            </w:r>
            <w:r>
              <w:rPr>
                <w:rFonts w:hint="eastAsia" w:ascii="宋体" w:hAnsi="宋体"/>
                <w:color w:val="auto"/>
                <w:highlight w:val="none"/>
                <w:lang w:eastAsia="zh-CN"/>
              </w:rPr>
              <w:t>；</w:t>
            </w:r>
            <w:r>
              <w:rPr>
                <w:rFonts w:hint="eastAsia" w:ascii="宋体" w:hAnsi="宋体"/>
                <w:color w:val="auto"/>
                <w:highlight w:val="none"/>
              </w:rPr>
              <w:t>提供合同</w:t>
            </w:r>
            <w:r>
              <w:rPr>
                <w:rFonts w:hint="eastAsia" w:ascii="宋体" w:hAnsi="宋体"/>
                <w:color w:val="auto"/>
                <w:highlight w:val="none"/>
                <w:lang w:eastAsia="zh-CN"/>
              </w:rPr>
              <w:t>或中标</w:t>
            </w:r>
            <w:r>
              <w:rPr>
                <w:rFonts w:hint="eastAsia" w:ascii="宋体" w:hAnsi="宋体"/>
                <w:color w:val="auto"/>
                <w:highlight w:val="none"/>
                <w:lang w:val="en-US" w:eastAsia="zh-CN"/>
              </w:rPr>
              <w:t>/成交通知书</w:t>
            </w:r>
            <w:r>
              <w:rPr>
                <w:rFonts w:hint="eastAsia" w:ascii="宋体" w:hAnsi="宋体"/>
                <w:color w:val="auto"/>
                <w:highlight w:val="none"/>
                <w:lang w:eastAsia="zh-CN"/>
              </w:rPr>
              <w:t>扫描件</w:t>
            </w:r>
            <w:r>
              <w:rPr>
                <w:rFonts w:hint="eastAsia" w:ascii="宋体" w:hAnsi="宋体"/>
                <w:color w:val="auto"/>
                <w:highlight w:val="none"/>
              </w:rPr>
              <w:t>，不提供不得分。</w:t>
            </w:r>
          </w:p>
          <w:p w14:paraId="5710A893">
            <w:pPr>
              <w:numPr>
                <w:ilvl w:val="0"/>
                <w:numId w:val="0"/>
              </w:numPr>
              <w:spacing w:line="360" w:lineRule="auto"/>
              <w:jc w:val="left"/>
              <w:rPr>
                <w:rFonts w:hint="eastAsia"/>
                <w:color w:val="auto"/>
                <w:highlight w:val="none"/>
                <w:lang w:val="en-US" w:eastAsia="zh-CN"/>
              </w:rPr>
            </w:pPr>
            <w:r>
              <w:rPr>
                <w:rFonts w:hint="eastAsia" w:ascii="宋体" w:hAnsi="宋体"/>
                <w:color w:val="auto"/>
                <w:highlight w:val="none"/>
                <w:lang w:val="en-US" w:eastAsia="zh-CN"/>
              </w:rPr>
              <w:t>2、</w:t>
            </w:r>
            <w:r>
              <w:rPr>
                <w:rFonts w:hint="eastAsia" w:ascii="宋体" w:hAnsi="宋体" w:eastAsia="宋体" w:cs="Times New Roman"/>
                <w:color w:val="auto"/>
                <w:highlight w:val="none"/>
                <w:lang w:val="en-US" w:eastAsia="zh-CN"/>
              </w:rPr>
              <w:t>合同履行用户评价意见：2023年以来，供应商具有国家机关、事业单位同类审计或审核服务项目对供应商相关产品质量、服务、信誉等方面的反馈意见进行综合评价的，每有1份良好及以上的用户评价意见，得3分（同一采购人出具的用户合同评价意见只计3分），满分9分。</w:t>
            </w:r>
            <w:r>
              <w:rPr>
                <w:rFonts w:hint="eastAsia" w:ascii="宋体" w:hAnsi="宋体" w:eastAsia="宋体" w:cs="宋体"/>
                <w:i w:val="0"/>
                <w:iCs w:val="0"/>
                <w:caps w:val="0"/>
                <w:color w:val="auto"/>
                <w:spacing w:val="0"/>
                <w:sz w:val="21"/>
                <w:szCs w:val="21"/>
                <w:highlight w:val="none"/>
                <w:shd w:val="clear" w:fill="FFFFFF"/>
              </w:rPr>
              <w:t>合同履行用户评价意见形式可包含</w:t>
            </w:r>
            <w:r>
              <w:rPr>
                <w:rFonts w:ascii="Segoe UI" w:hAnsi="Segoe UI" w:eastAsia="Segoe UI" w:cs="Segoe UI"/>
                <w:i w:val="0"/>
                <w:iCs w:val="0"/>
                <w:caps w:val="0"/>
                <w:color w:val="auto"/>
                <w:spacing w:val="0"/>
                <w:sz w:val="21"/>
                <w:szCs w:val="21"/>
                <w:highlight w:val="none"/>
                <w:shd w:val="clear" w:fill="FFFFFF"/>
              </w:rPr>
              <w:t>履约验收评价表、满意度调查表等</w:t>
            </w:r>
            <w:r>
              <w:rPr>
                <w:rFonts w:hint="eastAsia" w:ascii="Segoe UI" w:hAnsi="Segoe UI" w:eastAsia="宋体" w:cs="Segoe UI"/>
                <w:i w:val="0"/>
                <w:iCs w:val="0"/>
                <w:caps w:val="0"/>
                <w:color w:val="auto"/>
                <w:spacing w:val="0"/>
                <w:sz w:val="21"/>
                <w:szCs w:val="21"/>
                <w:highlight w:val="none"/>
                <w:shd w:val="clear" w:fill="FFFFFF"/>
                <w:lang w:eastAsia="zh-CN"/>
              </w:rPr>
              <w:t>；</w:t>
            </w:r>
            <w:r>
              <w:rPr>
                <w:rFonts w:hint="eastAsia" w:ascii="宋体" w:hAnsi="宋体" w:eastAsia="宋体" w:cs="Times New Roman"/>
                <w:color w:val="auto"/>
                <w:highlight w:val="none"/>
                <w:lang w:val="en-US" w:eastAsia="zh-CN"/>
              </w:rPr>
              <w:t>合同履行用户评价意见用户出具并加盖公章的扫描件为准</w:t>
            </w:r>
            <w:r>
              <w:rPr>
                <w:rFonts w:hint="eastAsia" w:ascii="宋体" w:hAnsi="宋体" w:cs="Times New Roman"/>
                <w:color w:val="auto"/>
                <w:highlight w:val="none"/>
                <w:lang w:val="en-US" w:eastAsia="zh-CN"/>
              </w:rPr>
              <w:t>。</w:t>
            </w:r>
          </w:p>
        </w:tc>
      </w:tr>
      <w:tr w14:paraId="56BC6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47" w:type="dxa"/>
            <w:noWrap w:val="0"/>
            <w:vAlign w:val="center"/>
          </w:tcPr>
          <w:p w14:paraId="7A43779B">
            <w:pPr>
              <w:snapToGrid w:val="0"/>
              <w:spacing w:line="360" w:lineRule="atLeast"/>
              <w:jc w:val="center"/>
              <w:rPr>
                <w:rFonts w:hint="eastAsia" w:ascii="宋体" w:hAnsi="宋体"/>
                <w:color w:val="auto"/>
                <w:szCs w:val="22"/>
                <w:highlight w:val="none"/>
              </w:rPr>
            </w:pPr>
            <w:r>
              <w:rPr>
                <w:rFonts w:ascii="宋体" w:hAnsi="宋体"/>
                <w:color w:val="auto"/>
                <w:szCs w:val="22"/>
                <w:highlight w:val="none"/>
              </w:rPr>
              <w:t>/</w:t>
            </w:r>
          </w:p>
        </w:tc>
        <w:tc>
          <w:tcPr>
            <w:tcW w:w="770" w:type="dxa"/>
            <w:noWrap w:val="0"/>
            <w:vAlign w:val="center"/>
          </w:tcPr>
          <w:p w14:paraId="466651A4">
            <w:pPr>
              <w:snapToGrid w:val="0"/>
              <w:spacing w:line="360" w:lineRule="atLeast"/>
              <w:jc w:val="center"/>
              <w:rPr>
                <w:rFonts w:hint="eastAsia" w:ascii="宋体" w:hAnsi="宋体"/>
                <w:color w:val="auto"/>
                <w:szCs w:val="22"/>
                <w:highlight w:val="none"/>
              </w:rPr>
            </w:pPr>
            <w:r>
              <w:rPr>
                <w:rFonts w:hint="eastAsia" w:ascii="宋体" w:hAnsi="宋体"/>
                <w:color w:val="auto"/>
                <w:szCs w:val="22"/>
                <w:highlight w:val="none"/>
              </w:rPr>
              <w:t>政策功能分</w:t>
            </w:r>
          </w:p>
        </w:tc>
        <w:tc>
          <w:tcPr>
            <w:tcW w:w="7722" w:type="dxa"/>
            <w:gridSpan w:val="2"/>
            <w:noWrap w:val="0"/>
            <w:vAlign w:val="center"/>
          </w:tcPr>
          <w:p w14:paraId="0C0C3293">
            <w:pPr>
              <w:snapToGrid w:val="0"/>
              <w:spacing w:line="360" w:lineRule="atLeast"/>
              <w:jc w:val="center"/>
              <w:rPr>
                <w:rFonts w:hint="eastAsia" w:ascii="宋体" w:hAnsi="宋体"/>
                <w:color w:val="auto"/>
                <w:szCs w:val="22"/>
                <w:highlight w:val="none"/>
              </w:rPr>
            </w:pPr>
            <w:r>
              <w:rPr>
                <w:rFonts w:hint="eastAsia" w:ascii="宋体"/>
                <w:b/>
                <w:color w:val="auto"/>
                <w:szCs w:val="22"/>
                <w:highlight w:val="none"/>
              </w:rPr>
              <w:t>本项目为服务采购项目，不属于财政部规定的节能产品和环境标志产品范畴。</w:t>
            </w:r>
          </w:p>
        </w:tc>
      </w:tr>
      <w:tr w14:paraId="3AF46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039" w:type="dxa"/>
            <w:gridSpan w:val="4"/>
            <w:noWrap w:val="0"/>
            <w:vAlign w:val="center"/>
          </w:tcPr>
          <w:p w14:paraId="0B0928B3">
            <w:pPr>
              <w:pStyle w:val="25"/>
              <w:snapToGrid w:val="0"/>
              <w:spacing w:line="360" w:lineRule="atLeast"/>
              <w:rPr>
                <w:rFonts w:hint="eastAsia" w:hAnsi="宋体" w:eastAsia="宋体"/>
                <w:b/>
                <w:bCs/>
                <w:color w:val="auto"/>
                <w:sz w:val="22"/>
                <w:szCs w:val="22"/>
                <w:highlight w:val="none"/>
                <w:lang w:eastAsia="zh-CN"/>
              </w:rPr>
            </w:pPr>
            <w:r>
              <w:rPr>
                <w:rFonts w:hint="eastAsia" w:hAnsi="宋体"/>
                <w:b/>
                <w:bCs/>
                <w:color w:val="auto"/>
                <w:sz w:val="22"/>
                <w:szCs w:val="22"/>
                <w:highlight w:val="none"/>
              </w:rPr>
              <w:t>总得分=</w:t>
            </w:r>
            <w:r>
              <w:rPr>
                <w:rFonts w:hint="eastAsia" w:hAnsi="宋体"/>
                <w:b/>
                <w:bCs/>
                <w:color w:val="auto"/>
                <w:sz w:val="22"/>
                <w:szCs w:val="22"/>
                <w:highlight w:val="none"/>
                <w:lang w:val="en-US" w:eastAsia="zh-CN"/>
              </w:rPr>
              <w:t>价格分</w:t>
            </w:r>
            <w:r>
              <w:rPr>
                <w:rFonts w:hint="eastAsia" w:hAnsi="宋体"/>
                <w:b/>
                <w:bCs/>
                <w:color w:val="auto"/>
                <w:sz w:val="22"/>
                <w:szCs w:val="22"/>
                <w:highlight w:val="none"/>
              </w:rPr>
              <w:t>+</w:t>
            </w:r>
            <w:r>
              <w:rPr>
                <w:rFonts w:hint="eastAsia" w:hAnsi="宋体"/>
                <w:b/>
                <w:bCs/>
                <w:color w:val="auto"/>
                <w:sz w:val="22"/>
                <w:szCs w:val="22"/>
                <w:highlight w:val="none"/>
                <w:lang w:val="en-US" w:eastAsia="zh-CN"/>
              </w:rPr>
              <w:t>技术分</w:t>
            </w:r>
            <w:r>
              <w:rPr>
                <w:rFonts w:hint="eastAsia" w:hAnsi="宋体"/>
                <w:b/>
                <w:bCs/>
                <w:color w:val="auto"/>
                <w:sz w:val="22"/>
                <w:szCs w:val="22"/>
                <w:highlight w:val="none"/>
              </w:rPr>
              <w:t>+</w:t>
            </w:r>
            <w:r>
              <w:rPr>
                <w:rFonts w:hint="eastAsia" w:hAnsi="宋体"/>
                <w:b/>
                <w:bCs/>
                <w:color w:val="auto"/>
                <w:sz w:val="22"/>
                <w:szCs w:val="22"/>
                <w:highlight w:val="none"/>
                <w:lang w:val="en-US" w:eastAsia="zh-CN"/>
              </w:rPr>
              <w:t>商务分</w:t>
            </w:r>
          </w:p>
        </w:tc>
      </w:tr>
    </w:tbl>
    <w:p w14:paraId="707F6EC4">
      <w:pPr>
        <w:rPr>
          <w:rFonts w:hint="eastAsia"/>
          <w:color w:val="auto"/>
          <w:highlight w:val="none"/>
        </w:rPr>
      </w:pPr>
    </w:p>
    <w:bookmarkEnd w:id="173"/>
    <w:p w14:paraId="0B8ABD44">
      <w:pPr>
        <w:pStyle w:val="25"/>
        <w:spacing w:line="360" w:lineRule="auto"/>
        <w:ind w:firstLine="420"/>
        <w:rPr>
          <w:rFonts w:hint="eastAsia" w:hAnsi="宋体"/>
          <w:bCs/>
          <w:color w:val="auto"/>
          <w:sz w:val="21"/>
          <w:highlight w:val="none"/>
        </w:rPr>
      </w:pPr>
      <w:r>
        <w:rPr>
          <w:rFonts w:hint="eastAsia" w:hAnsi="宋体"/>
          <w:bCs/>
          <w:color w:val="auto"/>
          <w:sz w:val="21"/>
          <w:highlight w:val="none"/>
        </w:rPr>
        <w:t>注：计分方法按四舍五入取至百分位</w:t>
      </w:r>
    </w:p>
    <w:p w14:paraId="583D6274">
      <w:pPr>
        <w:pStyle w:val="4"/>
        <w:keepNext w:val="0"/>
        <w:keepLines w:val="0"/>
        <w:jc w:val="center"/>
        <w:rPr>
          <w:color w:val="auto"/>
          <w:sz w:val="30"/>
          <w:szCs w:val="30"/>
          <w:highlight w:val="none"/>
        </w:rPr>
      </w:pPr>
      <w:r>
        <w:rPr>
          <w:rFonts w:hint="eastAsia"/>
          <w:color w:val="auto"/>
          <w:sz w:val="30"/>
          <w:szCs w:val="30"/>
          <w:highlight w:val="none"/>
        </w:rPr>
        <w:t>四、中标候选人推荐原则</w:t>
      </w:r>
    </w:p>
    <w:p w14:paraId="727E9FD5">
      <w:pPr>
        <w:pStyle w:val="25"/>
        <w:spacing w:line="360" w:lineRule="auto"/>
        <w:ind w:firstLine="482" w:firstLineChars="200"/>
        <w:contextualSpacing/>
        <w:rPr>
          <w:rFonts w:hint="eastAsia" w:hAnsi="宋体"/>
          <w:b/>
          <w:bCs/>
          <w:color w:val="auto"/>
          <w:sz w:val="24"/>
          <w:szCs w:val="24"/>
          <w:highlight w:val="none"/>
        </w:rPr>
      </w:pPr>
      <w:r>
        <w:rPr>
          <w:rFonts w:hint="eastAsia" w:hAnsi="宋体"/>
          <w:b/>
          <w:bCs/>
          <w:color w:val="auto"/>
          <w:sz w:val="24"/>
          <w:szCs w:val="24"/>
          <w:highlight w:val="none"/>
        </w:rPr>
        <w:t>综合评分法</w:t>
      </w:r>
    </w:p>
    <w:p w14:paraId="398E3CE9">
      <w:pPr>
        <w:pStyle w:val="25"/>
        <w:spacing w:line="360" w:lineRule="auto"/>
        <w:ind w:firstLine="420" w:firstLineChars="200"/>
        <w:contextualSpacing/>
        <w:rPr>
          <w:rFonts w:hAnsi="宋体"/>
          <w:color w:val="auto"/>
          <w:sz w:val="21"/>
          <w:highlight w:val="none"/>
        </w:rPr>
      </w:pPr>
      <w:r>
        <w:rPr>
          <w:rFonts w:hint="eastAsia" w:hAnsi="宋体"/>
          <w:color w:val="auto"/>
          <w:sz w:val="21"/>
          <w:highlight w:val="none"/>
        </w:rPr>
        <w:t>1</w:t>
      </w:r>
      <w:r>
        <w:rPr>
          <w:rFonts w:hAnsi="宋体"/>
          <w:color w:val="auto"/>
          <w:sz w:val="21"/>
          <w:highlight w:val="none"/>
        </w:rPr>
        <w:t>.</w:t>
      </w:r>
      <w:r>
        <w:rPr>
          <w:rFonts w:hint="eastAsia" w:hAnsi="宋体"/>
          <w:color w:val="auto"/>
          <w:sz w:val="21"/>
          <w:highlight w:val="none"/>
        </w:rPr>
        <w:t>评标委员会根据原始评标记录和评标结果编写评标报告，并通过电子交易平台向采购人、采购代理机构提交。</w:t>
      </w:r>
    </w:p>
    <w:p w14:paraId="65262D58">
      <w:pPr>
        <w:pStyle w:val="25"/>
        <w:spacing w:line="360" w:lineRule="auto"/>
        <w:ind w:firstLine="420" w:firstLineChars="200"/>
        <w:contextualSpacing/>
        <w:rPr>
          <w:rFonts w:hint="eastAsia" w:hAnsi="宋体"/>
          <w:color w:val="auto"/>
          <w:sz w:val="21"/>
          <w:highlight w:val="none"/>
        </w:rPr>
      </w:pPr>
      <w:r>
        <w:rPr>
          <w:rFonts w:hint="eastAsia" w:hAnsi="宋体"/>
          <w:color w:val="auto"/>
          <w:sz w:val="21"/>
          <w:highlight w:val="none"/>
        </w:rPr>
        <w:t>2</w:t>
      </w:r>
      <w:r>
        <w:rPr>
          <w:rFonts w:hAnsi="宋体"/>
          <w:color w:val="auto"/>
          <w:sz w:val="21"/>
          <w:highlight w:val="none"/>
        </w:rPr>
        <w:t>.</w:t>
      </w:r>
      <w:r>
        <w:rPr>
          <w:rFonts w:hint="eastAsia" w:hAnsi="宋体"/>
          <w:color w:val="auto"/>
          <w:sz w:val="21"/>
          <w:highlight w:val="none"/>
        </w:rPr>
        <w:t>评标委员会将根据总得分由高到低排列次序并推荐中标候选人。得分相同的，以投标报价由低到高顺序排列。得分相同且投标报价相同的并列，投标文件满足招标文件全部实质性要求，且按照评审因素的量化指标评审得分最高的投标人为排名第一的中标候选人。</w:t>
      </w:r>
    </w:p>
    <w:p w14:paraId="76DB86C4">
      <w:pPr>
        <w:spacing w:line="360" w:lineRule="auto"/>
        <w:ind w:firstLine="482" w:firstLineChars="200"/>
        <w:contextualSpacing/>
        <w:rPr>
          <w:rFonts w:hint="eastAsia" w:ascii="宋体" w:hAnsi="宋体"/>
          <w:b/>
          <w:color w:val="auto"/>
          <w:sz w:val="24"/>
          <w:highlight w:val="none"/>
        </w:rPr>
      </w:pPr>
    </w:p>
    <w:p w14:paraId="33195979">
      <w:pPr>
        <w:pStyle w:val="4"/>
        <w:jc w:val="center"/>
        <w:rPr>
          <w:rFonts w:hint="eastAsia" w:ascii="宋体" w:hAnsi="宋体"/>
          <w:b w:val="0"/>
          <w:color w:val="auto"/>
          <w:sz w:val="24"/>
          <w:highlight w:val="none"/>
        </w:rPr>
      </w:pPr>
      <w:r>
        <w:rPr>
          <w:rFonts w:hAnsi="宋体"/>
          <w:b w:val="0"/>
          <w:color w:val="auto"/>
          <w:sz w:val="24"/>
          <w:highlight w:val="none"/>
        </w:rPr>
        <w:br w:type="page"/>
      </w:r>
    </w:p>
    <w:p w14:paraId="4DC537F8">
      <w:pPr>
        <w:pStyle w:val="2"/>
        <w:jc w:val="center"/>
        <w:rPr>
          <w:rFonts w:hint="eastAsia"/>
          <w:color w:val="auto"/>
          <w:highlight w:val="none"/>
        </w:rPr>
      </w:pPr>
      <w:bookmarkStart w:id="174" w:name="_Toc25250"/>
      <w:r>
        <w:rPr>
          <w:rFonts w:hint="eastAsia"/>
          <w:color w:val="auto"/>
          <w:highlight w:val="none"/>
        </w:rPr>
        <w:t>第五章  拟签订的合同文本</w:t>
      </w:r>
      <w:bookmarkEnd w:id="174"/>
    </w:p>
    <w:p w14:paraId="0BED9228">
      <w:pPr>
        <w:snapToGrid w:val="0"/>
        <w:jc w:val="center"/>
        <w:rPr>
          <w:rFonts w:hint="eastAsia" w:ascii="宋体" w:hAnsi="宋体"/>
          <w:bCs/>
          <w:color w:val="auto"/>
          <w:sz w:val="32"/>
          <w:szCs w:val="32"/>
          <w:highlight w:val="none"/>
        </w:rPr>
      </w:pPr>
    </w:p>
    <w:p w14:paraId="48065EA7">
      <w:pPr>
        <w:snapToGrid w:val="0"/>
        <w:jc w:val="center"/>
        <w:rPr>
          <w:rFonts w:hint="eastAsia" w:ascii="宋体" w:hAnsi="宋体"/>
          <w:bCs/>
          <w:color w:val="auto"/>
          <w:sz w:val="32"/>
          <w:szCs w:val="32"/>
          <w:highlight w:val="none"/>
        </w:rPr>
      </w:pPr>
    </w:p>
    <w:p w14:paraId="77C9C815">
      <w:pPr>
        <w:snapToGrid w:val="0"/>
        <w:jc w:val="center"/>
        <w:rPr>
          <w:rFonts w:hint="eastAsia" w:ascii="宋体" w:hAnsi="宋体"/>
          <w:bCs/>
          <w:color w:val="auto"/>
          <w:sz w:val="32"/>
          <w:szCs w:val="32"/>
          <w:highlight w:val="none"/>
        </w:rPr>
      </w:pPr>
    </w:p>
    <w:p w14:paraId="5CB38421">
      <w:pPr>
        <w:snapToGrid w:val="0"/>
        <w:jc w:val="center"/>
        <w:rPr>
          <w:rFonts w:hint="eastAsia" w:ascii="宋体" w:hAnsi="宋体"/>
          <w:bCs/>
          <w:color w:val="auto"/>
          <w:sz w:val="32"/>
          <w:szCs w:val="32"/>
          <w:highlight w:val="none"/>
        </w:rPr>
      </w:pPr>
    </w:p>
    <w:p w14:paraId="38BE937F">
      <w:pPr>
        <w:snapToGrid w:val="0"/>
        <w:jc w:val="center"/>
        <w:rPr>
          <w:rFonts w:hint="eastAsia" w:ascii="宋体" w:hAnsi="宋体"/>
          <w:bCs/>
          <w:color w:val="auto"/>
          <w:sz w:val="32"/>
          <w:szCs w:val="32"/>
          <w:highlight w:val="none"/>
        </w:rPr>
      </w:pPr>
    </w:p>
    <w:p w14:paraId="3AEDFEAA">
      <w:pPr>
        <w:snapToGrid w:val="0"/>
        <w:jc w:val="center"/>
        <w:rPr>
          <w:rFonts w:hint="eastAsia" w:ascii="宋体" w:hAnsi="宋体"/>
          <w:bCs/>
          <w:color w:val="auto"/>
          <w:sz w:val="32"/>
          <w:szCs w:val="32"/>
          <w:highlight w:val="none"/>
        </w:rPr>
      </w:pPr>
    </w:p>
    <w:p w14:paraId="25131E80">
      <w:pPr>
        <w:snapToGrid w:val="0"/>
        <w:jc w:val="center"/>
        <w:rPr>
          <w:rFonts w:hint="eastAsia" w:ascii="宋体" w:hAnsi="宋体"/>
          <w:bCs/>
          <w:color w:val="auto"/>
          <w:sz w:val="32"/>
          <w:szCs w:val="32"/>
          <w:highlight w:val="none"/>
        </w:rPr>
      </w:pPr>
    </w:p>
    <w:p w14:paraId="534D58E9">
      <w:pPr>
        <w:snapToGrid w:val="0"/>
        <w:jc w:val="center"/>
        <w:rPr>
          <w:rFonts w:hint="eastAsia" w:ascii="宋体" w:hAnsi="宋体"/>
          <w:bCs/>
          <w:color w:val="auto"/>
          <w:sz w:val="32"/>
          <w:szCs w:val="32"/>
          <w:highlight w:val="none"/>
        </w:rPr>
      </w:pPr>
    </w:p>
    <w:p w14:paraId="44125E0D">
      <w:pPr>
        <w:snapToGrid w:val="0"/>
        <w:jc w:val="center"/>
        <w:rPr>
          <w:rFonts w:hint="eastAsia" w:ascii="宋体" w:hAnsi="宋体"/>
          <w:bCs/>
          <w:color w:val="auto"/>
          <w:sz w:val="32"/>
          <w:szCs w:val="32"/>
          <w:highlight w:val="none"/>
        </w:rPr>
      </w:pPr>
    </w:p>
    <w:p w14:paraId="786AC17C">
      <w:pPr>
        <w:snapToGrid w:val="0"/>
        <w:jc w:val="center"/>
        <w:rPr>
          <w:rFonts w:hint="eastAsia" w:ascii="宋体" w:hAnsi="宋体"/>
          <w:bCs/>
          <w:color w:val="auto"/>
          <w:sz w:val="32"/>
          <w:szCs w:val="32"/>
          <w:highlight w:val="none"/>
        </w:rPr>
      </w:pPr>
    </w:p>
    <w:p w14:paraId="49DA8DE9">
      <w:pPr>
        <w:snapToGrid w:val="0"/>
        <w:jc w:val="center"/>
        <w:rPr>
          <w:rFonts w:hint="eastAsia" w:ascii="宋体" w:hAnsi="宋体"/>
          <w:bCs/>
          <w:color w:val="auto"/>
          <w:sz w:val="32"/>
          <w:szCs w:val="32"/>
          <w:highlight w:val="none"/>
        </w:rPr>
      </w:pPr>
    </w:p>
    <w:p w14:paraId="7B13CF6D">
      <w:pPr>
        <w:pStyle w:val="25"/>
        <w:jc w:val="center"/>
        <w:rPr>
          <w:rFonts w:hint="eastAsia" w:ascii="黑体" w:hAnsi="宋体" w:eastAsia="黑体"/>
          <w:b/>
          <w:color w:val="auto"/>
          <w:sz w:val="44"/>
          <w:szCs w:val="44"/>
          <w:highlight w:val="none"/>
        </w:rPr>
      </w:pPr>
      <w:r>
        <w:rPr>
          <w:rFonts w:ascii="宋体" w:hAnsi="宋体"/>
          <w:bCs/>
          <w:color w:val="auto"/>
          <w:highlight w:val="none"/>
        </w:rPr>
        <w:br w:type="page"/>
      </w:r>
    </w:p>
    <w:p w14:paraId="353E9CC9">
      <w:pPr>
        <w:pStyle w:val="25"/>
        <w:jc w:val="center"/>
        <w:rPr>
          <w:rFonts w:hint="eastAsia" w:hAnsi="宋体"/>
          <w:b/>
          <w:color w:val="auto"/>
          <w:sz w:val="52"/>
          <w:szCs w:val="52"/>
          <w:highlight w:val="none"/>
        </w:rPr>
      </w:pPr>
      <w:r>
        <w:rPr>
          <w:rFonts w:hint="eastAsia" w:hAnsi="宋体"/>
          <w:b/>
          <w:color w:val="auto"/>
          <w:sz w:val="52"/>
          <w:szCs w:val="52"/>
          <w:highlight w:val="none"/>
        </w:rPr>
        <w:t>广西壮族自治区政府采购合同</w:t>
      </w:r>
    </w:p>
    <w:p w14:paraId="262B0AFD">
      <w:pPr>
        <w:pStyle w:val="25"/>
        <w:rPr>
          <w:rFonts w:hint="eastAsia" w:hAnsi="宋体"/>
          <w:color w:val="auto"/>
          <w:highlight w:val="none"/>
        </w:rPr>
      </w:pPr>
    </w:p>
    <w:p w14:paraId="59C719E3">
      <w:pPr>
        <w:pStyle w:val="25"/>
        <w:rPr>
          <w:rFonts w:hint="eastAsia" w:hAnsi="宋体"/>
          <w:color w:val="auto"/>
          <w:highlight w:val="none"/>
        </w:rPr>
      </w:pPr>
    </w:p>
    <w:p w14:paraId="034DB417">
      <w:pPr>
        <w:pStyle w:val="25"/>
        <w:ind w:firstLine="1590" w:firstLineChars="495"/>
        <w:rPr>
          <w:rFonts w:hint="eastAsia" w:hAnsi="宋体"/>
          <w:b/>
          <w:color w:val="auto"/>
          <w:sz w:val="32"/>
          <w:szCs w:val="32"/>
          <w:highlight w:val="none"/>
        </w:rPr>
      </w:pPr>
    </w:p>
    <w:p w14:paraId="0F7C7334">
      <w:pPr>
        <w:pStyle w:val="25"/>
        <w:ind w:firstLine="1590" w:firstLineChars="495"/>
        <w:rPr>
          <w:rFonts w:hint="eastAsia" w:hAnsi="宋体"/>
          <w:b/>
          <w:color w:val="auto"/>
          <w:sz w:val="32"/>
          <w:szCs w:val="32"/>
          <w:highlight w:val="none"/>
        </w:rPr>
      </w:pPr>
    </w:p>
    <w:p w14:paraId="3C443D6D">
      <w:pPr>
        <w:pStyle w:val="25"/>
        <w:ind w:firstLine="1590" w:firstLineChars="495"/>
        <w:rPr>
          <w:rFonts w:hint="eastAsia" w:hAnsi="宋体"/>
          <w:b/>
          <w:color w:val="auto"/>
          <w:sz w:val="32"/>
          <w:szCs w:val="32"/>
          <w:highlight w:val="none"/>
        </w:rPr>
      </w:pPr>
      <w:r>
        <w:rPr>
          <w:rFonts w:hint="eastAsia" w:hAnsi="宋体"/>
          <w:b/>
          <w:color w:val="auto"/>
          <w:sz w:val="32"/>
          <w:szCs w:val="32"/>
          <w:highlight w:val="none"/>
        </w:rPr>
        <w:t>合同名称：</w:t>
      </w:r>
      <w:r>
        <w:rPr>
          <w:rFonts w:hint="eastAsia" w:hAnsi="宋体"/>
          <w:b/>
          <w:color w:val="auto"/>
          <w:sz w:val="32"/>
          <w:szCs w:val="32"/>
          <w:highlight w:val="none"/>
          <w:u w:val="single"/>
        </w:rPr>
        <w:t xml:space="preserve">                           </w:t>
      </w:r>
    </w:p>
    <w:p w14:paraId="3CFB7246">
      <w:pPr>
        <w:pStyle w:val="25"/>
        <w:ind w:firstLine="1590" w:firstLineChars="495"/>
        <w:rPr>
          <w:rFonts w:hint="eastAsia" w:hAnsi="宋体"/>
          <w:b/>
          <w:color w:val="auto"/>
          <w:sz w:val="32"/>
          <w:szCs w:val="32"/>
          <w:highlight w:val="none"/>
          <w:u w:val="single"/>
        </w:rPr>
      </w:pPr>
      <w:r>
        <w:rPr>
          <w:rFonts w:hint="eastAsia" w:hAnsi="宋体"/>
          <w:b/>
          <w:color w:val="auto"/>
          <w:sz w:val="32"/>
          <w:szCs w:val="32"/>
          <w:highlight w:val="none"/>
        </w:rPr>
        <w:t>合同编号：</w:t>
      </w:r>
      <w:r>
        <w:rPr>
          <w:rFonts w:hint="eastAsia" w:hAnsi="宋体"/>
          <w:b/>
          <w:color w:val="auto"/>
          <w:sz w:val="32"/>
          <w:szCs w:val="32"/>
          <w:highlight w:val="none"/>
          <w:u w:val="single"/>
        </w:rPr>
        <w:t xml:space="preserve">                           </w:t>
      </w:r>
    </w:p>
    <w:p w14:paraId="5C3AF95A">
      <w:pPr>
        <w:pStyle w:val="25"/>
        <w:jc w:val="center"/>
        <w:rPr>
          <w:rFonts w:hint="eastAsia" w:hAnsi="宋体"/>
          <w:color w:val="auto"/>
          <w:highlight w:val="none"/>
        </w:rPr>
      </w:pPr>
    </w:p>
    <w:p w14:paraId="63069AE5">
      <w:pPr>
        <w:pStyle w:val="25"/>
        <w:jc w:val="center"/>
        <w:rPr>
          <w:rFonts w:hint="eastAsia" w:hAnsi="宋体"/>
          <w:color w:val="auto"/>
          <w:highlight w:val="none"/>
        </w:rPr>
      </w:pPr>
    </w:p>
    <w:p w14:paraId="38D5B1DD">
      <w:pPr>
        <w:pStyle w:val="25"/>
        <w:jc w:val="center"/>
        <w:rPr>
          <w:rFonts w:hint="eastAsia" w:hAnsi="宋体"/>
          <w:color w:val="auto"/>
          <w:highlight w:val="none"/>
        </w:rPr>
      </w:pPr>
    </w:p>
    <w:p w14:paraId="062EFED1">
      <w:pPr>
        <w:pStyle w:val="25"/>
        <w:spacing w:after="156" w:afterLines="50" w:line="340" w:lineRule="exact"/>
        <w:ind w:firstLine="1590" w:firstLineChars="495"/>
        <w:rPr>
          <w:rFonts w:hAnsi="宋体"/>
          <w:b/>
          <w:color w:val="auto"/>
          <w:sz w:val="32"/>
          <w:szCs w:val="32"/>
          <w:highlight w:val="none"/>
          <w:u w:val="single"/>
        </w:rPr>
      </w:pPr>
      <w:r>
        <w:rPr>
          <w:rFonts w:hint="eastAsia" w:hAnsi="宋体"/>
          <w:b/>
          <w:color w:val="auto"/>
          <w:sz w:val="32"/>
          <w:szCs w:val="32"/>
          <w:highlight w:val="none"/>
        </w:rPr>
        <w:t>采购单位（甲方）</w:t>
      </w:r>
      <w:r>
        <w:rPr>
          <w:rFonts w:ascii="仿宋_GB2312" w:hAnsi="宋体" w:eastAsia="仿宋_GB2312"/>
          <w:bCs/>
          <w:color w:val="auto"/>
          <w:sz w:val="30"/>
          <w:szCs w:val="72"/>
          <w:highlight w:val="none"/>
          <w:u w:val="single"/>
          <w:lang w:val="en"/>
        </w:rPr>
        <w:t xml:space="preserve"> </w:t>
      </w:r>
      <w:r>
        <w:rPr>
          <w:rFonts w:hint="eastAsia" w:ascii="仿宋_GB2312" w:hAnsi="宋体" w:eastAsia="仿宋_GB2312"/>
          <w:bCs/>
          <w:color w:val="auto"/>
          <w:sz w:val="30"/>
          <w:szCs w:val="72"/>
          <w:highlight w:val="none"/>
          <w:u w:val="single"/>
          <w:lang w:val="en-US" w:eastAsia="zh-CN"/>
        </w:rPr>
        <w:t xml:space="preserve">                     </w:t>
      </w:r>
      <w:r>
        <w:rPr>
          <w:rFonts w:hint="eastAsia" w:hAnsi="宋体"/>
          <w:b/>
          <w:color w:val="auto"/>
          <w:sz w:val="32"/>
          <w:szCs w:val="32"/>
          <w:highlight w:val="none"/>
          <w:u w:val="single"/>
        </w:rPr>
        <w:t xml:space="preserve"> </w:t>
      </w:r>
    </w:p>
    <w:p w14:paraId="593BAE72">
      <w:pPr>
        <w:pStyle w:val="25"/>
        <w:spacing w:line="340" w:lineRule="exact"/>
        <w:ind w:firstLine="1590" w:firstLineChars="495"/>
        <w:rPr>
          <w:rFonts w:hint="eastAsia" w:hAnsi="宋体"/>
          <w:b/>
          <w:color w:val="auto"/>
          <w:sz w:val="32"/>
          <w:szCs w:val="32"/>
          <w:highlight w:val="none"/>
        </w:rPr>
      </w:pPr>
    </w:p>
    <w:p w14:paraId="03749255">
      <w:pPr>
        <w:pStyle w:val="25"/>
        <w:spacing w:line="340" w:lineRule="exact"/>
        <w:ind w:firstLine="1590" w:firstLineChars="495"/>
        <w:rPr>
          <w:rFonts w:hint="eastAsia" w:hAnsi="宋体"/>
          <w:b/>
          <w:color w:val="auto"/>
          <w:sz w:val="32"/>
          <w:szCs w:val="32"/>
          <w:highlight w:val="none"/>
        </w:rPr>
      </w:pPr>
    </w:p>
    <w:p w14:paraId="39ED0A2C">
      <w:pPr>
        <w:pStyle w:val="25"/>
        <w:spacing w:after="156" w:afterLines="50" w:line="340" w:lineRule="exact"/>
        <w:ind w:firstLine="1590" w:firstLineChars="495"/>
        <w:rPr>
          <w:rFonts w:hint="eastAsia" w:hAnsi="宋体"/>
          <w:b/>
          <w:color w:val="auto"/>
          <w:sz w:val="32"/>
          <w:szCs w:val="32"/>
          <w:highlight w:val="none"/>
          <w:u w:val="single"/>
        </w:rPr>
      </w:pPr>
      <w:r>
        <w:rPr>
          <w:rFonts w:hint="eastAsia" w:hAnsi="宋体"/>
          <w:b/>
          <w:color w:val="auto"/>
          <w:sz w:val="32"/>
          <w:szCs w:val="32"/>
          <w:highlight w:val="none"/>
        </w:rPr>
        <w:t>供 应 商（乙方）</w:t>
      </w:r>
      <w:r>
        <w:rPr>
          <w:rFonts w:hint="eastAsia" w:hAnsi="宋体"/>
          <w:b/>
          <w:color w:val="auto"/>
          <w:sz w:val="32"/>
          <w:szCs w:val="32"/>
          <w:highlight w:val="none"/>
          <w:u w:val="single"/>
        </w:rPr>
        <w:t xml:space="preserve">                      </w:t>
      </w:r>
    </w:p>
    <w:p w14:paraId="2370C8BF">
      <w:pPr>
        <w:pStyle w:val="25"/>
        <w:spacing w:line="340" w:lineRule="exact"/>
        <w:ind w:firstLine="1590" w:firstLineChars="495"/>
        <w:rPr>
          <w:rFonts w:hint="eastAsia" w:hAnsi="宋体"/>
          <w:b/>
          <w:color w:val="auto"/>
          <w:sz w:val="32"/>
          <w:szCs w:val="32"/>
          <w:highlight w:val="none"/>
        </w:rPr>
      </w:pPr>
    </w:p>
    <w:p w14:paraId="3360F55E">
      <w:pPr>
        <w:pStyle w:val="25"/>
        <w:jc w:val="center"/>
        <w:rPr>
          <w:rFonts w:hint="eastAsia" w:hAnsi="宋体"/>
          <w:color w:val="auto"/>
          <w:highlight w:val="none"/>
        </w:rPr>
      </w:pPr>
      <w:r>
        <w:rPr>
          <w:rFonts w:hint="eastAsia" w:hAnsi="宋体"/>
          <w:color w:val="auto"/>
          <w:highlight w:val="none"/>
        </w:rPr>
        <w:t xml:space="preserve"> </w:t>
      </w:r>
    </w:p>
    <w:p w14:paraId="70AE6A8E">
      <w:pPr>
        <w:pStyle w:val="25"/>
        <w:jc w:val="center"/>
        <w:rPr>
          <w:rFonts w:hint="eastAsia" w:hAnsi="宋体"/>
          <w:color w:val="auto"/>
          <w:highlight w:val="none"/>
        </w:rPr>
      </w:pPr>
    </w:p>
    <w:p w14:paraId="6D78BAC2">
      <w:pPr>
        <w:pStyle w:val="25"/>
        <w:ind w:firstLine="1590" w:firstLineChars="495"/>
        <w:rPr>
          <w:rFonts w:hint="eastAsia" w:hAnsi="宋体"/>
          <w:b/>
          <w:color w:val="auto"/>
          <w:sz w:val="32"/>
          <w:szCs w:val="32"/>
          <w:highlight w:val="none"/>
          <w:u w:val="single"/>
        </w:rPr>
      </w:pPr>
      <w:r>
        <w:rPr>
          <w:rFonts w:hint="eastAsia" w:hAnsi="宋体"/>
          <w:b/>
          <w:color w:val="auto"/>
          <w:sz w:val="32"/>
          <w:szCs w:val="32"/>
          <w:highlight w:val="none"/>
        </w:rPr>
        <w:t>签订合同地点：</w:t>
      </w:r>
      <w:r>
        <w:rPr>
          <w:rFonts w:hint="eastAsia" w:hAnsi="宋体"/>
          <w:b/>
          <w:color w:val="auto"/>
          <w:sz w:val="32"/>
          <w:szCs w:val="32"/>
          <w:highlight w:val="none"/>
          <w:u w:val="single"/>
        </w:rPr>
        <w:t xml:space="preserve"> </w:t>
      </w:r>
      <w:r>
        <w:rPr>
          <w:rFonts w:hint="eastAsia" w:hAnsi="宋体"/>
          <w:bCs/>
          <w:color w:val="auto"/>
          <w:sz w:val="32"/>
          <w:szCs w:val="32"/>
          <w:highlight w:val="none"/>
          <w:u w:val="single"/>
        </w:rPr>
        <w:t xml:space="preserve"> </w:t>
      </w:r>
      <w:r>
        <w:rPr>
          <w:rFonts w:hint="eastAsia" w:hAnsi="宋体"/>
          <w:bCs/>
          <w:color w:val="auto"/>
          <w:sz w:val="32"/>
          <w:szCs w:val="32"/>
          <w:highlight w:val="none"/>
          <w:u w:val="single"/>
          <w:lang w:val="en-US" w:eastAsia="zh-CN"/>
        </w:rPr>
        <w:t xml:space="preserve">             </w:t>
      </w:r>
      <w:r>
        <w:rPr>
          <w:rFonts w:hint="eastAsia" w:hAnsi="宋体"/>
          <w:bCs/>
          <w:color w:val="auto"/>
          <w:sz w:val="32"/>
          <w:szCs w:val="32"/>
          <w:highlight w:val="none"/>
          <w:u w:val="single"/>
        </w:rPr>
        <w:t xml:space="preserve">  </w:t>
      </w:r>
      <w:r>
        <w:rPr>
          <w:rFonts w:hint="eastAsia" w:hAnsi="宋体"/>
          <w:b/>
          <w:color w:val="auto"/>
          <w:sz w:val="32"/>
          <w:szCs w:val="32"/>
          <w:highlight w:val="none"/>
          <w:u w:val="single"/>
        </w:rPr>
        <w:t xml:space="preserve">      </w:t>
      </w:r>
    </w:p>
    <w:p w14:paraId="793B7D95">
      <w:pPr>
        <w:pStyle w:val="25"/>
        <w:ind w:firstLine="1590" w:firstLineChars="495"/>
        <w:rPr>
          <w:rFonts w:hint="eastAsia" w:hAnsi="宋体"/>
          <w:b/>
          <w:color w:val="auto"/>
          <w:sz w:val="32"/>
          <w:szCs w:val="32"/>
          <w:highlight w:val="none"/>
        </w:rPr>
      </w:pPr>
    </w:p>
    <w:p w14:paraId="2B7296BF">
      <w:pPr>
        <w:pStyle w:val="25"/>
        <w:ind w:firstLine="1590" w:firstLineChars="495"/>
        <w:rPr>
          <w:rFonts w:hint="eastAsia" w:hAnsi="宋体"/>
          <w:b/>
          <w:color w:val="auto"/>
          <w:sz w:val="32"/>
          <w:szCs w:val="32"/>
          <w:highlight w:val="none"/>
        </w:rPr>
      </w:pPr>
      <w:r>
        <w:rPr>
          <w:rFonts w:hint="eastAsia" w:hAnsi="宋体"/>
          <w:b/>
          <w:color w:val="auto"/>
          <w:sz w:val="32"/>
          <w:szCs w:val="32"/>
          <w:highlight w:val="none"/>
        </w:rPr>
        <w:t>签订合同时间：</w:t>
      </w:r>
      <w:r>
        <w:rPr>
          <w:rFonts w:hint="eastAsia" w:hAnsi="宋体"/>
          <w:b/>
          <w:color w:val="auto"/>
          <w:sz w:val="32"/>
          <w:szCs w:val="32"/>
          <w:highlight w:val="none"/>
          <w:u w:val="single"/>
        </w:rPr>
        <w:t xml:space="preserve">                       </w:t>
      </w:r>
    </w:p>
    <w:p w14:paraId="5E516A46">
      <w:pPr>
        <w:pStyle w:val="25"/>
        <w:jc w:val="center"/>
        <w:rPr>
          <w:rFonts w:hint="eastAsia" w:hAnsi="宋体"/>
          <w:color w:val="auto"/>
          <w:highlight w:val="none"/>
        </w:rPr>
      </w:pPr>
    </w:p>
    <w:p w14:paraId="7DA997B2">
      <w:pPr>
        <w:pStyle w:val="25"/>
        <w:jc w:val="center"/>
        <w:rPr>
          <w:rFonts w:hint="eastAsia" w:hAnsi="宋体"/>
          <w:color w:val="auto"/>
          <w:highlight w:val="none"/>
        </w:rPr>
      </w:pPr>
      <w:r>
        <w:rPr>
          <w:rFonts w:hint="eastAsia" w:hAnsi="宋体"/>
          <w:color w:val="auto"/>
          <w:highlight w:val="none"/>
        </w:rPr>
        <w:t xml:space="preserve">  </w:t>
      </w:r>
    </w:p>
    <w:p w14:paraId="1949693C">
      <w:pPr>
        <w:pStyle w:val="25"/>
        <w:jc w:val="center"/>
        <w:rPr>
          <w:rFonts w:hint="eastAsia" w:hAnsi="宋体"/>
          <w:color w:val="auto"/>
          <w:highlight w:val="none"/>
        </w:rPr>
      </w:pPr>
    </w:p>
    <w:p w14:paraId="4930227A">
      <w:pPr>
        <w:pStyle w:val="25"/>
        <w:jc w:val="center"/>
        <w:rPr>
          <w:rFonts w:hint="eastAsia" w:hAnsi="宋体"/>
          <w:color w:val="auto"/>
          <w:highlight w:val="none"/>
        </w:rPr>
      </w:pPr>
    </w:p>
    <w:p w14:paraId="754F0B6E">
      <w:pPr>
        <w:pStyle w:val="25"/>
        <w:jc w:val="center"/>
        <w:rPr>
          <w:rFonts w:hint="eastAsia" w:hAnsi="宋体"/>
          <w:color w:val="auto"/>
          <w:highlight w:val="none"/>
        </w:rPr>
      </w:pPr>
    </w:p>
    <w:p w14:paraId="4665B565">
      <w:pPr>
        <w:pStyle w:val="25"/>
        <w:jc w:val="center"/>
        <w:rPr>
          <w:rFonts w:hint="eastAsia" w:hAnsi="宋体"/>
          <w:color w:val="auto"/>
          <w:highlight w:val="none"/>
        </w:rPr>
      </w:pPr>
    </w:p>
    <w:p w14:paraId="60AC6E01">
      <w:pPr>
        <w:rPr>
          <w:rFonts w:hint="eastAsia" w:hAnsi="宋体"/>
          <w:color w:val="auto"/>
          <w:highlight w:val="none"/>
        </w:rPr>
      </w:pPr>
    </w:p>
    <w:p w14:paraId="039ED965">
      <w:pPr>
        <w:pStyle w:val="36"/>
        <w:rPr>
          <w:rFonts w:hint="eastAsia" w:hAnsi="宋体"/>
          <w:color w:val="auto"/>
          <w:highlight w:val="none"/>
        </w:rPr>
      </w:pPr>
    </w:p>
    <w:p w14:paraId="31337EF4">
      <w:pPr>
        <w:pStyle w:val="18"/>
        <w:rPr>
          <w:rFonts w:hint="eastAsia" w:hAnsi="宋体"/>
          <w:color w:val="auto"/>
          <w:highlight w:val="none"/>
        </w:rPr>
      </w:pPr>
    </w:p>
    <w:p w14:paraId="5379CAD4">
      <w:pPr>
        <w:rPr>
          <w:rFonts w:hint="eastAsia" w:hAnsi="宋体"/>
          <w:color w:val="auto"/>
          <w:highlight w:val="none"/>
        </w:rPr>
      </w:pPr>
    </w:p>
    <w:p w14:paraId="7C56AA8D">
      <w:pPr>
        <w:pStyle w:val="36"/>
        <w:rPr>
          <w:rFonts w:hint="eastAsia" w:hAnsi="宋体"/>
          <w:color w:val="auto"/>
          <w:highlight w:val="none"/>
        </w:rPr>
      </w:pPr>
    </w:p>
    <w:p w14:paraId="37D471C5">
      <w:pPr>
        <w:pStyle w:val="18"/>
        <w:rPr>
          <w:rFonts w:hint="eastAsia"/>
          <w:color w:val="auto"/>
          <w:highlight w:val="none"/>
        </w:rPr>
      </w:pPr>
    </w:p>
    <w:p w14:paraId="43936D7F">
      <w:pPr>
        <w:pStyle w:val="25"/>
        <w:spacing w:line="420" w:lineRule="exact"/>
        <w:ind w:firstLine="0" w:firstLineChars="0"/>
        <w:jc w:val="center"/>
        <w:rPr>
          <w:rFonts w:hint="eastAsia" w:hAnsi="宋体"/>
          <w:color w:val="auto"/>
          <w:highlight w:val="none"/>
        </w:rPr>
      </w:pPr>
      <w:r>
        <w:rPr>
          <w:rFonts w:hint="eastAsia" w:hAnsi="宋体"/>
          <w:color w:val="auto"/>
          <w:highlight w:val="none"/>
        </w:rPr>
        <w:t>合同使用说明：根据《中华人民共和国政府采购法》、《中华人民共和国民法典》等法律、法规规定，按照招标文件规定条款和</w:t>
      </w:r>
      <w:r>
        <w:rPr>
          <w:rFonts w:hint="eastAsia" w:hAnsi="宋体"/>
          <w:color w:val="auto"/>
          <w:highlight w:val="none"/>
          <w:lang w:eastAsia="zh-CN"/>
        </w:rPr>
        <w:t>中标人</w:t>
      </w:r>
      <w:r>
        <w:rPr>
          <w:rFonts w:hint="eastAsia" w:hAnsi="宋体"/>
          <w:color w:val="auto"/>
          <w:highlight w:val="none"/>
        </w:rPr>
        <w:t>投标文件及其承诺，甲乙双方签订本合同。</w:t>
      </w:r>
    </w:p>
    <w:p w14:paraId="16215782">
      <w:pPr>
        <w:spacing w:line="360" w:lineRule="auto"/>
        <w:ind w:firstLine="3542" w:firstLineChars="1265"/>
        <w:rPr>
          <w:rFonts w:ascii="宋体" w:hAnsi="宋体" w:eastAsia="宋体" w:cs="Times New Roman"/>
          <w:color w:val="auto"/>
          <w:sz w:val="28"/>
          <w:szCs w:val="28"/>
          <w:highlight w:val="none"/>
        </w:rPr>
      </w:pPr>
      <w:bookmarkStart w:id="175" w:name="_Toc58146566"/>
    </w:p>
    <w:p w14:paraId="2F990CE3">
      <w:pPr>
        <w:spacing w:line="380" w:lineRule="exact"/>
        <w:ind w:right="800"/>
        <w:rPr>
          <w:rFonts w:ascii="宋体" w:hAnsi="宋体" w:eastAsia="宋体" w:cs="宋体"/>
          <w:color w:val="auto"/>
          <w:szCs w:val="21"/>
          <w:highlight w:val="none"/>
        </w:rPr>
      </w:pPr>
    </w:p>
    <w:p w14:paraId="5FF80F46">
      <w:pPr>
        <w:pStyle w:val="18"/>
        <w:rPr>
          <w:color w:val="auto"/>
          <w:highlight w:val="none"/>
        </w:rPr>
      </w:pPr>
    </w:p>
    <w:p w14:paraId="5D96B619">
      <w:pPr>
        <w:rPr>
          <w:color w:val="auto"/>
          <w:highlight w:val="none"/>
        </w:rPr>
      </w:pPr>
    </w:p>
    <w:p w14:paraId="2F96346A">
      <w:pPr>
        <w:rPr>
          <w:color w:val="auto"/>
          <w:highlight w:val="none"/>
        </w:rPr>
      </w:pPr>
    </w:p>
    <w:p w14:paraId="7D4EA787">
      <w:pPr>
        <w:spacing w:line="380" w:lineRule="exact"/>
        <w:ind w:right="800"/>
        <w:rPr>
          <w:rFonts w:ascii="宋体" w:hAnsi="宋体" w:eastAsia="宋体" w:cs="宋体"/>
          <w:color w:val="auto"/>
          <w:szCs w:val="21"/>
          <w:highlight w:val="none"/>
        </w:rPr>
      </w:pPr>
      <w:r>
        <w:rPr>
          <w:rFonts w:hint="eastAsia" w:ascii="宋体" w:hAnsi="宋体" w:eastAsia="宋体" w:cs="宋体"/>
          <w:color w:val="auto"/>
          <w:szCs w:val="21"/>
          <w:highlight w:val="none"/>
        </w:rPr>
        <w:t>采购计划号：</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ascii="宋体" w:hAnsi="宋体" w:eastAsia="宋体" w:cs="宋体"/>
          <w:color w:val="auto"/>
          <w:szCs w:val="21"/>
          <w:highlight w:val="none"/>
        </w:rPr>
        <w:t xml:space="preserve">   </w:t>
      </w:r>
    </w:p>
    <w:p w14:paraId="139375D1">
      <w:pPr>
        <w:spacing w:line="380" w:lineRule="exact"/>
        <w:ind w:right="800"/>
        <w:rPr>
          <w:rFonts w:ascii="宋体" w:hAnsi="宋体" w:eastAsia="宋体" w:cs="宋体"/>
          <w:bCs/>
          <w:color w:val="auto"/>
          <w:szCs w:val="21"/>
          <w:highlight w:val="none"/>
          <w:u w:val="single"/>
        </w:rPr>
      </w:pPr>
      <w:r>
        <w:rPr>
          <w:rFonts w:hint="eastAsia" w:ascii="宋体" w:hAnsi="宋体" w:eastAsia="宋体" w:cs="宋体"/>
          <w:bCs/>
          <w:color w:val="auto"/>
          <w:szCs w:val="21"/>
          <w:highlight w:val="none"/>
        </w:rPr>
        <w:t>合同编号：</w:t>
      </w:r>
      <w:r>
        <w:rPr>
          <w:rFonts w:ascii="宋体" w:hAnsi="宋体" w:eastAsia="宋体" w:cs="宋体"/>
          <w:color w:val="auto"/>
          <w:szCs w:val="21"/>
          <w:highlight w:val="none"/>
          <w:u w:val="single"/>
        </w:rPr>
        <w:t xml:space="preserve"> </w:t>
      </w:r>
      <w:r>
        <w:rPr>
          <w:rFonts w:hint="eastAsia" w:ascii="宋体" w:hAnsi="宋体" w:eastAsia="宋体" w:cs="Times New Roman"/>
          <w:bCs/>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29DC40DC">
      <w:pPr>
        <w:spacing w:line="380" w:lineRule="exact"/>
        <w:rPr>
          <w:rFonts w:ascii="宋体" w:hAnsi="宋体" w:eastAsia="宋体" w:cs="宋体"/>
          <w:color w:val="auto"/>
          <w:szCs w:val="21"/>
          <w:highlight w:val="none"/>
        </w:rPr>
      </w:pPr>
      <w:r>
        <w:rPr>
          <w:rFonts w:hint="eastAsia" w:ascii="宋体" w:hAnsi="宋体" w:eastAsia="宋体" w:cs="宋体"/>
          <w:color w:val="auto"/>
          <w:szCs w:val="21"/>
          <w:highlight w:val="none"/>
        </w:rPr>
        <w:t>采购人（甲方）：</w:t>
      </w:r>
      <w:r>
        <w:rPr>
          <w:rFonts w:hint="eastAsia" w:ascii="宋体" w:hAnsi="宋体" w:eastAsia="宋体" w:cs="宋体"/>
          <w:color w:val="auto"/>
          <w:szCs w:val="21"/>
          <w:highlight w:val="none"/>
          <w:u w:val="single"/>
        </w:rPr>
        <w:t>广西壮族自治区交通运输厅</w:t>
      </w:r>
      <w:r>
        <w:rPr>
          <w:rFonts w:hint="eastAsia" w:ascii="宋体" w:hAnsi="宋体" w:eastAsia="宋体" w:cs="宋体"/>
          <w:color w:val="auto"/>
          <w:szCs w:val="21"/>
          <w:highlight w:val="none"/>
        </w:rPr>
        <w:t xml:space="preserve">   </w:t>
      </w:r>
    </w:p>
    <w:p w14:paraId="3E8C3FD0">
      <w:pPr>
        <w:spacing w:line="380" w:lineRule="exac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供应商（乙方）：   </w:t>
      </w:r>
    </w:p>
    <w:p w14:paraId="01D8DA2D">
      <w:pPr>
        <w:spacing w:line="380" w:lineRule="exact"/>
        <w:jc w:val="left"/>
        <w:rPr>
          <w:rFonts w:hint="default"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lang w:val="en-US" w:eastAsia="zh-CN"/>
        </w:rPr>
        <w:t xml:space="preserve">                         </w:t>
      </w:r>
    </w:p>
    <w:p w14:paraId="3491491D">
      <w:pPr>
        <w:spacing w:line="380" w:lineRule="exact"/>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项目编号：</w:t>
      </w:r>
      <w:r>
        <w:rPr>
          <w:rFonts w:hint="eastAsia" w:ascii="宋体" w:hAnsi="宋体" w:eastAsia="宋体" w:cs="Times New Roman"/>
          <w:color w:val="auto"/>
          <w:szCs w:val="21"/>
          <w:highlight w:val="none"/>
          <w:u w:val="single"/>
        </w:rPr>
        <w:t xml:space="preserve">                        </w:t>
      </w:r>
      <w:r>
        <w:rPr>
          <w:rFonts w:ascii="宋体" w:hAnsi="宋体" w:eastAsia="宋体" w:cs="Times New Roman"/>
          <w:color w:val="auto"/>
          <w:szCs w:val="21"/>
          <w:highlight w:val="none"/>
          <w:u w:val="single"/>
        </w:rPr>
        <w:t xml:space="preserve"> </w:t>
      </w:r>
    </w:p>
    <w:p w14:paraId="7F870C8F">
      <w:pPr>
        <w:spacing w:line="380" w:lineRule="exact"/>
        <w:rPr>
          <w:rFonts w:ascii="宋体" w:hAnsi="宋体" w:eastAsia="宋体" w:cs="宋体"/>
          <w:color w:val="auto"/>
          <w:szCs w:val="21"/>
          <w:highlight w:val="none"/>
        </w:rPr>
      </w:pPr>
      <w:r>
        <w:rPr>
          <w:rFonts w:hint="eastAsia" w:ascii="宋体" w:hAnsi="宋体" w:eastAsia="宋体" w:cs="宋体"/>
          <w:color w:val="auto"/>
          <w:szCs w:val="21"/>
          <w:highlight w:val="none"/>
        </w:rPr>
        <w:t>签订地点：</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广西壮族自治区南宁市</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7761BF47">
      <w:pPr>
        <w:spacing w:line="38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签订时间：</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202</w:t>
      </w:r>
      <w:r>
        <w:rPr>
          <w:rFonts w:hint="eastAsia" w:ascii="宋体" w:hAnsi="宋体" w:eastAsia="宋体" w:cs="宋体"/>
          <w:color w:val="auto"/>
          <w:szCs w:val="21"/>
          <w:highlight w:val="none"/>
          <w:u w:val="single"/>
          <w:lang w:val="en-US" w:eastAsia="zh-CN"/>
        </w:rPr>
        <w:t>6</w:t>
      </w:r>
      <w:r>
        <w:rPr>
          <w:rFonts w:hint="eastAsia" w:ascii="宋体" w:hAnsi="宋体" w:eastAsia="宋体" w:cs="宋体"/>
          <w:color w:val="auto"/>
          <w:szCs w:val="21"/>
          <w:highlight w:val="none"/>
          <w:u w:val="single"/>
        </w:rPr>
        <w:t xml:space="preserve">年   月   日       </w:t>
      </w:r>
    </w:p>
    <w:p w14:paraId="773DFC15">
      <w:pPr>
        <w:spacing w:line="38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本合同为中小企业预留合同：</w:t>
      </w:r>
      <w:r>
        <w:rPr>
          <w:rFonts w:hint="eastAsia" w:ascii="宋体" w:hAnsi="宋体" w:eastAsia="宋体" w:cs="宋体"/>
          <w:color w:val="auto"/>
          <w:szCs w:val="21"/>
          <w:highlight w:val="none"/>
          <w:u w:val="single"/>
          <w:lang w:eastAsia="zh-CN"/>
        </w:rPr>
        <w:t>是</w:t>
      </w:r>
      <w:r>
        <w:rPr>
          <w:rFonts w:hint="eastAsia" w:ascii="宋体" w:hAnsi="宋体" w:eastAsia="宋体" w:cs="宋体"/>
          <w:color w:val="auto"/>
          <w:szCs w:val="21"/>
          <w:highlight w:val="none"/>
        </w:rPr>
        <w:t>。</w:t>
      </w:r>
    </w:p>
    <w:p w14:paraId="74D2E2DF">
      <w:pPr>
        <w:spacing w:line="380" w:lineRule="exact"/>
        <w:rPr>
          <w:rFonts w:hint="eastAsia" w:ascii="宋体" w:hAnsi="宋体" w:eastAsia="宋体" w:cs="宋体"/>
          <w:color w:val="auto"/>
          <w:szCs w:val="21"/>
          <w:highlight w:val="none"/>
        </w:rPr>
      </w:pPr>
    </w:p>
    <w:p w14:paraId="5C253A89">
      <w:pPr>
        <w:spacing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w:t>
      </w:r>
      <w:r>
        <w:rPr>
          <w:rFonts w:hint="eastAsia" w:ascii="宋体" w:hAnsi="宋体" w:eastAsia="宋体" w:cs="宋体"/>
          <w:i w:val="0"/>
          <w:iCs w:val="0"/>
          <w:caps w:val="0"/>
          <w:color w:val="auto"/>
          <w:spacing w:val="0"/>
          <w:sz w:val="21"/>
          <w:szCs w:val="21"/>
          <w:highlight w:val="none"/>
          <w:shd w:val="clear" w:color="auto" w:fill="FFFFFF"/>
        </w:rPr>
        <w:t>《中华人民共和国政府采购法》</w:t>
      </w:r>
      <w:r>
        <w:rPr>
          <w:rFonts w:hint="eastAsia" w:ascii="宋体" w:hAnsi="宋体" w:eastAsia="宋体" w:cs="宋体"/>
          <w:i w:val="0"/>
          <w:iCs w:val="0"/>
          <w:caps w:val="0"/>
          <w:color w:val="auto"/>
          <w:spacing w:val="0"/>
          <w:sz w:val="21"/>
          <w:szCs w:val="21"/>
          <w:highlight w:val="none"/>
          <w:shd w:val="clear" w:color="auto" w:fill="FFFFFF"/>
          <w:lang w:eastAsia="zh-CN"/>
        </w:rPr>
        <w:t>、</w:t>
      </w:r>
      <w:r>
        <w:rPr>
          <w:rFonts w:hint="eastAsia" w:ascii="宋体" w:hAnsi="宋体" w:eastAsia="宋体" w:cs="宋体"/>
          <w:color w:val="auto"/>
          <w:szCs w:val="21"/>
          <w:highlight w:val="none"/>
        </w:rPr>
        <w:t>《中华人民共和国民法典》等法律规定，按照</w:t>
      </w:r>
      <w:r>
        <w:rPr>
          <w:rFonts w:hint="eastAsia" w:ascii="宋体" w:hAnsi="宋体" w:eastAsia="宋体" w:cs="宋体"/>
          <w:color w:val="auto"/>
          <w:szCs w:val="21"/>
          <w:highlight w:val="none"/>
          <w:lang w:eastAsia="zh-CN"/>
        </w:rPr>
        <w:t>采购</w:t>
      </w:r>
      <w:r>
        <w:rPr>
          <w:rFonts w:hint="eastAsia" w:ascii="宋体" w:hAnsi="宋体" w:eastAsia="宋体" w:cs="Times New Roman"/>
          <w:color w:val="auto"/>
          <w:szCs w:val="21"/>
          <w:highlight w:val="none"/>
        </w:rPr>
        <w:t>文件规定条款和乙方响应文件及其承诺，经甲乙双方友好协商，签订本合同。</w:t>
      </w:r>
    </w:p>
    <w:p w14:paraId="17FE8771">
      <w:pPr>
        <w:spacing w:line="38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第一条　合同标的</w:t>
      </w:r>
    </w:p>
    <w:p w14:paraId="7A8D92F4">
      <w:pPr>
        <w:spacing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1.项目一览表</w:t>
      </w:r>
    </w:p>
    <w:tbl>
      <w:tblPr>
        <w:tblStyle w:val="47"/>
        <w:tblW w:w="9449" w:type="dxa"/>
        <w:tblInd w:w="-3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2"/>
        <w:gridCol w:w="2127"/>
        <w:gridCol w:w="3260"/>
        <w:gridCol w:w="567"/>
        <w:gridCol w:w="452"/>
        <w:gridCol w:w="1300"/>
        <w:gridCol w:w="1331"/>
      </w:tblGrid>
      <w:tr w14:paraId="7CF00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412" w:type="dxa"/>
            <w:tcBorders>
              <w:top w:val="single" w:color="auto" w:sz="4" w:space="0"/>
              <w:left w:val="single" w:color="auto" w:sz="4" w:space="0"/>
              <w:bottom w:val="single" w:color="auto" w:sz="4" w:space="0"/>
              <w:right w:val="single" w:color="auto" w:sz="4" w:space="0"/>
            </w:tcBorders>
            <w:noWrap w:val="0"/>
            <w:vAlign w:val="center"/>
          </w:tcPr>
          <w:p w14:paraId="1D54D4B2">
            <w:pPr>
              <w:spacing w:line="38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2127" w:type="dxa"/>
            <w:tcBorders>
              <w:top w:val="single" w:color="auto" w:sz="4" w:space="0"/>
              <w:left w:val="single" w:color="auto" w:sz="4" w:space="0"/>
              <w:bottom w:val="single" w:color="auto" w:sz="4" w:space="0"/>
              <w:right w:val="single" w:color="auto" w:sz="4" w:space="0"/>
            </w:tcBorders>
            <w:noWrap w:val="0"/>
            <w:vAlign w:val="center"/>
          </w:tcPr>
          <w:p w14:paraId="1199DE65">
            <w:pPr>
              <w:spacing w:line="38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名称</w:t>
            </w:r>
          </w:p>
        </w:tc>
        <w:tc>
          <w:tcPr>
            <w:tcW w:w="3260" w:type="dxa"/>
            <w:tcBorders>
              <w:top w:val="single" w:color="auto" w:sz="4" w:space="0"/>
              <w:left w:val="single" w:color="auto" w:sz="4" w:space="0"/>
              <w:bottom w:val="single" w:color="auto" w:sz="4" w:space="0"/>
              <w:right w:val="single" w:color="auto" w:sz="4" w:space="0"/>
            </w:tcBorders>
            <w:noWrap w:val="0"/>
            <w:vAlign w:val="center"/>
          </w:tcPr>
          <w:p w14:paraId="11BC6F7D">
            <w:pPr>
              <w:spacing w:line="38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服务内容</w:t>
            </w:r>
          </w:p>
        </w:tc>
        <w:tc>
          <w:tcPr>
            <w:tcW w:w="567" w:type="dxa"/>
            <w:tcBorders>
              <w:top w:val="single" w:color="auto" w:sz="4" w:space="0"/>
              <w:left w:val="single" w:color="auto" w:sz="4" w:space="0"/>
              <w:bottom w:val="single" w:color="auto" w:sz="4" w:space="0"/>
              <w:right w:val="single" w:color="auto" w:sz="4" w:space="0"/>
            </w:tcBorders>
            <w:noWrap w:val="0"/>
            <w:vAlign w:val="center"/>
          </w:tcPr>
          <w:p w14:paraId="52A300D4">
            <w:pPr>
              <w:spacing w:line="38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452" w:type="dxa"/>
            <w:tcBorders>
              <w:top w:val="single" w:color="auto" w:sz="4" w:space="0"/>
              <w:left w:val="single" w:color="auto" w:sz="4" w:space="0"/>
              <w:bottom w:val="single" w:color="auto" w:sz="4" w:space="0"/>
              <w:right w:val="single" w:color="auto" w:sz="4" w:space="0"/>
            </w:tcBorders>
            <w:noWrap w:val="0"/>
            <w:vAlign w:val="center"/>
          </w:tcPr>
          <w:p w14:paraId="6BA12C39">
            <w:pPr>
              <w:spacing w:line="38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1300" w:type="dxa"/>
            <w:tcBorders>
              <w:top w:val="single" w:color="auto" w:sz="4" w:space="0"/>
              <w:left w:val="single" w:color="auto" w:sz="4" w:space="0"/>
              <w:bottom w:val="single" w:color="auto" w:sz="4" w:space="0"/>
              <w:right w:val="single" w:color="auto" w:sz="4" w:space="0"/>
            </w:tcBorders>
            <w:noWrap w:val="0"/>
            <w:vAlign w:val="center"/>
          </w:tcPr>
          <w:p w14:paraId="452DF12E">
            <w:pPr>
              <w:spacing w:line="38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单价</w:t>
            </w:r>
          </w:p>
          <w:p w14:paraId="3F0E1055">
            <w:pPr>
              <w:spacing w:line="38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（元）</w:t>
            </w:r>
          </w:p>
        </w:tc>
        <w:tc>
          <w:tcPr>
            <w:tcW w:w="1331" w:type="dxa"/>
            <w:tcBorders>
              <w:top w:val="single" w:color="auto" w:sz="4" w:space="0"/>
              <w:left w:val="single" w:color="auto" w:sz="4" w:space="0"/>
              <w:bottom w:val="single" w:color="auto" w:sz="4" w:space="0"/>
              <w:right w:val="single" w:color="auto" w:sz="4" w:space="0"/>
            </w:tcBorders>
            <w:noWrap w:val="0"/>
            <w:vAlign w:val="center"/>
          </w:tcPr>
          <w:p w14:paraId="6C7D8B7E">
            <w:pPr>
              <w:spacing w:line="38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总价</w:t>
            </w:r>
          </w:p>
          <w:p w14:paraId="6B6ECA03">
            <w:pPr>
              <w:spacing w:line="38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（元）</w:t>
            </w:r>
          </w:p>
        </w:tc>
      </w:tr>
      <w:tr w14:paraId="3CAE0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412" w:type="dxa"/>
            <w:tcBorders>
              <w:top w:val="single" w:color="auto" w:sz="4" w:space="0"/>
              <w:left w:val="single" w:color="auto" w:sz="4" w:space="0"/>
              <w:bottom w:val="single" w:color="auto" w:sz="4" w:space="0"/>
              <w:right w:val="single" w:color="auto" w:sz="4" w:space="0"/>
            </w:tcBorders>
            <w:noWrap w:val="0"/>
            <w:vAlign w:val="center"/>
          </w:tcPr>
          <w:p w14:paraId="3FE5CC88">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127" w:type="dxa"/>
            <w:tcBorders>
              <w:top w:val="single" w:color="auto" w:sz="4" w:space="0"/>
              <w:left w:val="single" w:color="auto" w:sz="4" w:space="0"/>
              <w:bottom w:val="single" w:color="auto" w:sz="4" w:space="0"/>
              <w:right w:val="single" w:color="auto" w:sz="4" w:space="0"/>
            </w:tcBorders>
            <w:noWrap w:val="0"/>
            <w:vAlign w:val="center"/>
          </w:tcPr>
          <w:p w14:paraId="3D74E61D">
            <w:pPr>
              <w:spacing w:line="380" w:lineRule="exact"/>
              <w:jc w:val="center"/>
              <w:rPr>
                <w:rFonts w:hint="eastAsia" w:ascii="宋体" w:hAnsi="宋体" w:eastAsia="宋体" w:cs="宋体"/>
                <w:color w:val="auto"/>
                <w:szCs w:val="21"/>
                <w:highlight w:val="none"/>
                <w:lang w:eastAsia="zh-CN"/>
              </w:rPr>
            </w:pPr>
          </w:p>
        </w:tc>
        <w:tc>
          <w:tcPr>
            <w:tcW w:w="3260" w:type="dxa"/>
            <w:tcBorders>
              <w:top w:val="single" w:color="auto" w:sz="4" w:space="0"/>
              <w:left w:val="single" w:color="auto" w:sz="4" w:space="0"/>
              <w:bottom w:val="single" w:color="auto" w:sz="4" w:space="0"/>
              <w:right w:val="single" w:color="auto" w:sz="4" w:space="0"/>
            </w:tcBorders>
            <w:noWrap w:val="0"/>
            <w:vAlign w:val="center"/>
          </w:tcPr>
          <w:p w14:paraId="60808026">
            <w:pPr>
              <w:spacing w:line="380" w:lineRule="exact"/>
              <w:jc w:val="center"/>
              <w:rPr>
                <w:rFonts w:hint="eastAsia" w:ascii="宋体" w:hAnsi="宋体" w:eastAsia="宋体" w:cs="宋体"/>
                <w:color w:val="auto"/>
                <w:szCs w:val="21"/>
                <w:highlight w:val="none"/>
              </w:rPr>
            </w:pPr>
          </w:p>
        </w:tc>
        <w:tc>
          <w:tcPr>
            <w:tcW w:w="567" w:type="dxa"/>
            <w:tcBorders>
              <w:top w:val="single" w:color="auto" w:sz="4" w:space="0"/>
              <w:left w:val="single" w:color="auto" w:sz="4" w:space="0"/>
              <w:bottom w:val="single" w:color="auto" w:sz="4" w:space="0"/>
              <w:right w:val="single" w:color="auto" w:sz="4" w:space="0"/>
            </w:tcBorders>
            <w:noWrap w:val="0"/>
            <w:vAlign w:val="center"/>
          </w:tcPr>
          <w:p w14:paraId="1CAB5B15">
            <w:pPr>
              <w:spacing w:line="380" w:lineRule="exact"/>
              <w:jc w:val="center"/>
              <w:rPr>
                <w:rFonts w:hint="eastAsia" w:ascii="宋体" w:hAnsi="宋体" w:eastAsia="宋体" w:cs="宋体"/>
                <w:color w:val="auto"/>
                <w:szCs w:val="21"/>
                <w:highlight w:val="none"/>
              </w:rPr>
            </w:pPr>
          </w:p>
        </w:tc>
        <w:tc>
          <w:tcPr>
            <w:tcW w:w="452" w:type="dxa"/>
            <w:tcBorders>
              <w:top w:val="single" w:color="auto" w:sz="4" w:space="0"/>
              <w:left w:val="single" w:color="auto" w:sz="4" w:space="0"/>
              <w:bottom w:val="single" w:color="auto" w:sz="4" w:space="0"/>
              <w:right w:val="single" w:color="auto" w:sz="4" w:space="0"/>
            </w:tcBorders>
            <w:noWrap w:val="0"/>
            <w:vAlign w:val="center"/>
          </w:tcPr>
          <w:p w14:paraId="2E3049AC">
            <w:pPr>
              <w:spacing w:line="380" w:lineRule="exact"/>
              <w:jc w:val="center"/>
              <w:rPr>
                <w:rFonts w:hint="eastAsia" w:ascii="宋体" w:hAnsi="宋体" w:eastAsia="宋体" w:cs="宋体"/>
                <w:color w:val="auto"/>
                <w:szCs w:val="21"/>
                <w:highlight w:val="none"/>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14:paraId="04544F2D">
            <w:pPr>
              <w:spacing w:line="380" w:lineRule="exact"/>
              <w:jc w:val="center"/>
              <w:rPr>
                <w:rFonts w:hint="eastAsia" w:ascii="宋体" w:hAnsi="宋体" w:eastAsia="宋体" w:cs="宋体"/>
                <w:color w:val="auto"/>
                <w:szCs w:val="21"/>
                <w:highlight w:val="none"/>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14:paraId="6CA5C58F">
            <w:pPr>
              <w:spacing w:line="380" w:lineRule="exact"/>
              <w:jc w:val="center"/>
              <w:rPr>
                <w:rFonts w:hint="eastAsia" w:ascii="宋体" w:hAnsi="宋体" w:eastAsia="宋体" w:cs="宋体"/>
                <w:color w:val="auto"/>
                <w:szCs w:val="21"/>
                <w:highlight w:val="none"/>
              </w:rPr>
            </w:pPr>
          </w:p>
        </w:tc>
      </w:tr>
      <w:tr w14:paraId="7094E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449" w:type="dxa"/>
            <w:gridSpan w:val="7"/>
            <w:tcBorders>
              <w:top w:val="single" w:color="auto" w:sz="4" w:space="0"/>
              <w:left w:val="single" w:color="auto" w:sz="4" w:space="0"/>
              <w:bottom w:val="single" w:color="auto" w:sz="4" w:space="0"/>
              <w:right w:val="single" w:color="auto" w:sz="4" w:space="0"/>
            </w:tcBorders>
            <w:noWrap w:val="0"/>
            <w:vAlign w:val="center"/>
          </w:tcPr>
          <w:p w14:paraId="24893B1E">
            <w:pPr>
              <w:spacing w:line="380" w:lineRule="exact"/>
              <w:rPr>
                <w:rFonts w:ascii="宋体" w:hAnsi="宋体" w:eastAsia="宋体" w:cs="宋体"/>
                <w:color w:val="auto"/>
                <w:szCs w:val="21"/>
                <w:highlight w:val="none"/>
              </w:rPr>
            </w:pPr>
            <w:r>
              <w:rPr>
                <w:rFonts w:hint="eastAsia" w:ascii="宋体" w:hAnsi="宋体" w:eastAsia="宋体" w:cs="宋体"/>
                <w:color w:val="auto"/>
                <w:szCs w:val="21"/>
                <w:highlight w:val="none"/>
              </w:rPr>
              <w:t>人民币合计金额（大写）：</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元整（</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 xml:space="preserve">）              </w:t>
            </w:r>
          </w:p>
        </w:tc>
      </w:tr>
    </w:tbl>
    <w:p w14:paraId="01723660">
      <w:pPr>
        <w:spacing w:line="38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2.合同合计金额包括但不限于满足本次采购全部采购需求所应提供的服务，</w:t>
      </w:r>
      <w:r>
        <w:rPr>
          <w:rFonts w:hint="eastAsia" w:ascii="宋体" w:hAnsi="宋体" w:eastAsia="宋体" w:cs="Times New Roman"/>
          <w:color w:val="auto"/>
          <w:szCs w:val="21"/>
          <w:highlight w:val="none"/>
        </w:rPr>
        <w:t>包括但不限于</w:t>
      </w:r>
      <w:r>
        <w:rPr>
          <w:rFonts w:hint="eastAsia" w:ascii="宋体" w:hAnsi="宋体" w:eastAsia="宋体" w:cs="Times New Roman"/>
          <w:color w:val="auto"/>
          <w:szCs w:val="21"/>
          <w:highlight w:val="none"/>
          <w:lang w:eastAsia="zh-CN"/>
        </w:rPr>
        <w:t>专项审计费用、派出工作人员的交通费、住宿费、伙食补助费、税金及其他与审计相关的一切费用</w:t>
      </w:r>
      <w:r>
        <w:rPr>
          <w:rFonts w:hint="eastAsia" w:ascii="宋体" w:hAnsi="宋体" w:eastAsia="宋体" w:cs="Times New Roman"/>
          <w:color w:val="auto"/>
          <w:szCs w:val="21"/>
          <w:highlight w:val="none"/>
        </w:rPr>
        <w:t>，甲方不再支付其他任何费用。</w:t>
      </w:r>
      <w:r>
        <w:rPr>
          <w:rFonts w:hint="eastAsia" w:ascii="宋体" w:hAnsi="宋体" w:eastAsia="宋体" w:cs="Times New Roman"/>
          <w:color w:val="auto"/>
          <w:szCs w:val="21"/>
          <w:highlight w:val="none"/>
          <w:lang w:eastAsia="zh-CN"/>
        </w:rPr>
        <w:t>如采购文件对其另有规定的，从其规定。</w:t>
      </w:r>
    </w:p>
    <w:p w14:paraId="6FDE4ECB">
      <w:pPr>
        <w:spacing w:line="380" w:lineRule="exact"/>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第二条 质量保证</w:t>
      </w:r>
    </w:p>
    <w:p w14:paraId="502D5512">
      <w:pPr>
        <w:widowControl/>
        <w:adjustRightInd w:val="0"/>
        <w:snapToGrid w:val="0"/>
        <w:spacing w:line="410" w:lineRule="exact"/>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乙方所提供的服务必须与招投标文件和承诺相一致。</w:t>
      </w:r>
    </w:p>
    <w:p w14:paraId="6904F400">
      <w:pPr>
        <w:widowControl/>
        <w:adjustRightInd w:val="0"/>
        <w:snapToGrid w:val="0"/>
        <w:spacing w:line="410" w:lineRule="exact"/>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乙方所提供的服务质量应达到招投标文件要求和承诺的质量要求。</w:t>
      </w:r>
    </w:p>
    <w:p w14:paraId="5D23916D">
      <w:pPr>
        <w:widowControl/>
        <w:adjustRightInd w:val="0"/>
        <w:snapToGrid w:val="0"/>
        <w:spacing w:line="410" w:lineRule="exact"/>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如在服务期中发生问题，乙方在接到甲方通知后按乙方投标文件承诺时间到达甲方现场处理。</w:t>
      </w:r>
    </w:p>
    <w:p w14:paraId="64D58F33">
      <w:pPr>
        <w:widowControl/>
        <w:adjustRightInd w:val="0"/>
        <w:snapToGrid w:val="0"/>
        <w:spacing w:line="410" w:lineRule="exact"/>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在服务期内，乙方应对出现的质量及安全问题负责处理解决并承担一切费用。</w:t>
      </w:r>
    </w:p>
    <w:p w14:paraId="503362B5">
      <w:pPr>
        <w:spacing w:line="380" w:lineRule="exact"/>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第三条 权利保证</w:t>
      </w:r>
    </w:p>
    <w:p w14:paraId="1BCF8BCC">
      <w:pPr>
        <w:snapToGrid w:val="0"/>
        <w:spacing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1.乙方应保证所提供服务在使用时不会侵犯任何第三方的专利权、商标权、工业设计权等知识产权及其他合法权利，且所有权、处分权等没有受到任何限制。</w:t>
      </w:r>
    </w:p>
    <w:p w14:paraId="09628D2C">
      <w:pPr>
        <w:shd w:val="clear" w:color="auto" w:fill="auto"/>
        <w:snapToGrid w:val="0"/>
        <w:spacing w:line="38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未经甲方事先书面同意，乙方不得将由甲方提供的有关合同或者任何合同条文、规格、计划、图纸、样品或者资料提供给与履行本合同无关的任何其他人，也不得用于履行本合同之外的其他目的。即使向履行本合同有关的人员提供，也应注意保密并限于履行合同的必需范围。乙方的保密义务持续有效，不因为本合同履行终止、解除或者无效而解除。</w:t>
      </w:r>
    </w:p>
    <w:p w14:paraId="69C4909F">
      <w:pPr>
        <w:shd w:val="clear" w:color="auto" w:fill="auto"/>
        <w:snapToGrid w:val="0"/>
        <w:spacing w:line="38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3.因履行本合同所产生的成果及与此相关的知识产权及其完整所有权、使用权及转让权均归甲方所有。未经甲方授权，乙方不得将本合同成果披露或许可任何第三方使用，如有违反，乙方承担全部责任。</w:t>
      </w:r>
    </w:p>
    <w:p w14:paraId="6DE9229C">
      <w:pPr>
        <w:shd w:val="clear" w:color="auto" w:fill="auto"/>
        <w:spacing w:line="380" w:lineRule="exact"/>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第四条 交付和验收</w:t>
      </w:r>
    </w:p>
    <w:p w14:paraId="25535D98">
      <w:pPr>
        <w:pStyle w:val="25"/>
        <w:spacing w:line="410" w:lineRule="exact"/>
        <w:ind w:left="420" w:left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提交服务成果时间：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根据各标段要求时间修改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，地点：甲方指定地点。</w:t>
      </w:r>
    </w:p>
    <w:p w14:paraId="7031F1E4">
      <w:pPr>
        <w:pStyle w:val="25"/>
        <w:spacing w:line="410" w:lineRule="exact"/>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交付成果和形式：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63FFD3C">
      <w:pPr>
        <w:pStyle w:val="25"/>
        <w:spacing w:line="410" w:lineRule="exact"/>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甲乙两方依据规定的程序和条件，按采购合同、采购文件、投标响应文件及验收方案进行验收；核对乙方提交的编制立项文档及相关立项工作是否满足合同要求及约定，核对相关服务内容和规范要求、提供的质量保证、证明材料是否齐全和满足需求，并确认合同项其他文件及附件是否达到合同约定等。</w:t>
      </w:r>
    </w:p>
    <w:p w14:paraId="3719F836">
      <w:pPr>
        <w:pStyle w:val="25"/>
        <w:spacing w:line="410" w:lineRule="exact"/>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乙方提供不符合招投标文件和本合同规定的服务，甲方有权拒绝接受，乙方应及时按甲方要求补正。</w:t>
      </w:r>
    </w:p>
    <w:p w14:paraId="5A8C45BE">
      <w:pPr>
        <w:pStyle w:val="25"/>
        <w:spacing w:line="410" w:lineRule="exact"/>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乙方完成服务后应及时书面通知甲方进行验收，甲方应在收到通知后</w:t>
      </w:r>
      <w:r>
        <w:rPr>
          <w:rFonts w:hint="eastAsia" w:hAnsi="宋体" w:cs="宋体"/>
          <w:color w:val="auto"/>
          <w:sz w:val="21"/>
          <w:szCs w:val="21"/>
          <w:highlight w:val="none"/>
          <w:lang w:val="en-US" w:eastAsia="zh-CN"/>
        </w:rPr>
        <w:t>10</w:t>
      </w:r>
      <w:r>
        <w:rPr>
          <w:rFonts w:hint="eastAsia" w:ascii="宋体" w:hAnsi="宋体" w:eastAsia="宋体" w:cs="宋体"/>
          <w:color w:val="auto"/>
          <w:sz w:val="21"/>
          <w:szCs w:val="21"/>
          <w:highlight w:val="none"/>
        </w:rPr>
        <w:t>个工作日内进行验收，验收合格后由双方签署验收单并加盖双方单位公章，双方各执一份。</w:t>
      </w:r>
    </w:p>
    <w:p w14:paraId="0E7CF5EB">
      <w:pPr>
        <w:pStyle w:val="25"/>
        <w:spacing w:line="410" w:lineRule="exact"/>
        <w:ind w:firstLine="420" w:firstLineChars="200"/>
        <w:contextualSpacing/>
        <w:rPr>
          <w:rFonts w:hint="default" w:ascii="宋体" w:hAnsi="宋体" w:eastAsia="宋体" w:cs="宋体"/>
          <w:color w:val="auto"/>
          <w:sz w:val="21"/>
          <w:szCs w:val="21"/>
          <w:highlight w:val="none"/>
          <w:lang w:val="en-US" w:eastAsia="zh-CN"/>
        </w:rPr>
      </w:pPr>
      <w:r>
        <w:rPr>
          <w:rFonts w:hint="eastAsia" w:hAnsi="宋体" w:eastAsia="宋体" w:cs="宋体"/>
          <w:color w:val="auto"/>
          <w:sz w:val="21"/>
          <w:szCs w:val="21"/>
          <w:highlight w:val="none"/>
          <w:lang w:val="en-US" w:eastAsia="zh-CN"/>
        </w:rPr>
        <w:t>6.甲方在初步验收或者最终验收过程中如发现乙方提供的服务成果不满足投标文件及合同规定的，可暂缓向乙方付款，直到乙方及时完善并提交相应的服务成果且经甲方验收合格后，方可办理付款。</w:t>
      </w:r>
    </w:p>
    <w:p w14:paraId="241C4649">
      <w:pPr>
        <w:pStyle w:val="25"/>
        <w:spacing w:line="410" w:lineRule="exact"/>
        <w:ind w:firstLine="420" w:firstLineChars="200"/>
        <w:contextualSpacing/>
        <w:rPr>
          <w:rFonts w:hint="eastAsia" w:ascii="宋体" w:hAnsi="宋体" w:eastAsia="宋体" w:cs="宋体"/>
          <w:color w:val="auto"/>
          <w:sz w:val="21"/>
          <w:szCs w:val="21"/>
          <w:highlight w:val="none"/>
        </w:rPr>
      </w:pPr>
      <w:r>
        <w:rPr>
          <w:rFonts w:hint="eastAsia"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甲方对验收有异议的，在验收后五个工作日内以书面形式向乙方提出，乙方应自收到甲方书面异议后5日内及时予以解决，逾期不予解决的，甲方有权解除合同并要求乙方承担违约责任。</w:t>
      </w:r>
    </w:p>
    <w:p w14:paraId="106B20B9">
      <w:pPr>
        <w:snapToGrid w:val="0"/>
        <w:spacing w:line="380" w:lineRule="exact"/>
        <w:ind w:firstLine="422" w:firstLineChars="200"/>
        <w:rPr>
          <w:rFonts w:ascii="宋体" w:hAnsi="宋体" w:eastAsia="宋体" w:cs="宋体"/>
          <w:color w:val="auto"/>
          <w:szCs w:val="21"/>
          <w:highlight w:val="none"/>
          <w:u w:val="single"/>
        </w:rPr>
      </w:pPr>
      <w:r>
        <w:rPr>
          <w:rFonts w:hint="eastAsia" w:ascii="宋体" w:hAnsi="宋体" w:eastAsia="宋体" w:cs="宋体"/>
          <w:b/>
          <w:color w:val="auto"/>
          <w:szCs w:val="21"/>
          <w:highlight w:val="none"/>
        </w:rPr>
        <w:t>第五条 付款方式</w:t>
      </w:r>
    </w:p>
    <w:p w14:paraId="72F9E9B7">
      <w:pPr>
        <w:spacing w:line="380" w:lineRule="exact"/>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甲乙双方同意本合同金额的支付按以下第</w:t>
      </w:r>
      <w:r>
        <w:rPr>
          <w:rFonts w:hint="eastAsia" w:ascii="宋体" w:hAnsi="宋体" w:eastAsia="宋体" w:cs="宋体"/>
          <w:color w:val="auto"/>
          <w:szCs w:val="21"/>
          <w:highlight w:val="none"/>
          <w:u w:val="single"/>
        </w:rPr>
        <w:t xml:space="preserve"> 2 </w:t>
      </w:r>
      <w:r>
        <w:rPr>
          <w:rFonts w:hint="eastAsia" w:ascii="宋体" w:hAnsi="宋体" w:eastAsia="宋体" w:cs="宋体"/>
          <w:color w:val="auto"/>
          <w:szCs w:val="21"/>
          <w:highlight w:val="none"/>
        </w:rPr>
        <w:t>项约定执行：</w:t>
      </w:r>
    </w:p>
    <w:p w14:paraId="289CD9D4">
      <w:pPr>
        <w:spacing w:line="38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1.一次性支付</w:t>
      </w:r>
    </w:p>
    <w:p w14:paraId="46E307F9">
      <w:pPr>
        <w:spacing w:line="38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2.分期支付</w:t>
      </w:r>
    </w:p>
    <w:p w14:paraId="59A49DD3">
      <w:pPr>
        <w:spacing w:line="380" w:lineRule="exact"/>
        <w:ind w:firstLine="424" w:firstLineChars="202"/>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合同签订后15个工作日内，由</w:t>
      </w:r>
      <w:r>
        <w:rPr>
          <w:rFonts w:hint="eastAsia" w:ascii="宋体" w:hAnsi="宋体" w:cs="宋体"/>
          <w:color w:val="auto"/>
          <w:szCs w:val="21"/>
          <w:highlight w:val="none"/>
          <w:lang w:val="en-US" w:eastAsia="zh-CN"/>
        </w:rPr>
        <w:t>甲方</w:t>
      </w:r>
      <w:r>
        <w:rPr>
          <w:rFonts w:hint="eastAsia" w:ascii="宋体" w:hAnsi="宋体" w:eastAsia="宋体" w:cs="宋体"/>
          <w:color w:val="auto"/>
          <w:szCs w:val="21"/>
          <w:highlight w:val="none"/>
        </w:rPr>
        <w:t>申请财政预付</w:t>
      </w:r>
      <w:r>
        <w:rPr>
          <w:rFonts w:hint="eastAsia" w:ascii="宋体" w:hAnsi="宋体" w:cs="宋体"/>
          <w:color w:val="auto"/>
          <w:szCs w:val="21"/>
          <w:highlight w:val="none"/>
          <w:lang w:val="en-US" w:eastAsia="zh-CN"/>
        </w:rPr>
        <w:t>乙方5</w:t>
      </w:r>
      <w:r>
        <w:rPr>
          <w:rFonts w:hint="eastAsia" w:ascii="宋体" w:hAnsi="宋体" w:eastAsia="宋体" w:cs="宋体"/>
          <w:color w:val="auto"/>
          <w:szCs w:val="21"/>
          <w:highlight w:val="none"/>
        </w:rPr>
        <w:t>0％合同款；检查报告交付</w:t>
      </w:r>
      <w:r>
        <w:rPr>
          <w:rFonts w:hint="eastAsia" w:ascii="宋体" w:hAnsi="宋体" w:cs="宋体"/>
          <w:color w:val="auto"/>
          <w:szCs w:val="21"/>
          <w:highlight w:val="none"/>
          <w:lang w:val="en-US" w:eastAsia="zh-CN"/>
        </w:rPr>
        <w:t>甲方</w:t>
      </w:r>
      <w:r>
        <w:rPr>
          <w:rFonts w:hint="eastAsia" w:ascii="宋体" w:hAnsi="宋体" w:eastAsia="宋体" w:cs="宋体"/>
          <w:color w:val="auto"/>
          <w:szCs w:val="21"/>
          <w:highlight w:val="none"/>
        </w:rPr>
        <w:t>并通过验收后20个工作日内，由</w:t>
      </w:r>
      <w:r>
        <w:rPr>
          <w:rFonts w:hint="eastAsia" w:ascii="宋体" w:hAnsi="宋体" w:cs="宋体"/>
          <w:color w:val="auto"/>
          <w:szCs w:val="21"/>
          <w:highlight w:val="none"/>
          <w:lang w:val="en-US" w:eastAsia="zh-CN"/>
        </w:rPr>
        <w:t>甲方</w:t>
      </w:r>
      <w:r>
        <w:rPr>
          <w:rFonts w:hint="eastAsia" w:ascii="宋体" w:hAnsi="宋体" w:eastAsia="宋体" w:cs="宋体"/>
          <w:color w:val="auto"/>
          <w:szCs w:val="21"/>
          <w:highlight w:val="none"/>
        </w:rPr>
        <w:t>申请财政拨付</w:t>
      </w:r>
      <w:r>
        <w:rPr>
          <w:rFonts w:hint="eastAsia" w:ascii="宋体" w:hAnsi="宋体" w:cs="宋体"/>
          <w:color w:val="auto"/>
          <w:szCs w:val="21"/>
          <w:highlight w:val="none"/>
          <w:lang w:val="en-US" w:eastAsia="zh-CN"/>
        </w:rPr>
        <w:t>乙方</w:t>
      </w:r>
      <w:r>
        <w:rPr>
          <w:rFonts w:hint="eastAsia" w:ascii="宋体" w:hAnsi="宋体" w:eastAsia="宋体" w:cs="宋体"/>
          <w:color w:val="auto"/>
          <w:szCs w:val="21"/>
          <w:highlight w:val="none"/>
        </w:rPr>
        <w:t>剩余合同款。</w:t>
      </w:r>
      <w:r>
        <w:rPr>
          <w:rFonts w:hint="eastAsia" w:ascii="宋体" w:hAnsi="宋体" w:eastAsia="宋体" w:cs="宋体"/>
          <w:color w:val="auto"/>
          <w:szCs w:val="21"/>
          <w:highlight w:val="none"/>
          <w:lang w:eastAsia="zh-CN"/>
        </w:rPr>
        <w:t>为避免歧义，双方确认财政拨付时间不计入上述时限内。</w:t>
      </w:r>
      <w:r>
        <w:rPr>
          <w:rFonts w:hint="eastAsia" w:ascii="宋体" w:hAnsi="宋体" w:cs="宋体"/>
          <w:color w:val="auto"/>
          <w:szCs w:val="21"/>
          <w:highlight w:val="none"/>
          <w:lang w:val="en-US" w:eastAsia="zh-CN"/>
        </w:rPr>
        <w:t>乙方</w:t>
      </w:r>
      <w:r>
        <w:rPr>
          <w:rFonts w:hint="eastAsia" w:ascii="宋体" w:hAnsi="宋体" w:eastAsia="宋体" w:cs="宋体"/>
          <w:color w:val="auto"/>
          <w:szCs w:val="21"/>
          <w:highlight w:val="none"/>
        </w:rPr>
        <w:t>自收到合同款之日起3个工作日内开具发票给</w:t>
      </w:r>
      <w:r>
        <w:rPr>
          <w:rFonts w:hint="eastAsia" w:ascii="宋体" w:hAnsi="宋体" w:cs="宋体"/>
          <w:color w:val="auto"/>
          <w:szCs w:val="21"/>
          <w:highlight w:val="none"/>
          <w:lang w:val="en-US" w:eastAsia="zh-CN"/>
        </w:rPr>
        <w:t>甲方</w:t>
      </w:r>
      <w:r>
        <w:rPr>
          <w:rFonts w:hint="eastAsia" w:ascii="宋体" w:hAnsi="宋体" w:eastAsia="宋体" w:cs="宋体"/>
          <w:color w:val="auto"/>
          <w:szCs w:val="21"/>
          <w:highlight w:val="none"/>
        </w:rPr>
        <w:t>。</w:t>
      </w:r>
    </w:p>
    <w:p w14:paraId="6EDFE471">
      <w:pPr>
        <w:spacing w:line="380" w:lineRule="exact"/>
        <w:ind w:firstLine="426" w:firstLineChars="202"/>
        <w:rPr>
          <w:rFonts w:ascii="宋体" w:hAnsi="宋体" w:eastAsia="宋体" w:cs="Times New Roman"/>
          <w:b/>
          <w:color w:val="auto"/>
          <w:kern w:val="0"/>
          <w:szCs w:val="21"/>
          <w:highlight w:val="none"/>
        </w:rPr>
      </w:pPr>
      <w:r>
        <w:rPr>
          <w:rFonts w:hint="eastAsia" w:ascii="宋体" w:hAnsi="宋体" w:eastAsia="宋体" w:cs="宋体"/>
          <w:b/>
          <w:color w:val="auto"/>
          <w:szCs w:val="21"/>
          <w:highlight w:val="none"/>
        </w:rPr>
        <w:t>第六条合同变更及定价原则</w:t>
      </w:r>
    </w:p>
    <w:p w14:paraId="193F094C">
      <w:pPr>
        <w:spacing w:line="380" w:lineRule="exact"/>
        <w:ind w:firstLine="424" w:firstLineChars="202"/>
        <w:jc w:val="left"/>
        <w:rPr>
          <w:rFonts w:ascii="宋体" w:hAnsi="宋体" w:eastAsia="宋体" w:cs="Times New Roman"/>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Times New Roman"/>
          <w:color w:val="auto"/>
          <w:szCs w:val="21"/>
          <w:highlight w:val="none"/>
        </w:rPr>
        <w:t>本项目如果因政策或其他原因，由一个项目变更为按两个或两个以上的项目分别实施，使得对应的专项咨询服务也需要按多个项目单独研究的，导致乙方工作量及成本增加的，由甲乙双方协商确定后签订补充协议，进行工作量及费用的变更。</w:t>
      </w:r>
    </w:p>
    <w:p w14:paraId="0625F8C7">
      <w:pPr>
        <w:spacing w:line="380" w:lineRule="exact"/>
        <w:ind w:firstLine="424" w:firstLineChars="202"/>
        <w:jc w:val="left"/>
        <w:rPr>
          <w:rFonts w:ascii="宋体" w:hAnsi="宋体" w:eastAsia="宋体" w:cs="Times New Roman"/>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Times New Roman"/>
          <w:color w:val="auto"/>
          <w:szCs w:val="21"/>
          <w:highlight w:val="none"/>
        </w:rPr>
        <w:t>因甲方为了优化研究方案或其他需要，本合同已包含的相关咨询服务，需要乙方增加研究工作内容或研究次数（处数），导致乙方工作量及成本增加的，由甲乙双方协商确定后签订补充协议，进行工作量及费用的变更。</w:t>
      </w:r>
    </w:p>
    <w:p w14:paraId="1208A625">
      <w:pPr>
        <w:spacing w:line="380" w:lineRule="exact"/>
        <w:ind w:firstLine="420" w:firstLineChars="200"/>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Times New Roman"/>
          <w:color w:val="auto"/>
          <w:kern w:val="0"/>
          <w:szCs w:val="21"/>
          <w:highlight w:val="none"/>
        </w:rPr>
        <w:t>变更的定价原则：有政府指导价的执行政府指导价，无政府指导价的，由甲乙双方协商解决。</w:t>
      </w:r>
    </w:p>
    <w:p w14:paraId="18E3D507">
      <w:pPr>
        <w:widowControl/>
        <w:spacing w:line="400" w:lineRule="exact"/>
        <w:ind w:firstLine="422" w:firstLineChars="200"/>
        <w:jc w:val="left"/>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第七条 履约保证金</w:t>
      </w:r>
    </w:p>
    <w:p w14:paraId="12B76DF4">
      <w:pPr>
        <w:widowControl/>
        <w:spacing w:line="400" w:lineRule="exact"/>
        <w:ind w:firstLine="420" w:firstLineChars="200"/>
        <w:jc w:val="left"/>
        <w:rPr>
          <w:rFonts w:hint="default"/>
          <w:color w:val="auto"/>
          <w:highlight w:val="none"/>
          <w:lang w:val="en-US" w:eastAsia="zh-CN"/>
        </w:rPr>
      </w:pPr>
      <w:r>
        <w:rPr>
          <w:rFonts w:hint="eastAsia"/>
          <w:color w:val="auto"/>
          <w:highlight w:val="none"/>
          <w:lang w:val="en-US" w:eastAsia="zh-CN"/>
        </w:rPr>
        <w:t>本项目不收取履约保证金。</w:t>
      </w:r>
    </w:p>
    <w:p w14:paraId="20DAAA5E">
      <w:pPr>
        <w:spacing w:line="380" w:lineRule="exact"/>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第</w:t>
      </w:r>
      <w:r>
        <w:rPr>
          <w:rFonts w:hint="eastAsia" w:ascii="宋体" w:hAnsi="宋体" w:eastAsia="宋体" w:cs="宋体"/>
          <w:b/>
          <w:color w:val="auto"/>
          <w:szCs w:val="21"/>
          <w:highlight w:val="none"/>
          <w:lang w:val="en-US" w:eastAsia="zh-CN"/>
        </w:rPr>
        <w:t>八</w:t>
      </w:r>
      <w:r>
        <w:rPr>
          <w:rFonts w:hint="eastAsia" w:ascii="宋体" w:hAnsi="宋体" w:eastAsia="宋体" w:cs="宋体"/>
          <w:b/>
          <w:color w:val="auto"/>
          <w:szCs w:val="21"/>
          <w:highlight w:val="none"/>
        </w:rPr>
        <w:t>条 税费</w:t>
      </w:r>
    </w:p>
    <w:p w14:paraId="2EE54417">
      <w:pPr>
        <w:spacing w:line="38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本合同执行中相关的一切税费均由乙方负担，合同另有约定的除外。</w:t>
      </w:r>
    </w:p>
    <w:p w14:paraId="06EF0EEC">
      <w:pPr>
        <w:keepNext/>
        <w:keepLines/>
        <w:spacing w:line="380" w:lineRule="exact"/>
        <w:ind w:firstLine="422" w:firstLineChars="200"/>
        <w:outlineLvl w:val="2"/>
        <w:rPr>
          <w:rFonts w:ascii="宋体" w:hAnsi="宋体" w:eastAsia="宋体" w:cs="Times New Roman"/>
          <w:b/>
          <w:bCs/>
          <w:color w:val="auto"/>
          <w:szCs w:val="21"/>
          <w:highlight w:val="none"/>
        </w:rPr>
      </w:pPr>
      <w:bookmarkStart w:id="176" w:name="_Toc3607"/>
      <w:bookmarkStart w:id="177" w:name="_Toc8785"/>
      <w:bookmarkStart w:id="178" w:name="_Toc20100"/>
      <w:r>
        <w:rPr>
          <w:rFonts w:hint="eastAsia" w:ascii="宋体" w:hAnsi="宋体" w:eastAsia="宋体" w:cs="Times New Roman"/>
          <w:b/>
          <w:bCs/>
          <w:color w:val="auto"/>
          <w:szCs w:val="21"/>
          <w:highlight w:val="none"/>
        </w:rPr>
        <w:t>第</w:t>
      </w:r>
      <w:r>
        <w:rPr>
          <w:rFonts w:hint="eastAsia" w:ascii="宋体" w:hAnsi="宋体" w:eastAsia="宋体" w:cs="Times New Roman"/>
          <w:b/>
          <w:bCs/>
          <w:color w:val="auto"/>
          <w:szCs w:val="21"/>
          <w:highlight w:val="none"/>
          <w:lang w:val="en-US" w:eastAsia="zh-CN"/>
        </w:rPr>
        <w:t>九</w:t>
      </w:r>
      <w:r>
        <w:rPr>
          <w:rFonts w:hint="eastAsia" w:ascii="宋体" w:hAnsi="宋体" w:eastAsia="宋体" w:cs="Times New Roman"/>
          <w:b/>
          <w:bCs/>
          <w:color w:val="auto"/>
          <w:szCs w:val="21"/>
          <w:highlight w:val="none"/>
        </w:rPr>
        <w:t>条  双方责任</w:t>
      </w:r>
      <w:bookmarkEnd w:id="176"/>
      <w:bookmarkEnd w:id="177"/>
      <w:bookmarkEnd w:id="178"/>
    </w:p>
    <w:p w14:paraId="73DA930D">
      <w:pPr>
        <w:spacing w:line="380" w:lineRule="exact"/>
        <w:ind w:firstLine="426" w:firstLineChars="202"/>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1. 甲方责任：</w:t>
      </w:r>
    </w:p>
    <w:p w14:paraId="29D1C292">
      <w:pPr>
        <w:spacing w:line="380" w:lineRule="exact"/>
        <w:ind w:firstLine="424" w:firstLineChars="202"/>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（1）甲方按本合同第三条规定的内容,在规定的时间内向乙方提交基础资料及文件,并对其完整性、正确性、及时性负责。</w:t>
      </w:r>
    </w:p>
    <w:p w14:paraId="23B9D957">
      <w:pPr>
        <w:spacing w:line="380" w:lineRule="exact"/>
        <w:ind w:firstLine="424" w:firstLineChars="202"/>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（2）按本合同有关规定及时支付乙方的费用。</w:t>
      </w:r>
    </w:p>
    <w:p w14:paraId="125DE5A1">
      <w:pPr>
        <w:spacing w:line="380" w:lineRule="exact"/>
        <w:ind w:firstLine="424" w:firstLineChars="202"/>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（3）甲方应保护乙方的响应文件、资料图纸、数据。</w:t>
      </w:r>
    </w:p>
    <w:p w14:paraId="1ABF65FD">
      <w:pPr>
        <w:tabs>
          <w:tab w:val="center" w:pos="4652"/>
        </w:tabs>
        <w:spacing w:line="380" w:lineRule="exact"/>
        <w:ind w:firstLine="426" w:firstLineChars="202"/>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2 .乙方责任：</w:t>
      </w:r>
      <w:r>
        <w:rPr>
          <w:rFonts w:ascii="宋体" w:hAnsi="宋体" w:eastAsia="宋体" w:cs="Times New Roman"/>
          <w:b/>
          <w:color w:val="auto"/>
          <w:szCs w:val="21"/>
          <w:highlight w:val="none"/>
        </w:rPr>
        <w:tab/>
      </w:r>
    </w:p>
    <w:p w14:paraId="33F9F763">
      <w:pPr>
        <w:spacing w:line="380" w:lineRule="exact"/>
        <w:ind w:firstLine="424" w:firstLineChars="202"/>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（1）按国家规定技术规范、标准、规程及甲方提出的要求组织开展各项</w:t>
      </w:r>
      <w:r>
        <w:rPr>
          <w:rFonts w:hint="eastAsia" w:ascii="宋体" w:hAnsi="宋体" w:eastAsia="宋体" w:cs="宋体"/>
          <w:color w:val="auto"/>
          <w:kern w:val="0"/>
          <w:szCs w:val="21"/>
          <w:highlight w:val="none"/>
        </w:rPr>
        <w:t>专项咨询服务</w:t>
      </w:r>
      <w:r>
        <w:rPr>
          <w:rFonts w:hint="eastAsia" w:ascii="宋体" w:hAnsi="宋体" w:eastAsia="宋体" w:cs="Times New Roman"/>
          <w:color w:val="auto"/>
          <w:szCs w:val="21"/>
          <w:highlight w:val="none"/>
        </w:rPr>
        <w:t>研究活动，及时处理各研究工作遇到的各类技术、协调问题，并对其研究进度和质量负责。</w:t>
      </w:r>
    </w:p>
    <w:p w14:paraId="290BDE41">
      <w:pPr>
        <w:spacing w:line="380" w:lineRule="exact"/>
        <w:ind w:firstLine="424" w:firstLineChars="202"/>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（2）负责各专项研究报审工作，积极参与、跟踪各项审查活动，及时按照上级主管部门对研究成果的审查意见进行完善修改，修改时间计入乙方工作时间。</w:t>
      </w:r>
    </w:p>
    <w:p w14:paraId="57DF1E8F">
      <w:pPr>
        <w:spacing w:line="380" w:lineRule="exact"/>
        <w:ind w:firstLine="424" w:firstLineChars="202"/>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（3）按合同规定的时限及份数，向甲方提交质量合格的</w:t>
      </w:r>
      <w:r>
        <w:rPr>
          <w:rFonts w:hint="eastAsia" w:ascii="宋体" w:hAnsi="宋体" w:eastAsia="宋体" w:cs="Times New Roman"/>
          <w:color w:val="auto"/>
          <w:szCs w:val="21"/>
          <w:highlight w:val="none"/>
          <w:lang w:eastAsia="zh-CN"/>
        </w:rPr>
        <w:t>审计报告</w:t>
      </w:r>
      <w:r>
        <w:rPr>
          <w:rFonts w:hint="eastAsia" w:ascii="宋体" w:hAnsi="宋体" w:eastAsia="宋体" w:cs="Times New Roman"/>
          <w:color w:val="auto"/>
          <w:szCs w:val="21"/>
          <w:highlight w:val="none"/>
        </w:rPr>
        <w:t>（包含</w:t>
      </w:r>
      <w:r>
        <w:rPr>
          <w:rFonts w:hint="eastAsia" w:ascii="宋体" w:hAnsi="宋体" w:eastAsia="宋体" w:cs="Times New Roman"/>
          <w:color w:val="auto"/>
          <w:szCs w:val="21"/>
          <w:highlight w:val="none"/>
          <w:lang w:eastAsia="zh-CN"/>
        </w:rPr>
        <w:t>纸质报告各一式八份、彩色扫描件</w:t>
      </w:r>
      <w:r>
        <w:rPr>
          <w:rFonts w:hint="eastAsia" w:ascii="宋体" w:hAnsi="宋体" w:eastAsia="宋体" w:cs="Times New Roman"/>
          <w:color w:val="auto"/>
          <w:szCs w:val="21"/>
          <w:highlight w:val="none"/>
          <w:lang w:val="en-US" w:eastAsia="zh-CN"/>
        </w:rPr>
        <w:t>PDF版和Word版报告文本</w:t>
      </w:r>
      <w:r>
        <w:rPr>
          <w:rFonts w:hint="eastAsia" w:ascii="宋体" w:hAnsi="宋体" w:eastAsia="宋体" w:cs="Times New Roman"/>
          <w:color w:val="auto"/>
          <w:szCs w:val="21"/>
          <w:highlight w:val="none"/>
        </w:rPr>
        <w:t>）。</w:t>
      </w:r>
    </w:p>
    <w:p w14:paraId="46FF9CD0">
      <w:pPr>
        <w:spacing w:line="380" w:lineRule="exact"/>
        <w:ind w:firstLine="424" w:firstLineChars="202"/>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（4）保护甲方的知识产权,不得向第三人泄露、转让甲方提交的产品图纸等技术经济资料及因履行本合同而形成的成果文件。</w:t>
      </w:r>
    </w:p>
    <w:p w14:paraId="10E7590D">
      <w:pPr>
        <w:spacing w:line="380" w:lineRule="exact"/>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第</w:t>
      </w:r>
      <w:r>
        <w:rPr>
          <w:rFonts w:hint="eastAsia" w:ascii="宋体" w:hAnsi="宋体" w:eastAsia="宋体" w:cs="宋体"/>
          <w:b/>
          <w:color w:val="auto"/>
          <w:szCs w:val="21"/>
          <w:highlight w:val="none"/>
          <w:lang w:val="en-US" w:eastAsia="zh-CN"/>
        </w:rPr>
        <w:t>十</w:t>
      </w:r>
      <w:r>
        <w:rPr>
          <w:rFonts w:hint="eastAsia" w:ascii="宋体" w:hAnsi="宋体" w:eastAsia="宋体" w:cs="宋体"/>
          <w:b/>
          <w:color w:val="auto"/>
          <w:szCs w:val="21"/>
          <w:highlight w:val="none"/>
        </w:rPr>
        <w:t>条 违约责任</w:t>
      </w:r>
    </w:p>
    <w:p w14:paraId="233994D4">
      <w:pPr>
        <w:snapToGrid w:val="0"/>
        <w:spacing w:line="38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1.除不可抗力原因外，乙方没有按照合同规定期限提供服务的，甲方可要求乙方支付违约金。每逾期一天按合同金额的万分之三支付违约金。逾期超过10日，甲方有权解除合同，乙方还应赔偿甲方所受损失。</w:t>
      </w:r>
    </w:p>
    <w:p w14:paraId="695B3AE1">
      <w:pPr>
        <w:snapToGrid w:val="0"/>
        <w:spacing w:line="38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乙方提供的服务如侵犯了第三方合法权益而引发的任何纠纷或者诉讼，均由乙方负责交涉并承担全部责任；如因此造成甲方不能对服务成果进行正常使用或者遭受其它障碍、索赔情形的，因此导致甲方的经济损失均由乙方承担。</w:t>
      </w:r>
    </w:p>
    <w:p w14:paraId="653F464D">
      <w:pPr>
        <w:snapToGrid w:val="0"/>
        <w:spacing w:line="38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3.乙方提交的成果未通过甲方验收的，应</w:t>
      </w:r>
      <w:r>
        <w:rPr>
          <w:rFonts w:hint="eastAsia" w:ascii="宋体" w:hAnsi="宋体" w:eastAsia="宋体" w:cs="宋体"/>
          <w:color w:val="auto"/>
          <w:szCs w:val="21"/>
          <w:highlight w:val="none"/>
          <w:lang w:eastAsia="zh-CN"/>
        </w:rPr>
        <w:t>在</w:t>
      </w:r>
      <w:r>
        <w:rPr>
          <w:rFonts w:hint="eastAsia" w:ascii="宋体" w:hAnsi="宋体" w:eastAsia="宋体" w:cs="宋体"/>
          <w:color w:val="auto"/>
          <w:szCs w:val="21"/>
          <w:highlight w:val="none"/>
          <w:lang w:val="en-US" w:eastAsia="zh-CN"/>
        </w:rPr>
        <w:t>5个工作日内完成</w:t>
      </w:r>
      <w:r>
        <w:rPr>
          <w:rFonts w:hint="eastAsia" w:ascii="宋体" w:hAnsi="宋体" w:eastAsia="宋体" w:cs="宋体"/>
          <w:color w:val="auto"/>
          <w:szCs w:val="21"/>
          <w:highlight w:val="none"/>
        </w:rPr>
        <w:t>及时整改，整改产生的费用由乙方承担，乙方拒绝整改或整改不及时造成逾期提交成果的按逾期处理。</w:t>
      </w:r>
    </w:p>
    <w:p w14:paraId="5A85B4BC">
      <w:pPr>
        <w:snapToGrid w:val="0"/>
        <w:spacing w:line="38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4.甲方</w:t>
      </w:r>
      <w:r>
        <w:rPr>
          <w:rFonts w:hint="eastAsia" w:ascii="宋体" w:hAnsi="宋体" w:eastAsia="宋体" w:cs="宋体"/>
          <w:color w:val="auto"/>
          <w:szCs w:val="21"/>
          <w:highlight w:val="none"/>
          <w:lang w:eastAsia="zh-CN"/>
        </w:rPr>
        <w:t>无正当理由</w:t>
      </w:r>
      <w:r>
        <w:rPr>
          <w:rFonts w:hint="eastAsia" w:ascii="宋体" w:hAnsi="宋体" w:eastAsia="宋体" w:cs="宋体"/>
          <w:color w:val="auto"/>
          <w:szCs w:val="21"/>
          <w:highlight w:val="none"/>
        </w:rPr>
        <w:t>延期付款的，每天向乙方偿付延期款额万分之一滞纳金，但滞纳金累计不得超过延期款额5%。</w:t>
      </w:r>
    </w:p>
    <w:p w14:paraId="18CD6774">
      <w:pPr>
        <w:snapToGrid w:val="0"/>
        <w:spacing w:line="400" w:lineRule="exact"/>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5.</w:t>
      </w:r>
      <w:r>
        <w:rPr>
          <w:rFonts w:hint="eastAsia" w:ascii="宋体" w:hAnsi="宋体" w:eastAsia="宋体" w:cs="宋体"/>
          <w:color w:val="auto"/>
          <w:szCs w:val="21"/>
          <w:highlight w:val="none"/>
        </w:rPr>
        <w:t>乙方未按本合同约定和采购文件、响应文件中的规定</w:t>
      </w:r>
      <w:r>
        <w:rPr>
          <w:rFonts w:hint="eastAsia" w:ascii="宋体" w:hAnsi="宋体" w:cs="宋体"/>
          <w:color w:val="auto"/>
          <w:szCs w:val="21"/>
          <w:highlight w:val="none"/>
          <w:lang w:eastAsia="zh-CN"/>
        </w:rPr>
        <w:t>，按时提供所</w:t>
      </w:r>
      <w:r>
        <w:rPr>
          <w:rFonts w:hint="eastAsia" w:ascii="宋体" w:hAnsi="宋体" w:eastAsia="宋体" w:cs="宋体"/>
          <w:color w:val="auto"/>
          <w:szCs w:val="21"/>
          <w:highlight w:val="none"/>
        </w:rPr>
        <w:t>承诺</w:t>
      </w:r>
      <w:r>
        <w:rPr>
          <w:rFonts w:hint="eastAsia" w:ascii="宋体" w:hAnsi="宋体" w:cs="宋体"/>
          <w:color w:val="auto"/>
          <w:szCs w:val="21"/>
          <w:highlight w:val="none"/>
          <w:lang w:eastAsia="zh-CN"/>
        </w:rPr>
        <w:t>的</w:t>
      </w:r>
      <w:r>
        <w:rPr>
          <w:rFonts w:hint="eastAsia" w:ascii="宋体" w:hAnsi="宋体" w:eastAsia="宋体" w:cs="宋体"/>
          <w:color w:val="auto"/>
          <w:szCs w:val="21"/>
          <w:highlight w:val="none"/>
        </w:rPr>
        <w:t>服务</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项目小组成员</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关键技术人员</w:t>
      </w:r>
      <w:r>
        <w:rPr>
          <w:rFonts w:hint="eastAsia" w:ascii="宋体" w:hAnsi="宋体" w:cs="宋体"/>
          <w:color w:val="auto"/>
          <w:szCs w:val="21"/>
          <w:highlight w:val="none"/>
          <w:lang w:eastAsia="zh-CN"/>
        </w:rPr>
        <w:t>，或</w:t>
      </w:r>
      <w:r>
        <w:rPr>
          <w:rFonts w:hint="eastAsia" w:ascii="宋体" w:hAnsi="宋体" w:cs="宋体"/>
          <w:color w:val="auto"/>
          <w:szCs w:val="21"/>
          <w:highlight w:val="none"/>
          <w:lang w:val="en-US" w:eastAsia="zh-CN"/>
        </w:rPr>
        <w:t>存在</w:t>
      </w:r>
      <w:r>
        <w:rPr>
          <w:rFonts w:hint="eastAsia" w:ascii="宋体" w:hAnsi="宋体" w:eastAsia="宋体" w:cs="宋体"/>
          <w:color w:val="auto"/>
          <w:szCs w:val="21"/>
          <w:highlight w:val="none"/>
        </w:rPr>
        <w:t>其它违约行为，乙方应按本合同合计金额的</w:t>
      </w:r>
      <w:r>
        <w:rPr>
          <w:rFonts w:hint="eastAsia" w:ascii="宋体" w:hAnsi="宋体" w:cs="宋体"/>
          <w:color w:val="auto"/>
          <w:szCs w:val="21"/>
          <w:highlight w:val="none"/>
          <w:lang w:val="en-US" w:eastAsia="zh-CN"/>
        </w:rPr>
        <w:t>10</w:t>
      </w:r>
      <w:r>
        <w:rPr>
          <w:rFonts w:ascii="宋体" w:hAnsi="宋体" w:eastAsia="宋体" w:cs="宋体"/>
          <w:color w:val="auto"/>
          <w:szCs w:val="21"/>
          <w:highlight w:val="none"/>
        </w:rPr>
        <w:t>%向甲方支付违约金，乙方还应赔偿甲方所受的损失。</w:t>
      </w:r>
    </w:p>
    <w:p w14:paraId="3CAC427B">
      <w:pPr>
        <w:snapToGrid w:val="0"/>
        <w:spacing w:line="380" w:lineRule="exact"/>
        <w:ind w:firstLine="420" w:firstLineChars="200"/>
        <w:rPr>
          <w:rFonts w:hint="eastAsia" w:ascii="宋体" w:hAnsi="宋体" w:eastAsia="宋体" w:cs="宋体"/>
          <w:color w:val="auto"/>
          <w:szCs w:val="21"/>
          <w:highlight w:val="none"/>
        </w:rPr>
      </w:pPr>
      <w:r>
        <w:rPr>
          <w:rFonts w:ascii="宋体" w:hAnsi="宋体" w:eastAsia="宋体" w:cs="宋体"/>
          <w:color w:val="auto"/>
          <w:szCs w:val="21"/>
          <w:highlight w:val="none"/>
        </w:rPr>
        <w:t>6.</w:t>
      </w:r>
      <w:r>
        <w:rPr>
          <w:rFonts w:hint="eastAsia" w:ascii="宋体" w:hAnsi="宋体" w:eastAsia="宋体" w:cs="宋体"/>
          <w:color w:val="auto"/>
          <w:szCs w:val="21"/>
          <w:highlight w:val="none"/>
        </w:rPr>
        <w:t>因乙方违约，导致甲方为维护自己的合法权益所产生的一切费用（包括但不限于律师费、诉讼费、调查费、公证费、鉴定费、保全费、诉讼财产保全责任保险费等费用）均由乙方承担。</w:t>
      </w:r>
    </w:p>
    <w:p w14:paraId="573574A4">
      <w:pPr>
        <w:spacing w:line="380" w:lineRule="exact"/>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第十</w:t>
      </w:r>
      <w:r>
        <w:rPr>
          <w:rFonts w:hint="eastAsia" w:ascii="宋体" w:hAnsi="宋体" w:eastAsia="宋体" w:cs="宋体"/>
          <w:b/>
          <w:color w:val="auto"/>
          <w:szCs w:val="21"/>
          <w:highlight w:val="none"/>
          <w:lang w:val="en-US" w:eastAsia="zh-CN"/>
        </w:rPr>
        <w:t>一</w:t>
      </w:r>
      <w:r>
        <w:rPr>
          <w:rFonts w:hint="eastAsia" w:ascii="宋体" w:hAnsi="宋体" w:eastAsia="宋体" w:cs="宋体"/>
          <w:b/>
          <w:color w:val="auto"/>
          <w:szCs w:val="21"/>
          <w:highlight w:val="none"/>
        </w:rPr>
        <w:t>条 不可抗力事件处理</w:t>
      </w:r>
    </w:p>
    <w:p w14:paraId="77219EF6">
      <w:pPr>
        <w:spacing w:line="38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1.在合同有效期内，任何一方因不可抗力事件导致不能履行合同，则合同履行期可延长，其延长期与不可抗力影响期相同。</w:t>
      </w:r>
    </w:p>
    <w:p w14:paraId="531F6746">
      <w:pPr>
        <w:spacing w:line="38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2.不可抗力事件发生后，应立即通知对方，并寄送有关权威机构出具的证明。受到不可抗力影响的一方应立即采取合理行动，以避免或尽量减少损失。</w:t>
      </w:r>
    </w:p>
    <w:p w14:paraId="13CD8CD6">
      <w:pPr>
        <w:spacing w:line="38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3.不可抗力事件延续一百二十天以上，双方应通过友好协商，确定是否继续履行合同。</w:t>
      </w:r>
    </w:p>
    <w:p w14:paraId="2589FF0E">
      <w:pPr>
        <w:spacing w:line="380" w:lineRule="exact"/>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第十</w:t>
      </w:r>
      <w:r>
        <w:rPr>
          <w:rFonts w:hint="eastAsia" w:ascii="宋体" w:hAnsi="宋体" w:eastAsia="宋体" w:cs="宋体"/>
          <w:b/>
          <w:color w:val="auto"/>
          <w:szCs w:val="21"/>
          <w:highlight w:val="none"/>
          <w:lang w:val="en-US" w:eastAsia="zh-CN"/>
        </w:rPr>
        <w:t>二</w:t>
      </w:r>
      <w:r>
        <w:rPr>
          <w:rFonts w:hint="eastAsia" w:ascii="宋体" w:hAnsi="宋体" w:eastAsia="宋体" w:cs="宋体"/>
          <w:b/>
          <w:color w:val="auto"/>
          <w:szCs w:val="21"/>
          <w:highlight w:val="none"/>
        </w:rPr>
        <w:t>条 合同争议解决</w:t>
      </w:r>
    </w:p>
    <w:p w14:paraId="26300F8C">
      <w:pPr>
        <w:snapToGrid w:val="0"/>
        <w:spacing w:line="38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1.因服务质量问题发生争议的，应邀请国家认可的质量检测机构进行鉴定。服务符合标准的，鉴定费由甲方承担；服务不符合标准的，鉴定费由乙方承担。</w:t>
      </w:r>
    </w:p>
    <w:p w14:paraId="3B644C34">
      <w:pPr>
        <w:snapToGrid w:val="0"/>
        <w:spacing w:line="38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2.因履行本合同引起的或者与本合同有关的争议，甲乙双方应首先通过友好协商解决，如果协商不能解决，可向甲方所在地有管辖权人民法院提起诉讼。</w:t>
      </w:r>
    </w:p>
    <w:p w14:paraId="29E6AE35">
      <w:pPr>
        <w:snapToGrid w:val="0"/>
        <w:spacing w:line="38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3.诉讼期间，本合同继续履行。</w:t>
      </w:r>
    </w:p>
    <w:p w14:paraId="341E4F21">
      <w:pPr>
        <w:spacing w:line="380" w:lineRule="exact"/>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第十</w:t>
      </w:r>
      <w:r>
        <w:rPr>
          <w:rFonts w:hint="eastAsia" w:ascii="宋体" w:hAnsi="宋体" w:eastAsia="宋体" w:cs="宋体"/>
          <w:b/>
          <w:color w:val="auto"/>
          <w:szCs w:val="21"/>
          <w:highlight w:val="none"/>
          <w:lang w:val="en-US" w:eastAsia="zh-CN"/>
        </w:rPr>
        <w:t>三</w:t>
      </w:r>
      <w:r>
        <w:rPr>
          <w:rFonts w:hint="eastAsia" w:ascii="宋体" w:hAnsi="宋体" w:eastAsia="宋体" w:cs="宋体"/>
          <w:b/>
          <w:color w:val="auto"/>
          <w:szCs w:val="21"/>
          <w:highlight w:val="none"/>
        </w:rPr>
        <w:t>条 合同生效及其它</w:t>
      </w:r>
    </w:p>
    <w:p w14:paraId="38ECAD26">
      <w:pPr>
        <w:spacing w:line="38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1.合同经双方法定代表人或者授权代表签字并加盖单位公章后生效（委托代理人签字的需后附法定代表人授权委托书，格式自拟）。</w:t>
      </w:r>
    </w:p>
    <w:p w14:paraId="7EF3DAB2">
      <w:pPr>
        <w:spacing w:line="38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2.合同执行中涉及采购资金和采购内容修改或者补充的，须经财政部门审批，并签书面补充协议报财政部门备案，方可作为主合同不可分割的一部分。</w:t>
      </w:r>
    </w:p>
    <w:p w14:paraId="6C3B88EA">
      <w:pPr>
        <w:spacing w:line="38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3.本合同未尽事宜，遵照《中华人民共和国民法典》有关条文执行。</w:t>
      </w:r>
    </w:p>
    <w:p w14:paraId="2224194C">
      <w:pPr>
        <w:spacing w:line="380" w:lineRule="exact"/>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第十</w:t>
      </w:r>
      <w:r>
        <w:rPr>
          <w:rFonts w:hint="eastAsia" w:ascii="宋体" w:hAnsi="宋体" w:eastAsia="宋体" w:cs="宋体"/>
          <w:b/>
          <w:color w:val="auto"/>
          <w:szCs w:val="21"/>
          <w:highlight w:val="none"/>
          <w:lang w:val="en-US" w:eastAsia="zh-CN"/>
        </w:rPr>
        <w:t>四</w:t>
      </w:r>
      <w:r>
        <w:rPr>
          <w:rFonts w:hint="eastAsia" w:ascii="宋体" w:hAnsi="宋体" w:eastAsia="宋体" w:cs="宋体"/>
          <w:b/>
          <w:color w:val="auto"/>
          <w:szCs w:val="21"/>
          <w:highlight w:val="none"/>
        </w:rPr>
        <w:t>条 合同的变更、终止与转让</w:t>
      </w:r>
    </w:p>
    <w:p w14:paraId="4C8FA9AC">
      <w:pPr>
        <w:spacing w:line="38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1.除参照《中华人民共和国政府采购法》第五十条规定或者合同约定的情形外，本合同一经签订，甲乙双方不得擅自变更、中止或者终止。</w:t>
      </w:r>
    </w:p>
    <w:p w14:paraId="54C146F9">
      <w:pPr>
        <w:spacing w:line="38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2.乙方不得擅自转让其应履行的合同义务。</w:t>
      </w:r>
    </w:p>
    <w:p w14:paraId="3B556F55">
      <w:pPr>
        <w:spacing w:line="380" w:lineRule="exact"/>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第十</w:t>
      </w:r>
      <w:r>
        <w:rPr>
          <w:rFonts w:hint="eastAsia" w:ascii="宋体" w:hAnsi="宋体" w:eastAsia="宋体" w:cs="宋体"/>
          <w:b/>
          <w:color w:val="auto"/>
          <w:szCs w:val="21"/>
          <w:highlight w:val="none"/>
          <w:lang w:val="en-US" w:eastAsia="zh-CN"/>
        </w:rPr>
        <w:t>五</w:t>
      </w:r>
      <w:r>
        <w:rPr>
          <w:rFonts w:hint="eastAsia" w:ascii="宋体" w:hAnsi="宋体" w:eastAsia="宋体" w:cs="宋体"/>
          <w:b/>
          <w:color w:val="auto"/>
          <w:szCs w:val="21"/>
          <w:highlight w:val="none"/>
        </w:rPr>
        <w:t>条 签订本合同依据</w:t>
      </w:r>
    </w:p>
    <w:p w14:paraId="39DFF5DE">
      <w:pPr>
        <w:spacing w:line="38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1.成交通知书；</w:t>
      </w:r>
    </w:p>
    <w:p w14:paraId="3D7060DD">
      <w:pPr>
        <w:spacing w:line="38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投标</w:t>
      </w:r>
      <w:r>
        <w:rPr>
          <w:rFonts w:hint="eastAsia" w:ascii="宋体" w:hAnsi="宋体" w:eastAsia="宋体" w:cs="宋体"/>
          <w:color w:val="auto"/>
          <w:szCs w:val="21"/>
          <w:highlight w:val="none"/>
        </w:rPr>
        <w:t>报价表；</w:t>
      </w:r>
    </w:p>
    <w:p w14:paraId="1BAA39AC">
      <w:pPr>
        <w:spacing w:line="38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3.商务条款偏离表和技术需求偏离表；</w:t>
      </w:r>
    </w:p>
    <w:p w14:paraId="40E318EB">
      <w:pPr>
        <w:spacing w:line="38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4.服务方案；</w:t>
      </w:r>
    </w:p>
    <w:p w14:paraId="0A00EF32">
      <w:pPr>
        <w:spacing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5.联合体竞标协议书；</w:t>
      </w:r>
    </w:p>
    <w:p w14:paraId="1DAD5E03">
      <w:pPr>
        <w:spacing w:line="38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6.响应文件中的其他相关文件；</w:t>
      </w:r>
    </w:p>
    <w:p w14:paraId="49B1530C">
      <w:pPr>
        <w:spacing w:line="38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7.上述合同文件互相补充和解释。如果合同文件之间存在矛盾或者不一致之处，以上述文件的排列顺序在先者为准。</w:t>
      </w:r>
    </w:p>
    <w:p w14:paraId="2D051533">
      <w:pPr>
        <w:ind w:firstLine="422" w:firstLineChars="200"/>
        <w:rPr>
          <w:rFonts w:ascii="Calibri" w:hAnsi="Calibri" w:eastAsia="宋体" w:cs="Times New Roman"/>
          <w:color w:val="auto"/>
          <w:szCs w:val="22"/>
          <w:highlight w:val="none"/>
        </w:rPr>
      </w:pPr>
      <w:r>
        <w:rPr>
          <w:rFonts w:hint="eastAsia" w:ascii="宋体" w:hAnsi="宋体" w:eastAsia="宋体" w:cs="宋体"/>
          <w:b/>
          <w:color w:val="auto"/>
          <w:szCs w:val="21"/>
          <w:highlight w:val="none"/>
        </w:rPr>
        <w:t>第十</w:t>
      </w:r>
      <w:r>
        <w:rPr>
          <w:rFonts w:hint="eastAsia" w:ascii="宋体" w:hAnsi="宋体" w:eastAsia="宋体" w:cs="宋体"/>
          <w:b/>
          <w:color w:val="auto"/>
          <w:szCs w:val="21"/>
          <w:highlight w:val="none"/>
          <w:lang w:val="en-US" w:eastAsia="zh-CN"/>
        </w:rPr>
        <w:t>六</w:t>
      </w:r>
      <w:r>
        <w:rPr>
          <w:rFonts w:hint="eastAsia" w:ascii="宋体" w:hAnsi="宋体" w:eastAsia="宋体" w:cs="宋体"/>
          <w:b/>
          <w:color w:val="auto"/>
          <w:szCs w:val="21"/>
          <w:highlight w:val="none"/>
        </w:rPr>
        <w:t>条</w:t>
      </w:r>
      <w:r>
        <w:rPr>
          <w:rFonts w:ascii="宋体" w:hAnsi="宋体" w:eastAsia="宋体" w:cs="宋体"/>
          <w:b/>
          <w:color w:val="auto"/>
          <w:szCs w:val="21"/>
          <w:highlight w:val="none"/>
        </w:rPr>
        <w:t xml:space="preserve"> </w:t>
      </w:r>
      <w:r>
        <w:rPr>
          <w:rFonts w:hint="eastAsia" w:ascii="Calibri" w:hAnsi="Calibri" w:eastAsia="宋体" w:cs="Times New Roman"/>
          <w:color w:val="auto"/>
          <w:szCs w:val="22"/>
          <w:highlight w:val="none"/>
        </w:rPr>
        <w:t>通知与送达</w:t>
      </w:r>
    </w:p>
    <w:p w14:paraId="18E52C69">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为更好的履行本合同，双方提供如下联系方式：</w:t>
      </w:r>
    </w:p>
    <w:p w14:paraId="1E25FB7A">
      <w:pPr>
        <w:spacing w:line="400" w:lineRule="exact"/>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1.</w:t>
      </w:r>
      <w:r>
        <w:rPr>
          <w:rFonts w:hint="eastAsia" w:ascii="宋体" w:hAnsi="宋体" w:eastAsia="宋体" w:cs="宋体"/>
          <w:color w:val="auto"/>
          <w:szCs w:val="21"/>
          <w:highlight w:val="none"/>
        </w:rPr>
        <w:t>甲方联系方式</w:t>
      </w:r>
    </w:p>
    <w:p w14:paraId="54375016">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邮寄地址：广西南宁市兴宁区新民路67号</w:t>
      </w:r>
      <w:r>
        <w:rPr>
          <w:rFonts w:ascii="宋体" w:hAnsi="宋体" w:eastAsia="宋体" w:cs="宋体"/>
          <w:color w:val="auto"/>
          <w:szCs w:val="21"/>
          <w:highlight w:val="none"/>
        </w:rPr>
        <w:t xml:space="preserve">       </w:t>
      </w:r>
    </w:p>
    <w:p w14:paraId="2EA3A724">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联系人： </w:t>
      </w:r>
      <w:r>
        <w:rPr>
          <w:rFonts w:ascii="宋体" w:hAnsi="宋体" w:eastAsia="宋体" w:cs="宋体"/>
          <w:color w:val="auto"/>
          <w:szCs w:val="21"/>
          <w:highlight w:val="none"/>
        </w:rPr>
        <w:t xml:space="preserve">     </w:t>
      </w:r>
    </w:p>
    <w:p w14:paraId="31C0368E">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电话：</w:t>
      </w:r>
      <w:r>
        <w:rPr>
          <w:rFonts w:ascii="宋体" w:hAnsi="宋体" w:eastAsia="宋体" w:cs="宋体"/>
          <w:color w:val="auto"/>
          <w:szCs w:val="21"/>
          <w:highlight w:val="none"/>
        </w:rPr>
        <w:t xml:space="preserve">      </w:t>
      </w:r>
    </w:p>
    <w:p w14:paraId="6B9C25A4">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电子邮箱：</w:t>
      </w:r>
      <w:r>
        <w:rPr>
          <w:rFonts w:ascii="宋体" w:hAnsi="宋体" w:eastAsia="宋体" w:cs="宋体"/>
          <w:color w:val="auto"/>
          <w:szCs w:val="21"/>
          <w:highlight w:val="none"/>
        </w:rPr>
        <w:t xml:space="preserve">     </w:t>
      </w:r>
    </w:p>
    <w:p w14:paraId="56895967">
      <w:pPr>
        <w:spacing w:line="400" w:lineRule="exact"/>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2.</w:t>
      </w:r>
      <w:r>
        <w:rPr>
          <w:rFonts w:hint="eastAsia" w:ascii="宋体" w:hAnsi="宋体" w:eastAsia="宋体" w:cs="宋体"/>
          <w:color w:val="auto"/>
          <w:szCs w:val="21"/>
          <w:highlight w:val="none"/>
        </w:rPr>
        <w:t>乙方联系方式</w:t>
      </w:r>
    </w:p>
    <w:p w14:paraId="0929D5F7">
      <w:pPr>
        <w:spacing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单位： </w:t>
      </w:r>
    </w:p>
    <w:p w14:paraId="13BF9C3F">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邮寄地址： </w:t>
      </w:r>
    </w:p>
    <w:p w14:paraId="0495C146">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联系人： </w:t>
      </w:r>
    </w:p>
    <w:p w14:paraId="342777BE">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电话： </w:t>
      </w:r>
      <w:r>
        <w:rPr>
          <w:rFonts w:ascii="宋体" w:hAnsi="宋体" w:eastAsia="宋体" w:cs="宋体"/>
          <w:color w:val="auto"/>
          <w:szCs w:val="21"/>
          <w:highlight w:val="none"/>
        </w:rPr>
        <w:t xml:space="preserve">  </w:t>
      </w:r>
    </w:p>
    <w:p w14:paraId="3819E3AD">
      <w:pPr>
        <w:spacing w:line="400" w:lineRule="exact"/>
        <w:ind w:firstLine="420" w:firstLineChars="200"/>
        <w:rPr>
          <w:rFonts w:hint="eastAsia" w:ascii="Calibri" w:hAnsi="Calibri" w:eastAsia="宋体" w:cs="Times New Roman"/>
          <w:color w:val="auto"/>
          <w:szCs w:val="21"/>
          <w:highlight w:val="none"/>
        </w:rPr>
      </w:pPr>
      <w:r>
        <w:rPr>
          <w:rFonts w:ascii="Calibri" w:hAnsi="Calibri" w:eastAsia="宋体" w:cs="Times New Roman"/>
          <w:color w:val="auto"/>
          <w:szCs w:val="21"/>
          <w:highlight w:val="none"/>
        </w:rPr>
        <w:t>电子邮箱：</w:t>
      </w:r>
      <w:r>
        <w:rPr>
          <w:rFonts w:hint="eastAsia" w:ascii="Calibri" w:hAnsi="Calibri" w:eastAsia="宋体" w:cs="Times New Roman"/>
          <w:color w:val="auto"/>
          <w:szCs w:val="21"/>
          <w:highlight w:val="none"/>
        </w:rPr>
        <w:t xml:space="preserve"> </w:t>
      </w:r>
      <w:r>
        <w:rPr>
          <w:rFonts w:ascii="Calibri" w:hAnsi="Calibri" w:eastAsia="宋体" w:cs="Times New Roman"/>
          <w:color w:val="auto"/>
          <w:szCs w:val="21"/>
          <w:highlight w:val="none"/>
        </w:rPr>
        <w:t xml:space="preserve"> </w:t>
      </w:r>
    </w:p>
    <w:p w14:paraId="77661DA9">
      <w:pPr>
        <w:spacing w:line="400" w:lineRule="exact"/>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3.</w:t>
      </w:r>
      <w:r>
        <w:rPr>
          <w:rFonts w:hint="eastAsia" w:ascii="宋体" w:hAnsi="宋体" w:eastAsia="宋体" w:cs="宋体"/>
          <w:color w:val="auto"/>
          <w:szCs w:val="21"/>
          <w:highlight w:val="none"/>
        </w:rPr>
        <w:t>通过电子邮箱及其它电子方式送达时，发出之日即视为有效送达。通过快递等方式送达时，对方签收之日或发出后第三日视为有效送达（以两者较早一个日期为准）；如由于受送达方的原因不能送达或受送达方拒绝签收的，送达方可采用挂号信或者邮政特快专递邮寄送达，邮件寄至本协议记载之地址时，即视为送达。</w:t>
      </w:r>
    </w:p>
    <w:p w14:paraId="2BB3AAE6">
      <w:pPr>
        <w:spacing w:line="400" w:lineRule="exact"/>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4.</w:t>
      </w:r>
      <w:r>
        <w:rPr>
          <w:rFonts w:hint="eastAsia" w:ascii="宋体" w:hAnsi="宋体" w:eastAsia="宋体" w:cs="宋体"/>
          <w:color w:val="auto"/>
          <w:szCs w:val="21"/>
          <w:highlight w:val="none"/>
        </w:rPr>
        <w:t>上述联系方式同时作为有效司法送达地址。</w:t>
      </w:r>
    </w:p>
    <w:p w14:paraId="10C18FA0">
      <w:pPr>
        <w:spacing w:line="400" w:lineRule="exact"/>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5.</w:t>
      </w:r>
      <w:r>
        <w:rPr>
          <w:rFonts w:hint="eastAsia" w:ascii="宋体" w:hAnsi="宋体" w:eastAsia="宋体" w:cs="宋体"/>
          <w:color w:val="auto"/>
          <w:szCs w:val="21"/>
          <w:highlight w:val="none"/>
        </w:rPr>
        <w:t>一方变更联系方式，应自变更之日起三日内，以书面形式通知对方；否则，该联系方式仍视为有效，由未通知方承担由此而引起的相关责任。</w:t>
      </w:r>
    </w:p>
    <w:p w14:paraId="33B35085">
      <w:pPr>
        <w:spacing w:line="380" w:lineRule="exact"/>
        <w:ind w:firstLine="420" w:firstLineChars="200"/>
        <w:rPr>
          <w:rFonts w:hint="eastAsia" w:ascii="宋体" w:hAnsi="宋体" w:eastAsia="宋体" w:cs="宋体"/>
          <w:color w:val="auto"/>
          <w:szCs w:val="21"/>
          <w:highlight w:val="none"/>
        </w:rPr>
      </w:pPr>
      <w:r>
        <w:rPr>
          <w:rFonts w:ascii="宋体" w:hAnsi="宋体" w:eastAsia="宋体" w:cs="宋体"/>
          <w:color w:val="auto"/>
          <w:szCs w:val="21"/>
          <w:highlight w:val="none"/>
        </w:rPr>
        <w:t>6.</w:t>
      </w:r>
      <w:r>
        <w:rPr>
          <w:rFonts w:hint="eastAsia" w:ascii="宋体" w:hAnsi="宋体" w:eastAsia="宋体" w:cs="宋体"/>
          <w:color w:val="auto"/>
          <w:szCs w:val="21"/>
          <w:highlight w:val="none"/>
        </w:rPr>
        <w:t>本联系方式条款为独立条款，不受合同整体或其他条款的效力影响，始终有效。</w:t>
      </w:r>
    </w:p>
    <w:p w14:paraId="1D6EFA09">
      <w:pPr>
        <w:spacing w:line="380" w:lineRule="exact"/>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第十</w:t>
      </w:r>
      <w:r>
        <w:rPr>
          <w:rFonts w:hint="eastAsia" w:ascii="宋体" w:hAnsi="宋体" w:eastAsia="宋体" w:cs="宋体"/>
          <w:b/>
          <w:color w:val="auto"/>
          <w:szCs w:val="21"/>
          <w:highlight w:val="none"/>
          <w:lang w:val="en-US" w:eastAsia="zh-CN"/>
        </w:rPr>
        <w:t>七</w:t>
      </w:r>
      <w:r>
        <w:rPr>
          <w:rFonts w:hint="eastAsia" w:ascii="宋体" w:hAnsi="宋体" w:eastAsia="宋体" w:cs="宋体"/>
          <w:b/>
          <w:color w:val="auto"/>
          <w:szCs w:val="21"/>
          <w:highlight w:val="none"/>
        </w:rPr>
        <w:t xml:space="preserve">条 </w:t>
      </w:r>
      <w:r>
        <w:rPr>
          <w:rFonts w:hint="eastAsia" w:ascii="宋体" w:hAnsi="宋体" w:eastAsia="宋体" w:cs="宋体"/>
          <w:color w:val="auto"/>
          <w:szCs w:val="21"/>
          <w:highlight w:val="none"/>
        </w:rPr>
        <w:t>本合同一式</w:t>
      </w:r>
      <w:r>
        <w:rPr>
          <w:rFonts w:hint="eastAsia" w:ascii="宋体" w:hAnsi="宋体" w:cs="宋体"/>
          <w:color w:val="auto"/>
          <w:szCs w:val="21"/>
          <w:highlight w:val="none"/>
          <w:lang w:val="en-US" w:eastAsia="zh-CN"/>
        </w:rPr>
        <w:t>玖</w:t>
      </w:r>
      <w:r>
        <w:rPr>
          <w:rFonts w:hint="eastAsia" w:ascii="宋体" w:hAnsi="宋体" w:eastAsia="宋体" w:cs="宋体"/>
          <w:color w:val="auto"/>
          <w:szCs w:val="21"/>
          <w:highlight w:val="none"/>
        </w:rPr>
        <w:t>份，具有同等法律效力，甲方肆份，乙方各肆份，采购代理机构壹份。</w:t>
      </w:r>
    </w:p>
    <w:p w14:paraId="6A12D819">
      <w:pPr>
        <w:tabs>
          <w:tab w:val="center" w:pos="4153"/>
          <w:tab w:val="right" w:pos="8306"/>
        </w:tabs>
        <w:snapToGrid w:val="0"/>
        <w:spacing w:line="38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本合同自签订之日起2个工作日内，甲方应当将采购合同在广西壮族自治区财政厅指定的媒体上公告。</w:t>
      </w:r>
    </w:p>
    <w:p w14:paraId="202FAFE1">
      <w:pPr>
        <w:tabs>
          <w:tab w:val="center" w:pos="4153"/>
          <w:tab w:val="right" w:pos="8306"/>
        </w:tabs>
        <w:snapToGrid/>
        <w:spacing w:line="400" w:lineRule="exact"/>
        <w:ind w:firstLine="420" w:firstLineChars="200"/>
        <w:jc w:val="left"/>
        <w:rPr>
          <w:rFonts w:ascii="宋体" w:hAnsi="宋体" w:eastAsia="宋体" w:cs="宋体"/>
          <w:color w:val="auto"/>
          <w:szCs w:val="21"/>
          <w:highlight w:val="none"/>
        </w:rPr>
      </w:pPr>
    </w:p>
    <w:tbl>
      <w:tblPr>
        <w:tblStyle w:val="47"/>
        <w:tblpPr w:leftFromText="180" w:rightFromText="180" w:vertAnchor="text" w:horzAnchor="margin" w:tblpY="2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4583"/>
      </w:tblGrid>
      <w:tr w14:paraId="08162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0"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11CD38CB">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甲方：（章）</w:t>
            </w:r>
          </w:p>
          <w:p w14:paraId="3AEB5228">
            <w:pPr>
              <w:snapToGrid w:val="0"/>
              <w:spacing w:line="360" w:lineRule="auto"/>
              <w:rPr>
                <w:rFonts w:ascii="宋体" w:hAnsi="宋体" w:eastAsia="宋体" w:cs="宋体"/>
                <w:color w:val="auto"/>
                <w:szCs w:val="21"/>
                <w:highlight w:val="none"/>
              </w:rPr>
            </w:pPr>
          </w:p>
          <w:p w14:paraId="514DE98E">
            <w:pPr>
              <w:snapToGrid w:val="0"/>
              <w:spacing w:line="360" w:lineRule="auto"/>
              <w:rPr>
                <w:rFonts w:ascii="宋体" w:hAnsi="宋体" w:eastAsia="宋体" w:cs="宋体"/>
                <w:color w:val="auto"/>
                <w:szCs w:val="21"/>
                <w:highlight w:val="none"/>
              </w:rPr>
            </w:pPr>
          </w:p>
          <w:p w14:paraId="0471079A">
            <w:pPr>
              <w:snapToGrid w:val="0"/>
              <w:spacing w:line="360" w:lineRule="auto"/>
              <w:ind w:firstLine="945" w:firstLineChars="450"/>
              <w:jc w:val="right"/>
              <w:rPr>
                <w:rFonts w:ascii="宋体" w:hAnsi="宋体" w:eastAsia="宋体" w:cs="宋体"/>
                <w:color w:val="auto"/>
                <w:szCs w:val="21"/>
                <w:highlight w:val="none"/>
              </w:rPr>
            </w:pPr>
          </w:p>
          <w:p w14:paraId="1A0348EE">
            <w:pPr>
              <w:snapToGrid w:val="0"/>
              <w:spacing w:line="360" w:lineRule="auto"/>
              <w:ind w:firstLine="945" w:firstLineChars="450"/>
              <w:jc w:val="right"/>
              <w:rPr>
                <w:rFonts w:ascii="宋体" w:hAnsi="宋体" w:eastAsia="宋体" w:cs="宋体"/>
                <w:color w:val="auto"/>
                <w:szCs w:val="21"/>
                <w:highlight w:val="none"/>
              </w:rPr>
            </w:pPr>
            <w:r>
              <w:rPr>
                <w:rFonts w:hint="eastAsia" w:ascii="宋体" w:hAnsi="宋体" w:eastAsia="宋体" w:cs="宋体"/>
                <w:color w:val="auto"/>
                <w:szCs w:val="21"/>
                <w:highlight w:val="none"/>
              </w:rPr>
              <w:t>年   月   日</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281C18E4">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乙方：（章）       </w:t>
            </w:r>
          </w:p>
          <w:p w14:paraId="5468961C">
            <w:pPr>
              <w:snapToGrid w:val="0"/>
              <w:spacing w:line="360" w:lineRule="auto"/>
              <w:rPr>
                <w:rFonts w:ascii="宋体" w:hAnsi="宋体" w:eastAsia="宋体" w:cs="宋体"/>
                <w:color w:val="auto"/>
                <w:szCs w:val="21"/>
                <w:highlight w:val="none"/>
              </w:rPr>
            </w:pPr>
          </w:p>
          <w:p w14:paraId="17EA9B6A">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1F4D690D">
            <w:pPr>
              <w:snapToGrid w:val="0"/>
              <w:spacing w:line="360" w:lineRule="auto"/>
              <w:jc w:val="right"/>
              <w:rPr>
                <w:rFonts w:ascii="宋体" w:hAnsi="宋体" w:eastAsia="宋体" w:cs="宋体"/>
                <w:color w:val="auto"/>
                <w:szCs w:val="21"/>
                <w:highlight w:val="none"/>
              </w:rPr>
            </w:pPr>
          </w:p>
          <w:p w14:paraId="08D2658A">
            <w:pPr>
              <w:snapToGrid w:val="0"/>
              <w:spacing w:line="360" w:lineRule="auto"/>
              <w:jc w:val="righ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tc>
      </w:tr>
      <w:tr w14:paraId="00E74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715ACEFF">
            <w:pPr>
              <w:snapToGrid w:val="0"/>
              <w:spacing w:line="360" w:lineRule="auto"/>
              <w:rPr>
                <w:rFonts w:ascii="Calibri" w:hAnsi="Calibri" w:eastAsia="宋体" w:cs="Times New Roman"/>
                <w:color w:val="auto"/>
                <w:szCs w:val="22"/>
                <w:highlight w:val="none"/>
              </w:rPr>
            </w:pPr>
            <w:r>
              <w:rPr>
                <w:rFonts w:hint="eastAsia" w:ascii="Calibri" w:hAnsi="Calibri" w:eastAsia="宋体" w:cs="Times New Roman"/>
                <w:color w:val="auto"/>
                <w:szCs w:val="22"/>
                <w:highlight w:val="none"/>
              </w:rPr>
              <w:t xml:space="preserve">单位地址： </w:t>
            </w:r>
          </w:p>
          <w:p w14:paraId="384638DB">
            <w:pPr>
              <w:rPr>
                <w:rFonts w:ascii="Times New Roman" w:hAnsi="Times New Roman" w:eastAsia="宋体" w:cs="Times New Roman"/>
                <w:bCs/>
                <w:color w:val="auto"/>
                <w:spacing w:val="10"/>
                <w:sz w:val="24"/>
                <w:highlight w:val="none"/>
              </w:rPr>
            </w:pPr>
          </w:p>
        </w:tc>
        <w:tc>
          <w:tcPr>
            <w:tcW w:w="4583" w:type="dxa"/>
            <w:tcBorders>
              <w:top w:val="single" w:color="auto" w:sz="4" w:space="0"/>
              <w:left w:val="single" w:color="auto" w:sz="4" w:space="0"/>
              <w:bottom w:val="single" w:color="auto" w:sz="4" w:space="0"/>
              <w:right w:val="single" w:color="auto" w:sz="4" w:space="0"/>
            </w:tcBorders>
            <w:noWrap w:val="0"/>
            <w:vAlign w:val="center"/>
          </w:tcPr>
          <w:p w14:paraId="5555EFE1">
            <w:pPr>
              <w:snapToGrid w:val="0"/>
              <w:spacing w:line="360" w:lineRule="auto"/>
              <w:rPr>
                <w:rFonts w:ascii="Calibri" w:hAnsi="Calibri" w:eastAsia="宋体" w:cs="Times New Roman"/>
                <w:color w:val="auto"/>
                <w:szCs w:val="22"/>
                <w:highlight w:val="none"/>
              </w:rPr>
            </w:pPr>
            <w:r>
              <w:rPr>
                <w:rFonts w:hint="eastAsia" w:ascii="Calibri" w:hAnsi="Calibri" w:eastAsia="宋体" w:cs="Times New Roman"/>
                <w:color w:val="auto"/>
                <w:szCs w:val="22"/>
                <w:highlight w:val="none"/>
              </w:rPr>
              <w:t xml:space="preserve">单位地址： </w:t>
            </w:r>
          </w:p>
          <w:p w14:paraId="2021242A">
            <w:pPr>
              <w:rPr>
                <w:rFonts w:ascii="Times New Roman" w:hAnsi="Times New Roman" w:eastAsia="宋体" w:cs="Times New Roman"/>
                <w:bCs/>
                <w:color w:val="auto"/>
                <w:spacing w:val="10"/>
                <w:sz w:val="24"/>
                <w:highlight w:val="none"/>
              </w:rPr>
            </w:pPr>
          </w:p>
        </w:tc>
      </w:tr>
      <w:tr w14:paraId="08BFD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44C52955">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法定代表人：</w:t>
            </w:r>
          </w:p>
        </w:tc>
        <w:tc>
          <w:tcPr>
            <w:tcW w:w="4583" w:type="dxa"/>
            <w:tcBorders>
              <w:top w:val="single" w:color="auto" w:sz="4" w:space="0"/>
              <w:left w:val="single" w:color="auto" w:sz="4" w:space="0"/>
              <w:bottom w:val="single" w:color="auto" w:sz="4" w:space="0"/>
              <w:right w:val="single" w:color="auto" w:sz="4" w:space="0"/>
            </w:tcBorders>
            <w:noWrap w:val="0"/>
            <w:vAlign w:val="center"/>
          </w:tcPr>
          <w:p w14:paraId="118C1B07">
            <w:pPr>
              <w:snapToGrid w:val="0"/>
              <w:spacing w:line="360" w:lineRule="auto"/>
              <w:rPr>
                <w:rFonts w:ascii="Calibri" w:hAnsi="Calibri" w:eastAsia="宋体" w:cs="Times New Roman"/>
                <w:color w:val="auto"/>
                <w:szCs w:val="22"/>
                <w:highlight w:val="none"/>
              </w:rPr>
            </w:pPr>
            <w:r>
              <w:rPr>
                <w:rFonts w:hint="eastAsia" w:ascii="Calibri" w:hAnsi="Calibri" w:eastAsia="宋体" w:cs="Times New Roman"/>
                <w:color w:val="auto"/>
                <w:szCs w:val="22"/>
                <w:highlight w:val="none"/>
              </w:rPr>
              <w:t>法定代表人：</w:t>
            </w:r>
          </w:p>
          <w:p w14:paraId="58855314">
            <w:pPr>
              <w:rPr>
                <w:rFonts w:ascii="Times New Roman" w:hAnsi="Times New Roman" w:eastAsia="宋体" w:cs="Times New Roman"/>
                <w:bCs/>
                <w:color w:val="auto"/>
                <w:spacing w:val="10"/>
                <w:sz w:val="24"/>
                <w:highlight w:val="none"/>
              </w:rPr>
            </w:pPr>
          </w:p>
        </w:tc>
      </w:tr>
      <w:tr w14:paraId="624D6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2626E188">
            <w:pPr>
              <w:snapToGrid w:val="0"/>
              <w:spacing w:line="360" w:lineRule="auto"/>
              <w:rPr>
                <w:rFonts w:ascii="Calibri" w:hAnsi="Calibri" w:eastAsia="宋体" w:cs="Times New Roman"/>
                <w:color w:val="auto"/>
                <w:szCs w:val="22"/>
                <w:highlight w:val="none"/>
              </w:rPr>
            </w:pPr>
            <w:r>
              <w:rPr>
                <w:rFonts w:hint="eastAsia" w:ascii="Calibri" w:hAnsi="Calibri" w:eastAsia="宋体" w:cs="Times New Roman"/>
                <w:color w:val="auto"/>
                <w:szCs w:val="22"/>
                <w:highlight w:val="none"/>
              </w:rPr>
              <w:t>委托代理人：</w:t>
            </w:r>
          </w:p>
          <w:p w14:paraId="7041898A">
            <w:pPr>
              <w:rPr>
                <w:rFonts w:ascii="Times New Roman" w:hAnsi="Times New Roman" w:eastAsia="宋体" w:cs="Times New Roman"/>
                <w:bCs/>
                <w:color w:val="auto"/>
                <w:spacing w:val="10"/>
                <w:sz w:val="24"/>
                <w:highlight w:val="none"/>
              </w:rPr>
            </w:pPr>
          </w:p>
        </w:tc>
        <w:tc>
          <w:tcPr>
            <w:tcW w:w="4583" w:type="dxa"/>
            <w:tcBorders>
              <w:top w:val="single" w:color="auto" w:sz="4" w:space="0"/>
              <w:left w:val="single" w:color="auto" w:sz="4" w:space="0"/>
              <w:bottom w:val="single" w:color="auto" w:sz="4" w:space="0"/>
              <w:right w:val="single" w:color="auto" w:sz="4" w:space="0"/>
            </w:tcBorders>
            <w:noWrap w:val="0"/>
            <w:vAlign w:val="center"/>
          </w:tcPr>
          <w:p w14:paraId="2AAB0E7F">
            <w:pPr>
              <w:snapToGrid w:val="0"/>
              <w:spacing w:line="360" w:lineRule="auto"/>
              <w:rPr>
                <w:rFonts w:ascii="Calibri" w:hAnsi="Calibri" w:eastAsia="宋体" w:cs="Times New Roman"/>
                <w:color w:val="auto"/>
                <w:szCs w:val="22"/>
                <w:highlight w:val="none"/>
              </w:rPr>
            </w:pPr>
            <w:r>
              <w:rPr>
                <w:rFonts w:hint="eastAsia" w:ascii="Calibri" w:hAnsi="Calibri" w:eastAsia="宋体" w:cs="Times New Roman"/>
                <w:color w:val="auto"/>
                <w:szCs w:val="22"/>
                <w:highlight w:val="none"/>
              </w:rPr>
              <w:t>委托代理人：</w:t>
            </w:r>
          </w:p>
          <w:p w14:paraId="2859F736">
            <w:pPr>
              <w:rPr>
                <w:rFonts w:ascii="Times New Roman" w:hAnsi="Times New Roman" w:eastAsia="宋体" w:cs="Times New Roman"/>
                <w:bCs/>
                <w:color w:val="auto"/>
                <w:spacing w:val="10"/>
                <w:sz w:val="24"/>
                <w:highlight w:val="none"/>
              </w:rPr>
            </w:pPr>
          </w:p>
        </w:tc>
      </w:tr>
      <w:tr w14:paraId="22FAF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72EABBA6">
            <w:pPr>
              <w:snapToGrid w:val="0"/>
              <w:spacing w:line="360" w:lineRule="auto"/>
              <w:rPr>
                <w:rFonts w:ascii="Calibri" w:hAnsi="Calibri" w:eastAsia="宋体" w:cs="Times New Roman"/>
                <w:color w:val="auto"/>
                <w:szCs w:val="22"/>
                <w:highlight w:val="none"/>
              </w:rPr>
            </w:pPr>
            <w:r>
              <w:rPr>
                <w:rFonts w:hint="eastAsia" w:ascii="Calibri" w:hAnsi="Calibri" w:eastAsia="宋体" w:cs="Times New Roman"/>
                <w:color w:val="auto"/>
                <w:szCs w:val="22"/>
                <w:highlight w:val="none"/>
              </w:rPr>
              <w:t>电话：</w:t>
            </w:r>
          </w:p>
          <w:p w14:paraId="381EDB3B">
            <w:pPr>
              <w:rPr>
                <w:rFonts w:ascii="Times New Roman" w:hAnsi="Times New Roman" w:eastAsia="宋体" w:cs="Times New Roman"/>
                <w:bCs/>
                <w:color w:val="auto"/>
                <w:spacing w:val="10"/>
                <w:sz w:val="24"/>
                <w:highlight w:val="none"/>
              </w:rPr>
            </w:pPr>
          </w:p>
        </w:tc>
        <w:tc>
          <w:tcPr>
            <w:tcW w:w="4583" w:type="dxa"/>
            <w:tcBorders>
              <w:top w:val="single" w:color="auto" w:sz="4" w:space="0"/>
              <w:left w:val="single" w:color="auto" w:sz="4" w:space="0"/>
              <w:bottom w:val="single" w:color="auto" w:sz="4" w:space="0"/>
              <w:right w:val="single" w:color="auto" w:sz="4" w:space="0"/>
            </w:tcBorders>
            <w:noWrap w:val="0"/>
            <w:vAlign w:val="center"/>
          </w:tcPr>
          <w:p w14:paraId="3739F1D5">
            <w:pPr>
              <w:snapToGrid w:val="0"/>
              <w:spacing w:line="360" w:lineRule="auto"/>
              <w:rPr>
                <w:rFonts w:ascii="Calibri" w:hAnsi="Calibri" w:eastAsia="宋体" w:cs="Times New Roman"/>
                <w:color w:val="auto"/>
                <w:szCs w:val="22"/>
                <w:highlight w:val="none"/>
              </w:rPr>
            </w:pPr>
            <w:r>
              <w:rPr>
                <w:rFonts w:hint="eastAsia" w:ascii="Calibri" w:hAnsi="Calibri" w:eastAsia="宋体" w:cs="Times New Roman"/>
                <w:color w:val="auto"/>
                <w:szCs w:val="22"/>
                <w:highlight w:val="none"/>
              </w:rPr>
              <w:t>电话：</w:t>
            </w:r>
          </w:p>
          <w:p w14:paraId="3882B6CC">
            <w:pPr>
              <w:rPr>
                <w:rFonts w:ascii="Times New Roman" w:hAnsi="Times New Roman" w:eastAsia="宋体" w:cs="Times New Roman"/>
                <w:bCs/>
                <w:color w:val="auto"/>
                <w:spacing w:val="10"/>
                <w:sz w:val="24"/>
                <w:highlight w:val="none"/>
              </w:rPr>
            </w:pPr>
          </w:p>
        </w:tc>
      </w:tr>
      <w:tr w14:paraId="4AFCA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6C6E0C4C">
            <w:pPr>
              <w:snapToGrid w:val="0"/>
              <w:spacing w:line="360" w:lineRule="auto"/>
              <w:rPr>
                <w:rFonts w:ascii="Calibri" w:hAnsi="Calibri" w:eastAsia="宋体" w:cs="Times New Roman"/>
                <w:color w:val="auto"/>
                <w:szCs w:val="22"/>
                <w:highlight w:val="none"/>
              </w:rPr>
            </w:pPr>
            <w:r>
              <w:rPr>
                <w:rFonts w:hint="eastAsia" w:ascii="Calibri" w:hAnsi="Calibri" w:eastAsia="宋体" w:cs="Times New Roman"/>
                <w:color w:val="auto"/>
                <w:szCs w:val="22"/>
                <w:highlight w:val="none"/>
              </w:rPr>
              <w:t xml:space="preserve">开户银行： </w:t>
            </w:r>
          </w:p>
          <w:p w14:paraId="438AC3A4">
            <w:pPr>
              <w:rPr>
                <w:rFonts w:ascii="Times New Roman" w:hAnsi="Times New Roman" w:eastAsia="宋体" w:cs="Times New Roman"/>
                <w:bCs/>
                <w:color w:val="auto"/>
                <w:spacing w:val="10"/>
                <w:sz w:val="24"/>
                <w:highlight w:val="none"/>
              </w:rPr>
            </w:pPr>
          </w:p>
        </w:tc>
        <w:tc>
          <w:tcPr>
            <w:tcW w:w="4583" w:type="dxa"/>
            <w:tcBorders>
              <w:top w:val="single" w:color="auto" w:sz="4" w:space="0"/>
              <w:left w:val="single" w:color="auto" w:sz="4" w:space="0"/>
              <w:bottom w:val="single" w:color="auto" w:sz="4" w:space="0"/>
              <w:right w:val="single" w:color="auto" w:sz="4" w:space="0"/>
            </w:tcBorders>
            <w:noWrap w:val="0"/>
            <w:vAlign w:val="center"/>
          </w:tcPr>
          <w:p w14:paraId="0974AA5C">
            <w:pPr>
              <w:snapToGrid w:val="0"/>
              <w:spacing w:line="360" w:lineRule="auto"/>
              <w:rPr>
                <w:rFonts w:ascii="Calibri" w:hAnsi="Calibri" w:eastAsia="宋体" w:cs="Times New Roman"/>
                <w:color w:val="auto"/>
                <w:szCs w:val="22"/>
                <w:highlight w:val="none"/>
              </w:rPr>
            </w:pPr>
            <w:r>
              <w:rPr>
                <w:rFonts w:hint="eastAsia" w:ascii="Calibri" w:hAnsi="Calibri" w:eastAsia="宋体" w:cs="Times New Roman"/>
                <w:color w:val="auto"/>
                <w:szCs w:val="22"/>
                <w:highlight w:val="none"/>
              </w:rPr>
              <w:t xml:space="preserve">开户银行： </w:t>
            </w:r>
          </w:p>
          <w:p w14:paraId="62BEA3BC">
            <w:pPr>
              <w:rPr>
                <w:rFonts w:ascii="Times New Roman" w:hAnsi="Times New Roman" w:eastAsia="宋体" w:cs="Times New Roman"/>
                <w:bCs/>
                <w:color w:val="auto"/>
                <w:spacing w:val="10"/>
                <w:sz w:val="24"/>
                <w:highlight w:val="none"/>
              </w:rPr>
            </w:pPr>
          </w:p>
        </w:tc>
      </w:tr>
      <w:tr w14:paraId="13120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0B8467F7">
            <w:pPr>
              <w:snapToGrid w:val="0"/>
              <w:spacing w:line="360" w:lineRule="auto"/>
              <w:rPr>
                <w:rFonts w:ascii="Calibri" w:hAnsi="Calibri" w:eastAsia="宋体" w:cs="Times New Roman"/>
                <w:color w:val="auto"/>
                <w:szCs w:val="22"/>
                <w:highlight w:val="none"/>
              </w:rPr>
            </w:pPr>
            <w:r>
              <w:rPr>
                <w:rFonts w:hint="eastAsia" w:ascii="Calibri" w:hAnsi="Calibri" w:eastAsia="宋体" w:cs="Times New Roman"/>
                <w:color w:val="auto"/>
                <w:szCs w:val="22"/>
                <w:highlight w:val="none"/>
              </w:rPr>
              <w:t>账号：</w:t>
            </w:r>
          </w:p>
          <w:p w14:paraId="0BB0BFA3">
            <w:pPr>
              <w:rPr>
                <w:rFonts w:ascii="Times New Roman" w:hAnsi="Times New Roman" w:eastAsia="宋体" w:cs="Times New Roman"/>
                <w:bCs/>
                <w:color w:val="auto"/>
                <w:spacing w:val="10"/>
                <w:sz w:val="24"/>
                <w:highlight w:val="none"/>
              </w:rPr>
            </w:pPr>
          </w:p>
        </w:tc>
        <w:tc>
          <w:tcPr>
            <w:tcW w:w="4583" w:type="dxa"/>
            <w:tcBorders>
              <w:top w:val="single" w:color="auto" w:sz="4" w:space="0"/>
              <w:left w:val="single" w:color="auto" w:sz="4" w:space="0"/>
              <w:bottom w:val="single" w:color="auto" w:sz="4" w:space="0"/>
              <w:right w:val="single" w:color="auto" w:sz="4" w:space="0"/>
            </w:tcBorders>
            <w:noWrap w:val="0"/>
            <w:vAlign w:val="center"/>
          </w:tcPr>
          <w:p w14:paraId="7D6B9848">
            <w:pPr>
              <w:snapToGrid w:val="0"/>
              <w:spacing w:line="360" w:lineRule="auto"/>
              <w:rPr>
                <w:rFonts w:ascii="Calibri" w:hAnsi="Calibri" w:eastAsia="宋体" w:cs="Times New Roman"/>
                <w:color w:val="auto"/>
                <w:szCs w:val="22"/>
                <w:highlight w:val="none"/>
              </w:rPr>
            </w:pPr>
            <w:r>
              <w:rPr>
                <w:rFonts w:hint="eastAsia" w:ascii="Calibri" w:hAnsi="Calibri" w:eastAsia="宋体" w:cs="Times New Roman"/>
                <w:color w:val="auto"/>
                <w:szCs w:val="22"/>
                <w:highlight w:val="none"/>
              </w:rPr>
              <w:t>账号：</w:t>
            </w:r>
          </w:p>
          <w:p w14:paraId="3520C436">
            <w:pPr>
              <w:rPr>
                <w:rFonts w:ascii="Times New Roman" w:hAnsi="Times New Roman" w:eastAsia="宋体" w:cs="Times New Roman"/>
                <w:bCs/>
                <w:color w:val="auto"/>
                <w:spacing w:val="10"/>
                <w:sz w:val="24"/>
                <w:highlight w:val="none"/>
              </w:rPr>
            </w:pPr>
          </w:p>
        </w:tc>
      </w:tr>
      <w:tr w14:paraId="5DD29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1BFDE49F">
            <w:pPr>
              <w:snapToGrid w:val="0"/>
              <w:spacing w:line="360" w:lineRule="auto"/>
              <w:rPr>
                <w:rFonts w:ascii="Calibri" w:hAnsi="Calibri" w:eastAsia="宋体" w:cs="Times New Roman"/>
                <w:color w:val="auto"/>
                <w:szCs w:val="22"/>
                <w:highlight w:val="none"/>
              </w:rPr>
            </w:pPr>
            <w:r>
              <w:rPr>
                <w:rFonts w:hint="eastAsia" w:ascii="Calibri" w:hAnsi="Calibri" w:eastAsia="宋体" w:cs="Times New Roman"/>
                <w:color w:val="auto"/>
                <w:szCs w:val="22"/>
                <w:highlight w:val="none"/>
              </w:rPr>
              <w:t>邮政编码：</w:t>
            </w:r>
          </w:p>
          <w:p w14:paraId="0903D00F">
            <w:pPr>
              <w:rPr>
                <w:rFonts w:ascii="Times New Roman" w:hAnsi="Times New Roman" w:eastAsia="宋体" w:cs="Times New Roman"/>
                <w:bCs/>
                <w:color w:val="auto"/>
                <w:spacing w:val="10"/>
                <w:sz w:val="24"/>
                <w:highlight w:val="none"/>
              </w:rPr>
            </w:pPr>
          </w:p>
        </w:tc>
        <w:tc>
          <w:tcPr>
            <w:tcW w:w="4583" w:type="dxa"/>
            <w:tcBorders>
              <w:top w:val="single" w:color="auto" w:sz="4" w:space="0"/>
              <w:left w:val="single" w:color="auto" w:sz="4" w:space="0"/>
              <w:bottom w:val="single" w:color="auto" w:sz="4" w:space="0"/>
              <w:right w:val="single" w:color="auto" w:sz="4" w:space="0"/>
            </w:tcBorders>
            <w:noWrap w:val="0"/>
            <w:vAlign w:val="center"/>
          </w:tcPr>
          <w:p w14:paraId="7817E625">
            <w:pPr>
              <w:snapToGrid w:val="0"/>
              <w:spacing w:line="360" w:lineRule="auto"/>
              <w:rPr>
                <w:rFonts w:ascii="Calibri" w:hAnsi="Calibri" w:eastAsia="宋体" w:cs="Times New Roman"/>
                <w:color w:val="auto"/>
                <w:szCs w:val="22"/>
                <w:highlight w:val="none"/>
              </w:rPr>
            </w:pPr>
            <w:r>
              <w:rPr>
                <w:rFonts w:hint="eastAsia" w:ascii="Calibri" w:hAnsi="Calibri" w:eastAsia="宋体" w:cs="Times New Roman"/>
                <w:color w:val="auto"/>
                <w:szCs w:val="22"/>
                <w:highlight w:val="none"/>
              </w:rPr>
              <w:t>邮政编码：</w:t>
            </w:r>
          </w:p>
          <w:p w14:paraId="011B3089">
            <w:pPr>
              <w:rPr>
                <w:rFonts w:ascii="Times New Roman" w:hAnsi="Times New Roman" w:eastAsia="宋体" w:cs="Times New Roman"/>
                <w:bCs/>
                <w:color w:val="auto"/>
                <w:spacing w:val="10"/>
                <w:sz w:val="24"/>
                <w:highlight w:val="none"/>
              </w:rPr>
            </w:pPr>
          </w:p>
        </w:tc>
      </w:tr>
    </w:tbl>
    <w:p w14:paraId="79F0081E">
      <w:pPr>
        <w:spacing w:line="360" w:lineRule="auto"/>
        <w:ind w:firstLine="120" w:firstLineChars="200"/>
        <w:rPr>
          <w:rFonts w:hint="eastAsia" w:ascii="宋体" w:hAnsi="宋体" w:eastAsia="宋体" w:cs="宋体"/>
          <w:color w:val="auto"/>
          <w:sz w:val="6"/>
          <w:szCs w:val="6"/>
          <w:highlight w:val="none"/>
        </w:rPr>
      </w:pPr>
    </w:p>
    <w:p w14:paraId="6FDE53B3">
      <w:pPr>
        <w:rPr>
          <w:rFonts w:hint="eastAsia" w:ascii="Times New Roman" w:hAnsi="Times New Roman" w:eastAsia="宋体" w:cs="Times New Roman"/>
          <w:color w:val="auto"/>
          <w:highlight w:val="none"/>
        </w:rPr>
      </w:pPr>
    </w:p>
    <w:p w14:paraId="0F189A01">
      <w:pPr>
        <w:rPr>
          <w:rFonts w:hint="eastAsia"/>
          <w:color w:val="auto"/>
          <w:highlight w:val="none"/>
        </w:rPr>
      </w:pPr>
    </w:p>
    <w:p w14:paraId="42E19F2D">
      <w:pPr>
        <w:rPr>
          <w:rFonts w:hint="eastAsia"/>
          <w:color w:val="auto"/>
          <w:highlight w:val="none"/>
        </w:rPr>
      </w:pPr>
    </w:p>
    <w:p w14:paraId="1E94032A">
      <w:pPr>
        <w:rPr>
          <w:rFonts w:hint="eastAsia"/>
          <w:color w:val="auto"/>
          <w:highlight w:val="none"/>
        </w:rPr>
      </w:pPr>
    </w:p>
    <w:p w14:paraId="29872F5A">
      <w:pPr>
        <w:rPr>
          <w:rFonts w:hint="eastAsia"/>
          <w:color w:val="auto"/>
          <w:highlight w:val="none"/>
        </w:rPr>
      </w:pPr>
    </w:p>
    <w:p w14:paraId="2D7EC242">
      <w:pPr>
        <w:rPr>
          <w:rFonts w:hint="eastAsia"/>
          <w:color w:val="auto"/>
          <w:highlight w:val="none"/>
        </w:rPr>
      </w:pPr>
    </w:p>
    <w:p w14:paraId="7D4159FD">
      <w:pPr>
        <w:rPr>
          <w:rFonts w:hint="eastAsia"/>
          <w:color w:val="auto"/>
          <w:highlight w:val="none"/>
        </w:rPr>
      </w:pPr>
    </w:p>
    <w:p w14:paraId="60B8AE39">
      <w:pPr>
        <w:rPr>
          <w:rFonts w:hint="eastAsia"/>
          <w:color w:val="auto"/>
          <w:highlight w:val="none"/>
        </w:rPr>
      </w:pPr>
    </w:p>
    <w:p w14:paraId="110D9970">
      <w:pPr>
        <w:rPr>
          <w:rFonts w:hint="eastAsia"/>
          <w:color w:val="auto"/>
          <w:highlight w:val="none"/>
        </w:rPr>
      </w:pPr>
    </w:p>
    <w:p w14:paraId="26D5865B">
      <w:pPr>
        <w:rPr>
          <w:rFonts w:hint="eastAsia"/>
          <w:color w:val="auto"/>
          <w:highlight w:val="none"/>
        </w:rPr>
      </w:pPr>
    </w:p>
    <w:p w14:paraId="0844B815">
      <w:pPr>
        <w:rPr>
          <w:rFonts w:hint="eastAsia"/>
          <w:color w:val="auto"/>
          <w:highlight w:val="none"/>
        </w:rPr>
      </w:pPr>
    </w:p>
    <w:p w14:paraId="28E98EBE">
      <w:pPr>
        <w:rPr>
          <w:rFonts w:hint="eastAsia"/>
          <w:color w:val="auto"/>
          <w:highlight w:val="none"/>
        </w:rPr>
      </w:pPr>
    </w:p>
    <w:p w14:paraId="2E6F1CD0">
      <w:pPr>
        <w:rPr>
          <w:rFonts w:hint="eastAsia"/>
          <w:color w:val="auto"/>
          <w:highlight w:val="none"/>
        </w:rPr>
      </w:pPr>
    </w:p>
    <w:p w14:paraId="613DFDCC">
      <w:pPr>
        <w:rPr>
          <w:rFonts w:hint="eastAsia"/>
          <w:color w:val="auto"/>
          <w:highlight w:val="none"/>
        </w:rPr>
      </w:pPr>
    </w:p>
    <w:p w14:paraId="04E2D87E">
      <w:pPr>
        <w:rPr>
          <w:rFonts w:hint="eastAsia"/>
          <w:color w:val="auto"/>
          <w:highlight w:val="none"/>
        </w:rPr>
      </w:pPr>
    </w:p>
    <w:p w14:paraId="0F2F34C3">
      <w:pPr>
        <w:rPr>
          <w:rFonts w:hint="eastAsia"/>
          <w:color w:val="auto"/>
          <w:highlight w:val="none"/>
        </w:rPr>
      </w:pPr>
    </w:p>
    <w:p w14:paraId="573196A7">
      <w:pPr>
        <w:rPr>
          <w:rFonts w:hint="eastAsia"/>
          <w:color w:val="auto"/>
          <w:highlight w:val="none"/>
        </w:rPr>
      </w:pPr>
    </w:p>
    <w:p w14:paraId="6AAF3955">
      <w:pPr>
        <w:rPr>
          <w:rFonts w:hint="eastAsia"/>
          <w:color w:val="auto"/>
          <w:highlight w:val="none"/>
        </w:rPr>
      </w:pPr>
    </w:p>
    <w:p w14:paraId="06AE2A19">
      <w:pPr>
        <w:rPr>
          <w:rFonts w:hint="eastAsia"/>
          <w:color w:val="auto"/>
          <w:highlight w:val="none"/>
        </w:rPr>
      </w:pPr>
    </w:p>
    <w:p w14:paraId="7DC000FF">
      <w:pPr>
        <w:rPr>
          <w:rFonts w:hint="eastAsia"/>
          <w:color w:val="auto"/>
          <w:highlight w:val="none"/>
        </w:rPr>
      </w:pPr>
    </w:p>
    <w:p w14:paraId="219E682B">
      <w:pPr>
        <w:rPr>
          <w:rFonts w:hint="eastAsia"/>
          <w:color w:val="auto"/>
          <w:highlight w:val="none"/>
        </w:rPr>
      </w:pPr>
    </w:p>
    <w:p w14:paraId="57255E6B">
      <w:pPr>
        <w:rPr>
          <w:rFonts w:hint="eastAsia"/>
          <w:color w:val="auto"/>
          <w:highlight w:val="none"/>
        </w:rPr>
      </w:pPr>
    </w:p>
    <w:p w14:paraId="525B8EFC">
      <w:pPr>
        <w:rPr>
          <w:rFonts w:hint="eastAsia"/>
          <w:color w:val="auto"/>
          <w:highlight w:val="none"/>
        </w:rPr>
      </w:pPr>
    </w:p>
    <w:p w14:paraId="4CA77E73">
      <w:pPr>
        <w:rPr>
          <w:rFonts w:hint="eastAsia"/>
          <w:color w:val="auto"/>
          <w:highlight w:val="none"/>
        </w:rPr>
      </w:pPr>
    </w:p>
    <w:p w14:paraId="1A662919">
      <w:pPr>
        <w:rPr>
          <w:rFonts w:hint="eastAsia"/>
          <w:color w:val="auto"/>
          <w:highlight w:val="none"/>
        </w:rPr>
      </w:pPr>
    </w:p>
    <w:p w14:paraId="76018932">
      <w:pPr>
        <w:rPr>
          <w:rFonts w:hint="eastAsia"/>
          <w:color w:val="auto"/>
          <w:highlight w:val="none"/>
        </w:rPr>
      </w:pPr>
    </w:p>
    <w:p w14:paraId="57D1E769">
      <w:pPr>
        <w:rPr>
          <w:rFonts w:hint="eastAsia"/>
          <w:color w:val="auto"/>
          <w:highlight w:val="none"/>
        </w:rPr>
      </w:pPr>
    </w:p>
    <w:bookmarkEnd w:id="175"/>
    <w:p w14:paraId="1B37F3F1">
      <w:pPr>
        <w:pStyle w:val="2"/>
        <w:jc w:val="center"/>
        <w:rPr>
          <w:rFonts w:hint="eastAsia"/>
          <w:color w:val="auto"/>
          <w:highlight w:val="none"/>
        </w:rPr>
      </w:pPr>
      <w:bookmarkStart w:id="179" w:name="_Toc25289"/>
      <w:r>
        <w:rPr>
          <w:rFonts w:hint="eastAsia"/>
          <w:color w:val="auto"/>
          <w:highlight w:val="none"/>
        </w:rPr>
        <w:t>第六章　投标文件格式</w:t>
      </w:r>
      <w:bookmarkEnd w:id="179"/>
    </w:p>
    <w:p w14:paraId="0691DA58">
      <w:pPr>
        <w:rPr>
          <w:rFonts w:hint="eastAsia"/>
          <w:b/>
          <w:color w:val="auto"/>
          <w:sz w:val="28"/>
          <w:szCs w:val="28"/>
          <w:highlight w:val="none"/>
        </w:rPr>
      </w:pPr>
      <w:bookmarkStart w:id="180" w:name="_Toc19686836"/>
      <w:bookmarkStart w:id="181" w:name="_Toc254970698"/>
      <w:bookmarkStart w:id="182" w:name="_Toc254970557"/>
      <w:r>
        <w:rPr>
          <w:rFonts w:hint="eastAsia"/>
          <w:b/>
          <w:color w:val="auto"/>
          <w:sz w:val="28"/>
          <w:szCs w:val="28"/>
          <w:highlight w:val="none"/>
        </w:rPr>
        <w:t>一、报价文件格式</w:t>
      </w:r>
      <w:bookmarkEnd w:id="180"/>
    </w:p>
    <w:p w14:paraId="52EC78A6">
      <w:pPr>
        <w:snapToGrid w:val="0"/>
        <w:spacing w:before="120" w:beforeLines="50" w:after="50" w:line="360" w:lineRule="auto"/>
        <w:ind w:left="142"/>
        <w:jc w:val="left"/>
        <w:rPr>
          <w:rFonts w:hint="eastAsia" w:ascii="宋体" w:hAnsi="宋体"/>
          <w:color w:val="auto"/>
          <w:sz w:val="24"/>
          <w:szCs w:val="20"/>
          <w:highlight w:val="none"/>
        </w:rPr>
      </w:pPr>
      <w:r>
        <w:rPr>
          <w:rFonts w:hint="eastAsia" w:ascii="宋体" w:hAnsi="宋体"/>
          <w:b/>
          <w:color w:val="auto"/>
          <w:sz w:val="24"/>
          <w:highlight w:val="none"/>
        </w:rPr>
        <w:t xml:space="preserve">1. 报价文件封面格式： </w:t>
      </w:r>
    </w:p>
    <w:p w14:paraId="664DA014">
      <w:pPr>
        <w:snapToGrid w:val="0"/>
        <w:spacing w:before="120" w:beforeLines="50" w:after="50" w:line="360" w:lineRule="auto"/>
        <w:ind w:left="142"/>
        <w:jc w:val="center"/>
        <w:rPr>
          <w:rFonts w:hint="eastAsia" w:ascii="宋体" w:hAnsi="宋体" w:eastAsia="Arial Unicode MS"/>
          <w:bCs/>
          <w:color w:val="auto"/>
          <w:sz w:val="48"/>
          <w:szCs w:val="48"/>
          <w:highlight w:val="none"/>
        </w:rPr>
      </w:pPr>
      <w:r>
        <w:rPr>
          <w:rFonts w:hint="eastAsia" w:ascii="宋体" w:hAnsi="宋体" w:eastAsia="Arial Unicode MS"/>
          <w:bCs/>
          <w:color w:val="auto"/>
          <w:sz w:val="48"/>
          <w:szCs w:val="48"/>
          <w:highlight w:val="none"/>
        </w:rPr>
        <w:t>电子投标文件</w:t>
      </w:r>
    </w:p>
    <w:p w14:paraId="7175E22D">
      <w:pPr>
        <w:snapToGrid w:val="0"/>
        <w:spacing w:before="120" w:beforeLines="50" w:after="50" w:line="400" w:lineRule="exact"/>
        <w:rPr>
          <w:rFonts w:hint="eastAsia" w:ascii="宋体" w:hAnsi="宋体"/>
          <w:bCs/>
          <w:color w:val="auto"/>
          <w:sz w:val="32"/>
          <w:szCs w:val="20"/>
          <w:highlight w:val="none"/>
        </w:rPr>
      </w:pPr>
      <w:r>
        <w:rPr>
          <w:rFonts w:hint="eastAsia" w:ascii="宋体" w:hAnsi="宋体"/>
          <w:color w:val="auto"/>
          <w:sz w:val="24"/>
          <w:highlight w:val="none"/>
        </w:rPr>
        <w:t xml:space="preserve">                 </w:t>
      </w:r>
    </w:p>
    <w:p w14:paraId="503BD299">
      <w:pPr>
        <w:snapToGrid w:val="0"/>
        <w:spacing w:before="120" w:beforeLines="50" w:after="50" w:line="400" w:lineRule="exact"/>
        <w:jc w:val="center"/>
        <w:rPr>
          <w:rFonts w:hint="eastAsia" w:ascii="宋体" w:hAnsi="宋体"/>
          <w:bCs/>
          <w:color w:val="auto"/>
          <w:sz w:val="24"/>
          <w:szCs w:val="20"/>
          <w:highlight w:val="none"/>
        </w:rPr>
      </w:pPr>
    </w:p>
    <w:p w14:paraId="3603280F">
      <w:pPr>
        <w:snapToGrid w:val="0"/>
        <w:spacing w:before="120" w:beforeLines="50" w:after="50" w:line="400" w:lineRule="exact"/>
        <w:jc w:val="center"/>
        <w:rPr>
          <w:rFonts w:hint="eastAsia" w:ascii="宋体" w:hAnsi="宋体"/>
          <w:b/>
          <w:bCs/>
          <w:color w:val="auto"/>
          <w:sz w:val="32"/>
          <w:szCs w:val="32"/>
          <w:highlight w:val="none"/>
        </w:rPr>
      </w:pPr>
      <w:r>
        <w:rPr>
          <w:rFonts w:hint="eastAsia" w:ascii="宋体" w:hAnsi="宋体"/>
          <w:b/>
          <w:bCs/>
          <w:color w:val="auto"/>
          <w:sz w:val="32"/>
          <w:szCs w:val="32"/>
          <w:highlight w:val="none"/>
        </w:rPr>
        <w:t>报价文件</w:t>
      </w:r>
    </w:p>
    <w:p w14:paraId="267A514F">
      <w:pPr>
        <w:snapToGrid w:val="0"/>
        <w:spacing w:before="120" w:beforeLines="50" w:after="50" w:line="400" w:lineRule="exact"/>
        <w:rPr>
          <w:rFonts w:hint="eastAsia" w:ascii="宋体" w:hAnsi="宋体"/>
          <w:bCs/>
          <w:color w:val="auto"/>
          <w:sz w:val="24"/>
          <w:szCs w:val="20"/>
          <w:highlight w:val="none"/>
        </w:rPr>
      </w:pPr>
    </w:p>
    <w:p w14:paraId="1B333CBE">
      <w:pPr>
        <w:snapToGrid w:val="0"/>
        <w:spacing w:before="120" w:beforeLines="50" w:after="50" w:line="400" w:lineRule="exact"/>
        <w:rPr>
          <w:rFonts w:hint="eastAsia" w:ascii="宋体" w:hAnsi="宋体"/>
          <w:bCs/>
          <w:color w:val="auto"/>
          <w:sz w:val="24"/>
          <w:szCs w:val="20"/>
          <w:highlight w:val="none"/>
        </w:rPr>
      </w:pPr>
    </w:p>
    <w:p w14:paraId="1133963F">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 xml:space="preserve">项目名称： </w:t>
      </w:r>
    </w:p>
    <w:p w14:paraId="6D92C23E">
      <w:pPr>
        <w:snapToGrid w:val="0"/>
        <w:spacing w:before="120" w:beforeLines="50" w:after="50" w:line="400" w:lineRule="exact"/>
        <w:ind w:firstLine="360" w:firstLineChars="150"/>
        <w:rPr>
          <w:rFonts w:hint="eastAsia" w:ascii="宋体" w:hAnsi="宋体"/>
          <w:bCs/>
          <w:color w:val="auto"/>
          <w:sz w:val="24"/>
          <w:highlight w:val="none"/>
        </w:rPr>
      </w:pPr>
    </w:p>
    <w:p w14:paraId="4AAFA2CA">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 xml:space="preserve">项目编号： </w:t>
      </w:r>
    </w:p>
    <w:p w14:paraId="59FE0F39">
      <w:pPr>
        <w:snapToGrid w:val="0"/>
        <w:spacing w:before="120" w:beforeLines="50" w:after="50" w:line="400" w:lineRule="exact"/>
        <w:ind w:firstLine="360" w:firstLineChars="150"/>
        <w:rPr>
          <w:rFonts w:hint="eastAsia" w:ascii="宋体" w:hAnsi="宋体"/>
          <w:bCs/>
          <w:color w:val="auto"/>
          <w:sz w:val="24"/>
          <w:highlight w:val="none"/>
        </w:rPr>
      </w:pPr>
    </w:p>
    <w:p w14:paraId="54AB81A8">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所投分标：</w:t>
      </w:r>
    </w:p>
    <w:p w14:paraId="1AC25B4D">
      <w:pPr>
        <w:snapToGrid w:val="0"/>
        <w:spacing w:before="120" w:beforeLines="50" w:after="50" w:line="400" w:lineRule="exact"/>
        <w:ind w:firstLine="360" w:firstLineChars="150"/>
        <w:rPr>
          <w:rFonts w:hint="eastAsia" w:ascii="宋体" w:hAnsi="宋体"/>
          <w:bCs/>
          <w:color w:val="auto"/>
          <w:sz w:val="24"/>
          <w:highlight w:val="none"/>
        </w:rPr>
      </w:pPr>
    </w:p>
    <w:p w14:paraId="3ED5F9D5">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投标人名称：</w:t>
      </w:r>
    </w:p>
    <w:p w14:paraId="7D0D8085">
      <w:pPr>
        <w:snapToGrid w:val="0"/>
        <w:spacing w:before="120" w:beforeLines="50" w:after="50" w:line="400" w:lineRule="exact"/>
        <w:ind w:firstLine="360" w:firstLineChars="150"/>
        <w:rPr>
          <w:rFonts w:hint="eastAsia" w:ascii="宋体" w:hAnsi="宋体"/>
          <w:bCs/>
          <w:color w:val="auto"/>
          <w:sz w:val="24"/>
          <w:highlight w:val="none"/>
        </w:rPr>
      </w:pPr>
    </w:p>
    <w:p w14:paraId="2430F528">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投标人地址：</w:t>
      </w:r>
    </w:p>
    <w:p w14:paraId="7EBE1A28">
      <w:pPr>
        <w:pStyle w:val="7"/>
        <w:snapToGrid w:val="0"/>
        <w:spacing w:before="50" w:after="50" w:line="400" w:lineRule="exact"/>
        <w:ind w:firstLine="960" w:firstLineChars="400"/>
        <w:rPr>
          <w:rFonts w:hint="eastAsia" w:ascii="宋体" w:hAnsi="宋体"/>
          <w:bCs/>
          <w:color w:val="auto"/>
          <w:sz w:val="24"/>
          <w:szCs w:val="24"/>
          <w:highlight w:val="none"/>
        </w:rPr>
      </w:pPr>
    </w:p>
    <w:p w14:paraId="58EACDFA">
      <w:pPr>
        <w:snapToGrid w:val="0"/>
        <w:spacing w:before="120" w:beforeLines="50" w:after="50" w:line="400" w:lineRule="exact"/>
        <w:rPr>
          <w:rFonts w:hint="eastAsia" w:ascii="宋体" w:hAnsi="宋体"/>
          <w:color w:val="auto"/>
          <w:sz w:val="30"/>
          <w:szCs w:val="20"/>
          <w:highlight w:val="none"/>
        </w:rPr>
      </w:pPr>
      <w:r>
        <w:rPr>
          <w:rFonts w:hint="eastAsia" w:ascii="宋体" w:hAnsi="宋体"/>
          <w:color w:val="auto"/>
          <w:sz w:val="24"/>
          <w:highlight w:val="none"/>
        </w:rPr>
        <w:t xml:space="preserve">                                   年  月  日</w:t>
      </w:r>
    </w:p>
    <w:p w14:paraId="162E7C5B">
      <w:pPr>
        <w:snapToGrid w:val="0"/>
        <w:spacing w:before="120" w:beforeLines="50" w:after="50" w:line="360" w:lineRule="auto"/>
        <w:jc w:val="left"/>
        <w:rPr>
          <w:rFonts w:hint="eastAsia" w:ascii="宋体" w:hAnsi="宋体"/>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2.</w:t>
      </w:r>
      <w:r>
        <w:rPr>
          <w:rFonts w:hint="eastAsia" w:ascii="宋体" w:hAnsi="宋体"/>
          <w:b/>
          <w:bCs/>
          <w:color w:val="auto"/>
          <w:sz w:val="24"/>
          <w:highlight w:val="none"/>
        </w:rPr>
        <w:t>报价文件目录</w:t>
      </w:r>
    </w:p>
    <w:p w14:paraId="2F3283EE">
      <w:pPr>
        <w:snapToGrid w:val="0"/>
        <w:spacing w:before="50" w:after="120" w:afterLines="50" w:line="360" w:lineRule="auto"/>
        <w:jc w:val="left"/>
        <w:rPr>
          <w:rFonts w:ascii="宋体" w:hAnsi="宋体"/>
          <w:b/>
          <w:color w:val="auto"/>
          <w:sz w:val="24"/>
          <w:highlight w:val="none"/>
        </w:rPr>
      </w:pPr>
      <w:r>
        <w:rPr>
          <w:rFonts w:hint="eastAsia" w:ascii="宋体" w:hAnsi="宋体"/>
          <w:color w:val="auto"/>
          <w:szCs w:val="21"/>
          <w:highlight w:val="none"/>
        </w:rPr>
        <w:t>根据招标文件规定及投标人提供的材料自行编写目录。</w:t>
      </w:r>
    </w:p>
    <w:p w14:paraId="0615EF04">
      <w:pPr>
        <w:snapToGrid w:val="0"/>
        <w:spacing w:before="120" w:beforeLines="50" w:after="50"/>
        <w:rPr>
          <w:rFonts w:hint="eastAsia" w:ascii="宋体" w:hAnsi="宋体"/>
          <w:b/>
          <w:color w:val="auto"/>
          <w:sz w:val="24"/>
          <w:highlight w:val="none"/>
        </w:rPr>
      </w:pPr>
    </w:p>
    <w:p w14:paraId="3EC3EC93">
      <w:pPr>
        <w:snapToGrid w:val="0"/>
        <w:spacing w:before="120" w:beforeLines="50" w:after="50"/>
        <w:rPr>
          <w:rFonts w:hint="eastAsia" w:ascii="宋体" w:hAnsi="宋体"/>
          <w:b/>
          <w:color w:val="auto"/>
          <w:sz w:val="24"/>
          <w:highlight w:val="none"/>
        </w:rPr>
      </w:pPr>
    </w:p>
    <w:p w14:paraId="3B82EE8D">
      <w:pPr>
        <w:snapToGrid w:val="0"/>
        <w:spacing w:before="120" w:beforeLines="50" w:after="50"/>
        <w:rPr>
          <w:rFonts w:hint="eastAsia" w:ascii="宋体" w:hAnsi="宋体"/>
          <w:b/>
          <w:color w:val="auto"/>
          <w:sz w:val="24"/>
          <w:highlight w:val="none"/>
        </w:rPr>
      </w:pPr>
    </w:p>
    <w:p w14:paraId="6C5CD16B">
      <w:pPr>
        <w:snapToGrid w:val="0"/>
        <w:spacing w:before="120" w:beforeLines="50" w:after="50"/>
        <w:ind w:left="142"/>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 投标函格式：</w:t>
      </w:r>
    </w:p>
    <w:p w14:paraId="272C7D75">
      <w:pPr>
        <w:snapToGrid w:val="0"/>
        <w:spacing w:before="120" w:beforeLines="50" w:after="50" w:line="32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投 标 函</w:t>
      </w:r>
    </w:p>
    <w:p w14:paraId="10FF957C">
      <w:pPr>
        <w:snapToGrid w:val="0"/>
        <w:spacing w:before="120" w:beforeLines="50" w:after="50" w:line="320" w:lineRule="exact"/>
        <w:jc w:val="center"/>
        <w:rPr>
          <w:rFonts w:ascii="宋体" w:hAnsi="宋体"/>
          <w:b/>
          <w:color w:val="auto"/>
          <w:sz w:val="24"/>
          <w:szCs w:val="20"/>
          <w:highlight w:val="none"/>
        </w:rPr>
      </w:pPr>
    </w:p>
    <w:p w14:paraId="5B415F66">
      <w:pPr>
        <w:snapToGrid w:val="0"/>
        <w:spacing w:before="120" w:beforeLines="50" w:after="50" w:line="320" w:lineRule="exact"/>
        <w:jc w:val="center"/>
        <w:rPr>
          <w:rFonts w:ascii="宋体" w:hAnsi="宋体"/>
          <w:b/>
          <w:color w:val="auto"/>
          <w:sz w:val="24"/>
          <w:szCs w:val="20"/>
          <w:highlight w:val="none"/>
        </w:rPr>
      </w:pPr>
    </w:p>
    <w:p w14:paraId="4908D7FE">
      <w:pPr>
        <w:snapToGrid w:val="0"/>
        <w:spacing w:before="120" w:beforeLines="50" w:after="50" w:line="320" w:lineRule="exact"/>
        <w:jc w:val="center"/>
        <w:rPr>
          <w:rFonts w:hint="eastAsia" w:ascii="宋体" w:hAnsi="宋体"/>
          <w:b/>
          <w:color w:val="auto"/>
          <w:sz w:val="24"/>
          <w:szCs w:val="20"/>
          <w:highlight w:val="none"/>
        </w:rPr>
      </w:pPr>
    </w:p>
    <w:p w14:paraId="7155CEF2">
      <w:pPr>
        <w:snapToGrid w:val="0"/>
        <w:spacing w:line="360" w:lineRule="auto"/>
        <w:rPr>
          <w:rFonts w:hint="eastAsia" w:ascii="宋体" w:hAnsi="宋体"/>
          <w:color w:val="auto"/>
          <w:sz w:val="24"/>
          <w:highlight w:val="none"/>
        </w:rPr>
      </w:pPr>
      <w:r>
        <w:rPr>
          <w:rFonts w:hint="eastAsia" w:ascii="宋体" w:hAnsi="宋体"/>
          <w:color w:val="auto"/>
          <w:sz w:val="24"/>
          <w:highlight w:val="none"/>
        </w:rPr>
        <w:t>致：</w:t>
      </w:r>
      <w:r>
        <w:rPr>
          <w:rFonts w:hint="eastAsia" w:ascii="宋体" w:hAnsi="宋体"/>
          <w:color w:val="auto"/>
          <w:sz w:val="24"/>
          <w:highlight w:val="none"/>
          <w:u w:val="single"/>
        </w:rPr>
        <w:t>采购人名称</w:t>
      </w:r>
      <w:r>
        <w:rPr>
          <w:rFonts w:hint="eastAsia" w:ascii="宋体" w:hAnsi="宋体"/>
          <w:color w:val="auto"/>
          <w:sz w:val="24"/>
          <w:highlight w:val="none"/>
        </w:rPr>
        <w:t>：</w:t>
      </w:r>
    </w:p>
    <w:p w14:paraId="4F5AA6D3">
      <w:pPr>
        <w:snapToGrid w:val="0"/>
        <w:spacing w:line="360" w:lineRule="auto"/>
        <w:ind w:firstLine="480"/>
        <w:rPr>
          <w:rFonts w:hint="eastAsia" w:ascii="宋体" w:hAnsi="宋体"/>
          <w:color w:val="auto"/>
          <w:sz w:val="24"/>
          <w:highlight w:val="none"/>
        </w:rPr>
      </w:pPr>
      <w:r>
        <w:rPr>
          <w:rFonts w:hint="eastAsia" w:ascii="宋体" w:hAnsi="宋体"/>
          <w:color w:val="auto"/>
          <w:sz w:val="24"/>
          <w:highlight w:val="none"/>
        </w:rPr>
        <w:t>根据贵方</w:t>
      </w:r>
      <w:r>
        <w:rPr>
          <w:rFonts w:hint="eastAsia" w:ascii="宋体" w:hAnsi="宋体"/>
          <w:color w:val="auto"/>
          <w:sz w:val="24"/>
          <w:highlight w:val="none"/>
          <w:u w:val="single"/>
        </w:rPr>
        <w:t xml:space="preserve"> 项目名称</w:t>
      </w:r>
      <w:r>
        <w:rPr>
          <w:rFonts w:hint="eastAsia" w:ascii="宋体" w:hAnsi="宋体"/>
          <w:color w:val="auto"/>
          <w:sz w:val="24"/>
          <w:highlight w:val="none"/>
        </w:rPr>
        <w:t>（项目编号：</w:t>
      </w:r>
      <w:r>
        <w:rPr>
          <w:rFonts w:hint="eastAsia" w:ascii="宋体" w:hAnsi="宋体"/>
          <w:color w:val="auto"/>
          <w:sz w:val="24"/>
          <w:highlight w:val="none"/>
          <w:u w:val="single"/>
        </w:rPr>
        <w:t xml:space="preserve">             </w:t>
      </w:r>
      <w:r>
        <w:rPr>
          <w:rFonts w:hint="eastAsia" w:ascii="宋体" w:hAnsi="宋体"/>
          <w:color w:val="auto"/>
          <w:sz w:val="24"/>
          <w:highlight w:val="none"/>
        </w:rPr>
        <w:t>）的招标文件，签字代表______</w:t>
      </w:r>
      <w:r>
        <w:rPr>
          <w:rFonts w:hint="eastAsia" w:ascii="宋体" w:hAnsi="宋体"/>
          <w:color w:val="auto"/>
          <w:sz w:val="24"/>
          <w:highlight w:val="none"/>
          <w:u w:val="single"/>
        </w:rPr>
        <w:t xml:space="preserve">     </w:t>
      </w:r>
      <w:r>
        <w:rPr>
          <w:rFonts w:hint="eastAsia" w:ascii="宋体" w:hAnsi="宋体"/>
          <w:color w:val="auto"/>
          <w:sz w:val="24"/>
          <w:highlight w:val="none"/>
        </w:rPr>
        <w:t>（姓名）经正式授权并代表投标人</w:t>
      </w:r>
      <w:r>
        <w:rPr>
          <w:rFonts w:hint="eastAsia" w:ascii="宋体" w:hAnsi="宋体"/>
          <w:color w:val="auto"/>
          <w:sz w:val="24"/>
          <w:highlight w:val="none"/>
          <w:u w:val="single"/>
        </w:rPr>
        <w:t xml:space="preserve">              </w:t>
      </w:r>
      <w:r>
        <w:rPr>
          <w:rFonts w:hint="eastAsia" w:ascii="宋体" w:hAnsi="宋体"/>
          <w:color w:val="auto"/>
          <w:sz w:val="24"/>
          <w:highlight w:val="none"/>
        </w:rPr>
        <w:t>（投标人名称）提交投标文件。</w:t>
      </w:r>
    </w:p>
    <w:p w14:paraId="1B70C675">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据此函，我方宣布同意如下：</w:t>
      </w:r>
    </w:p>
    <w:p w14:paraId="35691D07">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78F43343">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2.我方在投标之前已经完全理解并接受招标文件的各项规定和要求，对招标文件的合理性、合法性不再有异议。</w:t>
      </w:r>
    </w:p>
    <w:p w14:paraId="127CC830">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3.本投标有效期自投标截止之日起</w:t>
      </w:r>
      <w:r>
        <w:rPr>
          <w:rFonts w:ascii="宋体" w:hAnsi="宋体"/>
          <w:color w:val="auto"/>
          <w:sz w:val="24"/>
          <w:highlight w:val="none"/>
          <w:u w:val="single"/>
        </w:rPr>
        <w:t xml:space="preserve">    </w:t>
      </w:r>
      <w:r>
        <w:rPr>
          <w:rFonts w:hint="eastAsia" w:ascii="宋体" w:hAnsi="宋体"/>
          <w:color w:val="auto"/>
          <w:sz w:val="24"/>
          <w:highlight w:val="none"/>
        </w:rPr>
        <w:t>日。</w:t>
      </w:r>
    </w:p>
    <w:p w14:paraId="2E74439F">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4.如中标，本投标文件至本项目合同履行完毕止均保持有效，我方将按“招标文件”及政府采购法律法规的规定履行合同责任和义务。</w:t>
      </w:r>
    </w:p>
    <w:p w14:paraId="7C0ADA79">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5.我方同意按照贵方要求提供与投标有关的一切数据或者资料。</w:t>
      </w:r>
    </w:p>
    <w:p w14:paraId="3E29E95B">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6.我方向贵方提交的所有投标文件、资料都是准确的和真实的。</w:t>
      </w:r>
    </w:p>
    <w:p w14:paraId="4DF80776">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7.以上事项如有虚假或者隐瞒，我方愿意承担一切后果，并不再寻求任何旨在减轻或者免除法律责任的辩解。</w:t>
      </w:r>
    </w:p>
    <w:p w14:paraId="3F0A3883">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8.根据</w:t>
      </w:r>
      <w:r>
        <w:rPr>
          <w:rFonts w:ascii="宋体" w:hAnsi="宋体"/>
          <w:color w:val="auto"/>
          <w:sz w:val="24"/>
          <w:highlight w:val="none"/>
        </w:rPr>
        <w:t>《中华人民共和国政府采购法实施条例》第五十条要求对政府采购合同进行公告</w:t>
      </w:r>
      <w:r>
        <w:rPr>
          <w:rFonts w:hint="eastAsia" w:ascii="宋体" w:hAnsi="宋体"/>
          <w:color w:val="auto"/>
          <w:sz w:val="24"/>
          <w:highlight w:val="none"/>
        </w:rPr>
        <w:t>，</w:t>
      </w:r>
      <w:r>
        <w:rPr>
          <w:rFonts w:ascii="宋体" w:hAnsi="宋体"/>
          <w:color w:val="auto"/>
          <w:sz w:val="24"/>
          <w:highlight w:val="none"/>
        </w:rPr>
        <w:t>但政府采购合同中涉及国家秘密、商业秘密的内容除外。</w:t>
      </w:r>
      <w:r>
        <w:rPr>
          <w:rFonts w:hint="eastAsia" w:ascii="宋体" w:hAnsi="宋体"/>
          <w:color w:val="auto"/>
          <w:sz w:val="24"/>
          <w:highlight w:val="none"/>
        </w:rPr>
        <w:t>我方就对本次投标文件进行注明如下：（两项内容中必须选择一项）</w:t>
      </w:r>
    </w:p>
    <w:p w14:paraId="5B484413">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□我方本次投标文件</w:t>
      </w:r>
      <w:r>
        <w:rPr>
          <w:rFonts w:ascii="宋体" w:hAnsi="宋体" w:cs="宋体"/>
          <w:color w:val="auto"/>
          <w:kern w:val="0"/>
          <w:sz w:val="24"/>
          <w:highlight w:val="none"/>
        </w:rPr>
        <w:t>内容中</w:t>
      </w:r>
      <w:r>
        <w:rPr>
          <w:rFonts w:hint="eastAsia" w:ascii="宋体" w:hAnsi="宋体"/>
          <w:color w:val="auto"/>
          <w:sz w:val="24"/>
          <w:highlight w:val="none"/>
        </w:rPr>
        <w:t>未</w:t>
      </w:r>
      <w:r>
        <w:rPr>
          <w:rFonts w:ascii="宋体" w:hAnsi="宋体" w:cs="宋体"/>
          <w:color w:val="auto"/>
          <w:kern w:val="0"/>
          <w:sz w:val="24"/>
          <w:highlight w:val="none"/>
        </w:rPr>
        <w:t>涉及商业秘密</w:t>
      </w:r>
      <w:r>
        <w:rPr>
          <w:rFonts w:hint="eastAsia" w:ascii="宋体" w:hAnsi="宋体" w:cs="宋体"/>
          <w:color w:val="auto"/>
          <w:kern w:val="0"/>
          <w:sz w:val="24"/>
          <w:highlight w:val="none"/>
        </w:rPr>
        <w:t>；</w:t>
      </w:r>
    </w:p>
    <w:p w14:paraId="4B27F6E6">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□我方本次投标文件</w:t>
      </w:r>
      <w:r>
        <w:rPr>
          <w:rFonts w:ascii="宋体" w:hAnsi="宋体" w:cs="宋体"/>
          <w:color w:val="auto"/>
          <w:kern w:val="0"/>
          <w:sz w:val="24"/>
          <w:highlight w:val="none"/>
        </w:rPr>
        <w:t>涉及商业秘密</w:t>
      </w:r>
      <w:r>
        <w:rPr>
          <w:rFonts w:hint="eastAsia" w:ascii="宋体" w:hAnsi="宋体" w:cs="宋体"/>
          <w:color w:val="auto"/>
          <w:kern w:val="0"/>
          <w:sz w:val="24"/>
          <w:highlight w:val="none"/>
        </w:rPr>
        <w:t>的</w:t>
      </w:r>
      <w:r>
        <w:rPr>
          <w:rFonts w:ascii="宋体" w:hAnsi="宋体" w:cs="宋体"/>
          <w:color w:val="auto"/>
          <w:kern w:val="0"/>
          <w:sz w:val="24"/>
          <w:highlight w:val="none"/>
        </w:rPr>
        <w:t>内容</w:t>
      </w:r>
      <w:r>
        <w:rPr>
          <w:rFonts w:hint="eastAsia" w:ascii="宋体" w:hAnsi="宋体" w:cs="宋体"/>
          <w:color w:val="auto"/>
          <w:kern w:val="0"/>
          <w:sz w:val="24"/>
          <w:highlight w:val="none"/>
        </w:rPr>
        <w:t>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1B3A259B">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9.与本项目有关的一切正式往来信函请寄：</w:t>
      </w:r>
    </w:p>
    <w:p w14:paraId="3262B2EC">
      <w:pPr>
        <w:snapToGrid w:val="0"/>
        <w:spacing w:line="360" w:lineRule="auto"/>
        <w:ind w:firstLine="480" w:firstLineChars="200"/>
        <w:rPr>
          <w:rFonts w:hint="eastAsia" w:ascii="宋体" w:hAnsi="宋体"/>
          <w:color w:val="auto"/>
          <w:sz w:val="24"/>
          <w:highlight w:val="none"/>
          <w:u w:val="single"/>
        </w:rPr>
      </w:pPr>
      <w:r>
        <w:rPr>
          <w:rFonts w:hint="eastAsia" w:ascii="宋体" w:hAnsi="宋体"/>
          <w:color w:val="auto"/>
          <w:sz w:val="24"/>
          <w:highlight w:val="none"/>
        </w:rPr>
        <w:t>地址：</w:t>
      </w:r>
      <w:r>
        <w:rPr>
          <w:rFonts w:hint="eastAsia" w:ascii="宋体" w:hAnsi="宋体"/>
          <w:color w:val="auto"/>
          <w:sz w:val="24"/>
          <w:highlight w:val="none"/>
          <w:u w:val="single"/>
        </w:rPr>
        <w:t xml:space="preserve">          </w:t>
      </w:r>
      <w:r>
        <w:rPr>
          <w:rFonts w:hint="eastAsia" w:ascii="宋体" w:hAnsi="宋体"/>
          <w:color w:val="auto"/>
          <w:sz w:val="24"/>
          <w:highlight w:val="none"/>
        </w:rPr>
        <w:t>邮编：</w:t>
      </w:r>
      <w:r>
        <w:rPr>
          <w:rFonts w:hint="eastAsia" w:ascii="宋体" w:hAnsi="宋体"/>
          <w:color w:val="auto"/>
          <w:sz w:val="24"/>
          <w:highlight w:val="none"/>
          <w:u w:val="single"/>
        </w:rPr>
        <w:t xml:space="preserve">            </w:t>
      </w:r>
    </w:p>
    <w:p w14:paraId="051A57D9">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联系人：</w:t>
      </w:r>
      <w:r>
        <w:rPr>
          <w:rFonts w:hint="eastAsia" w:ascii="宋体" w:hAnsi="宋体"/>
          <w:color w:val="auto"/>
          <w:sz w:val="24"/>
          <w:highlight w:val="none"/>
          <w:u w:val="single"/>
        </w:rPr>
        <w:t xml:space="preserve">        </w:t>
      </w:r>
      <w:r>
        <w:rPr>
          <w:rFonts w:hint="eastAsia" w:ascii="宋体" w:hAnsi="宋体"/>
          <w:color w:val="auto"/>
          <w:sz w:val="24"/>
          <w:highlight w:val="none"/>
        </w:rPr>
        <w:t>电话：</w:t>
      </w:r>
      <w:r>
        <w:rPr>
          <w:rFonts w:hint="eastAsia" w:ascii="宋体" w:hAnsi="宋体"/>
          <w:color w:val="auto"/>
          <w:sz w:val="24"/>
          <w:highlight w:val="none"/>
          <w:u w:val="single"/>
        </w:rPr>
        <w:t xml:space="preserve">        </w:t>
      </w:r>
      <w:r>
        <w:rPr>
          <w:rFonts w:hint="eastAsia" w:ascii="宋体" w:hAnsi="宋体"/>
          <w:color w:val="auto"/>
          <w:sz w:val="24"/>
          <w:highlight w:val="none"/>
        </w:rPr>
        <w:t>传真：</w:t>
      </w:r>
      <w:r>
        <w:rPr>
          <w:rFonts w:hint="eastAsia" w:ascii="宋体" w:hAnsi="宋体"/>
          <w:color w:val="auto"/>
          <w:sz w:val="24"/>
          <w:highlight w:val="none"/>
          <w:u w:val="single"/>
        </w:rPr>
        <w:t xml:space="preserve">          </w:t>
      </w:r>
      <w:r>
        <w:rPr>
          <w:rFonts w:hint="eastAsia" w:ascii="宋体" w:hAnsi="宋体"/>
          <w:color w:val="auto"/>
          <w:sz w:val="24"/>
          <w:highlight w:val="none"/>
        </w:rPr>
        <w:t>电子邮箱：</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0FD4E9F1">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投标人名称：</w:t>
      </w:r>
      <w:r>
        <w:rPr>
          <w:rFonts w:hint="eastAsia" w:ascii="宋体" w:hAnsi="宋体"/>
          <w:color w:val="auto"/>
          <w:sz w:val="24"/>
          <w:highlight w:val="none"/>
          <w:u w:val="single"/>
        </w:rPr>
        <w:t xml:space="preserve">                </w:t>
      </w:r>
    </w:p>
    <w:p w14:paraId="41DD8C03">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开户银行：</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银行账号：</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3ED98E5F">
      <w:pPr>
        <w:snapToGrid w:val="0"/>
        <w:spacing w:line="360" w:lineRule="auto"/>
        <w:ind w:firstLine="480" w:firstLineChars="200"/>
        <w:jc w:val="left"/>
        <w:rPr>
          <w:rFonts w:hint="eastAsia" w:ascii="宋体" w:hAnsi="宋体"/>
          <w:color w:val="auto"/>
          <w:sz w:val="24"/>
          <w:highlight w:val="none"/>
        </w:rPr>
      </w:pPr>
    </w:p>
    <w:p w14:paraId="4836ACBD">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 xml:space="preserve">                法定代表人或者委托代理人（签字或者电子签名）：_______ </w:t>
      </w:r>
    </w:p>
    <w:p w14:paraId="584CEA08">
      <w:pPr>
        <w:pStyle w:val="25"/>
        <w:snapToGrid w:val="0"/>
        <w:spacing w:before="295" w:after="295" w:line="360" w:lineRule="auto"/>
        <w:jc w:val="center"/>
        <w:rPr>
          <w:rFonts w:hint="eastAsia" w:hAnsi="宋体"/>
          <w:color w:val="auto"/>
          <w:sz w:val="24"/>
          <w:szCs w:val="24"/>
          <w:highlight w:val="none"/>
          <w:u w:val="single"/>
        </w:rPr>
      </w:pPr>
      <w:r>
        <w:rPr>
          <w:rFonts w:hint="eastAsia" w:hAnsi="宋体"/>
          <w:color w:val="auto"/>
          <w:sz w:val="24"/>
          <w:highlight w:val="none"/>
        </w:rPr>
        <w:t xml:space="preserve"> </w:t>
      </w:r>
      <w:r>
        <w:rPr>
          <w:rFonts w:hAnsi="宋体"/>
          <w:color w:val="auto"/>
          <w:sz w:val="24"/>
          <w:highlight w:val="none"/>
        </w:rPr>
        <w:t xml:space="preserve">                                    </w:t>
      </w:r>
      <w:r>
        <w:rPr>
          <w:rFonts w:hint="eastAsia" w:hAnsi="宋体"/>
          <w:color w:val="auto"/>
          <w:sz w:val="24"/>
          <w:highlight w:val="none"/>
        </w:rPr>
        <w:t>投标人名称（电子签章）：</w:t>
      </w:r>
    </w:p>
    <w:p w14:paraId="6FE7AA58">
      <w:pPr>
        <w:pStyle w:val="25"/>
        <w:snapToGrid w:val="0"/>
        <w:spacing w:before="295" w:after="295" w:line="360" w:lineRule="auto"/>
        <w:rPr>
          <w:rFonts w:hint="eastAsia" w:hAnsi="宋体"/>
          <w:color w:val="auto"/>
          <w:sz w:val="24"/>
          <w:highlight w:val="none"/>
        </w:rPr>
      </w:pPr>
      <w:r>
        <w:rPr>
          <w:rFonts w:hint="eastAsia" w:hAnsi="宋体"/>
          <w:color w:val="auto"/>
          <w:sz w:val="24"/>
          <w:szCs w:val="24"/>
          <w:highlight w:val="none"/>
        </w:rPr>
        <w:t xml:space="preserve">                                                </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p>
    <w:p w14:paraId="404CA3F9">
      <w:pPr>
        <w:snapToGrid w:val="0"/>
        <w:spacing w:before="120" w:beforeLines="50" w:after="50"/>
        <w:jc w:val="left"/>
        <w:rPr>
          <w:rFonts w:hint="eastAsia" w:ascii="宋体" w:hAnsi="宋体"/>
          <w:b/>
          <w:color w:val="auto"/>
          <w:sz w:val="24"/>
          <w:szCs w:val="20"/>
          <w:highlight w:val="none"/>
        </w:rPr>
      </w:pPr>
      <w:r>
        <w:rPr>
          <w:rFonts w:hAnsi="宋体"/>
          <w:color w:val="auto"/>
          <w:highlight w:val="none"/>
          <w:u w:val="single"/>
        </w:rPr>
        <w:br w:type="page"/>
      </w:r>
      <w:r>
        <w:rPr>
          <w:rFonts w:hint="eastAsia" w:ascii="宋体" w:hAnsi="宋体"/>
          <w:b/>
          <w:color w:val="auto"/>
          <w:sz w:val="24"/>
          <w:highlight w:val="none"/>
        </w:rPr>
        <w:t>4. 开标一览表（服务类格式）</w:t>
      </w:r>
    </w:p>
    <w:p w14:paraId="092A25FC">
      <w:pPr>
        <w:snapToGrid w:val="0"/>
        <w:spacing w:before="50" w:after="50"/>
        <w:jc w:val="center"/>
        <w:rPr>
          <w:rFonts w:hint="eastAsia" w:ascii="宋体" w:hAnsi="宋体"/>
          <w:b/>
          <w:color w:val="auto"/>
          <w:sz w:val="30"/>
          <w:highlight w:val="none"/>
        </w:rPr>
      </w:pPr>
      <w:r>
        <w:rPr>
          <w:rFonts w:hint="eastAsia" w:ascii="宋体" w:hAnsi="宋体"/>
          <w:b/>
          <w:color w:val="auto"/>
          <w:sz w:val="30"/>
          <w:highlight w:val="none"/>
        </w:rPr>
        <w:t>开标一览表</w:t>
      </w:r>
    </w:p>
    <w:p w14:paraId="7EFF526B">
      <w:pPr>
        <w:snapToGrid w:val="0"/>
        <w:spacing w:before="50" w:after="50"/>
        <w:jc w:val="center"/>
        <w:rPr>
          <w:rFonts w:hint="eastAsia" w:ascii="宋体" w:hAnsi="宋体"/>
          <w:b/>
          <w:color w:val="auto"/>
          <w:sz w:val="30"/>
          <w:szCs w:val="20"/>
          <w:highlight w:val="none"/>
        </w:rPr>
      </w:pPr>
    </w:p>
    <w:p w14:paraId="0A77CFAC">
      <w:pPr>
        <w:snapToGrid w:val="0"/>
        <w:spacing w:before="50" w:after="50" w:line="360" w:lineRule="auto"/>
        <w:rPr>
          <w:rFonts w:hint="eastAsia" w:ascii="宋体" w:hAnsi="宋体"/>
          <w:color w:val="auto"/>
          <w:sz w:val="24"/>
          <w:highlight w:val="none"/>
          <w:u w:val="single"/>
        </w:rPr>
      </w:pPr>
      <w:r>
        <w:rPr>
          <w:rFonts w:hint="eastAsia" w:ascii="宋体" w:hAnsi="宋体"/>
          <w:color w:val="auto"/>
          <w:sz w:val="24"/>
          <w:highlight w:val="none"/>
        </w:rPr>
        <w:t>项目名称：</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项目编号：</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分标：</w:t>
      </w:r>
      <w:r>
        <w:rPr>
          <w:rFonts w:hint="eastAsia" w:ascii="宋体" w:hAnsi="宋体"/>
          <w:color w:val="auto"/>
          <w:sz w:val="24"/>
          <w:highlight w:val="none"/>
          <w:u w:val="single"/>
        </w:rPr>
        <w:t xml:space="preserve">           </w:t>
      </w:r>
    </w:p>
    <w:p w14:paraId="6BEE4CEC">
      <w:pPr>
        <w:snapToGrid w:val="0"/>
        <w:spacing w:before="50" w:after="50" w:line="360" w:lineRule="auto"/>
        <w:rPr>
          <w:rFonts w:hint="eastAsia" w:ascii="宋体" w:hAnsi="宋体"/>
          <w:color w:val="auto"/>
          <w:sz w:val="24"/>
          <w:highlight w:val="none"/>
        </w:rPr>
      </w:pPr>
      <w:r>
        <w:rPr>
          <w:rFonts w:hint="eastAsia" w:ascii="宋体" w:hAnsi="宋体"/>
          <w:color w:val="auto"/>
          <w:sz w:val="24"/>
          <w:highlight w:val="none"/>
        </w:rPr>
        <w:t>投标人名称：</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单位：元</w:t>
      </w:r>
    </w:p>
    <w:tbl>
      <w:tblPr>
        <w:tblStyle w:val="47"/>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
        <w:gridCol w:w="2712"/>
        <w:gridCol w:w="1521"/>
        <w:gridCol w:w="1418"/>
        <w:gridCol w:w="1673"/>
        <w:gridCol w:w="1184"/>
      </w:tblGrid>
      <w:tr w14:paraId="728E4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1012" w:type="dxa"/>
            <w:tcBorders>
              <w:top w:val="single" w:color="auto" w:sz="4" w:space="0"/>
              <w:left w:val="single" w:color="auto" w:sz="4" w:space="0"/>
              <w:bottom w:val="single" w:color="auto" w:sz="4" w:space="0"/>
              <w:right w:val="single" w:color="auto" w:sz="4" w:space="0"/>
            </w:tcBorders>
            <w:noWrap w:val="0"/>
            <w:vAlign w:val="center"/>
          </w:tcPr>
          <w:p w14:paraId="0F13FE06">
            <w:pPr>
              <w:spacing w:line="360" w:lineRule="auto"/>
              <w:jc w:val="center"/>
              <w:rPr>
                <w:rFonts w:ascii="宋体" w:hAnsi="宋体" w:cs="仿宋_GB2312"/>
                <w:color w:val="auto"/>
                <w:sz w:val="24"/>
                <w:highlight w:val="none"/>
              </w:rPr>
            </w:pPr>
            <w:r>
              <w:rPr>
                <w:rFonts w:ascii="宋体" w:hAnsi="宋体" w:cs="仿宋_GB2312"/>
                <w:color w:val="auto"/>
                <w:sz w:val="24"/>
                <w:highlight w:val="none"/>
              </w:rPr>
              <w:t>序号</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78343A47">
            <w:pPr>
              <w:spacing w:line="360" w:lineRule="auto"/>
              <w:jc w:val="center"/>
              <w:rPr>
                <w:rFonts w:ascii="宋体" w:hAnsi="宋体" w:cs="仿宋_GB2312"/>
                <w:color w:val="auto"/>
                <w:sz w:val="24"/>
                <w:highlight w:val="none"/>
              </w:rPr>
            </w:pPr>
            <w:r>
              <w:rPr>
                <w:rFonts w:hint="eastAsia" w:ascii="宋体" w:hAnsi="宋体"/>
                <w:b/>
                <w:color w:val="auto"/>
                <w:sz w:val="24"/>
                <w:highlight w:val="none"/>
              </w:rPr>
              <w:t>标的的名称</w:t>
            </w:r>
          </w:p>
        </w:tc>
        <w:tc>
          <w:tcPr>
            <w:tcW w:w="1521" w:type="dxa"/>
            <w:tcBorders>
              <w:top w:val="single" w:color="auto" w:sz="4" w:space="0"/>
              <w:left w:val="single" w:color="auto" w:sz="4" w:space="0"/>
              <w:bottom w:val="single" w:color="auto" w:sz="4" w:space="0"/>
              <w:right w:val="single" w:color="auto" w:sz="4" w:space="0"/>
            </w:tcBorders>
            <w:noWrap w:val="0"/>
            <w:vAlign w:val="center"/>
          </w:tcPr>
          <w:p w14:paraId="1F0E84F9">
            <w:pPr>
              <w:spacing w:line="360" w:lineRule="auto"/>
              <w:jc w:val="center"/>
              <w:rPr>
                <w:rFonts w:ascii="宋体" w:hAnsi="宋体" w:cs="仿宋_GB2312"/>
                <w:color w:val="auto"/>
                <w:sz w:val="24"/>
                <w:highlight w:val="none"/>
              </w:rPr>
            </w:pPr>
            <w:r>
              <w:rPr>
                <w:rFonts w:hint="eastAsia" w:ascii="宋体" w:hAnsi="宋体" w:cs="仿宋_GB2312"/>
                <w:color w:val="auto"/>
                <w:sz w:val="24"/>
                <w:highlight w:val="none"/>
              </w:rPr>
              <w:t>数量及单位</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98A467F">
            <w:pPr>
              <w:spacing w:line="360" w:lineRule="auto"/>
              <w:jc w:val="center"/>
              <w:rPr>
                <w:rFonts w:ascii="宋体" w:hAnsi="宋体" w:cs="仿宋_GB2312"/>
                <w:color w:val="auto"/>
                <w:sz w:val="24"/>
                <w:highlight w:val="none"/>
              </w:rPr>
            </w:pPr>
            <w:r>
              <w:rPr>
                <w:rFonts w:hint="eastAsia" w:ascii="宋体" w:hAnsi="宋体" w:cs="仿宋_GB2312"/>
                <w:color w:val="auto"/>
                <w:sz w:val="24"/>
                <w:highlight w:val="none"/>
              </w:rPr>
              <w:t>单价</w:t>
            </w:r>
          </w:p>
        </w:tc>
        <w:tc>
          <w:tcPr>
            <w:tcW w:w="1673" w:type="dxa"/>
            <w:tcBorders>
              <w:top w:val="single" w:color="auto" w:sz="4" w:space="0"/>
              <w:left w:val="single" w:color="auto" w:sz="4" w:space="0"/>
              <w:bottom w:val="single" w:color="auto" w:sz="4" w:space="0"/>
              <w:right w:val="single" w:color="auto" w:sz="4" w:space="0"/>
            </w:tcBorders>
            <w:noWrap w:val="0"/>
            <w:vAlign w:val="center"/>
          </w:tcPr>
          <w:p w14:paraId="1D0B0138">
            <w:pPr>
              <w:spacing w:line="360" w:lineRule="auto"/>
              <w:jc w:val="center"/>
              <w:rPr>
                <w:rFonts w:ascii="宋体" w:hAnsi="宋体" w:cs="仿宋_GB2312"/>
                <w:color w:val="auto"/>
                <w:sz w:val="24"/>
                <w:highlight w:val="none"/>
              </w:rPr>
            </w:pPr>
            <w:r>
              <w:rPr>
                <w:rFonts w:hint="eastAsia" w:ascii="宋体" w:hAnsi="宋体" w:cs="仿宋_GB2312"/>
                <w:color w:val="auto"/>
                <w:sz w:val="24"/>
                <w:highlight w:val="none"/>
              </w:rPr>
              <w:t>总价</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29CB650D">
            <w:pPr>
              <w:spacing w:line="360" w:lineRule="auto"/>
              <w:jc w:val="center"/>
              <w:rPr>
                <w:rFonts w:ascii="宋体" w:hAnsi="宋体" w:cs="仿宋_GB2312"/>
                <w:color w:val="auto"/>
                <w:sz w:val="24"/>
                <w:highlight w:val="none"/>
              </w:rPr>
            </w:pPr>
            <w:r>
              <w:rPr>
                <w:rFonts w:ascii="宋体" w:hAnsi="宋体" w:cs="仿宋_GB2312"/>
                <w:color w:val="auto"/>
                <w:sz w:val="24"/>
                <w:highlight w:val="none"/>
              </w:rPr>
              <w:t>备注</w:t>
            </w:r>
          </w:p>
        </w:tc>
      </w:tr>
      <w:tr w14:paraId="33E1E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right"/>
        </w:trPr>
        <w:tc>
          <w:tcPr>
            <w:tcW w:w="1012" w:type="dxa"/>
            <w:tcBorders>
              <w:top w:val="single" w:color="auto" w:sz="4" w:space="0"/>
              <w:left w:val="single" w:color="auto" w:sz="4" w:space="0"/>
              <w:bottom w:val="single" w:color="auto" w:sz="4" w:space="0"/>
              <w:right w:val="single" w:color="auto" w:sz="4" w:space="0"/>
            </w:tcBorders>
            <w:noWrap w:val="0"/>
            <w:vAlign w:val="center"/>
          </w:tcPr>
          <w:p w14:paraId="4E46D025">
            <w:pPr>
              <w:spacing w:line="360" w:lineRule="auto"/>
              <w:jc w:val="center"/>
              <w:rPr>
                <w:rFonts w:ascii="宋体" w:hAnsi="宋体" w:cs="仿宋_GB2312"/>
                <w:color w:val="auto"/>
                <w:sz w:val="24"/>
                <w:highlight w:val="none"/>
              </w:rPr>
            </w:pPr>
            <w:r>
              <w:rPr>
                <w:rFonts w:ascii="宋体" w:hAnsi="宋体" w:cs="仿宋_GB2312"/>
                <w:color w:val="auto"/>
                <w:sz w:val="24"/>
                <w:highlight w:val="none"/>
              </w:rPr>
              <w:t>1</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3E2890B1">
            <w:pPr>
              <w:spacing w:line="360" w:lineRule="auto"/>
              <w:jc w:val="center"/>
              <w:rPr>
                <w:rFonts w:ascii="宋体" w:hAnsi="宋体" w:cs="仿宋_GB2312"/>
                <w:color w:val="auto"/>
                <w:sz w:val="24"/>
                <w:highlight w:val="none"/>
              </w:rPr>
            </w:pPr>
          </w:p>
        </w:tc>
        <w:tc>
          <w:tcPr>
            <w:tcW w:w="1521" w:type="dxa"/>
            <w:tcBorders>
              <w:top w:val="single" w:color="auto" w:sz="4" w:space="0"/>
              <w:left w:val="single" w:color="auto" w:sz="4" w:space="0"/>
              <w:bottom w:val="single" w:color="auto" w:sz="4" w:space="0"/>
              <w:right w:val="single" w:color="auto" w:sz="4" w:space="0"/>
            </w:tcBorders>
            <w:noWrap w:val="0"/>
            <w:vAlign w:val="center"/>
          </w:tcPr>
          <w:p w14:paraId="4537F47D">
            <w:pPr>
              <w:spacing w:line="360" w:lineRule="auto"/>
              <w:rPr>
                <w:rFonts w:ascii="宋体" w:hAnsi="宋体" w:cs="仿宋_GB2312"/>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79DE589C">
            <w:pPr>
              <w:spacing w:line="360" w:lineRule="auto"/>
              <w:rPr>
                <w:rFonts w:ascii="宋体" w:hAnsi="宋体" w:cs="仿宋_GB2312"/>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top"/>
          </w:tcPr>
          <w:p w14:paraId="5362BE80">
            <w:pPr>
              <w:spacing w:line="360" w:lineRule="auto"/>
              <w:rPr>
                <w:rFonts w:ascii="宋体" w:hAnsi="宋体" w:cs="仿宋_GB2312"/>
                <w:color w:val="auto"/>
                <w:sz w:val="24"/>
                <w:highlight w:val="none"/>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5F12A573">
            <w:pPr>
              <w:spacing w:line="360" w:lineRule="auto"/>
              <w:rPr>
                <w:rFonts w:ascii="宋体" w:hAnsi="宋体" w:cs="仿宋_GB2312"/>
                <w:color w:val="auto"/>
                <w:sz w:val="24"/>
                <w:highlight w:val="none"/>
              </w:rPr>
            </w:pPr>
          </w:p>
        </w:tc>
      </w:tr>
      <w:tr w14:paraId="14D9A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right"/>
        </w:trPr>
        <w:tc>
          <w:tcPr>
            <w:tcW w:w="9520" w:type="dxa"/>
            <w:gridSpan w:val="6"/>
            <w:tcBorders>
              <w:top w:val="single" w:color="auto" w:sz="4" w:space="0"/>
              <w:left w:val="single" w:color="auto" w:sz="4" w:space="0"/>
              <w:bottom w:val="single" w:color="auto" w:sz="4" w:space="0"/>
              <w:right w:val="single" w:color="auto" w:sz="4" w:space="0"/>
            </w:tcBorders>
            <w:noWrap w:val="0"/>
            <w:vAlign w:val="center"/>
          </w:tcPr>
          <w:p w14:paraId="73F0F18E">
            <w:pPr>
              <w:snapToGrid w:val="0"/>
              <w:spacing w:before="50" w:after="50" w:line="360" w:lineRule="auto"/>
              <w:rPr>
                <w:rFonts w:ascii="宋体" w:hAnsi="宋体" w:cs="仿宋_GB2312"/>
                <w:color w:val="auto"/>
                <w:sz w:val="24"/>
                <w:highlight w:val="none"/>
              </w:rPr>
            </w:pPr>
            <w:r>
              <w:rPr>
                <w:rFonts w:hint="eastAsia" w:ascii="宋体" w:hAnsi="宋体" w:cs="仿宋_GB2312"/>
                <w:color w:val="auto"/>
                <w:sz w:val="24"/>
                <w:highlight w:val="none"/>
              </w:rPr>
              <w:t>合计金额大写：人民币</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p>
        </w:tc>
      </w:tr>
    </w:tbl>
    <w:p w14:paraId="6634F80B">
      <w:pPr>
        <w:snapToGrid w:val="0"/>
        <w:spacing w:before="50" w:after="50"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w:t>
      </w:r>
    </w:p>
    <w:p w14:paraId="428A8E0C">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 xml:space="preserve">注： </w:t>
      </w:r>
    </w:p>
    <w:p w14:paraId="7B901DD3">
      <w:pPr>
        <w:snapToGrid w:val="0"/>
        <w:spacing w:line="360" w:lineRule="auto"/>
        <w:ind w:firstLine="480" w:firstLineChars="200"/>
        <w:jc w:val="left"/>
        <w:rPr>
          <w:rFonts w:hint="eastAsia" w:ascii="宋体" w:hAnsi="宋体"/>
          <w:b/>
          <w:color w:val="auto"/>
          <w:sz w:val="24"/>
          <w:highlight w:val="none"/>
        </w:rPr>
      </w:pPr>
      <w:r>
        <w:rPr>
          <w:rFonts w:hint="eastAsia" w:ascii="宋体" w:hAnsi="宋体"/>
          <w:color w:val="auto"/>
          <w:sz w:val="24"/>
          <w:highlight w:val="none"/>
        </w:rPr>
        <w:t>1.报价一经涂改，应在涂改处加盖投标人公章</w:t>
      </w:r>
      <w:r>
        <w:rPr>
          <w:rFonts w:hint="eastAsia" w:ascii="宋体" w:hAnsi="宋体" w:cs="仿宋_GB2312"/>
          <w:color w:val="auto"/>
          <w:sz w:val="24"/>
          <w:highlight w:val="none"/>
        </w:rPr>
        <w:t>或者加盖电子签章</w:t>
      </w:r>
      <w:r>
        <w:rPr>
          <w:rFonts w:hint="eastAsia" w:ascii="宋体" w:hAnsi="宋体"/>
          <w:color w:val="auto"/>
          <w:sz w:val="24"/>
          <w:highlight w:val="none"/>
        </w:rPr>
        <w:t>或者由法定代表人或者委托代理人签字（或者电子签名）</w:t>
      </w:r>
      <w:r>
        <w:rPr>
          <w:rFonts w:hint="eastAsia" w:ascii="宋体" w:hAnsi="宋体"/>
          <w:b/>
          <w:color w:val="auto"/>
          <w:sz w:val="24"/>
          <w:highlight w:val="none"/>
        </w:rPr>
        <w:t>，否则其投标作无效标处理。</w:t>
      </w:r>
    </w:p>
    <w:p w14:paraId="1449B78B">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2.如为联合体投标，“投标人名称”处必须列明联合体各方名称，并标注联合体牵头人名称，</w:t>
      </w:r>
      <w:r>
        <w:rPr>
          <w:rFonts w:hint="eastAsia" w:ascii="宋体" w:hAnsi="宋体"/>
          <w:b/>
          <w:color w:val="auto"/>
          <w:sz w:val="24"/>
          <w:highlight w:val="none"/>
        </w:rPr>
        <w:t>否则其投标作无效标处理。</w:t>
      </w:r>
    </w:p>
    <w:p w14:paraId="749253C9">
      <w:pPr>
        <w:snapToGrid w:val="0"/>
        <w:spacing w:line="360" w:lineRule="auto"/>
        <w:ind w:firstLine="456" w:firstLineChars="200"/>
        <w:jc w:val="left"/>
        <w:rPr>
          <w:rFonts w:hint="eastAsia" w:ascii="宋体" w:hAnsi="宋体"/>
          <w:color w:val="auto"/>
          <w:spacing w:val="-6"/>
          <w:sz w:val="24"/>
          <w:highlight w:val="none"/>
        </w:rPr>
      </w:pPr>
      <w:r>
        <w:rPr>
          <w:rFonts w:hint="eastAsia" w:ascii="宋体" w:hAnsi="宋体"/>
          <w:color w:val="auto"/>
          <w:spacing w:val="-6"/>
          <w:sz w:val="24"/>
          <w:highlight w:val="none"/>
        </w:rPr>
        <w:t>3.如为联合体投标，盖章处须加盖联合体牵头人电子签章，</w:t>
      </w:r>
      <w:r>
        <w:rPr>
          <w:rFonts w:hint="eastAsia" w:ascii="宋体" w:hAnsi="宋体"/>
          <w:b/>
          <w:color w:val="auto"/>
          <w:spacing w:val="-6"/>
          <w:sz w:val="24"/>
          <w:highlight w:val="none"/>
        </w:rPr>
        <w:t>否则其投标作无效标处理。</w:t>
      </w:r>
    </w:p>
    <w:p w14:paraId="1CF6CF4D">
      <w:pPr>
        <w:snapToGrid w:val="0"/>
        <w:spacing w:line="360" w:lineRule="auto"/>
        <w:ind w:firstLine="480" w:firstLineChars="200"/>
        <w:rPr>
          <w:rFonts w:hint="eastAsia" w:ascii="宋体" w:hAnsi="宋体"/>
          <w:b/>
          <w:color w:val="auto"/>
          <w:sz w:val="24"/>
          <w:highlight w:val="none"/>
        </w:rPr>
      </w:pPr>
      <w:r>
        <w:rPr>
          <w:rFonts w:hint="eastAsia" w:ascii="宋体" w:hAnsi="宋体"/>
          <w:color w:val="auto"/>
          <w:sz w:val="24"/>
          <w:highlight w:val="none"/>
        </w:rPr>
        <w:t>4.如有多分标，按分标分别提供开标一览表，</w:t>
      </w:r>
      <w:r>
        <w:rPr>
          <w:rFonts w:hint="eastAsia" w:ascii="宋体" w:hAnsi="宋体"/>
          <w:b/>
          <w:color w:val="auto"/>
          <w:sz w:val="24"/>
          <w:highlight w:val="none"/>
        </w:rPr>
        <w:t>否则投标无效。</w:t>
      </w:r>
    </w:p>
    <w:p w14:paraId="2B934F91">
      <w:pPr>
        <w:snapToGrid w:val="0"/>
        <w:spacing w:line="360" w:lineRule="auto"/>
        <w:ind w:firstLine="482" w:firstLineChars="200"/>
        <w:rPr>
          <w:rFonts w:hint="eastAsia" w:ascii="宋体" w:hAnsi="宋体"/>
          <w:b/>
          <w:color w:val="auto"/>
          <w:sz w:val="24"/>
          <w:highlight w:val="none"/>
        </w:rPr>
      </w:pPr>
    </w:p>
    <w:p w14:paraId="759B3E34">
      <w:pPr>
        <w:snapToGrid w:val="0"/>
        <w:spacing w:line="360" w:lineRule="auto"/>
        <w:ind w:left="-2" w:leftChars="-1" w:right="-817" w:rightChars="-389"/>
        <w:rPr>
          <w:rFonts w:hint="eastAsia" w:ascii="宋体" w:hAnsi="宋体"/>
          <w:color w:val="auto"/>
          <w:sz w:val="24"/>
          <w:highlight w:val="none"/>
        </w:rPr>
      </w:pPr>
      <w:r>
        <w:rPr>
          <w:rFonts w:hint="eastAsia" w:ascii="宋体" w:hAnsi="宋体"/>
          <w:color w:val="auto"/>
          <w:sz w:val="24"/>
          <w:highlight w:val="none"/>
        </w:rPr>
        <w:t xml:space="preserve">                           法定代表人或者委托代理人（签字或者电子签名）： </w:t>
      </w:r>
    </w:p>
    <w:p w14:paraId="08B5DDC5">
      <w:pPr>
        <w:snapToGrid w:val="0"/>
        <w:spacing w:line="360" w:lineRule="auto"/>
        <w:ind w:left="-3" w:leftChars="-15" w:right="-817" w:rightChars="-389" w:hanging="28" w:hangingChars="12"/>
        <w:rPr>
          <w:rFonts w:hint="eastAsia" w:ascii="宋体" w:hAnsi="宋体"/>
          <w:color w:val="auto"/>
          <w:sz w:val="24"/>
          <w:highlight w:val="none"/>
        </w:rPr>
      </w:pPr>
      <w:r>
        <w:rPr>
          <w:rFonts w:hint="eastAsia" w:ascii="宋体" w:hAnsi="宋体"/>
          <w:color w:val="auto"/>
          <w:sz w:val="24"/>
          <w:highlight w:val="none"/>
        </w:rPr>
        <w:t xml:space="preserve">                                  投标人名称（电子签章）：</w:t>
      </w:r>
    </w:p>
    <w:p w14:paraId="419D85AB">
      <w:pPr>
        <w:snapToGrid w:val="0"/>
        <w:spacing w:line="360" w:lineRule="auto"/>
        <w:ind w:left="-3" w:leftChars="-15" w:right="-817" w:rightChars="-389" w:hanging="28" w:hangingChars="12"/>
        <w:rPr>
          <w:rFonts w:hint="eastAsia" w:ascii="宋体" w:hAnsi="宋体"/>
          <w:color w:val="auto"/>
          <w:szCs w:val="21"/>
          <w:highlight w:val="none"/>
        </w:rPr>
      </w:pPr>
      <w:r>
        <w:rPr>
          <w:rFonts w:hint="eastAsia" w:ascii="宋体" w:hAnsi="宋体"/>
          <w:color w:val="auto"/>
          <w:sz w:val="24"/>
          <w:highlight w:val="none"/>
        </w:rPr>
        <w:t xml:space="preserve">                                  日期：    年   月   日</w:t>
      </w:r>
    </w:p>
    <w:p w14:paraId="10187D4E">
      <w:pPr>
        <w:snapToGrid w:val="0"/>
        <w:spacing w:before="50" w:after="50" w:line="360" w:lineRule="auto"/>
        <w:ind w:left="-6" w:leftChars="-15" w:right="-817" w:rightChars="-389" w:hanging="25" w:hangingChars="12"/>
        <w:rPr>
          <w:rFonts w:hint="eastAsia" w:ascii="宋体" w:hAnsi="宋体"/>
          <w:color w:val="auto"/>
          <w:szCs w:val="21"/>
          <w:highlight w:val="none"/>
        </w:rPr>
      </w:pPr>
    </w:p>
    <w:p w14:paraId="3D808D07">
      <w:pPr>
        <w:rPr>
          <w:rFonts w:hint="eastAsia"/>
          <w:b/>
          <w:color w:val="auto"/>
          <w:sz w:val="28"/>
          <w:szCs w:val="28"/>
          <w:highlight w:val="none"/>
        </w:rPr>
      </w:pPr>
      <w:r>
        <w:rPr>
          <w:rFonts w:ascii="宋体" w:hAnsi="宋体"/>
          <w:b/>
          <w:bCs/>
          <w:color w:val="auto"/>
          <w:sz w:val="24"/>
          <w:highlight w:val="none"/>
        </w:rPr>
        <w:br w:type="page"/>
      </w:r>
      <w:bookmarkStart w:id="183" w:name="_Toc19686837"/>
      <w:r>
        <w:rPr>
          <w:rFonts w:hint="eastAsia"/>
          <w:b/>
          <w:color w:val="auto"/>
          <w:sz w:val="28"/>
          <w:szCs w:val="28"/>
          <w:highlight w:val="none"/>
        </w:rPr>
        <w:t>二、资格证明文件格式</w:t>
      </w:r>
      <w:bookmarkEnd w:id="181"/>
      <w:bookmarkEnd w:id="182"/>
      <w:bookmarkEnd w:id="183"/>
    </w:p>
    <w:p w14:paraId="2B35C55C">
      <w:pPr>
        <w:snapToGrid w:val="0"/>
        <w:spacing w:before="120" w:beforeLines="50" w:after="50" w:line="360" w:lineRule="auto"/>
        <w:jc w:val="left"/>
        <w:rPr>
          <w:rFonts w:hint="eastAsia" w:ascii="宋体" w:hAnsi="宋体"/>
          <w:b/>
          <w:color w:val="auto"/>
          <w:sz w:val="24"/>
          <w:highlight w:val="none"/>
        </w:rPr>
      </w:pPr>
      <w:r>
        <w:rPr>
          <w:rFonts w:hint="eastAsia" w:ascii="宋体" w:hAnsi="宋体"/>
          <w:b/>
          <w:color w:val="auto"/>
          <w:sz w:val="24"/>
          <w:highlight w:val="none"/>
        </w:rPr>
        <w:t xml:space="preserve">1.资格证明文件封面格式： </w:t>
      </w:r>
    </w:p>
    <w:p w14:paraId="15C0D588">
      <w:pPr>
        <w:snapToGrid w:val="0"/>
        <w:spacing w:before="120" w:beforeLines="50" w:after="50"/>
        <w:jc w:val="center"/>
        <w:rPr>
          <w:rFonts w:hint="eastAsia" w:ascii="宋体" w:hAnsi="宋体" w:eastAsia="Arial Unicode MS"/>
          <w:bCs/>
          <w:color w:val="auto"/>
          <w:sz w:val="48"/>
          <w:szCs w:val="48"/>
          <w:highlight w:val="none"/>
        </w:rPr>
      </w:pPr>
      <w:r>
        <w:rPr>
          <w:rFonts w:hint="eastAsia" w:ascii="宋体" w:hAnsi="宋体" w:eastAsia="Arial Unicode MS"/>
          <w:bCs/>
          <w:color w:val="auto"/>
          <w:sz w:val="48"/>
          <w:szCs w:val="48"/>
          <w:highlight w:val="none"/>
        </w:rPr>
        <w:t>电子投标文件</w:t>
      </w:r>
    </w:p>
    <w:p w14:paraId="7D352E93">
      <w:pPr>
        <w:snapToGrid w:val="0"/>
        <w:spacing w:before="120" w:beforeLines="50" w:after="50"/>
        <w:rPr>
          <w:rFonts w:hint="eastAsia" w:ascii="宋体" w:hAnsi="宋体"/>
          <w:color w:val="auto"/>
          <w:sz w:val="24"/>
          <w:szCs w:val="20"/>
          <w:highlight w:val="none"/>
        </w:rPr>
      </w:pPr>
      <w:r>
        <w:rPr>
          <w:rFonts w:hint="eastAsia" w:ascii="宋体" w:hAnsi="宋体"/>
          <w:color w:val="auto"/>
          <w:sz w:val="24"/>
          <w:highlight w:val="none"/>
        </w:rPr>
        <w:t xml:space="preserve">                 </w:t>
      </w:r>
    </w:p>
    <w:p w14:paraId="74C379B0">
      <w:pPr>
        <w:snapToGrid w:val="0"/>
        <w:spacing w:before="120" w:beforeLines="50" w:after="50"/>
        <w:jc w:val="center"/>
        <w:rPr>
          <w:rFonts w:hint="eastAsia" w:ascii="宋体" w:hAnsi="宋体"/>
          <w:b/>
          <w:color w:val="auto"/>
          <w:sz w:val="24"/>
          <w:szCs w:val="20"/>
          <w:highlight w:val="none"/>
        </w:rPr>
      </w:pPr>
      <w:r>
        <w:rPr>
          <w:rFonts w:hint="eastAsia" w:ascii="宋体" w:hAnsi="宋体"/>
          <w:b/>
          <w:color w:val="auto"/>
          <w:sz w:val="32"/>
          <w:szCs w:val="32"/>
          <w:highlight w:val="none"/>
        </w:rPr>
        <w:t>资格证明文件</w:t>
      </w:r>
    </w:p>
    <w:p w14:paraId="25FBCDB3">
      <w:pPr>
        <w:snapToGrid w:val="0"/>
        <w:spacing w:before="120" w:beforeLines="50" w:after="50"/>
        <w:rPr>
          <w:rFonts w:ascii="宋体" w:hAnsi="宋体"/>
          <w:bCs/>
          <w:color w:val="auto"/>
          <w:sz w:val="24"/>
          <w:szCs w:val="20"/>
          <w:highlight w:val="none"/>
        </w:rPr>
      </w:pPr>
    </w:p>
    <w:p w14:paraId="3AD461B5">
      <w:pPr>
        <w:snapToGrid w:val="0"/>
        <w:spacing w:before="120" w:beforeLines="50" w:after="50"/>
        <w:rPr>
          <w:rFonts w:ascii="宋体" w:hAnsi="宋体"/>
          <w:bCs/>
          <w:color w:val="auto"/>
          <w:sz w:val="24"/>
          <w:szCs w:val="20"/>
          <w:highlight w:val="none"/>
        </w:rPr>
      </w:pPr>
    </w:p>
    <w:p w14:paraId="40CA951B">
      <w:pPr>
        <w:snapToGrid w:val="0"/>
        <w:spacing w:before="120" w:beforeLines="50" w:after="50"/>
        <w:rPr>
          <w:rFonts w:ascii="宋体" w:hAnsi="宋体"/>
          <w:bCs/>
          <w:color w:val="auto"/>
          <w:sz w:val="24"/>
          <w:szCs w:val="20"/>
          <w:highlight w:val="none"/>
        </w:rPr>
      </w:pPr>
    </w:p>
    <w:p w14:paraId="38BF2B36">
      <w:pPr>
        <w:snapToGrid w:val="0"/>
        <w:spacing w:before="120" w:beforeLines="50" w:after="50"/>
        <w:rPr>
          <w:rFonts w:ascii="宋体" w:hAnsi="宋体"/>
          <w:bCs/>
          <w:color w:val="auto"/>
          <w:sz w:val="24"/>
          <w:szCs w:val="20"/>
          <w:highlight w:val="none"/>
        </w:rPr>
      </w:pPr>
    </w:p>
    <w:p w14:paraId="041B0688">
      <w:pPr>
        <w:snapToGrid w:val="0"/>
        <w:spacing w:before="120" w:beforeLines="50" w:after="50"/>
        <w:rPr>
          <w:rFonts w:ascii="宋体" w:hAnsi="宋体"/>
          <w:bCs/>
          <w:color w:val="auto"/>
          <w:sz w:val="24"/>
          <w:szCs w:val="20"/>
          <w:highlight w:val="none"/>
        </w:rPr>
      </w:pPr>
    </w:p>
    <w:p w14:paraId="00409D68">
      <w:pPr>
        <w:snapToGrid w:val="0"/>
        <w:spacing w:before="120" w:beforeLines="50" w:after="50"/>
        <w:rPr>
          <w:rFonts w:ascii="宋体" w:hAnsi="宋体"/>
          <w:bCs/>
          <w:color w:val="auto"/>
          <w:sz w:val="24"/>
          <w:szCs w:val="20"/>
          <w:highlight w:val="none"/>
        </w:rPr>
      </w:pPr>
    </w:p>
    <w:p w14:paraId="1B977A41">
      <w:pPr>
        <w:snapToGrid w:val="0"/>
        <w:spacing w:before="120" w:beforeLines="50" w:after="50"/>
        <w:rPr>
          <w:rFonts w:hint="eastAsia" w:ascii="宋体" w:hAnsi="宋体"/>
          <w:bCs/>
          <w:color w:val="auto"/>
          <w:sz w:val="24"/>
          <w:szCs w:val="20"/>
          <w:highlight w:val="none"/>
        </w:rPr>
      </w:pPr>
    </w:p>
    <w:p w14:paraId="58606DBB">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项目名称：</w:t>
      </w:r>
    </w:p>
    <w:p w14:paraId="7D243435">
      <w:pPr>
        <w:snapToGrid w:val="0"/>
        <w:spacing w:before="120" w:beforeLines="50" w:after="50"/>
        <w:ind w:firstLine="540" w:firstLineChars="225"/>
        <w:rPr>
          <w:rFonts w:hint="eastAsia" w:ascii="宋体" w:hAnsi="宋体"/>
          <w:bCs/>
          <w:color w:val="auto"/>
          <w:sz w:val="24"/>
          <w:szCs w:val="20"/>
          <w:highlight w:val="none"/>
        </w:rPr>
      </w:pPr>
    </w:p>
    <w:p w14:paraId="0D53673C">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项目编号：</w:t>
      </w:r>
    </w:p>
    <w:p w14:paraId="111865D2">
      <w:pPr>
        <w:snapToGrid w:val="0"/>
        <w:spacing w:before="120" w:beforeLines="50" w:after="50"/>
        <w:ind w:firstLine="540" w:firstLineChars="225"/>
        <w:rPr>
          <w:rFonts w:hint="eastAsia" w:ascii="宋体" w:hAnsi="宋体"/>
          <w:bCs/>
          <w:color w:val="auto"/>
          <w:sz w:val="24"/>
          <w:szCs w:val="20"/>
          <w:highlight w:val="none"/>
        </w:rPr>
      </w:pPr>
      <w:r>
        <w:rPr>
          <w:rFonts w:hint="eastAsia" w:ascii="宋体" w:hAnsi="宋体"/>
          <w:bCs/>
          <w:color w:val="auto"/>
          <w:sz w:val="24"/>
          <w:highlight w:val="none"/>
        </w:rPr>
        <w:t xml:space="preserve"> </w:t>
      </w:r>
    </w:p>
    <w:p w14:paraId="5CDF8B2E">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所投分标：</w:t>
      </w:r>
    </w:p>
    <w:p w14:paraId="1F07B841">
      <w:pPr>
        <w:pStyle w:val="7"/>
        <w:snapToGrid w:val="0"/>
        <w:spacing w:before="50" w:after="50"/>
        <w:ind w:firstLine="540" w:firstLineChars="225"/>
        <w:rPr>
          <w:rFonts w:hint="eastAsia" w:ascii="宋体" w:hAnsi="宋体"/>
          <w:bCs/>
          <w:color w:val="auto"/>
          <w:sz w:val="24"/>
          <w:szCs w:val="24"/>
          <w:highlight w:val="none"/>
        </w:rPr>
      </w:pPr>
    </w:p>
    <w:p w14:paraId="6DDC3E86">
      <w:pPr>
        <w:pStyle w:val="7"/>
        <w:snapToGrid w:val="0"/>
        <w:spacing w:before="50" w:after="50"/>
        <w:ind w:firstLine="540" w:firstLineChars="225"/>
        <w:rPr>
          <w:rFonts w:hint="eastAsia" w:ascii="宋体" w:hAnsi="宋体"/>
          <w:bCs/>
          <w:color w:val="auto"/>
          <w:sz w:val="24"/>
          <w:szCs w:val="24"/>
          <w:highlight w:val="none"/>
        </w:rPr>
      </w:pPr>
      <w:r>
        <w:rPr>
          <w:rFonts w:hint="eastAsia" w:ascii="宋体" w:hAnsi="宋体"/>
          <w:bCs/>
          <w:color w:val="auto"/>
          <w:sz w:val="24"/>
          <w:szCs w:val="24"/>
          <w:highlight w:val="none"/>
        </w:rPr>
        <w:t>投标人名称：</w:t>
      </w:r>
    </w:p>
    <w:p w14:paraId="1BCA2A5E">
      <w:pPr>
        <w:pStyle w:val="7"/>
        <w:snapToGrid w:val="0"/>
        <w:spacing w:before="50" w:after="50"/>
        <w:ind w:firstLine="540" w:firstLineChars="225"/>
        <w:rPr>
          <w:rFonts w:hint="eastAsia" w:ascii="宋体" w:hAnsi="宋体"/>
          <w:bCs/>
          <w:color w:val="auto"/>
          <w:sz w:val="24"/>
          <w:szCs w:val="24"/>
          <w:highlight w:val="none"/>
        </w:rPr>
      </w:pPr>
    </w:p>
    <w:p w14:paraId="4E9B60DD">
      <w:pPr>
        <w:pStyle w:val="7"/>
        <w:snapToGrid w:val="0"/>
        <w:spacing w:before="50" w:after="50"/>
        <w:ind w:firstLine="960" w:firstLineChars="400"/>
        <w:rPr>
          <w:rFonts w:hint="eastAsia" w:ascii="宋体" w:hAnsi="宋体"/>
          <w:bCs/>
          <w:color w:val="auto"/>
          <w:sz w:val="24"/>
          <w:szCs w:val="24"/>
          <w:highlight w:val="none"/>
        </w:rPr>
      </w:pPr>
    </w:p>
    <w:p w14:paraId="49006B61">
      <w:pPr>
        <w:snapToGrid w:val="0"/>
        <w:spacing w:before="120" w:beforeLines="50" w:after="50"/>
        <w:ind w:firstLine="645"/>
        <w:jc w:val="center"/>
        <w:rPr>
          <w:rFonts w:ascii="宋体" w:hAnsi="宋体"/>
          <w:color w:val="auto"/>
          <w:sz w:val="24"/>
          <w:highlight w:val="none"/>
        </w:rPr>
      </w:pPr>
      <w:r>
        <w:rPr>
          <w:rFonts w:hint="eastAsia" w:ascii="宋体" w:hAnsi="宋体"/>
          <w:color w:val="auto"/>
          <w:sz w:val="24"/>
          <w:highlight w:val="none"/>
        </w:rPr>
        <w:t>年  月  日</w:t>
      </w:r>
    </w:p>
    <w:p w14:paraId="51B6725C">
      <w:pPr>
        <w:snapToGrid w:val="0"/>
        <w:spacing w:before="120" w:beforeLines="50" w:after="50"/>
        <w:rPr>
          <w:rFonts w:ascii="宋体" w:hAnsi="宋体"/>
          <w:color w:val="auto"/>
          <w:sz w:val="24"/>
          <w:szCs w:val="20"/>
          <w:highlight w:val="none"/>
        </w:rPr>
      </w:pPr>
      <w:r>
        <w:rPr>
          <w:rFonts w:ascii="宋体" w:hAnsi="宋体"/>
          <w:color w:val="auto"/>
          <w:sz w:val="24"/>
          <w:szCs w:val="20"/>
          <w:highlight w:val="none"/>
        </w:rPr>
        <w:t xml:space="preserve"> </w:t>
      </w:r>
    </w:p>
    <w:p w14:paraId="17082880">
      <w:pPr>
        <w:snapToGrid w:val="0"/>
        <w:spacing w:before="120" w:beforeLines="50" w:after="50"/>
        <w:rPr>
          <w:rFonts w:hint="eastAsia" w:ascii="宋体" w:hAnsi="宋体"/>
          <w:color w:val="auto"/>
          <w:sz w:val="24"/>
          <w:szCs w:val="20"/>
          <w:highlight w:val="none"/>
        </w:rPr>
      </w:pPr>
    </w:p>
    <w:p w14:paraId="2C70F577">
      <w:pPr>
        <w:snapToGrid w:val="0"/>
        <w:spacing w:before="120" w:beforeLines="50" w:after="50" w:line="360" w:lineRule="auto"/>
        <w:jc w:val="left"/>
        <w:rPr>
          <w:rFonts w:hint="eastAsia" w:ascii="宋体" w:hAnsi="宋体"/>
          <w:color w:val="auto"/>
          <w:sz w:val="24"/>
          <w:szCs w:val="20"/>
          <w:highlight w:val="none"/>
        </w:rPr>
      </w:pPr>
      <w:r>
        <w:rPr>
          <w:rFonts w:ascii="宋体" w:hAnsi="宋体"/>
          <w:b/>
          <w:bCs/>
          <w:color w:val="auto"/>
          <w:sz w:val="24"/>
          <w:highlight w:val="none"/>
        </w:rPr>
        <w:br w:type="page"/>
      </w:r>
      <w:r>
        <w:rPr>
          <w:rFonts w:hint="eastAsia" w:ascii="宋体" w:hAnsi="宋体"/>
          <w:b/>
          <w:bCs/>
          <w:color w:val="auto"/>
          <w:sz w:val="24"/>
          <w:highlight w:val="none"/>
        </w:rPr>
        <w:t>2.资格证明文件目录</w:t>
      </w:r>
    </w:p>
    <w:p w14:paraId="0B2A1609">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根据招标文件规定及投标人提供的材料自行编写目录。</w:t>
      </w:r>
    </w:p>
    <w:p w14:paraId="0F4D5B3A">
      <w:pPr>
        <w:snapToGrid w:val="0"/>
        <w:spacing w:before="50" w:after="120" w:afterLines="50"/>
        <w:jc w:val="left"/>
        <w:rPr>
          <w:rFonts w:hint="eastAsia" w:ascii="宋体" w:hAnsi="宋体"/>
          <w:color w:val="auto"/>
          <w:sz w:val="24"/>
          <w:highlight w:val="none"/>
        </w:rPr>
      </w:pPr>
    </w:p>
    <w:p w14:paraId="69574808">
      <w:pPr>
        <w:snapToGrid w:val="0"/>
        <w:spacing w:before="50" w:after="120" w:afterLines="50"/>
        <w:jc w:val="left"/>
        <w:rPr>
          <w:rFonts w:hint="eastAsia" w:ascii="宋体" w:hAnsi="宋体"/>
          <w:color w:val="auto"/>
          <w:sz w:val="24"/>
          <w:highlight w:val="none"/>
        </w:rPr>
      </w:pPr>
    </w:p>
    <w:p w14:paraId="364C6B65">
      <w:pPr>
        <w:snapToGrid w:val="0"/>
        <w:spacing w:before="120" w:beforeLines="50" w:after="50"/>
        <w:jc w:val="left"/>
        <w:rPr>
          <w:rFonts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w:t>
      </w:r>
      <w:r>
        <w:rPr>
          <w:rFonts w:hint="eastAsia" w:ascii="宋体" w:hAnsi="宋体"/>
          <w:b/>
          <w:color w:val="auto"/>
          <w:sz w:val="28"/>
          <w:szCs w:val="28"/>
          <w:highlight w:val="none"/>
        </w:rPr>
        <w:t>投标人直接控股股东信息表</w:t>
      </w:r>
    </w:p>
    <w:p w14:paraId="72A6EEB4">
      <w:pPr>
        <w:snapToGrid w:val="0"/>
        <w:spacing w:before="50" w:after="120" w:afterLines="50"/>
        <w:jc w:val="center"/>
        <w:rPr>
          <w:rFonts w:hint="eastAsia" w:ascii="宋体" w:hAnsi="宋体"/>
          <w:b/>
          <w:color w:val="auto"/>
          <w:sz w:val="28"/>
          <w:szCs w:val="28"/>
          <w:highlight w:val="none"/>
        </w:rPr>
      </w:pPr>
    </w:p>
    <w:p w14:paraId="0F6EAF3D">
      <w:pPr>
        <w:snapToGrid w:val="0"/>
        <w:spacing w:before="50" w:after="120" w:afterLines="50"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投标人直接控股股东信息表</w:t>
      </w:r>
    </w:p>
    <w:tbl>
      <w:tblPr>
        <w:tblStyle w:val="47"/>
        <w:tblW w:w="0" w:type="auto"/>
        <w:tblInd w:w="-128"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43F6E3BE">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9C5B29D">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5862714">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F630021">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C3987C2">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2B3E194">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26B10182">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E9E2379">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2E90B0D">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D42D32C">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9EC1004">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359A29E">
            <w:pPr>
              <w:spacing w:line="360" w:lineRule="auto"/>
              <w:jc w:val="center"/>
              <w:rPr>
                <w:rFonts w:ascii="宋体" w:hAnsi="宋体" w:cs="宋体"/>
                <w:color w:val="auto"/>
                <w:kern w:val="0"/>
                <w:sz w:val="24"/>
                <w:highlight w:val="none"/>
              </w:rPr>
            </w:pPr>
          </w:p>
        </w:tc>
      </w:tr>
      <w:tr w14:paraId="68A9F14A">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CA748B4">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2A37B49">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7D69B89">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D1E26E8">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6A3A8E9">
            <w:pPr>
              <w:spacing w:line="360" w:lineRule="auto"/>
              <w:jc w:val="center"/>
              <w:rPr>
                <w:rFonts w:ascii="宋体" w:hAnsi="宋体" w:cs="宋体"/>
                <w:color w:val="auto"/>
                <w:kern w:val="0"/>
                <w:sz w:val="24"/>
                <w:highlight w:val="none"/>
              </w:rPr>
            </w:pPr>
          </w:p>
        </w:tc>
      </w:tr>
      <w:tr w14:paraId="0BB3EB76">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1BF407F">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B438E5E">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AB15115">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4330CE2">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93D0240">
            <w:pPr>
              <w:spacing w:line="360" w:lineRule="auto"/>
              <w:jc w:val="center"/>
              <w:rPr>
                <w:rFonts w:ascii="宋体" w:hAnsi="宋体" w:cs="宋体"/>
                <w:color w:val="auto"/>
                <w:kern w:val="0"/>
                <w:sz w:val="24"/>
                <w:highlight w:val="none"/>
              </w:rPr>
            </w:pPr>
          </w:p>
        </w:tc>
      </w:tr>
      <w:tr w14:paraId="7948E2B1">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5C7B19A">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CC50B1B">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CAB9BFE">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46E3EC3">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A6E6846">
            <w:pPr>
              <w:spacing w:line="360" w:lineRule="auto"/>
              <w:jc w:val="center"/>
              <w:rPr>
                <w:rFonts w:ascii="宋体" w:hAnsi="宋体" w:cs="宋体"/>
                <w:color w:val="auto"/>
                <w:kern w:val="0"/>
                <w:sz w:val="24"/>
                <w:highlight w:val="none"/>
              </w:rPr>
            </w:pPr>
          </w:p>
        </w:tc>
      </w:tr>
    </w:tbl>
    <w:p w14:paraId="5723A96E">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注：</w:t>
      </w:r>
    </w:p>
    <w:p w14:paraId="4000B206">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34B202B">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2.本表所指的控股关系仅限于直接控股关系，不包括间接的控股关系。公司实际控制人与公司之间的关系不属于本表所指的直接控股关系。</w:t>
      </w:r>
    </w:p>
    <w:p w14:paraId="30C780A0">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3.供应商不存在直接控股股东的，则在“</w:t>
      </w:r>
      <w:r>
        <w:rPr>
          <w:rFonts w:hint="eastAsia" w:ascii="宋体" w:hAnsi="宋体" w:cs="宋体"/>
          <w:b/>
          <w:bCs/>
          <w:color w:val="auto"/>
          <w:kern w:val="0"/>
          <w:sz w:val="24"/>
          <w:highlight w:val="none"/>
        </w:rPr>
        <w:t>直接控股股东名称</w:t>
      </w:r>
      <w:r>
        <w:rPr>
          <w:rFonts w:hint="eastAsia" w:ascii="宋体" w:hAnsi="宋体"/>
          <w:color w:val="auto"/>
          <w:sz w:val="24"/>
          <w:highlight w:val="none"/>
        </w:rPr>
        <w:t>”中填“无”。</w:t>
      </w:r>
    </w:p>
    <w:p w14:paraId="0E3441F2">
      <w:pPr>
        <w:snapToGrid w:val="0"/>
        <w:spacing w:line="360" w:lineRule="auto"/>
        <w:jc w:val="left"/>
        <w:rPr>
          <w:rFonts w:hint="eastAsia" w:ascii="宋体" w:hAnsi="宋体"/>
          <w:color w:val="auto"/>
          <w:sz w:val="24"/>
          <w:highlight w:val="none"/>
        </w:rPr>
      </w:pPr>
    </w:p>
    <w:p w14:paraId="663989F1">
      <w:pPr>
        <w:snapToGrid w:val="0"/>
        <w:spacing w:line="360" w:lineRule="auto"/>
        <w:jc w:val="left"/>
        <w:rPr>
          <w:rFonts w:hint="eastAsia" w:ascii="宋体" w:hAnsi="宋体"/>
          <w:color w:val="auto"/>
          <w:sz w:val="24"/>
          <w:highlight w:val="none"/>
        </w:rPr>
      </w:pPr>
    </w:p>
    <w:p w14:paraId="0578AE6E">
      <w:pPr>
        <w:snapToGrid w:val="0"/>
        <w:spacing w:line="360" w:lineRule="auto"/>
        <w:jc w:val="left"/>
        <w:rPr>
          <w:rFonts w:hint="eastAsia" w:ascii="宋体" w:hAnsi="宋体"/>
          <w:color w:val="auto"/>
          <w:sz w:val="24"/>
          <w:highlight w:val="none"/>
        </w:rPr>
      </w:pPr>
    </w:p>
    <w:p w14:paraId="3E373FE0">
      <w:pPr>
        <w:snapToGrid w:val="0"/>
        <w:spacing w:line="360" w:lineRule="auto"/>
        <w:ind w:left="-2" w:leftChars="-1" w:right="-817" w:rightChars="-389"/>
        <w:rPr>
          <w:rFonts w:hint="eastAsia" w:ascii="宋体" w:hAnsi="宋体"/>
          <w:color w:val="auto"/>
          <w:sz w:val="24"/>
          <w:highlight w:val="none"/>
        </w:rPr>
      </w:pPr>
      <w:r>
        <w:rPr>
          <w:rFonts w:hint="eastAsia" w:ascii="宋体" w:hAnsi="宋体"/>
          <w:color w:val="auto"/>
          <w:sz w:val="24"/>
          <w:highlight w:val="none"/>
        </w:rPr>
        <w:t xml:space="preserve">             法定代表人或者委托代理人（签字或者电子签名）：</w:t>
      </w:r>
    </w:p>
    <w:p w14:paraId="2FED1E1F">
      <w:pPr>
        <w:snapToGrid w:val="0"/>
        <w:spacing w:line="360" w:lineRule="auto"/>
        <w:ind w:left="-3" w:leftChars="-15" w:right="-817" w:rightChars="-389" w:hanging="28" w:hangingChars="12"/>
        <w:rPr>
          <w:rFonts w:hint="eastAsia" w:ascii="宋体" w:hAnsi="宋体"/>
          <w:color w:val="auto"/>
          <w:sz w:val="24"/>
          <w:highlight w:val="none"/>
        </w:rPr>
      </w:pPr>
      <w:r>
        <w:rPr>
          <w:rFonts w:hint="eastAsia" w:ascii="宋体" w:hAnsi="宋体"/>
          <w:color w:val="auto"/>
          <w:sz w:val="24"/>
          <w:highlight w:val="none"/>
        </w:rPr>
        <w:t xml:space="preserve">                                    投标人名称（电子签章）：</w:t>
      </w:r>
    </w:p>
    <w:p w14:paraId="04890F98">
      <w:pPr>
        <w:snapToGrid w:val="0"/>
        <w:spacing w:line="360" w:lineRule="auto"/>
        <w:jc w:val="left"/>
        <w:rPr>
          <w:rFonts w:hint="eastAsia" w:ascii="宋体" w:hAnsi="宋体"/>
          <w:color w:val="auto"/>
          <w:szCs w:val="21"/>
          <w:highlight w:val="none"/>
        </w:rPr>
      </w:pPr>
      <w:r>
        <w:rPr>
          <w:rFonts w:hint="eastAsia" w:ascii="宋体" w:hAnsi="宋体"/>
          <w:color w:val="auto"/>
          <w:sz w:val="24"/>
          <w:highlight w:val="none"/>
        </w:rPr>
        <w:t xml:space="preserve">                                    日期：    年   月   日</w:t>
      </w:r>
    </w:p>
    <w:p w14:paraId="5E0D8FDC">
      <w:pPr>
        <w:snapToGrid w:val="0"/>
        <w:jc w:val="center"/>
        <w:rPr>
          <w:rFonts w:hint="eastAsia" w:ascii="宋体" w:hAnsi="宋体"/>
          <w:b/>
          <w:color w:val="auto"/>
          <w:sz w:val="28"/>
          <w:szCs w:val="28"/>
          <w:highlight w:val="none"/>
        </w:rPr>
      </w:pPr>
    </w:p>
    <w:p w14:paraId="456F8513">
      <w:pPr>
        <w:snapToGrid w:val="0"/>
        <w:spacing w:line="360" w:lineRule="auto"/>
        <w:jc w:val="left"/>
        <w:rPr>
          <w:rFonts w:hint="eastAsia" w:ascii="宋体" w:hAnsi="宋体"/>
          <w:b/>
          <w:color w:val="auto"/>
          <w:sz w:val="32"/>
          <w:szCs w:val="32"/>
          <w:highlight w:val="none"/>
        </w:rPr>
      </w:pPr>
      <w:r>
        <w:rPr>
          <w:rFonts w:hint="eastAsia" w:ascii="宋体" w:hAnsi="宋体"/>
          <w:b/>
          <w:color w:val="auto"/>
          <w:sz w:val="32"/>
          <w:szCs w:val="32"/>
          <w:highlight w:val="none"/>
        </w:rPr>
        <w:br w:type="page"/>
      </w:r>
      <w:r>
        <w:rPr>
          <w:rFonts w:hint="eastAsia" w:ascii="宋体" w:hAnsi="宋体"/>
          <w:b/>
          <w:color w:val="auto"/>
          <w:sz w:val="24"/>
          <w:highlight w:val="none"/>
        </w:rPr>
        <w:t>4.</w:t>
      </w:r>
      <w:r>
        <w:rPr>
          <w:color w:val="auto"/>
          <w:highlight w:val="none"/>
        </w:rPr>
        <w:t xml:space="preserve"> </w:t>
      </w:r>
      <w:r>
        <w:rPr>
          <w:rFonts w:hint="eastAsia" w:ascii="宋体" w:hAnsi="宋体"/>
          <w:b/>
          <w:color w:val="auto"/>
          <w:sz w:val="28"/>
          <w:szCs w:val="28"/>
          <w:highlight w:val="none"/>
        </w:rPr>
        <w:t>投标人直接管理关系信息表</w:t>
      </w:r>
    </w:p>
    <w:p w14:paraId="070EF61A">
      <w:pPr>
        <w:snapToGrid w:val="0"/>
        <w:spacing w:line="360" w:lineRule="auto"/>
        <w:jc w:val="center"/>
        <w:rPr>
          <w:rFonts w:hint="eastAsia" w:ascii="宋体" w:hAnsi="宋体"/>
          <w:color w:val="auto"/>
          <w:sz w:val="32"/>
          <w:szCs w:val="32"/>
          <w:highlight w:val="none"/>
        </w:rPr>
      </w:pPr>
      <w:r>
        <w:rPr>
          <w:rFonts w:hint="eastAsia" w:ascii="宋体" w:hAnsi="宋体"/>
          <w:b/>
          <w:color w:val="auto"/>
          <w:sz w:val="32"/>
          <w:szCs w:val="32"/>
          <w:highlight w:val="none"/>
        </w:rPr>
        <w:t>投标人直接管理关系信息表</w:t>
      </w:r>
    </w:p>
    <w:tbl>
      <w:tblPr>
        <w:tblStyle w:val="47"/>
        <w:tblW w:w="0" w:type="auto"/>
        <w:tblInd w:w="-128" w:type="dxa"/>
        <w:shd w:val="clear" w:color="auto" w:fill="FBFBFB"/>
        <w:tblLayout w:type="fixed"/>
        <w:tblCellMar>
          <w:top w:w="0" w:type="dxa"/>
          <w:left w:w="0" w:type="dxa"/>
          <w:bottom w:w="0" w:type="dxa"/>
          <w:right w:w="0" w:type="dxa"/>
        </w:tblCellMar>
      </w:tblPr>
      <w:tblGrid>
        <w:gridCol w:w="1005"/>
        <w:gridCol w:w="2659"/>
        <w:gridCol w:w="3924"/>
        <w:gridCol w:w="2064"/>
      </w:tblGrid>
      <w:tr w14:paraId="740F853F">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D432E40">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B6BEF28">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012B56B">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21F0BEA">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09924EC3">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A769161">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DFD2F84">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1C5B6AB">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4BE49EB">
            <w:pPr>
              <w:spacing w:line="360" w:lineRule="auto"/>
              <w:jc w:val="center"/>
              <w:rPr>
                <w:rFonts w:ascii="宋体" w:hAnsi="宋体" w:cs="宋体"/>
                <w:color w:val="auto"/>
                <w:kern w:val="0"/>
                <w:sz w:val="24"/>
                <w:highlight w:val="none"/>
              </w:rPr>
            </w:pPr>
          </w:p>
        </w:tc>
      </w:tr>
      <w:tr w14:paraId="0AE228CA">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8C5B8C8">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D7136E6">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31B3624">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3EE7BBC">
            <w:pPr>
              <w:spacing w:line="360" w:lineRule="auto"/>
              <w:jc w:val="center"/>
              <w:rPr>
                <w:rFonts w:ascii="宋体" w:hAnsi="宋体" w:cs="宋体"/>
                <w:color w:val="auto"/>
                <w:kern w:val="0"/>
                <w:sz w:val="24"/>
                <w:highlight w:val="none"/>
              </w:rPr>
            </w:pPr>
          </w:p>
        </w:tc>
      </w:tr>
      <w:tr w14:paraId="26E14BEF">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D5C7869">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391DD70">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7949230">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3077ED3">
            <w:pPr>
              <w:spacing w:line="360" w:lineRule="auto"/>
              <w:jc w:val="center"/>
              <w:rPr>
                <w:rFonts w:ascii="宋体" w:hAnsi="宋体" w:cs="宋体"/>
                <w:color w:val="auto"/>
                <w:kern w:val="0"/>
                <w:sz w:val="24"/>
                <w:highlight w:val="none"/>
              </w:rPr>
            </w:pPr>
          </w:p>
        </w:tc>
      </w:tr>
      <w:tr w14:paraId="77C5C487">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24307F5">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722CDD9">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B2CC37A">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A339308">
            <w:pPr>
              <w:spacing w:line="360" w:lineRule="auto"/>
              <w:jc w:val="center"/>
              <w:rPr>
                <w:rFonts w:ascii="宋体" w:hAnsi="宋体" w:cs="宋体"/>
                <w:color w:val="auto"/>
                <w:kern w:val="0"/>
                <w:sz w:val="24"/>
                <w:highlight w:val="none"/>
              </w:rPr>
            </w:pPr>
          </w:p>
        </w:tc>
      </w:tr>
    </w:tbl>
    <w:p w14:paraId="50579E71">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注：</w:t>
      </w:r>
    </w:p>
    <w:p w14:paraId="5C088C2F">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16662201">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02AA5DE7">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3.供应商不存在直接管理关系的，则在“</w:t>
      </w:r>
      <w:r>
        <w:rPr>
          <w:rFonts w:hint="eastAsia" w:ascii="宋体" w:hAnsi="宋体" w:cs="宋体"/>
          <w:b/>
          <w:bCs/>
          <w:color w:val="auto"/>
          <w:kern w:val="0"/>
          <w:sz w:val="24"/>
          <w:highlight w:val="none"/>
        </w:rPr>
        <w:t>直接管理关系单位名称</w:t>
      </w:r>
      <w:r>
        <w:rPr>
          <w:rFonts w:hint="eastAsia" w:ascii="宋体" w:hAnsi="宋体"/>
          <w:color w:val="auto"/>
          <w:sz w:val="24"/>
          <w:highlight w:val="none"/>
        </w:rPr>
        <w:t>”中填“无”。</w:t>
      </w:r>
    </w:p>
    <w:p w14:paraId="41A86DB6">
      <w:pPr>
        <w:snapToGrid w:val="0"/>
        <w:spacing w:line="360" w:lineRule="auto"/>
        <w:jc w:val="left"/>
        <w:rPr>
          <w:rFonts w:hint="eastAsia" w:ascii="宋体" w:hAnsi="宋体"/>
          <w:color w:val="auto"/>
          <w:sz w:val="24"/>
          <w:highlight w:val="none"/>
        </w:rPr>
      </w:pPr>
    </w:p>
    <w:p w14:paraId="3287B861">
      <w:pPr>
        <w:snapToGrid w:val="0"/>
        <w:spacing w:line="360" w:lineRule="auto"/>
        <w:jc w:val="left"/>
        <w:rPr>
          <w:rFonts w:hint="eastAsia" w:ascii="宋体" w:hAnsi="宋体"/>
          <w:color w:val="auto"/>
          <w:sz w:val="24"/>
          <w:highlight w:val="none"/>
        </w:rPr>
      </w:pPr>
    </w:p>
    <w:p w14:paraId="70070A13">
      <w:pPr>
        <w:snapToGrid w:val="0"/>
        <w:spacing w:line="360" w:lineRule="auto"/>
        <w:jc w:val="left"/>
        <w:rPr>
          <w:rFonts w:hint="eastAsia" w:ascii="宋体" w:hAnsi="宋体"/>
          <w:color w:val="auto"/>
          <w:sz w:val="24"/>
          <w:highlight w:val="none"/>
        </w:rPr>
      </w:pPr>
    </w:p>
    <w:p w14:paraId="5F90613A">
      <w:pPr>
        <w:snapToGrid w:val="0"/>
        <w:spacing w:line="360" w:lineRule="auto"/>
        <w:jc w:val="left"/>
        <w:rPr>
          <w:rFonts w:hint="eastAsia"/>
          <w:color w:val="auto"/>
          <w:sz w:val="24"/>
          <w:highlight w:val="none"/>
        </w:rPr>
      </w:pPr>
    </w:p>
    <w:p w14:paraId="4A8B2AB9">
      <w:pPr>
        <w:snapToGrid w:val="0"/>
        <w:spacing w:line="360" w:lineRule="auto"/>
        <w:ind w:left="-2" w:leftChars="-1" w:right="-817" w:rightChars="-389"/>
        <w:rPr>
          <w:rFonts w:ascii="宋体" w:hAnsi="宋体"/>
          <w:color w:val="auto"/>
          <w:sz w:val="24"/>
          <w:highlight w:val="none"/>
        </w:rPr>
      </w:pPr>
      <w:r>
        <w:rPr>
          <w:rFonts w:hint="eastAsia" w:ascii="宋体" w:hAnsi="宋体"/>
          <w:color w:val="auto"/>
          <w:sz w:val="24"/>
          <w:highlight w:val="none"/>
        </w:rPr>
        <w:t xml:space="preserve">            法定代表人或者委托代理人（签字或者电子签名）：</w:t>
      </w:r>
    </w:p>
    <w:p w14:paraId="4F8B5169">
      <w:pPr>
        <w:snapToGrid w:val="0"/>
        <w:spacing w:line="360" w:lineRule="auto"/>
        <w:ind w:left="-3" w:leftChars="-15" w:right="-817" w:rightChars="-389" w:hanging="28" w:hangingChars="12"/>
        <w:rPr>
          <w:rFonts w:hint="eastAsia" w:ascii="宋体" w:hAnsi="宋体"/>
          <w:color w:val="auto"/>
          <w:sz w:val="24"/>
          <w:highlight w:val="none"/>
        </w:rPr>
      </w:pPr>
      <w:r>
        <w:rPr>
          <w:rFonts w:hint="eastAsia" w:ascii="宋体" w:hAnsi="宋体"/>
          <w:color w:val="auto"/>
          <w:sz w:val="24"/>
          <w:highlight w:val="none"/>
        </w:rPr>
        <w:t xml:space="preserve">                                  投标人名称（电子签章）：</w:t>
      </w:r>
    </w:p>
    <w:p w14:paraId="75D91EBF">
      <w:pPr>
        <w:snapToGrid w:val="0"/>
        <w:spacing w:line="360" w:lineRule="auto"/>
        <w:ind w:right="480" w:firstLine="240" w:firstLineChars="100"/>
        <w:jc w:val="left"/>
        <w:rPr>
          <w:rFonts w:hint="eastAsia" w:ascii="宋体" w:hAnsi="宋体"/>
          <w:color w:val="auto"/>
          <w:szCs w:val="21"/>
          <w:highlight w:val="none"/>
        </w:rPr>
      </w:pPr>
      <w:r>
        <w:rPr>
          <w:rFonts w:hint="eastAsia" w:ascii="宋体" w:hAnsi="宋体"/>
          <w:color w:val="auto"/>
          <w:sz w:val="24"/>
          <w:highlight w:val="none"/>
        </w:rPr>
        <w:t xml:space="preserve">                                日期：    年   月   日</w:t>
      </w:r>
    </w:p>
    <w:p w14:paraId="460D1890">
      <w:pPr>
        <w:snapToGrid w:val="0"/>
        <w:spacing w:before="120" w:beforeLines="50" w:after="50"/>
        <w:jc w:val="left"/>
        <w:rPr>
          <w:rFonts w:hint="eastAsia" w:ascii="宋体" w:hAnsi="宋体"/>
          <w:color w:val="auto"/>
          <w:sz w:val="24"/>
          <w:highlight w:val="none"/>
        </w:rPr>
      </w:pPr>
    </w:p>
    <w:p w14:paraId="638D17AE">
      <w:pPr>
        <w:snapToGrid w:val="0"/>
        <w:spacing w:before="50" w:after="120" w:afterLines="50"/>
        <w:jc w:val="left"/>
        <w:rPr>
          <w:rFonts w:hint="eastAsia" w:ascii="宋体" w:hAnsi="宋体"/>
          <w:color w:val="auto"/>
          <w:szCs w:val="21"/>
          <w:highlight w:val="none"/>
        </w:rPr>
      </w:pPr>
    </w:p>
    <w:p w14:paraId="4ADD0BFF">
      <w:pPr>
        <w:snapToGrid w:val="0"/>
        <w:spacing w:before="120" w:beforeLines="50" w:after="50"/>
        <w:jc w:val="left"/>
        <w:rPr>
          <w:rFonts w:hint="eastAsia" w:ascii="宋体" w:hAnsi="宋体"/>
          <w:b/>
          <w:color w:val="auto"/>
          <w:sz w:val="24"/>
          <w:szCs w:val="20"/>
          <w:highlight w:val="none"/>
        </w:rPr>
      </w:pPr>
    </w:p>
    <w:p w14:paraId="178947B4">
      <w:pPr>
        <w:snapToGrid w:val="0"/>
        <w:spacing w:before="120" w:beforeLines="50" w:after="50"/>
        <w:ind w:left="142"/>
        <w:jc w:val="left"/>
        <w:rPr>
          <w:rFonts w:hint="eastAsia" w:ascii="宋体" w:hAnsi="宋体"/>
          <w:b/>
          <w:color w:val="auto"/>
          <w:sz w:val="24"/>
          <w:highlight w:val="none"/>
        </w:rPr>
      </w:pPr>
    </w:p>
    <w:p w14:paraId="76D594A7">
      <w:pPr>
        <w:snapToGrid w:val="0"/>
        <w:spacing w:before="120" w:beforeLines="50" w:after="50"/>
        <w:ind w:left="142"/>
        <w:jc w:val="left"/>
        <w:rPr>
          <w:rFonts w:hint="eastAsia" w:ascii="宋体" w:hAnsi="宋体"/>
          <w:b/>
          <w:color w:val="auto"/>
          <w:sz w:val="24"/>
          <w:highlight w:val="none"/>
        </w:rPr>
      </w:pPr>
    </w:p>
    <w:p w14:paraId="58DE06C2">
      <w:pPr>
        <w:snapToGrid w:val="0"/>
        <w:spacing w:before="120" w:beforeLines="50" w:after="50"/>
        <w:ind w:left="142"/>
        <w:jc w:val="left"/>
        <w:rPr>
          <w:rFonts w:hint="eastAsia" w:ascii="宋体" w:hAnsi="宋体"/>
          <w:b/>
          <w:color w:val="auto"/>
          <w:sz w:val="24"/>
          <w:highlight w:val="none"/>
        </w:rPr>
      </w:pPr>
    </w:p>
    <w:p w14:paraId="75357DB1">
      <w:pPr>
        <w:snapToGrid w:val="0"/>
        <w:spacing w:before="120" w:beforeLines="50" w:after="50"/>
        <w:ind w:left="142"/>
        <w:jc w:val="left"/>
        <w:rPr>
          <w:rFonts w:hint="eastAsia" w:ascii="宋体" w:hAnsi="宋体"/>
          <w:b/>
          <w:color w:val="auto"/>
          <w:sz w:val="24"/>
          <w:highlight w:val="none"/>
        </w:rPr>
      </w:pPr>
    </w:p>
    <w:p w14:paraId="56F4CB98">
      <w:pPr>
        <w:snapToGrid w:val="0"/>
        <w:spacing w:before="120" w:beforeLines="50" w:after="50"/>
        <w:ind w:left="142"/>
        <w:jc w:val="left"/>
        <w:rPr>
          <w:rFonts w:hint="eastAsia" w:ascii="宋体" w:hAnsi="宋体"/>
          <w:b/>
          <w:color w:val="auto"/>
          <w:sz w:val="24"/>
          <w:szCs w:val="20"/>
          <w:highlight w:val="none"/>
        </w:rPr>
      </w:pPr>
      <w:r>
        <w:rPr>
          <w:rFonts w:hint="eastAsia" w:ascii="宋体" w:hAnsi="宋体"/>
          <w:b/>
          <w:color w:val="auto"/>
          <w:sz w:val="24"/>
          <w:highlight w:val="none"/>
        </w:rPr>
        <w:t>5.投标声明</w:t>
      </w:r>
    </w:p>
    <w:p w14:paraId="66D2CEC8">
      <w:pPr>
        <w:snapToGrid w:val="0"/>
        <w:spacing w:before="50" w:after="120" w:afterLines="50"/>
        <w:jc w:val="left"/>
        <w:rPr>
          <w:rFonts w:hint="eastAsia" w:ascii="宋体" w:hAnsi="宋体"/>
          <w:color w:val="auto"/>
          <w:highlight w:val="none"/>
        </w:rPr>
      </w:pPr>
    </w:p>
    <w:p w14:paraId="1CA905CF">
      <w:pPr>
        <w:snapToGrid w:val="0"/>
        <w:spacing w:before="50" w:after="120" w:afterLines="50"/>
        <w:jc w:val="center"/>
        <w:rPr>
          <w:rFonts w:hint="eastAsia" w:ascii="宋体" w:hAnsi="宋体"/>
          <w:b/>
          <w:color w:val="auto"/>
          <w:sz w:val="32"/>
          <w:szCs w:val="32"/>
          <w:highlight w:val="none"/>
        </w:rPr>
      </w:pPr>
      <w:r>
        <w:rPr>
          <w:rFonts w:hint="eastAsia" w:ascii="宋体" w:hAnsi="宋体"/>
          <w:b/>
          <w:color w:val="auto"/>
          <w:sz w:val="32"/>
          <w:szCs w:val="32"/>
          <w:highlight w:val="none"/>
        </w:rPr>
        <w:t>投标声明</w:t>
      </w:r>
    </w:p>
    <w:p w14:paraId="58D83663">
      <w:pPr>
        <w:spacing w:line="400" w:lineRule="exact"/>
        <w:contextualSpacing/>
        <w:jc w:val="left"/>
        <w:rPr>
          <w:rFonts w:hint="eastAsia"/>
          <w:color w:val="auto"/>
          <w:sz w:val="24"/>
          <w:highlight w:val="none"/>
        </w:rPr>
      </w:pPr>
      <w:r>
        <w:rPr>
          <w:rFonts w:hint="eastAsia"/>
          <w:color w:val="auto"/>
          <w:sz w:val="24"/>
          <w:highlight w:val="none"/>
        </w:rPr>
        <w:t>（采购人名称）：</w:t>
      </w:r>
    </w:p>
    <w:p w14:paraId="6BF089A8">
      <w:pPr>
        <w:spacing w:line="400" w:lineRule="exact"/>
        <w:ind w:firstLine="523" w:firstLineChars="218"/>
        <w:contextualSpacing/>
        <w:jc w:val="left"/>
        <w:rPr>
          <w:rFonts w:hint="eastAsia" w:ascii="宋体" w:hAnsi="宋体"/>
          <w:color w:val="auto"/>
          <w:sz w:val="24"/>
          <w:highlight w:val="none"/>
        </w:rPr>
      </w:pPr>
      <w:r>
        <w:rPr>
          <w:rFonts w:hint="eastAsia" w:ascii="宋体" w:hAnsi="宋体"/>
          <w:color w:val="auto"/>
          <w:sz w:val="24"/>
          <w:highlight w:val="none"/>
        </w:rPr>
        <w:t>我方参加贵单位组织</w:t>
      </w:r>
      <w:r>
        <w:rPr>
          <w:rFonts w:hint="eastAsia" w:ascii="宋体" w:hAnsi="宋体"/>
          <w:color w:val="auto"/>
          <w:sz w:val="24"/>
          <w:highlight w:val="none"/>
          <w:u w:val="single"/>
        </w:rPr>
        <w:t xml:space="preserve">             </w:t>
      </w:r>
      <w:r>
        <w:rPr>
          <w:rFonts w:hint="eastAsia" w:ascii="宋体" w:hAnsi="宋体"/>
          <w:color w:val="auto"/>
          <w:sz w:val="24"/>
          <w:highlight w:val="none"/>
        </w:rPr>
        <w:t>项目（项目编号：</w:t>
      </w:r>
      <w:r>
        <w:rPr>
          <w:rFonts w:hint="eastAsia" w:ascii="宋体" w:hAnsi="宋体"/>
          <w:color w:val="auto"/>
          <w:sz w:val="24"/>
          <w:highlight w:val="none"/>
          <w:u w:val="single"/>
        </w:rPr>
        <w:t xml:space="preserve">       </w:t>
      </w:r>
      <w:r>
        <w:rPr>
          <w:rFonts w:hint="eastAsia" w:ascii="宋体" w:hAnsi="宋体"/>
          <w:color w:val="auto"/>
          <w:sz w:val="24"/>
          <w:highlight w:val="none"/>
        </w:rPr>
        <w:t>）的政府采购活动。我方在此郑重声明：</w:t>
      </w:r>
    </w:p>
    <w:p w14:paraId="3750745D">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0B95C9C4">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2.我方不是为本次采购项目提供整体设计、规范编制或者项目管理、监理、检测等服务的供应商。</w:t>
      </w:r>
    </w:p>
    <w:p w14:paraId="325B4DBC">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3. 我方承诺符合《中华人民共和国政府采购法》第二十二条规定：</w:t>
      </w:r>
    </w:p>
    <w:p w14:paraId="697CE177">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（一）具有独立承担民事责任的能力；</w:t>
      </w:r>
    </w:p>
    <w:p w14:paraId="39DEF868">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（二）具有良好的商业信誉和健全的财务会计制度；</w:t>
      </w:r>
    </w:p>
    <w:p w14:paraId="309C69AA">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（三）具有履行合同所必需的设备和专业技术能力；</w:t>
      </w:r>
    </w:p>
    <w:p w14:paraId="56E126CE">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（四）有依法缴纳税收和社会保障资金的良好记录；</w:t>
      </w:r>
    </w:p>
    <w:p w14:paraId="62BEDF4E">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（五）参加政府采购活动前三年内，在经营活动中没有重大违法记录；</w:t>
      </w:r>
    </w:p>
    <w:p w14:paraId="60957BCE">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（六）法律、行政法规规定的其他条件。</w:t>
      </w:r>
    </w:p>
    <w:p w14:paraId="69A86412">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4.以上事项如有虚假或者隐瞒，我方愿意承担一切后果，并不再寻求任何旨在减轻或者免除法律责任的辩解。</w:t>
      </w:r>
    </w:p>
    <w:p w14:paraId="1E5C2D7D">
      <w:pPr>
        <w:spacing w:line="400" w:lineRule="exact"/>
        <w:contextualSpacing/>
        <w:jc w:val="left"/>
        <w:rPr>
          <w:rFonts w:ascii="宋体" w:hAnsi="宋体"/>
          <w:color w:val="auto"/>
          <w:sz w:val="24"/>
          <w:highlight w:val="none"/>
        </w:rPr>
      </w:pPr>
      <w:r>
        <w:rPr>
          <w:rFonts w:hint="eastAsia" w:ascii="宋体" w:hAnsi="宋体"/>
          <w:color w:val="auto"/>
          <w:sz w:val="24"/>
          <w:highlight w:val="none"/>
        </w:rPr>
        <w:t xml:space="preserve">    特此承诺。</w:t>
      </w:r>
    </w:p>
    <w:p w14:paraId="3330F809">
      <w:pPr>
        <w:snapToGrid w:val="0"/>
        <w:spacing w:before="50" w:after="50"/>
        <w:ind w:firstLine="1063" w:firstLineChars="441"/>
        <w:rPr>
          <w:rFonts w:ascii="宋体" w:hAnsi="宋体"/>
          <w:color w:val="auto"/>
          <w:spacing w:val="20"/>
          <w:sz w:val="24"/>
          <w:highlight w:val="none"/>
          <w:u w:val="single"/>
        </w:rPr>
      </w:pPr>
      <w:r>
        <w:rPr>
          <w:rFonts w:hint="eastAsia" w:ascii="宋体" w:hAnsi="宋体"/>
          <w:b/>
          <w:color w:val="auto"/>
          <w:sz w:val="24"/>
          <w:highlight w:val="none"/>
        </w:rPr>
        <w:t xml:space="preserve"> </w:t>
      </w: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pacing w:val="20"/>
          <w:sz w:val="24"/>
          <w:highlight w:val="none"/>
          <w:u w:val="single"/>
        </w:rPr>
        <w:t xml:space="preserve">        </w:t>
      </w:r>
    </w:p>
    <w:p w14:paraId="45FC3FFD">
      <w:pPr>
        <w:spacing w:line="400" w:lineRule="exact"/>
        <w:contextualSpacing/>
        <w:jc w:val="left"/>
        <w:rPr>
          <w:rFonts w:hint="eastAsia" w:ascii="宋体" w:hAnsi="宋体"/>
          <w:color w:val="auto"/>
          <w:sz w:val="24"/>
          <w:highlight w:val="none"/>
        </w:rPr>
      </w:pPr>
    </w:p>
    <w:p w14:paraId="1194BFB9">
      <w:pPr>
        <w:spacing w:line="400" w:lineRule="exact"/>
        <w:contextualSpacing/>
        <w:jc w:val="left"/>
        <w:rPr>
          <w:rFonts w:hint="eastAsia" w:ascii="宋体" w:hAnsi="宋体"/>
          <w:color w:val="auto"/>
          <w:sz w:val="24"/>
          <w:highlight w:val="none"/>
        </w:rPr>
      </w:pPr>
      <w:r>
        <w:rPr>
          <w:rFonts w:hint="eastAsia" w:ascii="宋体" w:hAnsi="宋体"/>
          <w:color w:val="auto"/>
          <w:sz w:val="24"/>
          <w:highlight w:val="none"/>
        </w:rPr>
        <w:t xml:space="preserve">                             投标人名称（电子签章）：</w:t>
      </w:r>
      <w:r>
        <w:rPr>
          <w:rFonts w:hint="eastAsia" w:ascii="宋体" w:hAnsi="宋体"/>
          <w:color w:val="auto"/>
          <w:sz w:val="24"/>
          <w:highlight w:val="none"/>
          <w:u w:val="single"/>
        </w:rPr>
        <w:t xml:space="preserve">                 </w:t>
      </w:r>
    </w:p>
    <w:p w14:paraId="1B453BB6">
      <w:pPr>
        <w:spacing w:line="400" w:lineRule="exact"/>
        <w:contextualSpacing/>
        <w:jc w:val="left"/>
        <w:rPr>
          <w:rFonts w:hint="eastAsia" w:ascii="宋体" w:hAnsi="宋体"/>
          <w:color w:val="auto"/>
          <w:highlight w:val="none"/>
        </w:rPr>
      </w:pPr>
      <w:r>
        <w:rPr>
          <w:rFonts w:hint="eastAsia" w:ascii="宋体" w:hAnsi="宋体"/>
          <w:color w:val="auto"/>
          <w:sz w:val="24"/>
          <w:highlight w:val="none"/>
        </w:rPr>
        <w:t xml:space="preserve">                                                  年    月    日</w:t>
      </w:r>
    </w:p>
    <w:p w14:paraId="04C690DB">
      <w:pPr>
        <w:spacing w:line="440" w:lineRule="exact"/>
        <w:contextualSpacing/>
        <w:rPr>
          <w:rFonts w:hint="eastAsia" w:ascii="宋体" w:hAnsi="宋体"/>
          <w:b/>
          <w:color w:val="auto"/>
          <w:sz w:val="24"/>
          <w:highlight w:val="none"/>
        </w:rPr>
      </w:pPr>
      <w:r>
        <w:rPr>
          <w:rFonts w:hint="eastAsia" w:ascii="宋体" w:hAnsi="宋体"/>
          <w:b/>
          <w:color w:val="auto"/>
          <w:sz w:val="24"/>
          <w:highlight w:val="none"/>
        </w:rPr>
        <w:t>注：如为联合体投标，盖章处须加盖联合体牵头人电子签章并由联合体牵头人法定代表人分别签字或者盖章或者电子签名，否则投标无效。</w:t>
      </w:r>
    </w:p>
    <w:p w14:paraId="1F235199">
      <w:pPr>
        <w:spacing w:line="400" w:lineRule="exact"/>
        <w:contextualSpacing/>
        <w:jc w:val="left"/>
        <w:rPr>
          <w:rFonts w:hint="eastAsia" w:ascii="宋体" w:hAnsi="宋体"/>
          <w:color w:val="auto"/>
          <w:sz w:val="24"/>
          <w:highlight w:val="none"/>
        </w:rPr>
      </w:pPr>
    </w:p>
    <w:p w14:paraId="025904BD">
      <w:pPr>
        <w:spacing w:line="400" w:lineRule="exact"/>
        <w:contextualSpacing/>
        <w:jc w:val="left"/>
        <w:rPr>
          <w:rFonts w:hint="eastAsia" w:ascii="宋体" w:hAnsi="宋体"/>
          <w:color w:val="auto"/>
          <w:sz w:val="24"/>
          <w:highlight w:val="none"/>
        </w:rPr>
      </w:pPr>
    </w:p>
    <w:p w14:paraId="00BB504E">
      <w:pPr>
        <w:spacing w:line="400" w:lineRule="exact"/>
        <w:contextualSpacing/>
        <w:jc w:val="left"/>
        <w:rPr>
          <w:rFonts w:hint="eastAsia" w:ascii="宋体" w:hAnsi="宋体"/>
          <w:color w:val="auto"/>
          <w:sz w:val="24"/>
          <w:highlight w:val="none"/>
        </w:rPr>
      </w:pPr>
    </w:p>
    <w:p w14:paraId="32209889">
      <w:pPr>
        <w:rPr>
          <w:rFonts w:hint="eastAsia"/>
          <w:b/>
          <w:color w:val="auto"/>
          <w:sz w:val="28"/>
          <w:szCs w:val="28"/>
          <w:highlight w:val="none"/>
        </w:rPr>
      </w:pPr>
      <w:bookmarkStart w:id="184" w:name="_Toc19686838"/>
      <w:r>
        <w:rPr>
          <w:rFonts w:hint="eastAsia"/>
          <w:b/>
          <w:color w:val="auto"/>
          <w:sz w:val="28"/>
          <w:szCs w:val="28"/>
          <w:highlight w:val="none"/>
        </w:rPr>
        <w:t>三、商务及技术文件格式</w:t>
      </w:r>
      <w:bookmarkEnd w:id="184"/>
    </w:p>
    <w:p w14:paraId="4D409851">
      <w:pPr>
        <w:snapToGrid w:val="0"/>
        <w:spacing w:before="120" w:beforeLines="50" w:after="50" w:line="360" w:lineRule="auto"/>
        <w:jc w:val="left"/>
        <w:rPr>
          <w:rFonts w:hint="eastAsia" w:ascii="宋体" w:hAnsi="宋体"/>
          <w:b/>
          <w:color w:val="auto"/>
          <w:sz w:val="24"/>
          <w:highlight w:val="none"/>
        </w:rPr>
      </w:pPr>
      <w:r>
        <w:rPr>
          <w:rFonts w:hint="eastAsia" w:ascii="宋体" w:hAnsi="宋体"/>
          <w:b/>
          <w:color w:val="auto"/>
          <w:sz w:val="24"/>
          <w:highlight w:val="none"/>
        </w:rPr>
        <w:t xml:space="preserve">1.商务及技术文件封面格式： </w:t>
      </w:r>
    </w:p>
    <w:p w14:paraId="32D63BD0">
      <w:pPr>
        <w:snapToGrid w:val="0"/>
        <w:spacing w:before="120" w:beforeLines="50" w:after="50"/>
        <w:jc w:val="center"/>
        <w:rPr>
          <w:rFonts w:hint="eastAsia" w:ascii="宋体" w:hAnsi="宋体"/>
          <w:color w:val="auto"/>
          <w:sz w:val="24"/>
          <w:highlight w:val="none"/>
        </w:rPr>
      </w:pPr>
      <w:r>
        <w:rPr>
          <w:rFonts w:hint="eastAsia" w:ascii="宋体" w:hAnsi="宋体" w:eastAsia="Arial Unicode MS"/>
          <w:bCs/>
          <w:color w:val="auto"/>
          <w:sz w:val="48"/>
          <w:szCs w:val="48"/>
          <w:highlight w:val="none"/>
        </w:rPr>
        <w:t>电子投标文件</w:t>
      </w:r>
    </w:p>
    <w:p w14:paraId="56B6A832">
      <w:pPr>
        <w:snapToGrid w:val="0"/>
        <w:spacing w:before="120" w:beforeLines="50" w:after="50"/>
        <w:rPr>
          <w:rFonts w:hint="eastAsia" w:ascii="宋体" w:hAnsi="宋体"/>
          <w:color w:val="auto"/>
          <w:sz w:val="24"/>
          <w:szCs w:val="20"/>
          <w:highlight w:val="none"/>
        </w:rPr>
      </w:pPr>
      <w:r>
        <w:rPr>
          <w:rFonts w:hint="eastAsia" w:ascii="宋体" w:hAnsi="宋体"/>
          <w:color w:val="auto"/>
          <w:sz w:val="24"/>
          <w:highlight w:val="none"/>
        </w:rPr>
        <w:t xml:space="preserve">                </w:t>
      </w:r>
    </w:p>
    <w:p w14:paraId="1F7B39E6">
      <w:pPr>
        <w:snapToGrid w:val="0"/>
        <w:spacing w:before="120" w:beforeLines="50" w:after="50"/>
        <w:jc w:val="center"/>
        <w:rPr>
          <w:rFonts w:hint="eastAsia" w:ascii="宋体" w:hAnsi="宋体"/>
          <w:b/>
          <w:color w:val="auto"/>
          <w:sz w:val="24"/>
          <w:szCs w:val="20"/>
          <w:highlight w:val="none"/>
        </w:rPr>
      </w:pPr>
      <w:r>
        <w:rPr>
          <w:rFonts w:hint="eastAsia" w:ascii="宋体" w:hAnsi="宋体"/>
          <w:b/>
          <w:color w:val="auto"/>
          <w:sz w:val="32"/>
          <w:szCs w:val="32"/>
          <w:highlight w:val="none"/>
        </w:rPr>
        <w:t>商务及技术文件</w:t>
      </w:r>
    </w:p>
    <w:p w14:paraId="5E9601F4">
      <w:pPr>
        <w:snapToGrid w:val="0"/>
        <w:spacing w:before="120" w:beforeLines="50" w:after="50"/>
        <w:rPr>
          <w:rFonts w:hint="eastAsia" w:ascii="宋体" w:hAnsi="宋体"/>
          <w:bCs/>
          <w:color w:val="auto"/>
          <w:sz w:val="24"/>
          <w:szCs w:val="20"/>
          <w:highlight w:val="none"/>
        </w:rPr>
      </w:pPr>
    </w:p>
    <w:p w14:paraId="76747E16">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项目名称：</w:t>
      </w:r>
    </w:p>
    <w:p w14:paraId="0EB42AE7">
      <w:pPr>
        <w:snapToGrid w:val="0"/>
        <w:spacing w:before="120" w:beforeLines="50" w:after="50"/>
        <w:ind w:firstLine="540" w:firstLineChars="225"/>
        <w:rPr>
          <w:rFonts w:hint="eastAsia" w:ascii="宋体" w:hAnsi="宋体"/>
          <w:bCs/>
          <w:color w:val="auto"/>
          <w:sz w:val="24"/>
          <w:szCs w:val="20"/>
          <w:highlight w:val="none"/>
        </w:rPr>
      </w:pPr>
    </w:p>
    <w:p w14:paraId="71FB2354">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项目编号：</w:t>
      </w:r>
    </w:p>
    <w:p w14:paraId="562771A4">
      <w:pPr>
        <w:snapToGrid w:val="0"/>
        <w:spacing w:before="120" w:beforeLines="50" w:after="50"/>
        <w:ind w:firstLine="540" w:firstLineChars="225"/>
        <w:rPr>
          <w:rFonts w:hint="eastAsia" w:ascii="宋体" w:hAnsi="宋体"/>
          <w:bCs/>
          <w:color w:val="auto"/>
          <w:sz w:val="24"/>
          <w:szCs w:val="20"/>
          <w:highlight w:val="none"/>
        </w:rPr>
      </w:pPr>
      <w:r>
        <w:rPr>
          <w:rFonts w:hint="eastAsia" w:ascii="宋体" w:hAnsi="宋体"/>
          <w:bCs/>
          <w:color w:val="auto"/>
          <w:sz w:val="24"/>
          <w:highlight w:val="none"/>
        </w:rPr>
        <w:t xml:space="preserve"> </w:t>
      </w:r>
    </w:p>
    <w:p w14:paraId="14793CE6">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所投分标：</w:t>
      </w:r>
    </w:p>
    <w:p w14:paraId="0FE9DA77">
      <w:pPr>
        <w:snapToGrid w:val="0"/>
        <w:spacing w:before="120" w:beforeLines="50" w:after="50"/>
        <w:ind w:firstLine="540" w:firstLineChars="225"/>
        <w:rPr>
          <w:rFonts w:hint="eastAsia" w:ascii="宋体" w:hAnsi="宋体"/>
          <w:bCs/>
          <w:color w:val="auto"/>
          <w:sz w:val="24"/>
          <w:szCs w:val="20"/>
          <w:highlight w:val="none"/>
        </w:rPr>
      </w:pPr>
    </w:p>
    <w:p w14:paraId="33BE4858">
      <w:pPr>
        <w:pStyle w:val="7"/>
        <w:snapToGrid w:val="0"/>
        <w:spacing w:before="50" w:after="50"/>
        <w:ind w:firstLine="540" w:firstLineChars="225"/>
        <w:rPr>
          <w:rFonts w:hint="eastAsia" w:ascii="宋体" w:hAnsi="宋体"/>
          <w:bCs/>
          <w:color w:val="auto"/>
          <w:sz w:val="24"/>
          <w:szCs w:val="24"/>
          <w:highlight w:val="none"/>
        </w:rPr>
      </w:pPr>
      <w:r>
        <w:rPr>
          <w:rFonts w:hint="eastAsia" w:ascii="宋体" w:hAnsi="宋体"/>
          <w:bCs/>
          <w:color w:val="auto"/>
          <w:sz w:val="24"/>
          <w:szCs w:val="24"/>
          <w:highlight w:val="none"/>
        </w:rPr>
        <w:t>投标人名称：</w:t>
      </w:r>
    </w:p>
    <w:p w14:paraId="0D77D7EF">
      <w:pPr>
        <w:pStyle w:val="7"/>
        <w:snapToGrid w:val="0"/>
        <w:spacing w:before="50" w:after="50"/>
        <w:ind w:firstLine="540" w:firstLineChars="225"/>
        <w:rPr>
          <w:rFonts w:hint="eastAsia" w:ascii="宋体" w:hAnsi="宋体"/>
          <w:bCs/>
          <w:color w:val="auto"/>
          <w:sz w:val="24"/>
          <w:szCs w:val="24"/>
          <w:highlight w:val="none"/>
        </w:rPr>
      </w:pPr>
    </w:p>
    <w:p w14:paraId="2A49CCA7">
      <w:pPr>
        <w:pStyle w:val="7"/>
        <w:snapToGrid w:val="0"/>
        <w:spacing w:before="50" w:after="50"/>
        <w:ind w:firstLine="540" w:firstLineChars="225"/>
        <w:rPr>
          <w:rFonts w:hint="eastAsia" w:ascii="宋体" w:hAnsi="宋体"/>
          <w:bCs/>
          <w:color w:val="auto"/>
          <w:sz w:val="24"/>
          <w:szCs w:val="24"/>
          <w:highlight w:val="none"/>
        </w:rPr>
      </w:pPr>
      <w:r>
        <w:rPr>
          <w:rFonts w:hint="eastAsia" w:ascii="宋体" w:hAnsi="宋体"/>
          <w:bCs/>
          <w:color w:val="auto"/>
          <w:sz w:val="24"/>
          <w:szCs w:val="24"/>
          <w:highlight w:val="none"/>
        </w:rPr>
        <w:t>投标人地址：</w:t>
      </w:r>
    </w:p>
    <w:p w14:paraId="7C6F7DD0">
      <w:pPr>
        <w:pStyle w:val="7"/>
        <w:snapToGrid w:val="0"/>
        <w:spacing w:before="50" w:after="50"/>
        <w:ind w:firstLine="960" w:firstLineChars="400"/>
        <w:rPr>
          <w:rFonts w:hint="eastAsia" w:ascii="宋体" w:hAnsi="宋体"/>
          <w:bCs/>
          <w:color w:val="auto"/>
          <w:sz w:val="24"/>
          <w:szCs w:val="24"/>
          <w:highlight w:val="none"/>
        </w:rPr>
      </w:pPr>
    </w:p>
    <w:p w14:paraId="719385DB">
      <w:pPr>
        <w:snapToGrid w:val="0"/>
        <w:spacing w:before="120" w:beforeLines="50" w:after="50"/>
        <w:ind w:firstLine="645"/>
        <w:rPr>
          <w:rFonts w:ascii="宋体" w:hAnsi="宋体"/>
          <w:color w:val="auto"/>
          <w:sz w:val="24"/>
          <w:highlight w:val="none"/>
        </w:rPr>
      </w:pPr>
      <w:r>
        <w:rPr>
          <w:rFonts w:hint="eastAsia" w:ascii="宋体" w:hAnsi="宋体"/>
          <w:color w:val="auto"/>
          <w:sz w:val="24"/>
          <w:highlight w:val="none"/>
        </w:rPr>
        <w:t xml:space="preserve">                        年  月  日</w:t>
      </w:r>
    </w:p>
    <w:p w14:paraId="3B710025">
      <w:pPr>
        <w:snapToGrid w:val="0"/>
        <w:spacing w:before="120" w:beforeLines="50" w:after="50"/>
        <w:rPr>
          <w:rFonts w:ascii="宋体" w:hAnsi="宋体"/>
          <w:color w:val="auto"/>
          <w:sz w:val="24"/>
          <w:szCs w:val="20"/>
          <w:highlight w:val="none"/>
        </w:rPr>
      </w:pPr>
      <w:r>
        <w:rPr>
          <w:rFonts w:ascii="宋体" w:hAnsi="宋体"/>
          <w:color w:val="auto"/>
          <w:sz w:val="24"/>
          <w:szCs w:val="20"/>
          <w:highlight w:val="none"/>
        </w:rPr>
        <w:t xml:space="preserve"> </w:t>
      </w:r>
    </w:p>
    <w:p w14:paraId="7F687EEE">
      <w:pPr>
        <w:snapToGrid w:val="0"/>
        <w:spacing w:line="360" w:lineRule="auto"/>
        <w:jc w:val="left"/>
        <w:rPr>
          <w:rFonts w:hint="eastAsia" w:ascii="宋体" w:hAnsi="宋体"/>
          <w:b/>
          <w:bCs/>
          <w:color w:val="auto"/>
          <w:sz w:val="28"/>
          <w:szCs w:val="28"/>
          <w:highlight w:val="none"/>
        </w:rPr>
      </w:pPr>
      <w:r>
        <w:rPr>
          <w:rFonts w:ascii="宋体" w:hAnsi="宋体"/>
          <w:color w:val="auto"/>
          <w:sz w:val="24"/>
          <w:szCs w:val="20"/>
          <w:highlight w:val="none"/>
        </w:rPr>
        <w:br w:type="page"/>
      </w:r>
      <w:r>
        <w:rPr>
          <w:rFonts w:hint="eastAsia" w:ascii="宋体" w:hAnsi="宋体"/>
          <w:b/>
          <w:bCs/>
          <w:color w:val="auto"/>
          <w:sz w:val="28"/>
          <w:szCs w:val="28"/>
          <w:highlight w:val="none"/>
        </w:rPr>
        <w:t>2.商务及技术文件目录</w:t>
      </w:r>
    </w:p>
    <w:p w14:paraId="6D5929A3">
      <w:pPr>
        <w:snapToGrid w:val="0"/>
        <w:spacing w:before="50" w:after="120" w:afterLines="50" w:line="360" w:lineRule="auto"/>
        <w:jc w:val="left"/>
        <w:rPr>
          <w:rFonts w:ascii="微软雅黑" w:hAnsi="微软雅黑" w:eastAsia="微软雅黑"/>
          <w:b/>
          <w:bCs/>
          <w:color w:val="auto"/>
          <w:sz w:val="24"/>
          <w:highlight w:val="none"/>
        </w:rPr>
      </w:pPr>
      <w:r>
        <w:rPr>
          <w:rFonts w:hint="eastAsia" w:ascii="宋体" w:hAnsi="宋体"/>
          <w:color w:val="auto"/>
          <w:szCs w:val="21"/>
          <w:highlight w:val="none"/>
        </w:rPr>
        <w:t>根据招标文件规定及投标人提供的材料自行编写目录。</w:t>
      </w:r>
    </w:p>
    <w:p w14:paraId="3AE84B64">
      <w:pPr>
        <w:snapToGrid w:val="0"/>
        <w:spacing w:before="50" w:after="120" w:afterLines="50"/>
        <w:jc w:val="left"/>
        <w:rPr>
          <w:rFonts w:hint="eastAsia" w:ascii="宋体" w:hAnsi="宋体"/>
          <w:color w:val="auto"/>
          <w:highlight w:val="none"/>
        </w:rPr>
      </w:pPr>
    </w:p>
    <w:p w14:paraId="67141AD9">
      <w:pPr>
        <w:snapToGrid w:val="0"/>
        <w:spacing w:before="120" w:beforeLines="50" w:after="50"/>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3.投标人参加本项目无围标串标行为的承诺</w:t>
      </w:r>
    </w:p>
    <w:p w14:paraId="794E30AF">
      <w:pPr>
        <w:snapToGrid w:val="0"/>
        <w:spacing w:before="120" w:beforeLines="50" w:after="50"/>
        <w:jc w:val="left"/>
        <w:rPr>
          <w:rFonts w:hint="eastAsia" w:ascii="宋体" w:hAnsi="宋体"/>
          <w:b/>
          <w:color w:val="auto"/>
          <w:sz w:val="24"/>
          <w:highlight w:val="none"/>
        </w:rPr>
      </w:pPr>
    </w:p>
    <w:p w14:paraId="206EE854">
      <w:pPr>
        <w:snapToGrid w:val="0"/>
        <w:spacing w:before="120" w:beforeLines="50" w:after="50"/>
        <w:ind w:left="420"/>
        <w:jc w:val="center"/>
        <w:rPr>
          <w:rFonts w:hint="eastAsia" w:ascii="宋体" w:hAnsi="宋体"/>
          <w:b/>
          <w:color w:val="auto"/>
          <w:spacing w:val="-17"/>
          <w:sz w:val="32"/>
          <w:szCs w:val="32"/>
          <w:highlight w:val="none"/>
        </w:rPr>
      </w:pPr>
      <w:r>
        <w:rPr>
          <w:rFonts w:hint="eastAsia" w:ascii="Arial Unicode MS" w:hAnsi="Arial Unicode MS" w:eastAsia="Arial Unicode MS" w:cs="Arial Unicode MS"/>
          <w:bCs/>
          <w:color w:val="auto"/>
          <w:spacing w:val="-17"/>
          <w:sz w:val="44"/>
          <w:szCs w:val="44"/>
          <w:highlight w:val="none"/>
        </w:rPr>
        <w:t>投标人参加本项目无围标串标行为的承诺函</w:t>
      </w:r>
    </w:p>
    <w:p w14:paraId="3A05FAB1">
      <w:pPr>
        <w:snapToGrid w:val="0"/>
        <w:spacing w:before="120" w:beforeLines="50" w:after="50"/>
        <w:rPr>
          <w:rFonts w:ascii="宋体" w:hAnsi="宋体"/>
          <w:b/>
          <w:color w:val="auto"/>
          <w:sz w:val="24"/>
          <w:highlight w:val="none"/>
        </w:rPr>
      </w:pPr>
    </w:p>
    <w:p w14:paraId="5AE95D12">
      <w:pPr>
        <w:spacing w:line="400" w:lineRule="exact"/>
        <w:contextualSpacing/>
        <w:jc w:val="left"/>
        <w:rPr>
          <w:rFonts w:hint="eastAsia" w:ascii="宋体" w:hAnsi="宋体"/>
          <w:b/>
          <w:color w:val="auto"/>
          <w:sz w:val="24"/>
          <w:highlight w:val="none"/>
        </w:rPr>
      </w:pPr>
      <w:r>
        <w:rPr>
          <w:rFonts w:hint="eastAsia" w:ascii="宋体" w:hAnsi="宋体"/>
          <w:b/>
          <w:color w:val="auto"/>
          <w:sz w:val="24"/>
          <w:highlight w:val="none"/>
        </w:rPr>
        <w:t>一、我方承诺无下列相互串通投标的情形：</w:t>
      </w:r>
    </w:p>
    <w:p w14:paraId="6ED97649">
      <w:pPr>
        <w:spacing w:line="40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 xml:space="preserve">1.不同投标人的投标文件由同一单位或者个人编制； </w:t>
      </w:r>
    </w:p>
    <w:p w14:paraId="1299CEE8">
      <w:pPr>
        <w:spacing w:line="40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2.不同投标人委托同一单位或者个人办理投标事宜；</w:t>
      </w:r>
    </w:p>
    <w:p w14:paraId="25FEC35C">
      <w:pPr>
        <w:spacing w:line="40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3.不同的投标人的投标文件载明的项目管理员为同一个人；</w:t>
      </w:r>
    </w:p>
    <w:p w14:paraId="008E61B8">
      <w:pPr>
        <w:spacing w:line="40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4.不同投标人的投标文件异常一致或者投标报价呈规律性差异；</w:t>
      </w:r>
    </w:p>
    <w:p w14:paraId="5C13AB58">
      <w:pPr>
        <w:spacing w:line="40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5.不同投标人的投标文件相互混装；</w:t>
      </w:r>
    </w:p>
    <w:p w14:paraId="2566E64A">
      <w:pPr>
        <w:spacing w:line="40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6.不同投标人的投标保证金从同一单位或者个人账户转出。</w:t>
      </w:r>
    </w:p>
    <w:p w14:paraId="175C8FCB">
      <w:pPr>
        <w:spacing w:line="400" w:lineRule="exact"/>
        <w:contextualSpacing/>
        <w:jc w:val="left"/>
        <w:rPr>
          <w:rFonts w:hint="eastAsia" w:ascii="宋体" w:hAnsi="宋体"/>
          <w:color w:val="auto"/>
          <w:sz w:val="24"/>
          <w:highlight w:val="none"/>
        </w:rPr>
      </w:pPr>
      <w:r>
        <w:rPr>
          <w:rFonts w:hint="eastAsia" w:ascii="宋体" w:hAnsi="宋体"/>
          <w:b/>
          <w:color w:val="auto"/>
          <w:sz w:val="24"/>
          <w:highlight w:val="none"/>
        </w:rPr>
        <w:t>二、我方承诺无下列恶意串通的情形：</w:t>
      </w:r>
    </w:p>
    <w:p w14:paraId="5C97D33A">
      <w:pPr>
        <w:spacing w:line="40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1.投标人直接或者间接从采购人或者采购代理机构处获得其他投标人的相关信息并修改其投标文件或者响应文件；</w:t>
      </w:r>
    </w:p>
    <w:p w14:paraId="5DF64D85">
      <w:pPr>
        <w:spacing w:line="40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2.投标人按照采购人或者采购代理机构的授意撤换、修改投标文件或者响应文件；</w:t>
      </w:r>
    </w:p>
    <w:p w14:paraId="700B5CAE">
      <w:pPr>
        <w:spacing w:line="40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3.投标人之间协商报价、技术方案等投标文件或者响应文件的实质性内容；</w:t>
      </w:r>
    </w:p>
    <w:p w14:paraId="30CDE482">
      <w:pPr>
        <w:spacing w:line="40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4.属于同一集团、协会、商会等组织成员的投标人按照该组织要求协同参加政府采购活动；</w:t>
      </w:r>
    </w:p>
    <w:p w14:paraId="0DB872E0">
      <w:pPr>
        <w:spacing w:line="40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5.投标人之间事先约定一致抬高或者压低投标报价，或者在招标项目中事先约定轮流以高价位或者低价位中标，或者事先约定由某一特定投标人中标，然后再参加投标；</w:t>
      </w:r>
    </w:p>
    <w:p w14:paraId="5B27EBCC">
      <w:pPr>
        <w:spacing w:line="40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6.投标人之间商定部分投标人放弃参加政府采购活动或者放弃中标；</w:t>
      </w:r>
    </w:p>
    <w:p w14:paraId="44B9DEB7">
      <w:pPr>
        <w:spacing w:line="40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7.投标人与采购人或者采购代理机构之间、投标人相互之间，为谋求特定投标人中标或者排斥其他投标人的其他串通行为。</w:t>
      </w:r>
    </w:p>
    <w:p w14:paraId="73F7EA03">
      <w:pPr>
        <w:spacing w:line="400" w:lineRule="exact"/>
        <w:ind w:firstLine="472" w:firstLineChars="196"/>
        <w:contextualSpacing/>
        <w:jc w:val="left"/>
        <w:rPr>
          <w:rFonts w:hint="eastAsia" w:ascii="宋体" w:hAnsi="宋体"/>
          <w:b/>
          <w:color w:val="auto"/>
          <w:sz w:val="24"/>
          <w:highlight w:val="none"/>
        </w:rPr>
      </w:pPr>
      <w:r>
        <w:rPr>
          <w:rFonts w:hint="eastAsia" w:ascii="宋体" w:hAnsi="宋体"/>
          <w:b/>
          <w:color w:val="auto"/>
          <w:sz w:val="24"/>
          <w:highlight w:val="none"/>
        </w:rPr>
        <w:t>以上情形一经核查属实，我方愿意承担一切后果，并不再寻求任何旨在减轻或者免除法律责任的辩解。</w:t>
      </w:r>
    </w:p>
    <w:p w14:paraId="532CD55C">
      <w:pPr>
        <w:spacing w:line="400" w:lineRule="exact"/>
        <w:ind w:firstLine="472" w:firstLineChars="196"/>
        <w:contextualSpacing/>
        <w:jc w:val="left"/>
        <w:rPr>
          <w:rFonts w:hint="eastAsia" w:ascii="宋体" w:hAnsi="宋体"/>
          <w:b/>
          <w:color w:val="auto"/>
          <w:sz w:val="24"/>
          <w:highlight w:val="none"/>
        </w:rPr>
      </w:pPr>
    </w:p>
    <w:p w14:paraId="23DAEE3F">
      <w:pPr>
        <w:pStyle w:val="25"/>
        <w:spacing w:line="440" w:lineRule="exact"/>
        <w:ind w:firstLine="960" w:firstLineChars="400"/>
        <w:rPr>
          <w:rFonts w:hint="eastAsia" w:hAnsi="宋体"/>
          <w:color w:val="auto"/>
          <w:sz w:val="24"/>
          <w:szCs w:val="24"/>
          <w:highlight w:val="none"/>
        </w:rPr>
      </w:pPr>
      <w:r>
        <w:rPr>
          <w:rFonts w:hint="eastAsia" w:hAnsi="宋体"/>
          <w:color w:val="auto"/>
          <w:sz w:val="24"/>
          <w:highlight w:val="none"/>
        </w:rPr>
        <w:t>法定代表人或者委托代理人</w:t>
      </w:r>
      <w:r>
        <w:rPr>
          <w:rFonts w:hint="eastAsia" w:hAnsi="宋体"/>
          <w:color w:val="auto"/>
          <w:spacing w:val="20"/>
          <w:sz w:val="24"/>
          <w:highlight w:val="none"/>
        </w:rPr>
        <w:t>（签字或者电子签名）：</w:t>
      </w:r>
      <w:r>
        <w:rPr>
          <w:rFonts w:hint="eastAsia" w:hAnsi="宋体"/>
          <w:color w:val="auto"/>
          <w:spacing w:val="20"/>
          <w:sz w:val="24"/>
          <w:highlight w:val="none"/>
          <w:u w:val="single"/>
        </w:rPr>
        <w:t xml:space="preserve">        </w:t>
      </w:r>
    </w:p>
    <w:p w14:paraId="2B6EAD10">
      <w:pPr>
        <w:pStyle w:val="25"/>
        <w:spacing w:line="400" w:lineRule="exact"/>
        <w:contextualSpacing/>
        <w:jc w:val="center"/>
        <w:rPr>
          <w:rFonts w:hint="eastAsia" w:hAnsi="宋体"/>
          <w:color w:val="auto"/>
          <w:sz w:val="24"/>
          <w:szCs w:val="24"/>
          <w:highlight w:val="none"/>
        </w:rPr>
      </w:pPr>
      <w:r>
        <w:rPr>
          <w:rFonts w:hint="eastAsia" w:hAnsi="宋体"/>
          <w:color w:val="auto"/>
          <w:sz w:val="24"/>
          <w:szCs w:val="24"/>
          <w:highlight w:val="none"/>
        </w:rPr>
        <w:t xml:space="preserve"> </w:t>
      </w:r>
      <w:r>
        <w:rPr>
          <w:rFonts w:hAnsi="宋体"/>
          <w:color w:val="auto"/>
          <w:sz w:val="24"/>
          <w:szCs w:val="24"/>
          <w:highlight w:val="none"/>
        </w:rPr>
        <w:t xml:space="preserve">                                   </w:t>
      </w:r>
      <w:r>
        <w:rPr>
          <w:rFonts w:hint="eastAsia" w:hAnsi="宋体"/>
          <w:color w:val="auto"/>
          <w:sz w:val="24"/>
          <w:szCs w:val="24"/>
          <w:highlight w:val="none"/>
        </w:rPr>
        <w:t>投标人名称（电子签章）</w:t>
      </w:r>
    </w:p>
    <w:p w14:paraId="7CD5812D">
      <w:pPr>
        <w:pStyle w:val="25"/>
        <w:spacing w:line="400" w:lineRule="exact"/>
        <w:contextualSpacing/>
        <w:rPr>
          <w:rFonts w:hint="eastAsia" w:hAnsi="宋体"/>
          <w:color w:val="auto"/>
          <w:sz w:val="24"/>
          <w:highlight w:val="none"/>
        </w:rPr>
      </w:pPr>
      <w:r>
        <w:rPr>
          <w:rFonts w:hint="eastAsia" w:hAnsi="宋体"/>
          <w:color w:val="auto"/>
          <w:sz w:val="24"/>
          <w:highlight w:val="none"/>
        </w:rPr>
        <w:t xml:space="preserve">                                                </w:t>
      </w:r>
      <w:r>
        <w:rPr>
          <w:rFonts w:hint="eastAsia" w:hAnsi="宋体"/>
          <w:color w:val="auto"/>
          <w:sz w:val="24"/>
          <w:highlight w:val="none"/>
          <w:u w:val="single"/>
        </w:rPr>
        <w:t xml:space="preserve">      </w:t>
      </w:r>
      <w:r>
        <w:rPr>
          <w:rFonts w:hint="eastAsia" w:hAnsi="宋体"/>
          <w:color w:val="auto"/>
          <w:sz w:val="24"/>
          <w:highlight w:val="none"/>
        </w:rPr>
        <w:t>年</w:t>
      </w:r>
      <w:r>
        <w:rPr>
          <w:rFonts w:hint="eastAsia" w:hAnsi="宋体"/>
          <w:color w:val="auto"/>
          <w:sz w:val="24"/>
          <w:highlight w:val="none"/>
          <w:u w:val="single"/>
        </w:rPr>
        <w:t xml:space="preserve">    </w:t>
      </w:r>
      <w:r>
        <w:rPr>
          <w:rFonts w:hint="eastAsia" w:hAnsi="宋体"/>
          <w:color w:val="auto"/>
          <w:sz w:val="24"/>
          <w:highlight w:val="none"/>
        </w:rPr>
        <w:t>月</w:t>
      </w:r>
      <w:r>
        <w:rPr>
          <w:rFonts w:hint="eastAsia" w:hAnsi="宋体"/>
          <w:color w:val="auto"/>
          <w:sz w:val="24"/>
          <w:highlight w:val="none"/>
          <w:u w:val="single"/>
        </w:rPr>
        <w:t xml:space="preserve">     </w:t>
      </w:r>
      <w:r>
        <w:rPr>
          <w:rFonts w:hint="eastAsia" w:hAnsi="宋体"/>
          <w:color w:val="auto"/>
          <w:sz w:val="24"/>
          <w:highlight w:val="none"/>
        </w:rPr>
        <w:t>日</w:t>
      </w:r>
    </w:p>
    <w:p w14:paraId="4145A9C9">
      <w:pPr>
        <w:snapToGrid w:val="0"/>
        <w:spacing w:before="120" w:beforeLines="50" w:after="50"/>
        <w:ind w:firstLine="472" w:firstLineChars="196"/>
        <w:jc w:val="left"/>
        <w:rPr>
          <w:rFonts w:hint="eastAsia" w:ascii="宋体" w:hAnsi="宋体"/>
          <w:b/>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4.法定代表人身份证明</w:t>
      </w:r>
    </w:p>
    <w:p w14:paraId="37662CB1">
      <w:pPr>
        <w:spacing w:before="240" w:beforeLines="100" w:after="120" w:afterLines="50"/>
        <w:ind w:left="540"/>
        <w:jc w:val="center"/>
        <w:rPr>
          <w:rFonts w:hint="eastAsia" w:ascii="宋体" w:hAnsi="Courier New"/>
          <w:b/>
          <w:color w:val="auto"/>
          <w:sz w:val="32"/>
          <w:szCs w:val="32"/>
          <w:highlight w:val="none"/>
        </w:rPr>
      </w:pPr>
    </w:p>
    <w:p w14:paraId="04041ED6">
      <w:pPr>
        <w:spacing w:before="240" w:beforeLines="100" w:after="120" w:afterLines="50"/>
        <w:ind w:left="540"/>
        <w:jc w:val="center"/>
        <w:rPr>
          <w:rFonts w:hint="eastAsia" w:ascii="Arial Unicode MS" w:hAnsi="Arial Unicode MS" w:eastAsia="Arial Unicode MS" w:cs="Arial Unicode MS"/>
          <w:bCs/>
          <w:color w:val="auto"/>
          <w:sz w:val="44"/>
          <w:szCs w:val="44"/>
          <w:highlight w:val="none"/>
        </w:rPr>
      </w:pPr>
      <w:r>
        <w:rPr>
          <w:rFonts w:hint="eastAsia" w:ascii="Arial Unicode MS" w:hAnsi="Arial Unicode MS" w:eastAsia="Arial Unicode MS" w:cs="Arial Unicode MS"/>
          <w:bCs/>
          <w:color w:val="auto"/>
          <w:sz w:val="44"/>
          <w:szCs w:val="44"/>
          <w:highlight w:val="none"/>
        </w:rPr>
        <w:t>法定代表人身份证明</w:t>
      </w:r>
    </w:p>
    <w:p w14:paraId="7F40D0D7">
      <w:pPr>
        <w:spacing w:line="500" w:lineRule="exact"/>
        <w:ind w:left="540"/>
        <w:rPr>
          <w:rFonts w:hint="eastAsia" w:ascii="宋体" w:hAnsi="宋体"/>
          <w:color w:val="auto"/>
          <w:sz w:val="24"/>
          <w:highlight w:val="none"/>
        </w:rPr>
      </w:pPr>
      <w:r>
        <w:rPr>
          <w:rFonts w:hint="eastAsia" w:ascii="宋体" w:hAnsi="宋体"/>
          <w:color w:val="auto"/>
          <w:sz w:val="24"/>
          <w:highlight w:val="none"/>
        </w:rPr>
        <w:t>投 标 人：</w:t>
      </w:r>
      <w:r>
        <w:rPr>
          <w:rFonts w:hint="eastAsia" w:ascii="宋体" w:hAnsi="宋体"/>
          <w:color w:val="auto"/>
          <w:sz w:val="24"/>
          <w:highlight w:val="none"/>
          <w:u w:val="single"/>
        </w:rPr>
        <w:t xml:space="preserve">                                                        </w:t>
      </w:r>
    </w:p>
    <w:p w14:paraId="775732A4">
      <w:pPr>
        <w:spacing w:line="500" w:lineRule="exact"/>
        <w:ind w:left="540"/>
        <w:rPr>
          <w:rFonts w:hint="eastAsia" w:ascii="宋体" w:hAnsi="宋体"/>
          <w:color w:val="auto"/>
          <w:sz w:val="24"/>
          <w:highlight w:val="none"/>
        </w:rPr>
      </w:pPr>
      <w:r>
        <w:rPr>
          <w:rFonts w:hint="eastAsia" w:ascii="宋体" w:hAnsi="宋体"/>
          <w:color w:val="auto"/>
          <w:sz w:val="24"/>
          <w:highlight w:val="none"/>
        </w:rPr>
        <w:t>地    址：</w:t>
      </w:r>
      <w:r>
        <w:rPr>
          <w:rFonts w:hint="eastAsia" w:ascii="宋体" w:hAnsi="宋体"/>
          <w:color w:val="auto"/>
          <w:sz w:val="24"/>
          <w:highlight w:val="none"/>
          <w:u w:val="single"/>
        </w:rPr>
        <w:t xml:space="preserve">                                                        </w:t>
      </w:r>
    </w:p>
    <w:p w14:paraId="55EB8448">
      <w:pPr>
        <w:spacing w:line="500" w:lineRule="exact"/>
        <w:ind w:left="540"/>
        <w:rPr>
          <w:rFonts w:hint="eastAsia" w:ascii="宋体" w:hAnsi="宋体"/>
          <w:color w:val="auto"/>
          <w:sz w:val="24"/>
          <w:highlight w:val="none"/>
        </w:rPr>
      </w:pPr>
      <w:r>
        <w:rPr>
          <w:rFonts w:hint="eastAsia" w:ascii="宋体" w:hAnsi="宋体"/>
          <w:color w:val="auto"/>
          <w:sz w:val="24"/>
          <w:highlight w:val="none"/>
        </w:rPr>
        <w:t>姓    名：</w:t>
      </w:r>
      <w:r>
        <w:rPr>
          <w:rFonts w:hint="eastAsia" w:ascii="宋体" w:hAnsi="宋体"/>
          <w:color w:val="auto"/>
          <w:sz w:val="24"/>
          <w:highlight w:val="none"/>
          <w:u w:val="single"/>
        </w:rPr>
        <w:t xml:space="preserve">                          </w:t>
      </w:r>
      <w:r>
        <w:rPr>
          <w:rFonts w:hint="eastAsia" w:ascii="宋体" w:hAnsi="宋体"/>
          <w:color w:val="auto"/>
          <w:sz w:val="24"/>
          <w:highlight w:val="none"/>
        </w:rPr>
        <w:t>性      别：</w:t>
      </w:r>
      <w:r>
        <w:rPr>
          <w:rFonts w:hint="eastAsia" w:ascii="宋体" w:hAnsi="宋体"/>
          <w:color w:val="auto"/>
          <w:sz w:val="24"/>
          <w:highlight w:val="none"/>
          <w:u w:val="single"/>
        </w:rPr>
        <w:t xml:space="preserve">                </w:t>
      </w:r>
    </w:p>
    <w:p w14:paraId="4B65EB4D">
      <w:pPr>
        <w:spacing w:line="500" w:lineRule="exact"/>
        <w:ind w:left="540"/>
        <w:rPr>
          <w:rFonts w:hint="eastAsia" w:ascii="宋体" w:hAnsi="宋体"/>
          <w:color w:val="auto"/>
          <w:sz w:val="24"/>
          <w:highlight w:val="none"/>
          <w:u w:val="single"/>
        </w:rPr>
      </w:pPr>
      <w:r>
        <w:rPr>
          <w:rFonts w:hint="eastAsia" w:ascii="宋体" w:hAnsi="宋体"/>
          <w:color w:val="auto"/>
          <w:sz w:val="24"/>
          <w:highlight w:val="none"/>
        </w:rPr>
        <w:t>年    龄：</w:t>
      </w:r>
      <w:r>
        <w:rPr>
          <w:rFonts w:hint="eastAsia" w:ascii="宋体" w:hAnsi="宋体"/>
          <w:color w:val="auto"/>
          <w:sz w:val="24"/>
          <w:highlight w:val="none"/>
          <w:u w:val="single"/>
        </w:rPr>
        <w:t xml:space="preserve">                          </w:t>
      </w:r>
      <w:r>
        <w:rPr>
          <w:rFonts w:hint="eastAsia" w:ascii="宋体" w:hAnsi="宋体"/>
          <w:color w:val="auto"/>
          <w:sz w:val="24"/>
          <w:highlight w:val="none"/>
        </w:rPr>
        <w:t>职      务：</w:t>
      </w:r>
      <w:r>
        <w:rPr>
          <w:rFonts w:hint="eastAsia" w:ascii="宋体" w:hAnsi="宋体"/>
          <w:color w:val="auto"/>
          <w:sz w:val="24"/>
          <w:highlight w:val="none"/>
          <w:u w:val="single"/>
        </w:rPr>
        <w:t xml:space="preserve">                </w:t>
      </w:r>
    </w:p>
    <w:p w14:paraId="0D8B5372">
      <w:pPr>
        <w:spacing w:line="500" w:lineRule="exact"/>
        <w:ind w:left="540"/>
        <w:rPr>
          <w:rFonts w:hint="eastAsia" w:ascii="宋体" w:hAnsi="宋体"/>
          <w:color w:val="auto"/>
          <w:sz w:val="24"/>
          <w:highlight w:val="none"/>
        </w:rPr>
      </w:pPr>
      <w:r>
        <w:rPr>
          <w:rFonts w:hint="eastAsia" w:ascii="宋体" w:hAnsi="宋体"/>
          <w:color w:val="auto"/>
          <w:sz w:val="24"/>
          <w:highlight w:val="none"/>
        </w:rPr>
        <w:t>身份证</w:t>
      </w:r>
      <w:r>
        <w:rPr>
          <w:rFonts w:hint="eastAsia"/>
          <w:color w:val="auto"/>
          <w:sz w:val="24"/>
          <w:highlight w:val="none"/>
        </w:rPr>
        <w:t>号码：</w:t>
      </w:r>
      <w:r>
        <w:rPr>
          <w:rFonts w:hint="eastAsia"/>
          <w:color w:val="auto"/>
          <w:sz w:val="24"/>
          <w:highlight w:val="none"/>
          <w:u w:val="single"/>
        </w:rPr>
        <w:t xml:space="preserve">                                 </w:t>
      </w:r>
    </w:p>
    <w:p w14:paraId="2B60E8FD">
      <w:pPr>
        <w:spacing w:line="500" w:lineRule="exact"/>
        <w:ind w:left="540"/>
        <w:rPr>
          <w:rFonts w:hint="eastAsia"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 xml:space="preserve">            （投标人名称）              </w:t>
      </w:r>
      <w:r>
        <w:rPr>
          <w:rFonts w:hint="eastAsia" w:ascii="宋体" w:hAnsi="宋体"/>
          <w:color w:val="auto"/>
          <w:sz w:val="24"/>
          <w:highlight w:val="none"/>
        </w:rPr>
        <w:t>的法定代表人。</w:t>
      </w:r>
    </w:p>
    <w:p w14:paraId="2FC50AD0">
      <w:pPr>
        <w:spacing w:line="500" w:lineRule="exact"/>
        <w:ind w:left="540"/>
        <w:rPr>
          <w:rFonts w:hint="eastAsia" w:ascii="宋体" w:hAnsi="宋体"/>
          <w:color w:val="auto"/>
          <w:sz w:val="24"/>
          <w:highlight w:val="none"/>
        </w:rPr>
      </w:pPr>
      <w:r>
        <w:rPr>
          <w:rFonts w:hint="eastAsia" w:ascii="宋体" w:hAnsi="宋体"/>
          <w:color w:val="auto"/>
          <w:sz w:val="24"/>
          <w:highlight w:val="none"/>
        </w:rPr>
        <w:t>特此证明。</w:t>
      </w:r>
    </w:p>
    <w:p w14:paraId="7677053A">
      <w:pPr>
        <w:spacing w:line="500" w:lineRule="exact"/>
        <w:ind w:left="540"/>
        <w:rPr>
          <w:rFonts w:hint="eastAsia" w:ascii="宋体" w:hAnsi="宋体"/>
          <w:color w:val="auto"/>
          <w:sz w:val="24"/>
          <w:highlight w:val="none"/>
        </w:rPr>
      </w:pPr>
    </w:p>
    <w:p w14:paraId="442F881E">
      <w:pPr>
        <w:spacing w:line="500" w:lineRule="exact"/>
        <w:ind w:left="540"/>
        <w:rPr>
          <w:rFonts w:hint="eastAsia" w:ascii="宋体" w:hAnsi="宋体"/>
          <w:color w:val="auto"/>
          <w:sz w:val="24"/>
          <w:highlight w:val="none"/>
        </w:rPr>
      </w:pPr>
    </w:p>
    <w:p w14:paraId="31996D47">
      <w:pPr>
        <w:spacing w:line="500" w:lineRule="exact"/>
        <w:ind w:left="540"/>
        <w:rPr>
          <w:rFonts w:hint="eastAsia" w:ascii="宋体" w:hAnsi="宋体"/>
          <w:color w:val="auto"/>
          <w:sz w:val="24"/>
          <w:highlight w:val="none"/>
        </w:rPr>
      </w:pPr>
      <w:r>
        <w:rPr>
          <w:rFonts w:hint="eastAsia" w:ascii="宋体" w:hAnsi="宋体"/>
          <w:color w:val="auto"/>
          <w:sz w:val="24"/>
          <w:highlight w:val="none"/>
        </w:rPr>
        <w:t>附件：法定代表人有效身份证正反面复印件</w:t>
      </w:r>
    </w:p>
    <w:p w14:paraId="2CA8C5F2">
      <w:pPr>
        <w:spacing w:line="500" w:lineRule="exact"/>
        <w:ind w:left="540"/>
        <w:rPr>
          <w:rFonts w:hint="eastAsia" w:ascii="宋体" w:hAnsi="宋体"/>
          <w:color w:val="auto"/>
          <w:sz w:val="24"/>
          <w:highlight w:val="none"/>
        </w:rPr>
      </w:pPr>
    </w:p>
    <w:p w14:paraId="73C6F8E2">
      <w:pPr>
        <w:spacing w:line="500" w:lineRule="exact"/>
        <w:ind w:left="540"/>
        <w:jc w:val="right"/>
        <w:rPr>
          <w:rFonts w:hint="eastAsia" w:ascii="宋体" w:hAnsi="宋体"/>
          <w:color w:val="auto"/>
          <w:sz w:val="24"/>
          <w:highlight w:val="none"/>
        </w:rPr>
      </w:pPr>
      <w:r>
        <w:rPr>
          <w:rFonts w:hint="eastAsia" w:ascii="宋体" w:hAnsi="宋体"/>
          <w:color w:val="auto"/>
          <w:sz w:val="24"/>
          <w:highlight w:val="none"/>
        </w:rPr>
        <w:t>投标人名称（电子签章）</w:t>
      </w:r>
    </w:p>
    <w:p w14:paraId="4EDDFDA5">
      <w:pPr>
        <w:snapToGrid w:val="0"/>
        <w:spacing w:before="120" w:beforeLines="50" w:after="50"/>
        <w:ind w:left="540"/>
        <w:jc w:val="right"/>
        <w:rPr>
          <w:rFonts w:hint="eastAsia" w:ascii="宋体" w:hAnsi="宋体"/>
          <w:color w:val="auto"/>
          <w:sz w:val="24"/>
          <w:highlight w:val="none"/>
        </w:rPr>
      </w:pP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6135723E">
      <w:pPr>
        <w:snapToGrid w:val="0"/>
        <w:spacing w:before="120" w:beforeLines="50" w:after="50"/>
        <w:jc w:val="center"/>
        <w:rPr>
          <w:rFonts w:hint="eastAsia" w:ascii="宋体" w:hAnsi="宋体"/>
          <w:b/>
          <w:color w:val="auto"/>
          <w:sz w:val="24"/>
          <w:highlight w:val="none"/>
        </w:rPr>
      </w:pPr>
    </w:p>
    <w:p w14:paraId="52B03BAD">
      <w:pPr>
        <w:snapToGrid w:val="0"/>
        <w:spacing w:before="120" w:beforeLines="50" w:after="50"/>
        <w:jc w:val="left"/>
        <w:rPr>
          <w:rFonts w:hint="eastAsia" w:ascii="宋体" w:hAnsi="宋体"/>
          <w:b/>
          <w:color w:val="auto"/>
          <w:sz w:val="24"/>
          <w:szCs w:val="20"/>
          <w:highlight w:val="none"/>
        </w:rPr>
      </w:pPr>
      <w:r>
        <w:rPr>
          <w:rFonts w:hint="eastAsia" w:ascii="宋体" w:hAnsi="宋体"/>
          <w:color w:val="auto"/>
          <w:sz w:val="24"/>
          <w:highlight w:val="none"/>
        </w:rPr>
        <w:t>注：自然人投标的无需提供</w:t>
      </w:r>
    </w:p>
    <w:p w14:paraId="42759C82">
      <w:pPr>
        <w:snapToGrid w:val="0"/>
        <w:spacing w:before="120" w:beforeLines="50" w:after="50"/>
        <w:jc w:val="left"/>
        <w:rPr>
          <w:rFonts w:hint="eastAsia" w:ascii="宋体" w:hAnsi="宋体"/>
          <w:b/>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5.授权委托书格式</w:t>
      </w:r>
    </w:p>
    <w:p w14:paraId="1997D611">
      <w:pPr>
        <w:snapToGrid w:val="0"/>
        <w:spacing w:before="120" w:beforeLines="50" w:after="50"/>
        <w:jc w:val="center"/>
        <w:rPr>
          <w:rFonts w:hint="eastAsia" w:ascii="宋体" w:hAnsi="宋体"/>
          <w:b/>
          <w:color w:val="auto"/>
          <w:sz w:val="44"/>
          <w:szCs w:val="44"/>
          <w:highlight w:val="none"/>
        </w:rPr>
      </w:pPr>
    </w:p>
    <w:p w14:paraId="1446151F">
      <w:pPr>
        <w:snapToGrid w:val="0"/>
        <w:spacing w:before="120" w:beforeLines="50" w:after="50"/>
        <w:jc w:val="center"/>
        <w:rPr>
          <w:rFonts w:hint="eastAsia" w:ascii="Arial Unicode MS" w:hAnsi="Arial Unicode MS" w:eastAsia="Arial Unicode MS" w:cs="Arial Unicode MS"/>
          <w:bCs/>
          <w:color w:val="auto"/>
          <w:sz w:val="44"/>
          <w:szCs w:val="44"/>
          <w:highlight w:val="none"/>
        </w:rPr>
      </w:pPr>
      <w:r>
        <w:rPr>
          <w:rFonts w:hint="eastAsia" w:ascii="Arial Unicode MS" w:hAnsi="Arial Unicode MS" w:eastAsia="Arial Unicode MS" w:cs="Arial Unicode MS"/>
          <w:bCs/>
          <w:color w:val="auto"/>
          <w:sz w:val="44"/>
          <w:szCs w:val="44"/>
          <w:highlight w:val="none"/>
        </w:rPr>
        <w:t>授权委托书</w:t>
      </w:r>
    </w:p>
    <w:p w14:paraId="457929B3">
      <w:pPr>
        <w:snapToGrid w:val="0"/>
        <w:spacing w:before="120" w:beforeLines="50" w:after="50"/>
        <w:jc w:val="center"/>
        <w:rPr>
          <w:rFonts w:hint="eastAsia" w:ascii="宋体" w:hAnsi="宋体"/>
          <w:b/>
          <w:color w:val="auto"/>
          <w:sz w:val="32"/>
          <w:szCs w:val="32"/>
          <w:highlight w:val="none"/>
        </w:rPr>
      </w:pPr>
      <w:r>
        <w:rPr>
          <w:rFonts w:hint="eastAsia" w:ascii="宋体" w:hAnsi="宋体"/>
          <w:b/>
          <w:color w:val="auto"/>
          <w:sz w:val="32"/>
          <w:szCs w:val="32"/>
          <w:highlight w:val="none"/>
        </w:rPr>
        <w:t>（非联合体投标格式）</w:t>
      </w:r>
    </w:p>
    <w:p w14:paraId="1B1B030E">
      <w:pPr>
        <w:snapToGrid w:val="0"/>
        <w:spacing w:before="120" w:beforeLines="50" w:after="50"/>
        <w:jc w:val="center"/>
        <w:rPr>
          <w:rFonts w:hint="eastAsia" w:ascii="宋体" w:hAnsi="宋体"/>
          <w:b/>
          <w:color w:val="auto"/>
          <w:sz w:val="24"/>
          <w:highlight w:val="none"/>
        </w:rPr>
      </w:pPr>
      <w:r>
        <w:rPr>
          <w:rFonts w:hint="eastAsia" w:ascii="宋体" w:hAnsi="宋体"/>
          <w:b/>
          <w:color w:val="auto"/>
          <w:sz w:val="32"/>
          <w:szCs w:val="32"/>
          <w:highlight w:val="none"/>
        </w:rPr>
        <w:t>（如有委托时）</w:t>
      </w:r>
    </w:p>
    <w:p w14:paraId="33470878">
      <w:pPr>
        <w:snapToGrid w:val="0"/>
        <w:spacing w:before="120" w:beforeLines="50" w:after="50"/>
        <w:jc w:val="center"/>
        <w:rPr>
          <w:rFonts w:hint="eastAsia" w:ascii="宋体" w:hAnsi="宋体"/>
          <w:b/>
          <w:color w:val="auto"/>
          <w:sz w:val="24"/>
          <w:highlight w:val="none"/>
        </w:rPr>
      </w:pPr>
    </w:p>
    <w:p w14:paraId="1AD2EFA1">
      <w:pPr>
        <w:spacing w:line="360" w:lineRule="auto"/>
        <w:contextualSpacing/>
        <w:rPr>
          <w:rFonts w:hint="eastAsia" w:ascii="宋体" w:hAnsi="宋体"/>
          <w:b/>
          <w:bCs/>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采购人名称</w:t>
      </w:r>
      <w:r>
        <w:rPr>
          <w:rFonts w:hint="eastAsia" w:ascii="宋体" w:hAnsi="宋体"/>
          <w:color w:val="auto"/>
          <w:sz w:val="24"/>
          <w:highlight w:val="none"/>
        </w:rPr>
        <w:t>：</w:t>
      </w:r>
    </w:p>
    <w:p w14:paraId="673A5819">
      <w:pPr>
        <w:spacing w:line="360" w:lineRule="auto"/>
        <w:ind w:firstLine="566" w:firstLineChars="236"/>
        <w:contextualSpacing/>
        <w:rPr>
          <w:rFonts w:hint="eastAsia" w:ascii="宋体" w:hAnsi="宋体"/>
          <w:color w:val="auto"/>
          <w:sz w:val="24"/>
          <w:highlight w:val="none"/>
        </w:rPr>
      </w:pPr>
      <w:r>
        <w:rPr>
          <w:rFonts w:hint="eastAsia" w:ascii="宋体" w:hAnsi="宋体"/>
          <w:color w:val="auto"/>
          <w:sz w:val="24"/>
          <w:highlight w:val="none"/>
        </w:rPr>
        <w:t>我</w:t>
      </w:r>
      <w:r>
        <w:rPr>
          <w:rFonts w:hint="eastAsia" w:ascii="宋体" w:hAnsi="宋体"/>
          <w:color w:val="auto"/>
          <w:sz w:val="24"/>
          <w:highlight w:val="none"/>
          <w:u w:val="single"/>
        </w:rPr>
        <w:t xml:space="preserve">       </w:t>
      </w:r>
      <w:r>
        <w:rPr>
          <w:rFonts w:hint="eastAsia" w:ascii="宋体" w:hAnsi="宋体"/>
          <w:color w:val="auto"/>
          <w:sz w:val="24"/>
          <w:highlight w:val="none"/>
        </w:rPr>
        <w:t>（姓名）系</w:t>
      </w:r>
      <w:r>
        <w:rPr>
          <w:rFonts w:hint="eastAsia" w:ascii="宋体" w:hAnsi="宋体"/>
          <w:color w:val="auto"/>
          <w:sz w:val="24"/>
          <w:highlight w:val="none"/>
          <w:u w:val="single"/>
        </w:rPr>
        <w:t xml:space="preserve">      </w:t>
      </w:r>
      <w:r>
        <w:rPr>
          <w:rFonts w:hint="eastAsia" w:ascii="宋体" w:hAnsi="宋体"/>
          <w:color w:val="auto"/>
          <w:sz w:val="24"/>
          <w:highlight w:val="none"/>
        </w:rPr>
        <w:t>（投标人名称）的法定代表人，现授权委托</w:t>
      </w:r>
      <w:r>
        <w:rPr>
          <w:rFonts w:hint="eastAsia" w:ascii="宋体" w:hAnsi="宋体"/>
          <w:color w:val="auto"/>
          <w:sz w:val="24"/>
          <w:highlight w:val="none"/>
          <w:u w:val="single"/>
        </w:rPr>
        <w:t xml:space="preserve">              （姓名）</w:t>
      </w:r>
      <w:r>
        <w:rPr>
          <w:rFonts w:hint="eastAsia" w:ascii="宋体" w:hAnsi="宋体"/>
          <w:color w:val="auto"/>
          <w:sz w:val="24"/>
          <w:highlight w:val="none"/>
        </w:rPr>
        <w:t>以我方的名义参加</w:t>
      </w:r>
      <w:r>
        <w:rPr>
          <w:rFonts w:hint="eastAsia" w:ascii="宋体" w:hAnsi="宋体"/>
          <w:color w:val="auto"/>
          <w:sz w:val="24"/>
          <w:highlight w:val="none"/>
          <w:u w:val="single"/>
        </w:rPr>
        <w:t xml:space="preserve">              </w:t>
      </w:r>
      <w:r>
        <w:rPr>
          <w:rFonts w:hint="eastAsia" w:ascii="宋体" w:hAnsi="宋体"/>
          <w:color w:val="auto"/>
          <w:sz w:val="24"/>
          <w:highlight w:val="none"/>
        </w:rPr>
        <w:t>项目的投标活动，并代表我方全权办理针对上述项目的所有采购程序和环节的具体事务和签署相关文件。</w:t>
      </w:r>
    </w:p>
    <w:p w14:paraId="24CDF4C1">
      <w:pPr>
        <w:spacing w:line="360" w:lineRule="auto"/>
        <w:contextualSpacing/>
        <w:rPr>
          <w:rFonts w:hint="eastAsia" w:ascii="宋体" w:hAnsi="宋体"/>
          <w:color w:val="auto"/>
          <w:sz w:val="24"/>
          <w:highlight w:val="none"/>
        </w:rPr>
      </w:pPr>
      <w:r>
        <w:rPr>
          <w:rFonts w:hint="eastAsia" w:ascii="宋体" w:hAnsi="宋体"/>
          <w:color w:val="auto"/>
          <w:sz w:val="24"/>
          <w:highlight w:val="none"/>
        </w:rPr>
        <w:t xml:space="preserve">    我方对委托代理人的签字或者电子签名事项负全部责任。</w:t>
      </w:r>
    </w:p>
    <w:p w14:paraId="1A083A78">
      <w:pPr>
        <w:spacing w:line="360" w:lineRule="auto"/>
        <w:ind w:firstLine="480"/>
        <w:contextualSpacing/>
        <w:rPr>
          <w:rFonts w:hint="eastAsia" w:ascii="宋体" w:hAnsi="宋体"/>
          <w:color w:val="auto"/>
          <w:sz w:val="24"/>
          <w:highlight w:val="none"/>
        </w:rPr>
      </w:pPr>
      <w:r>
        <w:rPr>
          <w:rFonts w:hint="eastAsia" w:ascii="宋体" w:hAnsi="宋体"/>
          <w:color w:val="auto"/>
          <w:sz w:val="24"/>
          <w:highlight w:val="none"/>
          <w:u w:val="single"/>
        </w:rPr>
        <w:t>本授权书自签署之日起生效，在撤销授权的书面通知以前，本授权书一直有效。委托代理人在授权书有效期内签署的所有文件不因授权的撤销而失效。</w:t>
      </w:r>
    </w:p>
    <w:p w14:paraId="4D07FF8F">
      <w:pPr>
        <w:spacing w:line="360" w:lineRule="auto"/>
        <w:ind w:firstLine="480"/>
        <w:contextualSpacing/>
        <w:rPr>
          <w:rFonts w:hint="eastAsia" w:ascii="宋体" w:hAnsi="宋体"/>
          <w:color w:val="auto"/>
          <w:sz w:val="24"/>
          <w:highlight w:val="none"/>
        </w:rPr>
      </w:pPr>
      <w:r>
        <w:rPr>
          <w:rFonts w:hint="eastAsia" w:ascii="宋体" w:hAnsi="宋体"/>
          <w:color w:val="auto"/>
          <w:sz w:val="24"/>
          <w:highlight w:val="none"/>
        </w:rPr>
        <w:t>委托代理人无转委托权，特此委托。</w:t>
      </w:r>
    </w:p>
    <w:p w14:paraId="5AE48D91">
      <w:pPr>
        <w:spacing w:line="360" w:lineRule="auto"/>
        <w:ind w:firstLine="480"/>
        <w:contextualSpacing/>
        <w:rPr>
          <w:rFonts w:hint="eastAsia" w:ascii="宋体" w:hAnsi="宋体"/>
          <w:color w:val="auto"/>
          <w:sz w:val="24"/>
          <w:highlight w:val="none"/>
        </w:rPr>
      </w:pPr>
      <w:r>
        <w:rPr>
          <w:rFonts w:hint="eastAsia" w:ascii="宋体" w:hAnsi="宋体"/>
          <w:color w:val="auto"/>
          <w:sz w:val="24"/>
          <w:highlight w:val="none"/>
        </w:rPr>
        <w:t>附：法定代表人身份证明及委托代理人有效身份证正反面复印件</w:t>
      </w:r>
    </w:p>
    <w:p w14:paraId="245A0528">
      <w:pPr>
        <w:spacing w:line="360" w:lineRule="auto"/>
        <w:contextualSpacing/>
        <w:rPr>
          <w:rFonts w:hint="eastAsia" w:ascii="宋体" w:hAnsi="宋体"/>
          <w:color w:val="auto"/>
          <w:sz w:val="24"/>
          <w:highlight w:val="none"/>
        </w:rPr>
      </w:pPr>
    </w:p>
    <w:p w14:paraId="70E07455">
      <w:pPr>
        <w:spacing w:line="440" w:lineRule="exact"/>
        <w:contextualSpacing/>
        <w:rPr>
          <w:rFonts w:hint="eastAsia" w:ascii="宋体" w:hAnsi="宋体"/>
          <w:color w:val="auto"/>
          <w:sz w:val="24"/>
          <w:highlight w:val="none"/>
        </w:rPr>
      </w:pPr>
      <w:r>
        <w:rPr>
          <w:rFonts w:hint="eastAsia" w:ascii="宋体" w:hAnsi="宋体"/>
          <w:color w:val="auto"/>
          <w:sz w:val="24"/>
          <w:highlight w:val="none"/>
        </w:rPr>
        <w:t>委托代理人（签字或者电子签名）：</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6B3C78AF">
      <w:pPr>
        <w:spacing w:line="440" w:lineRule="exact"/>
        <w:contextualSpacing/>
        <w:rPr>
          <w:rFonts w:hint="eastAsia" w:ascii="宋体" w:hAnsi="宋体"/>
          <w:color w:val="auto"/>
          <w:sz w:val="24"/>
          <w:highlight w:val="none"/>
          <w:u w:val="single"/>
        </w:rPr>
      </w:pPr>
      <w:r>
        <w:rPr>
          <w:rFonts w:hint="eastAsia" w:ascii="宋体" w:hAnsi="宋体"/>
          <w:color w:val="auto"/>
          <w:sz w:val="24"/>
          <w:highlight w:val="none"/>
        </w:rPr>
        <w:t>委托代理人身份证号码：</w:t>
      </w:r>
      <w:r>
        <w:rPr>
          <w:rFonts w:hint="eastAsia" w:ascii="宋体" w:hAnsi="宋体"/>
          <w:color w:val="auto"/>
          <w:sz w:val="24"/>
          <w:highlight w:val="none"/>
          <w:u w:val="single"/>
        </w:rPr>
        <w:t xml:space="preserve">                             </w:t>
      </w:r>
    </w:p>
    <w:p w14:paraId="151E5D06">
      <w:pPr>
        <w:spacing w:line="440" w:lineRule="exact"/>
        <w:contextualSpacing/>
        <w:rPr>
          <w:rFonts w:hint="eastAsia" w:ascii="宋体" w:hAnsi="宋体"/>
          <w:color w:val="auto"/>
          <w:sz w:val="24"/>
          <w:highlight w:val="none"/>
          <w:u w:val="single"/>
        </w:rPr>
      </w:pPr>
      <w:r>
        <w:rPr>
          <w:rFonts w:hint="eastAsia" w:ascii="宋体" w:hAnsi="宋体"/>
          <w:color w:val="auto"/>
          <w:sz w:val="24"/>
          <w:highlight w:val="none"/>
        </w:rPr>
        <w:t>法定代表人（签字或者盖章或者电子签名）：</w:t>
      </w:r>
      <w:r>
        <w:rPr>
          <w:rFonts w:hint="eastAsia" w:ascii="宋体" w:hAnsi="宋体"/>
          <w:color w:val="auto"/>
          <w:sz w:val="24"/>
          <w:highlight w:val="none"/>
          <w:u w:val="single"/>
        </w:rPr>
        <w:t xml:space="preserve">              </w:t>
      </w:r>
    </w:p>
    <w:p w14:paraId="37DFA956">
      <w:pPr>
        <w:spacing w:line="440" w:lineRule="exact"/>
        <w:contextualSpacing/>
        <w:rPr>
          <w:rFonts w:hint="eastAsia" w:ascii="宋体" w:hAnsi="宋体"/>
          <w:color w:val="auto"/>
          <w:sz w:val="24"/>
          <w:highlight w:val="none"/>
        </w:rPr>
      </w:pPr>
      <w:r>
        <w:rPr>
          <w:rFonts w:hint="eastAsia" w:ascii="宋体" w:hAnsi="宋体"/>
          <w:color w:val="auto"/>
          <w:sz w:val="24"/>
          <w:highlight w:val="none"/>
        </w:rPr>
        <w:t xml:space="preserve"> </w:t>
      </w:r>
    </w:p>
    <w:p w14:paraId="74C388BA">
      <w:pPr>
        <w:spacing w:line="440" w:lineRule="exact"/>
        <w:contextualSpacing/>
        <w:jc w:val="center"/>
        <w:rPr>
          <w:rFonts w:hint="eastAsia" w:ascii="宋体" w:hAnsi="宋体"/>
          <w:color w:val="auto"/>
          <w:sz w:val="24"/>
          <w:highlight w:val="none"/>
        </w:rPr>
      </w:pPr>
      <w:r>
        <w:rPr>
          <w:rFonts w:hint="eastAsia" w:ascii="宋体" w:hAnsi="宋体"/>
          <w:color w:val="auto"/>
          <w:sz w:val="24"/>
          <w:highlight w:val="none"/>
        </w:rPr>
        <w:t xml:space="preserve">                                                投标人名称（电子签章）：</w:t>
      </w:r>
    </w:p>
    <w:p w14:paraId="43DAE81A">
      <w:pPr>
        <w:spacing w:line="440" w:lineRule="exact"/>
        <w:contextualSpacing/>
        <w:jc w:val="center"/>
        <w:rPr>
          <w:rFonts w:hint="eastAsia" w:ascii="宋体" w:hAnsi="宋体"/>
          <w:color w:val="auto"/>
          <w:sz w:val="24"/>
          <w:highlight w:val="none"/>
        </w:rPr>
      </w:pPr>
      <w:r>
        <w:rPr>
          <w:rFonts w:hint="eastAsia" w:ascii="宋体" w:hAnsi="宋体"/>
          <w:color w:val="auto"/>
          <w:sz w:val="24"/>
          <w:highlight w:val="none"/>
        </w:rPr>
        <w:t xml:space="preserve">                                              年    月    日</w:t>
      </w:r>
    </w:p>
    <w:p w14:paraId="03CB134A">
      <w:pPr>
        <w:spacing w:line="440" w:lineRule="exact"/>
        <w:contextualSpacing/>
        <w:rPr>
          <w:rFonts w:hint="eastAsia" w:ascii="宋体" w:hAnsi="宋体" w:cs="仿宋_GB2312"/>
          <w:color w:val="auto"/>
          <w:sz w:val="24"/>
          <w:highlight w:val="none"/>
        </w:rPr>
      </w:pPr>
      <w:r>
        <w:rPr>
          <w:rFonts w:hint="eastAsia" w:ascii="宋体" w:hAnsi="宋体" w:cs="仿宋_GB2312"/>
          <w:color w:val="auto"/>
          <w:sz w:val="24"/>
          <w:highlight w:val="none"/>
        </w:rPr>
        <w:t>注：1.</w:t>
      </w:r>
      <w:bookmarkStart w:id="185" w:name="_Hlk65851555"/>
      <w:bookmarkStart w:id="186" w:name="_Hlk65851620"/>
      <w:r>
        <w:rPr>
          <w:rFonts w:hint="eastAsia" w:ascii="宋体" w:hAnsi="宋体" w:cs="仿宋_GB2312"/>
          <w:color w:val="auto"/>
          <w:sz w:val="24"/>
          <w:highlight w:val="none"/>
        </w:rPr>
        <w:t>法定代表人必须在授权委托书上签字或者盖章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w:t>
      </w:r>
      <w:bookmarkEnd w:id="185"/>
      <w:r>
        <w:rPr>
          <w:rFonts w:hint="eastAsia" w:ascii="宋体" w:hAnsi="宋体" w:cs="仿宋_GB2312"/>
          <w:color w:val="auto"/>
          <w:sz w:val="24"/>
          <w:highlight w:val="none"/>
        </w:rPr>
        <w:t>委托代理人必须在授权委托书上签字</w:t>
      </w:r>
      <w:r>
        <w:rPr>
          <w:rFonts w:hint="eastAsia" w:ascii="宋体" w:hAnsi="宋体"/>
          <w:color w:val="auto"/>
          <w:sz w:val="24"/>
          <w:highlight w:val="none"/>
        </w:rPr>
        <w:t>或者电子签名</w:t>
      </w:r>
      <w:r>
        <w:rPr>
          <w:rFonts w:hint="eastAsia" w:ascii="宋体" w:hAnsi="宋体" w:cs="仿宋_GB2312"/>
          <w:color w:val="auto"/>
          <w:sz w:val="24"/>
          <w:highlight w:val="none"/>
        </w:rPr>
        <w:t>，</w:t>
      </w:r>
      <w:r>
        <w:rPr>
          <w:rFonts w:hint="eastAsia" w:ascii="宋体" w:hAnsi="宋体" w:cs="仿宋_GB2312"/>
          <w:b/>
          <w:bCs/>
          <w:color w:val="auto"/>
          <w:sz w:val="24"/>
          <w:highlight w:val="none"/>
        </w:rPr>
        <w:t>否则按无效投标处理</w:t>
      </w:r>
      <w:r>
        <w:rPr>
          <w:rFonts w:hint="eastAsia" w:ascii="宋体" w:hAnsi="宋体" w:cs="仿宋_GB2312"/>
          <w:color w:val="auto"/>
          <w:sz w:val="24"/>
          <w:highlight w:val="none"/>
        </w:rPr>
        <w:t>；</w:t>
      </w:r>
      <w:bookmarkEnd w:id="186"/>
    </w:p>
    <w:p w14:paraId="2C03DA46">
      <w:pPr>
        <w:spacing w:line="440" w:lineRule="exact"/>
        <w:ind w:firstLine="480" w:firstLineChars="200"/>
        <w:contextualSpacing/>
        <w:jc w:val="left"/>
        <w:rPr>
          <w:rFonts w:hint="eastAsia" w:ascii="宋体" w:hAnsi="宋体"/>
          <w:color w:val="auto"/>
          <w:sz w:val="24"/>
          <w:highlight w:val="none"/>
        </w:rPr>
      </w:pPr>
      <w:r>
        <w:rPr>
          <w:rFonts w:hint="eastAsia" w:ascii="宋体" w:hAnsi="宋体" w:cs="仿宋_GB2312"/>
          <w:color w:val="auto"/>
          <w:sz w:val="24"/>
          <w:highlight w:val="none"/>
        </w:rPr>
        <w:t>2.法人、其他组织投标时“我方”是指“我单位”，自然人投标时“我方”是指“本人”。</w:t>
      </w:r>
    </w:p>
    <w:p w14:paraId="1F73C68F">
      <w:pPr>
        <w:snapToGrid w:val="0"/>
        <w:spacing w:before="120" w:beforeLines="50" w:after="50"/>
        <w:ind w:firstLine="566" w:firstLineChars="236"/>
        <w:jc w:val="center"/>
        <w:rPr>
          <w:rFonts w:hint="eastAsia" w:ascii="Arial Unicode MS" w:hAnsi="Arial Unicode MS" w:eastAsia="Arial Unicode MS" w:cs="Arial Unicode MS"/>
          <w:color w:val="auto"/>
          <w:sz w:val="44"/>
          <w:szCs w:val="44"/>
          <w:highlight w:val="none"/>
        </w:rPr>
      </w:pPr>
      <w:r>
        <w:rPr>
          <w:rFonts w:ascii="宋体" w:hAnsi="宋体"/>
          <w:color w:val="auto"/>
          <w:sz w:val="24"/>
          <w:highlight w:val="none"/>
        </w:rPr>
        <w:br w:type="page"/>
      </w:r>
      <w:r>
        <w:rPr>
          <w:rFonts w:hint="eastAsia" w:ascii="Arial Unicode MS" w:hAnsi="Arial Unicode MS" w:eastAsia="Arial Unicode MS" w:cs="Arial Unicode MS"/>
          <w:color w:val="auto"/>
          <w:sz w:val="44"/>
          <w:szCs w:val="44"/>
          <w:highlight w:val="none"/>
        </w:rPr>
        <w:t>授权委托书</w:t>
      </w:r>
    </w:p>
    <w:p w14:paraId="2DE37732">
      <w:pPr>
        <w:snapToGrid w:val="0"/>
        <w:spacing w:before="120" w:beforeLines="50" w:after="50"/>
        <w:ind w:firstLine="758" w:firstLineChars="236"/>
        <w:jc w:val="center"/>
        <w:rPr>
          <w:rFonts w:hint="eastAsia" w:ascii="宋体" w:hAnsi="宋体"/>
          <w:b/>
          <w:bCs/>
          <w:color w:val="auto"/>
          <w:sz w:val="32"/>
          <w:szCs w:val="32"/>
          <w:highlight w:val="none"/>
        </w:rPr>
      </w:pPr>
      <w:r>
        <w:rPr>
          <w:rFonts w:hint="eastAsia" w:ascii="宋体" w:hAnsi="宋体"/>
          <w:b/>
          <w:bCs/>
          <w:color w:val="auto"/>
          <w:sz w:val="32"/>
          <w:szCs w:val="32"/>
          <w:highlight w:val="none"/>
        </w:rPr>
        <w:t>（联合体投标格式）</w:t>
      </w:r>
    </w:p>
    <w:p w14:paraId="3F1EAD7E">
      <w:pPr>
        <w:snapToGrid w:val="0"/>
        <w:spacing w:before="120" w:beforeLines="50" w:after="50"/>
        <w:ind w:firstLine="758" w:firstLineChars="236"/>
        <w:jc w:val="center"/>
        <w:rPr>
          <w:rFonts w:ascii="宋体" w:hAnsi="宋体"/>
          <w:color w:val="auto"/>
          <w:sz w:val="24"/>
          <w:highlight w:val="none"/>
        </w:rPr>
      </w:pPr>
      <w:r>
        <w:rPr>
          <w:rFonts w:hint="eastAsia" w:ascii="宋体" w:hAnsi="宋体"/>
          <w:b/>
          <w:bCs/>
          <w:color w:val="auto"/>
          <w:sz w:val="32"/>
          <w:szCs w:val="32"/>
          <w:highlight w:val="none"/>
        </w:rPr>
        <w:t>（如有委托时）</w:t>
      </w:r>
    </w:p>
    <w:p w14:paraId="3D0DBADC">
      <w:pPr>
        <w:spacing w:line="360" w:lineRule="auto"/>
        <w:contextualSpacing/>
        <w:jc w:val="left"/>
        <w:rPr>
          <w:rFonts w:hint="eastAsia" w:ascii="宋体" w:hAnsi="宋体"/>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采购人名称</w:t>
      </w:r>
      <w:r>
        <w:rPr>
          <w:rFonts w:hint="eastAsia" w:ascii="宋体" w:hAnsi="宋体"/>
          <w:color w:val="auto"/>
          <w:sz w:val="24"/>
          <w:highlight w:val="none"/>
        </w:rPr>
        <w:t>：</w:t>
      </w:r>
    </w:p>
    <w:p w14:paraId="191173B8">
      <w:pPr>
        <w:spacing w:line="360" w:lineRule="auto"/>
        <w:ind w:firstLine="566" w:firstLineChars="236"/>
        <w:contextualSpacing/>
        <w:rPr>
          <w:rFonts w:hint="eastAsia" w:ascii="宋体" w:hAnsi="宋体"/>
          <w:color w:val="auto"/>
          <w:sz w:val="24"/>
          <w:highlight w:val="none"/>
        </w:rPr>
      </w:pPr>
      <w:r>
        <w:rPr>
          <w:rFonts w:hint="eastAsia" w:ascii="宋体" w:hAnsi="宋体"/>
          <w:color w:val="auto"/>
          <w:sz w:val="24"/>
          <w:highlight w:val="none"/>
        </w:rPr>
        <w:t xml:space="preserve">根据 </w:t>
      </w:r>
      <w:r>
        <w:rPr>
          <w:rFonts w:hint="eastAsia" w:ascii="宋体" w:hAnsi="宋体"/>
          <w:color w:val="auto"/>
          <w:sz w:val="24"/>
          <w:highlight w:val="none"/>
          <w:u w:val="single"/>
        </w:rPr>
        <w:t xml:space="preserve"> （牵头人名称）</w:t>
      </w:r>
      <w:r>
        <w:rPr>
          <w:rFonts w:hint="eastAsia" w:ascii="宋体" w:hAnsi="宋体"/>
          <w:color w:val="auto"/>
          <w:sz w:val="24"/>
          <w:highlight w:val="none"/>
        </w:rPr>
        <w:t>与</w:t>
      </w:r>
      <w:r>
        <w:rPr>
          <w:rFonts w:hint="eastAsia" w:ascii="宋体" w:hAnsi="宋体"/>
          <w:color w:val="auto"/>
          <w:sz w:val="24"/>
          <w:highlight w:val="none"/>
          <w:u w:val="single"/>
        </w:rPr>
        <w:t>（联合体其他成员名称）</w:t>
      </w:r>
      <w:r>
        <w:rPr>
          <w:rFonts w:hint="eastAsia" w:ascii="宋体" w:hAnsi="宋体"/>
          <w:color w:val="auto"/>
          <w:sz w:val="24"/>
          <w:highlight w:val="none"/>
        </w:rPr>
        <w:t>签订的《联合体投标协议书》的内容，</w:t>
      </w:r>
      <w:r>
        <w:rPr>
          <w:rFonts w:hint="eastAsia" w:ascii="宋体" w:hAnsi="宋体"/>
          <w:color w:val="auto"/>
          <w:sz w:val="24"/>
          <w:highlight w:val="none"/>
          <w:u w:val="single"/>
        </w:rPr>
        <w:t>（牵头人名称）</w:t>
      </w:r>
      <w:r>
        <w:rPr>
          <w:rFonts w:hint="eastAsia" w:ascii="宋体" w:hAnsi="宋体"/>
          <w:color w:val="auto"/>
          <w:sz w:val="24"/>
          <w:highlight w:val="none"/>
        </w:rPr>
        <w:t>的法定代表人</w:t>
      </w:r>
      <w:r>
        <w:rPr>
          <w:rFonts w:hint="eastAsia" w:ascii="宋体" w:hAnsi="宋体"/>
          <w:color w:val="auto"/>
          <w:sz w:val="24"/>
          <w:highlight w:val="none"/>
          <w:u w:val="single"/>
        </w:rPr>
        <w:t>（姓名）</w:t>
      </w:r>
      <w:r>
        <w:rPr>
          <w:rFonts w:hint="eastAsia" w:ascii="宋体" w:hAnsi="宋体"/>
          <w:color w:val="auto"/>
          <w:sz w:val="24"/>
          <w:highlight w:val="none"/>
        </w:rPr>
        <w:t>现授权委托</w:t>
      </w:r>
      <w:r>
        <w:rPr>
          <w:rFonts w:hint="eastAsia" w:ascii="宋体" w:hAnsi="宋体"/>
          <w:color w:val="auto"/>
          <w:sz w:val="24"/>
          <w:highlight w:val="none"/>
          <w:u w:val="single"/>
        </w:rPr>
        <w:t xml:space="preserve">              （姓名）</w:t>
      </w:r>
      <w:r>
        <w:rPr>
          <w:rFonts w:hint="eastAsia" w:ascii="宋体" w:hAnsi="宋体"/>
          <w:color w:val="auto"/>
          <w:sz w:val="24"/>
          <w:highlight w:val="none"/>
        </w:rPr>
        <w:t>以我方的名义参加</w:t>
      </w:r>
      <w:r>
        <w:rPr>
          <w:rFonts w:hint="eastAsia" w:ascii="宋体" w:hAnsi="宋体"/>
          <w:color w:val="auto"/>
          <w:sz w:val="24"/>
          <w:highlight w:val="none"/>
          <w:u w:val="single"/>
        </w:rPr>
        <w:t xml:space="preserve">              </w:t>
      </w:r>
      <w:r>
        <w:rPr>
          <w:rFonts w:hint="eastAsia" w:ascii="宋体" w:hAnsi="宋体"/>
          <w:color w:val="auto"/>
          <w:sz w:val="24"/>
          <w:highlight w:val="none"/>
        </w:rPr>
        <w:t>项目的投标活动，并代表我方全权办理针对上述项目的所有采购程序和环节的具体事务和签署相关文件。</w:t>
      </w:r>
    </w:p>
    <w:p w14:paraId="2E90FFDF">
      <w:pPr>
        <w:spacing w:line="440" w:lineRule="exact"/>
        <w:ind w:firstLine="566" w:firstLineChars="236"/>
        <w:contextualSpacing/>
        <w:rPr>
          <w:rFonts w:hint="eastAsia" w:ascii="宋体" w:hAnsi="宋体"/>
          <w:color w:val="auto"/>
          <w:sz w:val="24"/>
          <w:highlight w:val="none"/>
        </w:rPr>
      </w:pPr>
      <w:bookmarkStart w:id="187" w:name="_Hlk65852658"/>
      <w:r>
        <w:rPr>
          <w:rFonts w:hint="eastAsia" w:ascii="宋体" w:hAnsi="宋体"/>
          <w:color w:val="auto"/>
          <w:sz w:val="24"/>
          <w:highlight w:val="none"/>
        </w:rPr>
        <w:t>我方对委托代理人的签字或者电子签名事项负全部责任。</w:t>
      </w:r>
    </w:p>
    <w:p w14:paraId="62CA447E">
      <w:pPr>
        <w:spacing w:line="440" w:lineRule="exact"/>
        <w:ind w:firstLine="566" w:firstLineChars="236"/>
        <w:contextualSpacing/>
        <w:rPr>
          <w:rFonts w:hint="eastAsia" w:ascii="宋体" w:hAnsi="宋体"/>
          <w:color w:val="auto"/>
          <w:sz w:val="24"/>
          <w:highlight w:val="none"/>
        </w:rPr>
      </w:pPr>
      <w:r>
        <w:rPr>
          <w:rFonts w:hint="eastAsia" w:ascii="宋体" w:hAnsi="宋体"/>
          <w:color w:val="auto"/>
          <w:sz w:val="24"/>
          <w:highlight w:val="none"/>
        </w:rPr>
        <w:t>本授权书自签署之日起生效，在撤销授权的书面通知以前，本授权书一直有效。委托代理人在授权书有效期内签署的所有文件不因授权的撤销而失效。</w:t>
      </w:r>
    </w:p>
    <w:p w14:paraId="0BFC7F68">
      <w:pPr>
        <w:spacing w:line="440" w:lineRule="exact"/>
        <w:ind w:firstLine="566" w:firstLineChars="236"/>
        <w:contextualSpacing/>
        <w:rPr>
          <w:rFonts w:hint="eastAsia" w:ascii="宋体" w:hAnsi="宋体"/>
          <w:color w:val="auto"/>
          <w:sz w:val="24"/>
          <w:highlight w:val="none"/>
        </w:rPr>
      </w:pPr>
      <w:r>
        <w:rPr>
          <w:rFonts w:hint="eastAsia" w:ascii="宋体" w:hAnsi="宋体"/>
          <w:color w:val="auto"/>
          <w:sz w:val="24"/>
          <w:highlight w:val="none"/>
        </w:rPr>
        <w:t>委托代理人无转委托权，特此委托。</w:t>
      </w:r>
    </w:p>
    <w:p w14:paraId="57B0E340">
      <w:pPr>
        <w:spacing w:line="440" w:lineRule="exact"/>
        <w:ind w:firstLine="566" w:firstLineChars="236"/>
        <w:contextualSpacing/>
        <w:rPr>
          <w:rFonts w:ascii="宋体" w:hAnsi="宋体"/>
          <w:color w:val="auto"/>
          <w:sz w:val="24"/>
          <w:highlight w:val="none"/>
        </w:rPr>
      </w:pPr>
      <w:r>
        <w:rPr>
          <w:rFonts w:hint="eastAsia" w:ascii="宋体" w:hAnsi="宋体"/>
          <w:color w:val="auto"/>
          <w:sz w:val="24"/>
          <w:highlight w:val="none"/>
        </w:rPr>
        <w:t>附：牵头人法定代表人身份证明及委托代理人有效身份证正反面复印件</w:t>
      </w:r>
    </w:p>
    <w:p w14:paraId="23C0C43A">
      <w:pPr>
        <w:spacing w:line="440" w:lineRule="exact"/>
        <w:ind w:firstLine="566" w:firstLineChars="236"/>
        <w:contextualSpacing/>
        <w:rPr>
          <w:rFonts w:hint="eastAsia" w:ascii="宋体" w:hAnsi="宋体"/>
          <w:color w:val="auto"/>
          <w:sz w:val="24"/>
          <w:highlight w:val="none"/>
        </w:rPr>
      </w:pPr>
    </w:p>
    <w:p w14:paraId="0FDD888B">
      <w:pPr>
        <w:spacing w:line="440" w:lineRule="exact"/>
        <w:ind w:firstLine="566" w:firstLineChars="236"/>
        <w:contextualSpacing/>
        <w:rPr>
          <w:rFonts w:hint="eastAsia" w:ascii="宋体" w:hAnsi="宋体"/>
          <w:color w:val="auto"/>
          <w:sz w:val="24"/>
          <w:highlight w:val="none"/>
        </w:rPr>
      </w:pPr>
      <w:r>
        <w:rPr>
          <w:rFonts w:hint="eastAsia" w:ascii="宋体" w:hAnsi="宋体"/>
          <w:color w:val="auto"/>
          <w:sz w:val="24"/>
          <w:highlight w:val="none"/>
        </w:rPr>
        <w:t>牵头人法定代表人（签字或者盖章或者电子签名）：</w:t>
      </w:r>
    </w:p>
    <w:p w14:paraId="1C86C967">
      <w:pPr>
        <w:spacing w:line="440" w:lineRule="exact"/>
        <w:ind w:firstLine="566" w:firstLineChars="236"/>
        <w:contextualSpacing/>
        <w:rPr>
          <w:rFonts w:hint="eastAsia" w:ascii="宋体" w:hAnsi="宋体"/>
          <w:color w:val="auto"/>
          <w:sz w:val="24"/>
          <w:highlight w:val="none"/>
        </w:rPr>
      </w:pPr>
      <w:r>
        <w:rPr>
          <w:rFonts w:hint="eastAsia" w:ascii="宋体" w:hAnsi="宋体"/>
          <w:color w:val="auto"/>
          <w:sz w:val="24"/>
          <w:highlight w:val="none"/>
        </w:rPr>
        <w:t>牵头人（电子签章）：</w:t>
      </w:r>
    </w:p>
    <w:p w14:paraId="0D3E73A8">
      <w:pPr>
        <w:spacing w:line="440" w:lineRule="exact"/>
        <w:ind w:firstLine="566" w:firstLineChars="236"/>
        <w:contextualSpacing/>
        <w:rPr>
          <w:rFonts w:hint="eastAsia" w:ascii="宋体" w:hAnsi="宋体"/>
          <w:color w:val="auto"/>
          <w:sz w:val="24"/>
          <w:highlight w:val="none"/>
        </w:rPr>
      </w:pPr>
      <w:r>
        <w:rPr>
          <w:rFonts w:hint="eastAsia" w:ascii="宋体" w:hAnsi="宋体"/>
          <w:color w:val="auto"/>
          <w:sz w:val="24"/>
          <w:highlight w:val="none"/>
        </w:rPr>
        <w:t>日期：    年   月   日</w:t>
      </w:r>
    </w:p>
    <w:p w14:paraId="628ED924">
      <w:pPr>
        <w:spacing w:line="440" w:lineRule="exact"/>
        <w:ind w:firstLine="566" w:firstLineChars="236"/>
        <w:contextualSpacing/>
        <w:rPr>
          <w:rFonts w:hint="eastAsia" w:ascii="宋体" w:hAnsi="宋体"/>
          <w:color w:val="auto"/>
          <w:sz w:val="24"/>
          <w:highlight w:val="none"/>
        </w:rPr>
      </w:pPr>
    </w:p>
    <w:p w14:paraId="157CA653">
      <w:pPr>
        <w:spacing w:line="440" w:lineRule="exact"/>
        <w:ind w:firstLine="566" w:firstLineChars="236"/>
        <w:contextualSpacing/>
        <w:rPr>
          <w:rFonts w:hint="eastAsia" w:ascii="宋体" w:hAnsi="宋体"/>
          <w:color w:val="auto"/>
          <w:sz w:val="24"/>
          <w:highlight w:val="none"/>
        </w:rPr>
      </w:pPr>
      <w:r>
        <w:rPr>
          <w:rFonts w:hint="eastAsia" w:ascii="宋体" w:hAnsi="宋体"/>
          <w:color w:val="auto"/>
          <w:sz w:val="24"/>
          <w:highlight w:val="none"/>
        </w:rPr>
        <w:t>被授权人（签字或者电子签名）：</w:t>
      </w:r>
    </w:p>
    <w:p w14:paraId="66F3F0DE">
      <w:pPr>
        <w:spacing w:line="440" w:lineRule="exact"/>
        <w:ind w:firstLine="566" w:firstLineChars="236"/>
        <w:contextualSpacing/>
        <w:rPr>
          <w:rFonts w:hint="eastAsia" w:ascii="宋体" w:hAnsi="宋体" w:cs="仿宋_GB2312"/>
          <w:color w:val="auto"/>
          <w:sz w:val="32"/>
          <w:szCs w:val="32"/>
          <w:highlight w:val="none"/>
        </w:rPr>
      </w:pPr>
      <w:r>
        <w:rPr>
          <w:rFonts w:hint="eastAsia" w:ascii="宋体" w:hAnsi="宋体"/>
          <w:color w:val="auto"/>
          <w:sz w:val="24"/>
          <w:highlight w:val="none"/>
        </w:rPr>
        <w:t>日期：    年   月   日</w:t>
      </w:r>
    </w:p>
    <w:p w14:paraId="3B275E46">
      <w:pPr>
        <w:spacing w:line="440" w:lineRule="exact"/>
        <w:contextualSpacing/>
        <w:rPr>
          <w:rFonts w:hint="eastAsia" w:ascii="宋体" w:hAnsi="宋体" w:cs="仿宋_GB2312"/>
          <w:color w:val="auto"/>
          <w:sz w:val="24"/>
          <w:highlight w:val="none"/>
        </w:rPr>
      </w:pPr>
      <w:r>
        <w:rPr>
          <w:rFonts w:hint="eastAsia" w:ascii="宋体" w:hAnsi="宋体" w:cs="仿宋_GB2312"/>
          <w:color w:val="auto"/>
          <w:sz w:val="24"/>
          <w:highlight w:val="none"/>
        </w:rPr>
        <w:t>注：1.法定代表人必须在授权委托书上签字或者盖章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，委托代理人必须在授权委托书上签字</w:t>
      </w:r>
      <w:r>
        <w:rPr>
          <w:rFonts w:hint="eastAsia" w:ascii="宋体" w:hAnsi="宋体"/>
          <w:color w:val="auto"/>
          <w:sz w:val="24"/>
          <w:highlight w:val="none"/>
        </w:rPr>
        <w:t>或者电子签名</w:t>
      </w:r>
      <w:r>
        <w:rPr>
          <w:rFonts w:hint="eastAsia" w:ascii="宋体" w:hAnsi="宋体" w:cs="仿宋_GB2312"/>
          <w:color w:val="auto"/>
          <w:sz w:val="24"/>
          <w:highlight w:val="none"/>
        </w:rPr>
        <w:t>，</w:t>
      </w:r>
      <w:r>
        <w:rPr>
          <w:rFonts w:hint="eastAsia" w:ascii="宋体" w:hAnsi="宋体" w:cs="仿宋_GB2312"/>
          <w:b/>
          <w:bCs/>
          <w:color w:val="auto"/>
          <w:sz w:val="24"/>
          <w:highlight w:val="none"/>
        </w:rPr>
        <w:t>否则按无效投标处理</w:t>
      </w:r>
      <w:r>
        <w:rPr>
          <w:rFonts w:hint="eastAsia" w:ascii="宋体" w:hAnsi="宋体" w:cs="仿宋_GB2312"/>
          <w:color w:val="auto"/>
          <w:sz w:val="24"/>
          <w:highlight w:val="none"/>
        </w:rPr>
        <w:t>；</w:t>
      </w:r>
    </w:p>
    <w:p w14:paraId="607B6DC7">
      <w:pPr>
        <w:spacing w:line="440" w:lineRule="exact"/>
        <w:ind w:firstLine="480" w:firstLineChars="200"/>
        <w:contextualSpacing/>
        <w:jc w:val="left"/>
        <w:rPr>
          <w:rFonts w:hint="eastAsia" w:ascii="宋体" w:hAnsi="宋体"/>
          <w:color w:val="auto"/>
          <w:sz w:val="24"/>
          <w:highlight w:val="none"/>
        </w:rPr>
      </w:pPr>
      <w:r>
        <w:rPr>
          <w:rFonts w:hint="eastAsia" w:ascii="宋体" w:hAnsi="宋体" w:cs="仿宋_GB2312"/>
          <w:color w:val="auto"/>
          <w:sz w:val="24"/>
          <w:highlight w:val="none"/>
        </w:rPr>
        <w:t>2.法人、其他组织投标时“我方”是指“我单位”，自然人投标时“我方”是指“本人”。</w:t>
      </w:r>
    </w:p>
    <w:p w14:paraId="7A877E01">
      <w:pPr>
        <w:spacing w:line="440" w:lineRule="exact"/>
        <w:contextualSpacing/>
        <w:rPr>
          <w:rFonts w:hint="eastAsia" w:ascii="宋体" w:hAnsi="宋体"/>
          <w:color w:val="auto"/>
          <w:sz w:val="24"/>
          <w:highlight w:val="none"/>
        </w:rPr>
      </w:pPr>
    </w:p>
    <w:bookmarkEnd w:id="187"/>
    <w:p w14:paraId="306269A7">
      <w:pPr>
        <w:snapToGrid w:val="0"/>
        <w:spacing w:before="50" w:after="120" w:afterLines="50"/>
        <w:ind w:firstLine="480" w:firstLineChars="200"/>
        <w:jc w:val="left"/>
        <w:rPr>
          <w:rFonts w:hint="eastAsia" w:ascii="宋体" w:hAnsi="宋体"/>
          <w:color w:val="auto"/>
          <w:sz w:val="24"/>
          <w:highlight w:val="none"/>
        </w:rPr>
        <w:sectPr>
          <w:headerReference r:id="rId6" w:type="first"/>
          <w:footerReference r:id="rId9" w:type="first"/>
          <w:headerReference r:id="rId5" w:type="default"/>
          <w:footerReference r:id="rId7" w:type="default"/>
          <w:footerReference r:id="rId8" w:type="even"/>
          <w:pgSz w:w="11906" w:h="16838"/>
          <w:pgMar w:top="1701" w:right="1701" w:bottom="1701" w:left="1701" w:header="851" w:footer="992" w:gutter="0"/>
          <w:cols w:space="720" w:num="1"/>
          <w:titlePg/>
          <w:docGrid w:linePitch="312" w:charSpace="0"/>
        </w:sectPr>
      </w:pPr>
    </w:p>
    <w:p w14:paraId="09CA4021">
      <w:pPr>
        <w:rPr>
          <w:rFonts w:hint="eastAsia" w:ascii="宋体" w:hAnsi="宋体"/>
          <w:color w:val="auto"/>
          <w:sz w:val="24"/>
          <w:highlight w:val="none"/>
        </w:rPr>
      </w:pPr>
    </w:p>
    <w:p w14:paraId="5BBA4D5C">
      <w:pPr>
        <w:rPr>
          <w:rFonts w:hint="eastAsia" w:ascii="宋体" w:hAnsi="宋体"/>
          <w:b/>
          <w:color w:val="auto"/>
          <w:sz w:val="24"/>
          <w:szCs w:val="20"/>
          <w:highlight w:val="none"/>
        </w:rPr>
      </w:pPr>
      <w:r>
        <w:rPr>
          <w:rFonts w:hint="eastAsia" w:ascii="宋体" w:hAnsi="宋体"/>
          <w:b/>
          <w:color w:val="auto"/>
          <w:sz w:val="24"/>
          <w:highlight w:val="none"/>
        </w:rPr>
        <w:t>6.商务要求偏离表格式</w:t>
      </w:r>
    </w:p>
    <w:p w14:paraId="3D5ABB36">
      <w:pPr>
        <w:snapToGrid w:val="0"/>
        <w:spacing w:before="50"/>
        <w:jc w:val="left"/>
        <w:rPr>
          <w:rFonts w:hint="eastAsia" w:ascii="宋体" w:hAnsi="宋体"/>
          <w:color w:val="auto"/>
          <w:sz w:val="24"/>
          <w:highlight w:val="none"/>
        </w:rPr>
      </w:pPr>
    </w:p>
    <w:p w14:paraId="571846A2">
      <w:pPr>
        <w:pStyle w:val="25"/>
        <w:rPr>
          <w:rFonts w:hint="eastAsia" w:hAnsi="宋体"/>
          <w:color w:val="auto"/>
          <w:sz w:val="24"/>
          <w:szCs w:val="24"/>
          <w:highlight w:val="none"/>
        </w:rPr>
      </w:pPr>
      <w:r>
        <w:rPr>
          <w:rFonts w:hint="eastAsia" w:hAnsi="宋体"/>
          <w:color w:val="auto"/>
          <w:sz w:val="24"/>
          <w:szCs w:val="24"/>
          <w:highlight w:val="none"/>
        </w:rPr>
        <w:t>所投分标：</w:t>
      </w:r>
      <w:r>
        <w:rPr>
          <w:rFonts w:hint="eastAsia" w:hAnsi="宋体"/>
          <w:color w:val="auto"/>
          <w:sz w:val="24"/>
          <w:szCs w:val="24"/>
          <w:highlight w:val="none"/>
          <w:u w:val="single"/>
        </w:rPr>
        <w:t xml:space="preserve">     </w:t>
      </w:r>
      <w:r>
        <w:rPr>
          <w:rFonts w:hint="eastAsia" w:hAnsi="宋体"/>
          <w:color w:val="auto"/>
          <w:sz w:val="24"/>
          <w:szCs w:val="24"/>
          <w:highlight w:val="none"/>
        </w:rPr>
        <w:t>分标</w:t>
      </w:r>
    </w:p>
    <w:p w14:paraId="6FF8BB20">
      <w:pPr>
        <w:snapToGrid w:val="0"/>
        <w:spacing w:before="50"/>
        <w:jc w:val="left"/>
        <w:rPr>
          <w:rFonts w:hint="eastAsia" w:ascii="宋体" w:hAnsi="宋体"/>
          <w:color w:val="auto"/>
          <w:sz w:val="24"/>
          <w:highlight w:val="none"/>
          <w:u w:val="single"/>
        </w:rPr>
      </w:pPr>
    </w:p>
    <w:tbl>
      <w:tblPr>
        <w:tblStyle w:val="47"/>
        <w:tblW w:w="0" w:type="auto"/>
        <w:tblInd w:w="-23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10"/>
        <w:gridCol w:w="3336"/>
        <w:gridCol w:w="1760"/>
        <w:gridCol w:w="2035"/>
      </w:tblGrid>
      <w:tr w14:paraId="52B6D7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10" w:type="dxa"/>
            <w:tcBorders>
              <w:top w:val="single" w:color="auto" w:sz="4" w:space="0"/>
              <w:left w:val="single" w:color="auto" w:sz="4" w:space="0"/>
              <w:bottom w:val="single" w:color="auto" w:sz="4" w:space="0"/>
              <w:right w:val="single" w:color="auto" w:sz="4" w:space="0"/>
            </w:tcBorders>
            <w:noWrap w:val="0"/>
            <w:vAlign w:val="top"/>
          </w:tcPr>
          <w:p w14:paraId="3D54A6EA">
            <w:pPr>
              <w:snapToGrid w:val="0"/>
              <w:spacing w:before="120" w:beforeLines="50"/>
              <w:jc w:val="center"/>
              <w:rPr>
                <w:rFonts w:hint="eastAsia" w:ascii="宋体" w:hAnsi="宋体"/>
                <w:color w:val="auto"/>
                <w:sz w:val="24"/>
                <w:highlight w:val="none"/>
              </w:rPr>
            </w:pPr>
            <w:r>
              <w:rPr>
                <w:rFonts w:hint="eastAsia" w:ascii="宋体" w:hAnsi="宋体"/>
                <w:color w:val="auto"/>
                <w:sz w:val="24"/>
                <w:highlight w:val="none"/>
              </w:rPr>
              <w:t>项目</w:t>
            </w:r>
          </w:p>
        </w:tc>
        <w:tc>
          <w:tcPr>
            <w:tcW w:w="3336" w:type="dxa"/>
            <w:tcBorders>
              <w:top w:val="single" w:color="auto" w:sz="4" w:space="0"/>
              <w:left w:val="single" w:color="auto" w:sz="4" w:space="0"/>
              <w:bottom w:val="single" w:color="auto" w:sz="4" w:space="0"/>
              <w:right w:val="single" w:color="auto" w:sz="4" w:space="0"/>
            </w:tcBorders>
            <w:noWrap w:val="0"/>
            <w:vAlign w:val="top"/>
          </w:tcPr>
          <w:p w14:paraId="27D7E8F0">
            <w:pPr>
              <w:snapToGrid w:val="0"/>
              <w:spacing w:before="120" w:beforeLines="50"/>
              <w:jc w:val="center"/>
              <w:rPr>
                <w:rFonts w:hint="eastAsia" w:ascii="宋体" w:hAnsi="宋体"/>
                <w:color w:val="auto"/>
                <w:sz w:val="24"/>
                <w:highlight w:val="none"/>
              </w:rPr>
            </w:pPr>
            <w:r>
              <w:rPr>
                <w:rFonts w:hint="eastAsia" w:ascii="宋体" w:hAnsi="宋体"/>
                <w:color w:val="auto"/>
                <w:sz w:val="24"/>
                <w:highlight w:val="none"/>
              </w:rPr>
              <w:t>招标文件商务要求</w:t>
            </w:r>
          </w:p>
        </w:tc>
        <w:tc>
          <w:tcPr>
            <w:tcW w:w="1760" w:type="dxa"/>
            <w:tcBorders>
              <w:top w:val="single" w:color="auto" w:sz="4" w:space="0"/>
              <w:left w:val="single" w:color="auto" w:sz="4" w:space="0"/>
              <w:bottom w:val="single" w:color="auto" w:sz="4" w:space="0"/>
              <w:right w:val="single" w:color="auto" w:sz="4" w:space="0"/>
            </w:tcBorders>
            <w:noWrap w:val="0"/>
            <w:vAlign w:val="top"/>
          </w:tcPr>
          <w:p w14:paraId="28890E9D">
            <w:pPr>
              <w:snapToGrid w:val="0"/>
              <w:spacing w:before="120" w:beforeLines="50"/>
              <w:jc w:val="center"/>
              <w:rPr>
                <w:rFonts w:hint="eastAsia" w:ascii="宋体" w:hAnsi="宋体"/>
                <w:color w:val="auto"/>
                <w:sz w:val="24"/>
                <w:highlight w:val="none"/>
              </w:rPr>
            </w:pPr>
            <w:r>
              <w:rPr>
                <w:rFonts w:hint="eastAsia" w:ascii="宋体" w:hAnsi="宋体"/>
                <w:color w:val="auto"/>
                <w:sz w:val="24"/>
                <w:highlight w:val="none"/>
              </w:rPr>
              <w:t>投标人的承诺</w:t>
            </w:r>
          </w:p>
        </w:tc>
        <w:tc>
          <w:tcPr>
            <w:tcW w:w="2035" w:type="dxa"/>
            <w:tcBorders>
              <w:top w:val="single" w:color="auto" w:sz="4" w:space="0"/>
              <w:left w:val="single" w:color="auto" w:sz="4" w:space="0"/>
              <w:bottom w:val="single" w:color="auto" w:sz="4" w:space="0"/>
              <w:right w:val="single" w:color="auto" w:sz="4" w:space="0"/>
            </w:tcBorders>
            <w:noWrap w:val="0"/>
            <w:vAlign w:val="top"/>
          </w:tcPr>
          <w:p w14:paraId="6BFCC864">
            <w:pPr>
              <w:snapToGrid w:val="0"/>
              <w:spacing w:before="120" w:beforeLines="50"/>
              <w:jc w:val="center"/>
              <w:rPr>
                <w:rFonts w:hint="eastAsia" w:ascii="宋体" w:hAnsi="宋体"/>
                <w:color w:val="auto"/>
                <w:sz w:val="24"/>
                <w:highlight w:val="none"/>
              </w:rPr>
            </w:pPr>
            <w:r>
              <w:rPr>
                <w:rFonts w:hint="eastAsia" w:ascii="宋体" w:hAnsi="宋体"/>
                <w:color w:val="auto"/>
                <w:sz w:val="24"/>
                <w:highlight w:val="none"/>
              </w:rPr>
              <w:t>偏离说明</w:t>
            </w:r>
          </w:p>
        </w:tc>
      </w:tr>
      <w:tr w14:paraId="090E9F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10" w:type="dxa"/>
            <w:tcBorders>
              <w:top w:val="single" w:color="auto" w:sz="4" w:space="0"/>
              <w:left w:val="single" w:color="auto" w:sz="4" w:space="0"/>
              <w:bottom w:val="single" w:color="auto" w:sz="4" w:space="0"/>
              <w:right w:val="single" w:color="auto" w:sz="4" w:space="0"/>
            </w:tcBorders>
            <w:noWrap w:val="0"/>
            <w:vAlign w:val="center"/>
          </w:tcPr>
          <w:p w14:paraId="3F56DD40">
            <w:pPr>
              <w:jc w:val="center"/>
              <w:rPr>
                <w:rFonts w:ascii="宋体" w:hAnsi="宋体"/>
                <w:color w:val="auto"/>
                <w:sz w:val="24"/>
                <w:highlight w:val="none"/>
              </w:rPr>
            </w:pPr>
          </w:p>
        </w:tc>
        <w:tc>
          <w:tcPr>
            <w:tcW w:w="3336" w:type="dxa"/>
            <w:tcBorders>
              <w:top w:val="single" w:color="auto" w:sz="4" w:space="0"/>
              <w:left w:val="single" w:color="auto" w:sz="4" w:space="0"/>
              <w:bottom w:val="single" w:color="auto" w:sz="4" w:space="0"/>
              <w:right w:val="single" w:color="auto" w:sz="4" w:space="0"/>
            </w:tcBorders>
            <w:noWrap w:val="0"/>
            <w:vAlign w:val="center"/>
          </w:tcPr>
          <w:p w14:paraId="02700A48">
            <w:pPr>
              <w:jc w:val="left"/>
              <w:rPr>
                <w:rFonts w:hint="eastAsia"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223378DA">
            <w:pPr>
              <w:snapToGrid w:val="0"/>
              <w:spacing w:before="120" w:beforeLines="50"/>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34739B17">
            <w:pPr>
              <w:snapToGrid w:val="0"/>
              <w:spacing w:before="120" w:beforeLines="50"/>
              <w:jc w:val="center"/>
              <w:rPr>
                <w:rFonts w:hint="eastAsia" w:ascii="宋体" w:hAnsi="宋体"/>
                <w:color w:val="auto"/>
                <w:sz w:val="24"/>
                <w:highlight w:val="none"/>
              </w:rPr>
            </w:pPr>
          </w:p>
        </w:tc>
      </w:tr>
      <w:tr w14:paraId="0C8E66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510" w:type="dxa"/>
            <w:tcBorders>
              <w:top w:val="single" w:color="auto" w:sz="4" w:space="0"/>
              <w:left w:val="single" w:color="auto" w:sz="4" w:space="0"/>
              <w:bottom w:val="single" w:color="auto" w:sz="4" w:space="0"/>
              <w:right w:val="single" w:color="auto" w:sz="4" w:space="0"/>
            </w:tcBorders>
            <w:noWrap w:val="0"/>
            <w:vAlign w:val="center"/>
          </w:tcPr>
          <w:p w14:paraId="1F313854">
            <w:pPr>
              <w:jc w:val="center"/>
              <w:rPr>
                <w:rFonts w:ascii="宋体" w:hAnsi="宋体"/>
                <w:color w:val="auto"/>
                <w:sz w:val="24"/>
                <w:highlight w:val="none"/>
              </w:rPr>
            </w:pPr>
          </w:p>
        </w:tc>
        <w:tc>
          <w:tcPr>
            <w:tcW w:w="3336" w:type="dxa"/>
            <w:tcBorders>
              <w:top w:val="single" w:color="auto" w:sz="4" w:space="0"/>
              <w:left w:val="single" w:color="auto" w:sz="4" w:space="0"/>
              <w:bottom w:val="single" w:color="auto" w:sz="4" w:space="0"/>
              <w:right w:val="single" w:color="auto" w:sz="4" w:space="0"/>
            </w:tcBorders>
            <w:noWrap w:val="0"/>
            <w:vAlign w:val="center"/>
          </w:tcPr>
          <w:p w14:paraId="272F0680">
            <w:pPr>
              <w:jc w:val="left"/>
              <w:rPr>
                <w:rFonts w:hint="eastAsia"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7097C0CE">
            <w:pPr>
              <w:snapToGrid w:val="0"/>
              <w:spacing w:before="120" w:beforeLines="50"/>
              <w:ind w:left="43"/>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2AAD09CA">
            <w:pPr>
              <w:snapToGrid w:val="0"/>
              <w:spacing w:before="120" w:beforeLines="50"/>
              <w:ind w:left="43"/>
              <w:jc w:val="center"/>
              <w:rPr>
                <w:rFonts w:hint="eastAsia" w:ascii="宋体" w:hAnsi="宋体"/>
                <w:color w:val="auto"/>
                <w:sz w:val="24"/>
                <w:highlight w:val="none"/>
              </w:rPr>
            </w:pPr>
          </w:p>
        </w:tc>
      </w:tr>
      <w:tr w14:paraId="5B9EA6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8" w:hRule="atLeast"/>
        </w:trPr>
        <w:tc>
          <w:tcPr>
            <w:tcW w:w="1510" w:type="dxa"/>
            <w:tcBorders>
              <w:top w:val="single" w:color="auto" w:sz="4" w:space="0"/>
              <w:left w:val="single" w:color="auto" w:sz="4" w:space="0"/>
              <w:bottom w:val="single" w:color="auto" w:sz="4" w:space="0"/>
              <w:right w:val="single" w:color="auto" w:sz="4" w:space="0"/>
            </w:tcBorders>
            <w:noWrap w:val="0"/>
            <w:vAlign w:val="top"/>
          </w:tcPr>
          <w:p w14:paraId="1EE0900C">
            <w:pPr>
              <w:snapToGrid w:val="0"/>
              <w:spacing w:before="120" w:beforeLines="50"/>
              <w:jc w:val="center"/>
              <w:rPr>
                <w:rFonts w:hint="eastAsia" w:ascii="宋体" w:hAnsi="宋体"/>
                <w:color w:val="auto"/>
                <w:sz w:val="24"/>
                <w:highlight w:val="none"/>
              </w:rPr>
            </w:pPr>
          </w:p>
        </w:tc>
        <w:tc>
          <w:tcPr>
            <w:tcW w:w="3336" w:type="dxa"/>
            <w:tcBorders>
              <w:top w:val="single" w:color="auto" w:sz="4" w:space="0"/>
              <w:left w:val="single" w:color="auto" w:sz="4" w:space="0"/>
              <w:bottom w:val="single" w:color="auto" w:sz="4" w:space="0"/>
              <w:right w:val="single" w:color="auto" w:sz="4" w:space="0"/>
            </w:tcBorders>
            <w:noWrap w:val="0"/>
            <w:vAlign w:val="top"/>
          </w:tcPr>
          <w:p w14:paraId="64219C76">
            <w:pPr>
              <w:snapToGrid w:val="0"/>
              <w:spacing w:before="120" w:beforeLines="50"/>
              <w:jc w:val="center"/>
              <w:rPr>
                <w:rFonts w:hint="eastAsia"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64DCD682">
            <w:pPr>
              <w:snapToGrid w:val="0"/>
              <w:spacing w:before="120" w:beforeLines="50"/>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1FAC514D">
            <w:pPr>
              <w:snapToGrid w:val="0"/>
              <w:spacing w:before="120" w:beforeLines="50"/>
              <w:jc w:val="center"/>
              <w:rPr>
                <w:rFonts w:hint="eastAsia" w:ascii="宋体" w:hAnsi="宋体"/>
                <w:color w:val="auto"/>
                <w:sz w:val="24"/>
                <w:highlight w:val="none"/>
              </w:rPr>
            </w:pPr>
          </w:p>
        </w:tc>
      </w:tr>
    </w:tbl>
    <w:p w14:paraId="66EC03D8">
      <w:pPr>
        <w:pStyle w:val="17"/>
        <w:rPr>
          <w:rFonts w:hint="eastAsia" w:ascii="宋体" w:hAnsi="宋体"/>
          <w:color w:val="auto"/>
          <w:highlight w:val="none"/>
        </w:rPr>
      </w:pPr>
      <w:r>
        <w:rPr>
          <w:rFonts w:hint="eastAsia" w:ascii="宋体" w:hAnsi="宋体"/>
          <w:color w:val="auto"/>
          <w:highlight w:val="none"/>
        </w:rPr>
        <w:t>注：</w:t>
      </w:r>
    </w:p>
    <w:p w14:paraId="197470E6">
      <w:pPr>
        <w:pStyle w:val="19"/>
        <w:spacing w:line="520" w:lineRule="exact"/>
        <w:ind w:firstLine="0" w:firstLineChars="0"/>
        <w:rPr>
          <w:rFonts w:hint="eastAsia" w:hAnsi="仿宋_GB2312" w:cs="仿宋_GB2312"/>
          <w:color w:val="auto"/>
          <w:szCs w:val="32"/>
          <w:highlight w:val="none"/>
        </w:rPr>
      </w:pPr>
      <w:r>
        <w:rPr>
          <w:rFonts w:hint="eastAsia" w:ascii="宋体" w:hAnsi="宋体" w:eastAsia="宋体"/>
          <w:color w:val="auto"/>
          <w:sz w:val="24"/>
          <w:szCs w:val="24"/>
          <w:highlight w:val="none"/>
        </w:rPr>
        <w:t>1. 说明：应对照招标文件“第二章 采购需求”中的商务要求逐条</w:t>
      </w:r>
      <w:r>
        <w:rPr>
          <w:rFonts w:hint="eastAsia" w:ascii="宋体" w:hAnsi="宋体" w:eastAsia="宋体"/>
          <w:color w:val="auto"/>
          <w:sz w:val="24"/>
          <w:szCs w:val="24"/>
          <w:highlight w:val="none"/>
          <w:lang w:val="en-US" w:eastAsia="zh-CN"/>
        </w:rPr>
        <w:t>做</w:t>
      </w:r>
      <w:r>
        <w:rPr>
          <w:rFonts w:hint="eastAsia" w:ascii="宋体" w:hAnsi="宋体" w:eastAsia="宋体"/>
          <w:color w:val="auto"/>
          <w:sz w:val="24"/>
          <w:szCs w:val="24"/>
          <w:highlight w:val="none"/>
        </w:rPr>
        <w:t>明确的投标响应，并作出偏离说明。</w:t>
      </w:r>
    </w:p>
    <w:p w14:paraId="0B4BE9B5">
      <w:pPr>
        <w:pStyle w:val="17"/>
        <w:rPr>
          <w:rFonts w:ascii="宋体" w:hAnsi="宋体"/>
          <w:b w:val="0"/>
          <w:bCs w:val="0"/>
          <w:color w:val="auto"/>
          <w:highlight w:val="none"/>
        </w:rPr>
      </w:pPr>
      <w:r>
        <w:rPr>
          <w:rFonts w:ascii="宋体" w:hAnsi="宋体"/>
          <w:b w:val="0"/>
          <w:bCs w:val="0"/>
          <w:color w:val="auto"/>
          <w:highlight w:val="none"/>
        </w:rPr>
        <w:t>2.</w:t>
      </w:r>
      <w:r>
        <w:rPr>
          <w:rFonts w:hint="eastAsia" w:ascii="宋体" w:hAnsi="宋体"/>
          <w:b w:val="0"/>
          <w:bCs w:val="0"/>
          <w:color w:val="auto"/>
          <w:highlight w:val="none"/>
        </w:rPr>
        <w:t>投标人应根据自身的承诺，对照招标文件要求在“偏离说明”中注明“</w:t>
      </w:r>
      <w:r>
        <w:rPr>
          <w:rFonts w:hint="eastAsia" w:ascii="宋体" w:hAnsi="宋体"/>
          <w:color w:val="auto"/>
          <w:highlight w:val="none"/>
        </w:rPr>
        <w:t>正偏离</w:t>
      </w:r>
      <w:r>
        <w:rPr>
          <w:rFonts w:hint="eastAsia" w:ascii="宋体" w:hAnsi="宋体"/>
          <w:b w:val="0"/>
          <w:bCs w:val="0"/>
          <w:color w:val="auto"/>
          <w:highlight w:val="none"/>
        </w:rPr>
        <w:t>”“</w:t>
      </w:r>
      <w:r>
        <w:rPr>
          <w:rFonts w:hint="eastAsia" w:ascii="宋体" w:hAnsi="宋体"/>
          <w:color w:val="auto"/>
          <w:highlight w:val="none"/>
        </w:rPr>
        <w:t>负偏离</w:t>
      </w:r>
      <w:r>
        <w:rPr>
          <w:rFonts w:hint="eastAsia" w:ascii="宋体" w:hAnsi="宋体"/>
          <w:b w:val="0"/>
          <w:bCs w:val="0"/>
          <w:color w:val="auto"/>
          <w:highlight w:val="none"/>
        </w:rPr>
        <w:t>”或者“</w:t>
      </w:r>
      <w:r>
        <w:rPr>
          <w:rFonts w:hint="eastAsia" w:ascii="宋体" w:hAnsi="宋体"/>
          <w:color w:val="auto"/>
          <w:highlight w:val="none"/>
        </w:rPr>
        <w:t>无偏离</w:t>
      </w:r>
      <w:r>
        <w:rPr>
          <w:rFonts w:hint="eastAsia" w:ascii="宋体" w:hAnsi="宋体"/>
          <w:b w:val="0"/>
          <w:bCs w:val="0"/>
          <w:color w:val="auto"/>
          <w:highlight w:val="none"/>
        </w:rPr>
        <w:t>”。既不属于“</w:t>
      </w:r>
      <w:r>
        <w:rPr>
          <w:rFonts w:hint="eastAsia" w:ascii="宋体" w:hAnsi="宋体"/>
          <w:color w:val="auto"/>
          <w:highlight w:val="none"/>
        </w:rPr>
        <w:t>正偏离</w:t>
      </w:r>
      <w:r>
        <w:rPr>
          <w:rFonts w:hint="eastAsia" w:ascii="宋体" w:hAnsi="宋体"/>
          <w:b w:val="0"/>
          <w:bCs w:val="0"/>
          <w:color w:val="auto"/>
          <w:highlight w:val="none"/>
        </w:rPr>
        <w:t>”也不属于“</w:t>
      </w:r>
      <w:r>
        <w:rPr>
          <w:rFonts w:hint="eastAsia" w:ascii="宋体" w:hAnsi="宋体"/>
          <w:color w:val="auto"/>
          <w:highlight w:val="none"/>
        </w:rPr>
        <w:t>负偏离</w:t>
      </w:r>
      <w:r>
        <w:rPr>
          <w:rFonts w:hint="eastAsia" w:ascii="宋体" w:hAnsi="宋体"/>
          <w:b w:val="0"/>
          <w:bCs w:val="0"/>
          <w:color w:val="auto"/>
          <w:highlight w:val="none"/>
        </w:rPr>
        <w:t>”即为“</w:t>
      </w:r>
      <w:r>
        <w:rPr>
          <w:rFonts w:hint="eastAsia" w:ascii="宋体" w:hAnsi="宋体"/>
          <w:color w:val="auto"/>
          <w:highlight w:val="none"/>
        </w:rPr>
        <w:t>无偏离</w:t>
      </w:r>
      <w:r>
        <w:rPr>
          <w:rFonts w:hint="eastAsia" w:ascii="宋体" w:hAnsi="宋体"/>
          <w:b w:val="0"/>
          <w:bCs w:val="0"/>
          <w:color w:val="auto"/>
          <w:highlight w:val="none"/>
        </w:rPr>
        <w:t>”。</w:t>
      </w:r>
    </w:p>
    <w:p w14:paraId="11E9F9B8">
      <w:pPr>
        <w:snapToGrid w:val="0"/>
        <w:spacing w:before="50" w:after="50"/>
        <w:rPr>
          <w:rFonts w:ascii="宋体" w:hAnsi="宋体"/>
          <w:color w:val="auto"/>
          <w:sz w:val="24"/>
          <w:highlight w:val="none"/>
        </w:rPr>
      </w:pPr>
    </w:p>
    <w:p w14:paraId="77A37B77">
      <w:pPr>
        <w:snapToGrid w:val="0"/>
        <w:spacing w:before="50" w:after="50"/>
        <w:rPr>
          <w:rFonts w:ascii="宋体" w:hAnsi="宋体"/>
          <w:color w:val="auto"/>
          <w:sz w:val="24"/>
          <w:highlight w:val="none"/>
        </w:rPr>
      </w:pPr>
    </w:p>
    <w:p w14:paraId="73B5AEEA">
      <w:pPr>
        <w:snapToGrid w:val="0"/>
        <w:spacing w:before="50" w:after="50"/>
        <w:rPr>
          <w:rFonts w:hint="eastAsia"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pacing w:val="20"/>
          <w:sz w:val="24"/>
          <w:highlight w:val="none"/>
          <w:u w:val="single"/>
        </w:rPr>
        <w:t xml:space="preserve">        </w:t>
      </w:r>
    </w:p>
    <w:p w14:paraId="7268359B">
      <w:pPr>
        <w:snapToGrid w:val="0"/>
        <w:spacing w:before="120" w:beforeLines="50"/>
        <w:rPr>
          <w:rFonts w:hint="eastAsia" w:ascii="宋体" w:hAnsi="宋体"/>
          <w:color w:val="auto"/>
          <w:spacing w:val="20"/>
          <w:sz w:val="24"/>
          <w:highlight w:val="none"/>
        </w:rPr>
      </w:pPr>
      <w:r>
        <w:rPr>
          <w:rFonts w:hint="eastAsia" w:ascii="宋体" w:hAnsi="宋体"/>
          <w:color w:val="auto"/>
          <w:spacing w:val="20"/>
          <w:sz w:val="24"/>
          <w:highlight w:val="none"/>
        </w:rPr>
        <w:t>投标人名称（电子签章）：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1E8EEF26">
      <w:pPr>
        <w:snapToGrid w:val="0"/>
        <w:spacing w:before="120" w:beforeLines="50"/>
        <w:rPr>
          <w:rFonts w:hint="eastAsia" w:ascii="宋体" w:hAnsi="宋体"/>
          <w:color w:val="auto"/>
          <w:sz w:val="24"/>
          <w:szCs w:val="20"/>
          <w:highlight w:val="none"/>
        </w:r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p>
    <w:p w14:paraId="4CE83AC9">
      <w:pPr>
        <w:snapToGrid w:val="0"/>
        <w:spacing w:before="120" w:beforeLines="50"/>
        <w:rPr>
          <w:rFonts w:hint="eastAsia" w:ascii="宋体" w:hAnsi="宋体"/>
          <w:color w:val="auto"/>
          <w:sz w:val="24"/>
          <w:szCs w:val="20"/>
          <w:highlight w:val="none"/>
        </w:rPr>
      </w:pPr>
    </w:p>
    <w:p w14:paraId="3AAA493E">
      <w:pPr>
        <w:snapToGrid w:val="0"/>
        <w:spacing w:before="120" w:beforeLines="50" w:after="50"/>
        <w:jc w:val="left"/>
        <w:rPr>
          <w:rFonts w:ascii="宋体" w:hAnsi="宋体"/>
          <w:color w:val="auto"/>
          <w:sz w:val="24"/>
          <w:szCs w:val="20"/>
          <w:highlight w:val="none"/>
        </w:rPr>
        <w:sectPr>
          <w:footerReference r:id="rId13" w:type="first"/>
          <w:headerReference r:id="rId10" w:type="default"/>
          <w:footerReference r:id="rId11" w:type="default"/>
          <w:footerReference r:id="rId12" w:type="even"/>
          <w:pgSz w:w="11906" w:h="16838"/>
          <w:pgMar w:top="1440" w:right="1797" w:bottom="1440" w:left="1797" w:header="851" w:footer="992" w:gutter="0"/>
          <w:cols w:space="720" w:num="1"/>
          <w:docGrid w:linePitch="312" w:charSpace="0"/>
        </w:sectPr>
      </w:pPr>
    </w:p>
    <w:p w14:paraId="3C9C138E">
      <w:pPr>
        <w:snapToGrid w:val="0"/>
        <w:spacing w:before="120" w:beforeLines="50" w:after="50"/>
        <w:jc w:val="left"/>
        <w:rPr>
          <w:rFonts w:hint="eastAsia" w:ascii="宋体" w:hAnsi="宋体"/>
          <w:b/>
          <w:color w:val="auto"/>
          <w:sz w:val="24"/>
          <w:highlight w:val="none"/>
        </w:rPr>
      </w:pPr>
      <w:r>
        <w:rPr>
          <w:rFonts w:hint="eastAsia" w:ascii="宋体" w:hAnsi="宋体"/>
          <w:b/>
          <w:color w:val="auto"/>
          <w:sz w:val="24"/>
          <w:highlight w:val="none"/>
        </w:rPr>
        <w:t>7.投标人业绩证明材料</w:t>
      </w:r>
    </w:p>
    <w:p w14:paraId="7DCF26AF">
      <w:pPr>
        <w:pStyle w:val="35"/>
        <w:snapToGrid w:val="0"/>
        <w:ind w:left="480" w:hanging="480"/>
        <w:rPr>
          <w:rFonts w:hint="eastAsia" w:ascii="宋体" w:hAnsi="宋体"/>
          <w:color w:val="auto"/>
          <w:sz w:val="24"/>
          <w:highlight w:val="none"/>
        </w:rPr>
      </w:pPr>
    </w:p>
    <w:p w14:paraId="44931052">
      <w:pPr>
        <w:pStyle w:val="35"/>
        <w:snapToGrid w:val="0"/>
        <w:ind w:left="480" w:hanging="480"/>
        <w:rPr>
          <w:rFonts w:hint="eastAsia" w:ascii="宋体" w:hAnsi="宋体"/>
          <w:color w:val="auto"/>
          <w:sz w:val="24"/>
          <w:highlight w:val="none"/>
        </w:rPr>
      </w:pPr>
      <w:r>
        <w:rPr>
          <w:rFonts w:hint="eastAsia" w:ascii="宋体" w:hAnsi="宋体"/>
          <w:color w:val="auto"/>
          <w:sz w:val="24"/>
          <w:highlight w:val="none"/>
        </w:rPr>
        <w:t xml:space="preserve">投标人业绩情况一览表格式： </w:t>
      </w:r>
    </w:p>
    <w:tbl>
      <w:tblPr>
        <w:tblStyle w:val="47"/>
        <w:tblW w:w="0" w:type="auto"/>
        <w:tblInd w:w="-11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1770"/>
        <w:gridCol w:w="1770"/>
        <w:gridCol w:w="2856"/>
      </w:tblGrid>
      <w:tr w14:paraId="67CD1D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2132" w:type="dxa"/>
            <w:vMerge w:val="restart"/>
            <w:tcBorders>
              <w:top w:val="single" w:color="auto" w:sz="4" w:space="0"/>
              <w:left w:val="single" w:color="auto" w:sz="4" w:space="0"/>
              <w:bottom w:val="single" w:color="auto" w:sz="4" w:space="0"/>
              <w:right w:val="single" w:color="auto" w:sz="4" w:space="0"/>
            </w:tcBorders>
            <w:noWrap w:val="0"/>
            <w:vAlign w:val="center"/>
          </w:tcPr>
          <w:p w14:paraId="0BB2CFBF">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采购人名称</w:t>
            </w:r>
          </w:p>
        </w:tc>
        <w:tc>
          <w:tcPr>
            <w:tcW w:w="1770" w:type="dxa"/>
            <w:vMerge w:val="restart"/>
            <w:tcBorders>
              <w:top w:val="single" w:color="auto" w:sz="4" w:space="0"/>
              <w:left w:val="single" w:color="auto" w:sz="4" w:space="0"/>
              <w:bottom w:val="single" w:color="auto" w:sz="4" w:space="0"/>
              <w:right w:val="single" w:color="auto" w:sz="4" w:space="0"/>
            </w:tcBorders>
            <w:noWrap w:val="0"/>
            <w:vAlign w:val="center"/>
          </w:tcPr>
          <w:p w14:paraId="51D057D6">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项目名称</w:t>
            </w:r>
          </w:p>
        </w:tc>
        <w:tc>
          <w:tcPr>
            <w:tcW w:w="1770" w:type="dxa"/>
            <w:vMerge w:val="restart"/>
            <w:tcBorders>
              <w:top w:val="single" w:color="auto" w:sz="4" w:space="0"/>
              <w:left w:val="single" w:color="auto" w:sz="4" w:space="0"/>
              <w:bottom w:val="single" w:color="auto" w:sz="4" w:space="0"/>
              <w:right w:val="single" w:color="auto" w:sz="4" w:space="0"/>
            </w:tcBorders>
            <w:noWrap w:val="0"/>
            <w:vAlign w:val="center"/>
          </w:tcPr>
          <w:p w14:paraId="0754376F">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合同金额</w:t>
            </w:r>
          </w:p>
          <w:p w14:paraId="6DB72539">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（万元）</w:t>
            </w:r>
          </w:p>
        </w:tc>
        <w:tc>
          <w:tcPr>
            <w:tcW w:w="2856" w:type="dxa"/>
            <w:vMerge w:val="restart"/>
            <w:tcBorders>
              <w:top w:val="single" w:color="auto" w:sz="4" w:space="0"/>
              <w:left w:val="single" w:color="auto" w:sz="4" w:space="0"/>
              <w:bottom w:val="single" w:color="auto" w:sz="4" w:space="0"/>
              <w:right w:val="single" w:color="auto" w:sz="4" w:space="0"/>
            </w:tcBorders>
            <w:noWrap w:val="0"/>
            <w:vAlign w:val="center"/>
          </w:tcPr>
          <w:p w14:paraId="04F68C63">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采购人联系人及</w:t>
            </w:r>
          </w:p>
          <w:p w14:paraId="2B8E5E6F">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联系电话</w:t>
            </w:r>
          </w:p>
        </w:tc>
      </w:tr>
      <w:tr w14:paraId="16BDC9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2132" w:type="dxa"/>
            <w:vMerge w:val="continue"/>
            <w:tcBorders>
              <w:top w:val="single" w:color="auto" w:sz="4" w:space="0"/>
              <w:left w:val="single" w:color="auto" w:sz="4" w:space="0"/>
              <w:bottom w:val="single" w:color="auto" w:sz="4" w:space="0"/>
              <w:right w:val="single" w:color="auto" w:sz="4" w:space="0"/>
            </w:tcBorders>
            <w:noWrap w:val="0"/>
            <w:vAlign w:val="center"/>
          </w:tcPr>
          <w:p w14:paraId="3A95B4CB">
            <w:pPr>
              <w:jc w:val="left"/>
              <w:rPr>
                <w:rFonts w:hint="eastAsia" w:ascii="宋体" w:hAnsi="宋体"/>
                <w:color w:val="auto"/>
                <w:sz w:val="24"/>
                <w:highlight w:val="none"/>
              </w:rPr>
            </w:pPr>
          </w:p>
        </w:tc>
        <w:tc>
          <w:tcPr>
            <w:tcW w:w="1770" w:type="dxa"/>
            <w:vMerge w:val="continue"/>
            <w:tcBorders>
              <w:top w:val="single" w:color="auto" w:sz="4" w:space="0"/>
              <w:left w:val="single" w:color="auto" w:sz="4" w:space="0"/>
              <w:bottom w:val="single" w:color="auto" w:sz="4" w:space="0"/>
              <w:right w:val="single" w:color="auto" w:sz="4" w:space="0"/>
            </w:tcBorders>
            <w:noWrap w:val="0"/>
            <w:vAlign w:val="center"/>
          </w:tcPr>
          <w:p w14:paraId="295FF89C">
            <w:pPr>
              <w:jc w:val="left"/>
              <w:rPr>
                <w:rFonts w:hint="eastAsia" w:ascii="宋体" w:hAnsi="宋体"/>
                <w:color w:val="auto"/>
                <w:sz w:val="24"/>
                <w:highlight w:val="none"/>
              </w:rPr>
            </w:pPr>
          </w:p>
        </w:tc>
        <w:tc>
          <w:tcPr>
            <w:tcW w:w="1770" w:type="dxa"/>
            <w:vMerge w:val="continue"/>
            <w:tcBorders>
              <w:top w:val="single" w:color="auto" w:sz="4" w:space="0"/>
              <w:left w:val="single" w:color="auto" w:sz="4" w:space="0"/>
              <w:bottom w:val="single" w:color="auto" w:sz="4" w:space="0"/>
              <w:right w:val="single" w:color="auto" w:sz="4" w:space="0"/>
            </w:tcBorders>
            <w:noWrap w:val="0"/>
            <w:vAlign w:val="center"/>
          </w:tcPr>
          <w:p w14:paraId="5DA9C99B">
            <w:pPr>
              <w:jc w:val="left"/>
              <w:rPr>
                <w:rFonts w:hint="eastAsia" w:ascii="宋体" w:hAnsi="宋体"/>
                <w:color w:val="auto"/>
                <w:sz w:val="24"/>
                <w:highlight w:val="none"/>
              </w:rPr>
            </w:pPr>
          </w:p>
        </w:tc>
        <w:tc>
          <w:tcPr>
            <w:tcW w:w="2856" w:type="dxa"/>
            <w:vMerge w:val="continue"/>
            <w:tcBorders>
              <w:top w:val="single" w:color="auto" w:sz="4" w:space="0"/>
              <w:left w:val="single" w:color="auto" w:sz="4" w:space="0"/>
              <w:bottom w:val="single" w:color="auto" w:sz="4" w:space="0"/>
              <w:right w:val="single" w:color="auto" w:sz="4" w:space="0"/>
            </w:tcBorders>
            <w:noWrap w:val="0"/>
            <w:vAlign w:val="center"/>
          </w:tcPr>
          <w:p w14:paraId="74577D2E">
            <w:pPr>
              <w:jc w:val="left"/>
              <w:rPr>
                <w:rFonts w:hint="eastAsia" w:ascii="宋体" w:hAnsi="宋体"/>
                <w:color w:val="auto"/>
                <w:sz w:val="24"/>
                <w:highlight w:val="none"/>
              </w:rPr>
            </w:pPr>
          </w:p>
        </w:tc>
      </w:tr>
      <w:tr w14:paraId="49096E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132" w:type="dxa"/>
            <w:tcBorders>
              <w:top w:val="single" w:color="auto" w:sz="4" w:space="0"/>
              <w:left w:val="single" w:color="auto" w:sz="4" w:space="0"/>
              <w:bottom w:val="single" w:color="auto" w:sz="4" w:space="0"/>
              <w:right w:val="single" w:color="auto" w:sz="4" w:space="0"/>
            </w:tcBorders>
            <w:noWrap w:val="0"/>
            <w:vAlign w:val="top"/>
          </w:tcPr>
          <w:p w14:paraId="1F0A8B1C">
            <w:pPr>
              <w:snapToGrid w:val="0"/>
              <w:spacing w:line="240" w:lineRule="exact"/>
              <w:jc w:val="left"/>
              <w:rPr>
                <w:rFonts w:hint="eastAsia" w:ascii="宋体" w:hAnsi="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top"/>
          </w:tcPr>
          <w:p w14:paraId="0D11E8A4">
            <w:pPr>
              <w:snapToGrid w:val="0"/>
              <w:spacing w:line="240" w:lineRule="exact"/>
              <w:jc w:val="left"/>
              <w:rPr>
                <w:rFonts w:hint="eastAsia" w:ascii="宋体" w:hAnsi="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top"/>
          </w:tcPr>
          <w:p w14:paraId="31CD21B3">
            <w:pPr>
              <w:snapToGrid w:val="0"/>
              <w:spacing w:line="240" w:lineRule="exact"/>
              <w:jc w:val="left"/>
              <w:rPr>
                <w:rFonts w:hint="eastAsia" w:ascii="宋体" w:hAnsi="宋体"/>
                <w:color w:val="auto"/>
                <w:sz w:val="24"/>
                <w:highlight w:val="none"/>
              </w:rPr>
            </w:pPr>
          </w:p>
        </w:tc>
        <w:tc>
          <w:tcPr>
            <w:tcW w:w="2856" w:type="dxa"/>
            <w:tcBorders>
              <w:top w:val="single" w:color="auto" w:sz="4" w:space="0"/>
              <w:left w:val="single" w:color="auto" w:sz="4" w:space="0"/>
              <w:bottom w:val="single" w:color="auto" w:sz="4" w:space="0"/>
              <w:right w:val="single" w:color="auto" w:sz="4" w:space="0"/>
            </w:tcBorders>
            <w:noWrap w:val="0"/>
            <w:vAlign w:val="top"/>
          </w:tcPr>
          <w:p w14:paraId="6E4DCDDE">
            <w:pPr>
              <w:snapToGrid w:val="0"/>
              <w:spacing w:line="240" w:lineRule="exact"/>
              <w:jc w:val="left"/>
              <w:rPr>
                <w:rFonts w:hint="eastAsia" w:ascii="宋体" w:hAnsi="宋体"/>
                <w:color w:val="auto"/>
                <w:sz w:val="24"/>
                <w:highlight w:val="none"/>
              </w:rPr>
            </w:pPr>
          </w:p>
        </w:tc>
      </w:tr>
      <w:tr w14:paraId="3984EF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32" w:type="dxa"/>
            <w:tcBorders>
              <w:top w:val="single" w:color="auto" w:sz="4" w:space="0"/>
              <w:left w:val="single" w:color="auto" w:sz="4" w:space="0"/>
              <w:bottom w:val="single" w:color="auto" w:sz="4" w:space="0"/>
              <w:right w:val="single" w:color="auto" w:sz="4" w:space="0"/>
            </w:tcBorders>
            <w:noWrap w:val="0"/>
            <w:vAlign w:val="top"/>
          </w:tcPr>
          <w:p w14:paraId="1A5D1274">
            <w:pPr>
              <w:snapToGrid w:val="0"/>
              <w:spacing w:before="50" w:after="120" w:afterLines="50" w:line="400" w:lineRule="exact"/>
              <w:jc w:val="left"/>
              <w:rPr>
                <w:rFonts w:hint="eastAsia" w:ascii="宋体" w:hAnsi="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top"/>
          </w:tcPr>
          <w:p w14:paraId="703258F9">
            <w:pPr>
              <w:snapToGrid w:val="0"/>
              <w:spacing w:before="50" w:after="120" w:afterLines="50" w:line="400" w:lineRule="exact"/>
              <w:jc w:val="left"/>
              <w:rPr>
                <w:rFonts w:hint="eastAsia" w:ascii="宋体" w:hAnsi="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top"/>
          </w:tcPr>
          <w:p w14:paraId="6E1D418C">
            <w:pPr>
              <w:snapToGrid w:val="0"/>
              <w:spacing w:before="50" w:after="120" w:afterLines="50" w:line="400" w:lineRule="exact"/>
              <w:jc w:val="left"/>
              <w:rPr>
                <w:rFonts w:hint="eastAsia" w:ascii="宋体" w:hAnsi="宋体"/>
                <w:color w:val="auto"/>
                <w:sz w:val="24"/>
                <w:highlight w:val="none"/>
              </w:rPr>
            </w:pPr>
          </w:p>
        </w:tc>
        <w:tc>
          <w:tcPr>
            <w:tcW w:w="2856" w:type="dxa"/>
            <w:tcBorders>
              <w:top w:val="single" w:color="auto" w:sz="4" w:space="0"/>
              <w:left w:val="single" w:color="auto" w:sz="4" w:space="0"/>
              <w:bottom w:val="single" w:color="auto" w:sz="4" w:space="0"/>
              <w:right w:val="single" w:color="auto" w:sz="4" w:space="0"/>
            </w:tcBorders>
            <w:noWrap w:val="0"/>
            <w:vAlign w:val="top"/>
          </w:tcPr>
          <w:p w14:paraId="64AE26DF">
            <w:pPr>
              <w:snapToGrid w:val="0"/>
              <w:spacing w:before="50" w:after="120" w:afterLines="50" w:line="400" w:lineRule="exact"/>
              <w:jc w:val="left"/>
              <w:rPr>
                <w:rFonts w:hint="eastAsia" w:ascii="宋体" w:hAnsi="宋体"/>
                <w:color w:val="auto"/>
                <w:sz w:val="24"/>
                <w:highlight w:val="none"/>
              </w:rPr>
            </w:pPr>
          </w:p>
        </w:tc>
      </w:tr>
      <w:tr w14:paraId="1A9E77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132" w:type="dxa"/>
            <w:tcBorders>
              <w:top w:val="single" w:color="auto" w:sz="4" w:space="0"/>
              <w:left w:val="single" w:color="auto" w:sz="4" w:space="0"/>
              <w:bottom w:val="single" w:color="auto" w:sz="4" w:space="0"/>
              <w:right w:val="single" w:color="auto" w:sz="4" w:space="0"/>
            </w:tcBorders>
            <w:noWrap w:val="0"/>
            <w:vAlign w:val="top"/>
          </w:tcPr>
          <w:p w14:paraId="081C2048">
            <w:pPr>
              <w:snapToGrid w:val="0"/>
              <w:spacing w:before="50" w:after="120" w:afterLines="50" w:line="400" w:lineRule="exact"/>
              <w:jc w:val="left"/>
              <w:rPr>
                <w:rFonts w:hint="eastAsia" w:ascii="宋体" w:hAnsi="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top"/>
          </w:tcPr>
          <w:p w14:paraId="4C6CF415">
            <w:pPr>
              <w:snapToGrid w:val="0"/>
              <w:spacing w:before="50" w:after="120" w:afterLines="50" w:line="400" w:lineRule="exact"/>
              <w:jc w:val="left"/>
              <w:rPr>
                <w:rFonts w:hint="eastAsia" w:ascii="宋体" w:hAnsi="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top"/>
          </w:tcPr>
          <w:p w14:paraId="506C560F">
            <w:pPr>
              <w:snapToGrid w:val="0"/>
              <w:spacing w:before="50" w:after="120" w:afterLines="50" w:line="400" w:lineRule="exact"/>
              <w:jc w:val="left"/>
              <w:rPr>
                <w:rFonts w:hint="eastAsia" w:ascii="宋体" w:hAnsi="宋体"/>
                <w:color w:val="auto"/>
                <w:sz w:val="24"/>
                <w:highlight w:val="none"/>
              </w:rPr>
            </w:pPr>
          </w:p>
        </w:tc>
        <w:tc>
          <w:tcPr>
            <w:tcW w:w="2856" w:type="dxa"/>
            <w:tcBorders>
              <w:top w:val="single" w:color="auto" w:sz="4" w:space="0"/>
              <w:left w:val="single" w:color="auto" w:sz="4" w:space="0"/>
              <w:bottom w:val="single" w:color="auto" w:sz="4" w:space="0"/>
              <w:right w:val="single" w:color="auto" w:sz="4" w:space="0"/>
            </w:tcBorders>
            <w:noWrap w:val="0"/>
            <w:vAlign w:val="top"/>
          </w:tcPr>
          <w:p w14:paraId="5CAFD6EC">
            <w:pPr>
              <w:snapToGrid w:val="0"/>
              <w:spacing w:before="50" w:after="120" w:afterLines="50" w:line="400" w:lineRule="exact"/>
              <w:jc w:val="left"/>
              <w:rPr>
                <w:rFonts w:hint="eastAsia" w:ascii="宋体" w:hAnsi="宋体"/>
                <w:color w:val="auto"/>
                <w:sz w:val="24"/>
                <w:highlight w:val="none"/>
              </w:rPr>
            </w:pPr>
          </w:p>
        </w:tc>
      </w:tr>
      <w:tr w14:paraId="72847E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32" w:type="dxa"/>
            <w:tcBorders>
              <w:top w:val="single" w:color="auto" w:sz="4" w:space="0"/>
              <w:left w:val="single" w:color="auto" w:sz="4" w:space="0"/>
              <w:bottom w:val="single" w:color="auto" w:sz="4" w:space="0"/>
              <w:right w:val="single" w:color="auto" w:sz="4" w:space="0"/>
            </w:tcBorders>
            <w:noWrap w:val="0"/>
            <w:vAlign w:val="top"/>
          </w:tcPr>
          <w:p w14:paraId="48A57E3E">
            <w:pPr>
              <w:snapToGrid w:val="0"/>
              <w:spacing w:before="50" w:after="120" w:afterLines="50" w:line="400" w:lineRule="exact"/>
              <w:jc w:val="left"/>
              <w:rPr>
                <w:rFonts w:hint="eastAsia" w:ascii="宋体" w:hAnsi="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top"/>
          </w:tcPr>
          <w:p w14:paraId="6F5B1FDB">
            <w:pPr>
              <w:snapToGrid w:val="0"/>
              <w:spacing w:before="50" w:after="120" w:afterLines="50" w:line="400" w:lineRule="exact"/>
              <w:jc w:val="left"/>
              <w:rPr>
                <w:rFonts w:hint="eastAsia" w:ascii="宋体" w:hAnsi="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top"/>
          </w:tcPr>
          <w:p w14:paraId="31AFFACA">
            <w:pPr>
              <w:snapToGrid w:val="0"/>
              <w:spacing w:before="50" w:after="120" w:afterLines="50" w:line="400" w:lineRule="exact"/>
              <w:jc w:val="left"/>
              <w:rPr>
                <w:rFonts w:hint="eastAsia" w:ascii="宋体" w:hAnsi="宋体"/>
                <w:color w:val="auto"/>
                <w:sz w:val="24"/>
                <w:highlight w:val="none"/>
              </w:rPr>
            </w:pPr>
          </w:p>
        </w:tc>
        <w:tc>
          <w:tcPr>
            <w:tcW w:w="2856" w:type="dxa"/>
            <w:tcBorders>
              <w:top w:val="single" w:color="auto" w:sz="4" w:space="0"/>
              <w:left w:val="single" w:color="auto" w:sz="4" w:space="0"/>
              <w:bottom w:val="single" w:color="auto" w:sz="4" w:space="0"/>
              <w:right w:val="single" w:color="auto" w:sz="4" w:space="0"/>
            </w:tcBorders>
            <w:noWrap w:val="0"/>
            <w:vAlign w:val="top"/>
          </w:tcPr>
          <w:p w14:paraId="050D1758">
            <w:pPr>
              <w:snapToGrid w:val="0"/>
              <w:spacing w:before="50" w:after="120" w:afterLines="50" w:line="400" w:lineRule="exact"/>
              <w:jc w:val="left"/>
              <w:rPr>
                <w:rFonts w:hint="eastAsia" w:ascii="宋体" w:hAnsi="宋体"/>
                <w:color w:val="auto"/>
                <w:sz w:val="24"/>
                <w:highlight w:val="none"/>
              </w:rPr>
            </w:pPr>
          </w:p>
        </w:tc>
      </w:tr>
      <w:tr w14:paraId="654320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32" w:type="dxa"/>
            <w:tcBorders>
              <w:top w:val="single" w:color="auto" w:sz="4" w:space="0"/>
              <w:left w:val="single" w:color="auto" w:sz="4" w:space="0"/>
              <w:bottom w:val="single" w:color="auto" w:sz="4" w:space="0"/>
              <w:right w:val="single" w:color="auto" w:sz="4" w:space="0"/>
            </w:tcBorders>
            <w:noWrap w:val="0"/>
            <w:vAlign w:val="top"/>
          </w:tcPr>
          <w:p w14:paraId="3753BE65">
            <w:pPr>
              <w:snapToGrid w:val="0"/>
              <w:spacing w:before="50" w:after="120" w:afterLines="50" w:line="400" w:lineRule="exact"/>
              <w:jc w:val="left"/>
              <w:rPr>
                <w:rFonts w:hint="eastAsia" w:ascii="宋体" w:hAnsi="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top"/>
          </w:tcPr>
          <w:p w14:paraId="101BB13B">
            <w:pPr>
              <w:snapToGrid w:val="0"/>
              <w:spacing w:before="50" w:after="120" w:afterLines="50" w:line="400" w:lineRule="exact"/>
              <w:jc w:val="left"/>
              <w:rPr>
                <w:rFonts w:hint="eastAsia" w:ascii="宋体" w:hAnsi="宋体"/>
                <w:color w:val="auto"/>
                <w:sz w:val="24"/>
                <w:highlight w:val="none"/>
              </w:rPr>
            </w:pPr>
          </w:p>
        </w:tc>
        <w:tc>
          <w:tcPr>
            <w:tcW w:w="1770" w:type="dxa"/>
            <w:tcBorders>
              <w:top w:val="single" w:color="auto" w:sz="4" w:space="0"/>
              <w:left w:val="single" w:color="auto" w:sz="4" w:space="0"/>
              <w:bottom w:val="single" w:color="auto" w:sz="4" w:space="0"/>
              <w:right w:val="single" w:color="auto" w:sz="4" w:space="0"/>
            </w:tcBorders>
            <w:noWrap w:val="0"/>
            <w:vAlign w:val="top"/>
          </w:tcPr>
          <w:p w14:paraId="0FC9564F">
            <w:pPr>
              <w:snapToGrid w:val="0"/>
              <w:spacing w:before="50" w:after="120" w:afterLines="50" w:line="400" w:lineRule="exact"/>
              <w:jc w:val="left"/>
              <w:rPr>
                <w:rFonts w:hint="eastAsia" w:ascii="宋体" w:hAnsi="宋体"/>
                <w:color w:val="auto"/>
                <w:sz w:val="24"/>
                <w:highlight w:val="none"/>
              </w:rPr>
            </w:pPr>
          </w:p>
        </w:tc>
        <w:tc>
          <w:tcPr>
            <w:tcW w:w="2856" w:type="dxa"/>
            <w:tcBorders>
              <w:top w:val="single" w:color="auto" w:sz="4" w:space="0"/>
              <w:left w:val="single" w:color="auto" w:sz="4" w:space="0"/>
              <w:bottom w:val="single" w:color="auto" w:sz="4" w:space="0"/>
              <w:right w:val="single" w:color="auto" w:sz="4" w:space="0"/>
            </w:tcBorders>
            <w:noWrap w:val="0"/>
            <w:vAlign w:val="top"/>
          </w:tcPr>
          <w:p w14:paraId="61199E37">
            <w:pPr>
              <w:snapToGrid w:val="0"/>
              <w:spacing w:before="50" w:after="120" w:afterLines="50" w:line="400" w:lineRule="exact"/>
              <w:jc w:val="left"/>
              <w:rPr>
                <w:rFonts w:hint="eastAsia" w:ascii="宋体" w:hAnsi="宋体"/>
                <w:color w:val="auto"/>
                <w:sz w:val="24"/>
                <w:highlight w:val="none"/>
              </w:rPr>
            </w:pPr>
          </w:p>
        </w:tc>
      </w:tr>
    </w:tbl>
    <w:p w14:paraId="7547C64D">
      <w:pPr>
        <w:pStyle w:val="15"/>
        <w:spacing w:before="0" w:after="0" w:line="360" w:lineRule="auto"/>
        <w:contextualSpacing/>
        <w:rPr>
          <w:rFonts w:hint="eastAsia" w:ascii="宋体" w:hAnsi="宋体" w:eastAsia="宋体"/>
          <w:color w:val="auto"/>
          <w:sz w:val="24"/>
          <w:szCs w:val="24"/>
          <w:highlight w:val="none"/>
        </w:rPr>
      </w:pPr>
    </w:p>
    <w:p w14:paraId="10AAE6FD">
      <w:pPr>
        <w:pStyle w:val="15"/>
        <w:spacing w:before="0" w:after="0" w:line="360" w:lineRule="auto"/>
        <w:contextualSpacing/>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注：</w:t>
      </w:r>
      <w:r>
        <w:rPr>
          <w:rFonts w:hint="eastAsia" w:ascii="宋体" w:hAnsi="宋体"/>
          <w:color w:val="auto"/>
          <w:sz w:val="24"/>
          <w:highlight w:val="none"/>
        </w:rPr>
        <w:t>投标人根据评标标准具体要求附业绩证明材料。</w:t>
      </w:r>
    </w:p>
    <w:p w14:paraId="35D4D0E9">
      <w:pPr>
        <w:pStyle w:val="15"/>
        <w:spacing w:before="0" w:after="0" w:line="360" w:lineRule="auto"/>
        <w:contextualSpacing/>
        <w:jc w:val="left"/>
        <w:rPr>
          <w:rFonts w:hint="eastAsia" w:ascii="宋体" w:hAnsi="宋体" w:eastAsia="宋体"/>
          <w:color w:val="auto"/>
          <w:sz w:val="24"/>
          <w:szCs w:val="24"/>
          <w:highlight w:val="none"/>
          <w:u w:val="single"/>
        </w:rPr>
      </w:pPr>
      <w:r>
        <w:rPr>
          <w:rFonts w:hint="eastAsia" w:ascii="宋体" w:hAnsi="宋体" w:eastAsia="宋体"/>
          <w:color w:val="auto"/>
          <w:sz w:val="24"/>
          <w:szCs w:val="24"/>
          <w:highlight w:val="none"/>
        </w:rPr>
        <w:t>法定代表人或者委托代理人（签字或者电子签名）：</w:t>
      </w:r>
      <w:r>
        <w:rPr>
          <w:rFonts w:hint="eastAsia" w:ascii="宋体" w:hAnsi="宋体" w:eastAsia="宋体"/>
          <w:color w:val="auto"/>
          <w:sz w:val="24"/>
          <w:szCs w:val="24"/>
          <w:highlight w:val="none"/>
          <w:u w:val="single"/>
        </w:rPr>
        <w:t>　　　　　</w:t>
      </w:r>
    </w:p>
    <w:p w14:paraId="7226AF71">
      <w:pPr>
        <w:spacing w:line="360" w:lineRule="auto"/>
        <w:ind w:right="480"/>
        <w:contextualSpacing/>
        <w:jc w:val="left"/>
        <w:rPr>
          <w:rFonts w:hint="eastAsia" w:ascii="宋体" w:hAnsi="宋体"/>
          <w:color w:val="auto"/>
          <w:sz w:val="24"/>
          <w:szCs w:val="20"/>
          <w:highlight w:val="none"/>
        </w:rPr>
      </w:pPr>
      <w:r>
        <w:rPr>
          <w:rFonts w:hint="eastAsia" w:ascii="宋体" w:hAnsi="宋体" w:cs="Arial"/>
          <w:color w:val="auto"/>
          <w:sz w:val="24"/>
          <w:highlight w:val="none"/>
        </w:rPr>
        <w:t xml:space="preserve">投标人名称（电子签章）：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年    月    日</w:t>
      </w:r>
    </w:p>
    <w:p w14:paraId="3720CA56">
      <w:pPr>
        <w:snapToGrid w:val="0"/>
        <w:spacing w:line="360" w:lineRule="auto"/>
        <w:ind w:right="480" w:firstLine="240" w:firstLineChars="100"/>
        <w:jc w:val="left"/>
        <w:rPr>
          <w:rFonts w:ascii="宋体" w:hAnsi="宋体"/>
          <w:color w:val="auto"/>
          <w:sz w:val="24"/>
          <w:szCs w:val="20"/>
          <w:highlight w:val="none"/>
        </w:rPr>
        <w:sectPr>
          <w:pgSz w:w="11906" w:h="16838"/>
          <w:pgMar w:top="1440" w:right="1797" w:bottom="1440" w:left="1797" w:header="851" w:footer="992" w:gutter="0"/>
          <w:cols w:space="720" w:num="1"/>
          <w:docGrid w:linePitch="312" w:charSpace="0"/>
        </w:sectPr>
      </w:pPr>
    </w:p>
    <w:p w14:paraId="69624026">
      <w:pPr>
        <w:snapToGrid w:val="0"/>
        <w:spacing w:before="120" w:beforeLines="50" w:after="50"/>
        <w:jc w:val="left"/>
        <w:rPr>
          <w:rFonts w:hint="eastAsia" w:ascii="宋体" w:hAnsi="宋体"/>
          <w:b/>
          <w:color w:val="auto"/>
          <w:sz w:val="24"/>
          <w:highlight w:val="none"/>
        </w:rPr>
      </w:pPr>
      <w:r>
        <w:rPr>
          <w:rFonts w:hint="eastAsia" w:ascii="宋体" w:hAnsi="宋体"/>
          <w:b/>
          <w:color w:val="auto"/>
          <w:sz w:val="24"/>
          <w:highlight w:val="none"/>
        </w:rPr>
        <w:t>9.技术要求偏离表格式</w:t>
      </w:r>
    </w:p>
    <w:p w14:paraId="757483E7">
      <w:pPr>
        <w:snapToGrid w:val="0"/>
        <w:spacing w:before="120" w:beforeLines="50" w:after="50"/>
        <w:ind w:left="142"/>
        <w:jc w:val="left"/>
        <w:rPr>
          <w:rFonts w:hint="eastAsia" w:ascii="宋体" w:hAnsi="宋体"/>
          <w:b/>
          <w:color w:val="auto"/>
          <w:sz w:val="24"/>
          <w:highlight w:val="none"/>
        </w:rPr>
      </w:pPr>
    </w:p>
    <w:p w14:paraId="0A7AA683">
      <w:pPr>
        <w:snapToGrid w:val="0"/>
        <w:spacing w:before="120" w:beforeLines="50" w:after="50"/>
        <w:ind w:left="142"/>
        <w:jc w:val="center"/>
        <w:rPr>
          <w:rFonts w:hint="eastAsia" w:ascii="宋体" w:hAnsi="宋体"/>
          <w:b/>
          <w:color w:val="auto"/>
          <w:sz w:val="32"/>
          <w:szCs w:val="32"/>
          <w:highlight w:val="none"/>
        </w:rPr>
      </w:pPr>
      <w:r>
        <w:rPr>
          <w:rFonts w:hint="eastAsia" w:ascii="宋体" w:hAnsi="宋体"/>
          <w:b/>
          <w:color w:val="auto"/>
          <w:sz w:val="32"/>
          <w:szCs w:val="32"/>
          <w:highlight w:val="none"/>
        </w:rPr>
        <w:t>技术要求偏离表</w:t>
      </w:r>
    </w:p>
    <w:p w14:paraId="1D195924">
      <w:pPr>
        <w:pStyle w:val="25"/>
        <w:rPr>
          <w:rFonts w:hint="eastAsia" w:hAnsi="宋体"/>
          <w:color w:val="auto"/>
          <w:sz w:val="24"/>
          <w:szCs w:val="24"/>
          <w:highlight w:val="none"/>
        </w:rPr>
      </w:pPr>
      <w:r>
        <w:rPr>
          <w:rFonts w:hint="eastAsia" w:hAnsi="宋体"/>
          <w:color w:val="auto"/>
          <w:sz w:val="24"/>
          <w:szCs w:val="24"/>
          <w:highlight w:val="none"/>
        </w:rPr>
        <w:t>所投分标：</w:t>
      </w:r>
      <w:r>
        <w:rPr>
          <w:rFonts w:hint="eastAsia" w:hAnsi="宋体"/>
          <w:color w:val="auto"/>
          <w:sz w:val="24"/>
          <w:szCs w:val="24"/>
          <w:highlight w:val="none"/>
          <w:u w:val="single"/>
        </w:rPr>
        <w:t xml:space="preserve">     </w:t>
      </w:r>
      <w:r>
        <w:rPr>
          <w:rFonts w:hint="eastAsia" w:hAnsi="宋体"/>
          <w:color w:val="auto"/>
          <w:sz w:val="24"/>
          <w:szCs w:val="24"/>
          <w:highlight w:val="none"/>
        </w:rPr>
        <w:t>分标</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51905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noWrap w:val="0"/>
            <w:vAlign w:val="center"/>
          </w:tcPr>
          <w:p w14:paraId="5C160131">
            <w:pPr>
              <w:pStyle w:val="25"/>
              <w:spacing w:line="400" w:lineRule="exact"/>
              <w:jc w:val="center"/>
              <w:rPr>
                <w:rFonts w:hint="eastAsia" w:hAnsi="宋体" w:cs="Courier New"/>
                <w:color w:val="auto"/>
                <w:kern w:val="2"/>
                <w:sz w:val="24"/>
                <w:szCs w:val="24"/>
                <w:highlight w:val="none"/>
              </w:rPr>
            </w:pPr>
            <w:r>
              <w:rPr>
                <w:rFonts w:hint="eastAsia" w:hAnsi="宋体" w:cs="Courier New"/>
                <w:color w:val="auto"/>
                <w:kern w:val="2"/>
                <w:sz w:val="24"/>
                <w:szCs w:val="24"/>
                <w:highlight w:val="none"/>
              </w:rPr>
              <w:t>项号</w:t>
            </w:r>
          </w:p>
        </w:tc>
        <w:tc>
          <w:tcPr>
            <w:tcW w:w="2143" w:type="dxa"/>
            <w:noWrap w:val="0"/>
            <w:vAlign w:val="center"/>
          </w:tcPr>
          <w:p w14:paraId="611308AB">
            <w:pPr>
              <w:pStyle w:val="25"/>
              <w:spacing w:line="400" w:lineRule="exact"/>
              <w:jc w:val="center"/>
              <w:rPr>
                <w:rFonts w:hint="eastAsia" w:hAnsi="宋体" w:cs="Courier New"/>
                <w:color w:val="auto"/>
                <w:kern w:val="2"/>
                <w:sz w:val="24"/>
                <w:szCs w:val="24"/>
                <w:highlight w:val="none"/>
              </w:rPr>
            </w:pPr>
            <w:r>
              <w:rPr>
                <w:rFonts w:hint="eastAsia" w:hAnsi="宋体" w:cs="Courier New"/>
                <w:color w:val="auto"/>
                <w:kern w:val="2"/>
                <w:sz w:val="24"/>
                <w:szCs w:val="24"/>
                <w:highlight w:val="none"/>
              </w:rPr>
              <w:t>标的的名称</w:t>
            </w:r>
          </w:p>
        </w:tc>
        <w:tc>
          <w:tcPr>
            <w:tcW w:w="1834" w:type="dxa"/>
            <w:noWrap w:val="0"/>
            <w:vAlign w:val="center"/>
          </w:tcPr>
          <w:p w14:paraId="5D4B87B1">
            <w:pPr>
              <w:pStyle w:val="25"/>
              <w:spacing w:line="400" w:lineRule="exact"/>
              <w:jc w:val="center"/>
              <w:rPr>
                <w:rFonts w:hint="eastAsia" w:hAnsi="宋体" w:cs="Courier New"/>
                <w:color w:val="auto"/>
                <w:kern w:val="2"/>
                <w:sz w:val="24"/>
                <w:szCs w:val="24"/>
                <w:highlight w:val="none"/>
              </w:rPr>
            </w:pPr>
            <w:r>
              <w:rPr>
                <w:rFonts w:hint="eastAsia" w:hAnsi="宋体" w:cs="Courier New"/>
                <w:color w:val="auto"/>
                <w:kern w:val="2"/>
                <w:sz w:val="24"/>
                <w:szCs w:val="24"/>
                <w:highlight w:val="none"/>
              </w:rPr>
              <w:t>技术要求</w:t>
            </w:r>
          </w:p>
        </w:tc>
        <w:tc>
          <w:tcPr>
            <w:tcW w:w="2181" w:type="dxa"/>
            <w:noWrap w:val="0"/>
            <w:vAlign w:val="center"/>
          </w:tcPr>
          <w:p w14:paraId="66D00C68">
            <w:pPr>
              <w:pStyle w:val="25"/>
              <w:spacing w:line="400" w:lineRule="exact"/>
              <w:jc w:val="center"/>
              <w:rPr>
                <w:rFonts w:hint="eastAsia" w:hAnsi="宋体" w:cs="Courier New"/>
                <w:color w:val="auto"/>
                <w:kern w:val="2"/>
                <w:sz w:val="24"/>
                <w:szCs w:val="24"/>
                <w:highlight w:val="none"/>
              </w:rPr>
            </w:pPr>
            <w:r>
              <w:rPr>
                <w:rFonts w:hint="eastAsia" w:hAnsi="宋体" w:cs="Courier New"/>
                <w:color w:val="auto"/>
                <w:kern w:val="2"/>
                <w:sz w:val="24"/>
                <w:szCs w:val="24"/>
                <w:highlight w:val="none"/>
              </w:rPr>
              <w:t>投标响应</w:t>
            </w:r>
          </w:p>
        </w:tc>
        <w:tc>
          <w:tcPr>
            <w:tcW w:w="1934" w:type="dxa"/>
            <w:noWrap w:val="0"/>
            <w:vAlign w:val="center"/>
          </w:tcPr>
          <w:p w14:paraId="5596BA79">
            <w:pPr>
              <w:pStyle w:val="25"/>
              <w:spacing w:line="400" w:lineRule="exact"/>
              <w:jc w:val="center"/>
              <w:rPr>
                <w:rFonts w:hint="eastAsia" w:hAnsi="宋体" w:cs="Courier New"/>
                <w:color w:val="auto"/>
                <w:kern w:val="2"/>
                <w:sz w:val="24"/>
                <w:szCs w:val="24"/>
                <w:highlight w:val="none"/>
              </w:rPr>
            </w:pPr>
            <w:r>
              <w:rPr>
                <w:rFonts w:hint="eastAsia" w:hAnsi="宋体" w:cs="Courier New"/>
                <w:color w:val="auto"/>
                <w:kern w:val="2"/>
                <w:sz w:val="24"/>
                <w:szCs w:val="24"/>
                <w:highlight w:val="none"/>
              </w:rPr>
              <w:t>偏离说明</w:t>
            </w:r>
          </w:p>
        </w:tc>
      </w:tr>
      <w:tr w14:paraId="4A47F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623BCF61">
            <w:pPr>
              <w:pStyle w:val="25"/>
              <w:spacing w:line="600" w:lineRule="exact"/>
              <w:jc w:val="center"/>
              <w:rPr>
                <w:rFonts w:hint="eastAsia" w:hAnsi="宋体" w:cs="Courier New"/>
                <w:color w:val="auto"/>
                <w:kern w:val="2"/>
                <w:sz w:val="24"/>
                <w:szCs w:val="24"/>
                <w:highlight w:val="none"/>
              </w:rPr>
            </w:pPr>
          </w:p>
        </w:tc>
        <w:tc>
          <w:tcPr>
            <w:tcW w:w="2143" w:type="dxa"/>
            <w:noWrap w:val="0"/>
            <w:vAlign w:val="center"/>
          </w:tcPr>
          <w:p w14:paraId="65D2120B">
            <w:pPr>
              <w:pStyle w:val="25"/>
              <w:spacing w:line="600" w:lineRule="exact"/>
              <w:jc w:val="center"/>
              <w:rPr>
                <w:rFonts w:hint="eastAsia" w:hAnsi="宋体" w:cs="Courier New"/>
                <w:color w:val="auto"/>
                <w:kern w:val="2"/>
                <w:sz w:val="24"/>
                <w:szCs w:val="24"/>
                <w:highlight w:val="none"/>
              </w:rPr>
            </w:pPr>
          </w:p>
        </w:tc>
        <w:tc>
          <w:tcPr>
            <w:tcW w:w="1834" w:type="dxa"/>
            <w:noWrap w:val="0"/>
            <w:vAlign w:val="center"/>
          </w:tcPr>
          <w:p w14:paraId="3331016A">
            <w:pPr>
              <w:pStyle w:val="25"/>
              <w:spacing w:line="600" w:lineRule="exact"/>
              <w:jc w:val="center"/>
              <w:rPr>
                <w:rFonts w:hint="eastAsia" w:hAnsi="宋体" w:cs="Courier New"/>
                <w:color w:val="auto"/>
                <w:kern w:val="2"/>
                <w:sz w:val="24"/>
                <w:szCs w:val="24"/>
                <w:highlight w:val="none"/>
              </w:rPr>
            </w:pPr>
          </w:p>
        </w:tc>
        <w:tc>
          <w:tcPr>
            <w:tcW w:w="2181" w:type="dxa"/>
            <w:noWrap w:val="0"/>
            <w:vAlign w:val="center"/>
          </w:tcPr>
          <w:p w14:paraId="1D247B5F">
            <w:pPr>
              <w:pStyle w:val="25"/>
              <w:spacing w:line="600" w:lineRule="exact"/>
              <w:jc w:val="center"/>
              <w:rPr>
                <w:rFonts w:hint="eastAsia" w:hAnsi="宋体" w:cs="Courier New"/>
                <w:color w:val="auto"/>
                <w:kern w:val="2"/>
                <w:sz w:val="24"/>
                <w:szCs w:val="24"/>
                <w:highlight w:val="none"/>
              </w:rPr>
            </w:pPr>
          </w:p>
        </w:tc>
        <w:tc>
          <w:tcPr>
            <w:tcW w:w="1934" w:type="dxa"/>
            <w:noWrap w:val="0"/>
            <w:vAlign w:val="center"/>
          </w:tcPr>
          <w:p w14:paraId="4997E931">
            <w:pPr>
              <w:pStyle w:val="25"/>
              <w:spacing w:line="600" w:lineRule="exact"/>
              <w:jc w:val="center"/>
              <w:rPr>
                <w:rFonts w:hint="eastAsia" w:hAnsi="宋体" w:cs="Courier New"/>
                <w:color w:val="auto"/>
                <w:kern w:val="2"/>
                <w:sz w:val="24"/>
                <w:szCs w:val="24"/>
                <w:highlight w:val="none"/>
              </w:rPr>
            </w:pPr>
          </w:p>
        </w:tc>
      </w:tr>
      <w:tr w14:paraId="55020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4FA84280">
            <w:pPr>
              <w:pStyle w:val="25"/>
              <w:spacing w:line="600" w:lineRule="exact"/>
              <w:rPr>
                <w:rFonts w:hint="eastAsia" w:hAnsi="宋体" w:cs="Courier New"/>
                <w:color w:val="auto"/>
                <w:kern w:val="2"/>
                <w:sz w:val="24"/>
                <w:szCs w:val="24"/>
                <w:highlight w:val="none"/>
              </w:rPr>
            </w:pPr>
          </w:p>
        </w:tc>
        <w:tc>
          <w:tcPr>
            <w:tcW w:w="2143" w:type="dxa"/>
            <w:noWrap w:val="0"/>
            <w:vAlign w:val="top"/>
          </w:tcPr>
          <w:p w14:paraId="643BA52A">
            <w:pPr>
              <w:pStyle w:val="25"/>
              <w:spacing w:line="600" w:lineRule="exact"/>
              <w:rPr>
                <w:rFonts w:hint="eastAsia" w:hAnsi="宋体" w:cs="Courier New"/>
                <w:color w:val="auto"/>
                <w:kern w:val="2"/>
                <w:sz w:val="24"/>
                <w:szCs w:val="24"/>
                <w:highlight w:val="none"/>
              </w:rPr>
            </w:pPr>
          </w:p>
        </w:tc>
        <w:tc>
          <w:tcPr>
            <w:tcW w:w="1834" w:type="dxa"/>
            <w:noWrap w:val="0"/>
            <w:vAlign w:val="top"/>
          </w:tcPr>
          <w:p w14:paraId="57CFE319">
            <w:pPr>
              <w:pStyle w:val="25"/>
              <w:spacing w:line="600" w:lineRule="exact"/>
              <w:rPr>
                <w:rFonts w:hint="eastAsia" w:hAnsi="宋体" w:cs="Courier New"/>
                <w:color w:val="auto"/>
                <w:kern w:val="2"/>
                <w:sz w:val="24"/>
                <w:szCs w:val="24"/>
                <w:highlight w:val="none"/>
              </w:rPr>
            </w:pPr>
          </w:p>
        </w:tc>
        <w:tc>
          <w:tcPr>
            <w:tcW w:w="2181" w:type="dxa"/>
            <w:noWrap w:val="0"/>
            <w:vAlign w:val="top"/>
          </w:tcPr>
          <w:p w14:paraId="3BCD781A">
            <w:pPr>
              <w:pStyle w:val="25"/>
              <w:spacing w:line="600" w:lineRule="exact"/>
              <w:rPr>
                <w:rFonts w:hint="eastAsia" w:hAnsi="宋体" w:cs="Courier New"/>
                <w:color w:val="auto"/>
                <w:kern w:val="2"/>
                <w:sz w:val="24"/>
                <w:szCs w:val="24"/>
                <w:highlight w:val="none"/>
              </w:rPr>
            </w:pPr>
          </w:p>
        </w:tc>
        <w:tc>
          <w:tcPr>
            <w:tcW w:w="1934" w:type="dxa"/>
            <w:noWrap w:val="0"/>
            <w:vAlign w:val="top"/>
          </w:tcPr>
          <w:p w14:paraId="274E6D1C">
            <w:pPr>
              <w:pStyle w:val="25"/>
              <w:spacing w:line="600" w:lineRule="exact"/>
              <w:rPr>
                <w:rFonts w:hint="eastAsia" w:hAnsi="宋体" w:cs="Courier New"/>
                <w:color w:val="auto"/>
                <w:kern w:val="2"/>
                <w:sz w:val="24"/>
                <w:szCs w:val="24"/>
                <w:highlight w:val="none"/>
              </w:rPr>
            </w:pPr>
          </w:p>
        </w:tc>
      </w:tr>
      <w:tr w14:paraId="03690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1B6C17B2">
            <w:pPr>
              <w:pStyle w:val="25"/>
              <w:spacing w:line="600" w:lineRule="exact"/>
              <w:rPr>
                <w:rFonts w:hint="eastAsia" w:hAnsi="宋体" w:cs="Courier New"/>
                <w:color w:val="auto"/>
                <w:kern w:val="2"/>
                <w:sz w:val="24"/>
                <w:szCs w:val="24"/>
                <w:highlight w:val="none"/>
              </w:rPr>
            </w:pPr>
          </w:p>
        </w:tc>
        <w:tc>
          <w:tcPr>
            <w:tcW w:w="2143" w:type="dxa"/>
            <w:noWrap w:val="0"/>
            <w:vAlign w:val="top"/>
          </w:tcPr>
          <w:p w14:paraId="1A8D9186">
            <w:pPr>
              <w:pStyle w:val="25"/>
              <w:spacing w:line="600" w:lineRule="exact"/>
              <w:rPr>
                <w:rFonts w:hint="eastAsia" w:hAnsi="宋体" w:cs="Courier New"/>
                <w:color w:val="auto"/>
                <w:kern w:val="2"/>
                <w:sz w:val="24"/>
                <w:szCs w:val="24"/>
                <w:highlight w:val="none"/>
              </w:rPr>
            </w:pPr>
          </w:p>
        </w:tc>
        <w:tc>
          <w:tcPr>
            <w:tcW w:w="1834" w:type="dxa"/>
            <w:noWrap w:val="0"/>
            <w:vAlign w:val="top"/>
          </w:tcPr>
          <w:p w14:paraId="0DEF7FB6">
            <w:pPr>
              <w:pStyle w:val="25"/>
              <w:spacing w:line="600" w:lineRule="exact"/>
              <w:rPr>
                <w:rFonts w:hint="eastAsia" w:hAnsi="宋体" w:cs="Courier New"/>
                <w:color w:val="auto"/>
                <w:kern w:val="2"/>
                <w:sz w:val="24"/>
                <w:szCs w:val="24"/>
                <w:highlight w:val="none"/>
              </w:rPr>
            </w:pPr>
          </w:p>
        </w:tc>
        <w:tc>
          <w:tcPr>
            <w:tcW w:w="2181" w:type="dxa"/>
            <w:noWrap w:val="0"/>
            <w:vAlign w:val="top"/>
          </w:tcPr>
          <w:p w14:paraId="2330173D">
            <w:pPr>
              <w:pStyle w:val="25"/>
              <w:spacing w:line="600" w:lineRule="exact"/>
              <w:rPr>
                <w:rFonts w:hint="eastAsia" w:hAnsi="宋体" w:cs="Courier New"/>
                <w:color w:val="auto"/>
                <w:kern w:val="2"/>
                <w:sz w:val="24"/>
                <w:szCs w:val="24"/>
                <w:highlight w:val="none"/>
              </w:rPr>
            </w:pPr>
          </w:p>
        </w:tc>
        <w:tc>
          <w:tcPr>
            <w:tcW w:w="1934" w:type="dxa"/>
            <w:noWrap w:val="0"/>
            <w:vAlign w:val="top"/>
          </w:tcPr>
          <w:p w14:paraId="02E369F2">
            <w:pPr>
              <w:pStyle w:val="25"/>
              <w:spacing w:line="600" w:lineRule="exact"/>
              <w:rPr>
                <w:rFonts w:hint="eastAsia" w:hAnsi="宋体" w:cs="Courier New"/>
                <w:color w:val="auto"/>
                <w:kern w:val="2"/>
                <w:sz w:val="24"/>
                <w:szCs w:val="24"/>
                <w:highlight w:val="none"/>
              </w:rPr>
            </w:pPr>
          </w:p>
        </w:tc>
      </w:tr>
      <w:tr w14:paraId="0A18D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421FA7DE">
            <w:pPr>
              <w:pStyle w:val="25"/>
              <w:spacing w:line="600" w:lineRule="exact"/>
              <w:rPr>
                <w:rFonts w:hint="eastAsia" w:hAnsi="宋体" w:cs="Courier New"/>
                <w:color w:val="auto"/>
                <w:kern w:val="2"/>
                <w:sz w:val="24"/>
                <w:szCs w:val="24"/>
                <w:highlight w:val="none"/>
              </w:rPr>
            </w:pPr>
          </w:p>
        </w:tc>
        <w:tc>
          <w:tcPr>
            <w:tcW w:w="2143" w:type="dxa"/>
            <w:noWrap w:val="0"/>
            <w:vAlign w:val="top"/>
          </w:tcPr>
          <w:p w14:paraId="651A1388">
            <w:pPr>
              <w:pStyle w:val="25"/>
              <w:spacing w:line="600" w:lineRule="exact"/>
              <w:rPr>
                <w:rFonts w:hint="eastAsia" w:hAnsi="宋体" w:cs="Courier New"/>
                <w:color w:val="auto"/>
                <w:kern w:val="2"/>
                <w:sz w:val="24"/>
                <w:szCs w:val="24"/>
                <w:highlight w:val="none"/>
              </w:rPr>
            </w:pPr>
          </w:p>
        </w:tc>
        <w:tc>
          <w:tcPr>
            <w:tcW w:w="1834" w:type="dxa"/>
            <w:noWrap w:val="0"/>
            <w:vAlign w:val="top"/>
          </w:tcPr>
          <w:p w14:paraId="60813AEB">
            <w:pPr>
              <w:pStyle w:val="25"/>
              <w:spacing w:line="600" w:lineRule="exact"/>
              <w:rPr>
                <w:rFonts w:hint="eastAsia" w:hAnsi="宋体" w:cs="Courier New"/>
                <w:color w:val="auto"/>
                <w:kern w:val="2"/>
                <w:sz w:val="24"/>
                <w:szCs w:val="24"/>
                <w:highlight w:val="none"/>
              </w:rPr>
            </w:pPr>
          </w:p>
        </w:tc>
        <w:tc>
          <w:tcPr>
            <w:tcW w:w="2181" w:type="dxa"/>
            <w:noWrap w:val="0"/>
            <w:vAlign w:val="top"/>
          </w:tcPr>
          <w:p w14:paraId="4252E386">
            <w:pPr>
              <w:pStyle w:val="25"/>
              <w:spacing w:line="600" w:lineRule="exact"/>
              <w:rPr>
                <w:rFonts w:hint="eastAsia" w:hAnsi="宋体" w:cs="Courier New"/>
                <w:color w:val="auto"/>
                <w:kern w:val="2"/>
                <w:sz w:val="24"/>
                <w:szCs w:val="24"/>
                <w:highlight w:val="none"/>
              </w:rPr>
            </w:pPr>
          </w:p>
        </w:tc>
        <w:tc>
          <w:tcPr>
            <w:tcW w:w="1934" w:type="dxa"/>
            <w:noWrap w:val="0"/>
            <w:vAlign w:val="top"/>
          </w:tcPr>
          <w:p w14:paraId="6F3F8E8B">
            <w:pPr>
              <w:pStyle w:val="25"/>
              <w:spacing w:line="600" w:lineRule="exact"/>
              <w:rPr>
                <w:rFonts w:hint="eastAsia" w:hAnsi="宋体" w:cs="Courier New"/>
                <w:color w:val="auto"/>
                <w:kern w:val="2"/>
                <w:sz w:val="24"/>
                <w:szCs w:val="24"/>
                <w:highlight w:val="none"/>
              </w:rPr>
            </w:pPr>
          </w:p>
        </w:tc>
      </w:tr>
      <w:tr w14:paraId="748F2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7967202E">
            <w:pPr>
              <w:pStyle w:val="25"/>
              <w:spacing w:line="600" w:lineRule="exact"/>
              <w:rPr>
                <w:rFonts w:hint="eastAsia" w:hAnsi="宋体" w:cs="Courier New"/>
                <w:color w:val="auto"/>
                <w:kern w:val="2"/>
                <w:sz w:val="24"/>
                <w:szCs w:val="24"/>
                <w:highlight w:val="none"/>
              </w:rPr>
            </w:pPr>
          </w:p>
        </w:tc>
        <w:tc>
          <w:tcPr>
            <w:tcW w:w="2143" w:type="dxa"/>
            <w:noWrap w:val="0"/>
            <w:vAlign w:val="top"/>
          </w:tcPr>
          <w:p w14:paraId="721F26B7">
            <w:pPr>
              <w:pStyle w:val="25"/>
              <w:spacing w:line="600" w:lineRule="exact"/>
              <w:rPr>
                <w:rFonts w:hint="eastAsia" w:hAnsi="宋体" w:cs="Courier New"/>
                <w:color w:val="auto"/>
                <w:kern w:val="2"/>
                <w:sz w:val="24"/>
                <w:szCs w:val="24"/>
                <w:highlight w:val="none"/>
              </w:rPr>
            </w:pPr>
          </w:p>
        </w:tc>
        <w:tc>
          <w:tcPr>
            <w:tcW w:w="1834" w:type="dxa"/>
            <w:noWrap w:val="0"/>
            <w:vAlign w:val="top"/>
          </w:tcPr>
          <w:p w14:paraId="27A7B8EB">
            <w:pPr>
              <w:pStyle w:val="25"/>
              <w:spacing w:line="600" w:lineRule="exact"/>
              <w:rPr>
                <w:rFonts w:hint="eastAsia" w:hAnsi="宋体" w:cs="Courier New"/>
                <w:color w:val="auto"/>
                <w:kern w:val="2"/>
                <w:sz w:val="24"/>
                <w:szCs w:val="24"/>
                <w:highlight w:val="none"/>
              </w:rPr>
            </w:pPr>
          </w:p>
        </w:tc>
        <w:tc>
          <w:tcPr>
            <w:tcW w:w="2181" w:type="dxa"/>
            <w:noWrap w:val="0"/>
            <w:vAlign w:val="top"/>
          </w:tcPr>
          <w:p w14:paraId="00BAF92B">
            <w:pPr>
              <w:pStyle w:val="25"/>
              <w:spacing w:line="600" w:lineRule="exact"/>
              <w:rPr>
                <w:rFonts w:hint="eastAsia" w:hAnsi="宋体" w:cs="Courier New"/>
                <w:color w:val="auto"/>
                <w:kern w:val="2"/>
                <w:sz w:val="24"/>
                <w:szCs w:val="24"/>
                <w:highlight w:val="none"/>
              </w:rPr>
            </w:pPr>
          </w:p>
        </w:tc>
        <w:tc>
          <w:tcPr>
            <w:tcW w:w="1934" w:type="dxa"/>
            <w:noWrap w:val="0"/>
            <w:vAlign w:val="top"/>
          </w:tcPr>
          <w:p w14:paraId="7886042E">
            <w:pPr>
              <w:pStyle w:val="25"/>
              <w:spacing w:line="600" w:lineRule="exact"/>
              <w:rPr>
                <w:rFonts w:hint="eastAsia" w:hAnsi="宋体" w:cs="Courier New"/>
                <w:color w:val="auto"/>
                <w:kern w:val="2"/>
                <w:sz w:val="24"/>
                <w:szCs w:val="24"/>
                <w:highlight w:val="none"/>
              </w:rPr>
            </w:pPr>
          </w:p>
        </w:tc>
      </w:tr>
      <w:tr w14:paraId="222B2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753278BD">
            <w:pPr>
              <w:pStyle w:val="25"/>
              <w:spacing w:line="600" w:lineRule="exact"/>
              <w:rPr>
                <w:rFonts w:hint="eastAsia" w:hAnsi="宋体" w:cs="Courier New"/>
                <w:color w:val="auto"/>
                <w:kern w:val="2"/>
                <w:sz w:val="24"/>
                <w:szCs w:val="24"/>
                <w:highlight w:val="none"/>
              </w:rPr>
            </w:pPr>
          </w:p>
        </w:tc>
        <w:tc>
          <w:tcPr>
            <w:tcW w:w="2143" w:type="dxa"/>
            <w:noWrap w:val="0"/>
            <w:vAlign w:val="top"/>
          </w:tcPr>
          <w:p w14:paraId="33EDFA80">
            <w:pPr>
              <w:pStyle w:val="25"/>
              <w:spacing w:line="600" w:lineRule="exact"/>
              <w:rPr>
                <w:rFonts w:hint="eastAsia" w:hAnsi="宋体" w:cs="Courier New"/>
                <w:color w:val="auto"/>
                <w:kern w:val="2"/>
                <w:sz w:val="24"/>
                <w:szCs w:val="24"/>
                <w:highlight w:val="none"/>
              </w:rPr>
            </w:pPr>
          </w:p>
        </w:tc>
        <w:tc>
          <w:tcPr>
            <w:tcW w:w="1834" w:type="dxa"/>
            <w:noWrap w:val="0"/>
            <w:vAlign w:val="top"/>
          </w:tcPr>
          <w:p w14:paraId="5449F862">
            <w:pPr>
              <w:pStyle w:val="25"/>
              <w:spacing w:line="600" w:lineRule="exact"/>
              <w:rPr>
                <w:rFonts w:hint="eastAsia" w:hAnsi="宋体" w:cs="Courier New"/>
                <w:color w:val="auto"/>
                <w:kern w:val="2"/>
                <w:sz w:val="24"/>
                <w:szCs w:val="24"/>
                <w:highlight w:val="none"/>
              </w:rPr>
            </w:pPr>
          </w:p>
        </w:tc>
        <w:tc>
          <w:tcPr>
            <w:tcW w:w="2181" w:type="dxa"/>
            <w:noWrap w:val="0"/>
            <w:vAlign w:val="top"/>
          </w:tcPr>
          <w:p w14:paraId="5FA953CB">
            <w:pPr>
              <w:pStyle w:val="25"/>
              <w:spacing w:line="600" w:lineRule="exact"/>
              <w:rPr>
                <w:rFonts w:hint="eastAsia" w:hAnsi="宋体" w:cs="Courier New"/>
                <w:color w:val="auto"/>
                <w:kern w:val="2"/>
                <w:sz w:val="24"/>
                <w:szCs w:val="24"/>
                <w:highlight w:val="none"/>
              </w:rPr>
            </w:pPr>
          </w:p>
        </w:tc>
        <w:tc>
          <w:tcPr>
            <w:tcW w:w="1934" w:type="dxa"/>
            <w:noWrap w:val="0"/>
            <w:vAlign w:val="top"/>
          </w:tcPr>
          <w:p w14:paraId="2F593E07">
            <w:pPr>
              <w:pStyle w:val="25"/>
              <w:spacing w:line="600" w:lineRule="exact"/>
              <w:rPr>
                <w:rFonts w:hint="eastAsia" w:hAnsi="宋体" w:cs="Courier New"/>
                <w:color w:val="auto"/>
                <w:kern w:val="2"/>
                <w:sz w:val="24"/>
                <w:szCs w:val="24"/>
                <w:highlight w:val="none"/>
              </w:rPr>
            </w:pPr>
          </w:p>
        </w:tc>
      </w:tr>
      <w:tr w14:paraId="085AA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0E54C6E4">
            <w:pPr>
              <w:pStyle w:val="25"/>
              <w:spacing w:line="600" w:lineRule="exact"/>
              <w:rPr>
                <w:rFonts w:hint="eastAsia" w:hAnsi="宋体" w:cs="Courier New"/>
                <w:color w:val="auto"/>
                <w:kern w:val="2"/>
                <w:sz w:val="24"/>
                <w:szCs w:val="24"/>
                <w:highlight w:val="none"/>
              </w:rPr>
            </w:pPr>
          </w:p>
        </w:tc>
        <w:tc>
          <w:tcPr>
            <w:tcW w:w="2143" w:type="dxa"/>
            <w:noWrap w:val="0"/>
            <w:vAlign w:val="top"/>
          </w:tcPr>
          <w:p w14:paraId="4D552923">
            <w:pPr>
              <w:pStyle w:val="25"/>
              <w:spacing w:line="600" w:lineRule="exact"/>
              <w:rPr>
                <w:rFonts w:hint="eastAsia" w:hAnsi="宋体" w:cs="Courier New"/>
                <w:color w:val="auto"/>
                <w:kern w:val="2"/>
                <w:sz w:val="24"/>
                <w:szCs w:val="24"/>
                <w:highlight w:val="none"/>
              </w:rPr>
            </w:pPr>
          </w:p>
        </w:tc>
        <w:tc>
          <w:tcPr>
            <w:tcW w:w="1834" w:type="dxa"/>
            <w:noWrap w:val="0"/>
            <w:vAlign w:val="top"/>
          </w:tcPr>
          <w:p w14:paraId="5BB1240E">
            <w:pPr>
              <w:pStyle w:val="25"/>
              <w:spacing w:line="600" w:lineRule="exact"/>
              <w:rPr>
                <w:rFonts w:hint="eastAsia" w:hAnsi="宋体" w:cs="Courier New"/>
                <w:color w:val="auto"/>
                <w:kern w:val="2"/>
                <w:sz w:val="24"/>
                <w:szCs w:val="24"/>
                <w:highlight w:val="none"/>
              </w:rPr>
            </w:pPr>
          </w:p>
        </w:tc>
        <w:tc>
          <w:tcPr>
            <w:tcW w:w="2181" w:type="dxa"/>
            <w:noWrap w:val="0"/>
            <w:vAlign w:val="top"/>
          </w:tcPr>
          <w:p w14:paraId="084D50E3">
            <w:pPr>
              <w:pStyle w:val="25"/>
              <w:spacing w:line="600" w:lineRule="exact"/>
              <w:rPr>
                <w:rFonts w:hint="eastAsia" w:hAnsi="宋体" w:cs="Courier New"/>
                <w:color w:val="auto"/>
                <w:kern w:val="2"/>
                <w:sz w:val="24"/>
                <w:szCs w:val="24"/>
                <w:highlight w:val="none"/>
              </w:rPr>
            </w:pPr>
          </w:p>
        </w:tc>
        <w:tc>
          <w:tcPr>
            <w:tcW w:w="1934" w:type="dxa"/>
            <w:noWrap w:val="0"/>
            <w:vAlign w:val="top"/>
          </w:tcPr>
          <w:p w14:paraId="6AC4E353">
            <w:pPr>
              <w:pStyle w:val="25"/>
              <w:spacing w:line="600" w:lineRule="exact"/>
              <w:rPr>
                <w:rFonts w:hint="eastAsia" w:hAnsi="宋体" w:cs="Courier New"/>
                <w:color w:val="auto"/>
                <w:kern w:val="2"/>
                <w:sz w:val="24"/>
                <w:szCs w:val="24"/>
                <w:highlight w:val="none"/>
              </w:rPr>
            </w:pPr>
          </w:p>
        </w:tc>
      </w:tr>
    </w:tbl>
    <w:p w14:paraId="21312DBE">
      <w:pPr>
        <w:pStyle w:val="17"/>
        <w:spacing w:line="360" w:lineRule="auto"/>
        <w:contextualSpacing/>
        <w:rPr>
          <w:rFonts w:hint="eastAsia" w:ascii="宋体" w:hAnsi="宋体"/>
          <w:color w:val="auto"/>
          <w:highlight w:val="none"/>
        </w:rPr>
      </w:pPr>
      <w:r>
        <w:rPr>
          <w:rFonts w:hint="eastAsia" w:ascii="宋体" w:hAnsi="宋体"/>
          <w:color w:val="auto"/>
          <w:highlight w:val="none"/>
        </w:rPr>
        <w:t>注：</w:t>
      </w:r>
    </w:p>
    <w:p w14:paraId="78B3045D">
      <w:pPr>
        <w:pStyle w:val="19"/>
        <w:spacing w:line="360" w:lineRule="auto"/>
        <w:ind w:firstLine="0" w:firstLineChars="0"/>
        <w:contextualSpacing/>
        <w:rPr>
          <w:rFonts w:hint="eastAsia" w:hAnsi="仿宋_GB2312" w:cs="仿宋_GB2312"/>
          <w:color w:val="auto"/>
          <w:szCs w:val="32"/>
          <w:highlight w:val="none"/>
        </w:rPr>
      </w:pPr>
      <w:r>
        <w:rPr>
          <w:rFonts w:hint="eastAsia" w:ascii="宋体" w:hAnsi="宋体" w:eastAsia="宋体"/>
          <w:color w:val="auto"/>
          <w:sz w:val="24"/>
          <w:szCs w:val="24"/>
          <w:highlight w:val="none"/>
        </w:rPr>
        <w:t>1. 说明：应对照招标文件“第二章 采购需求”中的技术要求逐条作明确的投标响应，并作出偏离说明。</w:t>
      </w:r>
    </w:p>
    <w:p w14:paraId="57084E40">
      <w:pPr>
        <w:pStyle w:val="17"/>
        <w:spacing w:line="360" w:lineRule="auto"/>
        <w:contextualSpacing/>
        <w:rPr>
          <w:rFonts w:hint="eastAsia" w:ascii="宋体" w:hAnsi="宋体"/>
          <w:color w:val="auto"/>
          <w:highlight w:val="none"/>
        </w:rPr>
      </w:pPr>
      <w:r>
        <w:rPr>
          <w:rFonts w:ascii="宋体" w:hAnsi="宋体"/>
          <w:b w:val="0"/>
          <w:bCs w:val="0"/>
          <w:color w:val="auto"/>
          <w:highlight w:val="none"/>
        </w:rPr>
        <w:t>2.</w:t>
      </w:r>
      <w:r>
        <w:rPr>
          <w:rFonts w:hint="eastAsia" w:ascii="宋体" w:hAnsi="宋体"/>
          <w:b w:val="0"/>
          <w:bCs w:val="0"/>
          <w:color w:val="auto"/>
          <w:highlight w:val="none"/>
        </w:rPr>
        <w:t>投标人应根据自身的承诺，对照招标文件要求，在“偏离说明”中注明“</w:t>
      </w:r>
      <w:r>
        <w:rPr>
          <w:rFonts w:hint="eastAsia" w:ascii="宋体" w:hAnsi="宋体"/>
          <w:color w:val="auto"/>
          <w:highlight w:val="none"/>
        </w:rPr>
        <w:t>正偏离”“负偏离</w:t>
      </w:r>
      <w:r>
        <w:rPr>
          <w:rFonts w:hint="eastAsia" w:ascii="宋体" w:hAnsi="宋体"/>
          <w:b w:val="0"/>
          <w:bCs w:val="0"/>
          <w:color w:val="auto"/>
          <w:highlight w:val="none"/>
        </w:rPr>
        <w:t>”或者“</w:t>
      </w:r>
      <w:r>
        <w:rPr>
          <w:rFonts w:hint="eastAsia" w:ascii="宋体" w:hAnsi="宋体"/>
          <w:color w:val="auto"/>
          <w:highlight w:val="none"/>
        </w:rPr>
        <w:t>无偏离</w:t>
      </w:r>
      <w:r>
        <w:rPr>
          <w:rFonts w:hint="eastAsia" w:ascii="宋体" w:hAnsi="宋体"/>
          <w:b w:val="0"/>
          <w:bCs w:val="0"/>
          <w:color w:val="auto"/>
          <w:highlight w:val="none"/>
        </w:rPr>
        <w:t>”。既不属于“</w:t>
      </w:r>
      <w:r>
        <w:rPr>
          <w:rFonts w:hint="eastAsia" w:ascii="宋体" w:hAnsi="宋体"/>
          <w:color w:val="auto"/>
          <w:highlight w:val="none"/>
        </w:rPr>
        <w:t>正偏离</w:t>
      </w:r>
      <w:r>
        <w:rPr>
          <w:rFonts w:hint="eastAsia" w:ascii="宋体" w:hAnsi="宋体"/>
          <w:b w:val="0"/>
          <w:bCs w:val="0"/>
          <w:color w:val="auto"/>
          <w:highlight w:val="none"/>
        </w:rPr>
        <w:t>”也不属于“</w:t>
      </w:r>
      <w:r>
        <w:rPr>
          <w:rFonts w:hint="eastAsia" w:ascii="宋体" w:hAnsi="宋体"/>
          <w:color w:val="auto"/>
          <w:highlight w:val="none"/>
        </w:rPr>
        <w:t>负偏离</w:t>
      </w:r>
      <w:r>
        <w:rPr>
          <w:rFonts w:hint="eastAsia" w:ascii="宋体" w:hAnsi="宋体"/>
          <w:b w:val="0"/>
          <w:bCs w:val="0"/>
          <w:color w:val="auto"/>
          <w:highlight w:val="none"/>
        </w:rPr>
        <w:t>”即为“</w:t>
      </w:r>
      <w:r>
        <w:rPr>
          <w:rFonts w:hint="eastAsia" w:ascii="宋体" w:hAnsi="宋体"/>
          <w:color w:val="auto"/>
          <w:highlight w:val="none"/>
        </w:rPr>
        <w:t>无偏离</w:t>
      </w:r>
      <w:r>
        <w:rPr>
          <w:rFonts w:hint="eastAsia" w:ascii="宋体" w:hAnsi="宋体"/>
          <w:b w:val="0"/>
          <w:bCs w:val="0"/>
          <w:color w:val="auto"/>
          <w:highlight w:val="none"/>
        </w:rPr>
        <w:t>”。</w:t>
      </w:r>
    </w:p>
    <w:p w14:paraId="08F7A9A6">
      <w:pPr>
        <w:pStyle w:val="17"/>
        <w:spacing w:line="360" w:lineRule="auto"/>
        <w:contextualSpacing/>
        <w:rPr>
          <w:rFonts w:hint="eastAsia" w:ascii="宋体" w:hAnsi="宋体"/>
          <w:color w:val="auto"/>
          <w:spacing w:val="20"/>
          <w:highlight w:val="none"/>
        </w:rPr>
      </w:pPr>
    </w:p>
    <w:p w14:paraId="41BE64DC">
      <w:pPr>
        <w:spacing w:line="360" w:lineRule="auto"/>
        <w:contextualSpacing/>
        <w:rPr>
          <w:rFonts w:hint="eastAsia"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pacing w:val="20"/>
          <w:sz w:val="24"/>
          <w:highlight w:val="none"/>
          <w:u w:val="single"/>
        </w:rPr>
        <w:t xml:space="preserve">        </w:t>
      </w:r>
    </w:p>
    <w:p w14:paraId="6E98E91C">
      <w:pPr>
        <w:spacing w:line="360" w:lineRule="auto"/>
        <w:contextualSpacing/>
        <w:rPr>
          <w:rFonts w:hint="eastAsia" w:ascii="宋体" w:hAnsi="宋体"/>
          <w:color w:val="auto"/>
          <w:spacing w:val="20"/>
          <w:sz w:val="24"/>
          <w:highlight w:val="none"/>
        </w:rPr>
      </w:pPr>
      <w:r>
        <w:rPr>
          <w:rFonts w:hint="eastAsia" w:ascii="宋体" w:hAnsi="宋体"/>
          <w:color w:val="auto"/>
          <w:spacing w:val="20"/>
          <w:sz w:val="24"/>
          <w:highlight w:val="none"/>
        </w:rPr>
        <w:t>投标人名称（电子签章）：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4B9B1931">
      <w:pPr>
        <w:spacing w:line="360" w:lineRule="auto"/>
        <w:contextualSpacing/>
        <w:rPr>
          <w:rFonts w:hint="eastAsia" w:ascii="宋体" w:hAnsi="宋体"/>
          <w:color w:val="auto"/>
          <w:sz w:val="24"/>
          <w:szCs w:val="20"/>
          <w:highlight w:val="none"/>
        </w:r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p>
    <w:p w14:paraId="3E4937B1">
      <w:pPr>
        <w:spacing w:line="360" w:lineRule="auto"/>
        <w:contextualSpacing/>
        <w:rPr>
          <w:rFonts w:hint="eastAsia" w:ascii="宋体" w:hAnsi="宋体"/>
          <w:color w:val="auto"/>
          <w:spacing w:val="20"/>
          <w:sz w:val="24"/>
          <w:highlight w:val="none"/>
          <w:u w:val="single"/>
        </w:rPr>
      </w:pPr>
    </w:p>
    <w:p w14:paraId="749EF21A">
      <w:pPr>
        <w:spacing w:line="360" w:lineRule="auto"/>
        <w:contextualSpacing/>
        <w:rPr>
          <w:rFonts w:hint="eastAsia" w:ascii="宋体" w:hAnsi="宋体"/>
          <w:color w:val="auto"/>
          <w:sz w:val="24"/>
          <w:szCs w:val="20"/>
          <w:highlight w:val="none"/>
        </w:rPr>
      </w:pPr>
    </w:p>
    <w:p w14:paraId="1040F811">
      <w:pPr>
        <w:snapToGrid w:val="0"/>
        <w:spacing w:before="120" w:beforeLines="50" w:after="50"/>
        <w:ind w:left="142"/>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10.项目实施人员一览表格式</w:t>
      </w:r>
    </w:p>
    <w:p w14:paraId="2FC8E977">
      <w:pPr>
        <w:snapToGrid w:val="0"/>
        <w:spacing w:before="120" w:beforeLines="50" w:after="50"/>
        <w:ind w:left="142"/>
        <w:jc w:val="left"/>
        <w:rPr>
          <w:rFonts w:hint="eastAsia" w:ascii="宋体" w:hAnsi="宋体"/>
          <w:b/>
          <w:color w:val="auto"/>
          <w:sz w:val="24"/>
          <w:highlight w:val="none"/>
        </w:rPr>
      </w:pPr>
    </w:p>
    <w:p w14:paraId="0CA941BD">
      <w:pPr>
        <w:snapToGrid w:val="0"/>
        <w:spacing w:before="120" w:beforeLines="50" w:after="50"/>
        <w:ind w:left="142"/>
        <w:jc w:val="center"/>
        <w:rPr>
          <w:rFonts w:hint="eastAsia" w:ascii="宋体" w:hAnsi="宋体"/>
          <w:b/>
          <w:color w:val="auto"/>
          <w:sz w:val="32"/>
          <w:szCs w:val="32"/>
          <w:highlight w:val="none"/>
        </w:rPr>
      </w:pPr>
      <w:r>
        <w:rPr>
          <w:rFonts w:hint="eastAsia" w:ascii="宋体" w:hAnsi="宋体"/>
          <w:b/>
          <w:color w:val="auto"/>
          <w:sz w:val="32"/>
          <w:szCs w:val="32"/>
          <w:highlight w:val="none"/>
        </w:rPr>
        <w:t>项目实施人员一览表</w:t>
      </w:r>
    </w:p>
    <w:p w14:paraId="0C585F88">
      <w:pPr>
        <w:pStyle w:val="25"/>
        <w:rPr>
          <w:rFonts w:hint="eastAsia"/>
          <w:color w:val="auto"/>
          <w:sz w:val="24"/>
          <w:szCs w:val="24"/>
          <w:highlight w:val="none"/>
        </w:rPr>
      </w:pPr>
      <w:r>
        <w:rPr>
          <w:rFonts w:hint="eastAsia"/>
          <w:color w:val="auto"/>
          <w:sz w:val="24"/>
          <w:szCs w:val="24"/>
          <w:highlight w:val="none"/>
        </w:rPr>
        <w:t>所投分标：</w:t>
      </w:r>
      <w:r>
        <w:rPr>
          <w:rFonts w:hint="eastAsia"/>
          <w:color w:val="auto"/>
          <w:sz w:val="24"/>
          <w:szCs w:val="24"/>
          <w:highlight w:val="none"/>
          <w:u w:val="single"/>
        </w:rPr>
        <w:t xml:space="preserve">     </w:t>
      </w:r>
      <w:r>
        <w:rPr>
          <w:rFonts w:hint="eastAsia"/>
          <w:color w:val="auto"/>
          <w:sz w:val="24"/>
          <w:szCs w:val="24"/>
          <w:highlight w:val="none"/>
        </w:rPr>
        <w:t>分标</w:t>
      </w:r>
    </w:p>
    <w:tbl>
      <w:tblPr>
        <w:tblStyle w:val="47"/>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7FCAC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512A1527">
            <w:pPr>
              <w:snapToGrid w:val="0"/>
              <w:spacing w:before="50" w:after="120" w:afterLines="50"/>
              <w:jc w:val="center"/>
              <w:rPr>
                <w:rFonts w:hint="eastAsia" w:ascii="宋体" w:hAnsi="宋体"/>
                <w:color w:val="auto"/>
                <w:sz w:val="24"/>
                <w:szCs w:val="20"/>
                <w:highlight w:val="none"/>
              </w:rPr>
            </w:pPr>
            <w:r>
              <w:rPr>
                <w:rFonts w:hint="eastAsia" w:ascii="宋体" w:hAnsi="宋体"/>
                <w:color w:val="auto"/>
                <w:sz w:val="24"/>
                <w:szCs w:val="20"/>
                <w:highlight w:val="none"/>
              </w:rPr>
              <w:t>姓名</w:t>
            </w:r>
          </w:p>
        </w:tc>
        <w:tc>
          <w:tcPr>
            <w:tcW w:w="709" w:type="dxa"/>
            <w:noWrap w:val="0"/>
            <w:vAlign w:val="center"/>
          </w:tcPr>
          <w:p w14:paraId="43F2B277">
            <w:pPr>
              <w:snapToGrid w:val="0"/>
              <w:spacing w:before="50" w:after="120" w:afterLines="50"/>
              <w:jc w:val="center"/>
              <w:rPr>
                <w:rFonts w:hint="eastAsia" w:ascii="宋体" w:hAnsi="宋体"/>
                <w:color w:val="auto"/>
                <w:sz w:val="24"/>
                <w:szCs w:val="20"/>
                <w:highlight w:val="none"/>
              </w:rPr>
            </w:pPr>
            <w:r>
              <w:rPr>
                <w:rFonts w:hint="eastAsia" w:ascii="宋体" w:hAnsi="宋体"/>
                <w:color w:val="auto"/>
                <w:sz w:val="24"/>
                <w:szCs w:val="20"/>
                <w:highlight w:val="none"/>
              </w:rPr>
              <w:t>职务</w:t>
            </w:r>
          </w:p>
        </w:tc>
        <w:tc>
          <w:tcPr>
            <w:tcW w:w="1701" w:type="dxa"/>
            <w:noWrap w:val="0"/>
            <w:vAlign w:val="center"/>
          </w:tcPr>
          <w:p w14:paraId="6A7AD54F">
            <w:pPr>
              <w:snapToGrid w:val="0"/>
              <w:spacing w:before="50" w:after="120" w:afterLines="50"/>
              <w:jc w:val="center"/>
              <w:rPr>
                <w:rFonts w:hint="eastAsia" w:ascii="宋体" w:hAnsi="宋体"/>
                <w:color w:val="auto"/>
                <w:sz w:val="24"/>
                <w:szCs w:val="20"/>
                <w:highlight w:val="none"/>
              </w:rPr>
            </w:pPr>
            <w:r>
              <w:rPr>
                <w:rFonts w:hint="eastAsia" w:ascii="宋体" w:hAnsi="宋体"/>
                <w:color w:val="auto"/>
                <w:sz w:val="24"/>
                <w:szCs w:val="20"/>
                <w:highlight w:val="none"/>
              </w:rPr>
              <w:t>专业技术资格（职称）或者</w:t>
            </w:r>
            <w:r>
              <w:rPr>
                <w:rFonts w:hint="eastAsia" w:ascii="宋体" w:hAnsi="宋体"/>
                <w:color w:val="auto"/>
                <w:sz w:val="24"/>
                <w:szCs w:val="20"/>
                <w:highlight w:val="none"/>
                <w:lang w:eastAsia="zh-CN"/>
              </w:rPr>
              <w:t>执业资格</w:t>
            </w:r>
            <w:r>
              <w:rPr>
                <w:rFonts w:hint="eastAsia" w:ascii="宋体" w:hAnsi="宋体"/>
                <w:color w:val="auto"/>
                <w:sz w:val="24"/>
                <w:szCs w:val="20"/>
                <w:highlight w:val="none"/>
              </w:rPr>
              <w:t>或者执业资格证或者其他证书</w:t>
            </w:r>
          </w:p>
        </w:tc>
        <w:tc>
          <w:tcPr>
            <w:tcW w:w="1420" w:type="dxa"/>
            <w:noWrap w:val="0"/>
            <w:vAlign w:val="center"/>
          </w:tcPr>
          <w:p w14:paraId="42939107">
            <w:pPr>
              <w:snapToGrid w:val="0"/>
              <w:spacing w:before="50" w:after="120" w:afterLines="50"/>
              <w:jc w:val="center"/>
              <w:rPr>
                <w:rFonts w:hint="eastAsia" w:ascii="宋体" w:hAnsi="宋体"/>
                <w:color w:val="auto"/>
                <w:sz w:val="24"/>
                <w:szCs w:val="20"/>
                <w:highlight w:val="none"/>
              </w:rPr>
            </w:pPr>
            <w:r>
              <w:rPr>
                <w:rFonts w:hint="eastAsia" w:ascii="宋体" w:hAnsi="宋体"/>
                <w:color w:val="auto"/>
                <w:sz w:val="24"/>
                <w:szCs w:val="20"/>
                <w:highlight w:val="none"/>
              </w:rPr>
              <w:t>证书编号</w:t>
            </w:r>
          </w:p>
        </w:tc>
        <w:tc>
          <w:tcPr>
            <w:tcW w:w="1698" w:type="dxa"/>
            <w:noWrap w:val="0"/>
            <w:vAlign w:val="center"/>
          </w:tcPr>
          <w:p w14:paraId="23E17EC3">
            <w:pPr>
              <w:snapToGrid w:val="0"/>
              <w:spacing w:before="50" w:after="120" w:afterLines="50"/>
              <w:jc w:val="center"/>
              <w:rPr>
                <w:rFonts w:hint="eastAsia" w:ascii="宋体" w:hAnsi="宋体"/>
                <w:color w:val="auto"/>
                <w:sz w:val="24"/>
                <w:szCs w:val="20"/>
                <w:highlight w:val="none"/>
              </w:rPr>
            </w:pPr>
            <w:r>
              <w:rPr>
                <w:rFonts w:hint="eastAsia" w:ascii="宋体" w:hAnsi="宋体"/>
                <w:color w:val="auto"/>
                <w:sz w:val="24"/>
                <w:szCs w:val="20"/>
                <w:highlight w:val="none"/>
              </w:rPr>
              <w:t>参加本单位</w:t>
            </w:r>
          </w:p>
          <w:p w14:paraId="4E8532E8">
            <w:pPr>
              <w:snapToGrid w:val="0"/>
              <w:spacing w:before="50" w:after="120" w:afterLines="50"/>
              <w:jc w:val="center"/>
              <w:rPr>
                <w:rFonts w:hint="eastAsia" w:ascii="宋体" w:hAnsi="宋体"/>
                <w:color w:val="auto"/>
                <w:sz w:val="24"/>
                <w:szCs w:val="20"/>
                <w:highlight w:val="none"/>
              </w:rPr>
            </w:pPr>
            <w:r>
              <w:rPr>
                <w:rFonts w:hint="eastAsia" w:ascii="宋体" w:hAnsi="宋体"/>
                <w:color w:val="auto"/>
                <w:sz w:val="24"/>
                <w:szCs w:val="20"/>
                <w:highlight w:val="none"/>
              </w:rPr>
              <w:t>工作时间</w:t>
            </w:r>
          </w:p>
        </w:tc>
        <w:tc>
          <w:tcPr>
            <w:tcW w:w="1843" w:type="dxa"/>
            <w:noWrap w:val="0"/>
            <w:vAlign w:val="center"/>
          </w:tcPr>
          <w:p w14:paraId="706839EC">
            <w:pPr>
              <w:snapToGrid w:val="0"/>
              <w:spacing w:before="50" w:after="120" w:afterLines="50"/>
              <w:jc w:val="center"/>
              <w:rPr>
                <w:rFonts w:hint="eastAsia" w:ascii="宋体" w:hAnsi="宋体"/>
                <w:color w:val="auto"/>
                <w:sz w:val="24"/>
                <w:szCs w:val="20"/>
                <w:highlight w:val="none"/>
              </w:rPr>
            </w:pPr>
            <w:r>
              <w:rPr>
                <w:rFonts w:hint="eastAsia" w:ascii="宋体" w:hAnsi="宋体"/>
                <w:color w:val="auto"/>
                <w:sz w:val="24"/>
                <w:szCs w:val="20"/>
                <w:highlight w:val="none"/>
              </w:rPr>
              <w:t>劳动合同编号</w:t>
            </w:r>
          </w:p>
        </w:tc>
      </w:tr>
      <w:tr w14:paraId="70F7B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039BA077">
            <w:pPr>
              <w:snapToGrid w:val="0"/>
              <w:spacing w:before="50" w:after="120" w:afterLines="50"/>
              <w:jc w:val="center"/>
              <w:rPr>
                <w:rFonts w:hint="eastAsia" w:ascii="宋体" w:hAnsi="宋体"/>
                <w:color w:val="auto"/>
                <w:sz w:val="24"/>
                <w:szCs w:val="20"/>
                <w:highlight w:val="none"/>
              </w:rPr>
            </w:pPr>
          </w:p>
        </w:tc>
        <w:tc>
          <w:tcPr>
            <w:tcW w:w="709" w:type="dxa"/>
            <w:noWrap w:val="0"/>
            <w:vAlign w:val="center"/>
          </w:tcPr>
          <w:p w14:paraId="440CB649">
            <w:pPr>
              <w:snapToGrid w:val="0"/>
              <w:spacing w:before="50" w:after="120" w:afterLines="50"/>
              <w:jc w:val="center"/>
              <w:rPr>
                <w:rFonts w:hint="eastAsia" w:ascii="宋体" w:hAnsi="宋体"/>
                <w:color w:val="auto"/>
                <w:sz w:val="24"/>
                <w:szCs w:val="20"/>
                <w:highlight w:val="none"/>
              </w:rPr>
            </w:pPr>
          </w:p>
        </w:tc>
        <w:tc>
          <w:tcPr>
            <w:tcW w:w="1701" w:type="dxa"/>
            <w:noWrap w:val="0"/>
            <w:vAlign w:val="center"/>
          </w:tcPr>
          <w:p w14:paraId="5EE30CA6">
            <w:pPr>
              <w:snapToGrid w:val="0"/>
              <w:spacing w:before="50" w:after="120" w:afterLines="50"/>
              <w:jc w:val="center"/>
              <w:rPr>
                <w:rFonts w:hint="eastAsia" w:ascii="宋体" w:hAnsi="宋体"/>
                <w:color w:val="auto"/>
                <w:sz w:val="24"/>
                <w:szCs w:val="20"/>
                <w:highlight w:val="none"/>
              </w:rPr>
            </w:pPr>
          </w:p>
        </w:tc>
        <w:tc>
          <w:tcPr>
            <w:tcW w:w="1420" w:type="dxa"/>
            <w:noWrap w:val="0"/>
            <w:vAlign w:val="center"/>
          </w:tcPr>
          <w:p w14:paraId="6474AA70">
            <w:pPr>
              <w:snapToGrid w:val="0"/>
              <w:spacing w:before="50" w:after="120" w:afterLines="50"/>
              <w:jc w:val="center"/>
              <w:rPr>
                <w:rFonts w:hint="eastAsia" w:ascii="宋体" w:hAnsi="宋体"/>
                <w:color w:val="auto"/>
                <w:sz w:val="24"/>
                <w:szCs w:val="20"/>
                <w:highlight w:val="none"/>
              </w:rPr>
            </w:pPr>
          </w:p>
        </w:tc>
        <w:tc>
          <w:tcPr>
            <w:tcW w:w="1698" w:type="dxa"/>
            <w:noWrap w:val="0"/>
            <w:vAlign w:val="center"/>
          </w:tcPr>
          <w:p w14:paraId="4565C4DC">
            <w:pPr>
              <w:snapToGrid w:val="0"/>
              <w:spacing w:before="50" w:after="120" w:afterLines="50"/>
              <w:jc w:val="center"/>
              <w:rPr>
                <w:rFonts w:hint="eastAsia" w:ascii="宋体" w:hAnsi="宋体"/>
                <w:color w:val="auto"/>
                <w:sz w:val="24"/>
                <w:szCs w:val="20"/>
                <w:highlight w:val="none"/>
              </w:rPr>
            </w:pPr>
          </w:p>
        </w:tc>
        <w:tc>
          <w:tcPr>
            <w:tcW w:w="1843" w:type="dxa"/>
            <w:noWrap w:val="0"/>
            <w:vAlign w:val="center"/>
          </w:tcPr>
          <w:p w14:paraId="1631A521">
            <w:pPr>
              <w:snapToGrid w:val="0"/>
              <w:spacing w:before="50" w:after="120" w:afterLines="50"/>
              <w:jc w:val="center"/>
              <w:rPr>
                <w:rFonts w:hint="eastAsia" w:ascii="宋体" w:hAnsi="宋体"/>
                <w:color w:val="auto"/>
                <w:sz w:val="24"/>
                <w:szCs w:val="20"/>
                <w:highlight w:val="none"/>
              </w:rPr>
            </w:pPr>
          </w:p>
        </w:tc>
      </w:tr>
      <w:tr w14:paraId="2AA7C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6BEBD2CB">
            <w:pPr>
              <w:snapToGrid w:val="0"/>
              <w:spacing w:before="50" w:after="120" w:afterLines="50"/>
              <w:jc w:val="center"/>
              <w:rPr>
                <w:rFonts w:hint="eastAsia" w:ascii="宋体" w:hAnsi="宋体"/>
                <w:color w:val="auto"/>
                <w:sz w:val="24"/>
                <w:szCs w:val="20"/>
                <w:highlight w:val="none"/>
              </w:rPr>
            </w:pPr>
          </w:p>
        </w:tc>
        <w:tc>
          <w:tcPr>
            <w:tcW w:w="709" w:type="dxa"/>
            <w:noWrap w:val="0"/>
            <w:vAlign w:val="center"/>
          </w:tcPr>
          <w:p w14:paraId="146AA60B">
            <w:pPr>
              <w:snapToGrid w:val="0"/>
              <w:spacing w:before="50" w:after="120" w:afterLines="50"/>
              <w:jc w:val="center"/>
              <w:rPr>
                <w:rFonts w:hint="eastAsia" w:ascii="宋体" w:hAnsi="宋体"/>
                <w:color w:val="auto"/>
                <w:sz w:val="24"/>
                <w:szCs w:val="20"/>
                <w:highlight w:val="none"/>
              </w:rPr>
            </w:pPr>
          </w:p>
        </w:tc>
        <w:tc>
          <w:tcPr>
            <w:tcW w:w="1701" w:type="dxa"/>
            <w:noWrap w:val="0"/>
            <w:vAlign w:val="center"/>
          </w:tcPr>
          <w:p w14:paraId="59E78583">
            <w:pPr>
              <w:snapToGrid w:val="0"/>
              <w:spacing w:before="50" w:after="120" w:afterLines="50"/>
              <w:jc w:val="center"/>
              <w:rPr>
                <w:rFonts w:hint="eastAsia" w:ascii="宋体" w:hAnsi="宋体"/>
                <w:color w:val="auto"/>
                <w:sz w:val="24"/>
                <w:szCs w:val="20"/>
                <w:highlight w:val="none"/>
              </w:rPr>
            </w:pPr>
          </w:p>
        </w:tc>
        <w:tc>
          <w:tcPr>
            <w:tcW w:w="1420" w:type="dxa"/>
            <w:noWrap w:val="0"/>
            <w:vAlign w:val="center"/>
          </w:tcPr>
          <w:p w14:paraId="091AE291">
            <w:pPr>
              <w:snapToGrid w:val="0"/>
              <w:spacing w:before="50" w:after="120" w:afterLines="50"/>
              <w:jc w:val="center"/>
              <w:rPr>
                <w:rFonts w:hint="eastAsia" w:ascii="宋体" w:hAnsi="宋体"/>
                <w:color w:val="auto"/>
                <w:sz w:val="24"/>
                <w:szCs w:val="20"/>
                <w:highlight w:val="none"/>
              </w:rPr>
            </w:pPr>
          </w:p>
        </w:tc>
        <w:tc>
          <w:tcPr>
            <w:tcW w:w="1698" w:type="dxa"/>
            <w:noWrap w:val="0"/>
            <w:vAlign w:val="center"/>
          </w:tcPr>
          <w:p w14:paraId="3700574F">
            <w:pPr>
              <w:snapToGrid w:val="0"/>
              <w:spacing w:before="50" w:after="120" w:afterLines="50"/>
              <w:jc w:val="center"/>
              <w:rPr>
                <w:rFonts w:hint="eastAsia" w:ascii="宋体" w:hAnsi="宋体"/>
                <w:color w:val="auto"/>
                <w:sz w:val="24"/>
                <w:szCs w:val="20"/>
                <w:highlight w:val="none"/>
              </w:rPr>
            </w:pPr>
          </w:p>
        </w:tc>
        <w:tc>
          <w:tcPr>
            <w:tcW w:w="1843" w:type="dxa"/>
            <w:noWrap w:val="0"/>
            <w:vAlign w:val="center"/>
          </w:tcPr>
          <w:p w14:paraId="20D17199">
            <w:pPr>
              <w:snapToGrid w:val="0"/>
              <w:spacing w:before="50" w:after="120" w:afterLines="50"/>
              <w:jc w:val="center"/>
              <w:rPr>
                <w:rFonts w:hint="eastAsia" w:ascii="宋体" w:hAnsi="宋体"/>
                <w:color w:val="auto"/>
                <w:sz w:val="24"/>
                <w:szCs w:val="20"/>
                <w:highlight w:val="none"/>
              </w:rPr>
            </w:pPr>
          </w:p>
        </w:tc>
      </w:tr>
      <w:tr w14:paraId="19A57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29D15E86">
            <w:pPr>
              <w:snapToGrid w:val="0"/>
              <w:spacing w:before="50" w:after="120" w:afterLines="50"/>
              <w:jc w:val="center"/>
              <w:rPr>
                <w:rFonts w:hint="eastAsia" w:ascii="宋体" w:hAnsi="宋体"/>
                <w:color w:val="auto"/>
                <w:sz w:val="24"/>
                <w:szCs w:val="20"/>
                <w:highlight w:val="none"/>
              </w:rPr>
            </w:pPr>
          </w:p>
        </w:tc>
        <w:tc>
          <w:tcPr>
            <w:tcW w:w="709" w:type="dxa"/>
            <w:noWrap w:val="0"/>
            <w:vAlign w:val="center"/>
          </w:tcPr>
          <w:p w14:paraId="7406F203">
            <w:pPr>
              <w:snapToGrid w:val="0"/>
              <w:spacing w:before="50" w:after="120" w:afterLines="50"/>
              <w:jc w:val="center"/>
              <w:rPr>
                <w:rFonts w:hint="eastAsia" w:ascii="宋体" w:hAnsi="宋体"/>
                <w:color w:val="auto"/>
                <w:sz w:val="24"/>
                <w:szCs w:val="20"/>
                <w:highlight w:val="none"/>
              </w:rPr>
            </w:pPr>
          </w:p>
        </w:tc>
        <w:tc>
          <w:tcPr>
            <w:tcW w:w="1701" w:type="dxa"/>
            <w:noWrap w:val="0"/>
            <w:vAlign w:val="center"/>
          </w:tcPr>
          <w:p w14:paraId="71D31001">
            <w:pPr>
              <w:snapToGrid w:val="0"/>
              <w:spacing w:before="50" w:after="120" w:afterLines="50"/>
              <w:jc w:val="center"/>
              <w:rPr>
                <w:rFonts w:hint="eastAsia" w:ascii="宋体" w:hAnsi="宋体"/>
                <w:color w:val="auto"/>
                <w:sz w:val="24"/>
                <w:szCs w:val="20"/>
                <w:highlight w:val="none"/>
              </w:rPr>
            </w:pPr>
          </w:p>
        </w:tc>
        <w:tc>
          <w:tcPr>
            <w:tcW w:w="1420" w:type="dxa"/>
            <w:noWrap w:val="0"/>
            <w:vAlign w:val="center"/>
          </w:tcPr>
          <w:p w14:paraId="58FB56D2">
            <w:pPr>
              <w:snapToGrid w:val="0"/>
              <w:spacing w:before="50" w:after="120" w:afterLines="50"/>
              <w:jc w:val="center"/>
              <w:rPr>
                <w:rFonts w:hint="eastAsia" w:ascii="宋体" w:hAnsi="宋体"/>
                <w:color w:val="auto"/>
                <w:sz w:val="24"/>
                <w:szCs w:val="20"/>
                <w:highlight w:val="none"/>
              </w:rPr>
            </w:pPr>
          </w:p>
        </w:tc>
        <w:tc>
          <w:tcPr>
            <w:tcW w:w="1698" w:type="dxa"/>
            <w:noWrap w:val="0"/>
            <w:vAlign w:val="center"/>
          </w:tcPr>
          <w:p w14:paraId="178490F6">
            <w:pPr>
              <w:snapToGrid w:val="0"/>
              <w:spacing w:before="50" w:after="120" w:afterLines="50"/>
              <w:jc w:val="center"/>
              <w:rPr>
                <w:rFonts w:hint="eastAsia" w:ascii="宋体" w:hAnsi="宋体"/>
                <w:color w:val="auto"/>
                <w:sz w:val="24"/>
                <w:szCs w:val="20"/>
                <w:highlight w:val="none"/>
              </w:rPr>
            </w:pPr>
          </w:p>
        </w:tc>
        <w:tc>
          <w:tcPr>
            <w:tcW w:w="1843" w:type="dxa"/>
            <w:noWrap w:val="0"/>
            <w:vAlign w:val="center"/>
          </w:tcPr>
          <w:p w14:paraId="01EF41E9">
            <w:pPr>
              <w:snapToGrid w:val="0"/>
              <w:spacing w:before="50" w:after="120" w:afterLines="50"/>
              <w:jc w:val="center"/>
              <w:rPr>
                <w:rFonts w:hint="eastAsia" w:ascii="宋体" w:hAnsi="宋体"/>
                <w:color w:val="auto"/>
                <w:sz w:val="24"/>
                <w:szCs w:val="20"/>
                <w:highlight w:val="none"/>
              </w:rPr>
            </w:pPr>
          </w:p>
        </w:tc>
      </w:tr>
    </w:tbl>
    <w:p w14:paraId="268CAC6D">
      <w:pPr>
        <w:snapToGrid w:val="0"/>
        <w:spacing w:before="50" w:after="120" w:afterLines="50"/>
        <w:jc w:val="left"/>
        <w:rPr>
          <w:rFonts w:hint="eastAsia" w:ascii="宋体" w:hAnsi="宋体"/>
          <w:color w:val="auto"/>
          <w:sz w:val="24"/>
          <w:szCs w:val="20"/>
          <w:highlight w:val="none"/>
        </w:rPr>
      </w:pPr>
    </w:p>
    <w:p w14:paraId="05FBBCE1">
      <w:pPr>
        <w:spacing w:line="360" w:lineRule="auto"/>
        <w:contextualSpacing/>
        <w:jc w:val="left"/>
        <w:rPr>
          <w:rFonts w:hint="eastAsia" w:ascii="宋体" w:hAnsi="宋体"/>
          <w:color w:val="auto"/>
          <w:sz w:val="24"/>
          <w:szCs w:val="20"/>
          <w:highlight w:val="none"/>
        </w:rPr>
      </w:pPr>
      <w:r>
        <w:rPr>
          <w:rFonts w:hint="eastAsia" w:ascii="宋体" w:hAnsi="宋体"/>
          <w:color w:val="auto"/>
          <w:sz w:val="24"/>
          <w:szCs w:val="20"/>
          <w:highlight w:val="none"/>
        </w:rPr>
        <w:t>注：</w:t>
      </w:r>
    </w:p>
    <w:p w14:paraId="565A01D8">
      <w:pPr>
        <w:spacing w:line="360" w:lineRule="auto"/>
        <w:contextualSpacing/>
        <w:jc w:val="left"/>
        <w:rPr>
          <w:rFonts w:hint="eastAsia" w:ascii="宋体" w:hAnsi="宋体"/>
          <w:color w:val="auto"/>
          <w:sz w:val="24"/>
          <w:szCs w:val="20"/>
          <w:highlight w:val="none"/>
        </w:rPr>
      </w:pPr>
      <w:r>
        <w:rPr>
          <w:rFonts w:hint="eastAsia" w:ascii="宋体" w:hAnsi="宋体"/>
          <w:color w:val="auto"/>
          <w:sz w:val="24"/>
          <w:szCs w:val="20"/>
          <w:highlight w:val="none"/>
        </w:rPr>
        <w:t>1.在填写时，如本表格不适合投标单位的实际情况，可根据本表格式自行制表填写。</w:t>
      </w:r>
    </w:p>
    <w:p w14:paraId="4684989F">
      <w:pPr>
        <w:spacing w:line="360" w:lineRule="auto"/>
        <w:contextualSpacing/>
        <w:jc w:val="left"/>
        <w:rPr>
          <w:rFonts w:hint="eastAsia" w:ascii="宋体" w:hAnsi="宋体"/>
          <w:color w:val="auto"/>
          <w:sz w:val="24"/>
          <w:szCs w:val="20"/>
          <w:highlight w:val="none"/>
        </w:rPr>
      </w:pPr>
      <w:r>
        <w:rPr>
          <w:rFonts w:hint="eastAsia" w:ascii="宋体" w:hAnsi="宋体"/>
          <w:color w:val="auto"/>
          <w:sz w:val="24"/>
          <w:szCs w:val="20"/>
          <w:highlight w:val="none"/>
        </w:rPr>
        <w:t>2.投标人应当附本表所列证书的复印件并加盖投标人电子签章。</w:t>
      </w:r>
    </w:p>
    <w:p w14:paraId="5898405F">
      <w:pPr>
        <w:spacing w:line="360" w:lineRule="auto"/>
        <w:contextualSpacing/>
        <w:jc w:val="left"/>
        <w:rPr>
          <w:rFonts w:hint="eastAsia" w:ascii="宋体" w:hAnsi="宋体"/>
          <w:color w:val="auto"/>
          <w:sz w:val="24"/>
          <w:szCs w:val="20"/>
          <w:highlight w:val="none"/>
        </w:rPr>
      </w:pPr>
    </w:p>
    <w:p w14:paraId="5E834C70">
      <w:pPr>
        <w:spacing w:line="360" w:lineRule="auto"/>
        <w:contextualSpacing/>
        <w:rPr>
          <w:rFonts w:hint="eastAsia" w:ascii="宋体" w:hAnsi="宋体"/>
          <w:color w:val="auto"/>
          <w:spacing w:val="20"/>
          <w:sz w:val="24"/>
          <w:szCs w:val="20"/>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pacing w:val="20"/>
          <w:sz w:val="24"/>
          <w:highlight w:val="none"/>
          <w:u w:val="single"/>
        </w:rPr>
        <w:t xml:space="preserve">        </w:t>
      </w:r>
    </w:p>
    <w:p w14:paraId="37CB5411">
      <w:pPr>
        <w:spacing w:line="360" w:lineRule="auto"/>
        <w:contextualSpacing/>
        <w:jc w:val="left"/>
        <w:rPr>
          <w:rFonts w:hint="eastAsia" w:ascii="宋体" w:hAnsi="宋体"/>
          <w:color w:val="auto"/>
          <w:spacing w:val="20"/>
          <w:sz w:val="24"/>
          <w:highlight w:val="none"/>
        </w:rPr>
      </w:pPr>
      <w:r>
        <w:rPr>
          <w:rFonts w:hint="eastAsia" w:ascii="宋体" w:hAnsi="宋体"/>
          <w:color w:val="auto"/>
          <w:spacing w:val="20"/>
          <w:sz w:val="24"/>
          <w:highlight w:val="none"/>
        </w:rPr>
        <w:t>投标人名称（电子签章）：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16D9290F">
      <w:pPr>
        <w:spacing w:line="360" w:lineRule="auto"/>
        <w:contextualSpacing/>
        <w:jc w:val="left"/>
        <w:rPr>
          <w:rFonts w:hint="eastAsia" w:ascii="宋体" w:hAnsi="宋体"/>
          <w:color w:val="auto"/>
          <w:sz w:val="24"/>
          <w:szCs w:val="20"/>
          <w:highlight w:val="none"/>
        </w:r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p>
    <w:p w14:paraId="231A5689">
      <w:pPr>
        <w:spacing w:line="360" w:lineRule="auto"/>
        <w:contextualSpacing/>
        <w:jc w:val="left"/>
        <w:rPr>
          <w:rFonts w:hint="eastAsia" w:ascii="宋体" w:hAnsi="宋体"/>
          <w:color w:val="auto"/>
          <w:sz w:val="24"/>
          <w:szCs w:val="20"/>
          <w:highlight w:val="none"/>
        </w:rPr>
      </w:pPr>
    </w:p>
    <w:p w14:paraId="11F11BDB">
      <w:pPr>
        <w:snapToGrid w:val="0"/>
        <w:spacing w:before="50" w:after="120" w:afterLines="50"/>
        <w:jc w:val="left"/>
        <w:rPr>
          <w:rFonts w:hint="eastAsia" w:ascii="宋体" w:hAnsi="宋体"/>
          <w:color w:val="auto"/>
          <w:sz w:val="24"/>
          <w:szCs w:val="20"/>
          <w:highlight w:val="none"/>
        </w:rPr>
      </w:pPr>
    </w:p>
    <w:p w14:paraId="7C45883F">
      <w:pPr>
        <w:snapToGrid w:val="0"/>
        <w:spacing w:before="120" w:beforeLines="50" w:after="50"/>
        <w:jc w:val="left"/>
        <w:rPr>
          <w:rFonts w:hint="eastAsia" w:ascii="宋体" w:hAnsi="宋体"/>
          <w:color w:val="auto"/>
          <w:sz w:val="24"/>
          <w:szCs w:val="20"/>
          <w:highlight w:val="none"/>
        </w:rPr>
      </w:pPr>
    </w:p>
    <w:p w14:paraId="2375F49B">
      <w:pPr>
        <w:snapToGrid w:val="0"/>
        <w:spacing w:before="50" w:after="120" w:afterLines="50"/>
        <w:jc w:val="left"/>
        <w:rPr>
          <w:rFonts w:hint="eastAsia" w:ascii="宋体" w:hAnsi="宋体"/>
          <w:color w:val="auto"/>
          <w:sz w:val="24"/>
          <w:szCs w:val="20"/>
          <w:highlight w:val="none"/>
        </w:rPr>
      </w:pPr>
    </w:p>
    <w:p w14:paraId="495A7097">
      <w:pPr>
        <w:rPr>
          <w:rFonts w:hint="eastAsia"/>
          <w:b/>
          <w:color w:val="auto"/>
          <w:sz w:val="28"/>
          <w:szCs w:val="28"/>
          <w:highlight w:val="none"/>
        </w:rPr>
      </w:pPr>
      <w:r>
        <w:rPr>
          <w:rFonts w:ascii="宋体" w:hAnsi="宋体"/>
          <w:b/>
          <w:bCs/>
          <w:color w:val="auto"/>
          <w:sz w:val="24"/>
          <w:highlight w:val="none"/>
        </w:rPr>
        <w:br w:type="page"/>
      </w:r>
      <w:bookmarkStart w:id="188" w:name="_Toc19686840"/>
      <w:r>
        <w:rPr>
          <w:rFonts w:hint="eastAsia"/>
          <w:b/>
          <w:color w:val="auto"/>
          <w:sz w:val="28"/>
          <w:szCs w:val="28"/>
          <w:highlight w:val="none"/>
        </w:rPr>
        <w:t>四、其他文书、文件格式</w:t>
      </w:r>
      <w:bookmarkEnd w:id="188"/>
    </w:p>
    <w:p w14:paraId="15DF5814">
      <w:pPr>
        <w:spacing w:before="120" w:beforeLines="50" w:after="120" w:afterLines="50" w:line="400" w:lineRule="exact"/>
        <w:rPr>
          <w:rFonts w:hint="eastAsia" w:ascii="宋体" w:hAnsi="宋体"/>
          <w:color w:val="auto"/>
          <w:sz w:val="24"/>
          <w:highlight w:val="none"/>
        </w:rPr>
      </w:pPr>
    </w:p>
    <w:p w14:paraId="1BE42886">
      <w:pPr>
        <w:snapToGrid w:val="0"/>
        <w:spacing w:before="120" w:beforeLines="50" w:after="50"/>
        <w:ind w:left="142"/>
        <w:jc w:val="left"/>
        <w:rPr>
          <w:rFonts w:hint="eastAsia" w:ascii="宋体" w:hAnsi="宋体"/>
          <w:b/>
          <w:color w:val="auto"/>
          <w:spacing w:val="20"/>
          <w:sz w:val="24"/>
          <w:highlight w:val="none"/>
        </w:rPr>
      </w:pPr>
      <w:r>
        <w:rPr>
          <w:rFonts w:hint="eastAsia" w:ascii="宋体" w:hAnsi="宋体"/>
          <w:b/>
          <w:color w:val="auto"/>
          <w:spacing w:val="20"/>
          <w:sz w:val="24"/>
          <w:highlight w:val="none"/>
        </w:rPr>
        <w:t>1.联合投标协议书格式</w:t>
      </w:r>
    </w:p>
    <w:p w14:paraId="72B81CD4">
      <w:pPr>
        <w:pStyle w:val="7"/>
        <w:overflowPunct w:val="0"/>
        <w:jc w:val="center"/>
        <w:rPr>
          <w:rFonts w:hint="eastAsia" w:ascii="Arial Unicode MS" w:hAnsi="Arial Unicode MS" w:eastAsia="Arial Unicode MS" w:cs="Arial Unicode MS"/>
          <w:color w:val="auto"/>
          <w:sz w:val="44"/>
          <w:szCs w:val="44"/>
          <w:highlight w:val="none"/>
        </w:rPr>
      </w:pPr>
      <w:r>
        <w:rPr>
          <w:rFonts w:hint="eastAsia" w:ascii="Arial Unicode MS" w:hAnsi="Arial Unicode MS" w:eastAsia="Arial Unicode MS" w:cs="Arial Unicode MS"/>
          <w:color w:val="auto"/>
          <w:sz w:val="44"/>
          <w:szCs w:val="44"/>
          <w:highlight w:val="none"/>
        </w:rPr>
        <w:t>联合体协议书</w:t>
      </w:r>
    </w:p>
    <w:p w14:paraId="69DA9E81">
      <w:pPr>
        <w:pStyle w:val="7"/>
        <w:overflowPunct w:val="0"/>
        <w:spacing w:line="360" w:lineRule="auto"/>
        <w:ind w:firstLine="0"/>
        <w:contextualSpacing/>
        <w:rPr>
          <w:rFonts w:ascii="宋体" w:hAnsi="宋体"/>
          <w:color w:val="auto"/>
          <w:sz w:val="24"/>
          <w:highlight w:val="none"/>
        </w:rPr>
      </w:pPr>
    </w:p>
    <w:p w14:paraId="215E7D56">
      <w:pPr>
        <w:pStyle w:val="7"/>
        <w:overflowPunct w:val="0"/>
        <w:spacing w:line="360" w:lineRule="auto"/>
        <w:contextualSpacing/>
        <w:rPr>
          <w:rFonts w:ascii="宋体" w:hAnsi="宋体"/>
          <w:color w:val="auto"/>
          <w:sz w:val="24"/>
          <w:highlight w:val="none"/>
        </w:rPr>
      </w:pPr>
      <w:r>
        <w:rPr>
          <w:rFonts w:ascii="宋体" w:hAnsi="宋体"/>
          <w:color w:val="auto"/>
          <w:sz w:val="24"/>
          <w:highlight w:val="none"/>
          <w:u w:val="single"/>
        </w:rPr>
        <w:t xml:space="preserve"> </w:t>
      </w:r>
      <w:r>
        <w:rPr>
          <w:rFonts w:ascii="宋体" w:hAnsi="宋体"/>
          <w:color w:val="auto"/>
          <w:sz w:val="24"/>
          <w:highlight w:val="none"/>
          <w:u w:val="single"/>
        </w:rPr>
        <w:tab/>
      </w:r>
      <w:r>
        <w:rPr>
          <w:rFonts w:hint="eastAsia" w:ascii="宋体" w:hAnsi="宋体"/>
          <w:color w:val="auto"/>
          <w:sz w:val="24"/>
          <w:highlight w:val="none"/>
        </w:rPr>
        <w:t>（所有成员单位名称）自愿组成</w:t>
      </w:r>
      <w:r>
        <w:rPr>
          <w:rFonts w:ascii="宋体" w:hAnsi="宋体"/>
          <w:color w:val="auto"/>
          <w:sz w:val="24"/>
          <w:highlight w:val="none"/>
          <w:u w:val="single"/>
        </w:rPr>
        <w:t xml:space="preserve"> </w:t>
      </w:r>
      <w:r>
        <w:rPr>
          <w:rFonts w:ascii="宋体" w:hAnsi="宋体"/>
          <w:color w:val="auto"/>
          <w:sz w:val="24"/>
          <w:highlight w:val="none"/>
          <w:u w:val="single"/>
        </w:rPr>
        <w:tab/>
      </w:r>
      <w:r>
        <w:rPr>
          <w:rFonts w:hint="eastAsia" w:ascii="宋体" w:hAnsi="宋体"/>
          <w:color w:val="auto"/>
          <w:sz w:val="24"/>
          <w:highlight w:val="none"/>
        </w:rPr>
        <w:t>（联合体名称）联合体，共同参加</w:t>
      </w:r>
      <w:r>
        <w:rPr>
          <w:rFonts w:ascii="宋体" w:hAnsi="宋体"/>
          <w:color w:val="auto"/>
          <w:sz w:val="24"/>
          <w:highlight w:val="none"/>
          <w:u w:val="single"/>
        </w:rPr>
        <w:t xml:space="preserve"> </w:t>
      </w:r>
      <w:r>
        <w:rPr>
          <w:rFonts w:ascii="宋体" w:hAnsi="宋体"/>
          <w:color w:val="auto"/>
          <w:sz w:val="24"/>
          <w:highlight w:val="none"/>
          <w:u w:val="single"/>
        </w:rPr>
        <w:tab/>
      </w:r>
      <w:r>
        <w:rPr>
          <w:rFonts w:hint="eastAsia" w:ascii="宋体" w:hAnsi="宋体"/>
          <w:color w:val="auto"/>
          <w:sz w:val="24"/>
          <w:highlight w:val="none"/>
          <w:u w:val="single"/>
        </w:rPr>
        <w:t>（项</w:t>
      </w:r>
      <w:r>
        <w:rPr>
          <w:rFonts w:hint="eastAsia" w:ascii="宋体" w:hAnsi="宋体"/>
          <w:color w:val="auto"/>
          <w:sz w:val="24"/>
          <w:highlight w:val="none"/>
        </w:rPr>
        <w:t>目名称）采购招标项目投标。现就联合体投标事宜订立如下协议。</w:t>
      </w:r>
    </w:p>
    <w:p w14:paraId="0D4FA3E3">
      <w:pPr>
        <w:pStyle w:val="7"/>
        <w:overflowPunct w:val="0"/>
        <w:spacing w:line="360" w:lineRule="auto"/>
        <w:contextualSpacing/>
        <w:rPr>
          <w:rFonts w:ascii="宋体" w:hAnsi="宋体"/>
          <w:color w:val="auto"/>
          <w:sz w:val="24"/>
          <w:highlight w:val="none"/>
        </w:rPr>
      </w:pPr>
    </w:p>
    <w:p w14:paraId="03398095">
      <w:pPr>
        <w:pStyle w:val="7"/>
        <w:overflowPunct w:val="0"/>
        <w:spacing w:line="360" w:lineRule="auto"/>
        <w:ind w:firstLineChars="175"/>
        <w:contextualSpacing/>
        <w:rPr>
          <w:rFonts w:ascii="宋体" w:hAnsi="宋体"/>
          <w:color w:val="auto"/>
          <w:sz w:val="24"/>
          <w:highlight w:val="none"/>
        </w:rPr>
      </w:pPr>
      <w:r>
        <w:rPr>
          <w:rFonts w:ascii="宋体" w:hAnsi="宋体"/>
          <w:color w:val="auto"/>
          <w:sz w:val="24"/>
          <w:highlight w:val="none"/>
        </w:rPr>
        <w:t xml:space="preserve">1.  </w:t>
      </w:r>
      <w:r>
        <w:rPr>
          <w:rFonts w:ascii="宋体" w:hAnsi="宋体"/>
          <w:color w:val="auto"/>
          <w:sz w:val="24"/>
          <w:highlight w:val="none"/>
          <w:u w:val="single"/>
        </w:rPr>
        <w:t xml:space="preserve"> </w:t>
      </w:r>
      <w:r>
        <w:rPr>
          <w:rFonts w:ascii="宋体" w:hAnsi="宋体"/>
          <w:color w:val="auto"/>
          <w:sz w:val="24"/>
          <w:highlight w:val="none"/>
          <w:u w:val="single"/>
        </w:rPr>
        <w:tab/>
      </w:r>
      <w:r>
        <w:rPr>
          <w:rFonts w:hint="eastAsia" w:ascii="宋体" w:hAnsi="宋体"/>
          <w:color w:val="auto"/>
          <w:sz w:val="24"/>
          <w:highlight w:val="none"/>
        </w:rPr>
        <w:t>（某成员单位名称）为</w:t>
      </w:r>
      <w:r>
        <w:rPr>
          <w:rFonts w:ascii="宋体" w:hAnsi="宋体"/>
          <w:color w:val="auto"/>
          <w:sz w:val="24"/>
          <w:highlight w:val="none"/>
          <w:u w:val="single"/>
        </w:rPr>
        <w:t xml:space="preserve"> </w:t>
      </w:r>
      <w:r>
        <w:rPr>
          <w:rFonts w:ascii="宋体" w:hAnsi="宋体"/>
          <w:color w:val="auto"/>
          <w:sz w:val="24"/>
          <w:highlight w:val="none"/>
          <w:u w:val="single"/>
        </w:rPr>
        <w:tab/>
      </w:r>
      <w:r>
        <w:rPr>
          <w:rFonts w:hint="eastAsia" w:ascii="宋体" w:hAnsi="宋体"/>
          <w:color w:val="auto"/>
          <w:sz w:val="24"/>
          <w:highlight w:val="none"/>
        </w:rPr>
        <w:t>（联合体名称）牵头人。</w:t>
      </w:r>
    </w:p>
    <w:p w14:paraId="5043F694">
      <w:pPr>
        <w:pStyle w:val="7"/>
        <w:overflowPunct w:val="0"/>
        <w:spacing w:line="360" w:lineRule="auto"/>
        <w:ind w:firstLineChars="175"/>
        <w:contextualSpacing/>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联合体各成员授权牵头人代表联合体参加投标活动，签署文件及对文件的盖章，提交和接收相关的资料、</w:t>
      </w:r>
      <w:r>
        <w:rPr>
          <w:rFonts w:ascii="宋体" w:hAnsi="宋体"/>
          <w:color w:val="auto"/>
          <w:sz w:val="24"/>
          <w:highlight w:val="none"/>
        </w:rPr>
        <w:t xml:space="preserve"> </w:t>
      </w:r>
      <w:r>
        <w:rPr>
          <w:rFonts w:hint="eastAsia" w:ascii="宋体" w:hAnsi="宋体"/>
          <w:color w:val="auto"/>
          <w:sz w:val="24"/>
          <w:highlight w:val="none"/>
        </w:rPr>
        <w:t>信息及指示，进行合同谈判活动，负责合同实施阶段的组织和协调工作，以及处理与本招标项</w:t>
      </w:r>
      <w:r>
        <w:rPr>
          <w:rFonts w:ascii="宋体" w:hAnsi="宋体"/>
          <w:color w:val="auto"/>
          <w:sz w:val="24"/>
          <w:highlight w:val="none"/>
        </w:rPr>
        <w:t xml:space="preserve"> </w:t>
      </w:r>
      <w:r>
        <w:rPr>
          <w:rFonts w:hint="eastAsia" w:ascii="宋体" w:hAnsi="宋体"/>
          <w:color w:val="auto"/>
          <w:sz w:val="24"/>
          <w:highlight w:val="none"/>
        </w:rPr>
        <w:t>目有关的一切事宜。</w:t>
      </w:r>
    </w:p>
    <w:p w14:paraId="18C490CC">
      <w:pPr>
        <w:pStyle w:val="7"/>
        <w:overflowPunct w:val="0"/>
        <w:spacing w:line="360" w:lineRule="auto"/>
        <w:ind w:firstLineChars="175"/>
        <w:contextualSpacing/>
        <w:rPr>
          <w:rFonts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联合体牵头人在本项目中签署和盖章的一切文件和处理的一切事宜，联合体各成员均予以承认。</w:t>
      </w:r>
      <w:r>
        <w:rPr>
          <w:rFonts w:ascii="宋体" w:hAnsi="宋体"/>
          <w:color w:val="auto"/>
          <w:sz w:val="24"/>
          <w:highlight w:val="none"/>
        </w:rPr>
        <w:t xml:space="preserve"> </w:t>
      </w:r>
      <w:r>
        <w:rPr>
          <w:rFonts w:hint="eastAsia" w:ascii="宋体" w:hAnsi="宋体"/>
          <w:color w:val="auto"/>
          <w:sz w:val="24"/>
          <w:highlight w:val="none"/>
        </w:rPr>
        <w:t>联合体各成员将严格按照招标文件、投标文件和合同的要求全面履行义务，并向招标人承担连带责任。</w:t>
      </w:r>
    </w:p>
    <w:p w14:paraId="56173BEC">
      <w:pPr>
        <w:pStyle w:val="7"/>
        <w:overflowPunct w:val="0"/>
        <w:spacing w:line="360" w:lineRule="auto"/>
        <w:ind w:firstLineChars="175"/>
        <w:contextualSpacing/>
        <w:rPr>
          <w:rFonts w:ascii="宋体" w:hAnsi="宋体"/>
          <w:color w:val="auto"/>
          <w:sz w:val="24"/>
          <w:highlight w:val="none"/>
        </w:rPr>
      </w:pPr>
      <w:r>
        <w:rPr>
          <w:rFonts w:ascii="宋体" w:hAnsi="宋体"/>
          <w:color w:val="auto"/>
          <w:sz w:val="24"/>
          <w:highlight w:val="none"/>
        </w:rPr>
        <w:t>4.</w:t>
      </w:r>
      <w:r>
        <w:rPr>
          <w:rFonts w:hint="eastAsia" w:ascii="宋体" w:hAnsi="宋体"/>
          <w:color w:val="auto"/>
          <w:sz w:val="24"/>
          <w:highlight w:val="none"/>
        </w:rPr>
        <w:t>联合体各成员单位内部的职责分工如下：</w:t>
      </w:r>
      <w:r>
        <w:rPr>
          <w:rFonts w:ascii="宋体" w:hAnsi="宋体"/>
          <w:color w:val="auto"/>
          <w:sz w:val="24"/>
          <w:highlight w:val="none"/>
          <w:u w:val="single"/>
        </w:rPr>
        <w:t xml:space="preserve"> </w:t>
      </w:r>
      <w:r>
        <w:rPr>
          <w:rFonts w:ascii="宋体" w:hAnsi="宋体"/>
          <w:color w:val="auto"/>
          <w:sz w:val="24"/>
          <w:highlight w:val="none"/>
          <w:u w:val="single"/>
        </w:rPr>
        <w:tab/>
      </w:r>
      <w:r>
        <w:rPr>
          <w:rFonts w:hint="eastAsia" w:ascii="宋体" w:hAnsi="宋体"/>
          <w:color w:val="auto"/>
          <w:sz w:val="24"/>
          <w:highlight w:val="none"/>
        </w:rPr>
        <w:t>。</w:t>
      </w:r>
    </w:p>
    <w:p w14:paraId="767426C3">
      <w:pPr>
        <w:pStyle w:val="7"/>
        <w:overflowPunct w:val="0"/>
        <w:spacing w:line="360" w:lineRule="auto"/>
        <w:ind w:firstLineChars="175"/>
        <w:contextualSpacing/>
        <w:rPr>
          <w:rFonts w:ascii="宋体" w:hAnsi="宋体"/>
          <w:color w:val="auto"/>
          <w:sz w:val="24"/>
          <w:highlight w:val="none"/>
        </w:rPr>
      </w:pPr>
      <w:r>
        <w:rPr>
          <w:rFonts w:ascii="宋体" w:hAnsi="宋体"/>
          <w:color w:val="auto"/>
          <w:sz w:val="24"/>
          <w:highlight w:val="none"/>
        </w:rPr>
        <w:t>5.</w:t>
      </w:r>
      <w:r>
        <w:rPr>
          <w:rFonts w:hint="eastAsia" w:ascii="宋体" w:hAnsi="宋体"/>
          <w:color w:val="auto"/>
          <w:sz w:val="24"/>
          <w:highlight w:val="none"/>
        </w:rPr>
        <w:t>本协议书自所有成员单位法定代表人或者其委托代理人签字（或者电子签名）或者盖公章之日起生效，合同履行完毕后自动失效。</w:t>
      </w:r>
    </w:p>
    <w:p w14:paraId="15839D85">
      <w:pPr>
        <w:pStyle w:val="7"/>
        <w:overflowPunct w:val="0"/>
        <w:spacing w:line="360" w:lineRule="auto"/>
        <w:ind w:firstLineChars="175"/>
        <w:contextualSpacing/>
        <w:rPr>
          <w:rFonts w:ascii="宋体" w:hAnsi="宋体"/>
          <w:color w:val="auto"/>
          <w:sz w:val="24"/>
          <w:highlight w:val="none"/>
        </w:rPr>
      </w:pPr>
      <w:r>
        <w:rPr>
          <w:rFonts w:ascii="宋体" w:hAnsi="宋体"/>
          <w:color w:val="auto"/>
          <w:sz w:val="24"/>
          <w:highlight w:val="none"/>
        </w:rPr>
        <w:t>6.</w:t>
      </w:r>
      <w:r>
        <w:rPr>
          <w:rFonts w:hint="eastAsia" w:ascii="宋体" w:hAnsi="宋体"/>
          <w:color w:val="auto"/>
          <w:sz w:val="24"/>
          <w:highlight w:val="none"/>
        </w:rPr>
        <w:t>本协议书一式</w:t>
      </w:r>
      <w:r>
        <w:rPr>
          <w:rFonts w:ascii="宋体" w:hAnsi="宋体"/>
          <w:color w:val="auto"/>
          <w:sz w:val="24"/>
          <w:highlight w:val="none"/>
          <w:u w:val="single"/>
        </w:rPr>
        <w:t xml:space="preserve"> </w:t>
      </w:r>
      <w:r>
        <w:rPr>
          <w:rFonts w:ascii="宋体" w:hAnsi="宋体"/>
          <w:color w:val="auto"/>
          <w:sz w:val="24"/>
          <w:highlight w:val="none"/>
          <w:u w:val="single"/>
        </w:rPr>
        <w:tab/>
      </w:r>
      <w:r>
        <w:rPr>
          <w:rFonts w:hint="eastAsia" w:ascii="宋体" w:hAnsi="宋体"/>
          <w:color w:val="auto"/>
          <w:sz w:val="24"/>
          <w:highlight w:val="none"/>
        </w:rPr>
        <w:t>份，联合体成员和招标人各执一份。</w:t>
      </w:r>
    </w:p>
    <w:p w14:paraId="254C42E2">
      <w:pPr>
        <w:pStyle w:val="7"/>
        <w:overflowPunct w:val="0"/>
        <w:spacing w:line="360" w:lineRule="auto"/>
        <w:ind w:firstLineChars="175"/>
        <w:contextualSpacing/>
        <w:rPr>
          <w:rFonts w:ascii="宋体" w:hAnsi="宋体"/>
          <w:color w:val="auto"/>
          <w:sz w:val="24"/>
          <w:highlight w:val="none"/>
        </w:rPr>
      </w:pPr>
      <w:r>
        <w:rPr>
          <w:rFonts w:hint="eastAsia" w:ascii="宋体" w:hAnsi="宋体"/>
          <w:color w:val="auto"/>
          <w:sz w:val="24"/>
          <w:highlight w:val="none"/>
        </w:rPr>
        <w:t>注：本协议书应附法定代表人身份证明；有委托代理的，应附授权委托书</w:t>
      </w:r>
      <w:r>
        <w:rPr>
          <w:rFonts w:hint="eastAsia" w:ascii="宋体" w:hAnsi="宋体" w:cs="仿宋_GB2312"/>
          <w:color w:val="auto"/>
          <w:sz w:val="24"/>
          <w:highlight w:val="none"/>
        </w:rPr>
        <w:t>（格式自拟）</w:t>
      </w:r>
      <w:r>
        <w:rPr>
          <w:rFonts w:hint="eastAsia" w:ascii="宋体" w:hAnsi="宋体"/>
          <w:color w:val="auto"/>
          <w:sz w:val="24"/>
          <w:highlight w:val="none"/>
        </w:rPr>
        <w:t>。</w:t>
      </w:r>
    </w:p>
    <w:p w14:paraId="1FD16A51">
      <w:pPr>
        <w:pStyle w:val="7"/>
        <w:overflowPunct w:val="0"/>
        <w:spacing w:line="360" w:lineRule="auto"/>
        <w:ind w:firstLineChars="175"/>
        <w:contextualSpacing/>
        <w:rPr>
          <w:rFonts w:ascii="宋体" w:hAnsi="宋体"/>
          <w:color w:val="auto"/>
          <w:sz w:val="24"/>
          <w:highlight w:val="none"/>
        </w:rPr>
      </w:pPr>
    </w:p>
    <w:p w14:paraId="012C7FEA">
      <w:pPr>
        <w:pStyle w:val="7"/>
        <w:overflowPunct w:val="0"/>
        <w:spacing w:line="360" w:lineRule="auto"/>
        <w:ind w:firstLineChars="175"/>
        <w:contextualSpacing/>
        <w:rPr>
          <w:rFonts w:ascii="宋体" w:hAnsi="宋体"/>
          <w:color w:val="auto"/>
          <w:sz w:val="24"/>
          <w:highlight w:val="none"/>
        </w:rPr>
      </w:pPr>
      <w:r>
        <w:rPr>
          <w:rFonts w:hint="eastAsia" w:ascii="宋体" w:hAnsi="宋体"/>
          <w:color w:val="auto"/>
          <w:sz w:val="24"/>
          <w:highlight w:val="none"/>
        </w:rPr>
        <w:t>联合体牵头人名称（电子签章）：</w:t>
      </w:r>
    </w:p>
    <w:p w14:paraId="5FA3E76E">
      <w:pPr>
        <w:pStyle w:val="7"/>
        <w:overflowPunct w:val="0"/>
        <w:spacing w:line="360" w:lineRule="auto"/>
        <w:ind w:firstLineChars="175"/>
        <w:contextualSpacing/>
        <w:rPr>
          <w:rFonts w:ascii="宋体" w:hAnsi="宋体"/>
          <w:color w:val="auto"/>
          <w:sz w:val="24"/>
          <w:highlight w:val="none"/>
          <w:u w:val="single"/>
        </w:rPr>
      </w:pPr>
      <w:r>
        <w:rPr>
          <w:rFonts w:hint="eastAsia" w:ascii="宋体" w:hAnsi="宋体"/>
          <w:color w:val="auto"/>
          <w:sz w:val="24"/>
          <w:highlight w:val="none"/>
        </w:rPr>
        <w:t>法定代表人或者其委托代理人：</w:t>
      </w:r>
      <w:r>
        <w:rPr>
          <w:rFonts w:ascii="宋体" w:hAnsi="宋体"/>
          <w:color w:val="auto"/>
          <w:sz w:val="24"/>
          <w:highlight w:val="none"/>
          <w:u w:val="single"/>
        </w:rPr>
        <w:t xml:space="preserve"> </w:t>
      </w:r>
      <w:r>
        <w:rPr>
          <w:rFonts w:ascii="宋体" w:hAnsi="宋体"/>
          <w:color w:val="auto"/>
          <w:sz w:val="24"/>
          <w:highlight w:val="none"/>
          <w:u w:val="single"/>
        </w:rPr>
        <w:tab/>
      </w:r>
      <w:r>
        <w:rPr>
          <w:rFonts w:hint="eastAsia" w:ascii="宋体" w:hAnsi="宋体"/>
          <w:color w:val="auto"/>
          <w:sz w:val="24"/>
          <w:highlight w:val="none"/>
          <w:u w:val="single"/>
        </w:rPr>
        <w:t>（签字或者电子签名）</w:t>
      </w:r>
    </w:p>
    <w:p w14:paraId="101869A8">
      <w:pPr>
        <w:pStyle w:val="7"/>
        <w:overflowPunct w:val="0"/>
        <w:spacing w:line="360" w:lineRule="auto"/>
        <w:ind w:firstLineChars="175"/>
        <w:contextualSpacing/>
        <w:rPr>
          <w:rFonts w:ascii="宋体" w:hAnsi="宋体"/>
          <w:color w:val="auto"/>
          <w:sz w:val="24"/>
          <w:highlight w:val="none"/>
        </w:rPr>
      </w:pPr>
    </w:p>
    <w:p w14:paraId="6BA3B39B">
      <w:pPr>
        <w:pStyle w:val="7"/>
        <w:overflowPunct w:val="0"/>
        <w:spacing w:line="360" w:lineRule="auto"/>
        <w:ind w:firstLineChars="175"/>
        <w:contextualSpacing/>
        <w:rPr>
          <w:rFonts w:ascii="宋体" w:hAnsi="宋体"/>
          <w:color w:val="auto"/>
          <w:sz w:val="24"/>
          <w:highlight w:val="none"/>
        </w:rPr>
      </w:pPr>
      <w:r>
        <w:rPr>
          <w:rFonts w:hint="eastAsia" w:ascii="宋体" w:hAnsi="宋体"/>
          <w:color w:val="auto"/>
          <w:sz w:val="24"/>
          <w:highlight w:val="none"/>
        </w:rPr>
        <w:t>联合体成员名称（</w:t>
      </w:r>
      <w:r>
        <w:rPr>
          <w:rFonts w:hint="eastAsia" w:ascii="宋体" w:hAnsi="宋体" w:cs="仿宋_GB2312"/>
          <w:color w:val="auto"/>
          <w:sz w:val="24"/>
          <w:highlight w:val="none"/>
        </w:rPr>
        <w:t>盖公章或者电子签章</w:t>
      </w:r>
      <w:r>
        <w:rPr>
          <w:rFonts w:hint="eastAsia" w:ascii="宋体" w:hAnsi="宋体"/>
          <w:color w:val="auto"/>
          <w:sz w:val="24"/>
          <w:highlight w:val="none"/>
        </w:rPr>
        <w:t>）：</w:t>
      </w:r>
    </w:p>
    <w:p w14:paraId="50942F35">
      <w:pPr>
        <w:pStyle w:val="7"/>
        <w:overflowPunct w:val="0"/>
        <w:spacing w:line="360" w:lineRule="auto"/>
        <w:ind w:firstLineChars="175"/>
        <w:contextualSpacing/>
        <w:rPr>
          <w:rFonts w:ascii="宋体" w:hAnsi="宋体"/>
          <w:color w:val="auto"/>
          <w:sz w:val="24"/>
          <w:highlight w:val="none"/>
          <w:u w:val="single"/>
        </w:rPr>
      </w:pPr>
      <w:r>
        <w:rPr>
          <w:rFonts w:hint="eastAsia" w:ascii="宋体" w:hAnsi="宋体"/>
          <w:color w:val="auto"/>
          <w:sz w:val="24"/>
          <w:highlight w:val="none"/>
        </w:rPr>
        <w:t>法定代表人或者其委托代理人：</w:t>
      </w:r>
      <w:r>
        <w:rPr>
          <w:rFonts w:ascii="宋体" w:hAnsi="宋体"/>
          <w:color w:val="auto"/>
          <w:sz w:val="24"/>
          <w:highlight w:val="none"/>
          <w:u w:val="single"/>
        </w:rPr>
        <w:t xml:space="preserve"> </w:t>
      </w:r>
      <w:r>
        <w:rPr>
          <w:rFonts w:ascii="宋体" w:hAnsi="宋体"/>
          <w:color w:val="auto"/>
          <w:sz w:val="24"/>
          <w:highlight w:val="none"/>
          <w:u w:val="single"/>
        </w:rPr>
        <w:tab/>
      </w:r>
      <w:r>
        <w:rPr>
          <w:rFonts w:hint="eastAsia" w:ascii="宋体" w:hAnsi="宋体"/>
          <w:color w:val="auto"/>
          <w:sz w:val="24"/>
          <w:highlight w:val="none"/>
          <w:u w:val="single"/>
        </w:rPr>
        <w:t>（签字或者电子签名）</w:t>
      </w:r>
    </w:p>
    <w:p w14:paraId="4AB2FB86">
      <w:pPr>
        <w:pStyle w:val="7"/>
        <w:overflowPunct w:val="0"/>
        <w:spacing w:line="360" w:lineRule="auto"/>
        <w:ind w:firstLineChars="175"/>
        <w:contextualSpacing/>
        <w:rPr>
          <w:rFonts w:ascii="宋体" w:hAnsi="宋体"/>
          <w:color w:val="auto"/>
          <w:sz w:val="24"/>
          <w:highlight w:val="none"/>
        </w:rPr>
      </w:pPr>
      <w:r>
        <w:rPr>
          <w:rFonts w:ascii="宋体" w:hAnsi="宋体"/>
          <w:color w:val="auto"/>
          <w:sz w:val="24"/>
          <w:highlight w:val="none"/>
        </w:rPr>
        <w:t>……</w:t>
      </w:r>
    </w:p>
    <w:p w14:paraId="7A49F7E8">
      <w:pPr>
        <w:pStyle w:val="7"/>
        <w:overflowPunct w:val="0"/>
        <w:spacing w:line="360" w:lineRule="auto"/>
        <w:ind w:firstLineChars="175"/>
        <w:contextualSpacing/>
        <w:rPr>
          <w:rFonts w:ascii="宋体" w:hAnsi="宋体"/>
          <w:color w:val="auto"/>
          <w:sz w:val="24"/>
          <w:highlight w:val="none"/>
        </w:rPr>
      </w:pPr>
    </w:p>
    <w:p w14:paraId="71C9D0DE">
      <w:pPr>
        <w:pStyle w:val="7"/>
        <w:overflowPunct w:val="0"/>
        <w:spacing w:line="360" w:lineRule="auto"/>
        <w:ind w:firstLineChars="175"/>
        <w:contextualSpacing/>
        <w:jc w:val="right"/>
        <w:rPr>
          <w:rFonts w:ascii="宋体" w:hAnsi="宋体"/>
          <w:b/>
          <w:color w:val="auto"/>
          <w:sz w:val="24"/>
          <w:highlight w:val="none"/>
        </w:rPr>
      </w:pPr>
      <w:r>
        <w:rPr>
          <w:rFonts w:ascii="宋体" w:hAnsi="宋体"/>
          <w:color w:val="auto"/>
          <w:sz w:val="24"/>
          <w:highlight w:val="none"/>
        </w:rPr>
        <w:t xml:space="preserve"> </w:t>
      </w:r>
      <w:r>
        <w:rPr>
          <w:rFonts w:ascii="宋体" w:hAnsi="宋体"/>
          <w:color w:val="auto"/>
          <w:sz w:val="24"/>
          <w:highlight w:val="none"/>
        </w:rPr>
        <w:tab/>
      </w:r>
      <w:r>
        <w:rPr>
          <w:rFonts w:hint="eastAsia" w:ascii="宋体" w:hAnsi="宋体"/>
          <w:color w:val="auto"/>
          <w:sz w:val="24"/>
          <w:highlight w:val="none"/>
        </w:rPr>
        <w:t>年</w:t>
      </w:r>
      <w:r>
        <w:rPr>
          <w:rFonts w:ascii="宋体" w:hAnsi="宋体"/>
          <w:color w:val="auto"/>
          <w:sz w:val="24"/>
          <w:highlight w:val="none"/>
        </w:rPr>
        <w:t xml:space="preserve"> </w:t>
      </w:r>
      <w:r>
        <w:rPr>
          <w:rFonts w:ascii="宋体" w:hAnsi="宋体"/>
          <w:color w:val="auto"/>
          <w:sz w:val="24"/>
          <w:highlight w:val="none"/>
        </w:rPr>
        <w:tab/>
      </w:r>
      <w:r>
        <w:rPr>
          <w:rFonts w:hint="eastAsia" w:ascii="宋体" w:hAnsi="宋体"/>
          <w:color w:val="auto"/>
          <w:sz w:val="24"/>
          <w:highlight w:val="none"/>
        </w:rPr>
        <w:t>月</w:t>
      </w:r>
      <w:r>
        <w:rPr>
          <w:rFonts w:ascii="宋体" w:hAnsi="宋体"/>
          <w:color w:val="auto"/>
          <w:sz w:val="24"/>
          <w:highlight w:val="none"/>
        </w:rPr>
        <w:t xml:space="preserve"> </w:t>
      </w:r>
      <w:r>
        <w:rPr>
          <w:rFonts w:ascii="宋体" w:hAnsi="宋体"/>
          <w:color w:val="auto"/>
          <w:sz w:val="24"/>
          <w:highlight w:val="none"/>
        </w:rPr>
        <w:tab/>
      </w:r>
      <w:r>
        <w:rPr>
          <w:rFonts w:hint="eastAsia" w:ascii="宋体" w:hAnsi="宋体"/>
          <w:color w:val="auto"/>
          <w:sz w:val="24"/>
          <w:highlight w:val="none"/>
        </w:rPr>
        <w:t>日</w:t>
      </w:r>
    </w:p>
    <w:p w14:paraId="63CAEB72">
      <w:pPr>
        <w:snapToGrid w:val="0"/>
        <w:spacing w:before="120" w:beforeLines="50" w:after="50"/>
        <w:jc w:val="left"/>
        <w:rPr>
          <w:rFonts w:hint="eastAsia"/>
          <w:color w:val="auto"/>
          <w:highlight w:val="none"/>
        </w:rPr>
      </w:pPr>
      <w:r>
        <w:rPr>
          <w:rFonts w:hint="eastAsia" w:ascii="宋体" w:hAnsi="宋体"/>
          <w:b/>
          <w:color w:val="auto"/>
          <w:sz w:val="24"/>
          <w:highlight w:val="none"/>
        </w:rPr>
        <w:t xml:space="preserve"> 2.中小企业声明函格式</w:t>
      </w:r>
    </w:p>
    <w:p w14:paraId="1045A4CA">
      <w:pPr>
        <w:rPr>
          <w:rFonts w:hint="eastAsia"/>
          <w:color w:val="auto"/>
          <w:highlight w:val="none"/>
        </w:rPr>
      </w:pPr>
    </w:p>
    <w:p w14:paraId="2452C8A8">
      <w:pPr>
        <w:jc w:val="center"/>
        <w:rPr>
          <w:rFonts w:hint="eastAsia" w:ascii="Arial Unicode MS" w:hAnsi="Arial Unicode MS" w:eastAsia="Arial Unicode MS" w:cs="Arial Unicode MS"/>
          <w:color w:val="auto"/>
          <w:sz w:val="44"/>
          <w:szCs w:val="44"/>
          <w:highlight w:val="none"/>
        </w:rPr>
      </w:pPr>
      <w:r>
        <w:rPr>
          <w:rFonts w:hint="eastAsia" w:ascii="Arial Unicode MS" w:hAnsi="Arial Unicode MS" w:eastAsia="Arial Unicode MS" w:cs="Arial Unicode MS"/>
          <w:color w:val="auto"/>
          <w:sz w:val="44"/>
          <w:szCs w:val="44"/>
          <w:highlight w:val="none"/>
        </w:rPr>
        <w:t>中小企业声明函（服务）</w:t>
      </w:r>
    </w:p>
    <w:p w14:paraId="465578F2">
      <w:pPr>
        <w:spacing w:before="2" w:line="500" w:lineRule="exact"/>
        <w:rPr>
          <w:rFonts w:ascii="宋体" w:hAnsi="宋体" w:cs="宋体"/>
          <w:b/>
          <w:bCs/>
          <w:color w:val="auto"/>
          <w:sz w:val="24"/>
          <w:highlight w:val="none"/>
        </w:rPr>
      </w:pPr>
    </w:p>
    <w:p w14:paraId="1D621D77">
      <w:pPr>
        <w:pStyle w:val="18"/>
        <w:spacing w:line="500" w:lineRule="exact"/>
        <w:ind w:right="142" w:firstLine="480" w:firstLineChars="200"/>
        <w:rPr>
          <w:rFonts w:ascii="宋体" w:hAnsi="宋体"/>
          <w:color w:val="auto"/>
          <w:highlight w:val="none"/>
        </w:rPr>
      </w:pPr>
      <w:r>
        <w:rPr>
          <w:rFonts w:ascii="宋体" w:hAnsi="宋体"/>
          <w:color w:val="auto"/>
          <w:highlight w:val="none"/>
        </w:rPr>
        <w:t>本公司（联合体）郑重声明，根据《政府采购促进中小企业发展管理办法》（财库﹝2020﹞46号）的规定，本公司（联合体）参加</w:t>
      </w:r>
      <w:r>
        <w:rPr>
          <w:rFonts w:ascii="宋体" w:hAnsi="宋体"/>
          <w:color w:val="auto"/>
          <w:highlight w:val="none"/>
          <w:u w:val="single"/>
        </w:rPr>
        <w:t>（单位名称）</w:t>
      </w:r>
      <w:r>
        <w:rPr>
          <w:rFonts w:ascii="宋体" w:hAnsi="宋体"/>
          <w:color w:val="auto"/>
          <w:highlight w:val="none"/>
        </w:rPr>
        <w:t>的</w:t>
      </w:r>
      <w:r>
        <w:rPr>
          <w:rFonts w:ascii="宋体" w:hAnsi="宋体"/>
          <w:color w:val="auto"/>
          <w:highlight w:val="none"/>
          <w:u w:val="single"/>
        </w:rPr>
        <w:t>（项目名称）</w:t>
      </w:r>
      <w:r>
        <w:rPr>
          <w:rFonts w:ascii="宋体" w:hAnsi="宋体"/>
          <w:color w:val="auto"/>
          <w:highlight w:val="none"/>
        </w:rPr>
        <w:t>采购活动，</w:t>
      </w:r>
      <w:r>
        <w:rPr>
          <w:rFonts w:hint="eastAsia" w:ascii="宋体" w:hAnsi="宋体"/>
          <w:color w:val="auto"/>
          <w:highlight w:val="none"/>
        </w:rPr>
        <w:t>服务全部由符合政策要求的中小企业承接。相关企业（含联合体中的中小企业、签订分包意向协议的中小企业）的具体情况如下：</w:t>
      </w:r>
    </w:p>
    <w:p w14:paraId="4870C36F">
      <w:pPr>
        <w:tabs>
          <w:tab w:val="left" w:pos="1384"/>
          <w:tab w:val="left" w:pos="4562"/>
          <w:tab w:val="left" w:pos="6803"/>
        </w:tabs>
        <w:spacing w:before="13" w:line="500" w:lineRule="exact"/>
        <w:ind w:right="142" w:firstLine="686" w:firstLineChars="286"/>
        <w:rPr>
          <w:rFonts w:ascii="宋体" w:hAnsi="宋体"/>
          <w:color w:val="auto"/>
          <w:sz w:val="24"/>
          <w:highlight w:val="none"/>
        </w:rPr>
      </w:pPr>
      <w:r>
        <w:rPr>
          <w:rFonts w:ascii="宋体" w:hAnsi="宋体"/>
          <w:color w:val="auto"/>
          <w:sz w:val="24"/>
          <w:highlight w:val="none"/>
        </w:rPr>
        <w:t>1.</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w:t>
      </w:r>
      <w:r>
        <w:rPr>
          <w:rFonts w:ascii="宋体" w:hAnsi="宋体"/>
          <w:color w:val="auto"/>
          <w:sz w:val="24"/>
          <w:highlight w:val="none"/>
          <w:u w:val="single"/>
        </w:rPr>
        <w:t>业）</w:t>
      </w:r>
      <w:r>
        <w:rPr>
          <w:rFonts w:ascii="宋体" w:hAnsi="宋体"/>
          <w:color w:val="auto"/>
          <w:sz w:val="24"/>
          <w:highlight w:val="none"/>
        </w:rPr>
        <w:t>；</w:t>
      </w:r>
      <w:r>
        <w:rPr>
          <w:rFonts w:hint="eastAsia" w:ascii="宋体" w:hAnsi="宋体"/>
          <w:color w:val="auto"/>
          <w:sz w:val="24"/>
          <w:highlight w:val="none"/>
        </w:rPr>
        <w:t>承接企业为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704C1BD3">
      <w:pPr>
        <w:tabs>
          <w:tab w:val="left" w:pos="1065"/>
          <w:tab w:val="left" w:pos="4262"/>
          <w:tab w:val="left" w:pos="6477"/>
        </w:tabs>
        <w:spacing w:before="20" w:line="500" w:lineRule="exact"/>
        <w:ind w:right="84" w:firstLine="686" w:firstLineChars="286"/>
        <w:rPr>
          <w:rFonts w:ascii="宋体" w:hAnsi="宋体"/>
          <w:color w:val="auto"/>
          <w:sz w:val="24"/>
          <w:highlight w:val="none"/>
          <w:u w:val="single"/>
        </w:rPr>
      </w:pPr>
      <w:r>
        <w:rPr>
          <w:rFonts w:ascii="宋体" w:hAnsi="宋体"/>
          <w:color w:val="auto"/>
          <w:sz w:val="24"/>
          <w:highlight w:val="none"/>
        </w:rPr>
        <w:t>2.</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行业</w:t>
      </w:r>
      <w:r>
        <w:rPr>
          <w:rFonts w:ascii="宋体" w:hAnsi="宋体"/>
          <w:color w:val="auto"/>
          <w:sz w:val="24"/>
          <w:highlight w:val="none"/>
          <w:u w:val="single"/>
        </w:rPr>
        <w:t>）</w:t>
      </w:r>
      <w:r>
        <w:rPr>
          <w:rFonts w:ascii="宋体" w:hAnsi="宋体"/>
          <w:color w:val="auto"/>
          <w:sz w:val="24"/>
          <w:highlight w:val="none"/>
        </w:rPr>
        <w:t>；</w:t>
      </w:r>
      <w:r>
        <w:rPr>
          <w:rFonts w:hint="eastAsia" w:ascii="宋体" w:hAnsi="宋体"/>
          <w:color w:val="auto"/>
          <w:sz w:val="24"/>
          <w:highlight w:val="none"/>
        </w:rPr>
        <w:t>承接企业为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30CA5595">
      <w:pPr>
        <w:pStyle w:val="18"/>
        <w:spacing w:before="34" w:line="500" w:lineRule="exact"/>
        <w:ind w:left="765" w:right="142" w:hanging="5"/>
        <w:rPr>
          <w:rFonts w:ascii="宋体" w:hAnsi="宋体"/>
          <w:color w:val="auto"/>
          <w:highlight w:val="none"/>
        </w:rPr>
      </w:pPr>
      <w:r>
        <w:rPr>
          <w:rFonts w:ascii="宋体" w:hAnsi="宋体"/>
          <w:color w:val="auto"/>
          <w:highlight w:val="none"/>
        </w:rPr>
        <w:t xml:space="preserve">…… </w:t>
      </w:r>
    </w:p>
    <w:p w14:paraId="7C57E8DF">
      <w:pPr>
        <w:pStyle w:val="18"/>
        <w:spacing w:before="34" w:line="500" w:lineRule="exact"/>
        <w:ind w:right="142" w:firstLine="480" w:firstLineChars="200"/>
        <w:rPr>
          <w:rFonts w:hint="eastAsia" w:ascii="宋体" w:hAnsi="宋体"/>
          <w:color w:val="auto"/>
          <w:highlight w:val="none"/>
        </w:rPr>
      </w:pPr>
      <w:r>
        <w:rPr>
          <w:rFonts w:ascii="宋体" w:hAnsi="宋体"/>
          <w:color w:val="auto"/>
          <w:highlight w:val="none"/>
        </w:rPr>
        <w:t>以上企业，不属于大企业的分支机构，不存在控股股东为大企业的情形，也不存在与大企业的负责人为同一人的情形。</w:t>
      </w:r>
    </w:p>
    <w:p w14:paraId="423028B5">
      <w:pPr>
        <w:pStyle w:val="18"/>
        <w:spacing w:before="34" w:line="500" w:lineRule="exact"/>
        <w:ind w:right="142" w:firstLine="480" w:firstLineChars="200"/>
        <w:rPr>
          <w:rFonts w:ascii="宋体" w:hAnsi="宋体"/>
          <w:color w:val="auto"/>
          <w:highlight w:val="none"/>
        </w:rPr>
      </w:pPr>
      <w:r>
        <w:rPr>
          <w:rFonts w:ascii="宋体" w:hAnsi="宋体"/>
          <w:color w:val="auto"/>
          <w:highlight w:val="none"/>
        </w:rPr>
        <w:t>本企业对上述声明内容的真实性负责。如有虚假，将依法承担相应责任。</w:t>
      </w:r>
    </w:p>
    <w:p w14:paraId="187820DA">
      <w:pPr>
        <w:pStyle w:val="18"/>
        <w:spacing w:before="56" w:line="500" w:lineRule="exact"/>
        <w:ind w:left="3960" w:right="1808"/>
        <w:rPr>
          <w:rFonts w:ascii="宋体" w:hAnsi="宋体"/>
          <w:color w:val="auto"/>
          <w:highlight w:val="none"/>
        </w:rPr>
      </w:pPr>
      <w:r>
        <w:rPr>
          <w:rFonts w:ascii="宋体" w:hAnsi="宋体"/>
          <w:color w:val="auto"/>
          <w:kern w:val="24"/>
          <w:highlight w:val="none"/>
        </w:rPr>
        <w:t>企业名称（</w:t>
      </w:r>
      <w:r>
        <w:rPr>
          <w:rFonts w:hint="eastAsia" w:ascii="宋体" w:hAnsi="宋体"/>
          <w:color w:val="auto"/>
          <w:kern w:val="24"/>
          <w:highlight w:val="none"/>
        </w:rPr>
        <w:t>电子签章</w:t>
      </w:r>
      <w:r>
        <w:rPr>
          <w:rFonts w:ascii="宋体" w:hAnsi="宋体"/>
          <w:color w:val="auto"/>
          <w:kern w:val="24"/>
          <w:highlight w:val="none"/>
        </w:rPr>
        <w:t>）：</w:t>
      </w:r>
      <w:r>
        <w:rPr>
          <w:rFonts w:ascii="宋体" w:hAnsi="宋体"/>
          <w:color w:val="auto"/>
          <w:highlight w:val="none"/>
        </w:rPr>
        <w:t xml:space="preserve"> </w:t>
      </w:r>
    </w:p>
    <w:p w14:paraId="3A96D4FE">
      <w:pPr>
        <w:pStyle w:val="18"/>
        <w:spacing w:before="56" w:line="500" w:lineRule="exact"/>
        <w:ind w:left="3960" w:right="1808"/>
        <w:rPr>
          <w:rFonts w:hint="eastAsia" w:ascii="宋体" w:hAnsi="宋体"/>
          <w:color w:val="auto"/>
          <w:highlight w:val="none"/>
        </w:rPr>
      </w:pPr>
      <w:r>
        <w:rPr>
          <w:rFonts w:ascii="宋体" w:hAnsi="宋体"/>
          <w:color w:val="auto"/>
          <w:highlight w:val="none"/>
        </w:rPr>
        <w:t>日 期：</w:t>
      </w:r>
    </w:p>
    <w:p w14:paraId="793EA781">
      <w:pPr>
        <w:rPr>
          <w:rFonts w:hint="eastAsia" w:ascii="宋体" w:hAnsi="宋体"/>
          <w:color w:val="auto"/>
          <w:sz w:val="24"/>
          <w:highlight w:val="none"/>
        </w:rPr>
      </w:pPr>
      <w:r>
        <w:rPr>
          <w:rFonts w:hint="eastAsia" w:ascii="宋体" w:hAnsi="宋体"/>
          <w:color w:val="auto"/>
          <w:spacing w:val="6"/>
          <w:sz w:val="24"/>
          <w:highlight w:val="none"/>
        </w:rPr>
        <w:t xml:space="preserve"> </w:t>
      </w:r>
    </w:p>
    <w:p w14:paraId="5CEB84BF">
      <w:pPr>
        <w:ind w:firstLine="480" w:firstLineChars="200"/>
        <w:rPr>
          <w:rFonts w:hint="eastAsia" w:ascii="宋体" w:hAnsi="宋体"/>
          <w:b/>
          <w:color w:val="auto"/>
          <w:sz w:val="24"/>
          <w:highlight w:val="none"/>
        </w:rPr>
      </w:pPr>
      <w:r>
        <w:rPr>
          <w:rFonts w:hint="eastAsia" w:ascii="宋体" w:hAnsi="宋体"/>
          <w:color w:val="auto"/>
          <w:kern w:val="0"/>
          <w:sz w:val="24"/>
          <w:highlight w:val="none"/>
        </w:rPr>
        <w:t>注：享受《政府采购促进中小企业发展管理办法》（财库〔2020〕46号）规定的中小企业扶持政策的，采购人、采购代理机构应当随中标结果公开</w:t>
      </w:r>
      <w:r>
        <w:rPr>
          <w:rFonts w:hint="eastAsia" w:ascii="宋体" w:hAnsi="宋体"/>
          <w:color w:val="auto"/>
          <w:kern w:val="0"/>
          <w:sz w:val="24"/>
          <w:highlight w:val="none"/>
          <w:lang w:eastAsia="zh-CN"/>
        </w:rPr>
        <w:t>中标人</w:t>
      </w:r>
      <w:r>
        <w:rPr>
          <w:rFonts w:hint="eastAsia" w:ascii="宋体" w:hAnsi="宋体"/>
          <w:color w:val="auto"/>
          <w:kern w:val="0"/>
          <w:sz w:val="24"/>
          <w:highlight w:val="none"/>
        </w:rPr>
        <w:t>的《中小企业声明函》。从业人员、营业收入、资产总额填报上一年度数据，无上一年度数据的新成立企业可不填报。</w:t>
      </w:r>
      <w:r>
        <w:rPr>
          <w:color w:val="auto"/>
          <w:highlight w:val="none"/>
        </w:rPr>
        <w:br w:type="page"/>
      </w:r>
      <w:r>
        <w:rPr>
          <w:rFonts w:hint="eastAsia" w:ascii="宋体" w:hAnsi="宋体"/>
          <w:b/>
          <w:color w:val="auto"/>
          <w:sz w:val="24"/>
          <w:highlight w:val="none"/>
        </w:rPr>
        <w:t>3.残疾人福利性单位声明函格式</w:t>
      </w:r>
    </w:p>
    <w:p w14:paraId="46444E07">
      <w:pPr>
        <w:spacing w:line="588" w:lineRule="exact"/>
        <w:jc w:val="center"/>
        <w:rPr>
          <w:rFonts w:hint="eastAsia" w:ascii="仿宋_GB2312" w:eastAsia="仿宋_GB2312"/>
          <w:b/>
          <w:color w:val="auto"/>
          <w:spacing w:val="6"/>
          <w:sz w:val="32"/>
          <w:szCs w:val="32"/>
          <w:highlight w:val="none"/>
        </w:rPr>
      </w:pPr>
      <w:bookmarkStart w:id="189" w:name="OLE_LINK14"/>
      <w:bookmarkStart w:id="190" w:name="OLE_LINK13"/>
    </w:p>
    <w:p w14:paraId="78EDF3D4">
      <w:pPr>
        <w:spacing w:line="588" w:lineRule="exact"/>
        <w:jc w:val="center"/>
        <w:rPr>
          <w:rFonts w:hint="eastAsia" w:ascii="Arial Unicode MS" w:hAnsi="Arial Unicode MS" w:eastAsia="Arial Unicode MS" w:cs="Arial Unicode MS"/>
          <w:bCs/>
          <w:color w:val="auto"/>
          <w:spacing w:val="6"/>
          <w:sz w:val="44"/>
          <w:szCs w:val="44"/>
          <w:highlight w:val="none"/>
        </w:rPr>
      </w:pPr>
      <w:r>
        <w:rPr>
          <w:rFonts w:hint="eastAsia" w:ascii="Arial Unicode MS" w:hAnsi="Arial Unicode MS" w:eastAsia="Arial Unicode MS" w:cs="Arial Unicode MS"/>
          <w:bCs/>
          <w:color w:val="auto"/>
          <w:spacing w:val="6"/>
          <w:sz w:val="44"/>
          <w:szCs w:val="44"/>
          <w:highlight w:val="none"/>
        </w:rPr>
        <w:t>残疾人福利性单位声明函</w:t>
      </w:r>
    </w:p>
    <w:bookmarkEnd w:id="189"/>
    <w:bookmarkEnd w:id="190"/>
    <w:p w14:paraId="2B986F69">
      <w:pPr>
        <w:spacing w:line="588" w:lineRule="exact"/>
        <w:rPr>
          <w:rFonts w:ascii="仿宋_GB2312" w:eastAsia="仿宋_GB2312"/>
          <w:b/>
          <w:color w:val="auto"/>
          <w:spacing w:val="6"/>
          <w:sz w:val="30"/>
          <w:szCs w:val="30"/>
          <w:highlight w:val="none"/>
        </w:rPr>
      </w:pPr>
    </w:p>
    <w:p w14:paraId="0FF1A872">
      <w:pPr>
        <w:spacing w:line="360" w:lineRule="auto"/>
        <w:ind w:firstLine="504" w:firstLineChars="200"/>
        <w:contextualSpacing/>
        <w:rPr>
          <w:rFonts w:ascii="宋体" w:hAnsi="宋体"/>
          <w:color w:val="auto"/>
          <w:spacing w:val="6"/>
          <w:sz w:val="24"/>
          <w:highlight w:val="none"/>
        </w:rPr>
      </w:pPr>
      <w:r>
        <w:rPr>
          <w:rFonts w:hint="eastAsia" w:ascii="宋体" w:hAnsi="宋体"/>
          <w:color w:val="auto"/>
          <w:spacing w:val="6"/>
          <w:sz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w:t>
      </w:r>
      <w:r>
        <w:rPr>
          <w:rFonts w:hint="eastAsia" w:ascii="宋体" w:hAnsi="宋体"/>
          <w:color w:val="auto"/>
          <w:spacing w:val="-6"/>
          <w:sz w:val="24"/>
          <w:highlight w:val="none"/>
        </w:rPr>
        <w:t>疾人福利性单位制造的货物（不包括使用非残疾人福利性单位注册商标的货物）。</w:t>
      </w:r>
    </w:p>
    <w:p w14:paraId="30647823">
      <w:pPr>
        <w:spacing w:line="360" w:lineRule="auto"/>
        <w:ind w:firstLine="504" w:firstLineChars="200"/>
        <w:contextualSpacing/>
        <w:rPr>
          <w:rFonts w:ascii="宋体" w:hAnsi="宋体"/>
          <w:color w:val="auto"/>
          <w:spacing w:val="6"/>
          <w:sz w:val="24"/>
          <w:highlight w:val="none"/>
        </w:rPr>
      </w:pPr>
      <w:r>
        <w:rPr>
          <w:rFonts w:hint="eastAsia" w:ascii="宋体" w:hAnsi="宋体"/>
          <w:color w:val="auto"/>
          <w:spacing w:val="6"/>
          <w:sz w:val="24"/>
          <w:highlight w:val="none"/>
        </w:rPr>
        <w:t>本单位对上述声明的真实性负责。如有虚假，将依法承担相应责任。</w:t>
      </w:r>
    </w:p>
    <w:p w14:paraId="2FE002C2">
      <w:pPr>
        <w:spacing w:line="360" w:lineRule="auto"/>
        <w:ind w:firstLine="504" w:firstLineChars="200"/>
        <w:contextualSpacing/>
        <w:rPr>
          <w:rFonts w:ascii="宋体" w:hAnsi="宋体"/>
          <w:color w:val="auto"/>
          <w:spacing w:val="6"/>
          <w:sz w:val="24"/>
          <w:highlight w:val="none"/>
        </w:rPr>
      </w:pPr>
    </w:p>
    <w:p w14:paraId="30DD2F4C">
      <w:pPr>
        <w:spacing w:line="360" w:lineRule="auto"/>
        <w:ind w:firstLine="504" w:firstLineChars="200"/>
        <w:contextualSpacing/>
        <w:rPr>
          <w:rFonts w:ascii="宋体" w:hAnsi="宋体"/>
          <w:color w:val="auto"/>
          <w:spacing w:val="6"/>
          <w:sz w:val="24"/>
          <w:highlight w:val="none"/>
        </w:rPr>
      </w:pPr>
    </w:p>
    <w:p w14:paraId="1DF6DF8A">
      <w:pPr>
        <w:tabs>
          <w:tab w:val="left" w:pos="4860"/>
        </w:tabs>
        <w:spacing w:line="360" w:lineRule="auto"/>
        <w:ind w:right="1560" w:firstLine="504" w:firstLineChars="200"/>
        <w:contextualSpacing/>
        <w:jc w:val="center"/>
        <w:rPr>
          <w:rFonts w:ascii="宋体" w:hAnsi="宋体"/>
          <w:color w:val="auto"/>
          <w:spacing w:val="6"/>
          <w:sz w:val="24"/>
          <w:highlight w:val="none"/>
        </w:rPr>
      </w:pPr>
      <w:r>
        <w:rPr>
          <w:rFonts w:hint="eastAsia" w:ascii="宋体" w:hAnsi="宋体"/>
          <w:color w:val="auto"/>
          <w:spacing w:val="6"/>
          <w:sz w:val="24"/>
          <w:highlight w:val="none"/>
        </w:rPr>
        <w:t>单位名称（电子签章）：</w:t>
      </w:r>
    </w:p>
    <w:p w14:paraId="3E3D4045">
      <w:pPr>
        <w:tabs>
          <w:tab w:val="left" w:pos="4860"/>
        </w:tabs>
        <w:spacing w:line="360" w:lineRule="auto"/>
        <w:ind w:right="1560" w:firstLine="504" w:firstLineChars="200"/>
        <w:contextualSpacing/>
        <w:jc w:val="center"/>
        <w:rPr>
          <w:rFonts w:ascii="宋体" w:hAnsi="宋体"/>
          <w:color w:val="auto"/>
          <w:spacing w:val="6"/>
          <w:sz w:val="24"/>
          <w:highlight w:val="none"/>
        </w:rPr>
      </w:pPr>
      <w:r>
        <w:rPr>
          <w:rFonts w:hint="eastAsia" w:ascii="宋体" w:hAnsi="宋体"/>
          <w:color w:val="auto"/>
          <w:spacing w:val="6"/>
          <w:sz w:val="24"/>
          <w:highlight w:val="none"/>
        </w:rPr>
        <w:t>日  期：</w:t>
      </w:r>
    </w:p>
    <w:p w14:paraId="62E0BD43">
      <w:pPr>
        <w:spacing w:line="360" w:lineRule="auto"/>
        <w:contextualSpacing/>
        <w:rPr>
          <w:rFonts w:ascii="宋体" w:hAnsi="宋体"/>
          <w:color w:val="auto"/>
          <w:sz w:val="24"/>
          <w:highlight w:val="none"/>
        </w:rPr>
      </w:pPr>
    </w:p>
    <w:p w14:paraId="22524DB7">
      <w:pPr>
        <w:spacing w:line="360" w:lineRule="auto"/>
        <w:contextualSpacing/>
        <w:rPr>
          <w:rFonts w:hint="eastAsia" w:ascii="宋体" w:hAnsi="宋体"/>
          <w:color w:val="auto"/>
          <w:sz w:val="24"/>
          <w:highlight w:val="none"/>
        </w:rPr>
      </w:pPr>
    </w:p>
    <w:p w14:paraId="21CA3902">
      <w:pPr>
        <w:spacing w:line="360" w:lineRule="auto"/>
        <w:contextualSpacing/>
        <w:rPr>
          <w:rFonts w:ascii="宋体" w:hAnsi="宋体"/>
          <w:color w:val="auto"/>
          <w:sz w:val="24"/>
          <w:highlight w:val="none"/>
        </w:rPr>
      </w:pPr>
    </w:p>
    <w:p w14:paraId="2D4D7EF6">
      <w:pPr>
        <w:spacing w:line="360" w:lineRule="auto"/>
        <w:contextualSpacing/>
        <w:rPr>
          <w:rFonts w:ascii="宋体" w:hAnsi="宋体"/>
          <w:color w:val="auto"/>
          <w:sz w:val="24"/>
          <w:highlight w:val="none"/>
        </w:rPr>
      </w:pPr>
      <w:r>
        <w:rPr>
          <w:rFonts w:hint="eastAsia" w:ascii="宋体" w:hAnsi="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68DAB258">
      <w:pPr>
        <w:spacing w:line="360" w:lineRule="auto"/>
        <w:jc w:val="left"/>
        <w:rPr>
          <w:rFonts w:hint="eastAsia" w:ascii="宋体" w:hAnsi="宋体"/>
          <w:b/>
          <w:bCs/>
          <w:color w:val="auto"/>
          <w:sz w:val="32"/>
          <w:szCs w:val="32"/>
          <w:highlight w:val="none"/>
        </w:rPr>
      </w:pPr>
      <w:r>
        <w:rPr>
          <w:rFonts w:ascii="宋体" w:hAnsi="宋体"/>
          <w:color w:val="auto"/>
          <w:sz w:val="24"/>
          <w:highlight w:val="none"/>
        </w:rPr>
        <w:br w:type="page"/>
      </w:r>
      <w:r>
        <w:rPr>
          <w:rFonts w:hint="eastAsia" w:ascii="宋体" w:hAnsi="宋体"/>
          <w:b/>
          <w:color w:val="auto"/>
          <w:sz w:val="24"/>
          <w:highlight w:val="none"/>
        </w:rPr>
        <w:t>4.质疑函（格式）</w:t>
      </w:r>
    </w:p>
    <w:p w14:paraId="02559D5D">
      <w:pPr>
        <w:spacing w:line="360" w:lineRule="auto"/>
        <w:jc w:val="center"/>
        <w:rPr>
          <w:rFonts w:hint="eastAsia" w:ascii="Arial Unicode MS" w:hAnsi="Arial Unicode MS" w:eastAsia="Arial Unicode MS" w:cs="Arial Unicode MS"/>
          <w:color w:val="auto"/>
          <w:sz w:val="44"/>
          <w:szCs w:val="44"/>
          <w:highlight w:val="none"/>
        </w:rPr>
      </w:pPr>
      <w:r>
        <w:rPr>
          <w:rFonts w:hint="eastAsia" w:ascii="Arial Unicode MS" w:hAnsi="Arial Unicode MS" w:eastAsia="Arial Unicode MS" w:cs="Arial Unicode MS"/>
          <w:color w:val="auto"/>
          <w:sz w:val="44"/>
          <w:szCs w:val="44"/>
          <w:highlight w:val="none"/>
        </w:rPr>
        <w:t>质疑函（格式）</w:t>
      </w:r>
    </w:p>
    <w:p w14:paraId="187EB37B">
      <w:pPr>
        <w:pStyle w:val="25"/>
        <w:snapToGri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一、质疑供应商基本信息：</w:t>
      </w:r>
    </w:p>
    <w:p w14:paraId="5FE89012">
      <w:pPr>
        <w:pStyle w:val="25"/>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质疑供应商：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41489678">
      <w:pPr>
        <w:pStyle w:val="25"/>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0506DC4C">
      <w:pPr>
        <w:pStyle w:val="25"/>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联系人</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560D8516">
      <w:pPr>
        <w:pStyle w:val="25"/>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p>
    <w:p w14:paraId="0FAE36AD">
      <w:pPr>
        <w:pStyle w:val="25"/>
        <w:snapToGrid w:val="0"/>
        <w:spacing w:line="360" w:lineRule="auto"/>
        <w:ind w:firstLine="480" w:firstLineChars="200"/>
        <w:rPr>
          <w:rFonts w:hint="eastAsia" w:hAnsi="宋体"/>
          <w:bCs/>
          <w:color w:val="auto"/>
          <w:sz w:val="24"/>
          <w:szCs w:val="24"/>
          <w:highlight w:val="none"/>
          <w:u w:val="single"/>
        </w:rPr>
      </w:pP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5EE7A595">
      <w:pPr>
        <w:pStyle w:val="25"/>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12CB3A61">
      <w:pPr>
        <w:pStyle w:val="25"/>
        <w:snapToGrid w:val="0"/>
        <w:spacing w:line="360" w:lineRule="auto"/>
        <w:ind w:firstLine="482" w:firstLineChars="200"/>
        <w:rPr>
          <w:rFonts w:hint="eastAsia" w:hAnsi="宋体"/>
          <w:b/>
          <w:bCs/>
          <w:color w:val="auto"/>
          <w:sz w:val="24"/>
          <w:szCs w:val="24"/>
          <w:highlight w:val="none"/>
        </w:rPr>
      </w:pPr>
      <w:r>
        <w:rPr>
          <w:rFonts w:hint="eastAsia" w:hAnsi="宋体"/>
          <w:b/>
          <w:bCs/>
          <w:color w:val="auto"/>
          <w:sz w:val="24"/>
          <w:szCs w:val="24"/>
          <w:highlight w:val="none"/>
        </w:rPr>
        <w:t>二、质疑项目基本情况：</w:t>
      </w:r>
    </w:p>
    <w:p w14:paraId="3CE55DEA">
      <w:pPr>
        <w:pStyle w:val="25"/>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3645F160">
      <w:pPr>
        <w:pStyle w:val="25"/>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3DEA3AE4">
      <w:pPr>
        <w:pStyle w:val="25"/>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4194D244">
      <w:pPr>
        <w:pStyle w:val="25"/>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质疑事项：</w:t>
      </w:r>
    </w:p>
    <w:p w14:paraId="19900899">
      <w:pPr>
        <w:pStyle w:val="25"/>
        <w:spacing w:line="360" w:lineRule="auto"/>
        <w:ind w:left="25" w:leftChars="12" w:firstLine="352" w:firstLineChars="147"/>
        <w:rPr>
          <w:rFonts w:hAnsi="宋体"/>
          <w:color w:val="auto"/>
          <w:sz w:val="24"/>
          <w:szCs w:val="24"/>
          <w:highlight w:val="none"/>
        </w:rPr>
      </w:pPr>
      <w:r>
        <w:rPr>
          <w:rFonts w:hint="eastAsia" w:hAnsi="宋体"/>
          <w:color w:val="auto"/>
          <w:sz w:val="24"/>
          <w:szCs w:val="24"/>
          <w:highlight w:val="none"/>
        </w:rPr>
        <w:t>□招标文件   招标文件获取日期：</w:t>
      </w:r>
      <w:r>
        <w:rPr>
          <w:rFonts w:hint="eastAsia" w:hAnsi="宋体"/>
          <w:bCs/>
          <w:color w:val="auto"/>
          <w:sz w:val="24"/>
          <w:szCs w:val="24"/>
          <w:highlight w:val="none"/>
          <w:u w:val="single"/>
        </w:rPr>
        <w:t xml:space="preserve">                                   </w:t>
      </w:r>
    </w:p>
    <w:p w14:paraId="494BD33C">
      <w:pPr>
        <w:pStyle w:val="25"/>
        <w:spacing w:line="360" w:lineRule="auto"/>
        <w:ind w:left="25" w:leftChars="12" w:firstLine="352" w:firstLineChars="147"/>
        <w:rPr>
          <w:rFonts w:hint="eastAsia" w:hAnsi="宋体"/>
          <w:color w:val="auto"/>
          <w:sz w:val="24"/>
          <w:szCs w:val="24"/>
          <w:highlight w:val="none"/>
        </w:rPr>
      </w:pPr>
      <w:r>
        <w:rPr>
          <w:rFonts w:hint="eastAsia" w:hAnsi="宋体"/>
          <w:color w:val="auto"/>
          <w:sz w:val="24"/>
          <w:szCs w:val="24"/>
          <w:highlight w:val="none"/>
        </w:rPr>
        <w:t xml:space="preserve">□招标过程   </w:t>
      </w:r>
    </w:p>
    <w:p w14:paraId="4EBDC9C2">
      <w:pPr>
        <w:pStyle w:val="25"/>
        <w:spacing w:line="360" w:lineRule="auto"/>
        <w:ind w:left="25" w:leftChars="12" w:firstLine="352" w:firstLineChars="147"/>
        <w:rPr>
          <w:rFonts w:hint="eastAsia" w:hAnsi="宋体"/>
          <w:bCs/>
          <w:color w:val="auto"/>
          <w:sz w:val="24"/>
          <w:szCs w:val="24"/>
          <w:highlight w:val="none"/>
          <w:u w:val="single"/>
        </w:rPr>
      </w:pPr>
      <w:r>
        <w:rPr>
          <w:rFonts w:hint="eastAsia" w:hAnsi="宋体"/>
          <w:color w:val="auto"/>
          <w:sz w:val="24"/>
          <w:szCs w:val="24"/>
          <w:highlight w:val="none"/>
        </w:rPr>
        <w:t xml:space="preserve">□招标结果   </w:t>
      </w:r>
    </w:p>
    <w:p w14:paraId="6D1A3C16">
      <w:pPr>
        <w:pStyle w:val="25"/>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三、质疑事项具体内容</w:t>
      </w:r>
    </w:p>
    <w:p w14:paraId="351D0334">
      <w:pPr>
        <w:pStyle w:val="25"/>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质疑事项1：</w:t>
      </w:r>
      <w:r>
        <w:rPr>
          <w:rFonts w:hint="eastAsia" w:hAnsi="宋体"/>
          <w:bCs/>
          <w:color w:val="auto"/>
          <w:sz w:val="24"/>
          <w:szCs w:val="24"/>
          <w:highlight w:val="none"/>
          <w:u w:val="single"/>
        </w:rPr>
        <w:t xml:space="preserve">                                                                    </w:t>
      </w:r>
    </w:p>
    <w:p w14:paraId="5F63ED6F">
      <w:pPr>
        <w:pStyle w:val="25"/>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事实依据：</w:t>
      </w:r>
      <w:r>
        <w:rPr>
          <w:rFonts w:hint="eastAsia" w:hAnsi="宋体"/>
          <w:bCs/>
          <w:color w:val="auto"/>
          <w:sz w:val="24"/>
          <w:szCs w:val="24"/>
          <w:highlight w:val="none"/>
          <w:u w:val="single"/>
        </w:rPr>
        <w:t xml:space="preserve">                                                                      </w:t>
      </w:r>
    </w:p>
    <w:p w14:paraId="0DD65ABF">
      <w:pPr>
        <w:pStyle w:val="25"/>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法律依据：</w:t>
      </w:r>
      <w:r>
        <w:rPr>
          <w:rFonts w:hint="eastAsia" w:hAnsi="宋体"/>
          <w:color w:val="auto"/>
          <w:sz w:val="24"/>
          <w:szCs w:val="24"/>
          <w:highlight w:val="none"/>
          <w:u w:val="single"/>
        </w:rPr>
        <w:t xml:space="preserve">                                                        </w:t>
      </w:r>
      <w:r>
        <w:rPr>
          <w:rFonts w:hint="eastAsia" w:hAnsi="宋体"/>
          <w:bCs/>
          <w:color w:val="auto"/>
          <w:sz w:val="24"/>
          <w:szCs w:val="24"/>
          <w:highlight w:val="none"/>
          <w:u w:val="single"/>
        </w:rPr>
        <w:t xml:space="preserve">               </w:t>
      </w:r>
    </w:p>
    <w:p w14:paraId="0697257B">
      <w:pPr>
        <w:pStyle w:val="25"/>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质疑事项2</w:t>
      </w:r>
    </w:p>
    <w:p w14:paraId="45E97F6C">
      <w:pPr>
        <w:pStyle w:val="25"/>
        <w:spacing w:line="360" w:lineRule="auto"/>
        <w:ind w:left="25" w:leftChars="12" w:firstLine="472" w:firstLineChars="197"/>
        <w:rPr>
          <w:rFonts w:hint="eastAsia" w:hAnsi="宋体"/>
          <w:color w:val="auto"/>
          <w:sz w:val="24"/>
          <w:szCs w:val="24"/>
          <w:highlight w:val="none"/>
        </w:rPr>
      </w:pPr>
      <w:r>
        <w:rPr>
          <w:rFonts w:hAnsi="宋体"/>
          <w:color w:val="auto"/>
          <w:sz w:val="24"/>
          <w:szCs w:val="24"/>
          <w:highlight w:val="none"/>
        </w:rPr>
        <w:t>……</w:t>
      </w:r>
    </w:p>
    <w:p w14:paraId="1D223C83">
      <w:pPr>
        <w:pStyle w:val="25"/>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四、与质疑事项相关的质疑请求：</w:t>
      </w:r>
    </w:p>
    <w:p w14:paraId="3DDEB801">
      <w:pPr>
        <w:pStyle w:val="25"/>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1F8DE964">
      <w:pPr>
        <w:pStyle w:val="25"/>
        <w:spacing w:line="360" w:lineRule="auto"/>
        <w:ind w:left="25" w:leftChars="12" w:firstLine="352" w:firstLineChars="147"/>
        <w:rPr>
          <w:rFonts w:hint="eastAsia" w:hAnsi="宋体"/>
          <w:color w:val="auto"/>
          <w:sz w:val="24"/>
          <w:szCs w:val="24"/>
          <w:highlight w:val="none"/>
        </w:rPr>
      </w:pPr>
    </w:p>
    <w:p w14:paraId="5BE50708">
      <w:pPr>
        <w:pStyle w:val="25"/>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签字（签章）：                                       公章：</w:t>
      </w:r>
    </w:p>
    <w:p w14:paraId="6108CB8F">
      <w:pPr>
        <w:pStyle w:val="25"/>
        <w:spacing w:line="360" w:lineRule="auto"/>
        <w:ind w:left="25" w:leftChars="12" w:firstLine="352" w:firstLineChars="147"/>
        <w:rPr>
          <w:rFonts w:hint="eastAsia" w:hAnsi="宋体"/>
          <w:color w:val="auto"/>
          <w:sz w:val="24"/>
          <w:szCs w:val="24"/>
          <w:highlight w:val="none"/>
        </w:rPr>
      </w:pPr>
    </w:p>
    <w:p w14:paraId="4897CE71">
      <w:pPr>
        <w:pStyle w:val="25"/>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日期：</w:t>
      </w:r>
    </w:p>
    <w:p w14:paraId="4F40FFCC">
      <w:pPr>
        <w:pStyle w:val="25"/>
        <w:snapToGrid w:val="0"/>
        <w:spacing w:line="360" w:lineRule="auto"/>
        <w:rPr>
          <w:rFonts w:hint="eastAsia" w:hAnsi="宋体"/>
          <w:b/>
          <w:color w:val="auto"/>
          <w:sz w:val="24"/>
          <w:szCs w:val="24"/>
          <w:highlight w:val="none"/>
        </w:rPr>
      </w:pPr>
    </w:p>
    <w:p w14:paraId="349E5E5F">
      <w:pPr>
        <w:pStyle w:val="25"/>
        <w:snapToGrid w:val="0"/>
        <w:spacing w:line="360" w:lineRule="auto"/>
        <w:rPr>
          <w:rFonts w:hint="eastAsia" w:hAnsi="宋体"/>
          <w:b/>
          <w:color w:val="auto"/>
          <w:sz w:val="24"/>
          <w:szCs w:val="24"/>
          <w:highlight w:val="none"/>
        </w:rPr>
      </w:pPr>
      <w:r>
        <w:rPr>
          <w:rFonts w:hint="eastAsia" w:hAnsi="宋体"/>
          <w:b/>
          <w:color w:val="auto"/>
          <w:sz w:val="24"/>
          <w:szCs w:val="24"/>
          <w:highlight w:val="none"/>
        </w:rPr>
        <w:t>说明：</w:t>
      </w:r>
    </w:p>
    <w:p w14:paraId="376C97CA">
      <w:pPr>
        <w:pStyle w:val="25"/>
        <w:spacing w:line="360" w:lineRule="auto"/>
        <w:ind w:left="25" w:leftChars="12" w:firstLine="354" w:firstLineChars="147"/>
        <w:rPr>
          <w:rFonts w:hint="eastAsia" w:hAnsi="宋体"/>
          <w:b/>
          <w:bCs/>
          <w:color w:val="auto"/>
          <w:sz w:val="24"/>
          <w:szCs w:val="24"/>
          <w:highlight w:val="none"/>
        </w:rPr>
      </w:pPr>
      <w:r>
        <w:rPr>
          <w:rFonts w:hint="eastAsia" w:hAnsi="宋体"/>
          <w:b/>
          <w:color w:val="auto"/>
          <w:sz w:val="24"/>
          <w:szCs w:val="24"/>
          <w:highlight w:val="none"/>
        </w:rPr>
        <w:t>1.供应商提出质疑时，应提交质疑函和必要的证明材料</w:t>
      </w:r>
      <w:r>
        <w:rPr>
          <w:rFonts w:hint="eastAsia" w:hAnsi="宋体"/>
          <w:b/>
          <w:bCs/>
          <w:color w:val="auto"/>
          <w:sz w:val="24"/>
          <w:szCs w:val="24"/>
          <w:highlight w:val="none"/>
        </w:rPr>
        <w:t>。</w:t>
      </w:r>
    </w:p>
    <w:p w14:paraId="18976BC4">
      <w:pPr>
        <w:pStyle w:val="25"/>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14D6E84">
      <w:pPr>
        <w:pStyle w:val="25"/>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3.质疑函的质疑事项应具体、明确，并有必要的事实依据和法律依据。</w:t>
      </w:r>
    </w:p>
    <w:p w14:paraId="68AF6825">
      <w:pPr>
        <w:pStyle w:val="25"/>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4.质疑函的质疑请求应与质疑事项相关。</w:t>
      </w:r>
    </w:p>
    <w:p w14:paraId="2F79D446">
      <w:pPr>
        <w:pStyle w:val="25"/>
        <w:spacing w:line="360" w:lineRule="auto"/>
        <w:ind w:left="25" w:leftChars="12" w:firstLine="354" w:firstLineChars="147"/>
        <w:rPr>
          <w:rFonts w:hint="eastAsia" w:hAnsi="宋体"/>
          <w:b/>
          <w:color w:val="auto"/>
          <w:highlight w:val="none"/>
        </w:rPr>
      </w:pPr>
      <w:r>
        <w:rPr>
          <w:rFonts w:hint="eastAsia" w:hAnsi="宋体"/>
          <w:b/>
          <w:color w:val="auto"/>
          <w:sz w:val="24"/>
          <w:szCs w:val="24"/>
          <w:highlight w:val="none"/>
        </w:rPr>
        <w:t>5.质疑供应商为法人或者其他组织的，质疑函应由法定代表人、主要负责人，或者其授权代表签字或者盖章，并加盖公章。</w:t>
      </w:r>
    </w:p>
    <w:p w14:paraId="1A35CF70">
      <w:pPr>
        <w:spacing w:line="460" w:lineRule="exact"/>
        <w:rPr>
          <w:rFonts w:hint="eastAsia" w:eastAsia="隶书"/>
          <w:color w:val="auto"/>
          <w:sz w:val="44"/>
          <w:highlight w:val="none"/>
        </w:rPr>
      </w:pPr>
    </w:p>
    <w:p w14:paraId="0F1ABD27">
      <w:pPr>
        <w:spacing w:line="360" w:lineRule="auto"/>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5.投诉书（格式）</w:t>
      </w:r>
    </w:p>
    <w:p w14:paraId="3F355DB4">
      <w:pPr>
        <w:spacing w:line="360" w:lineRule="auto"/>
        <w:jc w:val="center"/>
        <w:rPr>
          <w:rFonts w:hint="eastAsia" w:ascii="Arial Unicode MS" w:hAnsi="Arial Unicode MS" w:eastAsia="Arial Unicode MS" w:cs="Arial Unicode MS"/>
          <w:color w:val="auto"/>
          <w:sz w:val="44"/>
          <w:szCs w:val="44"/>
          <w:highlight w:val="none"/>
        </w:rPr>
      </w:pPr>
      <w:r>
        <w:rPr>
          <w:rFonts w:hint="eastAsia" w:ascii="Arial Unicode MS" w:hAnsi="Arial Unicode MS" w:eastAsia="Arial Unicode MS" w:cs="Arial Unicode MS"/>
          <w:color w:val="auto"/>
          <w:sz w:val="44"/>
          <w:szCs w:val="44"/>
          <w:highlight w:val="none"/>
        </w:rPr>
        <w:t>投诉书（格式）</w:t>
      </w:r>
    </w:p>
    <w:p w14:paraId="58A5A7D1">
      <w:pPr>
        <w:pStyle w:val="25"/>
        <w:snapToGri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一、投诉相关主体基本情况：</w:t>
      </w:r>
    </w:p>
    <w:p w14:paraId="1152913F">
      <w:pPr>
        <w:pStyle w:val="25"/>
        <w:snapToGrid w:val="0"/>
        <w:spacing w:line="360" w:lineRule="auto"/>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投标人：</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023EB288">
      <w:pPr>
        <w:pStyle w:val="25"/>
        <w:snapToGrid w:val="0"/>
        <w:spacing w:line="360" w:lineRule="auto"/>
        <w:ind w:firstLine="480" w:firstLineChars="200"/>
        <w:jc w:val="left"/>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498A2CE8">
      <w:pPr>
        <w:pStyle w:val="25"/>
        <w:snapToGrid w:val="0"/>
        <w:spacing w:line="360" w:lineRule="auto"/>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法定代表人/主要负责人：</w:t>
      </w:r>
      <w:r>
        <w:rPr>
          <w:rFonts w:hint="eastAsia" w:hAnsi="宋体"/>
          <w:bCs/>
          <w:color w:val="auto"/>
          <w:sz w:val="24"/>
          <w:szCs w:val="24"/>
          <w:highlight w:val="none"/>
          <w:u w:val="single"/>
        </w:rPr>
        <w:t xml:space="preserve">                                                         </w:t>
      </w:r>
    </w:p>
    <w:p w14:paraId="179E8C0B">
      <w:pPr>
        <w:pStyle w:val="25"/>
        <w:snapToGrid w:val="0"/>
        <w:spacing w:line="360" w:lineRule="auto"/>
        <w:ind w:firstLine="480" w:firstLineChars="200"/>
        <w:jc w:val="left"/>
        <w:rPr>
          <w:rFonts w:hint="eastAsia" w:hAnsi="宋体"/>
          <w:bCs/>
          <w:color w:val="auto"/>
          <w:sz w:val="24"/>
          <w:szCs w:val="24"/>
          <w:highlight w:val="none"/>
        </w:rPr>
      </w:pP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2C38A30B">
      <w:pPr>
        <w:pStyle w:val="25"/>
        <w:snapToGrid w:val="0"/>
        <w:spacing w:line="360" w:lineRule="auto"/>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2D7FB430">
      <w:pPr>
        <w:pStyle w:val="25"/>
        <w:snapToGrid w:val="0"/>
        <w:spacing w:line="360" w:lineRule="auto"/>
        <w:ind w:firstLine="480" w:firstLineChars="200"/>
        <w:jc w:val="left"/>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3864CC0E">
      <w:pPr>
        <w:pStyle w:val="25"/>
        <w:snapToGrid w:val="0"/>
        <w:spacing w:line="360" w:lineRule="auto"/>
        <w:ind w:firstLine="480" w:firstLineChars="200"/>
        <w:jc w:val="left"/>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6632F72D">
      <w:pPr>
        <w:pStyle w:val="25"/>
        <w:snapToGrid w:val="0"/>
        <w:spacing w:line="360" w:lineRule="auto"/>
        <w:ind w:firstLine="480" w:firstLineChars="200"/>
        <w:jc w:val="left"/>
        <w:rPr>
          <w:rFonts w:hint="eastAsia" w:hAnsi="宋体"/>
          <w:bCs/>
          <w:color w:val="auto"/>
          <w:sz w:val="24"/>
          <w:szCs w:val="24"/>
          <w:highlight w:val="none"/>
        </w:rPr>
      </w:pPr>
      <w:r>
        <w:rPr>
          <w:rFonts w:hint="eastAsia" w:hAnsi="宋体"/>
          <w:bCs/>
          <w:color w:val="auto"/>
          <w:sz w:val="24"/>
          <w:szCs w:val="24"/>
          <w:highlight w:val="none"/>
        </w:rPr>
        <w:t>被投诉人1：</w:t>
      </w:r>
    </w:p>
    <w:p w14:paraId="5A033AE3">
      <w:pPr>
        <w:pStyle w:val="25"/>
        <w:snapToGrid w:val="0"/>
        <w:spacing w:line="360" w:lineRule="auto"/>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地址：</w:t>
      </w:r>
      <w:r>
        <w:rPr>
          <w:rFonts w:hint="eastAsia" w:hAnsi="宋体"/>
          <w:bCs/>
          <w:color w:val="auto"/>
          <w:sz w:val="24"/>
          <w:szCs w:val="24"/>
          <w:highlight w:val="none"/>
          <w:u w:val="single"/>
        </w:rPr>
        <w:t xml:space="preserve">                                                            </w:t>
      </w:r>
    </w:p>
    <w:p w14:paraId="5349028C">
      <w:pPr>
        <w:pStyle w:val="25"/>
        <w:snapToGrid w:val="0"/>
        <w:spacing w:line="360" w:lineRule="auto"/>
        <w:ind w:firstLine="480" w:firstLineChars="200"/>
        <w:jc w:val="left"/>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4019D460">
      <w:pPr>
        <w:pStyle w:val="25"/>
        <w:snapToGrid w:val="0"/>
        <w:spacing w:line="360" w:lineRule="auto"/>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3C20F5EA">
      <w:pPr>
        <w:pStyle w:val="25"/>
        <w:snapToGrid w:val="0"/>
        <w:spacing w:line="360" w:lineRule="auto"/>
        <w:ind w:firstLine="480" w:firstLineChars="200"/>
        <w:jc w:val="left"/>
        <w:rPr>
          <w:rFonts w:hint="eastAsia" w:hAnsi="宋体"/>
          <w:bCs/>
          <w:color w:val="auto"/>
          <w:sz w:val="24"/>
          <w:szCs w:val="24"/>
          <w:highlight w:val="none"/>
        </w:rPr>
      </w:pPr>
      <w:r>
        <w:rPr>
          <w:rFonts w:hint="eastAsia" w:hAnsi="宋体"/>
          <w:bCs/>
          <w:color w:val="auto"/>
          <w:sz w:val="24"/>
          <w:szCs w:val="24"/>
          <w:highlight w:val="none"/>
        </w:rPr>
        <w:t>被投诉人2：</w:t>
      </w:r>
    </w:p>
    <w:p w14:paraId="5B396560">
      <w:pPr>
        <w:pStyle w:val="25"/>
        <w:snapToGrid w:val="0"/>
        <w:spacing w:line="360" w:lineRule="auto"/>
        <w:ind w:firstLine="480" w:firstLineChars="200"/>
        <w:jc w:val="left"/>
        <w:rPr>
          <w:rFonts w:hint="eastAsia" w:hAnsi="宋体"/>
          <w:bCs/>
          <w:color w:val="auto"/>
          <w:sz w:val="24"/>
          <w:szCs w:val="24"/>
          <w:highlight w:val="none"/>
        </w:rPr>
      </w:pPr>
      <w:r>
        <w:rPr>
          <w:rFonts w:hAnsi="宋体"/>
          <w:bCs/>
          <w:color w:val="auto"/>
          <w:sz w:val="24"/>
          <w:szCs w:val="24"/>
          <w:highlight w:val="none"/>
        </w:rPr>
        <w:t>……</w:t>
      </w:r>
    </w:p>
    <w:p w14:paraId="40341F2A">
      <w:pPr>
        <w:pStyle w:val="25"/>
        <w:snapToGrid w:val="0"/>
        <w:spacing w:line="360" w:lineRule="auto"/>
        <w:ind w:firstLine="480" w:firstLineChars="200"/>
        <w:jc w:val="left"/>
        <w:rPr>
          <w:rFonts w:hint="eastAsia" w:hAnsi="宋体"/>
          <w:bCs/>
          <w:color w:val="auto"/>
          <w:sz w:val="24"/>
          <w:szCs w:val="24"/>
          <w:highlight w:val="none"/>
          <w:u w:val="single"/>
        </w:rPr>
      </w:pPr>
      <w:r>
        <w:rPr>
          <w:rFonts w:hint="eastAsia" w:hAnsi="宋体"/>
          <w:bCs/>
          <w:color w:val="auto"/>
          <w:sz w:val="24"/>
          <w:szCs w:val="24"/>
          <w:highlight w:val="none"/>
        </w:rPr>
        <w:t>相关供应商：</w:t>
      </w:r>
      <w:r>
        <w:rPr>
          <w:rFonts w:hint="eastAsia" w:hAnsi="宋体"/>
          <w:bCs/>
          <w:color w:val="auto"/>
          <w:sz w:val="24"/>
          <w:szCs w:val="24"/>
          <w:highlight w:val="none"/>
          <w:u w:val="single"/>
        </w:rPr>
        <w:t xml:space="preserve">                                                                       </w:t>
      </w:r>
    </w:p>
    <w:p w14:paraId="3028CB26">
      <w:pPr>
        <w:pStyle w:val="25"/>
        <w:snapToGrid w:val="0"/>
        <w:spacing w:line="360" w:lineRule="auto"/>
        <w:ind w:firstLine="480" w:firstLineChars="200"/>
        <w:jc w:val="left"/>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7A9336CD">
      <w:pPr>
        <w:pStyle w:val="25"/>
        <w:snapToGrid w:val="0"/>
        <w:spacing w:line="360" w:lineRule="auto"/>
        <w:ind w:firstLine="480" w:firstLineChars="200"/>
        <w:jc w:val="left"/>
        <w:rPr>
          <w:rFonts w:hint="eastAsia" w:hAnsi="宋体"/>
          <w:bCs/>
          <w:color w:val="auto"/>
          <w:sz w:val="24"/>
          <w:szCs w:val="24"/>
          <w:highlight w:val="non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58DB75D8">
      <w:pPr>
        <w:pStyle w:val="25"/>
        <w:snapToGrid w:val="0"/>
        <w:spacing w:line="360" w:lineRule="auto"/>
        <w:ind w:firstLine="482" w:firstLineChars="200"/>
        <w:rPr>
          <w:rFonts w:hint="eastAsia" w:hAnsi="宋体"/>
          <w:b/>
          <w:bCs/>
          <w:color w:val="auto"/>
          <w:sz w:val="24"/>
          <w:szCs w:val="24"/>
          <w:highlight w:val="none"/>
        </w:rPr>
      </w:pPr>
      <w:r>
        <w:rPr>
          <w:rFonts w:hint="eastAsia" w:hAnsi="宋体"/>
          <w:b/>
          <w:bCs/>
          <w:color w:val="auto"/>
          <w:sz w:val="24"/>
          <w:szCs w:val="24"/>
          <w:highlight w:val="none"/>
        </w:rPr>
        <w:t>二、投诉项目基本情况：</w:t>
      </w:r>
    </w:p>
    <w:p w14:paraId="6B618640">
      <w:pPr>
        <w:pStyle w:val="25"/>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招标项目的名称：</w:t>
      </w:r>
      <w:r>
        <w:rPr>
          <w:rFonts w:hint="eastAsia" w:hAnsi="宋体"/>
          <w:bCs/>
          <w:color w:val="auto"/>
          <w:sz w:val="24"/>
          <w:szCs w:val="24"/>
          <w:highlight w:val="none"/>
          <w:u w:val="single"/>
        </w:rPr>
        <w:t xml:space="preserve">                                                                   </w:t>
      </w:r>
    </w:p>
    <w:p w14:paraId="1C06A411">
      <w:pPr>
        <w:pStyle w:val="25"/>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招标项目的编号：</w:t>
      </w:r>
      <w:r>
        <w:rPr>
          <w:rFonts w:hint="eastAsia" w:hAnsi="宋体"/>
          <w:bCs/>
          <w:color w:val="auto"/>
          <w:sz w:val="24"/>
          <w:szCs w:val="24"/>
          <w:highlight w:val="none"/>
          <w:u w:val="single"/>
        </w:rPr>
        <w:t xml:space="preserve">                                          </w:t>
      </w:r>
    </w:p>
    <w:p w14:paraId="484707A2">
      <w:pPr>
        <w:pStyle w:val="25"/>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1BB4FB3C">
      <w:pPr>
        <w:pStyle w:val="25"/>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代理机构名称：</w:t>
      </w:r>
      <w:r>
        <w:rPr>
          <w:rFonts w:hint="eastAsia" w:hAnsi="宋体"/>
          <w:bCs/>
          <w:color w:val="auto"/>
          <w:sz w:val="24"/>
          <w:szCs w:val="24"/>
          <w:highlight w:val="none"/>
          <w:u w:val="single"/>
        </w:rPr>
        <w:t xml:space="preserve">                                                                      </w:t>
      </w:r>
    </w:p>
    <w:p w14:paraId="69139FCE">
      <w:pPr>
        <w:pStyle w:val="25"/>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招标</w:t>
      </w:r>
      <w:r>
        <w:rPr>
          <w:rFonts w:hint="eastAsia" w:hAnsi="宋体"/>
          <w:bCs/>
          <w:color w:val="auto"/>
          <w:sz w:val="24"/>
          <w:szCs w:val="24"/>
          <w:highlight w:val="none"/>
        </w:rPr>
        <w:t>文件公告：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76C486FF">
      <w:pPr>
        <w:pStyle w:val="25"/>
        <w:spacing w:line="360" w:lineRule="auto"/>
        <w:ind w:left="25" w:leftChars="12" w:firstLine="472" w:firstLineChars="197"/>
        <w:rPr>
          <w:rFonts w:hint="eastAsia" w:hAnsi="宋体"/>
          <w:b/>
          <w:color w:val="auto"/>
          <w:sz w:val="24"/>
          <w:szCs w:val="24"/>
          <w:highlight w:val="none"/>
        </w:rPr>
      </w:pPr>
      <w:r>
        <w:rPr>
          <w:rFonts w:hint="eastAsia" w:hAnsi="宋体"/>
          <w:color w:val="auto"/>
          <w:sz w:val="24"/>
          <w:highlight w:val="none"/>
        </w:rPr>
        <w:t>招标</w:t>
      </w:r>
      <w:r>
        <w:rPr>
          <w:rFonts w:hint="eastAsia" w:hAnsi="宋体"/>
          <w:bCs/>
          <w:color w:val="auto"/>
          <w:sz w:val="24"/>
          <w:highlight w:val="none"/>
        </w:rPr>
        <w:t>结果公告：</w:t>
      </w:r>
      <w:r>
        <w:rPr>
          <w:rFonts w:hint="eastAsia" w:hAnsi="宋体"/>
          <w:bCs/>
          <w:color w:val="auto"/>
          <w:sz w:val="24"/>
          <w:highlight w:val="none"/>
          <w:u w:val="single"/>
        </w:rPr>
        <w:t>是</w:t>
      </w:r>
      <w:r>
        <w:rPr>
          <w:rFonts w:hAnsi="宋体"/>
          <w:bCs/>
          <w:color w:val="auto"/>
          <w:sz w:val="24"/>
          <w:highlight w:val="none"/>
          <w:u w:val="single"/>
        </w:rPr>
        <w:t>/</w:t>
      </w:r>
      <w:r>
        <w:rPr>
          <w:rFonts w:hint="eastAsia" w:hAnsi="宋体"/>
          <w:bCs/>
          <w:color w:val="auto"/>
          <w:sz w:val="24"/>
          <w:highlight w:val="none"/>
          <w:u w:val="single"/>
        </w:rPr>
        <w:t>否</w:t>
      </w:r>
      <w:r>
        <w:rPr>
          <w:rFonts w:hint="eastAsia" w:hAnsi="宋体"/>
          <w:bCs/>
          <w:color w:val="auto"/>
          <w:sz w:val="24"/>
          <w:highlight w:val="none"/>
        </w:rPr>
        <w:t>公告期限：</w:t>
      </w:r>
      <w:r>
        <w:rPr>
          <w:rFonts w:hAnsi="宋体"/>
          <w:bCs/>
          <w:color w:val="auto"/>
          <w:sz w:val="24"/>
          <w:highlight w:val="none"/>
          <w:u w:val="single"/>
        </w:rPr>
        <w:t xml:space="preserve">                                      </w:t>
      </w:r>
      <w:r>
        <w:rPr>
          <w:rFonts w:hint="eastAsia" w:hAnsi="宋体"/>
          <w:bCs/>
          <w:color w:val="auto"/>
          <w:sz w:val="24"/>
          <w:szCs w:val="24"/>
          <w:highlight w:val="none"/>
          <w:u w:val="single"/>
        </w:rPr>
        <w:t xml:space="preserve">              </w:t>
      </w:r>
    </w:p>
    <w:p w14:paraId="136843D3">
      <w:pPr>
        <w:pStyle w:val="25"/>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三、质疑基本情况</w:t>
      </w:r>
    </w:p>
    <w:p w14:paraId="5631CD9B">
      <w:pPr>
        <w:pStyle w:val="25"/>
        <w:spacing w:line="360" w:lineRule="auto"/>
        <w:ind w:left="25" w:leftChars="12" w:firstLine="480" w:firstLineChars="200"/>
        <w:rPr>
          <w:rFonts w:hint="eastAsia" w:hAnsi="宋体"/>
          <w:color w:val="auto"/>
          <w:sz w:val="24"/>
          <w:szCs w:val="24"/>
          <w:highlight w:val="none"/>
        </w:rPr>
      </w:pPr>
      <w:r>
        <w:rPr>
          <w:rFonts w:hint="eastAsia" w:hAnsi="宋体"/>
          <w:color w:val="auto"/>
          <w:sz w:val="24"/>
          <w:szCs w:val="24"/>
          <w:highlight w:val="none"/>
        </w:rPr>
        <w:t>投诉人于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日，向</w:t>
      </w:r>
      <w:r>
        <w:rPr>
          <w:rFonts w:hint="eastAsia" w:hAnsi="宋体"/>
          <w:color w:val="auto"/>
          <w:sz w:val="24"/>
          <w:szCs w:val="24"/>
          <w:highlight w:val="none"/>
          <w:u w:val="single"/>
        </w:rPr>
        <w:t xml:space="preserve">                                </w:t>
      </w:r>
      <w:r>
        <w:rPr>
          <w:rFonts w:hint="eastAsia" w:hAnsi="宋体"/>
          <w:color w:val="auto"/>
          <w:sz w:val="24"/>
          <w:szCs w:val="24"/>
          <w:highlight w:val="none"/>
        </w:rPr>
        <w:t>提出质疑，质疑事项为：</w:t>
      </w:r>
    </w:p>
    <w:p w14:paraId="52E0424D">
      <w:pPr>
        <w:pStyle w:val="25"/>
        <w:spacing w:line="360" w:lineRule="auto"/>
        <w:ind w:firstLine="241"/>
        <w:rPr>
          <w:rFonts w:hint="eastAsia" w:hAnsi="宋体"/>
          <w:bCs/>
          <w:color w:val="auto"/>
          <w:sz w:val="24"/>
          <w:szCs w:val="24"/>
          <w:highlight w:val="none"/>
          <w:u w:val="single"/>
        </w:rPr>
      </w:pP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5D8133F4">
      <w:pPr>
        <w:pStyle w:val="25"/>
        <w:spacing w:line="360" w:lineRule="auto"/>
        <w:ind w:firstLine="241"/>
        <w:rPr>
          <w:rFonts w:hint="eastAsia"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5F5C4A10">
      <w:pPr>
        <w:pStyle w:val="25"/>
        <w:spacing w:line="360" w:lineRule="auto"/>
        <w:ind w:firstLine="480" w:firstLineChars="200"/>
        <w:rPr>
          <w:rFonts w:hint="eastAsia" w:hAnsi="宋体"/>
          <w:color w:val="auto"/>
          <w:sz w:val="24"/>
          <w:szCs w:val="24"/>
          <w:highlight w:val="none"/>
        </w:rPr>
      </w:pPr>
      <w:r>
        <w:rPr>
          <w:rFonts w:hint="eastAsia" w:hAnsi="宋体"/>
          <w:bCs/>
          <w:color w:val="auto"/>
          <w:sz w:val="24"/>
          <w:szCs w:val="24"/>
          <w:highlight w:val="none"/>
          <w:u w:val="single"/>
        </w:rPr>
        <w:t>采购人/代理机构</w:t>
      </w:r>
      <w:r>
        <w:rPr>
          <w:rFonts w:hint="eastAsia" w:hAnsi="宋体"/>
          <w:bCs/>
          <w:color w:val="auto"/>
          <w:sz w:val="24"/>
          <w:szCs w:val="24"/>
          <w:highlight w:val="none"/>
        </w:rPr>
        <w:t>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r>
        <w:rPr>
          <w:rFonts w:hint="eastAsia" w:hAnsi="宋体"/>
          <w:bCs/>
          <w:color w:val="auto"/>
          <w:sz w:val="24"/>
          <w:szCs w:val="24"/>
          <w:highlight w:val="none"/>
        </w:rPr>
        <w:t xml:space="preserve">就质疑事项作出了答复/没有在法定期限内作出答复。                                                                                             </w:t>
      </w:r>
    </w:p>
    <w:p w14:paraId="4ADEB4B9">
      <w:pPr>
        <w:pStyle w:val="25"/>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四、投诉事项具体内容</w:t>
      </w:r>
    </w:p>
    <w:p w14:paraId="6D8DE4F3">
      <w:pPr>
        <w:pStyle w:val="25"/>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投诉事项1：</w:t>
      </w:r>
      <w:r>
        <w:rPr>
          <w:rFonts w:hint="eastAsia" w:hAnsi="宋体"/>
          <w:bCs/>
          <w:color w:val="auto"/>
          <w:sz w:val="24"/>
          <w:szCs w:val="24"/>
          <w:highlight w:val="none"/>
          <w:u w:val="single"/>
        </w:rPr>
        <w:t xml:space="preserve">                                                                           </w:t>
      </w:r>
    </w:p>
    <w:p w14:paraId="16F12A48">
      <w:pPr>
        <w:pStyle w:val="25"/>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事实依据：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1F15A376">
      <w:pPr>
        <w:pStyle w:val="25"/>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u w:val="single"/>
        </w:rPr>
        <w:t xml:space="preserve">                                                                                        </w:t>
      </w:r>
    </w:p>
    <w:p w14:paraId="5239A8FC">
      <w:pPr>
        <w:pStyle w:val="25"/>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法律依据：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4C5F3392">
      <w:pPr>
        <w:pStyle w:val="25"/>
        <w:spacing w:line="360" w:lineRule="auto"/>
        <w:ind w:left="25" w:leftChars="12" w:firstLine="352" w:firstLineChars="147"/>
        <w:rPr>
          <w:rFonts w:hint="eastAsia"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4F7FB31E">
      <w:pPr>
        <w:pStyle w:val="25"/>
        <w:spacing w:line="360" w:lineRule="auto"/>
        <w:ind w:left="25" w:leftChars="12" w:firstLine="472" w:firstLineChars="197"/>
        <w:rPr>
          <w:rFonts w:hint="eastAsia" w:hAnsi="宋体"/>
          <w:bCs/>
          <w:color w:val="auto"/>
          <w:sz w:val="24"/>
          <w:szCs w:val="24"/>
          <w:highlight w:val="none"/>
        </w:rPr>
      </w:pPr>
      <w:r>
        <w:rPr>
          <w:rFonts w:hint="eastAsia" w:hAnsi="宋体"/>
          <w:color w:val="auto"/>
          <w:sz w:val="24"/>
          <w:szCs w:val="24"/>
          <w:highlight w:val="none"/>
        </w:rPr>
        <w:t xml:space="preserve">投诉事项2  </w:t>
      </w:r>
      <w:r>
        <w:rPr>
          <w:rFonts w:hint="eastAsia" w:hAnsi="宋体"/>
          <w:bCs/>
          <w:color w:val="auto"/>
          <w:sz w:val="24"/>
          <w:szCs w:val="24"/>
          <w:highlight w:val="none"/>
        </w:rPr>
        <w:t xml:space="preserve">   </w:t>
      </w:r>
    </w:p>
    <w:p w14:paraId="318B87B4">
      <w:pPr>
        <w:pStyle w:val="25"/>
        <w:spacing w:line="360" w:lineRule="auto"/>
        <w:ind w:left="25" w:leftChars="12" w:firstLine="472" w:firstLineChars="197"/>
        <w:rPr>
          <w:rFonts w:hint="eastAsia" w:hAnsi="宋体"/>
          <w:bCs/>
          <w:color w:val="auto"/>
          <w:sz w:val="24"/>
          <w:szCs w:val="24"/>
          <w:highlight w:val="none"/>
        </w:rPr>
      </w:pPr>
      <w:r>
        <w:rPr>
          <w:rFonts w:hAnsi="宋体"/>
          <w:bCs/>
          <w:color w:val="auto"/>
          <w:sz w:val="24"/>
          <w:szCs w:val="24"/>
          <w:highlight w:val="none"/>
        </w:rPr>
        <w:t>……</w:t>
      </w:r>
    </w:p>
    <w:p w14:paraId="23DFB3BF">
      <w:pPr>
        <w:pStyle w:val="25"/>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五、与投诉事项相关的投诉请求：</w:t>
      </w:r>
    </w:p>
    <w:p w14:paraId="516CCDD2">
      <w:pPr>
        <w:pStyle w:val="25"/>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594FDFD0">
      <w:pPr>
        <w:pStyle w:val="25"/>
        <w:spacing w:line="360" w:lineRule="auto"/>
        <w:ind w:left="25" w:leftChars="12" w:firstLine="352" w:firstLineChars="147"/>
        <w:rPr>
          <w:rFonts w:hint="eastAsia" w:hAnsi="宋体"/>
          <w:color w:val="auto"/>
          <w:sz w:val="24"/>
          <w:szCs w:val="24"/>
          <w:highlight w:val="none"/>
        </w:rPr>
      </w:pPr>
    </w:p>
    <w:p w14:paraId="008CABFF">
      <w:pPr>
        <w:pStyle w:val="25"/>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签字（签章）：                                       公章：</w:t>
      </w:r>
    </w:p>
    <w:p w14:paraId="2472B0D5">
      <w:pPr>
        <w:pStyle w:val="25"/>
        <w:spacing w:line="360" w:lineRule="auto"/>
        <w:ind w:left="25" w:leftChars="12" w:firstLine="352" w:firstLineChars="147"/>
        <w:rPr>
          <w:rFonts w:hint="eastAsia" w:hAnsi="宋体"/>
          <w:color w:val="auto"/>
          <w:sz w:val="24"/>
          <w:szCs w:val="24"/>
          <w:highlight w:val="none"/>
        </w:rPr>
      </w:pPr>
    </w:p>
    <w:p w14:paraId="6B131660">
      <w:pPr>
        <w:pStyle w:val="25"/>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日期：</w:t>
      </w:r>
    </w:p>
    <w:p w14:paraId="0D2FB697">
      <w:pPr>
        <w:pStyle w:val="25"/>
        <w:spacing w:line="360" w:lineRule="auto"/>
        <w:ind w:left="25" w:leftChars="12" w:firstLine="472" w:firstLineChars="197"/>
        <w:rPr>
          <w:rFonts w:hint="eastAsia" w:hAnsi="宋体"/>
          <w:b/>
          <w:color w:val="auto"/>
          <w:sz w:val="24"/>
          <w:szCs w:val="24"/>
          <w:highlight w:val="none"/>
        </w:rPr>
      </w:pPr>
      <w:r>
        <w:rPr>
          <w:rFonts w:hint="eastAsia" w:hAnsi="宋体"/>
          <w:bCs/>
          <w:color w:val="auto"/>
          <w:sz w:val="24"/>
          <w:szCs w:val="24"/>
          <w:highlight w:val="none"/>
        </w:rPr>
        <w:t xml:space="preserve">                                                                                </w:t>
      </w:r>
      <w:r>
        <w:rPr>
          <w:rFonts w:hint="eastAsia" w:hAnsi="宋体"/>
          <w:b/>
          <w:color w:val="auto"/>
          <w:sz w:val="24"/>
          <w:szCs w:val="24"/>
          <w:highlight w:val="none"/>
        </w:rPr>
        <w:t>说明：</w:t>
      </w:r>
    </w:p>
    <w:p w14:paraId="4538AA12">
      <w:pPr>
        <w:pStyle w:val="25"/>
        <w:spacing w:line="360" w:lineRule="auto"/>
        <w:ind w:left="25" w:leftChars="12" w:firstLine="354" w:firstLineChars="147"/>
        <w:rPr>
          <w:rFonts w:hint="eastAsia" w:hAnsi="宋体"/>
          <w:b/>
          <w:bCs/>
          <w:color w:val="auto"/>
          <w:sz w:val="24"/>
          <w:szCs w:val="24"/>
          <w:highlight w:val="none"/>
        </w:rPr>
      </w:pPr>
      <w:r>
        <w:rPr>
          <w:rFonts w:hint="eastAsia" w:hAnsi="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b/>
          <w:bCs/>
          <w:color w:val="auto"/>
          <w:sz w:val="24"/>
          <w:szCs w:val="24"/>
          <w:highlight w:val="none"/>
        </w:rPr>
        <w:t>。</w:t>
      </w:r>
    </w:p>
    <w:p w14:paraId="32AA9E85">
      <w:pPr>
        <w:pStyle w:val="25"/>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0BD92AA1">
      <w:pPr>
        <w:pStyle w:val="25"/>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3.投诉书应简要列明质疑事项，质疑函、质疑答复等作为附件材料提供。</w:t>
      </w:r>
    </w:p>
    <w:p w14:paraId="513A1219">
      <w:pPr>
        <w:pStyle w:val="25"/>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4.投诉书的投诉事项应具体、明确，并有必要的事实依据和法律依据。</w:t>
      </w:r>
    </w:p>
    <w:p w14:paraId="513EF857">
      <w:pPr>
        <w:pStyle w:val="25"/>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5.投诉书的投诉请求应与投诉事项相关。</w:t>
      </w:r>
    </w:p>
    <w:p w14:paraId="638827D9">
      <w:pPr>
        <w:pStyle w:val="25"/>
        <w:spacing w:line="360" w:lineRule="auto"/>
        <w:ind w:left="25" w:leftChars="12" w:firstLine="354" w:firstLineChars="147"/>
        <w:rPr>
          <w:rFonts w:hint="eastAsia" w:hAnsi="宋体"/>
          <w:b/>
          <w:color w:val="auto"/>
          <w:highlight w:val="none"/>
        </w:rPr>
      </w:pPr>
      <w:r>
        <w:rPr>
          <w:rFonts w:hint="eastAsia" w:hAnsi="宋体"/>
          <w:b/>
          <w:color w:val="auto"/>
          <w:sz w:val="24"/>
          <w:szCs w:val="24"/>
          <w:highlight w:val="none"/>
        </w:rPr>
        <w:t>6.投诉人为法人或者其他组织的，投诉书应由法定代表人、主要负责人，或者其授权代表签字或者盖章，并加盖公章。</w:t>
      </w:r>
    </w:p>
    <w:sectPr>
      <w:footerReference r:id="rId17" w:type="first"/>
      <w:headerReference r:id="rId14" w:type="default"/>
      <w:footerReference r:id="rId15" w:type="default"/>
      <w:footerReference r:id="rId16" w:type="even"/>
      <w:pgSz w:w="11906" w:h="16838"/>
      <w:pgMar w:top="1134" w:right="1503" w:bottom="1559" w:left="167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_x000B__x000C_">
    <w:altName w:val="宋体"/>
    <w:panose1 w:val="00000000000000000000"/>
    <w:charset w:val="00"/>
    <w:family w:val="roman"/>
    <w:pitch w:val="default"/>
    <w:sig w:usb0="00000000" w:usb1="00000000" w:usb2="00000000" w:usb3="00000000" w:csb0="00040001" w:csb1="00000000"/>
  </w:font>
  <w:font w:name="华文楷体">
    <w:altName w:val="宋体"/>
    <w:panose1 w:val="02010600040101010101"/>
    <w:charset w:val="00"/>
    <w:family w:val="auto"/>
    <w:pitch w:val="default"/>
    <w:sig w:usb0="00000000" w:usb1="00000000" w:usb2="00000000" w:usb3="00000000" w:csb0="0004009F" w:csb1="DFD70000"/>
  </w:font>
  <w:font w:name="Century">
    <w:altName w:val="Times New Roman"/>
    <w:panose1 w:val="02040604050505020304"/>
    <w:charset w:val="00"/>
    <w:family w:val="roman"/>
    <w:pitch w:val="default"/>
    <w:sig w:usb0="00000000"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Arial Unicode MS">
    <w:altName w:val="Arial"/>
    <w:panose1 w:val="020B0604020202020204"/>
    <w:charset w:val="00"/>
    <w:family w:val="roman"/>
    <w:pitch w:val="default"/>
    <w:sig w:usb0="00000000" w:usb1="00000000" w:usb2="0000003F" w:usb3="00000000" w:csb0="603F01FF" w:csb1="FFFF0000"/>
  </w:font>
  <w:font w:name="华文新魏">
    <w:altName w:val="等线 Light"/>
    <w:panose1 w:val="02010800040101010101"/>
    <w:charset w:val="00"/>
    <w:family w:val="auto"/>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 w:name="隶书">
    <w:altName w:val="宋体"/>
    <w:panose1 w:val="02010509060101010101"/>
    <w:charset w:val="00"/>
    <w:family w:val="modern"/>
    <w:pitch w:val="default"/>
    <w:sig w:usb0="00000000" w:usb1="00000000" w:usb2="00000000" w:usb3="00000000" w:csb0="00040000" w:csb1="00000000"/>
  </w:font>
  <w:font w:name="KSOF99170D7E">
    <w:panose1 w:val="0201060003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837C0">
    <w:pPr>
      <w:pStyle w:val="3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7D8965">
                          <w:pPr>
                            <w:pStyle w:val="31"/>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T9axMoBAACc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IoSxy0O/PL92+XHr8vPr2RZ&#10;vV5mhfoANSY+BExNw50fcG9mP6AzEx9UtPmLlAjGUd/zVV85JCLyo/Vqva4wJDA2XxCfPT4PEdJb&#10;6S3JRkMjDrDoyk/vIY2pc0qu5vy9NqYM0bi/HIiZPSz3PvaYrTTsh4nQ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gT9axMoBAACcAwAADgAAAAAAAAABACAAAAAeAQAAZHJzL2Uyb0Rv&#10;Yy54bWxQSwUGAAAAAAYABgBZAQAAWgUAAAAA&#10;">
              <v:fill on="f" focussize="0,0"/>
              <v:stroke on="f"/>
              <v:imagedata o:title=""/>
              <o:lock v:ext="edit" aspectratio="f"/>
              <v:textbox inset="0mm,0mm,0mm,0mm" style="mso-fit-shape-to-text:t;">
                <w:txbxContent>
                  <w:p w14:paraId="797D8965">
                    <w:pPr>
                      <w:pStyle w:val="3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7B978">
    <w:pPr>
      <w:pStyle w:val="31"/>
      <w:ind w:right="360"/>
      <w:jc w:val="both"/>
      <w:rPr>
        <w:rFonts w:hint="eastAsia"/>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684A702">
                          <w:pPr>
                            <w:pStyle w:val="31"/>
                          </w:pPr>
                          <w:r>
                            <w:fldChar w:fldCharType="begin"/>
                          </w:r>
                          <w:r>
                            <w:instrText xml:space="preserve"> PAGE  \* MERGEFORMAT </w:instrText>
                          </w:r>
                          <w:r>
                            <w:fldChar w:fldCharType="separate"/>
                          </w:r>
                          <w:r>
                            <w:t>68</w:t>
                          </w:r>
                          <w:r>
                            <w:fldChar w:fldCharType="end"/>
                          </w:r>
                        </w:p>
                      </w:txbxContent>
                    </wps:txbx>
                    <wps:bodyPr wrap="none" lIns="0" tIns="0" rIns="0" bIns="0" upright="0">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Qbc6jLAQAAnAMAAA4AAAAAAAAAAQAgAAAAHgEAAGRycy9lMm9E&#10;b2MueG1sUEsFBgAAAAAGAAYAWQEAAFsFAAAAAA==&#10;">
              <v:fill on="f" focussize="0,0"/>
              <v:stroke on="f"/>
              <v:imagedata o:title=""/>
              <o:lock v:ext="edit" aspectratio="f"/>
              <v:textbox inset="0mm,0mm,0mm,0mm" style="mso-fit-shape-to-text:t;">
                <w:txbxContent>
                  <w:p w14:paraId="0684A702">
                    <w:pPr>
                      <w:pStyle w:val="31"/>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0B3A5">
    <w:pPr>
      <w:pStyle w:val="31"/>
      <w:jc w:val="center"/>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4C954B4">
                          <w:pPr>
                            <w:pStyle w:val="31"/>
                          </w:pPr>
                          <w:r>
                            <w:fldChar w:fldCharType="begin"/>
                          </w:r>
                          <w:r>
                            <w:instrText xml:space="preserve"> PAGE  \* MERGEFORMAT </w:instrText>
                          </w:r>
                          <w:r>
                            <w:fldChar w:fldCharType="separate"/>
                          </w:r>
                          <w:r>
                            <w:t>53</w:t>
                          </w:r>
                          <w:r>
                            <w:fldChar w:fldCharType="end"/>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7PNl7LAQAAnAMAAA4AAAAAAAAAAQAgAAAAHgEAAGRycy9lMm9E&#10;b2MueG1sUEsFBgAAAAAGAAYAWQEAAFsFAAAAAA==&#10;">
              <v:fill on="f" focussize="0,0"/>
              <v:stroke on="f"/>
              <v:imagedata o:title=""/>
              <o:lock v:ext="edit" aspectratio="f"/>
              <v:textbox inset="0mm,0mm,0mm,0mm" style="mso-fit-shape-to-text:t;">
                <w:txbxContent>
                  <w:p w14:paraId="24C954B4">
                    <w:pPr>
                      <w:pStyle w:val="31"/>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77CE4">
    <w:pPr>
      <w:pStyle w:val="31"/>
      <w:framePr w:wrap="around" w:vAnchor="text" w:hAnchor="margin" w:xAlign="center" w:y="1"/>
      <w:rPr>
        <w:rStyle w:val="52"/>
      </w:rPr>
    </w:pPr>
    <w:r>
      <w:fldChar w:fldCharType="begin"/>
    </w:r>
    <w:r>
      <w:rPr>
        <w:rStyle w:val="52"/>
      </w:rPr>
      <w:instrText xml:space="preserve">PAGE  </w:instrText>
    </w:r>
    <w:r>
      <w:fldChar w:fldCharType="end"/>
    </w:r>
  </w:p>
  <w:p w14:paraId="0638929A">
    <w:pPr>
      <w:pStyle w:val="3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EBD88">
    <w:pPr>
      <w:pStyle w:val="31"/>
      <w:ind w:right="360"/>
      <w:jc w:val="both"/>
      <w:rPr>
        <w:rFonts w:hint="eastAsia"/>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EE3788">
                          <w:pPr>
                            <w:pStyle w:val="31"/>
                          </w:pPr>
                          <w:r>
                            <w:fldChar w:fldCharType="begin"/>
                          </w:r>
                          <w:r>
                            <w:instrText xml:space="preserve"> PAGE  \* MERGEFORMAT </w:instrText>
                          </w:r>
                          <w:r>
                            <w:fldChar w:fldCharType="separate"/>
                          </w:r>
                          <w:r>
                            <w:t>12</w:t>
                          </w:r>
                          <w: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Hz+ssoBAACcAwAADgAAAGRycy9lMm9Eb2MueG1srVPNjtMwEL4j8Q6W&#10;79Rph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TEcYsDv3z/dvnx6/LzK1lW&#10;q9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bHz+ssoBAACcAwAADgAAAAAAAAABACAAAAAeAQAAZHJzL2Uyb0Rv&#10;Yy54bWxQSwUGAAAAAAYABgBZAQAAWgUAAAAA&#10;">
              <v:fill on="f" focussize="0,0"/>
              <v:stroke on="f"/>
              <v:imagedata o:title=""/>
              <o:lock v:ext="edit" aspectratio="f"/>
              <v:textbox inset="0mm,0mm,0mm,0mm" style="mso-fit-shape-to-text:t;">
                <w:txbxContent>
                  <w:p w14:paraId="72EE3788">
                    <w:pPr>
                      <w:pStyle w:val="31"/>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38F53">
    <w:pPr>
      <w:pStyle w:val="3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B7E52B">
                          <w:pPr>
                            <w:pStyle w:val="31"/>
                          </w:pPr>
                          <w:r>
                            <w:fldChar w:fldCharType="begin"/>
                          </w:r>
                          <w:r>
                            <w:instrText xml:space="preserve"> PAGE  \* MERGEFORMAT </w:instrText>
                          </w:r>
                          <w:r>
                            <w:fldChar w:fldCharType="separate"/>
                          </w:r>
                          <w:r>
                            <w:t>67</w:t>
                          </w:r>
                          <w: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jHFIXLAQAAnAMAAA4AAAAAAAAAAQAgAAAAHgEAAGRycy9lMm9E&#10;b2MueG1sUEsFBgAAAAAGAAYAWQEAAFsFAAAAAA==&#10;">
              <v:fill on="f" focussize="0,0"/>
              <v:stroke on="f"/>
              <v:imagedata o:title=""/>
              <o:lock v:ext="edit" aspectratio="f"/>
              <v:textbox inset="0mm,0mm,0mm,0mm" style="mso-fit-shape-to-text:t;">
                <w:txbxContent>
                  <w:p w14:paraId="43B7E52B">
                    <w:pPr>
                      <w:pStyle w:val="31"/>
                    </w:pPr>
                    <w:r>
                      <w:fldChar w:fldCharType="begin"/>
                    </w:r>
                    <w:r>
                      <w:instrText xml:space="preserve"> PAGE  \* MERGEFORMAT </w:instrText>
                    </w:r>
                    <w:r>
                      <w:fldChar w:fldCharType="separate"/>
                    </w:r>
                    <w:r>
                      <w:t>67</w:t>
                    </w:r>
                    <w:r>
                      <w:fldChar w:fldCharType="end"/>
                    </w:r>
                  </w:p>
                </w:txbxContent>
              </v:textbox>
            </v:shape>
          </w:pict>
        </mc:Fallback>
      </mc:AlternateContent>
    </w:r>
  </w:p>
  <w:p w14:paraId="5660B9EC">
    <w:pPr>
      <w:pStyle w:val="3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1F7D0">
    <w:pPr>
      <w:pStyle w:val="31"/>
      <w:framePr w:wrap="around" w:vAnchor="text" w:hAnchor="margin" w:xAlign="center" w:y="1"/>
      <w:rPr>
        <w:rStyle w:val="52"/>
      </w:rPr>
    </w:pPr>
    <w:r>
      <w:fldChar w:fldCharType="begin"/>
    </w:r>
    <w:r>
      <w:rPr>
        <w:rStyle w:val="52"/>
      </w:rPr>
      <w:instrText xml:space="preserve">PAGE  </w:instrText>
    </w:r>
    <w:r>
      <w:fldChar w:fldCharType="end"/>
    </w:r>
  </w:p>
  <w:p w14:paraId="7E322123">
    <w:pPr>
      <w:pStyle w:val="3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359CB">
    <w:pPr>
      <w:pStyle w:val="31"/>
      <w:framePr w:wrap="around" w:vAnchor="text" w:hAnchor="margin" w:xAlign="right" w:y="1"/>
      <w:rPr>
        <w:rStyle w:val="52"/>
      </w:rPr>
    </w:pPr>
    <w:r>
      <w:fldChar w:fldCharType="begin"/>
    </w:r>
    <w:r>
      <w:rPr>
        <w:rStyle w:val="52"/>
      </w:rPr>
      <w:instrText xml:space="preserve">PAGE  </w:instrText>
    </w:r>
    <w:r>
      <w:fldChar w:fldCharType="separate"/>
    </w:r>
    <w:r>
      <w:rPr>
        <w:rStyle w:val="52"/>
      </w:rPr>
      <w:t>122</w:t>
    </w:r>
    <w:r>
      <w:fldChar w:fldCharType="end"/>
    </w:r>
  </w:p>
  <w:p w14:paraId="633D9657">
    <w:pPr>
      <w:pStyle w:val="31"/>
      <w:ind w:right="360"/>
      <w:jc w:val="both"/>
      <w:rPr>
        <w:rFonts w:hint="eastAsia"/>
      </w:rPr>
    </w:pPr>
    <w:r>
      <w:rPr>
        <w:rFonts w:hint="eastAsia"/>
      </w:rPr>
      <w:t>121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25775">
    <w:pPr>
      <w:pStyle w:val="31"/>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816477">
                          <w:pPr>
                            <w:pStyle w:val="31"/>
                          </w:pPr>
                          <w:r>
                            <w:fldChar w:fldCharType="begin"/>
                          </w:r>
                          <w:r>
                            <w:instrText xml:space="preserve"> PAGE  \* MERGEFORMAT </w:instrText>
                          </w:r>
                          <w:r>
                            <w:fldChar w:fldCharType="separate"/>
                          </w:r>
                          <w:r>
                            <w:t>76</w:t>
                          </w:r>
                          <w:r>
                            <w:fldChar w:fldCharType="end"/>
                          </w:r>
                        </w:p>
                      </w:txbxContent>
                    </wps:txbx>
                    <wps:bodyPr wrap="none" lIns="0" tIns="0" rIns="0" bIns="0" upright="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tV1us8oBAACcAwAADgAAAAAAAAABACAAAAAeAQAAZHJzL2Uyb0Rv&#10;Yy54bWxQSwUGAAAAAAYABgBZAQAAWgUAAAAA&#10;">
              <v:fill on="f" focussize="0,0"/>
              <v:stroke on="f"/>
              <v:imagedata o:title=""/>
              <o:lock v:ext="edit" aspectratio="f"/>
              <v:textbox inset="0mm,0mm,0mm,0mm" style="mso-fit-shape-to-text:t;">
                <w:txbxContent>
                  <w:p w14:paraId="3F816477">
                    <w:pPr>
                      <w:pStyle w:val="31"/>
                    </w:pPr>
                    <w:r>
                      <w:fldChar w:fldCharType="begin"/>
                    </w:r>
                    <w:r>
                      <w:instrText xml:space="preserve"> PAGE  \* MERGEFORMAT </w:instrText>
                    </w:r>
                    <w:r>
                      <w:fldChar w:fldCharType="separate"/>
                    </w:r>
                    <w:r>
                      <w:t>76</w:t>
                    </w:r>
                    <w:r>
                      <w:fldChar w:fldCharType="end"/>
                    </w:r>
                  </w:p>
                </w:txbxContent>
              </v:textbox>
            </v:shape>
          </w:pict>
        </mc:Fallback>
      </mc:AlternateContent>
    </w:r>
  </w:p>
  <w:p w14:paraId="253B0DC6">
    <w:pPr>
      <w:pStyle w:val="31"/>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FF5CC">
    <w:pPr>
      <w:pStyle w:val="31"/>
      <w:framePr w:wrap="around" w:vAnchor="text" w:hAnchor="margin" w:xAlign="center" w:y="1"/>
      <w:rPr>
        <w:rStyle w:val="52"/>
      </w:rPr>
    </w:pPr>
    <w:r>
      <w:fldChar w:fldCharType="begin"/>
    </w:r>
    <w:r>
      <w:rPr>
        <w:rStyle w:val="52"/>
      </w:rPr>
      <w:instrText xml:space="preserve">PAGE  </w:instrText>
    </w:r>
    <w:r>
      <w:fldChar w:fldCharType="end"/>
    </w:r>
  </w:p>
  <w:p w14:paraId="4EBDCC77">
    <w:pPr>
      <w:pStyle w:val="3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DE142">
    <w:pPr>
      <w:pStyle w:val="3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64176">
    <w:pPr>
      <w:pStyle w:val="3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65C3B">
    <w:pPr>
      <w:pStyle w:val="32"/>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B5C97">
    <w:pPr>
      <w:pStyle w:val="3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7F13B">
    <w:pPr>
      <w:pStyle w:val="3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200"/>
        </w:tabs>
        <w:ind w:left="1200" w:hanging="360"/>
      </w:pPr>
    </w:lvl>
  </w:abstractNum>
  <w:abstractNum w:abstractNumId="1">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2">
    <w:nsid w:val="4C601917"/>
    <w:multiLevelType w:val="singleLevel"/>
    <w:tmpl w:val="4C601917"/>
    <w:lvl w:ilvl="0" w:tentative="0">
      <w:start w:val="1"/>
      <w:numFmt w:val="decimal"/>
      <w:suff w:val="nothing"/>
      <w:lvlText w:val="（%1）"/>
      <w:lvlJc w:val="left"/>
    </w:lvl>
  </w:abstractNum>
  <w:abstractNum w:abstractNumId="3">
    <w:nsid w:val="5FABD14B"/>
    <w:multiLevelType w:val="singleLevel"/>
    <w:tmpl w:val="5FABD14B"/>
    <w:lvl w:ilvl="0" w:tentative="0">
      <w:start w:val="1"/>
      <w:numFmt w:val="decimal"/>
      <w:suff w:val="nothing"/>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08B"/>
    <w:rsid w:val="0000010C"/>
    <w:rsid w:val="00000D21"/>
    <w:rsid w:val="00000FE0"/>
    <w:rsid w:val="00001068"/>
    <w:rsid w:val="0000114A"/>
    <w:rsid w:val="00001731"/>
    <w:rsid w:val="00001C2D"/>
    <w:rsid w:val="00001C55"/>
    <w:rsid w:val="00001CA8"/>
    <w:rsid w:val="00001FAE"/>
    <w:rsid w:val="00002291"/>
    <w:rsid w:val="00002644"/>
    <w:rsid w:val="00002DBF"/>
    <w:rsid w:val="00002EC0"/>
    <w:rsid w:val="00003224"/>
    <w:rsid w:val="000033F5"/>
    <w:rsid w:val="000034EA"/>
    <w:rsid w:val="0000358C"/>
    <w:rsid w:val="00003BEF"/>
    <w:rsid w:val="00004130"/>
    <w:rsid w:val="0000431F"/>
    <w:rsid w:val="00004634"/>
    <w:rsid w:val="00004D8B"/>
    <w:rsid w:val="000059E2"/>
    <w:rsid w:val="00006AE7"/>
    <w:rsid w:val="00006B9B"/>
    <w:rsid w:val="00006C35"/>
    <w:rsid w:val="000072B1"/>
    <w:rsid w:val="00007329"/>
    <w:rsid w:val="00007E28"/>
    <w:rsid w:val="00007E84"/>
    <w:rsid w:val="00010401"/>
    <w:rsid w:val="000105A1"/>
    <w:rsid w:val="000107AD"/>
    <w:rsid w:val="00010835"/>
    <w:rsid w:val="00011842"/>
    <w:rsid w:val="00012137"/>
    <w:rsid w:val="000121EE"/>
    <w:rsid w:val="000121FF"/>
    <w:rsid w:val="000125B8"/>
    <w:rsid w:val="00012692"/>
    <w:rsid w:val="00013446"/>
    <w:rsid w:val="00013509"/>
    <w:rsid w:val="000135BC"/>
    <w:rsid w:val="000135DC"/>
    <w:rsid w:val="000136D6"/>
    <w:rsid w:val="00013979"/>
    <w:rsid w:val="00014085"/>
    <w:rsid w:val="00014B4C"/>
    <w:rsid w:val="00014DD9"/>
    <w:rsid w:val="000151E4"/>
    <w:rsid w:val="000153D8"/>
    <w:rsid w:val="00015577"/>
    <w:rsid w:val="000156E4"/>
    <w:rsid w:val="000159A7"/>
    <w:rsid w:val="00015FB8"/>
    <w:rsid w:val="0001609F"/>
    <w:rsid w:val="0001635B"/>
    <w:rsid w:val="00016549"/>
    <w:rsid w:val="00016BF7"/>
    <w:rsid w:val="00016D20"/>
    <w:rsid w:val="0001767E"/>
    <w:rsid w:val="0001776D"/>
    <w:rsid w:val="00017C00"/>
    <w:rsid w:val="00017F31"/>
    <w:rsid w:val="00020607"/>
    <w:rsid w:val="0002103A"/>
    <w:rsid w:val="000217E4"/>
    <w:rsid w:val="00021852"/>
    <w:rsid w:val="00021A12"/>
    <w:rsid w:val="00022622"/>
    <w:rsid w:val="00023363"/>
    <w:rsid w:val="000235F3"/>
    <w:rsid w:val="00023644"/>
    <w:rsid w:val="00023712"/>
    <w:rsid w:val="0002476C"/>
    <w:rsid w:val="00024E3C"/>
    <w:rsid w:val="00024EB0"/>
    <w:rsid w:val="00025A93"/>
    <w:rsid w:val="0002646A"/>
    <w:rsid w:val="0002651D"/>
    <w:rsid w:val="00026BB0"/>
    <w:rsid w:val="00026CFD"/>
    <w:rsid w:val="000279F9"/>
    <w:rsid w:val="00027A11"/>
    <w:rsid w:val="00027C8B"/>
    <w:rsid w:val="00027CD9"/>
    <w:rsid w:val="00030242"/>
    <w:rsid w:val="00030B06"/>
    <w:rsid w:val="0003183A"/>
    <w:rsid w:val="00031CDC"/>
    <w:rsid w:val="00031DC8"/>
    <w:rsid w:val="0003263B"/>
    <w:rsid w:val="0003282C"/>
    <w:rsid w:val="0003304A"/>
    <w:rsid w:val="0003317E"/>
    <w:rsid w:val="00033413"/>
    <w:rsid w:val="000337F3"/>
    <w:rsid w:val="00034C27"/>
    <w:rsid w:val="00034E2A"/>
    <w:rsid w:val="0003577F"/>
    <w:rsid w:val="000361E7"/>
    <w:rsid w:val="00036466"/>
    <w:rsid w:val="0003675E"/>
    <w:rsid w:val="00037633"/>
    <w:rsid w:val="00037E9E"/>
    <w:rsid w:val="00037F87"/>
    <w:rsid w:val="00037FA2"/>
    <w:rsid w:val="000400D0"/>
    <w:rsid w:val="0004044E"/>
    <w:rsid w:val="000425AC"/>
    <w:rsid w:val="00042F4A"/>
    <w:rsid w:val="00043BE5"/>
    <w:rsid w:val="00044003"/>
    <w:rsid w:val="00044527"/>
    <w:rsid w:val="0004469E"/>
    <w:rsid w:val="00044897"/>
    <w:rsid w:val="00044ACF"/>
    <w:rsid w:val="00044D83"/>
    <w:rsid w:val="00044E06"/>
    <w:rsid w:val="000454F4"/>
    <w:rsid w:val="00045670"/>
    <w:rsid w:val="00045D1E"/>
    <w:rsid w:val="00045E69"/>
    <w:rsid w:val="00045EF4"/>
    <w:rsid w:val="00046547"/>
    <w:rsid w:val="000466D7"/>
    <w:rsid w:val="00046753"/>
    <w:rsid w:val="00047254"/>
    <w:rsid w:val="000472FD"/>
    <w:rsid w:val="0005022B"/>
    <w:rsid w:val="00050771"/>
    <w:rsid w:val="000510F8"/>
    <w:rsid w:val="000513F3"/>
    <w:rsid w:val="00052287"/>
    <w:rsid w:val="000522E0"/>
    <w:rsid w:val="00052609"/>
    <w:rsid w:val="000532F4"/>
    <w:rsid w:val="000536AE"/>
    <w:rsid w:val="00054CD5"/>
    <w:rsid w:val="00054D03"/>
    <w:rsid w:val="000550AC"/>
    <w:rsid w:val="0005529E"/>
    <w:rsid w:val="0005580E"/>
    <w:rsid w:val="0005584D"/>
    <w:rsid w:val="00055CC3"/>
    <w:rsid w:val="00055CEE"/>
    <w:rsid w:val="000566FA"/>
    <w:rsid w:val="00056A2B"/>
    <w:rsid w:val="00056E37"/>
    <w:rsid w:val="00056EE2"/>
    <w:rsid w:val="00056FE2"/>
    <w:rsid w:val="000570FB"/>
    <w:rsid w:val="000575B8"/>
    <w:rsid w:val="00060131"/>
    <w:rsid w:val="0006026B"/>
    <w:rsid w:val="00060293"/>
    <w:rsid w:val="00061BDA"/>
    <w:rsid w:val="000621FE"/>
    <w:rsid w:val="00062B90"/>
    <w:rsid w:val="00062C70"/>
    <w:rsid w:val="00062DD0"/>
    <w:rsid w:val="00062E6F"/>
    <w:rsid w:val="000630C7"/>
    <w:rsid w:val="0006400F"/>
    <w:rsid w:val="000643DA"/>
    <w:rsid w:val="000645DD"/>
    <w:rsid w:val="00064D7E"/>
    <w:rsid w:val="00064F65"/>
    <w:rsid w:val="00064FD0"/>
    <w:rsid w:val="0006534A"/>
    <w:rsid w:val="00065A5D"/>
    <w:rsid w:val="00065BA2"/>
    <w:rsid w:val="000661CA"/>
    <w:rsid w:val="0006668D"/>
    <w:rsid w:val="00066F2B"/>
    <w:rsid w:val="00067002"/>
    <w:rsid w:val="0006710A"/>
    <w:rsid w:val="00067993"/>
    <w:rsid w:val="00067B1C"/>
    <w:rsid w:val="00067CED"/>
    <w:rsid w:val="00067D39"/>
    <w:rsid w:val="00067F66"/>
    <w:rsid w:val="0007041A"/>
    <w:rsid w:val="00070634"/>
    <w:rsid w:val="00070883"/>
    <w:rsid w:val="00070C3F"/>
    <w:rsid w:val="0007102C"/>
    <w:rsid w:val="00071D68"/>
    <w:rsid w:val="00071FCE"/>
    <w:rsid w:val="00072661"/>
    <w:rsid w:val="00072CCC"/>
    <w:rsid w:val="00073549"/>
    <w:rsid w:val="00073A58"/>
    <w:rsid w:val="0007483E"/>
    <w:rsid w:val="000751DB"/>
    <w:rsid w:val="0007578F"/>
    <w:rsid w:val="000759A3"/>
    <w:rsid w:val="00075E43"/>
    <w:rsid w:val="00077706"/>
    <w:rsid w:val="00077878"/>
    <w:rsid w:val="00077DE2"/>
    <w:rsid w:val="000804EF"/>
    <w:rsid w:val="00080558"/>
    <w:rsid w:val="00081230"/>
    <w:rsid w:val="000814E2"/>
    <w:rsid w:val="000818C9"/>
    <w:rsid w:val="00081CBB"/>
    <w:rsid w:val="00081D42"/>
    <w:rsid w:val="000822EF"/>
    <w:rsid w:val="0008241E"/>
    <w:rsid w:val="000826F5"/>
    <w:rsid w:val="000829B1"/>
    <w:rsid w:val="00082AAB"/>
    <w:rsid w:val="0008307D"/>
    <w:rsid w:val="000831E9"/>
    <w:rsid w:val="00083288"/>
    <w:rsid w:val="000833BB"/>
    <w:rsid w:val="0008452D"/>
    <w:rsid w:val="0008467B"/>
    <w:rsid w:val="000846E2"/>
    <w:rsid w:val="000850FA"/>
    <w:rsid w:val="00085C12"/>
    <w:rsid w:val="00085DA0"/>
    <w:rsid w:val="00085F82"/>
    <w:rsid w:val="00086506"/>
    <w:rsid w:val="00086B6E"/>
    <w:rsid w:val="00086C64"/>
    <w:rsid w:val="0008781A"/>
    <w:rsid w:val="00090951"/>
    <w:rsid w:val="00090A61"/>
    <w:rsid w:val="000918F5"/>
    <w:rsid w:val="000919B5"/>
    <w:rsid w:val="00091C1D"/>
    <w:rsid w:val="00091E08"/>
    <w:rsid w:val="00091E29"/>
    <w:rsid w:val="000922D8"/>
    <w:rsid w:val="000932E7"/>
    <w:rsid w:val="0009333A"/>
    <w:rsid w:val="00093459"/>
    <w:rsid w:val="00093B8B"/>
    <w:rsid w:val="000951E7"/>
    <w:rsid w:val="00095B82"/>
    <w:rsid w:val="00096098"/>
    <w:rsid w:val="000961C5"/>
    <w:rsid w:val="000968AF"/>
    <w:rsid w:val="000969D9"/>
    <w:rsid w:val="00096F37"/>
    <w:rsid w:val="00097A79"/>
    <w:rsid w:val="00097FE5"/>
    <w:rsid w:val="000A0354"/>
    <w:rsid w:val="000A091F"/>
    <w:rsid w:val="000A0958"/>
    <w:rsid w:val="000A0FCC"/>
    <w:rsid w:val="000A1033"/>
    <w:rsid w:val="000A2712"/>
    <w:rsid w:val="000A2877"/>
    <w:rsid w:val="000A2D31"/>
    <w:rsid w:val="000A355D"/>
    <w:rsid w:val="000A35DA"/>
    <w:rsid w:val="000A371E"/>
    <w:rsid w:val="000A3DE5"/>
    <w:rsid w:val="000A4011"/>
    <w:rsid w:val="000A4397"/>
    <w:rsid w:val="000A45D5"/>
    <w:rsid w:val="000A490E"/>
    <w:rsid w:val="000A5B49"/>
    <w:rsid w:val="000A5FE5"/>
    <w:rsid w:val="000A688F"/>
    <w:rsid w:val="000A7218"/>
    <w:rsid w:val="000A740A"/>
    <w:rsid w:val="000A7446"/>
    <w:rsid w:val="000A7A56"/>
    <w:rsid w:val="000A7E7F"/>
    <w:rsid w:val="000A7ECD"/>
    <w:rsid w:val="000B04DD"/>
    <w:rsid w:val="000B0F01"/>
    <w:rsid w:val="000B1346"/>
    <w:rsid w:val="000B1795"/>
    <w:rsid w:val="000B1914"/>
    <w:rsid w:val="000B19DC"/>
    <w:rsid w:val="000B1CA2"/>
    <w:rsid w:val="000B202E"/>
    <w:rsid w:val="000B2293"/>
    <w:rsid w:val="000B24A4"/>
    <w:rsid w:val="000B255A"/>
    <w:rsid w:val="000B255C"/>
    <w:rsid w:val="000B292B"/>
    <w:rsid w:val="000B395E"/>
    <w:rsid w:val="000B39C3"/>
    <w:rsid w:val="000B3A00"/>
    <w:rsid w:val="000B3BFD"/>
    <w:rsid w:val="000B4840"/>
    <w:rsid w:val="000B4D79"/>
    <w:rsid w:val="000B53E3"/>
    <w:rsid w:val="000B5627"/>
    <w:rsid w:val="000B5671"/>
    <w:rsid w:val="000B6BF0"/>
    <w:rsid w:val="000B6CE8"/>
    <w:rsid w:val="000B7DA1"/>
    <w:rsid w:val="000B7DAF"/>
    <w:rsid w:val="000C01A9"/>
    <w:rsid w:val="000C071C"/>
    <w:rsid w:val="000C0BB4"/>
    <w:rsid w:val="000C0BEE"/>
    <w:rsid w:val="000C1CB9"/>
    <w:rsid w:val="000C2159"/>
    <w:rsid w:val="000C21BB"/>
    <w:rsid w:val="000C289B"/>
    <w:rsid w:val="000C34B8"/>
    <w:rsid w:val="000C3F01"/>
    <w:rsid w:val="000C420D"/>
    <w:rsid w:val="000C4773"/>
    <w:rsid w:val="000C4944"/>
    <w:rsid w:val="000C4E24"/>
    <w:rsid w:val="000C5C4A"/>
    <w:rsid w:val="000C5F01"/>
    <w:rsid w:val="000C63C4"/>
    <w:rsid w:val="000C66C1"/>
    <w:rsid w:val="000C6F0B"/>
    <w:rsid w:val="000C6F32"/>
    <w:rsid w:val="000C708E"/>
    <w:rsid w:val="000C778C"/>
    <w:rsid w:val="000C7833"/>
    <w:rsid w:val="000C7DFB"/>
    <w:rsid w:val="000C7E1B"/>
    <w:rsid w:val="000C7E73"/>
    <w:rsid w:val="000D001B"/>
    <w:rsid w:val="000D0A45"/>
    <w:rsid w:val="000D136E"/>
    <w:rsid w:val="000D14AC"/>
    <w:rsid w:val="000D15BA"/>
    <w:rsid w:val="000D1D4F"/>
    <w:rsid w:val="000D2C9B"/>
    <w:rsid w:val="000D35FD"/>
    <w:rsid w:val="000D3D2D"/>
    <w:rsid w:val="000D3D99"/>
    <w:rsid w:val="000D4653"/>
    <w:rsid w:val="000D4696"/>
    <w:rsid w:val="000D4817"/>
    <w:rsid w:val="000D4CC8"/>
    <w:rsid w:val="000D4FB9"/>
    <w:rsid w:val="000D54B4"/>
    <w:rsid w:val="000D54F8"/>
    <w:rsid w:val="000D584B"/>
    <w:rsid w:val="000D5F55"/>
    <w:rsid w:val="000D6372"/>
    <w:rsid w:val="000D6979"/>
    <w:rsid w:val="000D6CE7"/>
    <w:rsid w:val="000D6E38"/>
    <w:rsid w:val="000D6E63"/>
    <w:rsid w:val="000D711C"/>
    <w:rsid w:val="000D7B6E"/>
    <w:rsid w:val="000E042A"/>
    <w:rsid w:val="000E0644"/>
    <w:rsid w:val="000E076D"/>
    <w:rsid w:val="000E0CD2"/>
    <w:rsid w:val="000E187C"/>
    <w:rsid w:val="000E1B28"/>
    <w:rsid w:val="000E1E8D"/>
    <w:rsid w:val="000E1EBC"/>
    <w:rsid w:val="000E2173"/>
    <w:rsid w:val="000E220B"/>
    <w:rsid w:val="000E2A50"/>
    <w:rsid w:val="000E30F2"/>
    <w:rsid w:val="000E316B"/>
    <w:rsid w:val="000E3D08"/>
    <w:rsid w:val="000E4728"/>
    <w:rsid w:val="000E4D1F"/>
    <w:rsid w:val="000E5658"/>
    <w:rsid w:val="000E5698"/>
    <w:rsid w:val="000E5723"/>
    <w:rsid w:val="000E581B"/>
    <w:rsid w:val="000E58B4"/>
    <w:rsid w:val="000E65D2"/>
    <w:rsid w:val="000E6919"/>
    <w:rsid w:val="000E6B1B"/>
    <w:rsid w:val="000E6F0C"/>
    <w:rsid w:val="000E732D"/>
    <w:rsid w:val="000F07ED"/>
    <w:rsid w:val="000F0CF2"/>
    <w:rsid w:val="000F1056"/>
    <w:rsid w:val="000F14F6"/>
    <w:rsid w:val="000F1A32"/>
    <w:rsid w:val="000F1CC2"/>
    <w:rsid w:val="000F1D15"/>
    <w:rsid w:val="000F270A"/>
    <w:rsid w:val="000F34C8"/>
    <w:rsid w:val="000F38BC"/>
    <w:rsid w:val="000F3E2A"/>
    <w:rsid w:val="000F4D26"/>
    <w:rsid w:val="000F5639"/>
    <w:rsid w:val="000F58A4"/>
    <w:rsid w:val="000F6833"/>
    <w:rsid w:val="000F6A24"/>
    <w:rsid w:val="000F7616"/>
    <w:rsid w:val="000F7DE9"/>
    <w:rsid w:val="000F7F7A"/>
    <w:rsid w:val="0010004B"/>
    <w:rsid w:val="001002F4"/>
    <w:rsid w:val="001005B4"/>
    <w:rsid w:val="001011FC"/>
    <w:rsid w:val="0010165F"/>
    <w:rsid w:val="001018C1"/>
    <w:rsid w:val="00101E7C"/>
    <w:rsid w:val="00102260"/>
    <w:rsid w:val="001023DC"/>
    <w:rsid w:val="0010256D"/>
    <w:rsid w:val="00102572"/>
    <w:rsid w:val="00102650"/>
    <w:rsid w:val="00102946"/>
    <w:rsid w:val="00102FBF"/>
    <w:rsid w:val="0010333D"/>
    <w:rsid w:val="0010372A"/>
    <w:rsid w:val="00103F41"/>
    <w:rsid w:val="00104E77"/>
    <w:rsid w:val="00104F34"/>
    <w:rsid w:val="00104F3E"/>
    <w:rsid w:val="001053C5"/>
    <w:rsid w:val="001055AD"/>
    <w:rsid w:val="00105765"/>
    <w:rsid w:val="00105C14"/>
    <w:rsid w:val="001065A3"/>
    <w:rsid w:val="0010691D"/>
    <w:rsid w:val="00106B33"/>
    <w:rsid w:val="00106E69"/>
    <w:rsid w:val="00110AC5"/>
    <w:rsid w:val="00110F0B"/>
    <w:rsid w:val="0011108B"/>
    <w:rsid w:val="00111136"/>
    <w:rsid w:val="00111164"/>
    <w:rsid w:val="00111761"/>
    <w:rsid w:val="00112164"/>
    <w:rsid w:val="0011241F"/>
    <w:rsid w:val="001128BF"/>
    <w:rsid w:val="00112D09"/>
    <w:rsid w:val="00112F03"/>
    <w:rsid w:val="00112F38"/>
    <w:rsid w:val="00113821"/>
    <w:rsid w:val="0011394B"/>
    <w:rsid w:val="00113CEE"/>
    <w:rsid w:val="00114058"/>
    <w:rsid w:val="00114342"/>
    <w:rsid w:val="0011449E"/>
    <w:rsid w:val="001153EF"/>
    <w:rsid w:val="00115D55"/>
    <w:rsid w:val="00115E45"/>
    <w:rsid w:val="00115F85"/>
    <w:rsid w:val="00115FD1"/>
    <w:rsid w:val="001165CC"/>
    <w:rsid w:val="0011688E"/>
    <w:rsid w:val="00116ACD"/>
    <w:rsid w:val="00117B7D"/>
    <w:rsid w:val="001205A8"/>
    <w:rsid w:val="00120948"/>
    <w:rsid w:val="0012180B"/>
    <w:rsid w:val="00122497"/>
    <w:rsid w:val="00122A64"/>
    <w:rsid w:val="00123641"/>
    <w:rsid w:val="0012388A"/>
    <w:rsid w:val="0012388C"/>
    <w:rsid w:val="00123AFA"/>
    <w:rsid w:val="00123C8C"/>
    <w:rsid w:val="00123D68"/>
    <w:rsid w:val="00123E8B"/>
    <w:rsid w:val="00124B43"/>
    <w:rsid w:val="00124DF8"/>
    <w:rsid w:val="001253EA"/>
    <w:rsid w:val="00125B99"/>
    <w:rsid w:val="00126160"/>
    <w:rsid w:val="00126DB5"/>
    <w:rsid w:val="00127178"/>
    <w:rsid w:val="00127D2B"/>
    <w:rsid w:val="00127F09"/>
    <w:rsid w:val="0013002A"/>
    <w:rsid w:val="0013085D"/>
    <w:rsid w:val="0013089C"/>
    <w:rsid w:val="00130A2D"/>
    <w:rsid w:val="00130F54"/>
    <w:rsid w:val="00131888"/>
    <w:rsid w:val="00131F17"/>
    <w:rsid w:val="001323F9"/>
    <w:rsid w:val="0013251F"/>
    <w:rsid w:val="00132FA3"/>
    <w:rsid w:val="00133088"/>
    <w:rsid w:val="00133346"/>
    <w:rsid w:val="001335B1"/>
    <w:rsid w:val="0013372D"/>
    <w:rsid w:val="00133733"/>
    <w:rsid w:val="00133B4E"/>
    <w:rsid w:val="00133D47"/>
    <w:rsid w:val="001346AF"/>
    <w:rsid w:val="00134990"/>
    <w:rsid w:val="00134AD9"/>
    <w:rsid w:val="00135416"/>
    <w:rsid w:val="001354D1"/>
    <w:rsid w:val="001355E7"/>
    <w:rsid w:val="00135A0A"/>
    <w:rsid w:val="00135BB9"/>
    <w:rsid w:val="0013621D"/>
    <w:rsid w:val="00136354"/>
    <w:rsid w:val="00136674"/>
    <w:rsid w:val="00136B0E"/>
    <w:rsid w:val="00136C3B"/>
    <w:rsid w:val="00136D61"/>
    <w:rsid w:val="00137103"/>
    <w:rsid w:val="001376AB"/>
    <w:rsid w:val="0013777C"/>
    <w:rsid w:val="00137D5F"/>
    <w:rsid w:val="00140082"/>
    <w:rsid w:val="00140175"/>
    <w:rsid w:val="00140757"/>
    <w:rsid w:val="00140B62"/>
    <w:rsid w:val="00140D07"/>
    <w:rsid w:val="00141A3A"/>
    <w:rsid w:val="001422F4"/>
    <w:rsid w:val="001423FA"/>
    <w:rsid w:val="001427B5"/>
    <w:rsid w:val="001428CF"/>
    <w:rsid w:val="00142D0C"/>
    <w:rsid w:val="00142E3C"/>
    <w:rsid w:val="00143CA2"/>
    <w:rsid w:val="00144013"/>
    <w:rsid w:val="001454B8"/>
    <w:rsid w:val="00145A17"/>
    <w:rsid w:val="00145BBE"/>
    <w:rsid w:val="00145D7F"/>
    <w:rsid w:val="001460B5"/>
    <w:rsid w:val="0014641F"/>
    <w:rsid w:val="001464A8"/>
    <w:rsid w:val="00146618"/>
    <w:rsid w:val="001467BB"/>
    <w:rsid w:val="00146AB3"/>
    <w:rsid w:val="00146CA8"/>
    <w:rsid w:val="001472A5"/>
    <w:rsid w:val="00147884"/>
    <w:rsid w:val="00150584"/>
    <w:rsid w:val="00150669"/>
    <w:rsid w:val="00150827"/>
    <w:rsid w:val="00150B0D"/>
    <w:rsid w:val="00151E31"/>
    <w:rsid w:val="00151F9B"/>
    <w:rsid w:val="00152095"/>
    <w:rsid w:val="00152289"/>
    <w:rsid w:val="00152425"/>
    <w:rsid w:val="00152BAD"/>
    <w:rsid w:val="00152CE3"/>
    <w:rsid w:val="00153652"/>
    <w:rsid w:val="00153697"/>
    <w:rsid w:val="00153956"/>
    <w:rsid w:val="00153B95"/>
    <w:rsid w:val="00154146"/>
    <w:rsid w:val="00154190"/>
    <w:rsid w:val="001545EA"/>
    <w:rsid w:val="001549BA"/>
    <w:rsid w:val="00154FFC"/>
    <w:rsid w:val="00155099"/>
    <w:rsid w:val="001553F5"/>
    <w:rsid w:val="00155C85"/>
    <w:rsid w:val="00156A6C"/>
    <w:rsid w:val="00156B10"/>
    <w:rsid w:val="00157823"/>
    <w:rsid w:val="0015790D"/>
    <w:rsid w:val="00157C5E"/>
    <w:rsid w:val="0016015A"/>
    <w:rsid w:val="0016020E"/>
    <w:rsid w:val="00160503"/>
    <w:rsid w:val="00160701"/>
    <w:rsid w:val="00160D7C"/>
    <w:rsid w:val="00160E30"/>
    <w:rsid w:val="0016106D"/>
    <w:rsid w:val="001612E1"/>
    <w:rsid w:val="001614DB"/>
    <w:rsid w:val="0016194E"/>
    <w:rsid w:val="0016236C"/>
    <w:rsid w:val="00162625"/>
    <w:rsid w:val="001630A8"/>
    <w:rsid w:val="001634C7"/>
    <w:rsid w:val="00163826"/>
    <w:rsid w:val="00163943"/>
    <w:rsid w:val="00163BA1"/>
    <w:rsid w:val="00163F22"/>
    <w:rsid w:val="0016417B"/>
    <w:rsid w:val="0016470E"/>
    <w:rsid w:val="00164E0A"/>
    <w:rsid w:val="0016520F"/>
    <w:rsid w:val="001652D7"/>
    <w:rsid w:val="0016596E"/>
    <w:rsid w:val="00165A5F"/>
    <w:rsid w:val="00166223"/>
    <w:rsid w:val="00166492"/>
    <w:rsid w:val="001670D8"/>
    <w:rsid w:val="0016793E"/>
    <w:rsid w:val="00167D4D"/>
    <w:rsid w:val="00170635"/>
    <w:rsid w:val="0017070D"/>
    <w:rsid w:val="00170837"/>
    <w:rsid w:val="00171035"/>
    <w:rsid w:val="001713B7"/>
    <w:rsid w:val="00171ADB"/>
    <w:rsid w:val="00172029"/>
    <w:rsid w:val="001733A4"/>
    <w:rsid w:val="00173AB9"/>
    <w:rsid w:val="00173EED"/>
    <w:rsid w:val="00174368"/>
    <w:rsid w:val="001744EA"/>
    <w:rsid w:val="00174D82"/>
    <w:rsid w:val="00174E44"/>
    <w:rsid w:val="00175053"/>
    <w:rsid w:val="001753B7"/>
    <w:rsid w:val="001757E7"/>
    <w:rsid w:val="00175873"/>
    <w:rsid w:val="0017592E"/>
    <w:rsid w:val="00175C59"/>
    <w:rsid w:val="001760BC"/>
    <w:rsid w:val="00176674"/>
    <w:rsid w:val="00176818"/>
    <w:rsid w:val="00176B82"/>
    <w:rsid w:val="00176E3B"/>
    <w:rsid w:val="00176ECB"/>
    <w:rsid w:val="0017716E"/>
    <w:rsid w:val="0017752D"/>
    <w:rsid w:val="0017759F"/>
    <w:rsid w:val="00177832"/>
    <w:rsid w:val="00177D48"/>
    <w:rsid w:val="00181178"/>
    <w:rsid w:val="0018119E"/>
    <w:rsid w:val="00181EEF"/>
    <w:rsid w:val="00181F3E"/>
    <w:rsid w:val="00182FE0"/>
    <w:rsid w:val="00183911"/>
    <w:rsid w:val="001845FB"/>
    <w:rsid w:val="00184CDD"/>
    <w:rsid w:val="00184DAB"/>
    <w:rsid w:val="00185490"/>
    <w:rsid w:val="00185DA6"/>
    <w:rsid w:val="00185F64"/>
    <w:rsid w:val="00186096"/>
    <w:rsid w:val="00186AB7"/>
    <w:rsid w:val="00186F7C"/>
    <w:rsid w:val="0018772E"/>
    <w:rsid w:val="00187840"/>
    <w:rsid w:val="00187A94"/>
    <w:rsid w:val="00187FF8"/>
    <w:rsid w:val="0019029E"/>
    <w:rsid w:val="00190329"/>
    <w:rsid w:val="00190804"/>
    <w:rsid w:val="0019088F"/>
    <w:rsid w:val="00190C51"/>
    <w:rsid w:val="00192FA5"/>
    <w:rsid w:val="0019336B"/>
    <w:rsid w:val="001939A6"/>
    <w:rsid w:val="00193ACC"/>
    <w:rsid w:val="00193BFE"/>
    <w:rsid w:val="00194E7E"/>
    <w:rsid w:val="00195322"/>
    <w:rsid w:val="0019560E"/>
    <w:rsid w:val="00195702"/>
    <w:rsid w:val="001958E3"/>
    <w:rsid w:val="0019601B"/>
    <w:rsid w:val="00196048"/>
    <w:rsid w:val="00196A82"/>
    <w:rsid w:val="0019769B"/>
    <w:rsid w:val="00197FFE"/>
    <w:rsid w:val="001A0D25"/>
    <w:rsid w:val="001A1570"/>
    <w:rsid w:val="001A1917"/>
    <w:rsid w:val="001A1C64"/>
    <w:rsid w:val="001A1E7F"/>
    <w:rsid w:val="001A2273"/>
    <w:rsid w:val="001A228D"/>
    <w:rsid w:val="001A2918"/>
    <w:rsid w:val="001A2D02"/>
    <w:rsid w:val="001A2DFE"/>
    <w:rsid w:val="001A3076"/>
    <w:rsid w:val="001A3120"/>
    <w:rsid w:val="001A31A5"/>
    <w:rsid w:val="001A389C"/>
    <w:rsid w:val="001A3B75"/>
    <w:rsid w:val="001A46FB"/>
    <w:rsid w:val="001A5944"/>
    <w:rsid w:val="001A5FB1"/>
    <w:rsid w:val="001A698A"/>
    <w:rsid w:val="001A6A06"/>
    <w:rsid w:val="001A6CCC"/>
    <w:rsid w:val="001A70C8"/>
    <w:rsid w:val="001A71C9"/>
    <w:rsid w:val="001A7429"/>
    <w:rsid w:val="001A760C"/>
    <w:rsid w:val="001A799B"/>
    <w:rsid w:val="001A7AC7"/>
    <w:rsid w:val="001A7C38"/>
    <w:rsid w:val="001B02F8"/>
    <w:rsid w:val="001B2104"/>
    <w:rsid w:val="001B2279"/>
    <w:rsid w:val="001B2729"/>
    <w:rsid w:val="001B2866"/>
    <w:rsid w:val="001B2881"/>
    <w:rsid w:val="001B34A3"/>
    <w:rsid w:val="001B3675"/>
    <w:rsid w:val="001B37C8"/>
    <w:rsid w:val="001B4B2C"/>
    <w:rsid w:val="001B4F10"/>
    <w:rsid w:val="001B5026"/>
    <w:rsid w:val="001B5154"/>
    <w:rsid w:val="001B5B75"/>
    <w:rsid w:val="001B6E30"/>
    <w:rsid w:val="001B7C83"/>
    <w:rsid w:val="001B7F9E"/>
    <w:rsid w:val="001C0206"/>
    <w:rsid w:val="001C0246"/>
    <w:rsid w:val="001C04D4"/>
    <w:rsid w:val="001C0B34"/>
    <w:rsid w:val="001C12A3"/>
    <w:rsid w:val="001C14F6"/>
    <w:rsid w:val="001C17BB"/>
    <w:rsid w:val="001C187E"/>
    <w:rsid w:val="001C1A37"/>
    <w:rsid w:val="001C1C49"/>
    <w:rsid w:val="001C286F"/>
    <w:rsid w:val="001C2B86"/>
    <w:rsid w:val="001C2F54"/>
    <w:rsid w:val="001C2FBE"/>
    <w:rsid w:val="001C3308"/>
    <w:rsid w:val="001C3BBB"/>
    <w:rsid w:val="001C40B7"/>
    <w:rsid w:val="001C40D1"/>
    <w:rsid w:val="001C468A"/>
    <w:rsid w:val="001C4A38"/>
    <w:rsid w:val="001C4A9E"/>
    <w:rsid w:val="001C5001"/>
    <w:rsid w:val="001C5103"/>
    <w:rsid w:val="001C52A8"/>
    <w:rsid w:val="001C5ADF"/>
    <w:rsid w:val="001C5E8E"/>
    <w:rsid w:val="001C6120"/>
    <w:rsid w:val="001C6516"/>
    <w:rsid w:val="001C6B5C"/>
    <w:rsid w:val="001C6E16"/>
    <w:rsid w:val="001C7155"/>
    <w:rsid w:val="001C71D9"/>
    <w:rsid w:val="001C73C6"/>
    <w:rsid w:val="001C7E48"/>
    <w:rsid w:val="001D039B"/>
    <w:rsid w:val="001D1258"/>
    <w:rsid w:val="001D14AB"/>
    <w:rsid w:val="001D1AB8"/>
    <w:rsid w:val="001D286F"/>
    <w:rsid w:val="001D2C94"/>
    <w:rsid w:val="001D33D9"/>
    <w:rsid w:val="001D36F6"/>
    <w:rsid w:val="001D3D5F"/>
    <w:rsid w:val="001D4303"/>
    <w:rsid w:val="001D45E5"/>
    <w:rsid w:val="001D461A"/>
    <w:rsid w:val="001D4A9D"/>
    <w:rsid w:val="001D4AAD"/>
    <w:rsid w:val="001D5AFA"/>
    <w:rsid w:val="001D7177"/>
    <w:rsid w:val="001D756E"/>
    <w:rsid w:val="001D784A"/>
    <w:rsid w:val="001E04A4"/>
    <w:rsid w:val="001E04EE"/>
    <w:rsid w:val="001E07C5"/>
    <w:rsid w:val="001E176D"/>
    <w:rsid w:val="001E1BCE"/>
    <w:rsid w:val="001E1E05"/>
    <w:rsid w:val="001E2086"/>
    <w:rsid w:val="001E339F"/>
    <w:rsid w:val="001E3629"/>
    <w:rsid w:val="001E3B2C"/>
    <w:rsid w:val="001E40F0"/>
    <w:rsid w:val="001E4172"/>
    <w:rsid w:val="001E4AC7"/>
    <w:rsid w:val="001E5490"/>
    <w:rsid w:val="001E5513"/>
    <w:rsid w:val="001E5730"/>
    <w:rsid w:val="001E5E2E"/>
    <w:rsid w:val="001E6352"/>
    <w:rsid w:val="001E70AD"/>
    <w:rsid w:val="001E7237"/>
    <w:rsid w:val="001E7AF6"/>
    <w:rsid w:val="001E7FBF"/>
    <w:rsid w:val="001F01B8"/>
    <w:rsid w:val="001F0FC3"/>
    <w:rsid w:val="001F1188"/>
    <w:rsid w:val="001F1B8D"/>
    <w:rsid w:val="001F274F"/>
    <w:rsid w:val="001F289C"/>
    <w:rsid w:val="001F2BF9"/>
    <w:rsid w:val="001F3AF2"/>
    <w:rsid w:val="001F6008"/>
    <w:rsid w:val="001F641B"/>
    <w:rsid w:val="001F6C19"/>
    <w:rsid w:val="001F6D4D"/>
    <w:rsid w:val="001F7C00"/>
    <w:rsid w:val="0020042C"/>
    <w:rsid w:val="002009A3"/>
    <w:rsid w:val="00200F1A"/>
    <w:rsid w:val="0020130D"/>
    <w:rsid w:val="00201D06"/>
    <w:rsid w:val="00201E9F"/>
    <w:rsid w:val="00202790"/>
    <w:rsid w:val="00202F25"/>
    <w:rsid w:val="002035B3"/>
    <w:rsid w:val="00203929"/>
    <w:rsid w:val="00203CD6"/>
    <w:rsid w:val="00203F0A"/>
    <w:rsid w:val="00204460"/>
    <w:rsid w:val="002051EA"/>
    <w:rsid w:val="00205CBC"/>
    <w:rsid w:val="00205E9E"/>
    <w:rsid w:val="00206259"/>
    <w:rsid w:val="00206CE5"/>
    <w:rsid w:val="002074B7"/>
    <w:rsid w:val="0020758D"/>
    <w:rsid w:val="00207C7B"/>
    <w:rsid w:val="00211470"/>
    <w:rsid w:val="00211922"/>
    <w:rsid w:val="0021213A"/>
    <w:rsid w:val="0021265F"/>
    <w:rsid w:val="00213817"/>
    <w:rsid w:val="00214428"/>
    <w:rsid w:val="002145EB"/>
    <w:rsid w:val="00214681"/>
    <w:rsid w:val="00215834"/>
    <w:rsid w:val="00215CC2"/>
    <w:rsid w:val="00215ED8"/>
    <w:rsid w:val="00217700"/>
    <w:rsid w:val="002177E2"/>
    <w:rsid w:val="002205F3"/>
    <w:rsid w:val="0022085B"/>
    <w:rsid w:val="00220E53"/>
    <w:rsid w:val="0022176C"/>
    <w:rsid w:val="002225D1"/>
    <w:rsid w:val="002230FA"/>
    <w:rsid w:val="002235D9"/>
    <w:rsid w:val="00223AB9"/>
    <w:rsid w:val="00223DF2"/>
    <w:rsid w:val="00224737"/>
    <w:rsid w:val="00224C0C"/>
    <w:rsid w:val="00225323"/>
    <w:rsid w:val="002256C2"/>
    <w:rsid w:val="002256D0"/>
    <w:rsid w:val="00225C8E"/>
    <w:rsid w:val="00226428"/>
    <w:rsid w:val="002265A9"/>
    <w:rsid w:val="002266CB"/>
    <w:rsid w:val="00226777"/>
    <w:rsid w:val="0022701E"/>
    <w:rsid w:val="00227052"/>
    <w:rsid w:val="002272D5"/>
    <w:rsid w:val="0022738E"/>
    <w:rsid w:val="00227906"/>
    <w:rsid w:val="00227934"/>
    <w:rsid w:val="00227955"/>
    <w:rsid w:val="00227E21"/>
    <w:rsid w:val="00230178"/>
    <w:rsid w:val="00231D05"/>
    <w:rsid w:val="002336E2"/>
    <w:rsid w:val="00233AC2"/>
    <w:rsid w:val="00233BAF"/>
    <w:rsid w:val="00235420"/>
    <w:rsid w:val="002356A5"/>
    <w:rsid w:val="00235DAA"/>
    <w:rsid w:val="0024065B"/>
    <w:rsid w:val="002409A6"/>
    <w:rsid w:val="00240EA5"/>
    <w:rsid w:val="00241132"/>
    <w:rsid w:val="00241205"/>
    <w:rsid w:val="002418C5"/>
    <w:rsid w:val="002419ED"/>
    <w:rsid w:val="0024261D"/>
    <w:rsid w:val="00242DFB"/>
    <w:rsid w:val="00243807"/>
    <w:rsid w:val="002440AC"/>
    <w:rsid w:val="00244365"/>
    <w:rsid w:val="0024459A"/>
    <w:rsid w:val="00244771"/>
    <w:rsid w:val="00244903"/>
    <w:rsid w:val="00244AFB"/>
    <w:rsid w:val="002453DF"/>
    <w:rsid w:val="00245A81"/>
    <w:rsid w:val="00246B86"/>
    <w:rsid w:val="00247335"/>
    <w:rsid w:val="002473EF"/>
    <w:rsid w:val="002477B9"/>
    <w:rsid w:val="00247CBE"/>
    <w:rsid w:val="00250100"/>
    <w:rsid w:val="00250A1F"/>
    <w:rsid w:val="00250ADA"/>
    <w:rsid w:val="00250F1D"/>
    <w:rsid w:val="0025194E"/>
    <w:rsid w:val="00251BA3"/>
    <w:rsid w:val="00251FF1"/>
    <w:rsid w:val="002520BA"/>
    <w:rsid w:val="00252234"/>
    <w:rsid w:val="002527AF"/>
    <w:rsid w:val="002528E3"/>
    <w:rsid w:val="00252944"/>
    <w:rsid w:val="00252D55"/>
    <w:rsid w:val="00252D82"/>
    <w:rsid w:val="00253006"/>
    <w:rsid w:val="002533F5"/>
    <w:rsid w:val="002538CE"/>
    <w:rsid w:val="00253C60"/>
    <w:rsid w:val="00253F21"/>
    <w:rsid w:val="0025429D"/>
    <w:rsid w:val="002549E9"/>
    <w:rsid w:val="00254FF6"/>
    <w:rsid w:val="00255099"/>
    <w:rsid w:val="002555C6"/>
    <w:rsid w:val="00255E14"/>
    <w:rsid w:val="0025615C"/>
    <w:rsid w:val="002561E6"/>
    <w:rsid w:val="00257059"/>
    <w:rsid w:val="0025712F"/>
    <w:rsid w:val="00257395"/>
    <w:rsid w:val="00257857"/>
    <w:rsid w:val="002578DA"/>
    <w:rsid w:val="00257CBC"/>
    <w:rsid w:val="002602C2"/>
    <w:rsid w:val="002602DA"/>
    <w:rsid w:val="0026040B"/>
    <w:rsid w:val="00260802"/>
    <w:rsid w:val="002609E3"/>
    <w:rsid w:val="00261223"/>
    <w:rsid w:val="002617AB"/>
    <w:rsid w:val="00261D08"/>
    <w:rsid w:val="00261DCC"/>
    <w:rsid w:val="002624D0"/>
    <w:rsid w:val="00262AE8"/>
    <w:rsid w:val="0026323A"/>
    <w:rsid w:val="00263AE7"/>
    <w:rsid w:val="00263DB7"/>
    <w:rsid w:val="00263EC7"/>
    <w:rsid w:val="00264441"/>
    <w:rsid w:val="0026491B"/>
    <w:rsid w:val="00264A36"/>
    <w:rsid w:val="00264B06"/>
    <w:rsid w:val="00264C1B"/>
    <w:rsid w:val="00265E2E"/>
    <w:rsid w:val="002661AB"/>
    <w:rsid w:val="002668DB"/>
    <w:rsid w:val="0026742B"/>
    <w:rsid w:val="002674FE"/>
    <w:rsid w:val="00270748"/>
    <w:rsid w:val="0027105A"/>
    <w:rsid w:val="0027117F"/>
    <w:rsid w:val="00271283"/>
    <w:rsid w:val="002712DC"/>
    <w:rsid w:val="00271875"/>
    <w:rsid w:val="002718FF"/>
    <w:rsid w:val="00271955"/>
    <w:rsid w:val="00272278"/>
    <w:rsid w:val="00272432"/>
    <w:rsid w:val="00272633"/>
    <w:rsid w:val="00272CAB"/>
    <w:rsid w:val="00272FBF"/>
    <w:rsid w:val="00273A10"/>
    <w:rsid w:val="00273A58"/>
    <w:rsid w:val="00273F3F"/>
    <w:rsid w:val="00273FBB"/>
    <w:rsid w:val="00274CAB"/>
    <w:rsid w:val="00274E8A"/>
    <w:rsid w:val="0027507D"/>
    <w:rsid w:val="00275F50"/>
    <w:rsid w:val="00275FCE"/>
    <w:rsid w:val="002766B8"/>
    <w:rsid w:val="0027680F"/>
    <w:rsid w:val="00281006"/>
    <w:rsid w:val="002815B1"/>
    <w:rsid w:val="00281A3D"/>
    <w:rsid w:val="00281C1F"/>
    <w:rsid w:val="00281EEA"/>
    <w:rsid w:val="00281F88"/>
    <w:rsid w:val="0028288D"/>
    <w:rsid w:val="002829B7"/>
    <w:rsid w:val="00282B82"/>
    <w:rsid w:val="00282C74"/>
    <w:rsid w:val="00282E5B"/>
    <w:rsid w:val="00282F51"/>
    <w:rsid w:val="00283995"/>
    <w:rsid w:val="00283B11"/>
    <w:rsid w:val="002841A9"/>
    <w:rsid w:val="00284313"/>
    <w:rsid w:val="002848AD"/>
    <w:rsid w:val="00284A5E"/>
    <w:rsid w:val="00285154"/>
    <w:rsid w:val="0028570A"/>
    <w:rsid w:val="00285BF2"/>
    <w:rsid w:val="00285C78"/>
    <w:rsid w:val="002863CE"/>
    <w:rsid w:val="002868CF"/>
    <w:rsid w:val="0028702A"/>
    <w:rsid w:val="0028732A"/>
    <w:rsid w:val="00290F01"/>
    <w:rsid w:val="00291035"/>
    <w:rsid w:val="00291492"/>
    <w:rsid w:val="00291527"/>
    <w:rsid w:val="0029199A"/>
    <w:rsid w:val="00291BBE"/>
    <w:rsid w:val="00291FEB"/>
    <w:rsid w:val="002920B3"/>
    <w:rsid w:val="0029211F"/>
    <w:rsid w:val="00292787"/>
    <w:rsid w:val="00293146"/>
    <w:rsid w:val="0029361E"/>
    <w:rsid w:val="00293D68"/>
    <w:rsid w:val="0029431E"/>
    <w:rsid w:val="00294352"/>
    <w:rsid w:val="002944A0"/>
    <w:rsid w:val="002946E4"/>
    <w:rsid w:val="0029495C"/>
    <w:rsid w:val="00294CEE"/>
    <w:rsid w:val="002957D9"/>
    <w:rsid w:val="00295B52"/>
    <w:rsid w:val="00296024"/>
    <w:rsid w:val="00296293"/>
    <w:rsid w:val="00296408"/>
    <w:rsid w:val="0029686F"/>
    <w:rsid w:val="00296AF7"/>
    <w:rsid w:val="002972F9"/>
    <w:rsid w:val="002977CA"/>
    <w:rsid w:val="00297DC9"/>
    <w:rsid w:val="00297ED7"/>
    <w:rsid w:val="002A0007"/>
    <w:rsid w:val="002A03AA"/>
    <w:rsid w:val="002A056D"/>
    <w:rsid w:val="002A0649"/>
    <w:rsid w:val="002A07FE"/>
    <w:rsid w:val="002A094D"/>
    <w:rsid w:val="002A0CAF"/>
    <w:rsid w:val="002A1565"/>
    <w:rsid w:val="002A16A9"/>
    <w:rsid w:val="002A2941"/>
    <w:rsid w:val="002A2DC4"/>
    <w:rsid w:val="002A3E69"/>
    <w:rsid w:val="002A41F7"/>
    <w:rsid w:val="002A44F9"/>
    <w:rsid w:val="002A46D1"/>
    <w:rsid w:val="002A49EF"/>
    <w:rsid w:val="002A4B8B"/>
    <w:rsid w:val="002A4C3D"/>
    <w:rsid w:val="002A5107"/>
    <w:rsid w:val="002A535E"/>
    <w:rsid w:val="002A6406"/>
    <w:rsid w:val="002A6AD0"/>
    <w:rsid w:val="002A6CF0"/>
    <w:rsid w:val="002A6FFC"/>
    <w:rsid w:val="002A7010"/>
    <w:rsid w:val="002A70BA"/>
    <w:rsid w:val="002A7A57"/>
    <w:rsid w:val="002A7BB2"/>
    <w:rsid w:val="002A7DCB"/>
    <w:rsid w:val="002B0B53"/>
    <w:rsid w:val="002B1617"/>
    <w:rsid w:val="002B194B"/>
    <w:rsid w:val="002B1D11"/>
    <w:rsid w:val="002B273B"/>
    <w:rsid w:val="002B29AA"/>
    <w:rsid w:val="002B2A7E"/>
    <w:rsid w:val="002B2F1B"/>
    <w:rsid w:val="002B4A32"/>
    <w:rsid w:val="002B4C6B"/>
    <w:rsid w:val="002B5AFB"/>
    <w:rsid w:val="002B6320"/>
    <w:rsid w:val="002B66AC"/>
    <w:rsid w:val="002B6852"/>
    <w:rsid w:val="002B77E1"/>
    <w:rsid w:val="002C0005"/>
    <w:rsid w:val="002C0714"/>
    <w:rsid w:val="002C0A96"/>
    <w:rsid w:val="002C0DBA"/>
    <w:rsid w:val="002C10A8"/>
    <w:rsid w:val="002C1BF4"/>
    <w:rsid w:val="002C1E0D"/>
    <w:rsid w:val="002C2266"/>
    <w:rsid w:val="002C2309"/>
    <w:rsid w:val="002C24D1"/>
    <w:rsid w:val="002C28EB"/>
    <w:rsid w:val="002C3265"/>
    <w:rsid w:val="002C3666"/>
    <w:rsid w:val="002C3AED"/>
    <w:rsid w:val="002C3E56"/>
    <w:rsid w:val="002C414C"/>
    <w:rsid w:val="002C4C2F"/>
    <w:rsid w:val="002C5776"/>
    <w:rsid w:val="002C5CD6"/>
    <w:rsid w:val="002C5EED"/>
    <w:rsid w:val="002C66DE"/>
    <w:rsid w:val="002C7193"/>
    <w:rsid w:val="002C7699"/>
    <w:rsid w:val="002C7A49"/>
    <w:rsid w:val="002C7B1A"/>
    <w:rsid w:val="002D0128"/>
    <w:rsid w:val="002D0E85"/>
    <w:rsid w:val="002D0FA7"/>
    <w:rsid w:val="002D12FB"/>
    <w:rsid w:val="002D1306"/>
    <w:rsid w:val="002D19D1"/>
    <w:rsid w:val="002D1F35"/>
    <w:rsid w:val="002D1FA3"/>
    <w:rsid w:val="002D20CD"/>
    <w:rsid w:val="002D23C6"/>
    <w:rsid w:val="002D24F0"/>
    <w:rsid w:val="002D25EB"/>
    <w:rsid w:val="002D29F3"/>
    <w:rsid w:val="002D3126"/>
    <w:rsid w:val="002D3529"/>
    <w:rsid w:val="002D3D0A"/>
    <w:rsid w:val="002D478E"/>
    <w:rsid w:val="002D47AE"/>
    <w:rsid w:val="002D4A94"/>
    <w:rsid w:val="002D5CBF"/>
    <w:rsid w:val="002D65FF"/>
    <w:rsid w:val="002D6D10"/>
    <w:rsid w:val="002D71E2"/>
    <w:rsid w:val="002D7367"/>
    <w:rsid w:val="002D7961"/>
    <w:rsid w:val="002D7B6A"/>
    <w:rsid w:val="002D7E36"/>
    <w:rsid w:val="002E0026"/>
    <w:rsid w:val="002E08E8"/>
    <w:rsid w:val="002E0918"/>
    <w:rsid w:val="002E0BAA"/>
    <w:rsid w:val="002E0D96"/>
    <w:rsid w:val="002E0EA5"/>
    <w:rsid w:val="002E1E19"/>
    <w:rsid w:val="002E283F"/>
    <w:rsid w:val="002E2854"/>
    <w:rsid w:val="002E2E74"/>
    <w:rsid w:val="002E32D2"/>
    <w:rsid w:val="002E361B"/>
    <w:rsid w:val="002E37AB"/>
    <w:rsid w:val="002E3A80"/>
    <w:rsid w:val="002E41C7"/>
    <w:rsid w:val="002E51DF"/>
    <w:rsid w:val="002E555B"/>
    <w:rsid w:val="002E57B9"/>
    <w:rsid w:val="002E6127"/>
    <w:rsid w:val="002E6885"/>
    <w:rsid w:val="002E6E81"/>
    <w:rsid w:val="002E72E4"/>
    <w:rsid w:val="002E739D"/>
    <w:rsid w:val="002F0F36"/>
    <w:rsid w:val="002F1276"/>
    <w:rsid w:val="002F1986"/>
    <w:rsid w:val="002F1E5F"/>
    <w:rsid w:val="002F2863"/>
    <w:rsid w:val="002F2A49"/>
    <w:rsid w:val="002F3550"/>
    <w:rsid w:val="002F3B63"/>
    <w:rsid w:val="002F3C56"/>
    <w:rsid w:val="002F46B0"/>
    <w:rsid w:val="002F4B17"/>
    <w:rsid w:val="002F5150"/>
    <w:rsid w:val="002F5463"/>
    <w:rsid w:val="002F58C2"/>
    <w:rsid w:val="002F5932"/>
    <w:rsid w:val="002F5C85"/>
    <w:rsid w:val="002F603B"/>
    <w:rsid w:val="002F6201"/>
    <w:rsid w:val="002F6884"/>
    <w:rsid w:val="002F6A2B"/>
    <w:rsid w:val="002F6CB1"/>
    <w:rsid w:val="002F724B"/>
    <w:rsid w:val="002F72BA"/>
    <w:rsid w:val="00300267"/>
    <w:rsid w:val="003004D2"/>
    <w:rsid w:val="00300674"/>
    <w:rsid w:val="00300C88"/>
    <w:rsid w:val="00300D6B"/>
    <w:rsid w:val="00301019"/>
    <w:rsid w:val="00301380"/>
    <w:rsid w:val="00301E89"/>
    <w:rsid w:val="00302052"/>
    <w:rsid w:val="00302142"/>
    <w:rsid w:val="00302169"/>
    <w:rsid w:val="00302612"/>
    <w:rsid w:val="00303254"/>
    <w:rsid w:val="00303B08"/>
    <w:rsid w:val="0030408D"/>
    <w:rsid w:val="003044D9"/>
    <w:rsid w:val="00304D8A"/>
    <w:rsid w:val="00305216"/>
    <w:rsid w:val="0030555B"/>
    <w:rsid w:val="00305BFD"/>
    <w:rsid w:val="003061F5"/>
    <w:rsid w:val="003065F9"/>
    <w:rsid w:val="00306D27"/>
    <w:rsid w:val="0030739C"/>
    <w:rsid w:val="00310D51"/>
    <w:rsid w:val="00311B36"/>
    <w:rsid w:val="00311C92"/>
    <w:rsid w:val="003133AE"/>
    <w:rsid w:val="00313414"/>
    <w:rsid w:val="0031371B"/>
    <w:rsid w:val="00313F2D"/>
    <w:rsid w:val="00314156"/>
    <w:rsid w:val="00315081"/>
    <w:rsid w:val="0031535B"/>
    <w:rsid w:val="003170F4"/>
    <w:rsid w:val="0031750F"/>
    <w:rsid w:val="0032035D"/>
    <w:rsid w:val="003205E9"/>
    <w:rsid w:val="00320B28"/>
    <w:rsid w:val="0032123E"/>
    <w:rsid w:val="003216D5"/>
    <w:rsid w:val="003216FF"/>
    <w:rsid w:val="00321866"/>
    <w:rsid w:val="00321A83"/>
    <w:rsid w:val="00321C1A"/>
    <w:rsid w:val="00321F6B"/>
    <w:rsid w:val="00322389"/>
    <w:rsid w:val="00322BE5"/>
    <w:rsid w:val="00322E87"/>
    <w:rsid w:val="0032312D"/>
    <w:rsid w:val="00323AA5"/>
    <w:rsid w:val="003242E4"/>
    <w:rsid w:val="0032468D"/>
    <w:rsid w:val="00324926"/>
    <w:rsid w:val="00324B25"/>
    <w:rsid w:val="0032522F"/>
    <w:rsid w:val="003253C4"/>
    <w:rsid w:val="003253C9"/>
    <w:rsid w:val="0032550F"/>
    <w:rsid w:val="00325992"/>
    <w:rsid w:val="00325B74"/>
    <w:rsid w:val="0032638F"/>
    <w:rsid w:val="003268F3"/>
    <w:rsid w:val="00326B59"/>
    <w:rsid w:val="003272C6"/>
    <w:rsid w:val="0032746C"/>
    <w:rsid w:val="00327752"/>
    <w:rsid w:val="00327C7C"/>
    <w:rsid w:val="00330009"/>
    <w:rsid w:val="003301E6"/>
    <w:rsid w:val="003310AB"/>
    <w:rsid w:val="003314D2"/>
    <w:rsid w:val="00331712"/>
    <w:rsid w:val="00331A3F"/>
    <w:rsid w:val="00332191"/>
    <w:rsid w:val="00332720"/>
    <w:rsid w:val="00332EED"/>
    <w:rsid w:val="003334A7"/>
    <w:rsid w:val="003337E8"/>
    <w:rsid w:val="00333A14"/>
    <w:rsid w:val="00333B2A"/>
    <w:rsid w:val="00333FD5"/>
    <w:rsid w:val="003350E9"/>
    <w:rsid w:val="003351BA"/>
    <w:rsid w:val="0033520F"/>
    <w:rsid w:val="00335519"/>
    <w:rsid w:val="0033596B"/>
    <w:rsid w:val="00335A93"/>
    <w:rsid w:val="0033650E"/>
    <w:rsid w:val="003366EF"/>
    <w:rsid w:val="00336907"/>
    <w:rsid w:val="003369DF"/>
    <w:rsid w:val="00336C71"/>
    <w:rsid w:val="00336D96"/>
    <w:rsid w:val="00336DFC"/>
    <w:rsid w:val="00337230"/>
    <w:rsid w:val="00337588"/>
    <w:rsid w:val="003377D0"/>
    <w:rsid w:val="00337D75"/>
    <w:rsid w:val="00340020"/>
    <w:rsid w:val="0034081A"/>
    <w:rsid w:val="00341162"/>
    <w:rsid w:val="00341866"/>
    <w:rsid w:val="00341DAF"/>
    <w:rsid w:val="00342181"/>
    <w:rsid w:val="0034339B"/>
    <w:rsid w:val="00343560"/>
    <w:rsid w:val="00343A20"/>
    <w:rsid w:val="0034402B"/>
    <w:rsid w:val="0034449E"/>
    <w:rsid w:val="00344D46"/>
    <w:rsid w:val="0034621B"/>
    <w:rsid w:val="003465A5"/>
    <w:rsid w:val="00346817"/>
    <w:rsid w:val="00347440"/>
    <w:rsid w:val="003475EA"/>
    <w:rsid w:val="0034792D"/>
    <w:rsid w:val="00347A27"/>
    <w:rsid w:val="00347CD4"/>
    <w:rsid w:val="00350A55"/>
    <w:rsid w:val="00350DF8"/>
    <w:rsid w:val="00351A8A"/>
    <w:rsid w:val="00352541"/>
    <w:rsid w:val="0035266A"/>
    <w:rsid w:val="0035279C"/>
    <w:rsid w:val="00352B23"/>
    <w:rsid w:val="00352C49"/>
    <w:rsid w:val="003534D3"/>
    <w:rsid w:val="003535D2"/>
    <w:rsid w:val="0035384D"/>
    <w:rsid w:val="00353BF0"/>
    <w:rsid w:val="00353C0B"/>
    <w:rsid w:val="00354AE4"/>
    <w:rsid w:val="00354B0A"/>
    <w:rsid w:val="0035551B"/>
    <w:rsid w:val="003555ED"/>
    <w:rsid w:val="00355911"/>
    <w:rsid w:val="0035636B"/>
    <w:rsid w:val="00356714"/>
    <w:rsid w:val="00357424"/>
    <w:rsid w:val="003578B2"/>
    <w:rsid w:val="00361789"/>
    <w:rsid w:val="0036196D"/>
    <w:rsid w:val="00361EEC"/>
    <w:rsid w:val="0036208F"/>
    <w:rsid w:val="0036263D"/>
    <w:rsid w:val="003627BD"/>
    <w:rsid w:val="00362997"/>
    <w:rsid w:val="003629B5"/>
    <w:rsid w:val="00362C59"/>
    <w:rsid w:val="00363040"/>
    <w:rsid w:val="003630B7"/>
    <w:rsid w:val="00363275"/>
    <w:rsid w:val="00363786"/>
    <w:rsid w:val="003638A4"/>
    <w:rsid w:val="003639BF"/>
    <w:rsid w:val="00363DDC"/>
    <w:rsid w:val="00363E41"/>
    <w:rsid w:val="00363ED8"/>
    <w:rsid w:val="00363FD2"/>
    <w:rsid w:val="003644D0"/>
    <w:rsid w:val="003651F5"/>
    <w:rsid w:val="0036528B"/>
    <w:rsid w:val="0036572E"/>
    <w:rsid w:val="003663D9"/>
    <w:rsid w:val="003666BF"/>
    <w:rsid w:val="00366707"/>
    <w:rsid w:val="00366FA9"/>
    <w:rsid w:val="00367E49"/>
    <w:rsid w:val="003700E6"/>
    <w:rsid w:val="003716FB"/>
    <w:rsid w:val="00371C86"/>
    <w:rsid w:val="0037236C"/>
    <w:rsid w:val="003729DE"/>
    <w:rsid w:val="003735D3"/>
    <w:rsid w:val="0037386D"/>
    <w:rsid w:val="00373956"/>
    <w:rsid w:val="00374153"/>
    <w:rsid w:val="003750E0"/>
    <w:rsid w:val="00375AF1"/>
    <w:rsid w:val="00375C2F"/>
    <w:rsid w:val="00375FC5"/>
    <w:rsid w:val="003769BA"/>
    <w:rsid w:val="00377871"/>
    <w:rsid w:val="003778B2"/>
    <w:rsid w:val="00377E58"/>
    <w:rsid w:val="003805E3"/>
    <w:rsid w:val="00380618"/>
    <w:rsid w:val="0038062E"/>
    <w:rsid w:val="003807F7"/>
    <w:rsid w:val="00381610"/>
    <w:rsid w:val="00382106"/>
    <w:rsid w:val="00382657"/>
    <w:rsid w:val="00382B82"/>
    <w:rsid w:val="00383E73"/>
    <w:rsid w:val="003844BF"/>
    <w:rsid w:val="003852BA"/>
    <w:rsid w:val="003854D5"/>
    <w:rsid w:val="0038552A"/>
    <w:rsid w:val="003859EA"/>
    <w:rsid w:val="0038709E"/>
    <w:rsid w:val="00387D30"/>
    <w:rsid w:val="00390A4D"/>
    <w:rsid w:val="00391753"/>
    <w:rsid w:val="00391C7F"/>
    <w:rsid w:val="00392454"/>
    <w:rsid w:val="00392A6C"/>
    <w:rsid w:val="00392C85"/>
    <w:rsid w:val="00392FD8"/>
    <w:rsid w:val="00393E11"/>
    <w:rsid w:val="00394475"/>
    <w:rsid w:val="00394C48"/>
    <w:rsid w:val="0039517A"/>
    <w:rsid w:val="00395B51"/>
    <w:rsid w:val="00396796"/>
    <w:rsid w:val="00396EC6"/>
    <w:rsid w:val="00396F3C"/>
    <w:rsid w:val="003970BA"/>
    <w:rsid w:val="0039746C"/>
    <w:rsid w:val="00397A10"/>
    <w:rsid w:val="00397DC6"/>
    <w:rsid w:val="003A0E82"/>
    <w:rsid w:val="003A0FAC"/>
    <w:rsid w:val="003A184D"/>
    <w:rsid w:val="003A1C35"/>
    <w:rsid w:val="003A1FB7"/>
    <w:rsid w:val="003A20FC"/>
    <w:rsid w:val="003A2962"/>
    <w:rsid w:val="003A2F41"/>
    <w:rsid w:val="003A371E"/>
    <w:rsid w:val="003A462A"/>
    <w:rsid w:val="003A4CE8"/>
    <w:rsid w:val="003A595F"/>
    <w:rsid w:val="003A5EEC"/>
    <w:rsid w:val="003A79AE"/>
    <w:rsid w:val="003A7CA3"/>
    <w:rsid w:val="003B00B6"/>
    <w:rsid w:val="003B01C4"/>
    <w:rsid w:val="003B0BB0"/>
    <w:rsid w:val="003B11EE"/>
    <w:rsid w:val="003B1332"/>
    <w:rsid w:val="003B15F8"/>
    <w:rsid w:val="003B1702"/>
    <w:rsid w:val="003B18EB"/>
    <w:rsid w:val="003B230B"/>
    <w:rsid w:val="003B23BC"/>
    <w:rsid w:val="003B2DB5"/>
    <w:rsid w:val="003B2F05"/>
    <w:rsid w:val="003B3966"/>
    <w:rsid w:val="003B39B7"/>
    <w:rsid w:val="003B4EB0"/>
    <w:rsid w:val="003B5179"/>
    <w:rsid w:val="003B5F6A"/>
    <w:rsid w:val="003B6B7F"/>
    <w:rsid w:val="003B7820"/>
    <w:rsid w:val="003C01A4"/>
    <w:rsid w:val="003C0219"/>
    <w:rsid w:val="003C07FE"/>
    <w:rsid w:val="003C0C12"/>
    <w:rsid w:val="003C16EE"/>
    <w:rsid w:val="003C1C87"/>
    <w:rsid w:val="003C2C85"/>
    <w:rsid w:val="003C2F61"/>
    <w:rsid w:val="003C345E"/>
    <w:rsid w:val="003C4409"/>
    <w:rsid w:val="003C4750"/>
    <w:rsid w:val="003C4997"/>
    <w:rsid w:val="003C4DA5"/>
    <w:rsid w:val="003C5666"/>
    <w:rsid w:val="003C6304"/>
    <w:rsid w:val="003C64F4"/>
    <w:rsid w:val="003C6DE1"/>
    <w:rsid w:val="003C724B"/>
    <w:rsid w:val="003C73DB"/>
    <w:rsid w:val="003D0185"/>
    <w:rsid w:val="003D02CB"/>
    <w:rsid w:val="003D0382"/>
    <w:rsid w:val="003D057A"/>
    <w:rsid w:val="003D069C"/>
    <w:rsid w:val="003D0BC2"/>
    <w:rsid w:val="003D1869"/>
    <w:rsid w:val="003D191E"/>
    <w:rsid w:val="003D21B8"/>
    <w:rsid w:val="003D22A5"/>
    <w:rsid w:val="003D22C7"/>
    <w:rsid w:val="003D23A4"/>
    <w:rsid w:val="003D3414"/>
    <w:rsid w:val="003D3426"/>
    <w:rsid w:val="003D3721"/>
    <w:rsid w:val="003D46BA"/>
    <w:rsid w:val="003D590A"/>
    <w:rsid w:val="003D6722"/>
    <w:rsid w:val="003D7428"/>
    <w:rsid w:val="003D77F2"/>
    <w:rsid w:val="003D78CC"/>
    <w:rsid w:val="003D7901"/>
    <w:rsid w:val="003D7D01"/>
    <w:rsid w:val="003D7ED8"/>
    <w:rsid w:val="003E0003"/>
    <w:rsid w:val="003E0099"/>
    <w:rsid w:val="003E08C7"/>
    <w:rsid w:val="003E0992"/>
    <w:rsid w:val="003E1A72"/>
    <w:rsid w:val="003E2880"/>
    <w:rsid w:val="003E28FB"/>
    <w:rsid w:val="003E2A00"/>
    <w:rsid w:val="003E382C"/>
    <w:rsid w:val="003E3D00"/>
    <w:rsid w:val="003E3FD6"/>
    <w:rsid w:val="003E4531"/>
    <w:rsid w:val="003E4771"/>
    <w:rsid w:val="003E48C8"/>
    <w:rsid w:val="003E54A8"/>
    <w:rsid w:val="003E5833"/>
    <w:rsid w:val="003E5DA8"/>
    <w:rsid w:val="003E7109"/>
    <w:rsid w:val="003E77DC"/>
    <w:rsid w:val="003E7BC1"/>
    <w:rsid w:val="003F0453"/>
    <w:rsid w:val="003F097D"/>
    <w:rsid w:val="003F0C9F"/>
    <w:rsid w:val="003F144A"/>
    <w:rsid w:val="003F1B02"/>
    <w:rsid w:val="003F1EFE"/>
    <w:rsid w:val="003F2212"/>
    <w:rsid w:val="003F2240"/>
    <w:rsid w:val="003F2460"/>
    <w:rsid w:val="003F2BD1"/>
    <w:rsid w:val="003F2E7B"/>
    <w:rsid w:val="003F3932"/>
    <w:rsid w:val="003F39C7"/>
    <w:rsid w:val="003F3CD5"/>
    <w:rsid w:val="003F4473"/>
    <w:rsid w:val="003F4CF5"/>
    <w:rsid w:val="003F4E31"/>
    <w:rsid w:val="003F51EE"/>
    <w:rsid w:val="003F574E"/>
    <w:rsid w:val="003F60D6"/>
    <w:rsid w:val="003F68E9"/>
    <w:rsid w:val="003F73EA"/>
    <w:rsid w:val="003F7E15"/>
    <w:rsid w:val="003F7FDA"/>
    <w:rsid w:val="00400DE4"/>
    <w:rsid w:val="004013AD"/>
    <w:rsid w:val="004021C0"/>
    <w:rsid w:val="004028CE"/>
    <w:rsid w:val="0040313D"/>
    <w:rsid w:val="004043FA"/>
    <w:rsid w:val="00404970"/>
    <w:rsid w:val="00405181"/>
    <w:rsid w:val="0040567F"/>
    <w:rsid w:val="00405873"/>
    <w:rsid w:val="00405F09"/>
    <w:rsid w:val="004066F4"/>
    <w:rsid w:val="00406A32"/>
    <w:rsid w:val="0040760B"/>
    <w:rsid w:val="00410117"/>
    <w:rsid w:val="00410C32"/>
    <w:rsid w:val="004111FB"/>
    <w:rsid w:val="00411237"/>
    <w:rsid w:val="00411557"/>
    <w:rsid w:val="00411994"/>
    <w:rsid w:val="00411B82"/>
    <w:rsid w:val="00411D74"/>
    <w:rsid w:val="00411DDE"/>
    <w:rsid w:val="00411F84"/>
    <w:rsid w:val="00412069"/>
    <w:rsid w:val="004121A1"/>
    <w:rsid w:val="00412477"/>
    <w:rsid w:val="00412570"/>
    <w:rsid w:val="004127A2"/>
    <w:rsid w:val="0041280A"/>
    <w:rsid w:val="00412A9D"/>
    <w:rsid w:val="00412CB1"/>
    <w:rsid w:val="004133A5"/>
    <w:rsid w:val="00413B02"/>
    <w:rsid w:val="00413D45"/>
    <w:rsid w:val="00414197"/>
    <w:rsid w:val="00414D68"/>
    <w:rsid w:val="00414FD9"/>
    <w:rsid w:val="00415773"/>
    <w:rsid w:val="00415CAE"/>
    <w:rsid w:val="00415EE7"/>
    <w:rsid w:val="0041603B"/>
    <w:rsid w:val="004160FA"/>
    <w:rsid w:val="004164AE"/>
    <w:rsid w:val="0041669E"/>
    <w:rsid w:val="00416ACA"/>
    <w:rsid w:val="00416C56"/>
    <w:rsid w:val="00417294"/>
    <w:rsid w:val="004176B8"/>
    <w:rsid w:val="00417B99"/>
    <w:rsid w:val="00417CE0"/>
    <w:rsid w:val="004209D5"/>
    <w:rsid w:val="00420FAF"/>
    <w:rsid w:val="00421184"/>
    <w:rsid w:val="004212C1"/>
    <w:rsid w:val="004214B7"/>
    <w:rsid w:val="00421988"/>
    <w:rsid w:val="00421FB5"/>
    <w:rsid w:val="0042219F"/>
    <w:rsid w:val="004221C6"/>
    <w:rsid w:val="004226ED"/>
    <w:rsid w:val="00422AF4"/>
    <w:rsid w:val="004235F4"/>
    <w:rsid w:val="004236C9"/>
    <w:rsid w:val="00423CF3"/>
    <w:rsid w:val="00423E18"/>
    <w:rsid w:val="00424B7C"/>
    <w:rsid w:val="0042500C"/>
    <w:rsid w:val="00425514"/>
    <w:rsid w:val="004256BD"/>
    <w:rsid w:val="00425863"/>
    <w:rsid w:val="00425D02"/>
    <w:rsid w:val="00425EDC"/>
    <w:rsid w:val="00426C3E"/>
    <w:rsid w:val="004275CD"/>
    <w:rsid w:val="00427FEB"/>
    <w:rsid w:val="00427FF2"/>
    <w:rsid w:val="004305C0"/>
    <w:rsid w:val="00430A31"/>
    <w:rsid w:val="00430B20"/>
    <w:rsid w:val="00430B6C"/>
    <w:rsid w:val="0043135D"/>
    <w:rsid w:val="00431EBC"/>
    <w:rsid w:val="0043227C"/>
    <w:rsid w:val="00432BE8"/>
    <w:rsid w:val="004335C0"/>
    <w:rsid w:val="00433AFC"/>
    <w:rsid w:val="00434193"/>
    <w:rsid w:val="004347E5"/>
    <w:rsid w:val="00435068"/>
    <w:rsid w:val="00435715"/>
    <w:rsid w:val="0043571B"/>
    <w:rsid w:val="00435EE0"/>
    <w:rsid w:val="00435F29"/>
    <w:rsid w:val="0043610C"/>
    <w:rsid w:val="004366FF"/>
    <w:rsid w:val="004376D3"/>
    <w:rsid w:val="0043777D"/>
    <w:rsid w:val="00437D83"/>
    <w:rsid w:val="004401DD"/>
    <w:rsid w:val="00440344"/>
    <w:rsid w:val="00441264"/>
    <w:rsid w:val="00441B0F"/>
    <w:rsid w:val="004425C6"/>
    <w:rsid w:val="00443512"/>
    <w:rsid w:val="00443A55"/>
    <w:rsid w:val="00443CA6"/>
    <w:rsid w:val="00443D5D"/>
    <w:rsid w:val="00445CBA"/>
    <w:rsid w:val="004463CB"/>
    <w:rsid w:val="004466F7"/>
    <w:rsid w:val="00446858"/>
    <w:rsid w:val="00447304"/>
    <w:rsid w:val="00450127"/>
    <w:rsid w:val="0045075F"/>
    <w:rsid w:val="004516AD"/>
    <w:rsid w:val="00451E84"/>
    <w:rsid w:val="00451EA3"/>
    <w:rsid w:val="00451F01"/>
    <w:rsid w:val="00453349"/>
    <w:rsid w:val="004546A7"/>
    <w:rsid w:val="00454831"/>
    <w:rsid w:val="004548DF"/>
    <w:rsid w:val="00455B98"/>
    <w:rsid w:val="00455E25"/>
    <w:rsid w:val="00456CC0"/>
    <w:rsid w:val="0045755C"/>
    <w:rsid w:val="00457933"/>
    <w:rsid w:val="00457C78"/>
    <w:rsid w:val="00460136"/>
    <w:rsid w:val="00460735"/>
    <w:rsid w:val="00460AD5"/>
    <w:rsid w:val="00460EB8"/>
    <w:rsid w:val="00461090"/>
    <w:rsid w:val="004611D5"/>
    <w:rsid w:val="004617D8"/>
    <w:rsid w:val="00461991"/>
    <w:rsid w:val="00461A6B"/>
    <w:rsid w:val="00461C43"/>
    <w:rsid w:val="00461DD7"/>
    <w:rsid w:val="00462125"/>
    <w:rsid w:val="00462D22"/>
    <w:rsid w:val="00463216"/>
    <w:rsid w:val="0046334D"/>
    <w:rsid w:val="00463848"/>
    <w:rsid w:val="00463BBF"/>
    <w:rsid w:val="00463C95"/>
    <w:rsid w:val="00463E1C"/>
    <w:rsid w:val="00464052"/>
    <w:rsid w:val="00464299"/>
    <w:rsid w:val="00464C9C"/>
    <w:rsid w:val="00465153"/>
    <w:rsid w:val="00465602"/>
    <w:rsid w:val="004669A6"/>
    <w:rsid w:val="00466AFD"/>
    <w:rsid w:val="00466E99"/>
    <w:rsid w:val="00470563"/>
    <w:rsid w:val="00470696"/>
    <w:rsid w:val="004724C9"/>
    <w:rsid w:val="00472585"/>
    <w:rsid w:val="00473045"/>
    <w:rsid w:val="00474130"/>
    <w:rsid w:val="004754EE"/>
    <w:rsid w:val="00475A6C"/>
    <w:rsid w:val="004764AF"/>
    <w:rsid w:val="00476D04"/>
    <w:rsid w:val="0047775E"/>
    <w:rsid w:val="00477AAE"/>
    <w:rsid w:val="00477AF6"/>
    <w:rsid w:val="00477B3B"/>
    <w:rsid w:val="00477BCB"/>
    <w:rsid w:val="004801A7"/>
    <w:rsid w:val="00480CE3"/>
    <w:rsid w:val="00480E47"/>
    <w:rsid w:val="00481666"/>
    <w:rsid w:val="0048181B"/>
    <w:rsid w:val="00481F2B"/>
    <w:rsid w:val="004820C5"/>
    <w:rsid w:val="00482198"/>
    <w:rsid w:val="004823D8"/>
    <w:rsid w:val="0048285B"/>
    <w:rsid w:val="00482F20"/>
    <w:rsid w:val="00483196"/>
    <w:rsid w:val="0048340F"/>
    <w:rsid w:val="0048384A"/>
    <w:rsid w:val="0048423C"/>
    <w:rsid w:val="00484449"/>
    <w:rsid w:val="004845A6"/>
    <w:rsid w:val="00484C71"/>
    <w:rsid w:val="004852CE"/>
    <w:rsid w:val="0048540C"/>
    <w:rsid w:val="0048561D"/>
    <w:rsid w:val="00485EDD"/>
    <w:rsid w:val="00485F92"/>
    <w:rsid w:val="004860BD"/>
    <w:rsid w:val="004866E1"/>
    <w:rsid w:val="00486C72"/>
    <w:rsid w:val="0049030D"/>
    <w:rsid w:val="00490954"/>
    <w:rsid w:val="004921DC"/>
    <w:rsid w:val="0049277A"/>
    <w:rsid w:val="00492B38"/>
    <w:rsid w:val="00492FE4"/>
    <w:rsid w:val="00493035"/>
    <w:rsid w:val="00493321"/>
    <w:rsid w:val="004936DE"/>
    <w:rsid w:val="0049544E"/>
    <w:rsid w:val="00495670"/>
    <w:rsid w:val="0049604B"/>
    <w:rsid w:val="00496AC9"/>
    <w:rsid w:val="004A040E"/>
    <w:rsid w:val="004A042D"/>
    <w:rsid w:val="004A11E0"/>
    <w:rsid w:val="004A1FC5"/>
    <w:rsid w:val="004A2158"/>
    <w:rsid w:val="004A29A5"/>
    <w:rsid w:val="004A3225"/>
    <w:rsid w:val="004A374A"/>
    <w:rsid w:val="004A395B"/>
    <w:rsid w:val="004A39D9"/>
    <w:rsid w:val="004A3C59"/>
    <w:rsid w:val="004A3FE2"/>
    <w:rsid w:val="004A480D"/>
    <w:rsid w:val="004A4D76"/>
    <w:rsid w:val="004A522F"/>
    <w:rsid w:val="004A5851"/>
    <w:rsid w:val="004A5A91"/>
    <w:rsid w:val="004A5B0F"/>
    <w:rsid w:val="004A5CF1"/>
    <w:rsid w:val="004A66E0"/>
    <w:rsid w:val="004A7AAE"/>
    <w:rsid w:val="004A7D49"/>
    <w:rsid w:val="004A7F21"/>
    <w:rsid w:val="004B08DB"/>
    <w:rsid w:val="004B1422"/>
    <w:rsid w:val="004B24EB"/>
    <w:rsid w:val="004B29AC"/>
    <w:rsid w:val="004B3C8B"/>
    <w:rsid w:val="004B44A9"/>
    <w:rsid w:val="004B4509"/>
    <w:rsid w:val="004B452A"/>
    <w:rsid w:val="004B4871"/>
    <w:rsid w:val="004B4ADF"/>
    <w:rsid w:val="004B4C00"/>
    <w:rsid w:val="004B4E06"/>
    <w:rsid w:val="004B5493"/>
    <w:rsid w:val="004B5914"/>
    <w:rsid w:val="004B6C77"/>
    <w:rsid w:val="004B6D0A"/>
    <w:rsid w:val="004B7995"/>
    <w:rsid w:val="004C02B3"/>
    <w:rsid w:val="004C098E"/>
    <w:rsid w:val="004C0BBE"/>
    <w:rsid w:val="004C0E2F"/>
    <w:rsid w:val="004C1194"/>
    <w:rsid w:val="004C11EC"/>
    <w:rsid w:val="004C222E"/>
    <w:rsid w:val="004C2561"/>
    <w:rsid w:val="004C2806"/>
    <w:rsid w:val="004C3ADD"/>
    <w:rsid w:val="004C428E"/>
    <w:rsid w:val="004C4775"/>
    <w:rsid w:val="004C483D"/>
    <w:rsid w:val="004C48A9"/>
    <w:rsid w:val="004C51F7"/>
    <w:rsid w:val="004C590B"/>
    <w:rsid w:val="004C6326"/>
    <w:rsid w:val="004C63C7"/>
    <w:rsid w:val="004C6D39"/>
    <w:rsid w:val="004C6D98"/>
    <w:rsid w:val="004C7217"/>
    <w:rsid w:val="004C75B5"/>
    <w:rsid w:val="004C7743"/>
    <w:rsid w:val="004C77A7"/>
    <w:rsid w:val="004C7DBE"/>
    <w:rsid w:val="004C7F57"/>
    <w:rsid w:val="004D032B"/>
    <w:rsid w:val="004D039E"/>
    <w:rsid w:val="004D04A3"/>
    <w:rsid w:val="004D0C9F"/>
    <w:rsid w:val="004D15FD"/>
    <w:rsid w:val="004D2369"/>
    <w:rsid w:val="004D2485"/>
    <w:rsid w:val="004D2998"/>
    <w:rsid w:val="004D3A57"/>
    <w:rsid w:val="004D3B2A"/>
    <w:rsid w:val="004D47FF"/>
    <w:rsid w:val="004D4D35"/>
    <w:rsid w:val="004D518F"/>
    <w:rsid w:val="004D54D7"/>
    <w:rsid w:val="004D5BB7"/>
    <w:rsid w:val="004D6053"/>
    <w:rsid w:val="004D61EF"/>
    <w:rsid w:val="004D6FA4"/>
    <w:rsid w:val="004D7C23"/>
    <w:rsid w:val="004D7EBE"/>
    <w:rsid w:val="004E01C6"/>
    <w:rsid w:val="004E0212"/>
    <w:rsid w:val="004E0ADC"/>
    <w:rsid w:val="004E0FB1"/>
    <w:rsid w:val="004E1043"/>
    <w:rsid w:val="004E1DCA"/>
    <w:rsid w:val="004E1F76"/>
    <w:rsid w:val="004E21B4"/>
    <w:rsid w:val="004E252B"/>
    <w:rsid w:val="004E2861"/>
    <w:rsid w:val="004E2A85"/>
    <w:rsid w:val="004E2C09"/>
    <w:rsid w:val="004E3F72"/>
    <w:rsid w:val="004E4A78"/>
    <w:rsid w:val="004E551E"/>
    <w:rsid w:val="004E58F6"/>
    <w:rsid w:val="004E5D27"/>
    <w:rsid w:val="004E5E37"/>
    <w:rsid w:val="004E5E4C"/>
    <w:rsid w:val="004E623E"/>
    <w:rsid w:val="004E672D"/>
    <w:rsid w:val="004E6CF9"/>
    <w:rsid w:val="004E734E"/>
    <w:rsid w:val="004E7EC0"/>
    <w:rsid w:val="004E7F48"/>
    <w:rsid w:val="004F014E"/>
    <w:rsid w:val="004F0BC6"/>
    <w:rsid w:val="004F1123"/>
    <w:rsid w:val="004F1715"/>
    <w:rsid w:val="004F17DA"/>
    <w:rsid w:val="004F184C"/>
    <w:rsid w:val="004F2927"/>
    <w:rsid w:val="004F3BD2"/>
    <w:rsid w:val="004F4372"/>
    <w:rsid w:val="004F43E0"/>
    <w:rsid w:val="004F45EB"/>
    <w:rsid w:val="004F521B"/>
    <w:rsid w:val="004F52BB"/>
    <w:rsid w:val="004F53BF"/>
    <w:rsid w:val="004F5582"/>
    <w:rsid w:val="004F59B8"/>
    <w:rsid w:val="004F5BD9"/>
    <w:rsid w:val="004F62A7"/>
    <w:rsid w:val="004F62F9"/>
    <w:rsid w:val="004F66B3"/>
    <w:rsid w:val="004F674C"/>
    <w:rsid w:val="004F7352"/>
    <w:rsid w:val="004F7EE2"/>
    <w:rsid w:val="0050015C"/>
    <w:rsid w:val="00500418"/>
    <w:rsid w:val="00500CCF"/>
    <w:rsid w:val="00500E62"/>
    <w:rsid w:val="005010DE"/>
    <w:rsid w:val="005011FD"/>
    <w:rsid w:val="0050164B"/>
    <w:rsid w:val="00502958"/>
    <w:rsid w:val="00502BD2"/>
    <w:rsid w:val="00502DA4"/>
    <w:rsid w:val="00503F83"/>
    <w:rsid w:val="0050421C"/>
    <w:rsid w:val="00504A9B"/>
    <w:rsid w:val="00504E9A"/>
    <w:rsid w:val="00504F83"/>
    <w:rsid w:val="005059B9"/>
    <w:rsid w:val="00505F64"/>
    <w:rsid w:val="0050618E"/>
    <w:rsid w:val="00506DCD"/>
    <w:rsid w:val="00507325"/>
    <w:rsid w:val="00507C56"/>
    <w:rsid w:val="00507F13"/>
    <w:rsid w:val="00510809"/>
    <w:rsid w:val="005109D4"/>
    <w:rsid w:val="00510CF4"/>
    <w:rsid w:val="0051160A"/>
    <w:rsid w:val="005118BA"/>
    <w:rsid w:val="00512D87"/>
    <w:rsid w:val="005130DA"/>
    <w:rsid w:val="00513998"/>
    <w:rsid w:val="00513DDA"/>
    <w:rsid w:val="00513E19"/>
    <w:rsid w:val="005148B4"/>
    <w:rsid w:val="00514B29"/>
    <w:rsid w:val="00514C19"/>
    <w:rsid w:val="005152B1"/>
    <w:rsid w:val="005152F0"/>
    <w:rsid w:val="00515856"/>
    <w:rsid w:val="005163E6"/>
    <w:rsid w:val="005167B6"/>
    <w:rsid w:val="005172EC"/>
    <w:rsid w:val="0051740D"/>
    <w:rsid w:val="00517888"/>
    <w:rsid w:val="005178CE"/>
    <w:rsid w:val="00521CAB"/>
    <w:rsid w:val="0052200B"/>
    <w:rsid w:val="005224EF"/>
    <w:rsid w:val="00522654"/>
    <w:rsid w:val="00522835"/>
    <w:rsid w:val="0052293D"/>
    <w:rsid w:val="00522AF4"/>
    <w:rsid w:val="00522B93"/>
    <w:rsid w:val="00523499"/>
    <w:rsid w:val="00523BC7"/>
    <w:rsid w:val="00523C08"/>
    <w:rsid w:val="00523C10"/>
    <w:rsid w:val="005245D5"/>
    <w:rsid w:val="005246AC"/>
    <w:rsid w:val="00524889"/>
    <w:rsid w:val="0052575D"/>
    <w:rsid w:val="00525A53"/>
    <w:rsid w:val="00525C1F"/>
    <w:rsid w:val="00526569"/>
    <w:rsid w:val="00526726"/>
    <w:rsid w:val="00527256"/>
    <w:rsid w:val="00527B57"/>
    <w:rsid w:val="00527C8D"/>
    <w:rsid w:val="0053021B"/>
    <w:rsid w:val="00530AC4"/>
    <w:rsid w:val="00532115"/>
    <w:rsid w:val="0053265B"/>
    <w:rsid w:val="00533169"/>
    <w:rsid w:val="00533194"/>
    <w:rsid w:val="005332C8"/>
    <w:rsid w:val="00533E7D"/>
    <w:rsid w:val="0053464E"/>
    <w:rsid w:val="005346C8"/>
    <w:rsid w:val="005352C8"/>
    <w:rsid w:val="005354C1"/>
    <w:rsid w:val="00535F99"/>
    <w:rsid w:val="00536356"/>
    <w:rsid w:val="00536CBB"/>
    <w:rsid w:val="00536DDD"/>
    <w:rsid w:val="00537033"/>
    <w:rsid w:val="00537085"/>
    <w:rsid w:val="00540630"/>
    <w:rsid w:val="00540A37"/>
    <w:rsid w:val="00540B49"/>
    <w:rsid w:val="005418DB"/>
    <w:rsid w:val="00543423"/>
    <w:rsid w:val="005434EA"/>
    <w:rsid w:val="00545D55"/>
    <w:rsid w:val="005461AB"/>
    <w:rsid w:val="00546C6A"/>
    <w:rsid w:val="00546FBA"/>
    <w:rsid w:val="0054782D"/>
    <w:rsid w:val="00547F04"/>
    <w:rsid w:val="00550924"/>
    <w:rsid w:val="00550D63"/>
    <w:rsid w:val="00550EF1"/>
    <w:rsid w:val="00551075"/>
    <w:rsid w:val="005513C8"/>
    <w:rsid w:val="0055248E"/>
    <w:rsid w:val="0055352C"/>
    <w:rsid w:val="00553672"/>
    <w:rsid w:val="005538A6"/>
    <w:rsid w:val="00554F94"/>
    <w:rsid w:val="00555161"/>
    <w:rsid w:val="0055555A"/>
    <w:rsid w:val="00555828"/>
    <w:rsid w:val="00555DE6"/>
    <w:rsid w:val="00555EB3"/>
    <w:rsid w:val="005567F6"/>
    <w:rsid w:val="00556E29"/>
    <w:rsid w:val="00557474"/>
    <w:rsid w:val="005575C9"/>
    <w:rsid w:val="00557DAA"/>
    <w:rsid w:val="00557DAD"/>
    <w:rsid w:val="00561138"/>
    <w:rsid w:val="00561699"/>
    <w:rsid w:val="0056194F"/>
    <w:rsid w:val="005619E1"/>
    <w:rsid w:val="00562629"/>
    <w:rsid w:val="005628FE"/>
    <w:rsid w:val="0056330E"/>
    <w:rsid w:val="0056364B"/>
    <w:rsid w:val="00564191"/>
    <w:rsid w:val="00564557"/>
    <w:rsid w:val="0056458C"/>
    <w:rsid w:val="00564628"/>
    <w:rsid w:val="005648B9"/>
    <w:rsid w:val="00564A3C"/>
    <w:rsid w:val="00564F82"/>
    <w:rsid w:val="005653AF"/>
    <w:rsid w:val="00565501"/>
    <w:rsid w:val="00565755"/>
    <w:rsid w:val="0056601E"/>
    <w:rsid w:val="00566406"/>
    <w:rsid w:val="00566538"/>
    <w:rsid w:val="0056725A"/>
    <w:rsid w:val="0056741F"/>
    <w:rsid w:val="00567647"/>
    <w:rsid w:val="0056781B"/>
    <w:rsid w:val="00567BE2"/>
    <w:rsid w:val="00570102"/>
    <w:rsid w:val="005701C1"/>
    <w:rsid w:val="00570505"/>
    <w:rsid w:val="005712E6"/>
    <w:rsid w:val="00572942"/>
    <w:rsid w:val="005730DB"/>
    <w:rsid w:val="00573251"/>
    <w:rsid w:val="005733A8"/>
    <w:rsid w:val="00573B5B"/>
    <w:rsid w:val="00573F55"/>
    <w:rsid w:val="0057540E"/>
    <w:rsid w:val="005757B6"/>
    <w:rsid w:val="00576EB8"/>
    <w:rsid w:val="0058000F"/>
    <w:rsid w:val="00580557"/>
    <w:rsid w:val="0058074F"/>
    <w:rsid w:val="005808F3"/>
    <w:rsid w:val="00580A76"/>
    <w:rsid w:val="00581042"/>
    <w:rsid w:val="00581703"/>
    <w:rsid w:val="00581B15"/>
    <w:rsid w:val="00581E18"/>
    <w:rsid w:val="005821DD"/>
    <w:rsid w:val="00582E42"/>
    <w:rsid w:val="00583908"/>
    <w:rsid w:val="005842FB"/>
    <w:rsid w:val="00584757"/>
    <w:rsid w:val="00584E21"/>
    <w:rsid w:val="005856D5"/>
    <w:rsid w:val="0058608B"/>
    <w:rsid w:val="005863C1"/>
    <w:rsid w:val="0058654D"/>
    <w:rsid w:val="00586786"/>
    <w:rsid w:val="00587729"/>
    <w:rsid w:val="00587883"/>
    <w:rsid w:val="00587886"/>
    <w:rsid w:val="00587A66"/>
    <w:rsid w:val="00590147"/>
    <w:rsid w:val="00590BD1"/>
    <w:rsid w:val="00590D26"/>
    <w:rsid w:val="00591276"/>
    <w:rsid w:val="00591490"/>
    <w:rsid w:val="0059151A"/>
    <w:rsid w:val="005916C9"/>
    <w:rsid w:val="00591769"/>
    <w:rsid w:val="00591C7E"/>
    <w:rsid w:val="00591DCF"/>
    <w:rsid w:val="005929B4"/>
    <w:rsid w:val="00592A3C"/>
    <w:rsid w:val="0059367F"/>
    <w:rsid w:val="00593720"/>
    <w:rsid w:val="00593909"/>
    <w:rsid w:val="00593A71"/>
    <w:rsid w:val="005941E1"/>
    <w:rsid w:val="005943E2"/>
    <w:rsid w:val="005946A0"/>
    <w:rsid w:val="00594B8A"/>
    <w:rsid w:val="00595009"/>
    <w:rsid w:val="005954B7"/>
    <w:rsid w:val="00595A05"/>
    <w:rsid w:val="00595F17"/>
    <w:rsid w:val="00595F3D"/>
    <w:rsid w:val="00595F89"/>
    <w:rsid w:val="00596873"/>
    <w:rsid w:val="00596BB3"/>
    <w:rsid w:val="00596BD4"/>
    <w:rsid w:val="00596FA8"/>
    <w:rsid w:val="005971A7"/>
    <w:rsid w:val="00597310"/>
    <w:rsid w:val="005977AB"/>
    <w:rsid w:val="005A01C5"/>
    <w:rsid w:val="005A0201"/>
    <w:rsid w:val="005A0532"/>
    <w:rsid w:val="005A07E7"/>
    <w:rsid w:val="005A0A57"/>
    <w:rsid w:val="005A0B9F"/>
    <w:rsid w:val="005A0DBB"/>
    <w:rsid w:val="005A0EBD"/>
    <w:rsid w:val="005A1270"/>
    <w:rsid w:val="005A1295"/>
    <w:rsid w:val="005A150B"/>
    <w:rsid w:val="005A1FBF"/>
    <w:rsid w:val="005A2081"/>
    <w:rsid w:val="005A23B2"/>
    <w:rsid w:val="005A29B1"/>
    <w:rsid w:val="005A2EBF"/>
    <w:rsid w:val="005A380B"/>
    <w:rsid w:val="005A4890"/>
    <w:rsid w:val="005A49D4"/>
    <w:rsid w:val="005A4D7C"/>
    <w:rsid w:val="005A51C9"/>
    <w:rsid w:val="005A5DC0"/>
    <w:rsid w:val="005A6B6D"/>
    <w:rsid w:val="005A6F0E"/>
    <w:rsid w:val="005A6F57"/>
    <w:rsid w:val="005A7079"/>
    <w:rsid w:val="005A7235"/>
    <w:rsid w:val="005A795B"/>
    <w:rsid w:val="005A7A1A"/>
    <w:rsid w:val="005A7BAF"/>
    <w:rsid w:val="005B0652"/>
    <w:rsid w:val="005B1213"/>
    <w:rsid w:val="005B1329"/>
    <w:rsid w:val="005B1512"/>
    <w:rsid w:val="005B1B55"/>
    <w:rsid w:val="005B1DBD"/>
    <w:rsid w:val="005B2769"/>
    <w:rsid w:val="005B3EBD"/>
    <w:rsid w:val="005B48E8"/>
    <w:rsid w:val="005B56D9"/>
    <w:rsid w:val="005B5BA3"/>
    <w:rsid w:val="005B5E62"/>
    <w:rsid w:val="005B727B"/>
    <w:rsid w:val="005B7341"/>
    <w:rsid w:val="005B778C"/>
    <w:rsid w:val="005B7E97"/>
    <w:rsid w:val="005B7F46"/>
    <w:rsid w:val="005C09A7"/>
    <w:rsid w:val="005C102D"/>
    <w:rsid w:val="005C132C"/>
    <w:rsid w:val="005C17FB"/>
    <w:rsid w:val="005C1833"/>
    <w:rsid w:val="005C1838"/>
    <w:rsid w:val="005C18C2"/>
    <w:rsid w:val="005C1D93"/>
    <w:rsid w:val="005C2063"/>
    <w:rsid w:val="005C244F"/>
    <w:rsid w:val="005C2767"/>
    <w:rsid w:val="005C2922"/>
    <w:rsid w:val="005C2F60"/>
    <w:rsid w:val="005C323D"/>
    <w:rsid w:val="005C3772"/>
    <w:rsid w:val="005C39C3"/>
    <w:rsid w:val="005C4229"/>
    <w:rsid w:val="005C4580"/>
    <w:rsid w:val="005C5065"/>
    <w:rsid w:val="005C52F3"/>
    <w:rsid w:val="005C564C"/>
    <w:rsid w:val="005C609E"/>
    <w:rsid w:val="005C6234"/>
    <w:rsid w:val="005C6605"/>
    <w:rsid w:val="005C71A0"/>
    <w:rsid w:val="005C751C"/>
    <w:rsid w:val="005C7802"/>
    <w:rsid w:val="005C7B50"/>
    <w:rsid w:val="005C7E73"/>
    <w:rsid w:val="005D029E"/>
    <w:rsid w:val="005D0427"/>
    <w:rsid w:val="005D0776"/>
    <w:rsid w:val="005D07AE"/>
    <w:rsid w:val="005D0B55"/>
    <w:rsid w:val="005D0C83"/>
    <w:rsid w:val="005D113B"/>
    <w:rsid w:val="005D1732"/>
    <w:rsid w:val="005D1BAC"/>
    <w:rsid w:val="005D2D9A"/>
    <w:rsid w:val="005D3A6E"/>
    <w:rsid w:val="005D3B21"/>
    <w:rsid w:val="005D4019"/>
    <w:rsid w:val="005D41DC"/>
    <w:rsid w:val="005D42BC"/>
    <w:rsid w:val="005D43C3"/>
    <w:rsid w:val="005D460F"/>
    <w:rsid w:val="005D4638"/>
    <w:rsid w:val="005D4D7D"/>
    <w:rsid w:val="005D4DC5"/>
    <w:rsid w:val="005D5C22"/>
    <w:rsid w:val="005D5E6C"/>
    <w:rsid w:val="005D63A9"/>
    <w:rsid w:val="005D65D5"/>
    <w:rsid w:val="005D6C56"/>
    <w:rsid w:val="005D6F49"/>
    <w:rsid w:val="005D7E8A"/>
    <w:rsid w:val="005E06FA"/>
    <w:rsid w:val="005E11A5"/>
    <w:rsid w:val="005E13D4"/>
    <w:rsid w:val="005E1435"/>
    <w:rsid w:val="005E21F3"/>
    <w:rsid w:val="005E235C"/>
    <w:rsid w:val="005E3078"/>
    <w:rsid w:val="005E34C0"/>
    <w:rsid w:val="005E3D71"/>
    <w:rsid w:val="005E44F1"/>
    <w:rsid w:val="005E49CA"/>
    <w:rsid w:val="005E5427"/>
    <w:rsid w:val="005E5428"/>
    <w:rsid w:val="005E5A7C"/>
    <w:rsid w:val="005E5C33"/>
    <w:rsid w:val="005E5F53"/>
    <w:rsid w:val="005E6976"/>
    <w:rsid w:val="005E6E12"/>
    <w:rsid w:val="005E70CD"/>
    <w:rsid w:val="005E74B3"/>
    <w:rsid w:val="005E74EC"/>
    <w:rsid w:val="005E7AB6"/>
    <w:rsid w:val="005E7B1E"/>
    <w:rsid w:val="005E7CBC"/>
    <w:rsid w:val="005F0A62"/>
    <w:rsid w:val="005F0FA8"/>
    <w:rsid w:val="005F1C5D"/>
    <w:rsid w:val="005F222B"/>
    <w:rsid w:val="005F2317"/>
    <w:rsid w:val="005F2550"/>
    <w:rsid w:val="005F297E"/>
    <w:rsid w:val="005F2B2D"/>
    <w:rsid w:val="005F2D9C"/>
    <w:rsid w:val="005F2FA3"/>
    <w:rsid w:val="005F2FD5"/>
    <w:rsid w:val="005F340A"/>
    <w:rsid w:val="005F3AE8"/>
    <w:rsid w:val="005F3B09"/>
    <w:rsid w:val="005F3B47"/>
    <w:rsid w:val="005F47C1"/>
    <w:rsid w:val="005F4926"/>
    <w:rsid w:val="005F4B6F"/>
    <w:rsid w:val="005F5009"/>
    <w:rsid w:val="005F5054"/>
    <w:rsid w:val="005F530F"/>
    <w:rsid w:val="005F65D9"/>
    <w:rsid w:val="005F6768"/>
    <w:rsid w:val="005F69CF"/>
    <w:rsid w:val="005F6E39"/>
    <w:rsid w:val="005F6E41"/>
    <w:rsid w:val="005F6E58"/>
    <w:rsid w:val="005F704C"/>
    <w:rsid w:val="005F7A22"/>
    <w:rsid w:val="005F7B9D"/>
    <w:rsid w:val="00600501"/>
    <w:rsid w:val="00600570"/>
    <w:rsid w:val="006006CD"/>
    <w:rsid w:val="00600B0C"/>
    <w:rsid w:val="00601078"/>
    <w:rsid w:val="00602543"/>
    <w:rsid w:val="0060254C"/>
    <w:rsid w:val="00602DFA"/>
    <w:rsid w:val="006031D1"/>
    <w:rsid w:val="006033BF"/>
    <w:rsid w:val="00603702"/>
    <w:rsid w:val="00603B4B"/>
    <w:rsid w:val="00603F20"/>
    <w:rsid w:val="006042BD"/>
    <w:rsid w:val="00604A11"/>
    <w:rsid w:val="00604F37"/>
    <w:rsid w:val="0060508A"/>
    <w:rsid w:val="006055AF"/>
    <w:rsid w:val="00605942"/>
    <w:rsid w:val="00605C9F"/>
    <w:rsid w:val="00606814"/>
    <w:rsid w:val="006068E8"/>
    <w:rsid w:val="00606ADB"/>
    <w:rsid w:val="006072DE"/>
    <w:rsid w:val="006075F4"/>
    <w:rsid w:val="006078A8"/>
    <w:rsid w:val="00607BAD"/>
    <w:rsid w:val="00607EC7"/>
    <w:rsid w:val="0061048A"/>
    <w:rsid w:val="006104F8"/>
    <w:rsid w:val="00610AE7"/>
    <w:rsid w:val="00610BEE"/>
    <w:rsid w:val="00611178"/>
    <w:rsid w:val="0061148D"/>
    <w:rsid w:val="00611D01"/>
    <w:rsid w:val="006124B3"/>
    <w:rsid w:val="00612611"/>
    <w:rsid w:val="0061279A"/>
    <w:rsid w:val="00613009"/>
    <w:rsid w:val="006132EA"/>
    <w:rsid w:val="0061401C"/>
    <w:rsid w:val="0061420B"/>
    <w:rsid w:val="00614931"/>
    <w:rsid w:val="00614D33"/>
    <w:rsid w:val="0061537D"/>
    <w:rsid w:val="0061537F"/>
    <w:rsid w:val="00615DEA"/>
    <w:rsid w:val="00616A60"/>
    <w:rsid w:val="00616EE6"/>
    <w:rsid w:val="006171FB"/>
    <w:rsid w:val="00617A2A"/>
    <w:rsid w:val="00620324"/>
    <w:rsid w:val="006207F4"/>
    <w:rsid w:val="00620C67"/>
    <w:rsid w:val="00621646"/>
    <w:rsid w:val="00621803"/>
    <w:rsid w:val="006220F1"/>
    <w:rsid w:val="00623C68"/>
    <w:rsid w:val="00623E46"/>
    <w:rsid w:val="00624604"/>
    <w:rsid w:val="00624D2C"/>
    <w:rsid w:val="00624EF1"/>
    <w:rsid w:val="00625145"/>
    <w:rsid w:val="00627402"/>
    <w:rsid w:val="00630480"/>
    <w:rsid w:val="0063058E"/>
    <w:rsid w:val="006305F8"/>
    <w:rsid w:val="00631DA7"/>
    <w:rsid w:val="00632B9C"/>
    <w:rsid w:val="00632F18"/>
    <w:rsid w:val="006332D7"/>
    <w:rsid w:val="0063333D"/>
    <w:rsid w:val="00634225"/>
    <w:rsid w:val="00635003"/>
    <w:rsid w:val="006351CE"/>
    <w:rsid w:val="006352FD"/>
    <w:rsid w:val="00635B15"/>
    <w:rsid w:val="006362E1"/>
    <w:rsid w:val="006367DA"/>
    <w:rsid w:val="006369AE"/>
    <w:rsid w:val="00636FAD"/>
    <w:rsid w:val="006370E1"/>
    <w:rsid w:val="006375B2"/>
    <w:rsid w:val="006375BB"/>
    <w:rsid w:val="006379DE"/>
    <w:rsid w:val="006407FE"/>
    <w:rsid w:val="006409EE"/>
    <w:rsid w:val="00640BF7"/>
    <w:rsid w:val="00640C7D"/>
    <w:rsid w:val="00640E7E"/>
    <w:rsid w:val="00640FFF"/>
    <w:rsid w:val="00641761"/>
    <w:rsid w:val="006421D9"/>
    <w:rsid w:val="006424FE"/>
    <w:rsid w:val="006425FC"/>
    <w:rsid w:val="00642631"/>
    <w:rsid w:val="00642C3C"/>
    <w:rsid w:val="00642DF5"/>
    <w:rsid w:val="00642E3A"/>
    <w:rsid w:val="0064304A"/>
    <w:rsid w:val="0064329C"/>
    <w:rsid w:val="0064380B"/>
    <w:rsid w:val="00643A4F"/>
    <w:rsid w:val="00643FF5"/>
    <w:rsid w:val="006441FD"/>
    <w:rsid w:val="00644E5A"/>
    <w:rsid w:val="00644F2C"/>
    <w:rsid w:val="00645141"/>
    <w:rsid w:val="00645AEE"/>
    <w:rsid w:val="00646428"/>
    <w:rsid w:val="0064707F"/>
    <w:rsid w:val="006471E8"/>
    <w:rsid w:val="00647E90"/>
    <w:rsid w:val="00647FA3"/>
    <w:rsid w:val="006500F7"/>
    <w:rsid w:val="00650769"/>
    <w:rsid w:val="00650DF8"/>
    <w:rsid w:val="006516B7"/>
    <w:rsid w:val="006518E4"/>
    <w:rsid w:val="00651FB8"/>
    <w:rsid w:val="00652BA0"/>
    <w:rsid w:val="00652DF6"/>
    <w:rsid w:val="00652FCA"/>
    <w:rsid w:val="00653045"/>
    <w:rsid w:val="00653A25"/>
    <w:rsid w:val="00653D93"/>
    <w:rsid w:val="00653FDA"/>
    <w:rsid w:val="006541A0"/>
    <w:rsid w:val="00654E99"/>
    <w:rsid w:val="00655104"/>
    <w:rsid w:val="0065548F"/>
    <w:rsid w:val="0065558B"/>
    <w:rsid w:val="00655633"/>
    <w:rsid w:val="006559BB"/>
    <w:rsid w:val="00655A93"/>
    <w:rsid w:val="00655D93"/>
    <w:rsid w:val="00655E86"/>
    <w:rsid w:val="00656614"/>
    <w:rsid w:val="00656C4D"/>
    <w:rsid w:val="006577CD"/>
    <w:rsid w:val="006578A6"/>
    <w:rsid w:val="00657CCC"/>
    <w:rsid w:val="00660162"/>
    <w:rsid w:val="0066036D"/>
    <w:rsid w:val="006604FA"/>
    <w:rsid w:val="00660879"/>
    <w:rsid w:val="00661639"/>
    <w:rsid w:val="0066174D"/>
    <w:rsid w:val="00661E36"/>
    <w:rsid w:val="00661F03"/>
    <w:rsid w:val="006631D3"/>
    <w:rsid w:val="00663D0F"/>
    <w:rsid w:val="00664525"/>
    <w:rsid w:val="0066465B"/>
    <w:rsid w:val="00664C81"/>
    <w:rsid w:val="0066521A"/>
    <w:rsid w:val="0066540C"/>
    <w:rsid w:val="00665EAE"/>
    <w:rsid w:val="006661EA"/>
    <w:rsid w:val="00666909"/>
    <w:rsid w:val="00666EBC"/>
    <w:rsid w:val="00667034"/>
    <w:rsid w:val="00667189"/>
    <w:rsid w:val="0066749E"/>
    <w:rsid w:val="00667CCB"/>
    <w:rsid w:val="00667EFD"/>
    <w:rsid w:val="00670475"/>
    <w:rsid w:val="00670B8C"/>
    <w:rsid w:val="00670C4A"/>
    <w:rsid w:val="00671F3E"/>
    <w:rsid w:val="00672482"/>
    <w:rsid w:val="00672A18"/>
    <w:rsid w:val="006735D0"/>
    <w:rsid w:val="006739E9"/>
    <w:rsid w:val="00674AF5"/>
    <w:rsid w:val="00674D52"/>
    <w:rsid w:val="00674F93"/>
    <w:rsid w:val="0067546F"/>
    <w:rsid w:val="00675A94"/>
    <w:rsid w:val="00676CE4"/>
    <w:rsid w:val="00676EC2"/>
    <w:rsid w:val="00676FA5"/>
    <w:rsid w:val="006771A4"/>
    <w:rsid w:val="006771AD"/>
    <w:rsid w:val="006774A8"/>
    <w:rsid w:val="00677572"/>
    <w:rsid w:val="00681229"/>
    <w:rsid w:val="0068185E"/>
    <w:rsid w:val="00681BE5"/>
    <w:rsid w:val="00681E30"/>
    <w:rsid w:val="0068379B"/>
    <w:rsid w:val="00683D98"/>
    <w:rsid w:val="00683D99"/>
    <w:rsid w:val="00683E23"/>
    <w:rsid w:val="00684079"/>
    <w:rsid w:val="0068629B"/>
    <w:rsid w:val="00686C12"/>
    <w:rsid w:val="00686D75"/>
    <w:rsid w:val="0068736A"/>
    <w:rsid w:val="00687D17"/>
    <w:rsid w:val="00690024"/>
    <w:rsid w:val="0069017D"/>
    <w:rsid w:val="006903A4"/>
    <w:rsid w:val="00690883"/>
    <w:rsid w:val="00690CAA"/>
    <w:rsid w:val="00690E5A"/>
    <w:rsid w:val="00690EFB"/>
    <w:rsid w:val="006911F9"/>
    <w:rsid w:val="006912CB"/>
    <w:rsid w:val="0069137B"/>
    <w:rsid w:val="006913EC"/>
    <w:rsid w:val="006914B7"/>
    <w:rsid w:val="00691742"/>
    <w:rsid w:val="00691DEE"/>
    <w:rsid w:val="00692147"/>
    <w:rsid w:val="00692242"/>
    <w:rsid w:val="0069236E"/>
    <w:rsid w:val="00692704"/>
    <w:rsid w:val="00692B26"/>
    <w:rsid w:val="00692E67"/>
    <w:rsid w:val="00693ACF"/>
    <w:rsid w:val="00693EE5"/>
    <w:rsid w:val="00693FBC"/>
    <w:rsid w:val="006944C5"/>
    <w:rsid w:val="00694A7E"/>
    <w:rsid w:val="00694B8D"/>
    <w:rsid w:val="0069561C"/>
    <w:rsid w:val="00695634"/>
    <w:rsid w:val="0069600D"/>
    <w:rsid w:val="00696143"/>
    <w:rsid w:val="006963AE"/>
    <w:rsid w:val="0069640F"/>
    <w:rsid w:val="00696B07"/>
    <w:rsid w:val="00697021"/>
    <w:rsid w:val="00697053"/>
    <w:rsid w:val="006A066A"/>
    <w:rsid w:val="006A06CA"/>
    <w:rsid w:val="006A083E"/>
    <w:rsid w:val="006A0FFD"/>
    <w:rsid w:val="006A1170"/>
    <w:rsid w:val="006A14A3"/>
    <w:rsid w:val="006A159D"/>
    <w:rsid w:val="006A18BF"/>
    <w:rsid w:val="006A1F58"/>
    <w:rsid w:val="006A242E"/>
    <w:rsid w:val="006A26AB"/>
    <w:rsid w:val="006A298D"/>
    <w:rsid w:val="006A2F80"/>
    <w:rsid w:val="006A3FD6"/>
    <w:rsid w:val="006A4076"/>
    <w:rsid w:val="006A436F"/>
    <w:rsid w:val="006A4E5B"/>
    <w:rsid w:val="006A59D8"/>
    <w:rsid w:val="006A5A45"/>
    <w:rsid w:val="006A5C13"/>
    <w:rsid w:val="006A608E"/>
    <w:rsid w:val="006A6B7B"/>
    <w:rsid w:val="006A6CE2"/>
    <w:rsid w:val="006A73D2"/>
    <w:rsid w:val="006A78F8"/>
    <w:rsid w:val="006A7991"/>
    <w:rsid w:val="006A7C26"/>
    <w:rsid w:val="006A7E27"/>
    <w:rsid w:val="006B010E"/>
    <w:rsid w:val="006B091F"/>
    <w:rsid w:val="006B0CAF"/>
    <w:rsid w:val="006B0ED0"/>
    <w:rsid w:val="006B0EED"/>
    <w:rsid w:val="006B147E"/>
    <w:rsid w:val="006B1DF6"/>
    <w:rsid w:val="006B2101"/>
    <w:rsid w:val="006B233F"/>
    <w:rsid w:val="006B275E"/>
    <w:rsid w:val="006B28EA"/>
    <w:rsid w:val="006B2DA3"/>
    <w:rsid w:val="006B2FBB"/>
    <w:rsid w:val="006B378A"/>
    <w:rsid w:val="006B3BD5"/>
    <w:rsid w:val="006B4185"/>
    <w:rsid w:val="006B4224"/>
    <w:rsid w:val="006B4493"/>
    <w:rsid w:val="006B4B62"/>
    <w:rsid w:val="006B53DC"/>
    <w:rsid w:val="006B5423"/>
    <w:rsid w:val="006B5855"/>
    <w:rsid w:val="006B5AB2"/>
    <w:rsid w:val="006B5C67"/>
    <w:rsid w:val="006B6B5D"/>
    <w:rsid w:val="006B6C0D"/>
    <w:rsid w:val="006B7825"/>
    <w:rsid w:val="006B7D68"/>
    <w:rsid w:val="006C023D"/>
    <w:rsid w:val="006C033F"/>
    <w:rsid w:val="006C1818"/>
    <w:rsid w:val="006C1F8B"/>
    <w:rsid w:val="006C2721"/>
    <w:rsid w:val="006C323A"/>
    <w:rsid w:val="006C3868"/>
    <w:rsid w:val="006C38FF"/>
    <w:rsid w:val="006C39EC"/>
    <w:rsid w:val="006C3E6E"/>
    <w:rsid w:val="006C3EEA"/>
    <w:rsid w:val="006C43A6"/>
    <w:rsid w:val="006C44EC"/>
    <w:rsid w:val="006C4A4A"/>
    <w:rsid w:val="006C53EB"/>
    <w:rsid w:val="006C5D29"/>
    <w:rsid w:val="006C650D"/>
    <w:rsid w:val="006C69A5"/>
    <w:rsid w:val="006C6A4D"/>
    <w:rsid w:val="006C6CF3"/>
    <w:rsid w:val="006C7740"/>
    <w:rsid w:val="006D0389"/>
    <w:rsid w:val="006D0848"/>
    <w:rsid w:val="006D0BA5"/>
    <w:rsid w:val="006D0C15"/>
    <w:rsid w:val="006D0D8B"/>
    <w:rsid w:val="006D0FBF"/>
    <w:rsid w:val="006D10DC"/>
    <w:rsid w:val="006D1586"/>
    <w:rsid w:val="006D19C1"/>
    <w:rsid w:val="006D2827"/>
    <w:rsid w:val="006D2848"/>
    <w:rsid w:val="006D2B19"/>
    <w:rsid w:val="006D2EC9"/>
    <w:rsid w:val="006D3A05"/>
    <w:rsid w:val="006D3B62"/>
    <w:rsid w:val="006D3FDF"/>
    <w:rsid w:val="006D4527"/>
    <w:rsid w:val="006D4B05"/>
    <w:rsid w:val="006D4EE5"/>
    <w:rsid w:val="006D4F86"/>
    <w:rsid w:val="006D52B4"/>
    <w:rsid w:val="006D5F98"/>
    <w:rsid w:val="006D6665"/>
    <w:rsid w:val="006D7098"/>
    <w:rsid w:val="006D740E"/>
    <w:rsid w:val="006D7C8A"/>
    <w:rsid w:val="006D7F1F"/>
    <w:rsid w:val="006D7F72"/>
    <w:rsid w:val="006E00B7"/>
    <w:rsid w:val="006E0CB5"/>
    <w:rsid w:val="006E0E5B"/>
    <w:rsid w:val="006E132F"/>
    <w:rsid w:val="006E2701"/>
    <w:rsid w:val="006E3023"/>
    <w:rsid w:val="006E3369"/>
    <w:rsid w:val="006E3D12"/>
    <w:rsid w:val="006E449C"/>
    <w:rsid w:val="006E4726"/>
    <w:rsid w:val="006E4E72"/>
    <w:rsid w:val="006E4FCD"/>
    <w:rsid w:val="006E50D0"/>
    <w:rsid w:val="006E5B0B"/>
    <w:rsid w:val="006E663E"/>
    <w:rsid w:val="006E6655"/>
    <w:rsid w:val="006E6EDF"/>
    <w:rsid w:val="006E7BA5"/>
    <w:rsid w:val="006F01E8"/>
    <w:rsid w:val="006F02D7"/>
    <w:rsid w:val="006F07FA"/>
    <w:rsid w:val="006F0EBB"/>
    <w:rsid w:val="006F1E96"/>
    <w:rsid w:val="006F2D24"/>
    <w:rsid w:val="006F37F7"/>
    <w:rsid w:val="006F38C3"/>
    <w:rsid w:val="006F3909"/>
    <w:rsid w:val="006F4036"/>
    <w:rsid w:val="006F428E"/>
    <w:rsid w:val="006F48E1"/>
    <w:rsid w:val="006F5160"/>
    <w:rsid w:val="006F5374"/>
    <w:rsid w:val="006F60DF"/>
    <w:rsid w:val="006F68C1"/>
    <w:rsid w:val="006F6B60"/>
    <w:rsid w:val="006F6CE2"/>
    <w:rsid w:val="006F6E10"/>
    <w:rsid w:val="006F7800"/>
    <w:rsid w:val="007014F8"/>
    <w:rsid w:val="0070150D"/>
    <w:rsid w:val="007016D2"/>
    <w:rsid w:val="007018D8"/>
    <w:rsid w:val="007029E8"/>
    <w:rsid w:val="00703107"/>
    <w:rsid w:val="00703138"/>
    <w:rsid w:val="00703277"/>
    <w:rsid w:val="0070356D"/>
    <w:rsid w:val="00703981"/>
    <w:rsid w:val="00703D7E"/>
    <w:rsid w:val="00703DE6"/>
    <w:rsid w:val="007041A7"/>
    <w:rsid w:val="0070495F"/>
    <w:rsid w:val="00704B6E"/>
    <w:rsid w:val="00704F73"/>
    <w:rsid w:val="0070508D"/>
    <w:rsid w:val="0070542E"/>
    <w:rsid w:val="00706096"/>
    <w:rsid w:val="007060D4"/>
    <w:rsid w:val="0070624C"/>
    <w:rsid w:val="00706451"/>
    <w:rsid w:val="00707E0F"/>
    <w:rsid w:val="007100F9"/>
    <w:rsid w:val="0071068A"/>
    <w:rsid w:val="00710C14"/>
    <w:rsid w:val="00710E19"/>
    <w:rsid w:val="00710E52"/>
    <w:rsid w:val="0071154B"/>
    <w:rsid w:val="007116B6"/>
    <w:rsid w:val="0071174F"/>
    <w:rsid w:val="0071196A"/>
    <w:rsid w:val="00711C03"/>
    <w:rsid w:val="0071227C"/>
    <w:rsid w:val="007131CF"/>
    <w:rsid w:val="007132CD"/>
    <w:rsid w:val="007133C0"/>
    <w:rsid w:val="00713613"/>
    <w:rsid w:val="007137C6"/>
    <w:rsid w:val="007138FC"/>
    <w:rsid w:val="0071393D"/>
    <w:rsid w:val="00713E79"/>
    <w:rsid w:val="00714245"/>
    <w:rsid w:val="00714C20"/>
    <w:rsid w:val="00715441"/>
    <w:rsid w:val="00715739"/>
    <w:rsid w:val="0071576C"/>
    <w:rsid w:val="00715C94"/>
    <w:rsid w:val="00715EA7"/>
    <w:rsid w:val="00716A09"/>
    <w:rsid w:val="007170DB"/>
    <w:rsid w:val="00717880"/>
    <w:rsid w:val="00717CA8"/>
    <w:rsid w:val="007205E7"/>
    <w:rsid w:val="007209C4"/>
    <w:rsid w:val="00721ACB"/>
    <w:rsid w:val="00721E9E"/>
    <w:rsid w:val="007227FE"/>
    <w:rsid w:val="0072290A"/>
    <w:rsid w:val="007233C3"/>
    <w:rsid w:val="00723C95"/>
    <w:rsid w:val="007244E7"/>
    <w:rsid w:val="0072505F"/>
    <w:rsid w:val="00725B00"/>
    <w:rsid w:val="00725E54"/>
    <w:rsid w:val="0072680C"/>
    <w:rsid w:val="0072698B"/>
    <w:rsid w:val="00726A25"/>
    <w:rsid w:val="00726B3D"/>
    <w:rsid w:val="00726C64"/>
    <w:rsid w:val="00727CBB"/>
    <w:rsid w:val="007310B7"/>
    <w:rsid w:val="00731237"/>
    <w:rsid w:val="0073207E"/>
    <w:rsid w:val="00732664"/>
    <w:rsid w:val="00732A35"/>
    <w:rsid w:val="00732BA7"/>
    <w:rsid w:val="007333EA"/>
    <w:rsid w:val="00733535"/>
    <w:rsid w:val="00733601"/>
    <w:rsid w:val="00733A57"/>
    <w:rsid w:val="00733F36"/>
    <w:rsid w:val="007340CE"/>
    <w:rsid w:val="00734781"/>
    <w:rsid w:val="007349FC"/>
    <w:rsid w:val="00734B6F"/>
    <w:rsid w:val="00735293"/>
    <w:rsid w:val="00735376"/>
    <w:rsid w:val="007363EA"/>
    <w:rsid w:val="00736E06"/>
    <w:rsid w:val="00736E37"/>
    <w:rsid w:val="00737286"/>
    <w:rsid w:val="007373DB"/>
    <w:rsid w:val="00737F27"/>
    <w:rsid w:val="00737FD3"/>
    <w:rsid w:val="007407DB"/>
    <w:rsid w:val="0074085F"/>
    <w:rsid w:val="00740BFC"/>
    <w:rsid w:val="00740F76"/>
    <w:rsid w:val="00741037"/>
    <w:rsid w:val="0074198F"/>
    <w:rsid w:val="007422B3"/>
    <w:rsid w:val="007424BF"/>
    <w:rsid w:val="00742A9B"/>
    <w:rsid w:val="007434BD"/>
    <w:rsid w:val="007435F1"/>
    <w:rsid w:val="00743DDD"/>
    <w:rsid w:val="00744625"/>
    <w:rsid w:val="007446BB"/>
    <w:rsid w:val="00745882"/>
    <w:rsid w:val="00745A04"/>
    <w:rsid w:val="00745A0F"/>
    <w:rsid w:val="00745DFD"/>
    <w:rsid w:val="00746197"/>
    <w:rsid w:val="0074689C"/>
    <w:rsid w:val="00746B3F"/>
    <w:rsid w:val="00747117"/>
    <w:rsid w:val="007479C2"/>
    <w:rsid w:val="00747B0D"/>
    <w:rsid w:val="00750712"/>
    <w:rsid w:val="007511BA"/>
    <w:rsid w:val="00751452"/>
    <w:rsid w:val="00751D06"/>
    <w:rsid w:val="00751D74"/>
    <w:rsid w:val="007521A5"/>
    <w:rsid w:val="00752243"/>
    <w:rsid w:val="007531BA"/>
    <w:rsid w:val="00753959"/>
    <w:rsid w:val="00753DD6"/>
    <w:rsid w:val="00754A4A"/>
    <w:rsid w:val="007567A8"/>
    <w:rsid w:val="00757873"/>
    <w:rsid w:val="00760D1E"/>
    <w:rsid w:val="00760F66"/>
    <w:rsid w:val="00761103"/>
    <w:rsid w:val="007611F8"/>
    <w:rsid w:val="00761200"/>
    <w:rsid w:val="007615F6"/>
    <w:rsid w:val="007618E2"/>
    <w:rsid w:val="00761931"/>
    <w:rsid w:val="00761BD1"/>
    <w:rsid w:val="007627BA"/>
    <w:rsid w:val="0076291E"/>
    <w:rsid w:val="00762D81"/>
    <w:rsid w:val="0076317B"/>
    <w:rsid w:val="007634C7"/>
    <w:rsid w:val="00763CB9"/>
    <w:rsid w:val="007643D5"/>
    <w:rsid w:val="00765366"/>
    <w:rsid w:val="00765614"/>
    <w:rsid w:val="00765914"/>
    <w:rsid w:val="0076614D"/>
    <w:rsid w:val="0076624C"/>
    <w:rsid w:val="0076627D"/>
    <w:rsid w:val="00766304"/>
    <w:rsid w:val="007663AE"/>
    <w:rsid w:val="00767A28"/>
    <w:rsid w:val="00767DD2"/>
    <w:rsid w:val="0077082B"/>
    <w:rsid w:val="00770B12"/>
    <w:rsid w:val="00770E60"/>
    <w:rsid w:val="00771C8F"/>
    <w:rsid w:val="00772019"/>
    <w:rsid w:val="0077266E"/>
    <w:rsid w:val="0077292E"/>
    <w:rsid w:val="007737D8"/>
    <w:rsid w:val="0077391C"/>
    <w:rsid w:val="00773D24"/>
    <w:rsid w:val="00774576"/>
    <w:rsid w:val="0077508A"/>
    <w:rsid w:val="00775567"/>
    <w:rsid w:val="00775E0D"/>
    <w:rsid w:val="00776343"/>
    <w:rsid w:val="00776416"/>
    <w:rsid w:val="00776C7B"/>
    <w:rsid w:val="00776CEF"/>
    <w:rsid w:val="0077790B"/>
    <w:rsid w:val="00777E7E"/>
    <w:rsid w:val="007804DD"/>
    <w:rsid w:val="0078095A"/>
    <w:rsid w:val="00780F3B"/>
    <w:rsid w:val="007816EE"/>
    <w:rsid w:val="00782071"/>
    <w:rsid w:val="00782946"/>
    <w:rsid w:val="00782AB1"/>
    <w:rsid w:val="00782ECD"/>
    <w:rsid w:val="0078363B"/>
    <w:rsid w:val="00783CCF"/>
    <w:rsid w:val="00783F5B"/>
    <w:rsid w:val="00784609"/>
    <w:rsid w:val="00784720"/>
    <w:rsid w:val="0078481D"/>
    <w:rsid w:val="007859FC"/>
    <w:rsid w:val="00785F4C"/>
    <w:rsid w:val="0078609C"/>
    <w:rsid w:val="00786355"/>
    <w:rsid w:val="00787370"/>
    <w:rsid w:val="007874AE"/>
    <w:rsid w:val="0078750B"/>
    <w:rsid w:val="00787F5E"/>
    <w:rsid w:val="0079024D"/>
    <w:rsid w:val="007911B8"/>
    <w:rsid w:val="00791DAE"/>
    <w:rsid w:val="007930E8"/>
    <w:rsid w:val="007935F5"/>
    <w:rsid w:val="00793D04"/>
    <w:rsid w:val="00793F28"/>
    <w:rsid w:val="00793FDB"/>
    <w:rsid w:val="00794252"/>
    <w:rsid w:val="0079439F"/>
    <w:rsid w:val="007944D2"/>
    <w:rsid w:val="00794B19"/>
    <w:rsid w:val="00795B8D"/>
    <w:rsid w:val="00795EB9"/>
    <w:rsid w:val="00795F0E"/>
    <w:rsid w:val="007960A9"/>
    <w:rsid w:val="00797D8F"/>
    <w:rsid w:val="007A08D2"/>
    <w:rsid w:val="007A0C00"/>
    <w:rsid w:val="007A0E15"/>
    <w:rsid w:val="007A1564"/>
    <w:rsid w:val="007A176E"/>
    <w:rsid w:val="007A19BF"/>
    <w:rsid w:val="007A2A69"/>
    <w:rsid w:val="007A2CF1"/>
    <w:rsid w:val="007A41B5"/>
    <w:rsid w:val="007A4486"/>
    <w:rsid w:val="007A4682"/>
    <w:rsid w:val="007A5879"/>
    <w:rsid w:val="007A58A8"/>
    <w:rsid w:val="007A5BDC"/>
    <w:rsid w:val="007A629D"/>
    <w:rsid w:val="007A6610"/>
    <w:rsid w:val="007A675F"/>
    <w:rsid w:val="007A6DD3"/>
    <w:rsid w:val="007A6FF3"/>
    <w:rsid w:val="007A71DC"/>
    <w:rsid w:val="007A7A04"/>
    <w:rsid w:val="007B04FF"/>
    <w:rsid w:val="007B0976"/>
    <w:rsid w:val="007B0CAC"/>
    <w:rsid w:val="007B15F3"/>
    <w:rsid w:val="007B1701"/>
    <w:rsid w:val="007B17C0"/>
    <w:rsid w:val="007B1C32"/>
    <w:rsid w:val="007B1DBB"/>
    <w:rsid w:val="007B2319"/>
    <w:rsid w:val="007B2FBF"/>
    <w:rsid w:val="007B3E13"/>
    <w:rsid w:val="007B4046"/>
    <w:rsid w:val="007B4300"/>
    <w:rsid w:val="007B44CE"/>
    <w:rsid w:val="007B44F9"/>
    <w:rsid w:val="007B565C"/>
    <w:rsid w:val="007B595F"/>
    <w:rsid w:val="007B5D75"/>
    <w:rsid w:val="007B6388"/>
    <w:rsid w:val="007B6D5E"/>
    <w:rsid w:val="007B7115"/>
    <w:rsid w:val="007B736B"/>
    <w:rsid w:val="007C0090"/>
    <w:rsid w:val="007C0544"/>
    <w:rsid w:val="007C0853"/>
    <w:rsid w:val="007C08D0"/>
    <w:rsid w:val="007C08FD"/>
    <w:rsid w:val="007C0C90"/>
    <w:rsid w:val="007C0E07"/>
    <w:rsid w:val="007C0E86"/>
    <w:rsid w:val="007C249E"/>
    <w:rsid w:val="007C26CF"/>
    <w:rsid w:val="007C271B"/>
    <w:rsid w:val="007C2C14"/>
    <w:rsid w:val="007C2D50"/>
    <w:rsid w:val="007C357D"/>
    <w:rsid w:val="007C3A55"/>
    <w:rsid w:val="007C4166"/>
    <w:rsid w:val="007C44E1"/>
    <w:rsid w:val="007C4716"/>
    <w:rsid w:val="007C48DD"/>
    <w:rsid w:val="007C4A05"/>
    <w:rsid w:val="007C4D79"/>
    <w:rsid w:val="007C5711"/>
    <w:rsid w:val="007C57B9"/>
    <w:rsid w:val="007C6325"/>
    <w:rsid w:val="007C6C53"/>
    <w:rsid w:val="007C71FB"/>
    <w:rsid w:val="007C73A3"/>
    <w:rsid w:val="007C7975"/>
    <w:rsid w:val="007C7EF5"/>
    <w:rsid w:val="007D06AC"/>
    <w:rsid w:val="007D0741"/>
    <w:rsid w:val="007D0A53"/>
    <w:rsid w:val="007D0C62"/>
    <w:rsid w:val="007D0FFC"/>
    <w:rsid w:val="007D1013"/>
    <w:rsid w:val="007D19EC"/>
    <w:rsid w:val="007D1CB2"/>
    <w:rsid w:val="007D2180"/>
    <w:rsid w:val="007D2608"/>
    <w:rsid w:val="007D30C3"/>
    <w:rsid w:val="007D35AC"/>
    <w:rsid w:val="007D36B1"/>
    <w:rsid w:val="007D36D7"/>
    <w:rsid w:val="007D3BA1"/>
    <w:rsid w:val="007D3BDB"/>
    <w:rsid w:val="007D3EC8"/>
    <w:rsid w:val="007D40AC"/>
    <w:rsid w:val="007D4317"/>
    <w:rsid w:val="007D4C12"/>
    <w:rsid w:val="007D57E0"/>
    <w:rsid w:val="007D5962"/>
    <w:rsid w:val="007D63B2"/>
    <w:rsid w:val="007D651D"/>
    <w:rsid w:val="007D71B7"/>
    <w:rsid w:val="007D7C66"/>
    <w:rsid w:val="007D7CF3"/>
    <w:rsid w:val="007E0274"/>
    <w:rsid w:val="007E02A7"/>
    <w:rsid w:val="007E0415"/>
    <w:rsid w:val="007E0991"/>
    <w:rsid w:val="007E0B2C"/>
    <w:rsid w:val="007E107F"/>
    <w:rsid w:val="007E1C84"/>
    <w:rsid w:val="007E25ED"/>
    <w:rsid w:val="007E2FD7"/>
    <w:rsid w:val="007E310B"/>
    <w:rsid w:val="007E38DA"/>
    <w:rsid w:val="007E3D65"/>
    <w:rsid w:val="007E3EE2"/>
    <w:rsid w:val="007E47E7"/>
    <w:rsid w:val="007E4A98"/>
    <w:rsid w:val="007E4EB6"/>
    <w:rsid w:val="007E5DD7"/>
    <w:rsid w:val="007E7139"/>
    <w:rsid w:val="007E7366"/>
    <w:rsid w:val="007E7EA1"/>
    <w:rsid w:val="007E7EA4"/>
    <w:rsid w:val="007F03CE"/>
    <w:rsid w:val="007F04D3"/>
    <w:rsid w:val="007F0DB7"/>
    <w:rsid w:val="007F0E95"/>
    <w:rsid w:val="007F137D"/>
    <w:rsid w:val="007F2D8D"/>
    <w:rsid w:val="007F2EBF"/>
    <w:rsid w:val="007F3044"/>
    <w:rsid w:val="007F3249"/>
    <w:rsid w:val="007F4657"/>
    <w:rsid w:val="007F49E6"/>
    <w:rsid w:val="007F5609"/>
    <w:rsid w:val="007F5625"/>
    <w:rsid w:val="007F568A"/>
    <w:rsid w:val="007F59F7"/>
    <w:rsid w:val="007F5D13"/>
    <w:rsid w:val="007F5E21"/>
    <w:rsid w:val="007F619D"/>
    <w:rsid w:val="007F6413"/>
    <w:rsid w:val="007F676E"/>
    <w:rsid w:val="007F6B11"/>
    <w:rsid w:val="007F6C91"/>
    <w:rsid w:val="007F6E2B"/>
    <w:rsid w:val="007F6F3C"/>
    <w:rsid w:val="007F7D12"/>
    <w:rsid w:val="007F7F02"/>
    <w:rsid w:val="00800258"/>
    <w:rsid w:val="00800562"/>
    <w:rsid w:val="00800C97"/>
    <w:rsid w:val="00800E69"/>
    <w:rsid w:val="008015BF"/>
    <w:rsid w:val="0080220F"/>
    <w:rsid w:val="00802735"/>
    <w:rsid w:val="008028C2"/>
    <w:rsid w:val="00802DDB"/>
    <w:rsid w:val="00803165"/>
    <w:rsid w:val="008037D8"/>
    <w:rsid w:val="00803B7E"/>
    <w:rsid w:val="00803DA6"/>
    <w:rsid w:val="008040D9"/>
    <w:rsid w:val="0080436E"/>
    <w:rsid w:val="00804937"/>
    <w:rsid w:val="00804E1E"/>
    <w:rsid w:val="00804E43"/>
    <w:rsid w:val="008050F5"/>
    <w:rsid w:val="00805112"/>
    <w:rsid w:val="0080512F"/>
    <w:rsid w:val="0080519C"/>
    <w:rsid w:val="00805D71"/>
    <w:rsid w:val="00810BC2"/>
    <w:rsid w:val="00811683"/>
    <w:rsid w:val="00811AFF"/>
    <w:rsid w:val="00812102"/>
    <w:rsid w:val="00812373"/>
    <w:rsid w:val="00812503"/>
    <w:rsid w:val="00813F3A"/>
    <w:rsid w:val="008140C9"/>
    <w:rsid w:val="008140E8"/>
    <w:rsid w:val="00814271"/>
    <w:rsid w:val="00814941"/>
    <w:rsid w:val="00814955"/>
    <w:rsid w:val="00814A65"/>
    <w:rsid w:val="00814BD9"/>
    <w:rsid w:val="008158AC"/>
    <w:rsid w:val="00816805"/>
    <w:rsid w:val="00816BE8"/>
    <w:rsid w:val="00816CD5"/>
    <w:rsid w:val="00816DBD"/>
    <w:rsid w:val="00816FE2"/>
    <w:rsid w:val="00817062"/>
    <w:rsid w:val="00817991"/>
    <w:rsid w:val="00817F58"/>
    <w:rsid w:val="008203C5"/>
    <w:rsid w:val="00820B84"/>
    <w:rsid w:val="0082199B"/>
    <w:rsid w:val="00821C2A"/>
    <w:rsid w:val="008227B7"/>
    <w:rsid w:val="008243A8"/>
    <w:rsid w:val="00824925"/>
    <w:rsid w:val="00824C8B"/>
    <w:rsid w:val="008252E8"/>
    <w:rsid w:val="00825BA8"/>
    <w:rsid w:val="00825C14"/>
    <w:rsid w:val="00825FD5"/>
    <w:rsid w:val="0082641D"/>
    <w:rsid w:val="008267CA"/>
    <w:rsid w:val="0082722B"/>
    <w:rsid w:val="00827C1B"/>
    <w:rsid w:val="0083016B"/>
    <w:rsid w:val="008301F1"/>
    <w:rsid w:val="0083083F"/>
    <w:rsid w:val="00830C0E"/>
    <w:rsid w:val="008313E0"/>
    <w:rsid w:val="00831742"/>
    <w:rsid w:val="008317EC"/>
    <w:rsid w:val="0083195D"/>
    <w:rsid w:val="00831B7B"/>
    <w:rsid w:val="00831D90"/>
    <w:rsid w:val="008324F3"/>
    <w:rsid w:val="00832691"/>
    <w:rsid w:val="0083296B"/>
    <w:rsid w:val="00833547"/>
    <w:rsid w:val="00833852"/>
    <w:rsid w:val="00833AB9"/>
    <w:rsid w:val="008344EC"/>
    <w:rsid w:val="00834820"/>
    <w:rsid w:val="00834C82"/>
    <w:rsid w:val="00834DB6"/>
    <w:rsid w:val="00834F93"/>
    <w:rsid w:val="008354DB"/>
    <w:rsid w:val="008355DD"/>
    <w:rsid w:val="00840C4A"/>
    <w:rsid w:val="008411B9"/>
    <w:rsid w:val="0084122F"/>
    <w:rsid w:val="00841573"/>
    <w:rsid w:val="00841D08"/>
    <w:rsid w:val="00842D43"/>
    <w:rsid w:val="0084323E"/>
    <w:rsid w:val="0084375D"/>
    <w:rsid w:val="00843D50"/>
    <w:rsid w:val="0084464E"/>
    <w:rsid w:val="008458BF"/>
    <w:rsid w:val="00846262"/>
    <w:rsid w:val="00846370"/>
    <w:rsid w:val="00846DCD"/>
    <w:rsid w:val="00847665"/>
    <w:rsid w:val="00847BC5"/>
    <w:rsid w:val="00847F11"/>
    <w:rsid w:val="00850010"/>
    <w:rsid w:val="008503F4"/>
    <w:rsid w:val="008504A0"/>
    <w:rsid w:val="00850AC1"/>
    <w:rsid w:val="00850C2A"/>
    <w:rsid w:val="00850DFA"/>
    <w:rsid w:val="00851331"/>
    <w:rsid w:val="008516D1"/>
    <w:rsid w:val="00852003"/>
    <w:rsid w:val="0085212C"/>
    <w:rsid w:val="00852F9E"/>
    <w:rsid w:val="00854053"/>
    <w:rsid w:val="008543AC"/>
    <w:rsid w:val="008548B8"/>
    <w:rsid w:val="00854965"/>
    <w:rsid w:val="008554D1"/>
    <w:rsid w:val="008558E0"/>
    <w:rsid w:val="00857AF7"/>
    <w:rsid w:val="00860109"/>
    <w:rsid w:val="008601BD"/>
    <w:rsid w:val="00860359"/>
    <w:rsid w:val="00860700"/>
    <w:rsid w:val="00860E43"/>
    <w:rsid w:val="00860EE9"/>
    <w:rsid w:val="00861075"/>
    <w:rsid w:val="00861252"/>
    <w:rsid w:val="0086171A"/>
    <w:rsid w:val="00861B89"/>
    <w:rsid w:val="0086226C"/>
    <w:rsid w:val="00862C76"/>
    <w:rsid w:val="00863968"/>
    <w:rsid w:val="008644A4"/>
    <w:rsid w:val="00864A6C"/>
    <w:rsid w:val="00864BB1"/>
    <w:rsid w:val="00864DF7"/>
    <w:rsid w:val="00864FDB"/>
    <w:rsid w:val="00865278"/>
    <w:rsid w:val="008654F9"/>
    <w:rsid w:val="008657DA"/>
    <w:rsid w:val="008658C0"/>
    <w:rsid w:val="00866388"/>
    <w:rsid w:val="00866FE3"/>
    <w:rsid w:val="0086722D"/>
    <w:rsid w:val="00867D56"/>
    <w:rsid w:val="0087028A"/>
    <w:rsid w:val="00870BAA"/>
    <w:rsid w:val="00870D91"/>
    <w:rsid w:val="008716D1"/>
    <w:rsid w:val="008716ED"/>
    <w:rsid w:val="0087193F"/>
    <w:rsid w:val="008724E6"/>
    <w:rsid w:val="00872767"/>
    <w:rsid w:val="008728C8"/>
    <w:rsid w:val="00873205"/>
    <w:rsid w:val="008735E8"/>
    <w:rsid w:val="0087377E"/>
    <w:rsid w:val="008739AB"/>
    <w:rsid w:val="00874043"/>
    <w:rsid w:val="00874594"/>
    <w:rsid w:val="00874776"/>
    <w:rsid w:val="0087487C"/>
    <w:rsid w:val="00874A07"/>
    <w:rsid w:val="00874B75"/>
    <w:rsid w:val="00875007"/>
    <w:rsid w:val="008750DB"/>
    <w:rsid w:val="00875144"/>
    <w:rsid w:val="008751B4"/>
    <w:rsid w:val="0087527F"/>
    <w:rsid w:val="0087543F"/>
    <w:rsid w:val="008754B5"/>
    <w:rsid w:val="008758A8"/>
    <w:rsid w:val="00875AF3"/>
    <w:rsid w:val="008765E9"/>
    <w:rsid w:val="00876605"/>
    <w:rsid w:val="00876B13"/>
    <w:rsid w:val="00880017"/>
    <w:rsid w:val="00880305"/>
    <w:rsid w:val="00880315"/>
    <w:rsid w:val="0088031C"/>
    <w:rsid w:val="0088088A"/>
    <w:rsid w:val="00880A3F"/>
    <w:rsid w:val="00880EE2"/>
    <w:rsid w:val="00881318"/>
    <w:rsid w:val="00881732"/>
    <w:rsid w:val="008818A2"/>
    <w:rsid w:val="008820FB"/>
    <w:rsid w:val="0088213D"/>
    <w:rsid w:val="008821C6"/>
    <w:rsid w:val="0088243C"/>
    <w:rsid w:val="0088243D"/>
    <w:rsid w:val="0088251A"/>
    <w:rsid w:val="00882D28"/>
    <w:rsid w:val="00883A67"/>
    <w:rsid w:val="0088400F"/>
    <w:rsid w:val="008848E9"/>
    <w:rsid w:val="00884FD8"/>
    <w:rsid w:val="00885244"/>
    <w:rsid w:val="008857C7"/>
    <w:rsid w:val="008858B3"/>
    <w:rsid w:val="008866CF"/>
    <w:rsid w:val="00886782"/>
    <w:rsid w:val="008869A1"/>
    <w:rsid w:val="00886B3F"/>
    <w:rsid w:val="0089015D"/>
    <w:rsid w:val="0089021A"/>
    <w:rsid w:val="0089022E"/>
    <w:rsid w:val="00890475"/>
    <w:rsid w:val="00890A7C"/>
    <w:rsid w:val="00890D11"/>
    <w:rsid w:val="008910EE"/>
    <w:rsid w:val="00891A26"/>
    <w:rsid w:val="008923F8"/>
    <w:rsid w:val="0089253F"/>
    <w:rsid w:val="008928F1"/>
    <w:rsid w:val="00892BBF"/>
    <w:rsid w:val="00892DB5"/>
    <w:rsid w:val="00892F62"/>
    <w:rsid w:val="0089389C"/>
    <w:rsid w:val="00893D36"/>
    <w:rsid w:val="0089414C"/>
    <w:rsid w:val="008942BD"/>
    <w:rsid w:val="0089478A"/>
    <w:rsid w:val="0089480A"/>
    <w:rsid w:val="00894BEE"/>
    <w:rsid w:val="00894FE5"/>
    <w:rsid w:val="008954D2"/>
    <w:rsid w:val="00895658"/>
    <w:rsid w:val="008956DA"/>
    <w:rsid w:val="008959E5"/>
    <w:rsid w:val="00895BA9"/>
    <w:rsid w:val="00895D79"/>
    <w:rsid w:val="00895FCA"/>
    <w:rsid w:val="0089601B"/>
    <w:rsid w:val="0089655D"/>
    <w:rsid w:val="00896784"/>
    <w:rsid w:val="00897824"/>
    <w:rsid w:val="008979DB"/>
    <w:rsid w:val="00897BCB"/>
    <w:rsid w:val="00897C07"/>
    <w:rsid w:val="00897DBA"/>
    <w:rsid w:val="00897E63"/>
    <w:rsid w:val="008A02FA"/>
    <w:rsid w:val="008A06A8"/>
    <w:rsid w:val="008A1AAC"/>
    <w:rsid w:val="008A1D3C"/>
    <w:rsid w:val="008A20CA"/>
    <w:rsid w:val="008A239B"/>
    <w:rsid w:val="008A2956"/>
    <w:rsid w:val="008A2EA1"/>
    <w:rsid w:val="008A2EF6"/>
    <w:rsid w:val="008A3480"/>
    <w:rsid w:val="008A425D"/>
    <w:rsid w:val="008A4B88"/>
    <w:rsid w:val="008A4F3C"/>
    <w:rsid w:val="008A51AD"/>
    <w:rsid w:val="008A53BA"/>
    <w:rsid w:val="008A551D"/>
    <w:rsid w:val="008A56BA"/>
    <w:rsid w:val="008A570A"/>
    <w:rsid w:val="008A58E4"/>
    <w:rsid w:val="008A58E7"/>
    <w:rsid w:val="008A5C1D"/>
    <w:rsid w:val="008A615A"/>
    <w:rsid w:val="008A650C"/>
    <w:rsid w:val="008A6A36"/>
    <w:rsid w:val="008A6CB9"/>
    <w:rsid w:val="008A6DC1"/>
    <w:rsid w:val="008A7100"/>
    <w:rsid w:val="008A7139"/>
    <w:rsid w:val="008A776D"/>
    <w:rsid w:val="008A7C74"/>
    <w:rsid w:val="008B0107"/>
    <w:rsid w:val="008B04C0"/>
    <w:rsid w:val="008B0A83"/>
    <w:rsid w:val="008B0E93"/>
    <w:rsid w:val="008B198D"/>
    <w:rsid w:val="008B29A4"/>
    <w:rsid w:val="008B2BB4"/>
    <w:rsid w:val="008B2C30"/>
    <w:rsid w:val="008B2D73"/>
    <w:rsid w:val="008B3AB6"/>
    <w:rsid w:val="008B3C2B"/>
    <w:rsid w:val="008B4606"/>
    <w:rsid w:val="008B4679"/>
    <w:rsid w:val="008B4D00"/>
    <w:rsid w:val="008B4D13"/>
    <w:rsid w:val="008B4E78"/>
    <w:rsid w:val="008B4FE2"/>
    <w:rsid w:val="008B5E6A"/>
    <w:rsid w:val="008B61A1"/>
    <w:rsid w:val="008B66EE"/>
    <w:rsid w:val="008B6793"/>
    <w:rsid w:val="008B6E62"/>
    <w:rsid w:val="008B6E87"/>
    <w:rsid w:val="008B728A"/>
    <w:rsid w:val="008B7342"/>
    <w:rsid w:val="008B75C2"/>
    <w:rsid w:val="008B770F"/>
    <w:rsid w:val="008B787A"/>
    <w:rsid w:val="008C0773"/>
    <w:rsid w:val="008C0A89"/>
    <w:rsid w:val="008C0E71"/>
    <w:rsid w:val="008C1852"/>
    <w:rsid w:val="008C27B4"/>
    <w:rsid w:val="008C2CFF"/>
    <w:rsid w:val="008C2D84"/>
    <w:rsid w:val="008C2E1E"/>
    <w:rsid w:val="008C2E22"/>
    <w:rsid w:val="008C2ED2"/>
    <w:rsid w:val="008C3D4D"/>
    <w:rsid w:val="008C4026"/>
    <w:rsid w:val="008C417E"/>
    <w:rsid w:val="008C4891"/>
    <w:rsid w:val="008C5B51"/>
    <w:rsid w:val="008C5F0A"/>
    <w:rsid w:val="008C6105"/>
    <w:rsid w:val="008C6124"/>
    <w:rsid w:val="008C6334"/>
    <w:rsid w:val="008C66BD"/>
    <w:rsid w:val="008C6968"/>
    <w:rsid w:val="008C6C96"/>
    <w:rsid w:val="008C6D16"/>
    <w:rsid w:val="008C742A"/>
    <w:rsid w:val="008C74C7"/>
    <w:rsid w:val="008C7714"/>
    <w:rsid w:val="008C7F4F"/>
    <w:rsid w:val="008D00F3"/>
    <w:rsid w:val="008D0F27"/>
    <w:rsid w:val="008D15A2"/>
    <w:rsid w:val="008D18CD"/>
    <w:rsid w:val="008D1F86"/>
    <w:rsid w:val="008D20E0"/>
    <w:rsid w:val="008D2796"/>
    <w:rsid w:val="008D2B6E"/>
    <w:rsid w:val="008D335C"/>
    <w:rsid w:val="008D35B7"/>
    <w:rsid w:val="008D4007"/>
    <w:rsid w:val="008D436A"/>
    <w:rsid w:val="008D4C72"/>
    <w:rsid w:val="008D50BA"/>
    <w:rsid w:val="008D561B"/>
    <w:rsid w:val="008D582B"/>
    <w:rsid w:val="008D5CF9"/>
    <w:rsid w:val="008D5D0A"/>
    <w:rsid w:val="008D6794"/>
    <w:rsid w:val="008D7F65"/>
    <w:rsid w:val="008E0178"/>
    <w:rsid w:val="008E02F8"/>
    <w:rsid w:val="008E1189"/>
    <w:rsid w:val="008E12AF"/>
    <w:rsid w:val="008E1592"/>
    <w:rsid w:val="008E211C"/>
    <w:rsid w:val="008E2BB3"/>
    <w:rsid w:val="008E2BC5"/>
    <w:rsid w:val="008E2C79"/>
    <w:rsid w:val="008E3176"/>
    <w:rsid w:val="008E3564"/>
    <w:rsid w:val="008E3A0B"/>
    <w:rsid w:val="008E3A90"/>
    <w:rsid w:val="008E3AAB"/>
    <w:rsid w:val="008E4043"/>
    <w:rsid w:val="008E4163"/>
    <w:rsid w:val="008E41E2"/>
    <w:rsid w:val="008E4520"/>
    <w:rsid w:val="008E54E8"/>
    <w:rsid w:val="008E5740"/>
    <w:rsid w:val="008E5868"/>
    <w:rsid w:val="008E5DC8"/>
    <w:rsid w:val="008E6465"/>
    <w:rsid w:val="008E6C57"/>
    <w:rsid w:val="008E6E66"/>
    <w:rsid w:val="008E7082"/>
    <w:rsid w:val="008E72AF"/>
    <w:rsid w:val="008F0952"/>
    <w:rsid w:val="008F1001"/>
    <w:rsid w:val="008F1154"/>
    <w:rsid w:val="008F1B84"/>
    <w:rsid w:val="008F1B9D"/>
    <w:rsid w:val="008F1DB6"/>
    <w:rsid w:val="008F1DDC"/>
    <w:rsid w:val="008F30E1"/>
    <w:rsid w:val="008F39C0"/>
    <w:rsid w:val="008F3CC0"/>
    <w:rsid w:val="008F45A0"/>
    <w:rsid w:val="008F57CD"/>
    <w:rsid w:val="008F5960"/>
    <w:rsid w:val="008F5CD0"/>
    <w:rsid w:val="008F6100"/>
    <w:rsid w:val="008F629A"/>
    <w:rsid w:val="008F6A9B"/>
    <w:rsid w:val="008F6F03"/>
    <w:rsid w:val="008F6F9D"/>
    <w:rsid w:val="008F7603"/>
    <w:rsid w:val="008F769D"/>
    <w:rsid w:val="008F76DC"/>
    <w:rsid w:val="008F7A06"/>
    <w:rsid w:val="008F7D2F"/>
    <w:rsid w:val="009013C5"/>
    <w:rsid w:val="0090147B"/>
    <w:rsid w:val="00901649"/>
    <w:rsid w:val="00901CBA"/>
    <w:rsid w:val="00901DC6"/>
    <w:rsid w:val="009021DC"/>
    <w:rsid w:val="00903026"/>
    <w:rsid w:val="0090357B"/>
    <w:rsid w:val="00903832"/>
    <w:rsid w:val="00903D84"/>
    <w:rsid w:val="009044BE"/>
    <w:rsid w:val="009048EB"/>
    <w:rsid w:val="00904913"/>
    <w:rsid w:val="00904D4B"/>
    <w:rsid w:val="009050B3"/>
    <w:rsid w:val="00905945"/>
    <w:rsid w:val="00905FEB"/>
    <w:rsid w:val="00906252"/>
    <w:rsid w:val="0090672E"/>
    <w:rsid w:val="00906A4F"/>
    <w:rsid w:val="00906BD6"/>
    <w:rsid w:val="00906E3F"/>
    <w:rsid w:val="00907074"/>
    <w:rsid w:val="009073C7"/>
    <w:rsid w:val="009078BA"/>
    <w:rsid w:val="009079C7"/>
    <w:rsid w:val="009079F7"/>
    <w:rsid w:val="00907B44"/>
    <w:rsid w:val="00907C33"/>
    <w:rsid w:val="009108D2"/>
    <w:rsid w:val="00910C20"/>
    <w:rsid w:val="00910FE1"/>
    <w:rsid w:val="0091106A"/>
    <w:rsid w:val="009117D0"/>
    <w:rsid w:val="00911C77"/>
    <w:rsid w:val="00911D1C"/>
    <w:rsid w:val="00912F38"/>
    <w:rsid w:val="0091303B"/>
    <w:rsid w:val="00913C58"/>
    <w:rsid w:val="00913FCD"/>
    <w:rsid w:val="009140B4"/>
    <w:rsid w:val="00914174"/>
    <w:rsid w:val="0091428A"/>
    <w:rsid w:val="00914733"/>
    <w:rsid w:val="00914AA5"/>
    <w:rsid w:val="009162DD"/>
    <w:rsid w:val="009163E7"/>
    <w:rsid w:val="0091671A"/>
    <w:rsid w:val="009169F6"/>
    <w:rsid w:val="00916D5B"/>
    <w:rsid w:val="0091715C"/>
    <w:rsid w:val="0091719D"/>
    <w:rsid w:val="00917903"/>
    <w:rsid w:val="009200D3"/>
    <w:rsid w:val="00920997"/>
    <w:rsid w:val="00920B1E"/>
    <w:rsid w:val="00920DD5"/>
    <w:rsid w:val="00921161"/>
    <w:rsid w:val="0092158B"/>
    <w:rsid w:val="00921E0A"/>
    <w:rsid w:val="00922492"/>
    <w:rsid w:val="009224EB"/>
    <w:rsid w:val="0092272F"/>
    <w:rsid w:val="00922BE2"/>
    <w:rsid w:val="00922EDE"/>
    <w:rsid w:val="0092337C"/>
    <w:rsid w:val="009237D9"/>
    <w:rsid w:val="009239D2"/>
    <w:rsid w:val="0092406C"/>
    <w:rsid w:val="00924096"/>
    <w:rsid w:val="009243BC"/>
    <w:rsid w:val="009244D5"/>
    <w:rsid w:val="009252F1"/>
    <w:rsid w:val="00925588"/>
    <w:rsid w:val="00925AF5"/>
    <w:rsid w:val="00925C76"/>
    <w:rsid w:val="00926268"/>
    <w:rsid w:val="009264A2"/>
    <w:rsid w:val="00926F3D"/>
    <w:rsid w:val="0092715D"/>
    <w:rsid w:val="00927206"/>
    <w:rsid w:val="00930057"/>
    <w:rsid w:val="00930632"/>
    <w:rsid w:val="009310BC"/>
    <w:rsid w:val="00931D3F"/>
    <w:rsid w:val="009324C4"/>
    <w:rsid w:val="00932671"/>
    <w:rsid w:val="00932A7A"/>
    <w:rsid w:val="009330BF"/>
    <w:rsid w:val="00933817"/>
    <w:rsid w:val="00933C07"/>
    <w:rsid w:val="00934510"/>
    <w:rsid w:val="0093476C"/>
    <w:rsid w:val="00935A1E"/>
    <w:rsid w:val="00935B7C"/>
    <w:rsid w:val="00935BDC"/>
    <w:rsid w:val="00935E3A"/>
    <w:rsid w:val="00936005"/>
    <w:rsid w:val="0093607C"/>
    <w:rsid w:val="00937A83"/>
    <w:rsid w:val="00937B51"/>
    <w:rsid w:val="00940008"/>
    <w:rsid w:val="00940FFA"/>
    <w:rsid w:val="00941503"/>
    <w:rsid w:val="00941543"/>
    <w:rsid w:val="0094187D"/>
    <w:rsid w:val="00942C90"/>
    <w:rsid w:val="00942F29"/>
    <w:rsid w:val="00942FB6"/>
    <w:rsid w:val="009434EB"/>
    <w:rsid w:val="00943EA6"/>
    <w:rsid w:val="00944400"/>
    <w:rsid w:val="009448F2"/>
    <w:rsid w:val="009448F3"/>
    <w:rsid w:val="0094524B"/>
    <w:rsid w:val="009456E3"/>
    <w:rsid w:val="00945759"/>
    <w:rsid w:val="009466E9"/>
    <w:rsid w:val="00946CB3"/>
    <w:rsid w:val="00946D20"/>
    <w:rsid w:val="00946E51"/>
    <w:rsid w:val="009473F4"/>
    <w:rsid w:val="0094767D"/>
    <w:rsid w:val="00950231"/>
    <w:rsid w:val="00950794"/>
    <w:rsid w:val="009507AA"/>
    <w:rsid w:val="009509EF"/>
    <w:rsid w:val="009515CA"/>
    <w:rsid w:val="00951691"/>
    <w:rsid w:val="00951A1F"/>
    <w:rsid w:val="00951FCE"/>
    <w:rsid w:val="009521CC"/>
    <w:rsid w:val="0095226C"/>
    <w:rsid w:val="00952C05"/>
    <w:rsid w:val="00952D52"/>
    <w:rsid w:val="009540B7"/>
    <w:rsid w:val="009543D0"/>
    <w:rsid w:val="00954DAE"/>
    <w:rsid w:val="00955410"/>
    <w:rsid w:val="0095555D"/>
    <w:rsid w:val="009558EE"/>
    <w:rsid w:val="009559D5"/>
    <w:rsid w:val="00955C17"/>
    <w:rsid w:val="00955D04"/>
    <w:rsid w:val="00955FFA"/>
    <w:rsid w:val="00956170"/>
    <w:rsid w:val="00956BA1"/>
    <w:rsid w:val="00956D42"/>
    <w:rsid w:val="00956F0F"/>
    <w:rsid w:val="00957065"/>
    <w:rsid w:val="0095727F"/>
    <w:rsid w:val="009572AF"/>
    <w:rsid w:val="00957E41"/>
    <w:rsid w:val="0096023A"/>
    <w:rsid w:val="009607AB"/>
    <w:rsid w:val="00960A9A"/>
    <w:rsid w:val="009615DB"/>
    <w:rsid w:val="00961C53"/>
    <w:rsid w:val="00962683"/>
    <w:rsid w:val="00962E23"/>
    <w:rsid w:val="00963149"/>
    <w:rsid w:val="0096456D"/>
    <w:rsid w:val="0096487C"/>
    <w:rsid w:val="00964BC2"/>
    <w:rsid w:val="00964D4A"/>
    <w:rsid w:val="00964EAE"/>
    <w:rsid w:val="00965023"/>
    <w:rsid w:val="009650B7"/>
    <w:rsid w:val="0096515D"/>
    <w:rsid w:val="00965841"/>
    <w:rsid w:val="00965EE1"/>
    <w:rsid w:val="00966623"/>
    <w:rsid w:val="009668D5"/>
    <w:rsid w:val="00966D23"/>
    <w:rsid w:val="009678DB"/>
    <w:rsid w:val="00970728"/>
    <w:rsid w:val="009707C9"/>
    <w:rsid w:val="0097082A"/>
    <w:rsid w:val="00971E0B"/>
    <w:rsid w:val="00972101"/>
    <w:rsid w:val="00972D22"/>
    <w:rsid w:val="00972FB5"/>
    <w:rsid w:val="00973510"/>
    <w:rsid w:val="009736FE"/>
    <w:rsid w:val="00973B96"/>
    <w:rsid w:val="00973BAA"/>
    <w:rsid w:val="00973E3C"/>
    <w:rsid w:val="00974763"/>
    <w:rsid w:val="009757CA"/>
    <w:rsid w:val="00975C9D"/>
    <w:rsid w:val="00976E76"/>
    <w:rsid w:val="00977A14"/>
    <w:rsid w:val="00977E9B"/>
    <w:rsid w:val="0098021B"/>
    <w:rsid w:val="009807BF"/>
    <w:rsid w:val="009809CE"/>
    <w:rsid w:val="00980D42"/>
    <w:rsid w:val="0098131F"/>
    <w:rsid w:val="00981479"/>
    <w:rsid w:val="00981CF9"/>
    <w:rsid w:val="00982295"/>
    <w:rsid w:val="009829B3"/>
    <w:rsid w:val="00982C31"/>
    <w:rsid w:val="00982D45"/>
    <w:rsid w:val="00982FE4"/>
    <w:rsid w:val="00983165"/>
    <w:rsid w:val="00983343"/>
    <w:rsid w:val="009833C4"/>
    <w:rsid w:val="009834E0"/>
    <w:rsid w:val="009838FF"/>
    <w:rsid w:val="00984149"/>
    <w:rsid w:val="00984788"/>
    <w:rsid w:val="00984909"/>
    <w:rsid w:val="00984D7E"/>
    <w:rsid w:val="00984FF3"/>
    <w:rsid w:val="00984FF9"/>
    <w:rsid w:val="009850C5"/>
    <w:rsid w:val="00986326"/>
    <w:rsid w:val="00986849"/>
    <w:rsid w:val="00986BB7"/>
    <w:rsid w:val="00986D4B"/>
    <w:rsid w:val="00986E1E"/>
    <w:rsid w:val="00986F6D"/>
    <w:rsid w:val="0098727C"/>
    <w:rsid w:val="00987708"/>
    <w:rsid w:val="00987DDD"/>
    <w:rsid w:val="00987DF0"/>
    <w:rsid w:val="00987DF4"/>
    <w:rsid w:val="00987E2E"/>
    <w:rsid w:val="0099008B"/>
    <w:rsid w:val="00990C0B"/>
    <w:rsid w:val="00991202"/>
    <w:rsid w:val="0099177B"/>
    <w:rsid w:val="009917E0"/>
    <w:rsid w:val="009928CD"/>
    <w:rsid w:val="0099367E"/>
    <w:rsid w:val="00993FE4"/>
    <w:rsid w:val="0099425E"/>
    <w:rsid w:val="0099482F"/>
    <w:rsid w:val="00994CDC"/>
    <w:rsid w:val="009969CD"/>
    <w:rsid w:val="00996CFC"/>
    <w:rsid w:val="0099770A"/>
    <w:rsid w:val="00997769"/>
    <w:rsid w:val="00997A2E"/>
    <w:rsid w:val="009A048E"/>
    <w:rsid w:val="009A119F"/>
    <w:rsid w:val="009A1609"/>
    <w:rsid w:val="009A1A7E"/>
    <w:rsid w:val="009A3480"/>
    <w:rsid w:val="009A3DB8"/>
    <w:rsid w:val="009A4356"/>
    <w:rsid w:val="009A43B3"/>
    <w:rsid w:val="009A464D"/>
    <w:rsid w:val="009A496F"/>
    <w:rsid w:val="009A4B78"/>
    <w:rsid w:val="009A4D73"/>
    <w:rsid w:val="009A4E41"/>
    <w:rsid w:val="009A5297"/>
    <w:rsid w:val="009A5326"/>
    <w:rsid w:val="009A5D40"/>
    <w:rsid w:val="009A5E10"/>
    <w:rsid w:val="009A5E9E"/>
    <w:rsid w:val="009A6665"/>
    <w:rsid w:val="009A6785"/>
    <w:rsid w:val="009A743F"/>
    <w:rsid w:val="009A74F7"/>
    <w:rsid w:val="009A7605"/>
    <w:rsid w:val="009A76B0"/>
    <w:rsid w:val="009A7FD7"/>
    <w:rsid w:val="009B00F2"/>
    <w:rsid w:val="009B0FB2"/>
    <w:rsid w:val="009B1113"/>
    <w:rsid w:val="009B1C34"/>
    <w:rsid w:val="009B1D22"/>
    <w:rsid w:val="009B1E86"/>
    <w:rsid w:val="009B27C4"/>
    <w:rsid w:val="009B2D92"/>
    <w:rsid w:val="009B3250"/>
    <w:rsid w:val="009B3344"/>
    <w:rsid w:val="009B42D2"/>
    <w:rsid w:val="009B4A06"/>
    <w:rsid w:val="009B5E9C"/>
    <w:rsid w:val="009B609E"/>
    <w:rsid w:val="009B70C8"/>
    <w:rsid w:val="009B722F"/>
    <w:rsid w:val="009B737C"/>
    <w:rsid w:val="009B742E"/>
    <w:rsid w:val="009C0AC6"/>
    <w:rsid w:val="009C0E66"/>
    <w:rsid w:val="009C11B2"/>
    <w:rsid w:val="009C1456"/>
    <w:rsid w:val="009C164F"/>
    <w:rsid w:val="009C1C30"/>
    <w:rsid w:val="009C22DD"/>
    <w:rsid w:val="009C29D5"/>
    <w:rsid w:val="009C30A0"/>
    <w:rsid w:val="009C359E"/>
    <w:rsid w:val="009C37FE"/>
    <w:rsid w:val="009C4082"/>
    <w:rsid w:val="009C4806"/>
    <w:rsid w:val="009C4A38"/>
    <w:rsid w:val="009C4AD8"/>
    <w:rsid w:val="009C4D3D"/>
    <w:rsid w:val="009C55E2"/>
    <w:rsid w:val="009C5A4E"/>
    <w:rsid w:val="009C5EE5"/>
    <w:rsid w:val="009C61E3"/>
    <w:rsid w:val="009C6B56"/>
    <w:rsid w:val="009C6C93"/>
    <w:rsid w:val="009C76F9"/>
    <w:rsid w:val="009C7785"/>
    <w:rsid w:val="009C7DB8"/>
    <w:rsid w:val="009C7FF0"/>
    <w:rsid w:val="009D010D"/>
    <w:rsid w:val="009D0244"/>
    <w:rsid w:val="009D050F"/>
    <w:rsid w:val="009D0F71"/>
    <w:rsid w:val="009D111C"/>
    <w:rsid w:val="009D141A"/>
    <w:rsid w:val="009D17A0"/>
    <w:rsid w:val="009D1A08"/>
    <w:rsid w:val="009D1F7A"/>
    <w:rsid w:val="009D2165"/>
    <w:rsid w:val="009D2873"/>
    <w:rsid w:val="009D2942"/>
    <w:rsid w:val="009D3827"/>
    <w:rsid w:val="009D3A1A"/>
    <w:rsid w:val="009D426A"/>
    <w:rsid w:val="009D5BDB"/>
    <w:rsid w:val="009D5CCA"/>
    <w:rsid w:val="009D6B03"/>
    <w:rsid w:val="009D6B3D"/>
    <w:rsid w:val="009D7422"/>
    <w:rsid w:val="009D77A4"/>
    <w:rsid w:val="009D78E7"/>
    <w:rsid w:val="009E0505"/>
    <w:rsid w:val="009E0742"/>
    <w:rsid w:val="009E1291"/>
    <w:rsid w:val="009E12BC"/>
    <w:rsid w:val="009E224D"/>
    <w:rsid w:val="009E26D5"/>
    <w:rsid w:val="009E276C"/>
    <w:rsid w:val="009E2A07"/>
    <w:rsid w:val="009E3398"/>
    <w:rsid w:val="009E3577"/>
    <w:rsid w:val="009E3D2B"/>
    <w:rsid w:val="009E3E84"/>
    <w:rsid w:val="009E4097"/>
    <w:rsid w:val="009E4664"/>
    <w:rsid w:val="009E4D8E"/>
    <w:rsid w:val="009E4E90"/>
    <w:rsid w:val="009E4EB7"/>
    <w:rsid w:val="009E54C9"/>
    <w:rsid w:val="009E56C7"/>
    <w:rsid w:val="009E57C1"/>
    <w:rsid w:val="009E624A"/>
    <w:rsid w:val="009E6B32"/>
    <w:rsid w:val="009E70F3"/>
    <w:rsid w:val="009E7E98"/>
    <w:rsid w:val="009F00EE"/>
    <w:rsid w:val="009F0827"/>
    <w:rsid w:val="009F0BED"/>
    <w:rsid w:val="009F1673"/>
    <w:rsid w:val="009F1EA5"/>
    <w:rsid w:val="009F3255"/>
    <w:rsid w:val="009F34AA"/>
    <w:rsid w:val="009F3DCE"/>
    <w:rsid w:val="009F44FF"/>
    <w:rsid w:val="009F46E8"/>
    <w:rsid w:val="009F472D"/>
    <w:rsid w:val="009F4CF0"/>
    <w:rsid w:val="009F4E88"/>
    <w:rsid w:val="009F50D1"/>
    <w:rsid w:val="009F568A"/>
    <w:rsid w:val="009F573B"/>
    <w:rsid w:val="009F5918"/>
    <w:rsid w:val="009F596D"/>
    <w:rsid w:val="009F5BE2"/>
    <w:rsid w:val="009F6A91"/>
    <w:rsid w:val="009F71A6"/>
    <w:rsid w:val="009F71AA"/>
    <w:rsid w:val="009F7326"/>
    <w:rsid w:val="009F754A"/>
    <w:rsid w:val="009F791F"/>
    <w:rsid w:val="009F7F86"/>
    <w:rsid w:val="00A0034D"/>
    <w:rsid w:val="00A00BFB"/>
    <w:rsid w:val="00A00DCF"/>
    <w:rsid w:val="00A0126C"/>
    <w:rsid w:val="00A012DA"/>
    <w:rsid w:val="00A0187E"/>
    <w:rsid w:val="00A02450"/>
    <w:rsid w:val="00A026F0"/>
    <w:rsid w:val="00A02F2D"/>
    <w:rsid w:val="00A02F61"/>
    <w:rsid w:val="00A03E0E"/>
    <w:rsid w:val="00A040D1"/>
    <w:rsid w:val="00A04424"/>
    <w:rsid w:val="00A04A0A"/>
    <w:rsid w:val="00A050A8"/>
    <w:rsid w:val="00A05180"/>
    <w:rsid w:val="00A056A3"/>
    <w:rsid w:val="00A056AA"/>
    <w:rsid w:val="00A05B51"/>
    <w:rsid w:val="00A06286"/>
    <w:rsid w:val="00A06318"/>
    <w:rsid w:val="00A063BC"/>
    <w:rsid w:val="00A06635"/>
    <w:rsid w:val="00A068E1"/>
    <w:rsid w:val="00A06A80"/>
    <w:rsid w:val="00A06D8A"/>
    <w:rsid w:val="00A0711F"/>
    <w:rsid w:val="00A07B0B"/>
    <w:rsid w:val="00A102A0"/>
    <w:rsid w:val="00A108C2"/>
    <w:rsid w:val="00A114FA"/>
    <w:rsid w:val="00A11AF3"/>
    <w:rsid w:val="00A12C09"/>
    <w:rsid w:val="00A13084"/>
    <w:rsid w:val="00A1327F"/>
    <w:rsid w:val="00A13817"/>
    <w:rsid w:val="00A138D3"/>
    <w:rsid w:val="00A13E0F"/>
    <w:rsid w:val="00A13F16"/>
    <w:rsid w:val="00A144B7"/>
    <w:rsid w:val="00A149B4"/>
    <w:rsid w:val="00A15F4F"/>
    <w:rsid w:val="00A160AB"/>
    <w:rsid w:val="00A160F0"/>
    <w:rsid w:val="00A16745"/>
    <w:rsid w:val="00A16747"/>
    <w:rsid w:val="00A17C1D"/>
    <w:rsid w:val="00A20013"/>
    <w:rsid w:val="00A20582"/>
    <w:rsid w:val="00A20C65"/>
    <w:rsid w:val="00A214B2"/>
    <w:rsid w:val="00A21767"/>
    <w:rsid w:val="00A21E7C"/>
    <w:rsid w:val="00A21FD5"/>
    <w:rsid w:val="00A22751"/>
    <w:rsid w:val="00A22940"/>
    <w:rsid w:val="00A23102"/>
    <w:rsid w:val="00A23284"/>
    <w:rsid w:val="00A2343F"/>
    <w:rsid w:val="00A23505"/>
    <w:rsid w:val="00A23598"/>
    <w:rsid w:val="00A2428B"/>
    <w:rsid w:val="00A2476B"/>
    <w:rsid w:val="00A247E5"/>
    <w:rsid w:val="00A24D81"/>
    <w:rsid w:val="00A24EA5"/>
    <w:rsid w:val="00A25173"/>
    <w:rsid w:val="00A252F0"/>
    <w:rsid w:val="00A259F2"/>
    <w:rsid w:val="00A25FDB"/>
    <w:rsid w:val="00A26463"/>
    <w:rsid w:val="00A26608"/>
    <w:rsid w:val="00A2660E"/>
    <w:rsid w:val="00A26916"/>
    <w:rsid w:val="00A26B47"/>
    <w:rsid w:val="00A26FF1"/>
    <w:rsid w:val="00A27806"/>
    <w:rsid w:val="00A3068C"/>
    <w:rsid w:val="00A3127F"/>
    <w:rsid w:val="00A31922"/>
    <w:rsid w:val="00A31BCC"/>
    <w:rsid w:val="00A31C70"/>
    <w:rsid w:val="00A32382"/>
    <w:rsid w:val="00A325BB"/>
    <w:rsid w:val="00A3297A"/>
    <w:rsid w:val="00A32A58"/>
    <w:rsid w:val="00A32EEC"/>
    <w:rsid w:val="00A336C5"/>
    <w:rsid w:val="00A3510A"/>
    <w:rsid w:val="00A3515F"/>
    <w:rsid w:val="00A35751"/>
    <w:rsid w:val="00A35762"/>
    <w:rsid w:val="00A3577F"/>
    <w:rsid w:val="00A35BBC"/>
    <w:rsid w:val="00A35DAB"/>
    <w:rsid w:val="00A36724"/>
    <w:rsid w:val="00A367AF"/>
    <w:rsid w:val="00A36AA0"/>
    <w:rsid w:val="00A36C13"/>
    <w:rsid w:val="00A377C2"/>
    <w:rsid w:val="00A37A31"/>
    <w:rsid w:val="00A40B1F"/>
    <w:rsid w:val="00A40B4D"/>
    <w:rsid w:val="00A411E2"/>
    <w:rsid w:val="00A41373"/>
    <w:rsid w:val="00A41638"/>
    <w:rsid w:val="00A41B15"/>
    <w:rsid w:val="00A4224E"/>
    <w:rsid w:val="00A4229F"/>
    <w:rsid w:val="00A428A9"/>
    <w:rsid w:val="00A42ACA"/>
    <w:rsid w:val="00A43AAB"/>
    <w:rsid w:val="00A43AFE"/>
    <w:rsid w:val="00A44AAD"/>
    <w:rsid w:val="00A44E8A"/>
    <w:rsid w:val="00A45280"/>
    <w:rsid w:val="00A45BF7"/>
    <w:rsid w:val="00A463B5"/>
    <w:rsid w:val="00A463BA"/>
    <w:rsid w:val="00A46675"/>
    <w:rsid w:val="00A471A3"/>
    <w:rsid w:val="00A47597"/>
    <w:rsid w:val="00A47E08"/>
    <w:rsid w:val="00A47E44"/>
    <w:rsid w:val="00A47F91"/>
    <w:rsid w:val="00A507D7"/>
    <w:rsid w:val="00A50A5C"/>
    <w:rsid w:val="00A50BE2"/>
    <w:rsid w:val="00A50CC6"/>
    <w:rsid w:val="00A50E40"/>
    <w:rsid w:val="00A51462"/>
    <w:rsid w:val="00A51946"/>
    <w:rsid w:val="00A51C1F"/>
    <w:rsid w:val="00A51FF7"/>
    <w:rsid w:val="00A52079"/>
    <w:rsid w:val="00A52143"/>
    <w:rsid w:val="00A521E9"/>
    <w:rsid w:val="00A5298E"/>
    <w:rsid w:val="00A52B3E"/>
    <w:rsid w:val="00A5313B"/>
    <w:rsid w:val="00A5320E"/>
    <w:rsid w:val="00A53F7B"/>
    <w:rsid w:val="00A54090"/>
    <w:rsid w:val="00A54254"/>
    <w:rsid w:val="00A54282"/>
    <w:rsid w:val="00A549D3"/>
    <w:rsid w:val="00A54DF0"/>
    <w:rsid w:val="00A56E99"/>
    <w:rsid w:val="00A57212"/>
    <w:rsid w:val="00A57E98"/>
    <w:rsid w:val="00A60849"/>
    <w:rsid w:val="00A6105B"/>
    <w:rsid w:val="00A61355"/>
    <w:rsid w:val="00A61668"/>
    <w:rsid w:val="00A6178E"/>
    <w:rsid w:val="00A621D3"/>
    <w:rsid w:val="00A628F8"/>
    <w:rsid w:val="00A62B7A"/>
    <w:rsid w:val="00A632EA"/>
    <w:rsid w:val="00A634BE"/>
    <w:rsid w:val="00A63AD7"/>
    <w:rsid w:val="00A63BFD"/>
    <w:rsid w:val="00A6444A"/>
    <w:rsid w:val="00A6491F"/>
    <w:rsid w:val="00A64C72"/>
    <w:rsid w:val="00A64D1A"/>
    <w:rsid w:val="00A65320"/>
    <w:rsid w:val="00A65BA5"/>
    <w:rsid w:val="00A66288"/>
    <w:rsid w:val="00A66354"/>
    <w:rsid w:val="00A66E37"/>
    <w:rsid w:val="00A66ECF"/>
    <w:rsid w:val="00A67E38"/>
    <w:rsid w:val="00A703E4"/>
    <w:rsid w:val="00A70DC6"/>
    <w:rsid w:val="00A71080"/>
    <w:rsid w:val="00A713B3"/>
    <w:rsid w:val="00A71986"/>
    <w:rsid w:val="00A71E73"/>
    <w:rsid w:val="00A72740"/>
    <w:rsid w:val="00A73A64"/>
    <w:rsid w:val="00A742AD"/>
    <w:rsid w:val="00A746D7"/>
    <w:rsid w:val="00A74986"/>
    <w:rsid w:val="00A74AB2"/>
    <w:rsid w:val="00A75A46"/>
    <w:rsid w:val="00A75B36"/>
    <w:rsid w:val="00A75F2E"/>
    <w:rsid w:val="00A762F1"/>
    <w:rsid w:val="00A7663A"/>
    <w:rsid w:val="00A7696B"/>
    <w:rsid w:val="00A769D4"/>
    <w:rsid w:val="00A80268"/>
    <w:rsid w:val="00A804C7"/>
    <w:rsid w:val="00A80857"/>
    <w:rsid w:val="00A80A39"/>
    <w:rsid w:val="00A80DF0"/>
    <w:rsid w:val="00A80E64"/>
    <w:rsid w:val="00A81A16"/>
    <w:rsid w:val="00A823A7"/>
    <w:rsid w:val="00A825C8"/>
    <w:rsid w:val="00A82742"/>
    <w:rsid w:val="00A83984"/>
    <w:rsid w:val="00A83A1E"/>
    <w:rsid w:val="00A84198"/>
    <w:rsid w:val="00A841AB"/>
    <w:rsid w:val="00A844BF"/>
    <w:rsid w:val="00A84FFD"/>
    <w:rsid w:val="00A86104"/>
    <w:rsid w:val="00A8655A"/>
    <w:rsid w:val="00A87203"/>
    <w:rsid w:val="00A87744"/>
    <w:rsid w:val="00A87AE6"/>
    <w:rsid w:val="00A87B09"/>
    <w:rsid w:val="00A87C22"/>
    <w:rsid w:val="00A90590"/>
    <w:rsid w:val="00A90A97"/>
    <w:rsid w:val="00A90CB4"/>
    <w:rsid w:val="00A910DA"/>
    <w:rsid w:val="00A920E1"/>
    <w:rsid w:val="00A923D6"/>
    <w:rsid w:val="00A92B42"/>
    <w:rsid w:val="00A933AE"/>
    <w:rsid w:val="00A93863"/>
    <w:rsid w:val="00A9415E"/>
    <w:rsid w:val="00A9423F"/>
    <w:rsid w:val="00A94EBD"/>
    <w:rsid w:val="00A9510D"/>
    <w:rsid w:val="00A956AC"/>
    <w:rsid w:val="00A95D2A"/>
    <w:rsid w:val="00A96214"/>
    <w:rsid w:val="00A967E8"/>
    <w:rsid w:val="00A97AF8"/>
    <w:rsid w:val="00A97D38"/>
    <w:rsid w:val="00A97F4B"/>
    <w:rsid w:val="00AA04C5"/>
    <w:rsid w:val="00AA1044"/>
    <w:rsid w:val="00AA10B1"/>
    <w:rsid w:val="00AA239B"/>
    <w:rsid w:val="00AA2803"/>
    <w:rsid w:val="00AA2BF2"/>
    <w:rsid w:val="00AA2D65"/>
    <w:rsid w:val="00AA2D68"/>
    <w:rsid w:val="00AA2D6F"/>
    <w:rsid w:val="00AA3987"/>
    <w:rsid w:val="00AA3B68"/>
    <w:rsid w:val="00AA3E79"/>
    <w:rsid w:val="00AA447C"/>
    <w:rsid w:val="00AA4FB4"/>
    <w:rsid w:val="00AA5C0B"/>
    <w:rsid w:val="00AA5E3B"/>
    <w:rsid w:val="00AA63AD"/>
    <w:rsid w:val="00AA65B4"/>
    <w:rsid w:val="00AA745E"/>
    <w:rsid w:val="00AA7E43"/>
    <w:rsid w:val="00AB0352"/>
    <w:rsid w:val="00AB047A"/>
    <w:rsid w:val="00AB04AB"/>
    <w:rsid w:val="00AB0733"/>
    <w:rsid w:val="00AB09D2"/>
    <w:rsid w:val="00AB0B64"/>
    <w:rsid w:val="00AB0C30"/>
    <w:rsid w:val="00AB161B"/>
    <w:rsid w:val="00AB176B"/>
    <w:rsid w:val="00AB37E6"/>
    <w:rsid w:val="00AB3DBA"/>
    <w:rsid w:val="00AB431C"/>
    <w:rsid w:val="00AB470E"/>
    <w:rsid w:val="00AB5A7E"/>
    <w:rsid w:val="00AB7538"/>
    <w:rsid w:val="00AB75A7"/>
    <w:rsid w:val="00AB77F3"/>
    <w:rsid w:val="00AB7BE7"/>
    <w:rsid w:val="00AC0AAD"/>
    <w:rsid w:val="00AC0C2A"/>
    <w:rsid w:val="00AC1231"/>
    <w:rsid w:val="00AC15D4"/>
    <w:rsid w:val="00AC1992"/>
    <w:rsid w:val="00AC1E14"/>
    <w:rsid w:val="00AC2CFA"/>
    <w:rsid w:val="00AC2ED3"/>
    <w:rsid w:val="00AC3263"/>
    <w:rsid w:val="00AC3E12"/>
    <w:rsid w:val="00AC406E"/>
    <w:rsid w:val="00AC430C"/>
    <w:rsid w:val="00AC4A6B"/>
    <w:rsid w:val="00AC5C19"/>
    <w:rsid w:val="00AC60F0"/>
    <w:rsid w:val="00AC6657"/>
    <w:rsid w:val="00AC6A24"/>
    <w:rsid w:val="00AC6D7A"/>
    <w:rsid w:val="00AC72B0"/>
    <w:rsid w:val="00AC7363"/>
    <w:rsid w:val="00AC7401"/>
    <w:rsid w:val="00AC7901"/>
    <w:rsid w:val="00AC79F3"/>
    <w:rsid w:val="00AC7F15"/>
    <w:rsid w:val="00AC7FDD"/>
    <w:rsid w:val="00AD0949"/>
    <w:rsid w:val="00AD0F1D"/>
    <w:rsid w:val="00AD1179"/>
    <w:rsid w:val="00AD1359"/>
    <w:rsid w:val="00AD194B"/>
    <w:rsid w:val="00AD19F0"/>
    <w:rsid w:val="00AD1FCE"/>
    <w:rsid w:val="00AD26E1"/>
    <w:rsid w:val="00AD29CC"/>
    <w:rsid w:val="00AD3268"/>
    <w:rsid w:val="00AD3DE2"/>
    <w:rsid w:val="00AD4261"/>
    <w:rsid w:val="00AD4473"/>
    <w:rsid w:val="00AD46F5"/>
    <w:rsid w:val="00AD51A3"/>
    <w:rsid w:val="00AD598B"/>
    <w:rsid w:val="00AD7154"/>
    <w:rsid w:val="00AD7844"/>
    <w:rsid w:val="00AD797D"/>
    <w:rsid w:val="00AD7C94"/>
    <w:rsid w:val="00AD7E02"/>
    <w:rsid w:val="00AE0483"/>
    <w:rsid w:val="00AE08DD"/>
    <w:rsid w:val="00AE10E8"/>
    <w:rsid w:val="00AE13BD"/>
    <w:rsid w:val="00AE1681"/>
    <w:rsid w:val="00AE1AF9"/>
    <w:rsid w:val="00AE1E60"/>
    <w:rsid w:val="00AE2068"/>
    <w:rsid w:val="00AE2258"/>
    <w:rsid w:val="00AE277E"/>
    <w:rsid w:val="00AE2A36"/>
    <w:rsid w:val="00AE2BC6"/>
    <w:rsid w:val="00AE3251"/>
    <w:rsid w:val="00AE3FE0"/>
    <w:rsid w:val="00AE44A2"/>
    <w:rsid w:val="00AE4A71"/>
    <w:rsid w:val="00AE5058"/>
    <w:rsid w:val="00AE5170"/>
    <w:rsid w:val="00AE51CD"/>
    <w:rsid w:val="00AE5471"/>
    <w:rsid w:val="00AE54AA"/>
    <w:rsid w:val="00AE60E4"/>
    <w:rsid w:val="00AE6872"/>
    <w:rsid w:val="00AE6C58"/>
    <w:rsid w:val="00AE72C4"/>
    <w:rsid w:val="00AE7F05"/>
    <w:rsid w:val="00AE7F38"/>
    <w:rsid w:val="00AF054D"/>
    <w:rsid w:val="00AF0939"/>
    <w:rsid w:val="00AF0A7C"/>
    <w:rsid w:val="00AF1813"/>
    <w:rsid w:val="00AF1CA1"/>
    <w:rsid w:val="00AF24E7"/>
    <w:rsid w:val="00AF272B"/>
    <w:rsid w:val="00AF291B"/>
    <w:rsid w:val="00AF2DAA"/>
    <w:rsid w:val="00AF2EBD"/>
    <w:rsid w:val="00AF33AE"/>
    <w:rsid w:val="00AF409A"/>
    <w:rsid w:val="00AF44B1"/>
    <w:rsid w:val="00AF5800"/>
    <w:rsid w:val="00AF6986"/>
    <w:rsid w:val="00AF6D1B"/>
    <w:rsid w:val="00AF73ED"/>
    <w:rsid w:val="00AF7D69"/>
    <w:rsid w:val="00AF7ED2"/>
    <w:rsid w:val="00B004D8"/>
    <w:rsid w:val="00B00830"/>
    <w:rsid w:val="00B00CC5"/>
    <w:rsid w:val="00B01041"/>
    <w:rsid w:val="00B016D2"/>
    <w:rsid w:val="00B01E41"/>
    <w:rsid w:val="00B02091"/>
    <w:rsid w:val="00B02B3F"/>
    <w:rsid w:val="00B02B43"/>
    <w:rsid w:val="00B02BCB"/>
    <w:rsid w:val="00B03D36"/>
    <w:rsid w:val="00B03F3D"/>
    <w:rsid w:val="00B04384"/>
    <w:rsid w:val="00B04540"/>
    <w:rsid w:val="00B0459B"/>
    <w:rsid w:val="00B05116"/>
    <w:rsid w:val="00B051A7"/>
    <w:rsid w:val="00B05574"/>
    <w:rsid w:val="00B05F1A"/>
    <w:rsid w:val="00B07B33"/>
    <w:rsid w:val="00B07FA2"/>
    <w:rsid w:val="00B100CF"/>
    <w:rsid w:val="00B10E82"/>
    <w:rsid w:val="00B111A6"/>
    <w:rsid w:val="00B115E5"/>
    <w:rsid w:val="00B118EE"/>
    <w:rsid w:val="00B11B03"/>
    <w:rsid w:val="00B11C5B"/>
    <w:rsid w:val="00B121CD"/>
    <w:rsid w:val="00B12343"/>
    <w:rsid w:val="00B12529"/>
    <w:rsid w:val="00B128C5"/>
    <w:rsid w:val="00B12B11"/>
    <w:rsid w:val="00B12C94"/>
    <w:rsid w:val="00B135AB"/>
    <w:rsid w:val="00B137BF"/>
    <w:rsid w:val="00B13A1B"/>
    <w:rsid w:val="00B13A59"/>
    <w:rsid w:val="00B142D9"/>
    <w:rsid w:val="00B14BC4"/>
    <w:rsid w:val="00B156C8"/>
    <w:rsid w:val="00B158A3"/>
    <w:rsid w:val="00B15B25"/>
    <w:rsid w:val="00B15EA0"/>
    <w:rsid w:val="00B16E3E"/>
    <w:rsid w:val="00B17A4E"/>
    <w:rsid w:val="00B17B30"/>
    <w:rsid w:val="00B17C2F"/>
    <w:rsid w:val="00B21175"/>
    <w:rsid w:val="00B2153E"/>
    <w:rsid w:val="00B21FA7"/>
    <w:rsid w:val="00B22022"/>
    <w:rsid w:val="00B225E4"/>
    <w:rsid w:val="00B23F7A"/>
    <w:rsid w:val="00B240B1"/>
    <w:rsid w:val="00B24208"/>
    <w:rsid w:val="00B24728"/>
    <w:rsid w:val="00B248A9"/>
    <w:rsid w:val="00B24D28"/>
    <w:rsid w:val="00B24F1C"/>
    <w:rsid w:val="00B25890"/>
    <w:rsid w:val="00B25D76"/>
    <w:rsid w:val="00B27032"/>
    <w:rsid w:val="00B30003"/>
    <w:rsid w:val="00B31201"/>
    <w:rsid w:val="00B3167E"/>
    <w:rsid w:val="00B319F7"/>
    <w:rsid w:val="00B31B4B"/>
    <w:rsid w:val="00B31CD5"/>
    <w:rsid w:val="00B31E36"/>
    <w:rsid w:val="00B32E26"/>
    <w:rsid w:val="00B338B7"/>
    <w:rsid w:val="00B34061"/>
    <w:rsid w:val="00B3440A"/>
    <w:rsid w:val="00B34441"/>
    <w:rsid w:val="00B35534"/>
    <w:rsid w:val="00B35A87"/>
    <w:rsid w:val="00B35AB6"/>
    <w:rsid w:val="00B35AFD"/>
    <w:rsid w:val="00B35F9A"/>
    <w:rsid w:val="00B36236"/>
    <w:rsid w:val="00B3662E"/>
    <w:rsid w:val="00B366D2"/>
    <w:rsid w:val="00B366FA"/>
    <w:rsid w:val="00B36E86"/>
    <w:rsid w:val="00B37122"/>
    <w:rsid w:val="00B379BA"/>
    <w:rsid w:val="00B40139"/>
    <w:rsid w:val="00B410E1"/>
    <w:rsid w:val="00B412FD"/>
    <w:rsid w:val="00B422BE"/>
    <w:rsid w:val="00B4241D"/>
    <w:rsid w:val="00B426BB"/>
    <w:rsid w:val="00B42EB9"/>
    <w:rsid w:val="00B434E9"/>
    <w:rsid w:val="00B441FE"/>
    <w:rsid w:val="00B44645"/>
    <w:rsid w:val="00B44821"/>
    <w:rsid w:val="00B44AD3"/>
    <w:rsid w:val="00B44BDC"/>
    <w:rsid w:val="00B45152"/>
    <w:rsid w:val="00B45E54"/>
    <w:rsid w:val="00B461E5"/>
    <w:rsid w:val="00B46325"/>
    <w:rsid w:val="00B464E4"/>
    <w:rsid w:val="00B4689A"/>
    <w:rsid w:val="00B46D5F"/>
    <w:rsid w:val="00B46E7B"/>
    <w:rsid w:val="00B47DC5"/>
    <w:rsid w:val="00B47E53"/>
    <w:rsid w:val="00B505B3"/>
    <w:rsid w:val="00B50A74"/>
    <w:rsid w:val="00B520A0"/>
    <w:rsid w:val="00B5257E"/>
    <w:rsid w:val="00B525CE"/>
    <w:rsid w:val="00B52CFD"/>
    <w:rsid w:val="00B545A8"/>
    <w:rsid w:val="00B548E8"/>
    <w:rsid w:val="00B56527"/>
    <w:rsid w:val="00B56918"/>
    <w:rsid w:val="00B576DA"/>
    <w:rsid w:val="00B57710"/>
    <w:rsid w:val="00B601C9"/>
    <w:rsid w:val="00B60D04"/>
    <w:rsid w:val="00B61EE8"/>
    <w:rsid w:val="00B62D9B"/>
    <w:rsid w:val="00B633A3"/>
    <w:rsid w:val="00B63533"/>
    <w:rsid w:val="00B63BDB"/>
    <w:rsid w:val="00B649C4"/>
    <w:rsid w:val="00B64A0E"/>
    <w:rsid w:val="00B64CC6"/>
    <w:rsid w:val="00B64DDF"/>
    <w:rsid w:val="00B65728"/>
    <w:rsid w:val="00B6601E"/>
    <w:rsid w:val="00B663AA"/>
    <w:rsid w:val="00B66DD5"/>
    <w:rsid w:val="00B6715C"/>
    <w:rsid w:val="00B67B97"/>
    <w:rsid w:val="00B67F01"/>
    <w:rsid w:val="00B711AB"/>
    <w:rsid w:val="00B714E9"/>
    <w:rsid w:val="00B714F0"/>
    <w:rsid w:val="00B71A40"/>
    <w:rsid w:val="00B71BFA"/>
    <w:rsid w:val="00B71C8C"/>
    <w:rsid w:val="00B71CB4"/>
    <w:rsid w:val="00B71FD7"/>
    <w:rsid w:val="00B72003"/>
    <w:rsid w:val="00B7210F"/>
    <w:rsid w:val="00B725CA"/>
    <w:rsid w:val="00B725E7"/>
    <w:rsid w:val="00B72C07"/>
    <w:rsid w:val="00B72DF7"/>
    <w:rsid w:val="00B72F42"/>
    <w:rsid w:val="00B73E44"/>
    <w:rsid w:val="00B74290"/>
    <w:rsid w:val="00B74510"/>
    <w:rsid w:val="00B74822"/>
    <w:rsid w:val="00B74BD4"/>
    <w:rsid w:val="00B74BF7"/>
    <w:rsid w:val="00B76185"/>
    <w:rsid w:val="00B7676C"/>
    <w:rsid w:val="00B76BCD"/>
    <w:rsid w:val="00B76FBC"/>
    <w:rsid w:val="00B7782B"/>
    <w:rsid w:val="00B779E6"/>
    <w:rsid w:val="00B804E2"/>
    <w:rsid w:val="00B811B2"/>
    <w:rsid w:val="00B82024"/>
    <w:rsid w:val="00B8276E"/>
    <w:rsid w:val="00B83997"/>
    <w:rsid w:val="00B83A62"/>
    <w:rsid w:val="00B83B59"/>
    <w:rsid w:val="00B84252"/>
    <w:rsid w:val="00B845CE"/>
    <w:rsid w:val="00B84677"/>
    <w:rsid w:val="00B8468F"/>
    <w:rsid w:val="00B84FC6"/>
    <w:rsid w:val="00B857F5"/>
    <w:rsid w:val="00B85A56"/>
    <w:rsid w:val="00B85B2C"/>
    <w:rsid w:val="00B86B23"/>
    <w:rsid w:val="00B86D6C"/>
    <w:rsid w:val="00B86F47"/>
    <w:rsid w:val="00B874B4"/>
    <w:rsid w:val="00B875E9"/>
    <w:rsid w:val="00B8787A"/>
    <w:rsid w:val="00B87887"/>
    <w:rsid w:val="00B90123"/>
    <w:rsid w:val="00B90196"/>
    <w:rsid w:val="00B90FBE"/>
    <w:rsid w:val="00B911C1"/>
    <w:rsid w:val="00B92008"/>
    <w:rsid w:val="00B922C3"/>
    <w:rsid w:val="00B9272E"/>
    <w:rsid w:val="00B927A7"/>
    <w:rsid w:val="00B92B9E"/>
    <w:rsid w:val="00B9328F"/>
    <w:rsid w:val="00B93315"/>
    <w:rsid w:val="00B93519"/>
    <w:rsid w:val="00B9372A"/>
    <w:rsid w:val="00B93FD0"/>
    <w:rsid w:val="00B9425C"/>
    <w:rsid w:val="00B94AAF"/>
    <w:rsid w:val="00B94DB1"/>
    <w:rsid w:val="00B951E2"/>
    <w:rsid w:val="00B953FF"/>
    <w:rsid w:val="00B9622D"/>
    <w:rsid w:val="00B96263"/>
    <w:rsid w:val="00B968A5"/>
    <w:rsid w:val="00B972CD"/>
    <w:rsid w:val="00B9769B"/>
    <w:rsid w:val="00B97D02"/>
    <w:rsid w:val="00BA0304"/>
    <w:rsid w:val="00BA0557"/>
    <w:rsid w:val="00BA2A34"/>
    <w:rsid w:val="00BA3038"/>
    <w:rsid w:val="00BA3319"/>
    <w:rsid w:val="00BA370A"/>
    <w:rsid w:val="00BA3826"/>
    <w:rsid w:val="00BA48BC"/>
    <w:rsid w:val="00BA4A29"/>
    <w:rsid w:val="00BA4BE7"/>
    <w:rsid w:val="00BA5F20"/>
    <w:rsid w:val="00BA68D9"/>
    <w:rsid w:val="00BA7172"/>
    <w:rsid w:val="00BA7B01"/>
    <w:rsid w:val="00BB02D7"/>
    <w:rsid w:val="00BB0D9F"/>
    <w:rsid w:val="00BB0DEE"/>
    <w:rsid w:val="00BB1031"/>
    <w:rsid w:val="00BB1B33"/>
    <w:rsid w:val="00BB2480"/>
    <w:rsid w:val="00BB2C4E"/>
    <w:rsid w:val="00BB2E29"/>
    <w:rsid w:val="00BB2F74"/>
    <w:rsid w:val="00BB3206"/>
    <w:rsid w:val="00BB32C2"/>
    <w:rsid w:val="00BB3706"/>
    <w:rsid w:val="00BB3B0D"/>
    <w:rsid w:val="00BB3E18"/>
    <w:rsid w:val="00BB524C"/>
    <w:rsid w:val="00BB5DAB"/>
    <w:rsid w:val="00BB6195"/>
    <w:rsid w:val="00BB61A3"/>
    <w:rsid w:val="00BB707E"/>
    <w:rsid w:val="00BB7568"/>
    <w:rsid w:val="00BB7F82"/>
    <w:rsid w:val="00BC007C"/>
    <w:rsid w:val="00BC0AB2"/>
    <w:rsid w:val="00BC1308"/>
    <w:rsid w:val="00BC1BF4"/>
    <w:rsid w:val="00BC1D71"/>
    <w:rsid w:val="00BC2600"/>
    <w:rsid w:val="00BC2F24"/>
    <w:rsid w:val="00BC33BE"/>
    <w:rsid w:val="00BC3A47"/>
    <w:rsid w:val="00BC3DA4"/>
    <w:rsid w:val="00BC3EEB"/>
    <w:rsid w:val="00BC4780"/>
    <w:rsid w:val="00BC4DD7"/>
    <w:rsid w:val="00BC4F46"/>
    <w:rsid w:val="00BC52C8"/>
    <w:rsid w:val="00BC5485"/>
    <w:rsid w:val="00BC549C"/>
    <w:rsid w:val="00BC570E"/>
    <w:rsid w:val="00BC5A6C"/>
    <w:rsid w:val="00BC5AF6"/>
    <w:rsid w:val="00BC5B4B"/>
    <w:rsid w:val="00BC5EDB"/>
    <w:rsid w:val="00BC69A2"/>
    <w:rsid w:val="00BC6ED6"/>
    <w:rsid w:val="00BC6F03"/>
    <w:rsid w:val="00BC6FA1"/>
    <w:rsid w:val="00BD024F"/>
    <w:rsid w:val="00BD0570"/>
    <w:rsid w:val="00BD0853"/>
    <w:rsid w:val="00BD112D"/>
    <w:rsid w:val="00BD214E"/>
    <w:rsid w:val="00BD22F7"/>
    <w:rsid w:val="00BD2395"/>
    <w:rsid w:val="00BD25B8"/>
    <w:rsid w:val="00BD2842"/>
    <w:rsid w:val="00BD2892"/>
    <w:rsid w:val="00BD3120"/>
    <w:rsid w:val="00BD3354"/>
    <w:rsid w:val="00BD368C"/>
    <w:rsid w:val="00BD384E"/>
    <w:rsid w:val="00BD3E76"/>
    <w:rsid w:val="00BD3EE2"/>
    <w:rsid w:val="00BD3FCF"/>
    <w:rsid w:val="00BD42D2"/>
    <w:rsid w:val="00BD44CE"/>
    <w:rsid w:val="00BD47D7"/>
    <w:rsid w:val="00BD4EFB"/>
    <w:rsid w:val="00BD4F39"/>
    <w:rsid w:val="00BD5076"/>
    <w:rsid w:val="00BD5551"/>
    <w:rsid w:val="00BD5AF1"/>
    <w:rsid w:val="00BD6D43"/>
    <w:rsid w:val="00BD7090"/>
    <w:rsid w:val="00BD7490"/>
    <w:rsid w:val="00BD767F"/>
    <w:rsid w:val="00BE09C3"/>
    <w:rsid w:val="00BE0C27"/>
    <w:rsid w:val="00BE15BB"/>
    <w:rsid w:val="00BE198F"/>
    <w:rsid w:val="00BE1A78"/>
    <w:rsid w:val="00BE473E"/>
    <w:rsid w:val="00BE5135"/>
    <w:rsid w:val="00BE5964"/>
    <w:rsid w:val="00BE5F2B"/>
    <w:rsid w:val="00BE623F"/>
    <w:rsid w:val="00BE660B"/>
    <w:rsid w:val="00BE6AFE"/>
    <w:rsid w:val="00BE6BBE"/>
    <w:rsid w:val="00BE6FDA"/>
    <w:rsid w:val="00BE7021"/>
    <w:rsid w:val="00BE7300"/>
    <w:rsid w:val="00BE784F"/>
    <w:rsid w:val="00BE78CE"/>
    <w:rsid w:val="00BE7B7D"/>
    <w:rsid w:val="00BF0238"/>
    <w:rsid w:val="00BF0717"/>
    <w:rsid w:val="00BF071D"/>
    <w:rsid w:val="00BF1750"/>
    <w:rsid w:val="00BF178E"/>
    <w:rsid w:val="00BF189F"/>
    <w:rsid w:val="00BF1B44"/>
    <w:rsid w:val="00BF1F01"/>
    <w:rsid w:val="00BF21FF"/>
    <w:rsid w:val="00BF23CC"/>
    <w:rsid w:val="00BF243F"/>
    <w:rsid w:val="00BF284E"/>
    <w:rsid w:val="00BF2F93"/>
    <w:rsid w:val="00BF3ACF"/>
    <w:rsid w:val="00BF3C2A"/>
    <w:rsid w:val="00BF4C2B"/>
    <w:rsid w:val="00BF507A"/>
    <w:rsid w:val="00BF53F1"/>
    <w:rsid w:val="00BF5717"/>
    <w:rsid w:val="00BF5B9D"/>
    <w:rsid w:val="00BF5CD8"/>
    <w:rsid w:val="00BF5FA3"/>
    <w:rsid w:val="00BF62F2"/>
    <w:rsid w:val="00BF63A5"/>
    <w:rsid w:val="00BF72A7"/>
    <w:rsid w:val="00BF7558"/>
    <w:rsid w:val="00C0111E"/>
    <w:rsid w:val="00C02676"/>
    <w:rsid w:val="00C029AB"/>
    <w:rsid w:val="00C03BD5"/>
    <w:rsid w:val="00C03C8B"/>
    <w:rsid w:val="00C03F3C"/>
    <w:rsid w:val="00C049BE"/>
    <w:rsid w:val="00C04A71"/>
    <w:rsid w:val="00C04DF0"/>
    <w:rsid w:val="00C05A4C"/>
    <w:rsid w:val="00C05A67"/>
    <w:rsid w:val="00C073E0"/>
    <w:rsid w:val="00C1001D"/>
    <w:rsid w:val="00C10400"/>
    <w:rsid w:val="00C1072B"/>
    <w:rsid w:val="00C10B5A"/>
    <w:rsid w:val="00C11113"/>
    <w:rsid w:val="00C11687"/>
    <w:rsid w:val="00C117BE"/>
    <w:rsid w:val="00C11E28"/>
    <w:rsid w:val="00C1225B"/>
    <w:rsid w:val="00C122F9"/>
    <w:rsid w:val="00C12459"/>
    <w:rsid w:val="00C1253A"/>
    <w:rsid w:val="00C128C9"/>
    <w:rsid w:val="00C12CF3"/>
    <w:rsid w:val="00C12F88"/>
    <w:rsid w:val="00C131A8"/>
    <w:rsid w:val="00C1322D"/>
    <w:rsid w:val="00C135A3"/>
    <w:rsid w:val="00C1477A"/>
    <w:rsid w:val="00C14A62"/>
    <w:rsid w:val="00C158EB"/>
    <w:rsid w:val="00C159B1"/>
    <w:rsid w:val="00C161F5"/>
    <w:rsid w:val="00C16C92"/>
    <w:rsid w:val="00C1706B"/>
    <w:rsid w:val="00C17648"/>
    <w:rsid w:val="00C17DB7"/>
    <w:rsid w:val="00C17E48"/>
    <w:rsid w:val="00C17E81"/>
    <w:rsid w:val="00C17FF5"/>
    <w:rsid w:val="00C201E7"/>
    <w:rsid w:val="00C20AA2"/>
    <w:rsid w:val="00C20B91"/>
    <w:rsid w:val="00C21155"/>
    <w:rsid w:val="00C21180"/>
    <w:rsid w:val="00C2146C"/>
    <w:rsid w:val="00C214D7"/>
    <w:rsid w:val="00C21561"/>
    <w:rsid w:val="00C217EE"/>
    <w:rsid w:val="00C21CBF"/>
    <w:rsid w:val="00C22784"/>
    <w:rsid w:val="00C227D6"/>
    <w:rsid w:val="00C2395D"/>
    <w:rsid w:val="00C23A4C"/>
    <w:rsid w:val="00C2419D"/>
    <w:rsid w:val="00C243A4"/>
    <w:rsid w:val="00C24416"/>
    <w:rsid w:val="00C248DB"/>
    <w:rsid w:val="00C26170"/>
    <w:rsid w:val="00C26B5A"/>
    <w:rsid w:val="00C26D52"/>
    <w:rsid w:val="00C26F21"/>
    <w:rsid w:val="00C277DA"/>
    <w:rsid w:val="00C303E4"/>
    <w:rsid w:val="00C30775"/>
    <w:rsid w:val="00C30B8D"/>
    <w:rsid w:val="00C310BA"/>
    <w:rsid w:val="00C3134E"/>
    <w:rsid w:val="00C315D8"/>
    <w:rsid w:val="00C31C4A"/>
    <w:rsid w:val="00C31D2D"/>
    <w:rsid w:val="00C32639"/>
    <w:rsid w:val="00C32A1C"/>
    <w:rsid w:val="00C32AD2"/>
    <w:rsid w:val="00C34193"/>
    <w:rsid w:val="00C347FD"/>
    <w:rsid w:val="00C34CA8"/>
    <w:rsid w:val="00C34DAE"/>
    <w:rsid w:val="00C34E1E"/>
    <w:rsid w:val="00C34E5A"/>
    <w:rsid w:val="00C35A84"/>
    <w:rsid w:val="00C36219"/>
    <w:rsid w:val="00C3698E"/>
    <w:rsid w:val="00C36CCA"/>
    <w:rsid w:val="00C36E1C"/>
    <w:rsid w:val="00C36F42"/>
    <w:rsid w:val="00C3718A"/>
    <w:rsid w:val="00C377B1"/>
    <w:rsid w:val="00C379C5"/>
    <w:rsid w:val="00C37E84"/>
    <w:rsid w:val="00C37EEE"/>
    <w:rsid w:val="00C40453"/>
    <w:rsid w:val="00C40E71"/>
    <w:rsid w:val="00C41879"/>
    <w:rsid w:val="00C41A7C"/>
    <w:rsid w:val="00C42651"/>
    <w:rsid w:val="00C42CEF"/>
    <w:rsid w:val="00C42D55"/>
    <w:rsid w:val="00C43080"/>
    <w:rsid w:val="00C4370E"/>
    <w:rsid w:val="00C43823"/>
    <w:rsid w:val="00C4384B"/>
    <w:rsid w:val="00C4393C"/>
    <w:rsid w:val="00C44068"/>
    <w:rsid w:val="00C442AE"/>
    <w:rsid w:val="00C4518B"/>
    <w:rsid w:val="00C45780"/>
    <w:rsid w:val="00C458D6"/>
    <w:rsid w:val="00C46268"/>
    <w:rsid w:val="00C4655A"/>
    <w:rsid w:val="00C466BF"/>
    <w:rsid w:val="00C47385"/>
    <w:rsid w:val="00C47555"/>
    <w:rsid w:val="00C476AC"/>
    <w:rsid w:val="00C47E67"/>
    <w:rsid w:val="00C47FD9"/>
    <w:rsid w:val="00C50387"/>
    <w:rsid w:val="00C50C1A"/>
    <w:rsid w:val="00C51508"/>
    <w:rsid w:val="00C51D73"/>
    <w:rsid w:val="00C51DEB"/>
    <w:rsid w:val="00C52A05"/>
    <w:rsid w:val="00C52E97"/>
    <w:rsid w:val="00C52EAF"/>
    <w:rsid w:val="00C53189"/>
    <w:rsid w:val="00C534E5"/>
    <w:rsid w:val="00C534F4"/>
    <w:rsid w:val="00C5375B"/>
    <w:rsid w:val="00C53B15"/>
    <w:rsid w:val="00C53DA9"/>
    <w:rsid w:val="00C53EF7"/>
    <w:rsid w:val="00C54280"/>
    <w:rsid w:val="00C54929"/>
    <w:rsid w:val="00C54F5E"/>
    <w:rsid w:val="00C556B1"/>
    <w:rsid w:val="00C55A05"/>
    <w:rsid w:val="00C55A12"/>
    <w:rsid w:val="00C56101"/>
    <w:rsid w:val="00C565F2"/>
    <w:rsid w:val="00C56C45"/>
    <w:rsid w:val="00C573CC"/>
    <w:rsid w:val="00C57B81"/>
    <w:rsid w:val="00C57FB9"/>
    <w:rsid w:val="00C60145"/>
    <w:rsid w:val="00C6077B"/>
    <w:rsid w:val="00C60950"/>
    <w:rsid w:val="00C609FD"/>
    <w:rsid w:val="00C60DD1"/>
    <w:rsid w:val="00C61565"/>
    <w:rsid w:val="00C61574"/>
    <w:rsid w:val="00C615B4"/>
    <w:rsid w:val="00C61765"/>
    <w:rsid w:val="00C61A90"/>
    <w:rsid w:val="00C6211D"/>
    <w:rsid w:val="00C62B32"/>
    <w:rsid w:val="00C63DED"/>
    <w:rsid w:val="00C63E88"/>
    <w:rsid w:val="00C64F97"/>
    <w:rsid w:val="00C65585"/>
    <w:rsid w:val="00C656EB"/>
    <w:rsid w:val="00C65C5A"/>
    <w:rsid w:val="00C65D7B"/>
    <w:rsid w:val="00C65DF4"/>
    <w:rsid w:val="00C66976"/>
    <w:rsid w:val="00C6762C"/>
    <w:rsid w:val="00C67B49"/>
    <w:rsid w:val="00C70942"/>
    <w:rsid w:val="00C711F5"/>
    <w:rsid w:val="00C713A1"/>
    <w:rsid w:val="00C71828"/>
    <w:rsid w:val="00C72105"/>
    <w:rsid w:val="00C72BCE"/>
    <w:rsid w:val="00C74954"/>
    <w:rsid w:val="00C76028"/>
    <w:rsid w:val="00C76184"/>
    <w:rsid w:val="00C7673D"/>
    <w:rsid w:val="00C76A80"/>
    <w:rsid w:val="00C76C27"/>
    <w:rsid w:val="00C76F07"/>
    <w:rsid w:val="00C77EF6"/>
    <w:rsid w:val="00C80B4B"/>
    <w:rsid w:val="00C80D63"/>
    <w:rsid w:val="00C812D5"/>
    <w:rsid w:val="00C818D0"/>
    <w:rsid w:val="00C81BEA"/>
    <w:rsid w:val="00C81DF5"/>
    <w:rsid w:val="00C82188"/>
    <w:rsid w:val="00C8242B"/>
    <w:rsid w:val="00C829FA"/>
    <w:rsid w:val="00C82A50"/>
    <w:rsid w:val="00C83240"/>
    <w:rsid w:val="00C832E7"/>
    <w:rsid w:val="00C83381"/>
    <w:rsid w:val="00C83607"/>
    <w:rsid w:val="00C83768"/>
    <w:rsid w:val="00C83B18"/>
    <w:rsid w:val="00C840C3"/>
    <w:rsid w:val="00C841B4"/>
    <w:rsid w:val="00C84266"/>
    <w:rsid w:val="00C849E0"/>
    <w:rsid w:val="00C84B74"/>
    <w:rsid w:val="00C8512A"/>
    <w:rsid w:val="00C85970"/>
    <w:rsid w:val="00C85E9B"/>
    <w:rsid w:val="00C874C8"/>
    <w:rsid w:val="00C90165"/>
    <w:rsid w:val="00C90733"/>
    <w:rsid w:val="00C90E5E"/>
    <w:rsid w:val="00C921C4"/>
    <w:rsid w:val="00C9235F"/>
    <w:rsid w:val="00C9257F"/>
    <w:rsid w:val="00C9319C"/>
    <w:rsid w:val="00C931C4"/>
    <w:rsid w:val="00C934F6"/>
    <w:rsid w:val="00C93874"/>
    <w:rsid w:val="00C93A4C"/>
    <w:rsid w:val="00C9448D"/>
    <w:rsid w:val="00C94FD2"/>
    <w:rsid w:val="00C9514C"/>
    <w:rsid w:val="00C95341"/>
    <w:rsid w:val="00C95B76"/>
    <w:rsid w:val="00C964C3"/>
    <w:rsid w:val="00C96635"/>
    <w:rsid w:val="00C966B7"/>
    <w:rsid w:val="00C969DB"/>
    <w:rsid w:val="00C97A4A"/>
    <w:rsid w:val="00C97DC9"/>
    <w:rsid w:val="00C97EE3"/>
    <w:rsid w:val="00CA12BA"/>
    <w:rsid w:val="00CA165C"/>
    <w:rsid w:val="00CA1C0D"/>
    <w:rsid w:val="00CA1DAE"/>
    <w:rsid w:val="00CA2267"/>
    <w:rsid w:val="00CA38AD"/>
    <w:rsid w:val="00CA413F"/>
    <w:rsid w:val="00CA5098"/>
    <w:rsid w:val="00CA5503"/>
    <w:rsid w:val="00CA55C3"/>
    <w:rsid w:val="00CA65B3"/>
    <w:rsid w:val="00CA66C3"/>
    <w:rsid w:val="00CA6CAD"/>
    <w:rsid w:val="00CA70A8"/>
    <w:rsid w:val="00CA70D0"/>
    <w:rsid w:val="00CA74A4"/>
    <w:rsid w:val="00CA7683"/>
    <w:rsid w:val="00CA7E14"/>
    <w:rsid w:val="00CA7EA1"/>
    <w:rsid w:val="00CA7EEB"/>
    <w:rsid w:val="00CB009B"/>
    <w:rsid w:val="00CB0231"/>
    <w:rsid w:val="00CB0838"/>
    <w:rsid w:val="00CB0CA9"/>
    <w:rsid w:val="00CB1AFD"/>
    <w:rsid w:val="00CB1E7F"/>
    <w:rsid w:val="00CB1EB3"/>
    <w:rsid w:val="00CB2126"/>
    <w:rsid w:val="00CB24AD"/>
    <w:rsid w:val="00CB2C59"/>
    <w:rsid w:val="00CB2D9C"/>
    <w:rsid w:val="00CB34AB"/>
    <w:rsid w:val="00CB3529"/>
    <w:rsid w:val="00CB3562"/>
    <w:rsid w:val="00CB38A9"/>
    <w:rsid w:val="00CB4728"/>
    <w:rsid w:val="00CB4994"/>
    <w:rsid w:val="00CB556C"/>
    <w:rsid w:val="00CB566A"/>
    <w:rsid w:val="00CB59E7"/>
    <w:rsid w:val="00CB5E4A"/>
    <w:rsid w:val="00CB668A"/>
    <w:rsid w:val="00CB6976"/>
    <w:rsid w:val="00CB6FCA"/>
    <w:rsid w:val="00CB724D"/>
    <w:rsid w:val="00CB73EA"/>
    <w:rsid w:val="00CB7D4E"/>
    <w:rsid w:val="00CC002B"/>
    <w:rsid w:val="00CC07E5"/>
    <w:rsid w:val="00CC09F0"/>
    <w:rsid w:val="00CC0C11"/>
    <w:rsid w:val="00CC15B5"/>
    <w:rsid w:val="00CC1671"/>
    <w:rsid w:val="00CC1F52"/>
    <w:rsid w:val="00CC233F"/>
    <w:rsid w:val="00CC27FD"/>
    <w:rsid w:val="00CC31E8"/>
    <w:rsid w:val="00CC33C6"/>
    <w:rsid w:val="00CC3AB9"/>
    <w:rsid w:val="00CC3C9E"/>
    <w:rsid w:val="00CC45E0"/>
    <w:rsid w:val="00CC4BBE"/>
    <w:rsid w:val="00CC4BC3"/>
    <w:rsid w:val="00CC4CEB"/>
    <w:rsid w:val="00CC50C7"/>
    <w:rsid w:val="00CC55AC"/>
    <w:rsid w:val="00CC5859"/>
    <w:rsid w:val="00CC6159"/>
    <w:rsid w:val="00CC65A8"/>
    <w:rsid w:val="00CC6FF2"/>
    <w:rsid w:val="00CC71F3"/>
    <w:rsid w:val="00CC72C0"/>
    <w:rsid w:val="00CC757D"/>
    <w:rsid w:val="00CC7C74"/>
    <w:rsid w:val="00CD00DB"/>
    <w:rsid w:val="00CD0119"/>
    <w:rsid w:val="00CD07FD"/>
    <w:rsid w:val="00CD0866"/>
    <w:rsid w:val="00CD1169"/>
    <w:rsid w:val="00CD16C7"/>
    <w:rsid w:val="00CD1A40"/>
    <w:rsid w:val="00CD1B33"/>
    <w:rsid w:val="00CD25F3"/>
    <w:rsid w:val="00CD27FF"/>
    <w:rsid w:val="00CD305C"/>
    <w:rsid w:val="00CD3A6D"/>
    <w:rsid w:val="00CD3E5A"/>
    <w:rsid w:val="00CD3E63"/>
    <w:rsid w:val="00CD40A3"/>
    <w:rsid w:val="00CD4CD3"/>
    <w:rsid w:val="00CD578C"/>
    <w:rsid w:val="00CD589F"/>
    <w:rsid w:val="00CD60C9"/>
    <w:rsid w:val="00CD6345"/>
    <w:rsid w:val="00CD6BBB"/>
    <w:rsid w:val="00CD6C19"/>
    <w:rsid w:val="00CD6E47"/>
    <w:rsid w:val="00CD7482"/>
    <w:rsid w:val="00CE07C1"/>
    <w:rsid w:val="00CE1567"/>
    <w:rsid w:val="00CE186F"/>
    <w:rsid w:val="00CE1BC4"/>
    <w:rsid w:val="00CE1C09"/>
    <w:rsid w:val="00CE20E3"/>
    <w:rsid w:val="00CE24B7"/>
    <w:rsid w:val="00CE273A"/>
    <w:rsid w:val="00CE321C"/>
    <w:rsid w:val="00CE32E8"/>
    <w:rsid w:val="00CE3700"/>
    <w:rsid w:val="00CE3B69"/>
    <w:rsid w:val="00CE3B77"/>
    <w:rsid w:val="00CE4559"/>
    <w:rsid w:val="00CE5118"/>
    <w:rsid w:val="00CE5487"/>
    <w:rsid w:val="00CE59B5"/>
    <w:rsid w:val="00CE59DB"/>
    <w:rsid w:val="00CE5D3A"/>
    <w:rsid w:val="00CE7381"/>
    <w:rsid w:val="00CE7447"/>
    <w:rsid w:val="00CE74CE"/>
    <w:rsid w:val="00CE7F36"/>
    <w:rsid w:val="00CF0829"/>
    <w:rsid w:val="00CF0E74"/>
    <w:rsid w:val="00CF1833"/>
    <w:rsid w:val="00CF1AEA"/>
    <w:rsid w:val="00CF1B4F"/>
    <w:rsid w:val="00CF2091"/>
    <w:rsid w:val="00CF21F6"/>
    <w:rsid w:val="00CF2278"/>
    <w:rsid w:val="00CF2C62"/>
    <w:rsid w:val="00CF2F66"/>
    <w:rsid w:val="00CF337B"/>
    <w:rsid w:val="00CF3FE7"/>
    <w:rsid w:val="00CF4049"/>
    <w:rsid w:val="00CF4059"/>
    <w:rsid w:val="00CF4416"/>
    <w:rsid w:val="00CF5762"/>
    <w:rsid w:val="00CF65B4"/>
    <w:rsid w:val="00CF69B0"/>
    <w:rsid w:val="00CF6C05"/>
    <w:rsid w:val="00CF7485"/>
    <w:rsid w:val="00CF7E56"/>
    <w:rsid w:val="00D0139C"/>
    <w:rsid w:val="00D01744"/>
    <w:rsid w:val="00D025CE"/>
    <w:rsid w:val="00D02A0F"/>
    <w:rsid w:val="00D02DF3"/>
    <w:rsid w:val="00D02FB3"/>
    <w:rsid w:val="00D03181"/>
    <w:rsid w:val="00D037DC"/>
    <w:rsid w:val="00D0383B"/>
    <w:rsid w:val="00D03A8A"/>
    <w:rsid w:val="00D03DA5"/>
    <w:rsid w:val="00D03F27"/>
    <w:rsid w:val="00D043EE"/>
    <w:rsid w:val="00D0470D"/>
    <w:rsid w:val="00D05249"/>
    <w:rsid w:val="00D055CA"/>
    <w:rsid w:val="00D059FC"/>
    <w:rsid w:val="00D05DEF"/>
    <w:rsid w:val="00D06861"/>
    <w:rsid w:val="00D0688A"/>
    <w:rsid w:val="00D06F22"/>
    <w:rsid w:val="00D07A9C"/>
    <w:rsid w:val="00D07F09"/>
    <w:rsid w:val="00D10076"/>
    <w:rsid w:val="00D1033B"/>
    <w:rsid w:val="00D10477"/>
    <w:rsid w:val="00D107E2"/>
    <w:rsid w:val="00D1136D"/>
    <w:rsid w:val="00D11D76"/>
    <w:rsid w:val="00D11E73"/>
    <w:rsid w:val="00D121F5"/>
    <w:rsid w:val="00D126E4"/>
    <w:rsid w:val="00D131BF"/>
    <w:rsid w:val="00D140E6"/>
    <w:rsid w:val="00D158EF"/>
    <w:rsid w:val="00D15C14"/>
    <w:rsid w:val="00D15E74"/>
    <w:rsid w:val="00D15FAA"/>
    <w:rsid w:val="00D16ECB"/>
    <w:rsid w:val="00D16EEE"/>
    <w:rsid w:val="00D17167"/>
    <w:rsid w:val="00D1794C"/>
    <w:rsid w:val="00D17BA5"/>
    <w:rsid w:val="00D17EC9"/>
    <w:rsid w:val="00D2058D"/>
    <w:rsid w:val="00D2176E"/>
    <w:rsid w:val="00D2182A"/>
    <w:rsid w:val="00D22105"/>
    <w:rsid w:val="00D2211C"/>
    <w:rsid w:val="00D22945"/>
    <w:rsid w:val="00D22B55"/>
    <w:rsid w:val="00D23055"/>
    <w:rsid w:val="00D230AD"/>
    <w:rsid w:val="00D23A00"/>
    <w:rsid w:val="00D251AB"/>
    <w:rsid w:val="00D25AC6"/>
    <w:rsid w:val="00D261D3"/>
    <w:rsid w:val="00D31255"/>
    <w:rsid w:val="00D319DF"/>
    <w:rsid w:val="00D3225E"/>
    <w:rsid w:val="00D324BC"/>
    <w:rsid w:val="00D33565"/>
    <w:rsid w:val="00D33762"/>
    <w:rsid w:val="00D34025"/>
    <w:rsid w:val="00D3413A"/>
    <w:rsid w:val="00D34BD1"/>
    <w:rsid w:val="00D35177"/>
    <w:rsid w:val="00D356E1"/>
    <w:rsid w:val="00D35D14"/>
    <w:rsid w:val="00D37006"/>
    <w:rsid w:val="00D40609"/>
    <w:rsid w:val="00D40983"/>
    <w:rsid w:val="00D41188"/>
    <w:rsid w:val="00D417D3"/>
    <w:rsid w:val="00D418D5"/>
    <w:rsid w:val="00D41A6B"/>
    <w:rsid w:val="00D41DB1"/>
    <w:rsid w:val="00D42045"/>
    <w:rsid w:val="00D4276D"/>
    <w:rsid w:val="00D42798"/>
    <w:rsid w:val="00D42970"/>
    <w:rsid w:val="00D43492"/>
    <w:rsid w:val="00D4364E"/>
    <w:rsid w:val="00D43AED"/>
    <w:rsid w:val="00D44916"/>
    <w:rsid w:val="00D45CA4"/>
    <w:rsid w:val="00D45EA7"/>
    <w:rsid w:val="00D45F22"/>
    <w:rsid w:val="00D46485"/>
    <w:rsid w:val="00D47178"/>
    <w:rsid w:val="00D4752E"/>
    <w:rsid w:val="00D47842"/>
    <w:rsid w:val="00D478A8"/>
    <w:rsid w:val="00D47BEF"/>
    <w:rsid w:val="00D50826"/>
    <w:rsid w:val="00D51675"/>
    <w:rsid w:val="00D51A75"/>
    <w:rsid w:val="00D51F73"/>
    <w:rsid w:val="00D52827"/>
    <w:rsid w:val="00D529BE"/>
    <w:rsid w:val="00D52CF6"/>
    <w:rsid w:val="00D52FD1"/>
    <w:rsid w:val="00D53198"/>
    <w:rsid w:val="00D53D3E"/>
    <w:rsid w:val="00D547E0"/>
    <w:rsid w:val="00D54992"/>
    <w:rsid w:val="00D55291"/>
    <w:rsid w:val="00D55C48"/>
    <w:rsid w:val="00D55E47"/>
    <w:rsid w:val="00D56997"/>
    <w:rsid w:val="00D570E6"/>
    <w:rsid w:val="00D5730F"/>
    <w:rsid w:val="00D5774F"/>
    <w:rsid w:val="00D578B1"/>
    <w:rsid w:val="00D57A52"/>
    <w:rsid w:val="00D60809"/>
    <w:rsid w:val="00D60D7F"/>
    <w:rsid w:val="00D61C9C"/>
    <w:rsid w:val="00D62111"/>
    <w:rsid w:val="00D62229"/>
    <w:rsid w:val="00D625B8"/>
    <w:rsid w:val="00D626F8"/>
    <w:rsid w:val="00D634CD"/>
    <w:rsid w:val="00D636DC"/>
    <w:rsid w:val="00D63F4C"/>
    <w:rsid w:val="00D64265"/>
    <w:rsid w:val="00D64613"/>
    <w:rsid w:val="00D64702"/>
    <w:rsid w:val="00D66BD9"/>
    <w:rsid w:val="00D66BFD"/>
    <w:rsid w:val="00D66C91"/>
    <w:rsid w:val="00D674EE"/>
    <w:rsid w:val="00D67535"/>
    <w:rsid w:val="00D67B2A"/>
    <w:rsid w:val="00D67BC9"/>
    <w:rsid w:val="00D67DBC"/>
    <w:rsid w:val="00D704D9"/>
    <w:rsid w:val="00D706F7"/>
    <w:rsid w:val="00D70BD2"/>
    <w:rsid w:val="00D713F2"/>
    <w:rsid w:val="00D721AA"/>
    <w:rsid w:val="00D72705"/>
    <w:rsid w:val="00D738BF"/>
    <w:rsid w:val="00D73B93"/>
    <w:rsid w:val="00D73C95"/>
    <w:rsid w:val="00D73F99"/>
    <w:rsid w:val="00D745C1"/>
    <w:rsid w:val="00D75676"/>
    <w:rsid w:val="00D75731"/>
    <w:rsid w:val="00D75B45"/>
    <w:rsid w:val="00D75B5C"/>
    <w:rsid w:val="00D75F8C"/>
    <w:rsid w:val="00D76050"/>
    <w:rsid w:val="00D76309"/>
    <w:rsid w:val="00D76423"/>
    <w:rsid w:val="00D767BF"/>
    <w:rsid w:val="00D77278"/>
    <w:rsid w:val="00D775B5"/>
    <w:rsid w:val="00D77961"/>
    <w:rsid w:val="00D77B20"/>
    <w:rsid w:val="00D77B3B"/>
    <w:rsid w:val="00D8007C"/>
    <w:rsid w:val="00D8079F"/>
    <w:rsid w:val="00D8103B"/>
    <w:rsid w:val="00D8111B"/>
    <w:rsid w:val="00D81242"/>
    <w:rsid w:val="00D812D2"/>
    <w:rsid w:val="00D822FA"/>
    <w:rsid w:val="00D82D02"/>
    <w:rsid w:val="00D82D0F"/>
    <w:rsid w:val="00D83A5A"/>
    <w:rsid w:val="00D84157"/>
    <w:rsid w:val="00D84762"/>
    <w:rsid w:val="00D84BD7"/>
    <w:rsid w:val="00D84DCA"/>
    <w:rsid w:val="00D850FC"/>
    <w:rsid w:val="00D85114"/>
    <w:rsid w:val="00D857BC"/>
    <w:rsid w:val="00D86144"/>
    <w:rsid w:val="00D8622E"/>
    <w:rsid w:val="00D8718F"/>
    <w:rsid w:val="00D871B6"/>
    <w:rsid w:val="00D875E1"/>
    <w:rsid w:val="00D90275"/>
    <w:rsid w:val="00D902F5"/>
    <w:rsid w:val="00D9075D"/>
    <w:rsid w:val="00D90959"/>
    <w:rsid w:val="00D91410"/>
    <w:rsid w:val="00D91438"/>
    <w:rsid w:val="00D91594"/>
    <w:rsid w:val="00D91A8F"/>
    <w:rsid w:val="00D91ABE"/>
    <w:rsid w:val="00D91DFB"/>
    <w:rsid w:val="00D921DA"/>
    <w:rsid w:val="00D92C2F"/>
    <w:rsid w:val="00D92F7F"/>
    <w:rsid w:val="00D9459D"/>
    <w:rsid w:val="00D94730"/>
    <w:rsid w:val="00D94858"/>
    <w:rsid w:val="00D94972"/>
    <w:rsid w:val="00D954A1"/>
    <w:rsid w:val="00D95519"/>
    <w:rsid w:val="00D95744"/>
    <w:rsid w:val="00D958FC"/>
    <w:rsid w:val="00D959AE"/>
    <w:rsid w:val="00D95DC2"/>
    <w:rsid w:val="00D96678"/>
    <w:rsid w:val="00D96C73"/>
    <w:rsid w:val="00D96D46"/>
    <w:rsid w:val="00D97C27"/>
    <w:rsid w:val="00DA0526"/>
    <w:rsid w:val="00DA0639"/>
    <w:rsid w:val="00DA0CF7"/>
    <w:rsid w:val="00DA0E96"/>
    <w:rsid w:val="00DA1203"/>
    <w:rsid w:val="00DA18DA"/>
    <w:rsid w:val="00DA1F0C"/>
    <w:rsid w:val="00DA1F38"/>
    <w:rsid w:val="00DA2F0F"/>
    <w:rsid w:val="00DA3565"/>
    <w:rsid w:val="00DA3A5B"/>
    <w:rsid w:val="00DA3D0B"/>
    <w:rsid w:val="00DA3F51"/>
    <w:rsid w:val="00DA45DB"/>
    <w:rsid w:val="00DA48D9"/>
    <w:rsid w:val="00DA49F8"/>
    <w:rsid w:val="00DA4AAE"/>
    <w:rsid w:val="00DA5572"/>
    <w:rsid w:val="00DA6A15"/>
    <w:rsid w:val="00DA6CC2"/>
    <w:rsid w:val="00DA7029"/>
    <w:rsid w:val="00DA7288"/>
    <w:rsid w:val="00DA77A0"/>
    <w:rsid w:val="00DB09A2"/>
    <w:rsid w:val="00DB0C79"/>
    <w:rsid w:val="00DB103D"/>
    <w:rsid w:val="00DB1448"/>
    <w:rsid w:val="00DB1998"/>
    <w:rsid w:val="00DB1FC4"/>
    <w:rsid w:val="00DB21F0"/>
    <w:rsid w:val="00DB24C0"/>
    <w:rsid w:val="00DB2C5F"/>
    <w:rsid w:val="00DB3A58"/>
    <w:rsid w:val="00DB3BDF"/>
    <w:rsid w:val="00DB3C58"/>
    <w:rsid w:val="00DB3D46"/>
    <w:rsid w:val="00DB401C"/>
    <w:rsid w:val="00DB46C8"/>
    <w:rsid w:val="00DB540E"/>
    <w:rsid w:val="00DB5A63"/>
    <w:rsid w:val="00DB6166"/>
    <w:rsid w:val="00DB656B"/>
    <w:rsid w:val="00DB691E"/>
    <w:rsid w:val="00DB75A3"/>
    <w:rsid w:val="00DB799D"/>
    <w:rsid w:val="00DB79C8"/>
    <w:rsid w:val="00DC0574"/>
    <w:rsid w:val="00DC0C65"/>
    <w:rsid w:val="00DC16BF"/>
    <w:rsid w:val="00DC16E1"/>
    <w:rsid w:val="00DC16FC"/>
    <w:rsid w:val="00DC1881"/>
    <w:rsid w:val="00DC1ED7"/>
    <w:rsid w:val="00DC3A6F"/>
    <w:rsid w:val="00DC3D1C"/>
    <w:rsid w:val="00DC43E1"/>
    <w:rsid w:val="00DC45DD"/>
    <w:rsid w:val="00DC4EE7"/>
    <w:rsid w:val="00DC5199"/>
    <w:rsid w:val="00DC5A32"/>
    <w:rsid w:val="00DC5E4E"/>
    <w:rsid w:val="00DC651B"/>
    <w:rsid w:val="00DC662F"/>
    <w:rsid w:val="00DC6E78"/>
    <w:rsid w:val="00DC729A"/>
    <w:rsid w:val="00DC7328"/>
    <w:rsid w:val="00DC73B1"/>
    <w:rsid w:val="00DC7519"/>
    <w:rsid w:val="00DC75C6"/>
    <w:rsid w:val="00DC7630"/>
    <w:rsid w:val="00DC7EB5"/>
    <w:rsid w:val="00DD04AC"/>
    <w:rsid w:val="00DD04DD"/>
    <w:rsid w:val="00DD0891"/>
    <w:rsid w:val="00DD0B35"/>
    <w:rsid w:val="00DD0C76"/>
    <w:rsid w:val="00DD0F9F"/>
    <w:rsid w:val="00DD11A7"/>
    <w:rsid w:val="00DD1298"/>
    <w:rsid w:val="00DD2300"/>
    <w:rsid w:val="00DD2309"/>
    <w:rsid w:val="00DD28B3"/>
    <w:rsid w:val="00DD2DE3"/>
    <w:rsid w:val="00DD2DE8"/>
    <w:rsid w:val="00DD316F"/>
    <w:rsid w:val="00DD357C"/>
    <w:rsid w:val="00DD37CA"/>
    <w:rsid w:val="00DD3D55"/>
    <w:rsid w:val="00DD3DF7"/>
    <w:rsid w:val="00DD416A"/>
    <w:rsid w:val="00DD4AE2"/>
    <w:rsid w:val="00DD4BFA"/>
    <w:rsid w:val="00DD51F8"/>
    <w:rsid w:val="00DD6388"/>
    <w:rsid w:val="00DD6C53"/>
    <w:rsid w:val="00DD7198"/>
    <w:rsid w:val="00DD7199"/>
    <w:rsid w:val="00DD7C44"/>
    <w:rsid w:val="00DD7CB6"/>
    <w:rsid w:val="00DE0077"/>
    <w:rsid w:val="00DE0137"/>
    <w:rsid w:val="00DE01BA"/>
    <w:rsid w:val="00DE0DCF"/>
    <w:rsid w:val="00DE137B"/>
    <w:rsid w:val="00DE13D4"/>
    <w:rsid w:val="00DE13FD"/>
    <w:rsid w:val="00DE19D9"/>
    <w:rsid w:val="00DE1C18"/>
    <w:rsid w:val="00DE1DC6"/>
    <w:rsid w:val="00DE1F77"/>
    <w:rsid w:val="00DE21C6"/>
    <w:rsid w:val="00DE22AA"/>
    <w:rsid w:val="00DE288F"/>
    <w:rsid w:val="00DE2D49"/>
    <w:rsid w:val="00DE388A"/>
    <w:rsid w:val="00DE3E66"/>
    <w:rsid w:val="00DE3F75"/>
    <w:rsid w:val="00DE45F5"/>
    <w:rsid w:val="00DE4AAD"/>
    <w:rsid w:val="00DE4C0C"/>
    <w:rsid w:val="00DE4FC8"/>
    <w:rsid w:val="00DE53B5"/>
    <w:rsid w:val="00DE5A50"/>
    <w:rsid w:val="00DE60C5"/>
    <w:rsid w:val="00DE7323"/>
    <w:rsid w:val="00DE75F0"/>
    <w:rsid w:val="00DE77CB"/>
    <w:rsid w:val="00DE7EBA"/>
    <w:rsid w:val="00DF04BD"/>
    <w:rsid w:val="00DF068D"/>
    <w:rsid w:val="00DF0D3A"/>
    <w:rsid w:val="00DF1A9A"/>
    <w:rsid w:val="00DF1C2D"/>
    <w:rsid w:val="00DF1DB6"/>
    <w:rsid w:val="00DF1F8A"/>
    <w:rsid w:val="00DF248E"/>
    <w:rsid w:val="00DF253D"/>
    <w:rsid w:val="00DF3222"/>
    <w:rsid w:val="00DF3577"/>
    <w:rsid w:val="00DF4063"/>
    <w:rsid w:val="00DF5F13"/>
    <w:rsid w:val="00DF63DD"/>
    <w:rsid w:val="00DF6B62"/>
    <w:rsid w:val="00DF7828"/>
    <w:rsid w:val="00DF7BD0"/>
    <w:rsid w:val="00DF7BDF"/>
    <w:rsid w:val="00E00303"/>
    <w:rsid w:val="00E00489"/>
    <w:rsid w:val="00E00A62"/>
    <w:rsid w:val="00E010A0"/>
    <w:rsid w:val="00E0125E"/>
    <w:rsid w:val="00E01668"/>
    <w:rsid w:val="00E0173A"/>
    <w:rsid w:val="00E01849"/>
    <w:rsid w:val="00E01A5F"/>
    <w:rsid w:val="00E020D1"/>
    <w:rsid w:val="00E0250C"/>
    <w:rsid w:val="00E02B64"/>
    <w:rsid w:val="00E02EAD"/>
    <w:rsid w:val="00E03D3F"/>
    <w:rsid w:val="00E0437C"/>
    <w:rsid w:val="00E0452C"/>
    <w:rsid w:val="00E04D61"/>
    <w:rsid w:val="00E0504C"/>
    <w:rsid w:val="00E05074"/>
    <w:rsid w:val="00E05489"/>
    <w:rsid w:val="00E05741"/>
    <w:rsid w:val="00E05F7F"/>
    <w:rsid w:val="00E06930"/>
    <w:rsid w:val="00E06971"/>
    <w:rsid w:val="00E06B43"/>
    <w:rsid w:val="00E06E32"/>
    <w:rsid w:val="00E06EC4"/>
    <w:rsid w:val="00E070D9"/>
    <w:rsid w:val="00E105B3"/>
    <w:rsid w:val="00E10846"/>
    <w:rsid w:val="00E108F4"/>
    <w:rsid w:val="00E10A4B"/>
    <w:rsid w:val="00E10D4E"/>
    <w:rsid w:val="00E1100C"/>
    <w:rsid w:val="00E11489"/>
    <w:rsid w:val="00E11711"/>
    <w:rsid w:val="00E11E63"/>
    <w:rsid w:val="00E12696"/>
    <w:rsid w:val="00E12DEE"/>
    <w:rsid w:val="00E1310D"/>
    <w:rsid w:val="00E13359"/>
    <w:rsid w:val="00E138BF"/>
    <w:rsid w:val="00E14EFA"/>
    <w:rsid w:val="00E151B9"/>
    <w:rsid w:val="00E1566E"/>
    <w:rsid w:val="00E158C4"/>
    <w:rsid w:val="00E161E6"/>
    <w:rsid w:val="00E167C9"/>
    <w:rsid w:val="00E1698C"/>
    <w:rsid w:val="00E172BE"/>
    <w:rsid w:val="00E17CF7"/>
    <w:rsid w:val="00E205D6"/>
    <w:rsid w:val="00E216EC"/>
    <w:rsid w:val="00E2189A"/>
    <w:rsid w:val="00E22B5A"/>
    <w:rsid w:val="00E22B68"/>
    <w:rsid w:val="00E231C9"/>
    <w:rsid w:val="00E23379"/>
    <w:rsid w:val="00E23EBF"/>
    <w:rsid w:val="00E23FD5"/>
    <w:rsid w:val="00E24669"/>
    <w:rsid w:val="00E248B2"/>
    <w:rsid w:val="00E24C48"/>
    <w:rsid w:val="00E24D50"/>
    <w:rsid w:val="00E25981"/>
    <w:rsid w:val="00E25BC1"/>
    <w:rsid w:val="00E26141"/>
    <w:rsid w:val="00E266F5"/>
    <w:rsid w:val="00E26F90"/>
    <w:rsid w:val="00E270D3"/>
    <w:rsid w:val="00E27FC7"/>
    <w:rsid w:val="00E30031"/>
    <w:rsid w:val="00E30700"/>
    <w:rsid w:val="00E30D87"/>
    <w:rsid w:val="00E30E57"/>
    <w:rsid w:val="00E31360"/>
    <w:rsid w:val="00E31451"/>
    <w:rsid w:val="00E31D28"/>
    <w:rsid w:val="00E325FF"/>
    <w:rsid w:val="00E32CB8"/>
    <w:rsid w:val="00E3419B"/>
    <w:rsid w:val="00E3440F"/>
    <w:rsid w:val="00E34F3A"/>
    <w:rsid w:val="00E35030"/>
    <w:rsid w:val="00E35F99"/>
    <w:rsid w:val="00E35F9A"/>
    <w:rsid w:val="00E3637F"/>
    <w:rsid w:val="00E364B6"/>
    <w:rsid w:val="00E36723"/>
    <w:rsid w:val="00E3713C"/>
    <w:rsid w:val="00E3767B"/>
    <w:rsid w:val="00E37A3D"/>
    <w:rsid w:val="00E37E1C"/>
    <w:rsid w:val="00E40126"/>
    <w:rsid w:val="00E40CBF"/>
    <w:rsid w:val="00E40E7D"/>
    <w:rsid w:val="00E40EE4"/>
    <w:rsid w:val="00E413C6"/>
    <w:rsid w:val="00E41C4E"/>
    <w:rsid w:val="00E420D5"/>
    <w:rsid w:val="00E42517"/>
    <w:rsid w:val="00E42D55"/>
    <w:rsid w:val="00E42FFE"/>
    <w:rsid w:val="00E4316E"/>
    <w:rsid w:val="00E435AB"/>
    <w:rsid w:val="00E44275"/>
    <w:rsid w:val="00E44777"/>
    <w:rsid w:val="00E4535F"/>
    <w:rsid w:val="00E466BC"/>
    <w:rsid w:val="00E4686A"/>
    <w:rsid w:val="00E47538"/>
    <w:rsid w:val="00E479FD"/>
    <w:rsid w:val="00E47EC6"/>
    <w:rsid w:val="00E50411"/>
    <w:rsid w:val="00E504D6"/>
    <w:rsid w:val="00E50B6F"/>
    <w:rsid w:val="00E50DF1"/>
    <w:rsid w:val="00E50EBE"/>
    <w:rsid w:val="00E50F69"/>
    <w:rsid w:val="00E50FC6"/>
    <w:rsid w:val="00E517CD"/>
    <w:rsid w:val="00E52185"/>
    <w:rsid w:val="00E52372"/>
    <w:rsid w:val="00E52786"/>
    <w:rsid w:val="00E52C21"/>
    <w:rsid w:val="00E52F05"/>
    <w:rsid w:val="00E53785"/>
    <w:rsid w:val="00E53DB1"/>
    <w:rsid w:val="00E540CA"/>
    <w:rsid w:val="00E54B37"/>
    <w:rsid w:val="00E54DE9"/>
    <w:rsid w:val="00E55B28"/>
    <w:rsid w:val="00E56D4A"/>
    <w:rsid w:val="00E57119"/>
    <w:rsid w:val="00E5719E"/>
    <w:rsid w:val="00E57BDA"/>
    <w:rsid w:val="00E57D7B"/>
    <w:rsid w:val="00E57F4B"/>
    <w:rsid w:val="00E602E5"/>
    <w:rsid w:val="00E602F8"/>
    <w:rsid w:val="00E6085B"/>
    <w:rsid w:val="00E60FBA"/>
    <w:rsid w:val="00E60FBF"/>
    <w:rsid w:val="00E611D7"/>
    <w:rsid w:val="00E616F9"/>
    <w:rsid w:val="00E61852"/>
    <w:rsid w:val="00E61A0C"/>
    <w:rsid w:val="00E61D22"/>
    <w:rsid w:val="00E61D96"/>
    <w:rsid w:val="00E61E4B"/>
    <w:rsid w:val="00E6342F"/>
    <w:rsid w:val="00E63DA2"/>
    <w:rsid w:val="00E642AF"/>
    <w:rsid w:val="00E644C6"/>
    <w:rsid w:val="00E64555"/>
    <w:rsid w:val="00E64595"/>
    <w:rsid w:val="00E646BB"/>
    <w:rsid w:val="00E64AC1"/>
    <w:rsid w:val="00E64D24"/>
    <w:rsid w:val="00E64E69"/>
    <w:rsid w:val="00E6549C"/>
    <w:rsid w:val="00E654B9"/>
    <w:rsid w:val="00E6589D"/>
    <w:rsid w:val="00E65E8C"/>
    <w:rsid w:val="00E665E7"/>
    <w:rsid w:val="00E66C96"/>
    <w:rsid w:val="00E6703E"/>
    <w:rsid w:val="00E70130"/>
    <w:rsid w:val="00E7063F"/>
    <w:rsid w:val="00E715FC"/>
    <w:rsid w:val="00E71A45"/>
    <w:rsid w:val="00E71C21"/>
    <w:rsid w:val="00E72D84"/>
    <w:rsid w:val="00E730FC"/>
    <w:rsid w:val="00E7318D"/>
    <w:rsid w:val="00E7385A"/>
    <w:rsid w:val="00E73CE6"/>
    <w:rsid w:val="00E742D9"/>
    <w:rsid w:val="00E74780"/>
    <w:rsid w:val="00E7487D"/>
    <w:rsid w:val="00E74956"/>
    <w:rsid w:val="00E752F7"/>
    <w:rsid w:val="00E75848"/>
    <w:rsid w:val="00E759D4"/>
    <w:rsid w:val="00E76A3C"/>
    <w:rsid w:val="00E76F9B"/>
    <w:rsid w:val="00E771FC"/>
    <w:rsid w:val="00E773E5"/>
    <w:rsid w:val="00E77511"/>
    <w:rsid w:val="00E77BDD"/>
    <w:rsid w:val="00E806D3"/>
    <w:rsid w:val="00E81C34"/>
    <w:rsid w:val="00E81D83"/>
    <w:rsid w:val="00E821BB"/>
    <w:rsid w:val="00E822E9"/>
    <w:rsid w:val="00E826FE"/>
    <w:rsid w:val="00E8275E"/>
    <w:rsid w:val="00E827AF"/>
    <w:rsid w:val="00E82DE9"/>
    <w:rsid w:val="00E83253"/>
    <w:rsid w:val="00E844AB"/>
    <w:rsid w:val="00E84C97"/>
    <w:rsid w:val="00E85005"/>
    <w:rsid w:val="00E850DA"/>
    <w:rsid w:val="00E85296"/>
    <w:rsid w:val="00E8533B"/>
    <w:rsid w:val="00E8575B"/>
    <w:rsid w:val="00E85931"/>
    <w:rsid w:val="00E85E4E"/>
    <w:rsid w:val="00E862BB"/>
    <w:rsid w:val="00E86327"/>
    <w:rsid w:val="00E868C7"/>
    <w:rsid w:val="00E86DF0"/>
    <w:rsid w:val="00E87BD2"/>
    <w:rsid w:val="00E87CDC"/>
    <w:rsid w:val="00E906E0"/>
    <w:rsid w:val="00E90B33"/>
    <w:rsid w:val="00E911E0"/>
    <w:rsid w:val="00E93407"/>
    <w:rsid w:val="00E940A8"/>
    <w:rsid w:val="00E94759"/>
    <w:rsid w:val="00E947E8"/>
    <w:rsid w:val="00E94B0F"/>
    <w:rsid w:val="00E9503F"/>
    <w:rsid w:val="00E96726"/>
    <w:rsid w:val="00E96E68"/>
    <w:rsid w:val="00E973BA"/>
    <w:rsid w:val="00E97EA1"/>
    <w:rsid w:val="00EA0BBE"/>
    <w:rsid w:val="00EA1FBC"/>
    <w:rsid w:val="00EA20A1"/>
    <w:rsid w:val="00EA212B"/>
    <w:rsid w:val="00EA24FB"/>
    <w:rsid w:val="00EA2D44"/>
    <w:rsid w:val="00EA306E"/>
    <w:rsid w:val="00EA32F4"/>
    <w:rsid w:val="00EA33FA"/>
    <w:rsid w:val="00EA3A1D"/>
    <w:rsid w:val="00EA3CD7"/>
    <w:rsid w:val="00EA3E2D"/>
    <w:rsid w:val="00EA429D"/>
    <w:rsid w:val="00EA43AF"/>
    <w:rsid w:val="00EA4676"/>
    <w:rsid w:val="00EA4C7C"/>
    <w:rsid w:val="00EA4D4C"/>
    <w:rsid w:val="00EA554F"/>
    <w:rsid w:val="00EA6250"/>
    <w:rsid w:val="00EA66A4"/>
    <w:rsid w:val="00EA6819"/>
    <w:rsid w:val="00EA69E4"/>
    <w:rsid w:val="00EA6A1E"/>
    <w:rsid w:val="00EA75BD"/>
    <w:rsid w:val="00EA760C"/>
    <w:rsid w:val="00EA7C47"/>
    <w:rsid w:val="00EB0C01"/>
    <w:rsid w:val="00EB0F0F"/>
    <w:rsid w:val="00EB1053"/>
    <w:rsid w:val="00EB12A5"/>
    <w:rsid w:val="00EB24D8"/>
    <w:rsid w:val="00EB277B"/>
    <w:rsid w:val="00EB2F20"/>
    <w:rsid w:val="00EB2F35"/>
    <w:rsid w:val="00EB31DB"/>
    <w:rsid w:val="00EB3422"/>
    <w:rsid w:val="00EB3A31"/>
    <w:rsid w:val="00EB4EAF"/>
    <w:rsid w:val="00EB548E"/>
    <w:rsid w:val="00EB5C41"/>
    <w:rsid w:val="00EB5F5A"/>
    <w:rsid w:val="00EB657E"/>
    <w:rsid w:val="00EB695E"/>
    <w:rsid w:val="00EB69D1"/>
    <w:rsid w:val="00EB6FE9"/>
    <w:rsid w:val="00EB72FF"/>
    <w:rsid w:val="00EB756F"/>
    <w:rsid w:val="00EB79C8"/>
    <w:rsid w:val="00EB7E78"/>
    <w:rsid w:val="00EC0301"/>
    <w:rsid w:val="00EC09C6"/>
    <w:rsid w:val="00EC0EA5"/>
    <w:rsid w:val="00EC1056"/>
    <w:rsid w:val="00EC1470"/>
    <w:rsid w:val="00EC222E"/>
    <w:rsid w:val="00EC25CD"/>
    <w:rsid w:val="00EC2716"/>
    <w:rsid w:val="00EC2DBB"/>
    <w:rsid w:val="00EC3107"/>
    <w:rsid w:val="00EC358E"/>
    <w:rsid w:val="00EC3F3F"/>
    <w:rsid w:val="00EC3FD2"/>
    <w:rsid w:val="00EC4095"/>
    <w:rsid w:val="00EC43B5"/>
    <w:rsid w:val="00EC44DB"/>
    <w:rsid w:val="00EC4537"/>
    <w:rsid w:val="00EC480D"/>
    <w:rsid w:val="00EC4960"/>
    <w:rsid w:val="00EC4AE3"/>
    <w:rsid w:val="00EC522B"/>
    <w:rsid w:val="00EC54EE"/>
    <w:rsid w:val="00EC59B2"/>
    <w:rsid w:val="00EC5A3B"/>
    <w:rsid w:val="00EC6BCB"/>
    <w:rsid w:val="00EC774E"/>
    <w:rsid w:val="00EC786C"/>
    <w:rsid w:val="00EC7ADD"/>
    <w:rsid w:val="00ED04FE"/>
    <w:rsid w:val="00ED0DD0"/>
    <w:rsid w:val="00ED1989"/>
    <w:rsid w:val="00ED28F2"/>
    <w:rsid w:val="00ED3145"/>
    <w:rsid w:val="00ED3309"/>
    <w:rsid w:val="00ED356E"/>
    <w:rsid w:val="00ED3BDA"/>
    <w:rsid w:val="00ED3DA4"/>
    <w:rsid w:val="00ED4B67"/>
    <w:rsid w:val="00ED4B69"/>
    <w:rsid w:val="00ED4E40"/>
    <w:rsid w:val="00ED5A3B"/>
    <w:rsid w:val="00ED5C30"/>
    <w:rsid w:val="00ED5E02"/>
    <w:rsid w:val="00ED5EED"/>
    <w:rsid w:val="00ED6B1C"/>
    <w:rsid w:val="00ED6CF7"/>
    <w:rsid w:val="00ED6F33"/>
    <w:rsid w:val="00ED741E"/>
    <w:rsid w:val="00ED7716"/>
    <w:rsid w:val="00ED7737"/>
    <w:rsid w:val="00ED7747"/>
    <w:rsid w:val="00ED7CF4"/>
    <w:rsid w:val="00EE0EA8"/>
    <w:rsid w:val="00EE1B0E"/>
    <w:rsid w:val="00EE22FB"/>
    <w:rsid w:val="00EE2407"/>
    <w:rsid w:val="00EE26AE"/>
    <w:rsid w:val="00EE29C8"/>
    <w:rsid w:val="00EE2A54"/>
    <w:rsid w:val="00EE2FC2"/>
    <w:rsid w:val="00EE3B88"/>
    <w:rsid w:val="00EE4B75"/>
    <w:rsid w:val="00EE4DBD"/>
    <w:rsid w:val="00EE57D6"/>
    <w:rsid w:val="00EE6025"/>
    <w:rsid w:val="00EE6AC6"/>
    <w:rsid w:val="00EE6E26"/>
    <w:rsid w:val="00EE784F"/>
    <w:rsid w:val="00EE7A1D"/>
    <w:rsid w:val="00EF0500"/>
    <w:rsid w:val="00EF0B66"/>
    <w:rsid w:val="00EF1002"/>
    <w:rsid w:val="00EF143F"/>
    <w:rsid w:val="00EF23D8"/>
    <w:rsid w:val="00EF2A5A"/>
    <w:rsid w:val="00EF2A87"/>
    <w:rsid w:val="00EF3A74"/>
    <w:rsid w:val="00EF3AE9"/>
    <w:rsid w:val="00EF3EA5"/>
    <w:rsid w:val="00EF40DC"/>
    <w:rsid w:val="00EF49FB"/>
    <w:rsid w:val="00EF4D23"/>
    <w:rsid w:val="00EF55D6"/>
    <w:rsid w:val="00EF644D"/>
    <w:rsid w:val="00EF6D29"/>
    <w:rsid w:val="00EF7138"/>
    <w:rsid w:val="00EF7149"/>
    <w:rsid w:val="00F00881"/>
    <w:rsid w:val="00F00917"/>
    <w:rsid w:val="00F01032"/>
    <w:rsid w:val="00F010BB"/>
    <w:rsid w:val="00F012C1"/>
    <w:rsid w:val="00F0175F"/>
    <w:rsid w:val="00F01C5B"/>
    <w:rsid w:val="00F03280"/>
    <w:rsid w:val="00F0362A"/>
    <w:rsid w:val="00F0385C"/>
    <w:rsid w:val="00F03ABE"/>
    <w:rsid w:val="00F04345"/>
    <w:rsid w:val="00F047A4"/>
    <w:rsid w:val="00F04F52"/>
    <w:rsid w:val="00F0510F"/>
    <w:rsid w:val="00F0563F"/>
    <w:rsid w:val="00F06239"/>
    <w:rsid w:val="00F064EF"/>
    <w:rsid w:val="00F06558"/>
    <w:rsid w:val="00F06EA0"/>
    <w:rsid w:val="00F06F42"/>
    <w:rsid w:val="00F07122"/>
    <w:rsid w:val="00F074C9"/>
    <w:rsid w:val="00F07C82"/>
    <w:rsid w:val="00F07F5E"/>
    <w:rsid w:val="00F1001E"/>
    <w:rsid w:val="00F106BB"/>
    <w:rsid w:val="00F11027"/>
    <w:rsid w:val="00F1106C"/>
    <w:rsid w:val="00F111BA"/>
    <w:rsid w:val="00F116DD"/>
    <w:rsid w:val="00F11D9F"/>
    <w:rsid w:val="00F11E31"/>
    <w:rsid w:val="00F13137"/>
    <w:rsid w:val="00F13AA1"/>
    <w:rsid w:val="00F13F2A"/>
    <w:rsid w:val="00F140EC"/>
    <w:rsid w:val="00F15097"/>
    <w:rsid w:val="00F15671"/>
    <w:rsid w:val="00F15DC7"/>
    <w:rsid w:val="00F16695"/>
    <w:rsid w:val="00F202E3"/>
    <w:rsid w:val="00F20C6E"/>
    <w:rsid w:val="00F20D6C"/>
    <w:rsid w:val="00F2242D"/>
    <w:rsid w:val="00F2255F"/>
    <w:rsid w:val="00F225CF"/>
    <w:rsid w:val="00F22882"/>
    <w:rsid w:val="00F22985"/>
    <w:rsid w:val="00F22AEF"/>
    <w:rsid w:val="00F22F7A"/>
    <w:rsid w:val="00F2322E"/>
    <w:rsid w:val="00F2343C"/>
    <w:rsid w:val="00F23CFC"/>
    <w:rsid w:val="00F24076"/>
    <w:rsid w:val="00F240CB"/>
    <w:rsid w:val="00F2492F"/>
    <w:rsid w:val="00F2500D"/>
    <w:rsid w:val="00F256DA"/>
    <w:rsid w:val="00F25742"/>
    <w:rsid w:val="00F2596D"/>
    <w:rsid w:val="00F25CAA"/>
    <w:rsid w:val="00F26AD6"/>
    <w:rsid w:val="00F2711C"/>
    <w:rsid w:val="00F277E8"/>
    <w:rsid w:val="00F27B04"/>
    <w:rsid w:val="00F27E3D"/>
    <w:rsid w:val="00F301D0"/>
    <w:rsid w:val="00F3069F"/>
    <w:rsid w:val="00F30BA9"/>
    <w:rsid w:val="00F30C3F"/>
    <w:rsid w:val="00F30C60"/>
    <w:rsid w:val="00F30EFB"/>
    <w:rsid w:val="00F30F38"/>
    <w:rsid w:val="00F311D1"/>
    <w:rsid w:val="00F31479"/>
    <w:rsid w:val="00F3158A"/>
    <w:rsid w:val="00F318DB"/>
    <w:rsid w:val="00F3199C"/>
    <w:rsid w:val="00F31F7D"/>
    <w:rsid w:val="00F32AFF"/>
    <w:rsid w:val="00F33825"/>
    <w:rsid w:val="00F33A8B"/>
    <w:rsid w:val="00F33D3B"/>
    <w:rsid w:val="00F341D4"/>
    <w:rsid w:val="00F34A96"/>
    <w:rsid w:val="00F34EBF"/>
    <w:rsid w:val="00F34F05"/>
    <w:rsid w:val="00F34F85"/>
    <w:rsid w:val="00F353B0"/>
    <w:rsid w:val="00F356D5"/>
    <w:rsid w:val="00F361AE"/>
    <w:rsid w:val="00F36240"/>
    <w:rsid w:val="00F363EB"/>
    <w:rsid w:val="00F365DE"/>
    <w:rsid w:val="00F36764"/>
    <w:rsid w:val="00F367CF"/>
    <w:rsid w:val="00F36D37"/>
    <w:rsid w:val="00F3719A"/>
    <w:rsid w:val="00F379BF"/>
    <w:rsid w:val="00F37EA7"/>
    <w:rsid w:val="00F40805"/>
    <w:rsid w:val="00F40C5E"/>
    <w:rsid w:val="00F40E3E"/>
    <w:rsid w:val="00F4163A"/>
    <w:rsid w:val="00F41873"/>
    <w:rsid w:val="00F419C3"/>
    <w:rsid w:val="00F41D91"/>
    <w:rsid w:val="00F41E2B"/>
    <w:rsid w:val="00F423BE"/>
    <w:rsid w:val="00F424A5"/>
    <w:rsid w:val="00F425EF"/>
    <w:rsid w:val="00F428AC"/>
    <w:rsid w:val="00F42EE3"/>
    <w:rsid w:val="00F43660"/>
    <w:rsid w:val="00F44542"/>
    <w:rsid w:val="00F448DD"/>
    <w:rsid w:val="00F44C5F"/>
    <w:rsid w:val="00F44DB8"/>
    <w:rsid w:val="00F45760"/>
    <w:rsid w:val="00F45925"/>
    <w:rsid w:val="00F46BA6"/>
    <w:rsid w:val="00F46C97"/>
    <w:rsid w:val="00F4703E"/>
    <w:rsid w:val="00F4777C"/>
    <w:rsid w:val="00F50511"/>
    <w:rsid w:val="00F50781"/>
    <w:rsid w:val="00F50CA3"/>
    <w:rsid w:val="00F517ED"/>
    <w:rsid w:val="00F51F3F"/>
    <w:rsid w:val="00F528B5"/>
    <w:rsid w:val="00F528E7"/>
    <w:rsid w:val="00F52C8A"/>
    <w:rsid w:val="00F53615"/>
    <w:rsid w:val="00F53A91"/>
    <w:rsid w:val="00F54783"/>
    <w:rsid w:val="00F547E9"/>
    <w:rsid w:val="00F5494E"/>
    <w:rsid w:val="00F54ABE"/>
    <w:rsid w:val="00F553D2"/>
    <w:rsid w:val="00F5564F"/>
    <w:rsid w:val="00F55804"/>
    <w:rsid w:val="00F55F1A"/>
    <w:rsid w:val="00F56310"/>
    <w:rsid w:val="00F5684C"/>
    <w:rsid w:val="00F57210"/>
    <w:rsid w:val="00F577FC"/>
    <w:rsid w:val="00F602F0"/>
    <w:rsid w:val="00F6098E"/>
    <w:rsid w:val="00F60C90"/>
    <w:rsid w:val="00F619EE"/>
    <w:rsid w:val="00F61CF5"/>
    <w:rsid w:val="00F61FF9"/>
    <w:rsid w:val="00F62069"/>
    <w:rsid w:val="00F62159"/>
    <w:rsid w:val="00F62A7C"/>
    <w:rsid w:val="00F62B93"/>
    <w:rsid w:val="00F633E5"/>
    <w:rsid w:val="00F63A07"/>
    <w:rsid w:val="00F63C89"/>
    <w:rsid w:val="00F643CA"/>
    <w:rsid w:val="00F647EC"/>
    <w:rsid w:val="00F64D57"/>
    <w:rsid w:val="00F64FAB"/>
    <w:rsid w:val="00F65329"/>
    <w:rsid w:val="00F6546A"/>
    <w:rsid w:val="00F65CEA"/>
    <w:rsid w:val="00F65F15"/>
    <w:rsid w:val="00F66443"/>
    <w:rsid w:val="00F668CE"/>
    <w:rsid w:val="00F675EA"/>
    <w:rsid w:val="00F67BEB"/>
    <w:rsid w:val="00F7074A"/>
    <w:rsid w:val="00F711A0"/>
    <w:rsid w:val="00F71687"/>
    <w:rsid w:val="00F71708"/>
    <w:rsid w:val="00F717C1"/>
    <w:rsid w:val="00F71AB3"/>
    <w:rsid w:val="00F725D3"/>
    <w:rsid w:val="00F7281E"/>
    <w:rsid w:val="00F72C1A"/>
    <w:rsid w:val="00F72C3D"/>
    <w:rsid w:val="00F73269"/>
    <w:rsid w:val="00F737AB"/>
    <w:rsid w:val="00F74216"/>
    <w:rsid w:val="00F74F0F"/>
    <w:rsid w:val="00F75731"/>
    <w:rsid w:val="00F75841"/>
    <w:rsid w:val="00F76333"/>
    <w:rsid w:val="00F77100"/>
    <w:rsid w:val="00F77C84"/>
    <w:rsid w:val="00F80084"/>
    <w:rsid w:val="00F8090F"/>
    <w:rsid w:val="00F8139A"/>
    <w:rsid w:val="00F82AAE"/>
    <w:rsid w:val="00F834BE"/>
    <w:rsid w:val="00F838A9"/>
    <w:rsid w:val="00F849E3"/>
    <w:rsid w:val="00F84B4E"/>
    <w:rsid w:val="00F84C44"/>
    <w:rsid w:val="00F851B7"/>
    <w:rsid w:val="00F8566C"/>
    <w:rsid w:val="00F858D4"/>
    <w:rsid w:val="00F85C65"/>
    <w:rsid w:val="00F860EB"/>
    <w:rsid w:val="00F86268"/>
    <w:rsid w:val="00F868B6"/>
    <w:rsid w:val="00F86968"/>
    <w:rsid w:val="00F86C37"/>
    <w:rsid w:val="00F86E21"/>
    <w:rsid w:val="00F86E42"/>
    <w:rsid w:val="00F86FD9"/>
    <w:rsid w:val="00F876E6"/>
    <w:rsid w:val="00F87825"/>
    <w:rsid w:val="00F87838"/>
    <w:rsid w:val="00F879E8"/>
    <w:rsid w:val="00F87FCE"/>
    <w:rsid w:val="00F9008B"/>
    <w:rsid w:val="00F91669"/>
    <w:rsid w:val="00F9184F"/>
    <w:rsid w:val="00F91943"/>
    <w:rsid w:val="00F92A66"/>
    <w:rsid w:val="00F931CF"/>
    <w:rsid w:val="00F93A31"/>
    <w:rsid w:val="00F93BA1"/>
    <w:rsid w:val="00F93D6E"/>
    <w:rsid w:val="00F9423D"/>
    <w:rsid w:val="00F94609"/>
    <w:rsid w:val="00F95182"/>
    <w:rsid w:val="00F957D2"/>
    <w:rsid w:val="00F95D94"/>
    <w:rsid w:val="00F96F86"/>
    <w:rsid w:val="00F97711"/>
    <w:rsid w:val="00FA02B8"/>
    <w:rsid w:val="00FA0980"/>
    <w:rsid w:val="00FA1028"/>
    <w:rsid w:val="00FA10F7"/>
    <w:rsid w:val="00FA157E"/>
    <w:rsid w:val="00FA181F"/>
    <w:rsid w:val="00FA1C1F"/>
    <w:rsid w:val="00FA1E82"/>
    <w:rsid w:val="00FA2137"/>
    <w:rsid w:val="00FA21B0"/>
    <w:rsid w:val="00FA272D"/>
    <w:rsid w:val="00FA2C40"/>
    <w:rsid w:val="00FA338D"/>
    <w:rsid w:val="00FA34A2"/>
    <w:rsid w:val="00FA3742"/>
    <w:rsid w:val="00FA3837"/>
    <w:rsid w:val="00FA39FC"/>
    <w:rsid w:val="00FA44B4"/>
    <w:rsid w:val="00FA4538"/>
    <w:rsid w:val="00FA486C"/>
    <w:rsid w:val="00FA4998"/>
    <w:rsid w:val="00FA4DC2"/>
    <w:rsid w:val="00FA529C"/>
    <w:rsid w:val="00FA5EA3"/>
    <w:rsid w:val="00FA67E3"/>
    <w:rsid w:val="00FA7157"/>
    <w:rsid w:val="00FA73A6"/>
    <w:rsid w:val="00FA7698"/>
    <w:rsid w:val="00FA78C2"/>
    <w:rsid w:val="00FA7A2D"/>
    <w:rsid w:val="00FA7B4F"/>
    <w:rsid w:val="00FA7F36"/>
    <w:rsid w:val="00FB06E7"/>
    <w:rsid w:val="00FB06E9"/>
    <w:rsid w:val="00FB0822"/>
    <w:rsid w:val="00FB09AA"/>
    <w:rsid w:val="00FB1093"/>
    <w:rsid w:val="00FB13A0"/>
    <w:rsid w:val="00FB227E"/>
    <w:rsid w:val="00FB267D"/>
    <w:rsid w:val="00FB2A18"/>
    <w:rsid w:val="00FB2BF4"/>
    <w:rsid w:val="00FB2C8D"/>
    <w:rsid w:val="00FB2DC6"/>
    <w:rsid w:val="00FB4FDE"/>
    <w:rsid w:val="00FB5E81"/>
    <w:rsid w:val="00FB6E6C"/>
    <w:rsid w:val="00FB71B0"/>
    <w:rsid w:val="00FB7ABA"/>
    <w:rsid w:val="00FB7C21"/>
    <w:rsid w:val="00FB7C46"/>
    <w:rsid w:val="00FB7D7E"/>
    <w:rsid w:val="00FC04E0"/>
    <w:rsid w:val="00FC0D98"/>
    <w:rsid w:val="00FC1042"/>
    <w:rsid w:val="00FC11C6"/>
    <w:rsid w:val="00FC1659"/>
    <w:rsid w:val="00FC17D8"/>
    <w:rsid w:val="00FC279A"/>
    <w:rsid w:val="00FC324D"/>
    <w:rsid w:val="00FC39A1"/>
    <w:rsid w:val="00FC3BC3"/>
    <w:rsid w:val="00FC3E47"/>
    <w:rsid w:val="00FC4B53"/>
    <w:rsid w:val="00FC4BAE"/>
    <w:rsid w:val="00FC5160"/>
    <w:rsid w:val="00FC5A36"/>
    <w:rsid w:val="00FC69CF"/>
    <w:rsid w:val="00FC6B0B"/>
    <w:rsid w:val="00FC713B"/>
    <w:rsid w:val="00FC7862"/>
    <w:rsid w:val="00FC79D5"/>
    <w:rsid w:val="00FC7B35"/>
    <w:rsid w:val="00FC7B53"/>
    <w:rsid w:val="00FD0177"/>
    <w:rsid w:val="00FD051A"/>
    <w:rsid w:val="00FD0AE7"/>
    <w:rsid w:val="00FD0B44"/>
    <w:rsid w:val="00FD0F70"/>
    <w:rsid w:val="00FD2315"/>
    <w:rsid w:val="00FD29A7"/>
    <w:rsid w:val="00FD2B15"/>
    <w:rsid w:val="00FD3092"/>
    <w:rsid w:val="00FD35A1"/>
    <w:rsid w:val="00FD4019"/>
    <w:rsid w:val="00FD40FC"/>
    <w:rsid w:val="00FD412E"/>
    <w:rsid w:val="00FD420F"/>
    <w:rsid w:val="00FD4F17"/>
    <w:rsid w:val="00FD4F2F"/>
    <w:rsid w:val="00FD51F7"/>
    <w:rsid w:val="00FD5258"/>
    <w:rsid w:val="00FD5602"/>
    <w:rsid w:val="00FD5A2A"/>
    <w:rsid w:val="00FD5AE2"/>
    <w:rsid w:val="00FD62B4"/>
    <w:rsid w:val="00FD7142"/>
    <w:rsid w:val="00FD750F"/>
    <w:rsid w:val="00FE011C"/>
    <w:rsid w:val="00FE07DC"/>
    <w:rsid w:val="00FE1116"/>
    <w:rsid w:val="00FE1E64"/>
    <w:rsid w:val="00FE1FCE"/>
    <w:rsid w:val="00FE2075"/>
    <w:rsid w:val="00FE2080"/>
    <w:rsid w:val="00FE2647"/>
    <w:rsid w:val="00FE27B9"/>
    <w:rsid w:val="00FE2E37"/>
    <w:rsid w:val="00FE3156"/>
    <w:rsid w:val="00FE3640"/>
    <w:rsid w:val="00FE3780"/>
    <w:rsid w:val="00FE3954"/>
    <w:rsid w:val="00FE3CF7"/>
    <w:rsid w:val="00FE4071"/>
    <w:rsid w:val="00FE42E3"/>
    <w:rsid w:val="00FE4ECD"/>
    <w:rsid w:val="00FE52B7"/>
    <w:rsid w:val="00FE53C5"/>
    <w:rsid w:val="00FE5807"/>
    <w:rsid w:val="00FE5C39"/>
    <w:rsid w:val="00FE5C57"/>
    <w:rsid w:val="00FE624E"/>
    <w:rsid w:val="00FE6415"/>
    <w:rsid w:val="00FE69E7"/>
    <w:rsid w:val="00FE6BB8"/>
    <w:rsid w:val="00FE6E76"/>
    <w:rsid w:val="00FE79AD"/>
    <w:rsid w:val="00FF027B"/>
    <w:rsid w:val="00FF1174"/>
    <w:rsid w:val="00FF165A"/>
    <w:rsid w:val="00FF1B72"/>
    <w:rsid w:val="00FF1CF1"/>
    <w:rsid w:val="00FF1F4C"/>
    <w:rsid w:val="00FF2654"/>
    <w:rsid w:val="00FF35DC"/>
    <w:rsid w:val="00FF3A6A"/>
    <w:rsid w:val="00FF3C7A"/>
    <w:rsid w:val="00FF3E09"/>
    <w:rsid w:val="00FF411C"/>
    <w:rsid w:val="00FF4B2E"/>
    <w:rsid w:val="00FF4E4B"/>
    <w:rsid w:val="00FF4E4E"/>
    <w:rsid w:val="00FF5049"/>
    <w:rsid w:val="00FF5D1F"/>
    <w:rsid w:val="00FF5F95"/>
    <w:rsid w:val="00FF6126"/>
    <w:rsid w:val="00FF61F5"/>
    <w:rsid w:val="00FF62AA"/>
    <w:rsid w:val="00FF64D7"/>
    <w:rsid w:val="00FF6B6C"/>
    <w:rsid w:val="01173A00"/>
    <w:rsid w:val="012C6156"/>
    <w:rsid w:val="013A0E9F"/>
    <w:rsid w:val="01420B2A"/>
    <w:rsid w:val="016A5229"/>
    <w:rsid w:val="01910225"/>
    <w:rsid w:val="01AA2C10"/>
    <w:rsid w:val="01D731C0"/>
    <w:rsid w:val="022D245A"/>
    <w:rsid w:val="02CB76A6"/>
    <w:rsid w:val="02D7201B"/>
    <w:rsid w:val="031713E0"/>
    <w:rsid w:val="03451AAA"/>
    <w:rsid w:val="035B12CD"/>
    <w:rsid w:val="0370464D"/>
    <w:rsid w:val="03772173"/>
    <w:rsid w:val="037738D8"/>
    <w:rsid w:val="0385491F"/>
    <w:rsid w:val="038D16A3"/>
    <w:rsid w:val="03960557"/>
    <w:rsid w:val="03C52BEB"/>
    <w:rsid w:val="03EE579D"/>
    <w:rsid w:val="04581CB1"/>
    <w:rsid w:val="0501327E"/>
    <w:rsid w:val="05485881"/>
    <w:rsid w:val="05873D3C"/>
    <w:rsid w:val="05A96137"/>
    <w:rsid w:val="05B53FF0"/>
    <w:rsid w:val="05C25634"/>
    <w:rsid w:val="06AE4315"/>
    <w:rsid w:val="06E415DA"/>
    <w:rsid w:val="06F53DF8"/>
    <w:rsid w:val="071C08E4"/>
    <w:rsid w:val="0748600C"/>
    <w:rsid w:val="075F0692"/>
    <w:rsid w:val="078D7EC3"/>
    <w:rsid w:val="079A259E"/>
    <w:rsid w:val="07EA0ACD"/>
    <w:rsid w:val="08E65ADD"/>
    <w:rsid w:val="08F53B23"/>
    <w:rsid w:val="092923B5"/>
    <w:rsid w:val="097A1462"/>
    <w:rsid w:val="09A6701A"/>
    <w:rsid w:val="0A070656"/>
    <w:rsid w:val="0A8F226A"/>
    <w:rsid w:val="0A913ED8"/>
    <w:rsid w:val="0AC97464"/>
    <w:rsid w:val="0B077565"/>
    <w:rsid w:val="0B24171E"/>
    <w:rsid w:val="0B732F2C"/>
    <w:rsid w:val="0B7A075E"/>
    <w:rsid w:val="0BA2652C"/>
    <w:rsid w:val="0BB33687"/>
    <w:rsid w:val="0BCC6076"/>
    <w:rsid w:val="0C662A91"/>
    <w:rsid w:val="0CA06781"/>
    <w:rsid w:val="0D081F34"/>
    <w:rsid w:val="0D444B80"/>
    <w:rsid w:val="0D4E3C51"/>
    <w:rsid w:val="0D584403"/>
    <w:rsid w:val="0D786F20"/>
    <w:rsid w:val="0DDA523F"/>
    <w:rsid w:val="0E2955D1"/>
    <w:rsid w:val="0EC0082D"/>
    <w:rsid w:val="0F333B7C"/>
    <w:rsid w:val="0F7225DA"/>
    <w:rsid w:val="0FA43DF2"/>
    <w:rsid w:val="0FDE23D0"/>
    <w:rsid w:val="100B4F6E"/>
    <w:rsid w:val="101C0A97"/>
    <w:rsid w:val="10437680"/>
    <w:rsid w:val="10D7633A"/>
    <w:rsid w:val="10D80401"/>
    <w:rsid w:val="10F44B0F"/>
    <w:rsid w:val="10F67974"/>
    <w:rsid w:val="116353E3"/>
    <w:rsid w:val="117C7228"/>
    <w:rsid w:val="118C5E7B"/>
    <w:rsid w:val="11B83D8F"/>
    <w:rsid w:val="11E42ABC"/>
    <w:rsid w:val="12821403"/>
    <w:rsid w:val="12D6790A"/>
    <w:rsid w:val="12F438A7"/>
    <w:rsid w:val="133020B8"/>
    <w:rsid w:val="13631AD8"/>
    <w:rsid w:val="13977E74"/>
    <w:rsid w:val="13AF2F6F"/>
    <w:rsid w:val="13F4E9C3"/>
    <w:rsid w:val="14180B15"/>
    <w:rsid w:val="141B7F51"/>
    <w:rsid w:val="14504752"/>
    <w:rsid w:val="146F2C7A"/>
    <w:rsid w:val="149E4992"/>
    <w:rsid w:val="14A34882"/>
    <w:rsid w:val="14BC1DE8"/>
    <w:rsid w:val="14DB5560"/>
    <w:rsid w:val="151E03AD"/>
    <w:rsid w:val="157E1A1C"/>
    <w:rsid w:val="15A217AD"/>
    <w:rsid w:val="15C026F1"/>
    <w:rsid w:val="15F66C34"/>
    <w:rsid w:val="161B669A"/>
    <w:rsid w:val="1628562F"/>
    <w:rsid w:val="169C5A2D"/>
    <w:rsid w:val="16DE6045"/>
    <w:rsid w:val="17064457"/>
    <w:rsid w:val="17481711"/>
    <w:rsid w:val="177B5642"/>
    <w:rsid w:val="1797451A"/>
    <w:rsid w:val="17CF079E"/>
    <w:rsid w:val="17EC02EE"/>
    <w:rsid w:val="17FA3B6E"/>
    <w:rsid w:val="180B0F62"/>
    <w:rsid w:val="18240739"/>
    <w:rsid w:val="18326969"/>
    <w:rsid w:val="184A3267"/>
    <w:rsid w:val="187622AE"/>
    <w:rsid w:val="189439F5"/>
    <w:rsid w:val="18BE612E"/>
    <w:rsid w:val="18C643E3"/>
    <w:rsid w:val="18D71108"/>
    <w:rsid w:val="19371A3D"/>
    <w:rsid w:val="197710C4"/>
    <w:rsid w:val="19E020D4"/>
    <w:rsid w:val="19E25E4D"/>
    <w:rsid w:val="1A442DE9"/>
    <w:rsid w:val="1A717F6E"/>
    <w:rsid w:val="1AA04DAE"/>
    <w:rsid w:val="1B315BE9"/>
    <w:rsid w:val="1B3165A4"/>
    <w:rsid w:val="1B454AB4"/>
    <w:rsid w:val="1B5F3210"/>
    <w:rsid w:val="1BA3785E"/>
    <w:rsid w:val="1C0D4CD7"/>
    <w:rsid w:val="1D321E13"/>
    <w:rsid w:val="1D4B04A3"/>
    <w:rsid w:val="1E064989"/>
    <w:rsid w:val="1E890F8D"/>
    <w:rsid w:val="1E934CC5"/>
    <w:rsid w:val="1EDE00C9"/>
    <w:rsid w:val="1F234F3D"/>
    <w:rsid w:val="1F3D76D1"/>
    <w:rsid w:val="1F462152"/>
    <w:rsid w:val="1F6B6784"/>
    <w:rsid w:val="1FDDEBE3"/>
    <w:rsid w:val="20000DDB"/>
    <w:rsid w:val="201E537A"/>
    <w:rsid w:val="20780ECB"/>
    <w:rsid w:val="20DE276B"/>
    <w:rsid w:val="20F6042F"/>
    <w:rsid w:val="2108492E"/>
    <w:rsid w:val="210E5D93"/>
    <w:rsid w:val="21455F84"/>
    <w:rsid w:val="21815F4B"/>
    <w:rsid w:val="219D0F12"/>
    <w:rsid w:val="224176AA"/>
    <w:rsid w:val="22803C51"/>
    <w:rsid w:val="228C1199"/>
    <w:rsid w:val="228D6B72"/>
    <w:rsid w:val="22E04EF3"/>
    <w:rsid w:val="22F91025"/>
    <w:rsid w:val="23141F6C"/>
    <w:rsid w:val="232E22E3"/>
    <w:rsid w:val="235634BB"/>
    <w:rsid w:val="23C35A13"/>
    <w:rsid w:val="242D24F6"/>
    <w:rsid w:val="24801EBF"/>
    <w:rsid w:val="24977600"/>
    <w:rsid w:val="24C148B0"/>
    <w:rsid w:val="24C85C3F"/>
    <w:rsid w:val="24DB5972"/>
    <w:rsid w:val="252C08C4"/>
    <w:rsid w:val="254B6F9C"/>
    <w:rsid w:val="257D2ECD"/>
    <w:rsid w:val="259C0469"/>
    <w:rsid w:val="25CE197B"/>
    <w:rsid w:val="25E20F82"/>
    <w:rsid w:val="25E955DF"/>
    <w:rsid w:val="26063582"/>
    <w:rsid w:val="262B46D7"/>
    <w:rsid w:val="2637307C"/>
    <w:rsid w:val="266B0F78"/>
    <w:rsid w:val="26890B30"/>
    <w:rsid w:val="268919E8"/>
    <w:rsid w:val="26AA0F6E"/>
    <w:rsid w:val="26B17512"/>
    <w:rsid w:val="26BE72FA"/>
    <w:rsid w:val="26C412B6"/>
    <w:rsid w:val="26F7797C"/>
    <w:rsid w:val="272F1A96"/>
    <w:rsid w:val="274E4B21"/>
    <w:rsid w:val="277327DA"/>
    <w:rsid w:val="278D368B"/>
    <w:rsid w:val="27AC0841"/>
    <w:rsid w:val="27BA26EB"/>
    <w:rsid w:val="27F912C2"/>
    <w:rsid w:val="28135FC7"/>
    <w:rsid w:val="283A1B1D"/>
    <w:rsid w:val="283C0E1E"/>
    <w:rsid w:val="2848646B"/>
    <w:rsid w:val="28B76446"/>
    <w:rsid w:val="28D3610D"/>
    <w:rsid w:val="28DB23E5"/>
    <w:rsid w:val="293D6BFB"/>
    <w:rsid w:val="29451F54"/>
    <w:rsid w:val="29507CEE"/>
    <w:rsid w:val="295F4838"/>
    <w:rsid w:val="297B0CF7"/>
    <w:rsid w:val="29B669AE"/>
    <w:rsid w:val="2A2F2D5D"/>
    <w:rsid w:val="2A51423E"/>
    <w:rsid w:val="2A612DBE"/>
    <w:rsid w:val="2AC32EAC"/>
    <w:rsid w:val="2AD0584D"/>
    <w:rsid w:val="2B053749"/>
    <w:rsid w:val="2B1E0D76"/>
    <w:rsid w:val="2B1F7A5D"/>
    <w:rsid w:val="2BB74AA0"/>
    <w:rsid w:val="2BC40411"/>
    <w:rsid w:val="2C53613E"/>
    <w:rsid w:val="2CA945A8"/>
    <w:rsid w:val="2D426207"/>
    <w:rsid w:val="2D7B7CF2"/>
    <w:rsid w:val="2E8F021C"/>
    <w:rsid w:val="2ED31DB0"/>
    <w:rsid w:val="2EDD2DD9"/>
    <w:rsid w:val="2EED8DE3"/>
    <w:rsid w:val="2EF265CA"/>
    <w:rsid w:val="2EFA61AC"/>
    <w:rsid w:val="2F0B75E1"/>
    <w:rsid w:val="2F723467"/>
    <w:rsid w:val="2FD419D6"/>
    <w:rsid w:val="30290649"/>
    <w:rsid w:val="31215055"/>
    <w:rsid w:val="31C036C1"/>
    <w:rsid w:val="31C90BD5"/>
    <w:rsid w:val="32382656"/>
    <w:rsid w:val="32A02B99"/>
    <w:rsid w:val="33513C8E"/>
    <w:rsid w:val="33613486"/>
    <w:rsid w:val="33822AFC"/>
    <w:rsid w:val="33884F17"/>
    <w:rsid w:val="33B5136B"/>
    <w:rsid w:val="33D414D0"/>
    <w:rsid w:val="345614B9"/>
    <w:rsid w:val="346D1682"/>
    <w:rsid w:val="34981FFB"/>
    <w:rsid w:val="34D5001A"/>
    <w:rsid w:val="355552CD"/>
    <w:rsid w:val="358F1000"/>
    <w:rsid w:val="35CD358A"/>
    <w:rsid w:val="362A09EF"/>
    <w:rsid w:val="366F23BE"/>
    <w:rsid w:val="369B1BEA"/>
    <w:rsid w:val="369C1105"/>
    <w:rsid w:val="36D36DF1"/>
    <w:rsid w:val="3717DE29"/>
    <w:rsid w:val="37467D39"/>
    <w:rsid w:val="37826121"/>
    <w:rsid w:val="381A5B17"/>
    <w:rsid w:val="38455ACD"/>
    <w:rsid w:val="385E478C"/>
    <w:rsid w:val="385F359C"/>
    <w:rsid w:val="38832151"/>
    <w:rsid w:val="38912AC0"/>
    <w:rsid w:val="38983E4E"/>
    <w:rsid w:val="38E250CA"/>
    <w:rsid w:val="391D7A4D"/>
    <w:rsid w:val="392D13C2"/>
    <w:rsid w:val="39561B76"/>
    <w:rsid w:val="39915662"/>
    <w:rsid w:val="39CB3DB0"/>
    <w:rsid w:val="3A092B2A"/>
    <w:rsid w:val="3A1A0893"/>
    <w:rsid w:val="3AA06FEA"/>
    <w:rsid w:val="3AA6DFEF"/>
    <w:rsid w:val="3AF11C2B"/>
    <w:rsid w:val="3B00217F"/>
    <w:rsid w:val="3B0527E0"/>
    <w:rsid w:val="3B516536"/>
    <w:rsid w:val="3BA278BA"/>
    <w:rsid w:val="3BA47AD4"/>
    <w:rsid w:val="3BA80B19"/>
    <w:rsid w:val="3C1F3E60"/>
    <w:rsid w:val="3C4240EC"/>
    <w:rsid w:val="3C722C08"/>
    <w:rsid w:val="3C97441D"/>
    <w:rsid w:val="3CB74ABF"/>
    <w:rsid w:val="3CB93B7A"/>
    <w:rsid w:val="3DDD67A7"/>
    <w:rsid w:val="3DDF97F9"/>
    <w:rsid w:val="3DEBD8DE"/>
    <w:rsid w:val="3E6842C3"/>
    <w:rsid w:val="3E6E5AE2"/>
    <w:rsid w:val="3E6F5651"/>
    <w:rsid w:val="3E997760"/>
    <w:rsid w:val="3EBD2AF5"/>
    <w:rsid w:val="3EE836F9"/>
    <w:rsid w:val="3F11495A"/>
    <w:rsid w:val="3F3A1FEB"/>
    <w:rsid w:val="3F7F76B5"/>
    <w:rsid w:val="3FB12AEB"/>
    <w:rsid w:val="3FB72B95"/>
    <w:rsid w:val="3FB7489A"/>
    <w:rsid w:val="3FC51155"/>
    <w:rsid w:val="3FD57736"/>
    <w:rsid w:val="3FDAC52E"/>
    <w:rsid w:val="3FF623C9"/>
    <w:rsid w:val="3FFD6C8D"/>
    <w:rsid w:val="3FFE974A"/>
    <w:rsid w:val="3FFEC075"/>
    <w:rsid w:val="3FFFBFAA"/>
    <w:rsid w:val="40317B58"/>
    <w:rsid w:val="405702EF"/>
    <w:rsid w:val="405F6B9A"/>
    <w:rsid w:val="406A339F"/>
    <w:rsid w:val="40885740"/>
    <w:rsid w:val="41087697"/>
    <w:rsid w:val="411E7924"/>
    <w:rsid w:val="41362456"/>
    <w:rsid w:val="41607B28"/>
    <w:rsid w:val="418C2076"/>
    <w:rsid w:val="41CB5019"/>
    <w:rsid w:val="42213A00"/>
    <w:rsid w:val="42253D73"/>
    <w:rsid w:val="42750D5C"/>
    <w:rsid w:val="42772D26"/>
    <w:rsid w:val="42DC0426"/>
    <w:rsid w:val="43176722"/>
    <w:rsid w:val="43BF32E9"/>
    <w:rsid w:val="43C76649"/>
    <w:rsid w:val="440E3217"/>
    <w:rsid w:val="442D124B"/>
    <w:rsid w:val="44B91A5D"/>
    <w:rsid w:val="452F03D4"/>
    <w:rsid w:val="459A3BBF"/>
    <w:rsid w:val="45B46E75"/>
    <w:rsid w:val="45CB8A67"/>
    <w:rsid w:val="464653FF"/>
    <w:rsid w:val="46AAE8B3"/>
    <w:rsid w:val="47136D96"/>
    <w:rsid w:val="472C3C73"/>
    <w:rsid w:val="47843179"/>
    <w:rsid w:val="47FC5A7C"/>
    <w:rsid w:val="48083673"/>
    <w:rsid w:val="48777BBB"/>
    <w:rsid w:val="48C2776F"/>
    <w:rsid w:val="49935F6C"/>
    <w:rsid w:val="49DA62C0"/>
    <w:rsid w:val="49EB5EDB"/>
    <w:rsid w:val="4AF875FC"/>
    <w:rsid w:val="4B7B2DD8"/>
    <w:rsid w:val="4C605451"/>
    <w:rsid w:val="4D113D78"/>
    <w:rsid w:val="4D671BE9"/>
    <w:rsid w:val="4D866514"/>
    <w:rsid w:val="4D8831FC"/>
    <w:rsid w:val="4DA42E3E"/>
    <w:rsid w:val="4DCE470D"/>
    <w:rsid w:val="4E6268C7"/>
    <w:rsid w:val="4E8D4136"/>
    <w:rsid w:val="4EAC5711"/>
    <w:rsid w:val="4EDA0D8F"/>
    <w:rsid w:val="4F5166AD"/>
    <w:rsid w:val="4FDD9E49"/>
    <w:rsid w:val="4FFEBD65"/>
    <w:rsid w:val="505C7478"/>
    <w:rsid w:val="50A54F03"/>
    <w:rsid w:val="50E86A91"/>
    <w:rsid w:val="5127296B"/>
    <w:rsid w:val="51404C2B"/>
    <w:rsid w:val="514418E5"/>
    <w:rsid w:val="517B51EF"/>
    <w:rsid w:val="51B2004B"/>
    <w:rsid w:val="522914F3"/>
    <w:rsid w:val="527C2D46"/>
    <w:rsid w:val="52B278AD"/>
    <w:rsid w:val="5472094E"/>
    <w:rsid w:val="54A07538"/>
    <w:rsid w:val="550B72FE"/>
    <w:rsid w:val="55622629"/>
    <w:rsid w:val="557701D2"/>
    <w:rsid w:val="558C6691"/>
    <w:rsid w:val="559B0682"/>
    <w:rsid w:val="562B7C58"/>
    <w:rsid w:val="56EAB77E"/>
    <w:rsid w:val="57AF68E8"/>
    <w:rsid w:val="57B62CCF"/>
    <w:rsid w:val="5813309A"/>
    <w:rsid w:val="581E2406"/>
    <w:rsid w:val="58805EAB"/>
    <w:rsid w:val="58825B29"/>
    <w:rsid w:val="5886539D"/>
    <w:rsid w:val="59816F6A"/>
    <w:rsid w:val="598F6750"/>
    <w:rsid w:val="59A321FB"/>
    <w:rsid w:val="59B81AE9"/>
    <w:rsid w:val="5A3A2DDD"/>
    <w:rsid w:val="5AF25FAF"/>
    <w:rsid w:val="5BF925A6"/>
    <w:rsid w:val="5CFBD208"/>
    <w:rsid w:val="5D201747"/>
    <w:rsid w:val="5D4B5084"/>
    <w:rsid w:val="5D4E7092"/>
    <w:rsid w:val="5D7E2D63"/>
    <w:rsid w:val="5D940F2F"/>
    <w:rsid w:val="5DA31D4F"/>
    <w:rsid w:val="5DC759A0"/>
    <w:rsid w:val="5DD777CB"/>
    <w:rsid w:val="5DEC4171"/>
    <w:rsid w:val="5DF76D59"/>
    <w:rsid w:val="5E4B638E"/>
    <w:rsid w:val="5E6DA911"/>
    <w:rsid w:val="5E897C12"/>
    <w:rsid w:val="5EBA11D0"/>
    <w:rsid w:val="5EF87B86"/>
    <w:rsid w:val="5F1D035A"/>
    <w:rsid w:val="5F1D3549"/>
    <w:rsid w:val="5FA44F37"/>
    <w:rsid w:val="5FFB4EAB"/>
    <w:rsid w:val="5FFFE427"/>
    <w:rsid w:val="602202C6"/>
    <w:rsid w:val="6022031E"/>
    <w:rsid w:val="603564B8"/>
    <w:rsid w:val="60447752"/>
    <w:rsid w:val="60B7289E"/>
    <w:rsid w:val="60D5520A"/>
    <w:rsid w:val="60DD4245"/>
    <w:rsid w:val="61501C31"/>
    <w:rsid w:val="61E138C1"/>
    <w:rsid w:val="61E6301B"/>
    <w:rsid w:val="627E2980"/>
    <w:rsid w:val="62D41677"/>
    <w:rsid w:val="62D71BD5"/>
    <w:rsid w:val="637349EC"/>
    <w:rsid w:val="639A74FB"/>
    <w:rsid w:val="63A14D89"/>
    <w:rsid w:val="64024A0C"/>
    <w:rsid w:val="64280B47"/>
    <w:rsid w:val="64300B2F"/>
    <w:rsid w:val="64441196"/>
    <w:rsid w:val="646978EA"/>
    <w:rsid w:val="651346D9"/>
    <w:rsid w:val="654900FB"/>
    <w:rsid w:val="658C1DB3"/>
    <w:rsid w:val="65932756"/>
    <w:rsid w:val="65D86017"/>
    <w:rsid w:val="66435FED"/>
    <w:rsid w:val="669B48AE"/>
    <w:rsid w:val="66C37A39"/>
    <w:rsid w:val="66E05B48"/>
    <w:rsid w:val="66ED4AB6"/>
    <w:rsid w:val="66F13BC1"/>
    <w:rsid w:val="67395F4D"/>
    <w:rsid w:val="67584625"/>
    <w:rsid w:val="679927BF"/>
    <w:rsid w:val="67D04C04"/>
    <w:rsid w:val="681E6444"/>
    <w:rsid w:val="68525518"/>
    <w:rsid w:val="68C70FC8"/>
    <w:rsid w:val="68F76AB9"/>
    <w:rsid w:val="692757B4"/>
    <w:rsid w:val="696372B1"/>
    <w:rsid w:val="69E45846"/>
    <w:rsid w:val="69EB222A"/>
    <w:rsid w:val="6A175BDB"/>
    <w:rsid w:val="6A9811DC"/>
    <w:rsid w:val="6B166CD1"/>
    <w:rsid w:val="6B241A17"/>
    <w:rsid w:val="6B28556D"/>
    <w:rsid w:val="6B4D1FC7"/>
    <w:rsid w:val="6B7A2359"/>
    <w:rsid w:val="6B9D2F4E"/>
    <w:rsid w:val="6BA0659B"/>
    <w:rsid w:val="6BB9765C"/>
    <w:rsid w:val="6C0905E4"/>
    <w:rsid w:val="6CD06372"/>
    <w:rsid w:val="6D613301"/>
    <w:rsid w:val="6D800430"/>
    <w:rsid w:val="6DC347C2"/>
    <w:rsid w:val="6DE2733E"/>
    <w:rsid w:val="6DF5A1B5"/>
    <w:rsid w:val="6DFF8721"/>
    <w:rsid w:val="6E080427"/>
    <w:rsid w:val="6E135A62"/>
    <w:rsid w:val="6E226234"/>
    <w:rsid w:val="6E9A535C"/>
    <w:rsid w:val="6E9C0F6F"/>
    <w:rsid w:val="6EAC679F"/>
    <w:rsid w:val="6F213E96"/>
    <w:rsid w:val="6F265009"/>
    <w:rsid w:val="6F34175B"/>
    <w:rsid w:val="6F4A6F49"/>
    <w:rsid w:val="6F74EF5C"/>
    <w:rsid w:val="6F983C7A"/>
    <w:rsid w:val="6FA56875"/>
    <w:rsid w:val="6FC13B19"/>
    <w:rsid w:val="6FD39CA8"/>
    <w:rsid w:val="6FDB4045"/>
    <w:rsid w:val="700370F8"/>
    <w:rsid w:val="705428A9"/>
    <w:rsid w:val="70622071"/>
    <w:rsid w:val="70816466"/>
    <w:rsid w:val="70AC7790"/>
    <w:rsid w:val="70BE20A5"/>
    <w:rsid w:val="7103031A"/>
    <w:rsid w:val="710F0A22"/>
    <w:rsid w:val="71121F70"/>
    <w:rsid w:val="716C7312"/>
    <w:rsid w:val="71AD7318"/>
    <w:rsid w:val="72035AD5"/>
    <w:rsid w:val="72036037"/>
    <w:rsid w:val="72077373"/>
    <w:rsid w:val="72156D6F"/>
    <w:rsid w:val="721A0229"/>
    <w:rsid w:val="72646574"/>
    <w:rsid w:val="726D70E7"/>
    <w:rsid w:val="72960637"/>
    <w:rsid w:val="72CC4553"/>
    <w:rsid w:val="7307121D"/>
    <w:rsid w:val="736824A9"/>
    <w:rsid w:val="737629FD"/>
    <w:rsid w:val="73870D05"/>
    <w:rsid w:val="744D5EC9"/>
    <w:rsid w:val="745368A0"/>
    <w:rsid w:val="74872D28"/>
    <w:rsid w:val="74A95270"/>
    <w:rsid w:val="74FA6D1C"/>
    <w:rsid w:val="752263F0"/>
    <w:rsid w:val="752644DD"/>
    <w:rsid w:val="75614247"/>
    <w:rsid w:val="75936634"/>
    <w:rsid w:val="76275962"/>
    <w:rsid w:val="76DD06A3"/>
    <w:rsid w:val="773504DF"/>
    <w:rsid w:val="77653A71"/>
    <w:rsid w:val="777222BA"/>
    <w:rsid w:val="777E02C9"/>
    <w:rsid w:val="777E11B6"/>
    <w:rsid w:val="77884AB3"/>
    <w:rsid w:val="77962ADB"/>
    <w:rsid w:val="77B358A8"/>
    <w:rsid w:val="77BBCB21"/>
    <w:rsid w:val="77CC74DE"/>
    <w:rsid w:val="77FD868E"/>
    <w:rsid w:val="77FFEA93"/>
    <w:rsid w:val="78273613"/>
    <w:rsid w:val="787D038F"/>
    <w:rsid w:val="78D02DFD"/>
    <w:rsid w:val="78E91435"/>
    <w:rsid w:val="78EB6DEC"/>
    <w:rsid w:val="78FE47A7"/>
    <w:rsid w:val="79523EBC"/>
    <w:rsid w:val="79685D77"/>
    <w:rsid w:val="7995577F"/>
    <w:rsid w:val="79C835C1"/>
    <w:rsid w:val="79E65A52"/>
    <w:rsid w:val="79F15E84"/>
    <w:rsid w:val="7A0D41E2"/>
    <w:rsid w:val="7A3538A9"/>
    <w:rsid w:val="7A7C4102"/>
    <w:rsid w:val="7AFBEC01"/>
    <w:rsid w:val="7B1403CC"/>
    <w:rsid w:val="7B7B26F0"/>
    <w:rsid w:val="7B7D3C9D"/>
    <w:rsid w:val="7BC35959"/>
    <w:rsid w:val="7BE6486A"/>
    <w:rsid w:val="7BEB3862"/>
    <w:rsid w:val="7BFF949A"/>
    <w:rsid w:val="7C0E12FE"/>
    <w:rsid w:val="7C744EE5"/>
    <w:rsid w:val="7C8B6DF3"/>
    <w:rsid w:val="7C9932BE"/>
    <w:rsid w:val="7C9C4E59"/>
    <w:rsid w:val="7D292894"/>
    <w:rsid w:val="7D5612EF"/>
    <w:rsid w:val="7D9D293A"/>
    <w:rsid w:val="7DFB6064"/>
    <w:rsid w:val="7DFDD073"/>
    <w:rsid w:val="7E1700E3"/>
    <w:rsid w:val="7E477448"/>
    <w:rsid w:val="7E71A4BB"/>
    <w:rsid w:val="7E72558C"/>
    <w:rsid w:val="7E732B44"/>
    <w:rsid w:val="7EA36676"/>
    <w:rsid w:val="7ECA59B1"/>
    <w:rsid w:val="7ED2669B"/>
    <w:rsid w:val="7ED3B3C9"/>
    <w:rsid w:val="7EFFDDB5"/>
    <w:rsid w:val="7F313C82"/>
    <w:rsid w:val="7F405B78"/>
    <w:rsid w:val="7F5F629C"/>
    <w:rsid w:val="7F99CD82"/>
    <w:rsid w:val="7FB9071A"/>
    <w:rsid w:val="7FBBADEF"/>
    <w:rsid w:val="7FC9210C"/>
    <w:rsid w:val="7FCF3536"/>
    <w:rsid w:val="7FDFCA53"/>
    <w:rsid w:val="7FE9630A"/>
    <w:rsid w:val="7FEF85D3"/>
    <w:rsid w:val="7FFBF065"/>
    <w:rsid w:val="7FFD2A23"/>
    <w:rsid w:val="7FFEF02A"/>
    <w:rsid w:val="7FFF4C9D"/>
    <w:rsid w:val="7FFF5C8C"/>
    <w:rsid w:val="7FFFBE22"/>
    <w:rsid w:val="97BD08E1"/>
    <w:rsid w:val="A75D91C2"/>
    <w:rsid w:val="ADD3852B"/>
    <w:rsid w:val="AFEDE56E"/>
    <w:rsid w:val="BA7B23C6"/>
    <w:rsid w:val="BAFD4466"/>
    <w:rsid w:val="BBBFB5E6"/>
    <w:rsid w:val="BBEFE749"/>
    <w:rsid w:val="BBFFECF7"/>
    <w:rsid w:val="BC7B9A43"/>
    <w:rsid w:val="BDF6CE30"/>
    <w:rsid w:val="BEB6BF75"/>
    <w:rsid w:val="BEFFB197"/>
    <w:rsid w:val="BFDB7792"/>
    <w:rsid w:val="BFFE76F5"/>
    <w:rsid w:val="BFFF6586"/>
    <w:rsid w:val="BFFFB9C3"/>
    <w:rsid w:val="CE1BE1B5"/>
    <w:rsid w:val="CEFF5B30"/>
    <w:rsid w:val="D3DE4B4D"/>
    <w:rsid w:val="D6C7A52E"/>
    <w:rsid w:val="DB7D5B82"/>
    <w:rsid w:val="DBBF3EB0"/>
    <w:rsid w:val="DBCB5ECD"/>
    <w:rsid w:val="DEEFA8F2"/>
    <w:rsid w:val="DF7FC591"/>
    <w:rsid w:val="E1F93169"/>
    <w:rsid w:val="E5D31855"/>
    <w:rsid w:val="E7CA893C"/>
    <w:rsid w:val="E7F71057"/>
    <w:rsid w:val="E7FFB30F"/>
    <w:rsid w:val="EA7AA5A0"/>
    <w:rsid w:val="EAF78CA1"/>
    <w:rsid w:val="EBDEFC5A"/>
    <w:rsid w:val="EBF76B67"/>
    <w:rsid w:val="EBF901A9"/>
    <w:rsid w:val="ED7F8C08"/>
    <w:rsid w:val="EDD610EE"/>
    <w:rsid w:val="EFFBF889"/>
    <w:rsid w:val="F10FFEB4"/>
    <w:rsid w:val="F5EEDAE0"/>
    <w:rsid w:val="F698BE52"/>
    <w:rsid w:val="F7DB969D"/>
    <w:rsid w:val="F7DFB925"/>
    <w:rsid w:val="F7FA4CA7"/>
    <w:rsid w:val="F94B0C84"/>
    <w:rsid w:val="FAE79379"/>
    <w:rsid w:val="FB7F3266"/>
    <w:rsid w:val="FE97BA0F"/>
    <w:rsid w:val="FED43EA4"/>
    <w:rsid w:val="FEFD71C0"/>
    <w:rsid w:val="FF5BCE36"/>
    <w:rsid w:val="FF7F3568"/>
    <w:rsid w:val="FF9E9CCB"/>
    <w:rsid w:val="FFAB6AB2"/>
    <w:rsid w:val="FFDB44CE"/>
    <w:rsid w:val="FFDED3F7"/>
    <w:rsid w:val="FFEE706F"/>
    <w:rsid w:val="FFF2B31A"/>
    <w:rsid w:val="FFF48E86"/>
    <w:rsid w:val="FFFB01BC"/>
    <w:rsid w:val="FFFF2F4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9"/>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60"/>
    <w:qFormat/>
    <w:uiPriority w:val="0"/>
    <w:pPr>
      <w:keepNext/>
      <w:keepLines/>
      <w:spacing w:before="260" w:after="260" w:line="416" w:lineRule="auto"/>
      <w:outlineLvl w:val="2"/>
    </w:pPr>
    <w:rPr>
      <w:b/>
      <w:bCs/>
      <w:kern w:val="0"/>
      <w:sz w:val="32"/>
      <w:szCs w:val="32"/>
    </w:rPr>
  </w:style>
  <w:style w:type="paragraph" w:styleId="5">
    <w:name w:val="heading 4"/>
    <w:basedOn w:val="1"/>
    <w:next w:val="1"/>
    <w:qFormat/>
    <w:uiPriority w:val="0"/>
    <w:pPr>
      <w:tabs>
        <w:tab w:val="left" w:pos="2155"/>
      </w:tabs>
      <w:adjustRightInd w:val="0"/>
      <w:spacing w:line="360" w:lineRule="auto"/>
      <w:ind w:left="2155" w:hanging="1078"/>
      <w:textAlignment w:val="baseline"/>
      <w:outlineLvl w:val="3"/>
    </w:pPr>
    <w:rPr>
      <w:rFonts w:ascii="Arial" w:eastAsia="黑体"/>
      <w:kern w:val="0"/>
      <w:sz w:val="28"/>
      <w:szCs w:val="20"/>
    </w:rPr>
  </w:style>
  <w:style w:type="paragraph" w:styleId="6">
    <w:name w:val="heading 5"/>
    <w:basedOn w:val="1"/>
    <w:next w:val="7"/>
    <w:link w:val="61"/>
    <w:qFormat/>
    <w:uiPriority w:val="0"/>
    <w:pPr>
      <w:keepNext/>
      <w:keepLines/>
      <w:numPr>
        <w:ilvl w:val="4"/>
        <w:numId w:val="1"/>
      </w:numPr>
      <w:spacing w:before="280" w:after="290" w:line="376" w:lineRule="auto"/>
      <w:outlineLvl w:val="4"/>
    </w:pPr>
    <w:rPr>
      <w:b/>
      <w:sz w:val="28"/>
    </w:rPr>
  </w:style>
  <w:style w:type="paragraph" w:styleId="8">
    <w:name w:val="heading 6"/>
    <w:basedOn w:val="1"/>
    <w:next w:val="7"/>
    <w:link w:val="62"/>
    <w:qFormat/>
    <w:uiPriority w:val="0"/>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7"/>
    <w:link w:val="63"/>
    <w:qFormat/>
    <w:uiPriority w:val="0"/>
    <w:pPr>
      <w:keepNext/>
      <w:keepLines/>
      <w:numPr>
        <w:ilvl w:val="6"/>
        <w:numId w:val="1"/>
      </w:numPr>
      <w:spacing w:before="240" w:after="64" w:line="320" w:lineRule="auto"/>
      <w:outlineLvl w:val="6"/>
    </w:pPr>
    <w:rPr>
      <w:b/>
      <w:sz w:val="24"/>
    </w:rPr>
  </w:style>
  <w:style w:type="paragraph" w:styleId="10">
    <w:name w:val="heading 8"/>
    <w:basedOn w:val="1"/>
    <w:next w:val="7"/>
    <w:link w:val="64"/>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7"/>
    <w:link w:val="65"/>
    <w:qFormat/>
    <w:uiPriority w:val="0"/>
    <w:pPr>
      <w:keepNext/>
      <w:keepLines/>
      <w:numPr>
        <w:ilvl w:val="8"/>
        <w:numId w:val="1"/>
      </w:numPr>
      <w:spacing w:before="240" w:after="64" w:line="320" w:lineRule="auto"/>
      <w:outlineLvl w:val="8"/>
    </w:pPr>
    <w:rPr>
      <w:rFonts w:ascii="Arial" w:hAnsi="Arial" w:eastAsia="黑体"/>
    </w:rPr>
  </w:style>
  <w:style w:type="character" w:default="1" w:styleId="49">
    <w:name w:val="Default Paragraph Font"/>
    <w:unhideWhenUsed/>
    <w:qFormat/>
    <w:uiPriority w:val="1"/>
  </w:style>
  <w:style w:type="table" w:default="1" w:styleId="47">
    <w:name w:val="Normal Table"/>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12">
    <w:name w:val="toc 7"/>
    <w:basedOn w:val="1"/>
    <w:next w:val="1"/>
    <w:unhideWhenUsed/>
    <w:qFormat/>
    <w:uiPriority w:val="39"/>
    <w:pPr>
      <w:ind w:left="2520" w:leftChars="1200"/>
    </w:pPr>
    <w:rPr>
      <w:rFonts w:ascii="Calibri" w:hAnsi="Calibri" w:eastAsia="宋体" w:cs="Times New Roman"/>
      <w:szCs w:val="22"/>
    </w:rPr>
  </w:style>
  <w:style w:type="paragraph" w:styleId="13">
    <w:name w:val="index 8"/>
    <w:basedOn w:val="1"/>
    <w:next w:val="1"/>
    <w:qFormat/>
    <w:uiPriority w:val="0"/>
    <w:pPr>
      <w:ind w:left="2940"/>
    </w:pPr>
  </w:style>
  <w:style w:type="paragraph" w:styleId="14">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annotation text"/>
    <w:basedOn w:val="1"/>
    <w:link w:val="66"/>
    <w:unhideWhenUsed/>
    <w:qFormat/>
    <w:uiPriority w:val="0"/>
    <w:pPr>
      <w:jc w:val="left"/>
    </w:pPr>
  </w:style>
  <w:style w:type="paragraph" w:styleId="17">
    <w:name w:val="Body Text 3"/>
    <w:basedOn w:val="1"/>
    <w:link w:val="67"/>
    <w:qFormat/>
    <w:uiPriority w:val="0"/>
    <w:pPr>
      <w:spacing w:line="500" w:lineRule="exact"/>
    </w:pPr>
    <w:rPr>
      <w:b/>
      <w:bCs/>
      <w:kern w:val="0"/>
      <w:sz w:val="24"/>
    </w:rPr>
  </w:style>
  <w:style w:type="paragraph" w:styleId="18">
    <w:name w:val="Body Text"/>
    <w:basedOn w:val="1"/>
    <w:next w:val="1"/>
    <w:link w:val="57"/>
    <w:qFormat/>
    <w:uiPriority w:val="99"/>
    <w:pPr>
      <w:spacing w:line="380" w:lineRule="exact"/>
    </w:pPr>
    <w:rPr>
      <w:kern w:val="0"/>
      <w:sz w:val="24"/>
    </w:rPr>
  </w:style>
  <w:style w:type="paragraph" w:styleId="19">
    <w:name w:val="Body Text Indent"/>
    <w:basedOn w:val="1"/>
    <w:link w:val="68"/>
    <w:qFormat/>
    <w:uiPriority w:val="0"/>
    <w:pPr>
      <w:ind w:firstLine="830" w:firstLineChars="352"/>
    </w:pPr>
    <w:rPr>
      <w:rFonts w:ascii="仿宋_GB2312" w:eastAsia="仿宋_GB2312"/>
      <w:kern w:val="0"/>
      <w:sz w:val="32"/>
      <w:szCs w:val="20"/>
    </w:rPr>
  </w:style>
  <w:style w:type="paragraph" w:styleId="20">
    <w:name w:val="List Number 3"/>
    <w:basedOn w:val="1"/>
    <w:qFormat/>
    <w:uiPriority w:val="0"/>
    <w:pPr>
      <w:numPr>
        <w:ilvl w:val="0"/>
        <w:numId w:val="2"/>
      </w:numPr>
    </w:pPr>
  </w:style>
  <w:style w:type="paragraph" w:styleId="21">
    <w:name w:val="List 2"/>
    <w:basedOn w:val="1"/>
    <w:qFormat/>
    <w:uiPriority w:val="0"/>
    <w:pPr>
      <w:ind w:left="100" w:leftChars="200" w:hanging="200" w:hangingChars="200"/>
    </w:pPr>
    <w:rPr>
      <w:sz w:val="28"/>
    </w:rPr>
  </w:style>
  <w:style w:type="paragraph" w:styleId="22">
    <w:name w:val="Block Text"/>
    <w:basedOn w:val="1"/>
    <w:qFormat/>
    <w:uiPriority w:val="0"/>
    <w:pPr>
      <w:spacing w:before="100" w:beforeAutospacing="1" w:after="100" w:afterAutospacing="1"/>
      <w:ind w:left="-2" w:leftChars="-1" w:right="26"/>
    </w:pPr>
    <w:rPr>
      <w:rFonts w:ascii="Arial" w:hAnsi="Arial" w:cs="Arial"/>
      <w:color w:val="000000"/>
      <w:szCs w:val="18"/>
    </w:rPr>
  </w:style>
  <w:style w:type="paragraph" w:styleId="23">
    <w:name w:val="toc 5"/>
    <w:basedOn w:val="1"/>
    <w:next w:val="1"/>
    <w:unhideWhenUsed/>
    <w:qFormat/>
    <w:uiPriority w:val="39"/>
    <w:pPr>
      <w:ind w:left="1680" w:leftChars="800"/>
    </w:pPr>
    <w:rPr>
      <w:rFonts w:ascii="Calibri" w:hAnsi="Calibri" w:eastAsia="宋体" w:cs="Times New Roman"/>
      <w:szCs w:val="22"/>
    </w:rPr>
  </w:style>
  <w:style w:type="paragraph" w:styleId="24">
    <w:name w:val="toc 3"/>
    <w:basedOn w:val="1"/>
    <w:next w:val="1"/>
    <w:unhideWhenUsed/>
    <w:qFormat/>
    <w:uiPriority w:val="39"/>
    <w:pPr>
      <w:ind w:left="840" w:leftChars="400"/>
    </w:pPr>
    <w:rPr>
      <w:rFonts w:ascii="Calibri" w:hAnsi="Calibri" w:eastAsia="宋体" w:cs="Times New Roman"/>
      <w:szCs w:val="22"/>
    </w:rPr>
  </w:style>
  <w:style w:type="paragraph" w:styleId="25">
    <w:name w:val="Plain Text"/>
    <w:basedOn w:val="1"/>
    <w:link w:val="69"/>
    <w:qFormat/>
    <w:uiPriority w:val="0"/>
    <w:rPr>
      <w:rFonts w:ascii="宋体" w:hAnsi="Courier New"/>
      <w:kern w:val="0"/>
      <w:sz w:val="20"/>
      <w:szCs w:val="21"/>
    </w:rPr>
  </w:style>
  <w:style w:type="paragraph" w:styleId="26">
    <w:name w:val="toc 8"/>
    <w:basedOn w:val="1"/>
    <w:next w:val="1"/>
    <w:unhideWhenUsed/>
    <w:qFormat/>
    <w:uiPriority w:val="39"/>
    <w:pPr>
      <w:ind w:left="2940" w:leftChars="1400"/>
    </w:pPr>
    <w:rPr>
      <w:rFonts w:ascii="Calibri" w:hAnsi="Calibri" w:eastAsia="宋体" w:cs="Times New Roman"/>
      <w:szCs w:val="22"/>
    </w:rPr>
  </w:style>
  <w:style w:type="paragraph" w:styleId="27">
    <w:name w:val="Date"/>
    <w:basedOn w:val="1"/>
    <w:next w:val="1"/>
    <w:link w:val="70"/>
    <w:qFormat/>
    <w:uiPriority w:val="0"/>
    <w:pPr>
      <w:ind w:left="100" w:leftChars="2500"/>
    </w:pPr>
    <w:rPr>
      <w:rFonts w:ascii="宋体" w:hAnsi="Courier New"/>
      <w:kern w:val="0"/>
      <w:sz w:val="20"/>
      <w:szCs w:val="21"/>
    </w:rPr>
  </w:style>
  <w:style w:type="paragraph" w:styleId="28">
    <w:name w:val="Body Text Indent 2"/>
    <w:basedOn w:val="1"/>
    <w:link w:val="71"/>
    <w:qFormat/>
    <w:uiPriority w:val="0"/>
    <w:pPr>
      <w:ind w:firstLine="630"/>
    </w:pPr>
    <w:rPr>
      <w:kern w:val="0"/>
      <w:sz w:val="32"/>
      <w:szCs w:val="20"/>
    </w:rPr>
  </w:style>
  <w:style w:type="paragraph" w:styleId="29">
    <w:name w:val="endnote text"/>
    <w:basedOn w:val="1"/>
    <w:link w:val="72"/>
    <w:unhideWhenUsed/>
    <w:qFormat/>
    <w:uiPriority w:val="99"/>
    <w:pPr>
      <w:snapToGrid w:val="0"/>
      <w:jc w:val="left"/>
    </w:pPr>
  </w:style>
  <w:style w:type="paragraph" w:styleId="30">
    <w:name w:val="Balloon Text"/>
    <w:basedOn w:val="1"/>
    <w:link w:val="73"/>
    <w:semiHidden/>
    <w:qFormat/>
    <w:uiPriority w:val="0"/>
    <w:rPr>
      <w:kern w:val="0"/>
      <w:sz w:val="18"/>
      <w:szCs w:val="18"/>
    </w:rPr>
  </w:style>
  <w:style w:type="paragraph" w:styleId="31">
    <w:name w:val="footer"/>
    <w:basedOn w:val="1"/>
    <w:link w:val="74"/>
    <w:unhideWhenUsed/>
    <w:qFormat/>
    <w:uiPriority w:val="99"/>
    <w:pPr>
      <w:tabs>
        <w:tab w:val="center" w:pos="4153"/>
        <w:tab w:val="right" w:pos="8306"/>
      </w:tabs>
      <w:snapToGrid w:val="0"/>
      <w:jc w:val="left"/>
    </w:pPr>
    <w:rPr>
      <w:kern w:val="0"/>
      <w:sz w:val="18"/>
      <w:szCs w:val="18"/>
    </w:rPr>
  </w:style>
  <w:style w:type="paragraph" w:styleId="32">
    <w:name w:val="header"/>
    <w:basedOn w:val="1"/>
    <w:link w:val="75"/>
    <w:unhideWhenUsed/>
    <w:qFormat/>
    <w:uiPriority w:val="99"/>
    <w:pPr>
      <w:pBdr>
        <w:bottom w:val="single" w:color="auto" w:sz="6" w:space="1"/>
      </w:pBdr>
      <w:tabs>
        <w:tab w:val="center" w:pos="0"/>
        <w:tab w:val="left" w:pos="8306"/>
      </w:tabs>
      <w:snapToGrid w:val="0"/>
      <w:jc w:val="center"/>
    </w:pPr>
    <w:rPr>
      <w:sz w:val="18"/>
      <w:szCs w:val="18"/>
    </w:rPr>
  </w:style>
  <w:style w:type="paragraph" w:styleId="33">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4">
    <w:name w:val="toc 4"/>
    <w:basedOn w:val="1"/>
    <w:next w:val="1"/>
    <w:unhideWhenUsed/>
    <w:qFormat/>
    <w:uiPriority w:val="39"/>
    <w:pPr>
      <w:ind w:left="1260" w:leftChars="600"/>
    </w:pPr>
    <w:rPr>
      <w:rFonts w:ascii="Calibri" w:hAnsi="Calibri" w:eastAsia="宋体" w:cs="Times New Roman"/>
      <w:szCs w:val="22"/>
    </w:rPr>
  </w:style>
  <w:style w:type="paragraph" w:styleId="35">
    <w:name w:val="List"/>
    <w:basedOn w:val="1"/>
    <w:qFormat/>
    <w:uiPriority w:val="0"/>
    <w:pPr>
      <w:ind w:left="200" w:hanging="200" w:hangingChars="200"/>
    </w:pPr>
    <w:rPr>
      <w:sz w:val="28"/>
    </w:rPr>
  </w:style>
  <w:style w:type="paragraph" w:styleId="36">
    <w:name w:val="footnote text"/>
    <w:basedOn w:val="1"/>
    <w:next w:val="18"/>
    <w:link w:val="76"/>
    <w:unhideWhenUsed/>
    <w:qFormat/>
    <w:uiPriority w:val="99"/>
    <w:pPr>
      <w:snapToGrid w:val="0"/>
      <w:jc w:val="left"/>
    </w:pPr>
    <w:rPr>
      <w:sz w:val="18"/>
      <w:szCs w:val="18"/>
    </w:rPr>
  </w:style>
  <w:style w:type="paragraph" w:styleId="37">
    <w:name w:val="toc 6"/>
    <w:basedOn w:val="1"/>
    <w:next w:val="1"/>
    <w:unhideWhenUsed/>
    <w:qFormat/>
    <w:uiPriority w:val="39"/>
    <w:pPr>
      <w:ind w:left="2100" w:leftChars="1000"/>
    </w:pPr>
    <w:rPr>
      <w:rFonts w:ascii="Calibri" w:hAnsi="Calibri" w:eastAsia="宋体" w:cs="Times New Roman"/>
      <w:szCs w:val="22"/>
    </w:rPr>
  </w:style>
  <w:style w:type="paragraph" w:styleId="38">
    <w:name w:val="Body Text Indent 3"/>
    <w:basedOn w:val="1"/>
    <w:link w:val="77"/>
    <w:qFormat/>
    <w:uiPriority w:val="0"/>
    <w:pPr>
      <w:spacing w:after="120"/>
      <w:ind w:left="420" w:leftChars="200"/>
    </w:pPr>
    <w:rPr>
      <w:kern w:val="0"/>
      <w:sz w:val="16"/>
      <w:szCs w:val="16"/>
    </w:rPr>
  </w:style>
  <w:style w:type="paragraph" w:styleId="39">
    <w:name w:val="toc 2"/>
    <w:basedOn w:val="1"/>
    <w:next w:val="1"/>
    <w:unhideWhenUsed/>
    <w:qFormat/>
    <w:uiPriority w:val="39"/>
    <w:pPr>
      <w:ind w:left="420" w:leftChars="200"/>
    </w:pPr>
  </w:style>
  <w:style w:type="paragraph" w:styleId="40">
    <w:name w:val="toc 9"/>
    <w:basedOn w:val="1"/>
    <w:next w:val="1"/>
    <w:unhideWhenUsed/>
    <w:qFormat/>
    <w:uiPriority w:val="39"/>
    <w:pPr>
      <w:ind w:left="3360" w:leftChars="1600"/>
    </w:pPr>
    <w:rPr>
      <w:rFonts w:ascii="Calibri" w:hAnsi="Calibri" w:eastAsia="宋体" w:cs="Times New Roman"/>
      <w:szCs w:val="22"/>
    </w:rPr>
  </w:style>
  <w:style w:type="paragraph" w:styleId="41">
    <w:name w:val="Body Text 2"/>
    <w:basedOn w:val="1"/>
    <w:link w:val="78"/>
    <w:qFormat/>
    <w:uiPriority w:val="0"/>
    <w:pPr>
      <w:spacing w:after="120" w:line="480" w:lineRule="auto"/>
    </w:pPr>
    <w:rPr>
      <w:kern w:val="0"/>
      <w:sz w:val="20"/>
    </w:rPr>
  </w:style>
  <w:style w:type="paragraph" w:styleId="42">
    <w:name w:val="Normal (Web)"/>
    <w:basedOn w:val="1"/>
    <w:qFormat/>
    <w:uiPriority w:val="99"/>
    <w:pPr>
      <w:widowControl/>
      <w:spacing w:before="100" w:beforeAutospacing="1" w:after="100" w:afterAutospacing="1"/>
      <w:jc w:val="left"/>
    </w:pPr>
    <w:rPr>
      <w:rFonts w:ascii="宋体" w:hAnsi="宋体"/>
      <w:kern w:val="0"/>
      <w:sz w:val="24"/>
    </w:rPr>
  </w:style>
  <w:style w:type="paragraph" w:styleId="43">
    <w:name w:val="index 1"/>
    <w:basedOn w:val="1"/>
    <w:next w:val="1"/>
    <w:semiHidden/>
    <w:qFormat/>
    <w:uiPriority w:val="0"/>
    <w:pPr>
      <w:spacing w:line="400" w:lineRule="exact"/>
      <w:ind w:firstLine="420" w:firstLineChars="200"/>
    </w:pPr>
    <w:rPr>
      <w:rFonts w:ascii="宋体" w:hAnsi="Courier New"/>
      <w:b/>
      <w:szCs w:val="20"/>
    </w:rPr>
  </w:style>
  <w:style w:type="paragraph" w:styleId="44">
    <w:name w:val="Title"/>
    <w:basedOn w:val="1"/>
    <w:next w:val="1"/>
    <w:link w:val="79"/>
    <w:qFormat/>
    <w:uiPriority w:val="10"/>
    <w:pPr>
      <w:spacing w:before="240" w:after="60"/>
      <w:jc w:val="center"/>
      <w:outlineLvl w:val="0"/>
    </w:pPr>
    <w:rPr>
      <w:rFonts w:ascii="Cambria" w:hAnsi="Cambria"/>
      <w:b/>
      <w:bCs/>
      <w:sz w:val="32"/>
      <w:szCs w:val="32"/>
    </w:rPr>
  </w:style>
  <w:style w:type="paragraph" w:styleId="45">
    <w:name w:val="annotation subject"/>
    <w:basedOn w:val="16"/>
    <w:next w:val="16"/>
    <w:link w:val="80"/>
    <w:unhideWhenUsed/>
    <w:qFormat/>
    <w:uiPriority w:val="99"/>
    <w:rPr>
      <w:b/>
      <w:bCs/>
    </w:rPr>
  </w:style>
  <w:style w:type="paragraph" w:styleId="46">
    <w:name w:val="Body Text First Indent"/>
    <w:basedOn w:val="18"/>
    <w:qFormat/>
    <w:uiPriority w:val="0"/>
    <w:pPr>
      <w:widowControl w:val="0"/>
      <w:spacing w:before="0" w:after="0" w:line="380" w:lineRule="atLeast"/>
      <w:ind w:left="0" w:right="0" w:firstLine="420" w:firstLineChars="100"/>
      <w:jc w:val="both"/>
    </w:pPr>
    <w:rPr>
      <w:rFonts w:ascii="宋体" w:hAnsi="Times New Roman" w:eastAsia="宋体" w:cs="Times New Roman"/>
      <w:kern w:val="0"/>
      <w:sz w:val="20"/>
      <w:szCs w:val="20"/>
      <w:lang w:val="en-US" w:eastAsia="zh-CN" w:bidi="ar-SA"/>
    </w:rPr>
  </w:style>
  <w:style w:type="table" w:styleId="48">
    <w:name w:val="Table Grid"/>
    <w:basedOn w:val="47"/>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basedOn w:val="49"/>
    <w:qFormat/>
    <w:uiPriority w:val="22"/>
    <w:rPr>
      <w:b/>
      <w:bCs/>
    </w:rPr>
  </w:style>
  <w:style w:type="character" w:styleId="51">
    <w:name w:val="endnote reference"/>
    <w:unhideWhenUsed/>
    <w:qFormat/>
    <w:uiPriority w:val="99"/>
    <w:rPr>
      <w:vertAlign w:val="superscript"/>
    </w:rPr>
  </w:style>
  <w:style w:type="character" w:styleId="52">
    <w:name w:val="page number"/>
    <w:qFormat/>
    <w:uiPriority w:val="0"/>
  </w:style>
  <w:style w:type="character" w:styleId="53">
    <w:name w:val="FollowedHyperlink"/>
    <w:qFormat/>
    <w:uiPriority w:val="0"/>
    <w:rPr>
      <w:color w:val="800080"/>
      <w:u w:val="single"/>
    </w:rPr>
  </w:style>
  <w:style w:type="character" w:styleId="54">
    <w:name w:val="Hyperlink"/>
    <w:qFormat/>
    <w:uiPriority w:val="99"/>
    <w:rPr>
      <w:color w:val="0000FF"/>
      <w:u w:val="single"/>
    </w:rPr>
  </w:style>
  <w:style w:type="character" w:styleId="55">
    <w:name w:val="annotation reference"/>
    <w:unhideWhenUsed/>
    <w:qFormat/>
    <w:uiPriority w:val="99"/>
    <w:rPr>
      <w:sz w:val="21"/>
      <w:szCs w:val="21"/>
    </w:rPr>
  </w:style>
  <w:style w:type="character" w:styleId="56">
    <w:name w:val="footnote reference"/>
    <w:unhideWhenUsed/>
    <w:qFormat/>
    <w:uiPriority w:val="99"/>
    <w:rPr>
      <w:vertAlign w:val="superscript"/>
    </w:rPr>
  </w:style>
  <w:style w:type="character" w:customStyle="1" w:styleId="57">
    <w:name w:val="正文文本 字符"/>
    <w:link w:val="18"/>
    <w:qFormat/>
    <w:uiPriority w:val="99"/>
    <w:rPr>
      <w:rFonts w:ascii="Times New Roman" w:hAnsi="Times New Roman" w:eastAsia="宋体" w:cs="Times New Roman"/>
      <w:sz w:val="24"/>
      <w:szCs w:val="24"/>
    </w:rPr>
  </w:style>
  <w:style w:type="character" w:customStyle="1" w:styleId="58">
    <w:name w:val="标题 1 字符1"/>
    <w:link w:val="2"/>
    <w:qFormat/>
    <w:uiPriority w:val="0"/>
    <w:rPr>
      <w:rFonts w:ascii="Times New Roman" w:hAnsi="Times New Roman" w:eastAsia="宋体" w:cs="Times New Roman"/>
      <w:b/>
      <w:bCs/>
      <w:kern w:val="44"/>
      <w:sz w:val="44"/>
      <w:szCs w:val="44"/>
    </w:rPr>
  </w:style>
  <w:style w:type="character" w:customStyle="1" w:styleId="59">
    <w:name w:val="标题 2 字符"/>
    <w:link w:val="3"/>
    <w:qFormat/>
    <w:uiPriority w:val="0"/>
    <w:rPr>
      <w:rFonts w:ascii="Arial" w:hAnsi="Arial" w:eastAsia="黑体" w:cs="Times New Roman"/>
      <w:b/>
      <w:bCs/>
      <w:sz w:val="32"/>
      <w:szCs w:val="32"/>
    </w:rPr>
  </w:style>
  <w:style w:type="character" w:customStyle="1" w:styleId="60">
    <w:name w:val="标题 3 字符"/>
    <w:link w:val="4"/>
    <w:qFormat/>
    <w:uiPriority w:val="0"/>
    <w:rPr>
      <w:rFonts w:ascii="Times New Roman" w:hAnsi="Times New Roman" w:eastAsia="宋体" w:cs="Times New Roman"/>
      <w:b/>
      <w:bCs/>
      <w:sz w:val="32"/>
      <w:szCs w:val="32"/>
    </w:rPr>
  </w:style>
  <w:style w:type="character" w:customStyle="1" w:styleId="61">
    <w:name w:val="标题 5 字符"/>
    <w:link w:val="6"/>
    <w:qFormat/>
    <w:uiPriority w:val="0"/>
    <w:rPr>
      <w:b/>
      <w:kern w:val="2"/>
      <w:sz w:val="28"/>
      <w:szCs w:val="24"/>
    </w:rPr>
  </w:style>
  <w:style w:type="character" w:customStyle="1" w:styleId="62">
    <w:name w:val="标题 6 字符"/>
    <w:link w:val="8"/>
    <w:qFormat/>
    <w:uiPriority w:val="0"/>
    <w:rPr>
      <w:rFonts w:ascii="Arial" w:hAnsi="Arial" w:eastAsia="黑体"/>
      <w:b/>
      <w:kern w:val="2"/>
      <w:sz w:val="24"/>
      <w:szCs w:val="24"/>
    </w:rPr>
  </w:style>
  <w:style w:type="character" w:customStyle="1" w:styleId="63">
    <w:name w:val="标题 7 字符"/>
    <w:link w:val="9"/>
    <w:qFormat/>
    <w:uiPriority w:val="0"/>
    <w:rPr>
      <w:rFonts w:ascii="Times New Roman" w:hAnsi="Times New Roman"/>
      <w:b/>
      <w:kern w:val="2"/>
      <w:sz w:val="24"/>
      <w:szCs w:val="24"/>
    </w:rPr>
  </w:style>
  <w:style w:type="character" w:customStyle="1" w:styleId="64">
    <w:name w:val="标题 8 字符"/>
    <w:link w:val="10"/>
    <w:qFormat/>
    <w:uiPriority w:val="0"/>
    <w:rPr>
      <w:rFonts w:ascii="Arial" w:hAnsi="Arial" w:eastAsia="黑体"/>
      <w:kern w:val="2"/>
      <w:sz w:val="24"/>
      <w:szCs w:val="24"/>
    </w:rPr>
  </w:style>
  <w:style w:type="character" w:customStyle="1" w:styleId="65">
    <w:name w:val="标题 9 字符"/>
    <w:link w:val="11"/>
    <w:qFormat/>
    <w:uiPriority w:val="0"/>
    <w:rPr>
      <w:rFonts w:ascii="Arial" w:hAnsi="Arial" w:eastAsia="黑体"/>
      <w:kern w:val="2"/>
      <w:sz w:val="21"/>
      <w:szCs w:val="24"/>
    </w:rPr>
  </w:style>
  <w:style w:type="character" w:customStyle="1" w:styleId="66">
    <w:name w:val="批注文字 字符1"/>
    <w:link w:val="16"/>
    <w:qFormat/>
    <w:uiPriority w:val="0"/>
    <w:rPr>
      <w:rFonts w:ascii="Times New Roman" w:hAnsi="Times New Roman"/>
      <w:kern w:val="2"/>
      <w:sz w:val="21"/>
      <w:szCs w:val="24"/>
    </w:rPr>
  </w:style>
  <w:style w:type="character" w:customStyle="1" w:styleId="67">
    <w:name w:val="正文文本 3 字符"/>
    <w:link w:val="17"/>
    <w:qFormat/>
    <w:uiPriority w:val="0"/>
    <w:rPr>
      <w:rFonts w:ascii="Times New Roman" w:hAnsi="Times New Roman" w:eastAsia="宋体" w:cs="Times New Roman"/>
      <w:b/>
      <w:bCs/>
      <w:sz w:val="24"/>
      <w:szCs w:val="24"/>
    </w:rPr>
  </w:style>
  <w:style w:type="character" w:customStyle="1" w:styleId="68">
    <w:name w:val="正文文本缩进 字符1"/>
    <w:link w:val="19"/>
    <w:qFormat/>
    <w:uiPriority w:val="0"/>
    <w:rPr>
      <w:rFonts w:ascii="仿宋_GB2312" w:hAnsi="Times New Roman" w:eastAsia="仿宋_GB2312" w:cs="Times New Roman"/>
      <w:sz w:val="32"/>
      <w:szCs w:val="20"/>
    </w:rPr>
  </w:style>
  <w:style w:type="character" w:customStyle="1" w:styleId="69">
    <w:name w:val="纯文本 字符2"/>
    <w:link w:val="25"/>
    <w:qFormat/>
    <w:uiPriority w:val="0"/>
    <w:rPr>
      <w:rFonts w:ascii="宋体" w:hAnsi="Courier New" w:eastAsia="宋体" w:cs="Courier New"/>
      <w:szCs w:val="21"/>
    </w:rPr>
  </w:style>
  <w:style w:type="character" w:customStyle="1" w:styleId="70">
    <w:name w:val="日期 字符"/>
    <w:link w:val="27"/>
    <w:qFormat/>
    <w:uiPriority w:val="0"/>
    <w:rPr>
      <w:rFonts w:ascii="宋体" w:hAnsi="Courier New" w:eastAsia="宋体" w:cs="Courier New"/>
      <w:szCs w:val="21"/>
    </w:rPr>
  </w:style>
  <w:style w:type="character" w:customStyle="1" w:styleId="71">
    <w:name w:val="正文文本缩进 2 字符"/>
    <w:link w:val="28"/>
    <w:qFormat/>
    <w:uiPriority w:val="0"/>
    <w:rPr>
      <w:rFonts w:ascii="Times New Roman" w:hAnsi="Times New Roman" w:eastAsia="宋体" w:cs="Times New Roman"/>
      <w:sz w:val="32"/>
      <w:szCs w:val="20"/>
    </w:rPr>
  </w:style>
  <w:style w:type="character" w:customStyle="1" w:styleId="72">
    <w:name w:val="尾注文本 字符"/>
    <w:link w:val="29"/>
    <w:semiHidden/>
    <w:qFormat/>
    <w:uiPriority w:val="99"/>
    <w:rPr>
      <w:rFonts w:ascii="Times New Roman" w:hAnsi="Times New Roman"/>
      <w:kern w:val="2"/>
      <w:sz w:val="21"/>
      <w:szCs w:val="24"/>
    </w:rPr>
  </w:style>
  <w:style w:type="character" w:customStyle="1" w:styleId="73">
    <w:name w:val="批注框文本 字符"/>
    <w:link w:val="30"/>
    <w:semiHidden/>
    <w:qFormat/>
    <w:uiPriority w:val="0"/>
    <w:rPr>
      <w:rFonts w:ascii="Times New Roman" w:hAnsi="Times New Roman" w:eastAsia="宋体" w:cs="Times New Roman"/>
      <w:sz w:val="18"/>
      <w:szCs w:val="18"/>
    </w:rPr>
  </w:style>
  <w:style w:type="character" w:customStyle="1" w:styleId="74">
    <w:name w:val="页脚 字符"/>
    <w:link w:val="31"/>
    <w:qFormat/>
    <w:uiPriority w:val="99"/>
    <w:rPr>
      <w:sz w:val="18"/>
      <w:szCs w:val="18"/>
    </w:rPr>
  </w:style>
  <w:style w:type="character" w:customStyle="1" w:styleId="75">
    <w:name w:val="页眉 字符"/>
    <w:link w:val="32"/>
    <w:qFormat/>
    <w:uiPriority w:val="99"/>
    <w:rPr>
      <w:rFonts w:ascii="Times New Roman" w:hAnsi="Times New Roman"/>
      <w:kern w:val="2"/>
      <w:sz w:val="18"/>
      <w:szCs w:val="18"/>
    </w:rPr>
  </w:style>
  <w:style w:type="character" w:customStyle="1" w:styleId="76">
    <w:name w:val="脚注文本 字符"/>
    <w:link w:val="36"/>
    <w:semiHidden/>
    <w:qFormat/>
    <w:uiPriority w:val="99"/>
    <w:rPr>
      <w:rFonts w:ascii="Times New Roman" w:hAnsi="Times New Roman"/>
      <w:kern w:val="2"/>
      <w:sz w:val="18"/>
      <w:szCs w:val="18"/>
    </w:rPr>
  </w:style>
  <w:style w:type="character" w:customStyle="1" w:styleId="77">
    <w:name w:val="正文文本缩进 3 字符"/>
    <w:link w:val="38"/>
    <w:qFormat/>
    <w:uiPriority w:val="0"/>
    <w:rPr>
      <w:rFonts w:ascii="Times New Roman" w:hAnsi="Times New Roman" w:eastAsia="宋体" w:cs="Times New Roman"/>
      <w:sz w:val="16"/>
      <w:szCs w:val="16"/>
    </w:rPr>
  </w:style>
  <w:style w:type="character" w:customStyle="1" w:styleId="78">
    <w:name w:val="正文文本 2 字符"/>
    <w:link w:val="41"/>
    <w:qFormat/>
    <w:uiPriority w:val="0"/>
    <w:rPr>
      <w:rFonts w:ascii="Times New Roman" w:hAnsi="Times New Roman" w:eastAsia="宋体" w:cs="Times New Roman"/>
      <w:szCs w:val="24"/>
    </w:rPr>
  </w:style>
  <w:style w:type="character" w:customStyle="1" w:styleId="79">
    <w:name w:val="标题 字符"/>
    <w:link w:val="44"/>
    <w:qFormat/>
    <w:uiPriority w:val="10"/>
    <w:rPr>
      <w:rFonts w:ascii="Cambria" w:hAnsi="Cambria" w:cs="Times New Roman"/>
      <w:b/>
      <w:bCs/>
      <w:kern w:val="2"/>
      <w:sz w:val="32"/>
      <w:szCs w:val="32"/>
    </w:rPr>
  </w:style>
  <w:style w:type="character" w:customStyle="1" w:styleId="80">
    <w:name w:val="批注主题 字符"/>
    <w:link w:val="45"/>
    <w:semiHidden/>
    <w:qFormat/>
    <w:uiPriority w:val="99"/>
    <w:rPr>
      <w:rFonts w:ascii="Times New Roman" w:hAnsi="Times New Roman"/>
      <w:b/>
      <w:bCs/>
      <w:kern w:val="2"/>
      <w:sz w:val="21"/>
      <w:szCs w:val="24"/>
    </w:rPr>
  </w:style>
  <w:style w:type="paragraph" w:customStyle="1" w:styleId="81">
    <w:name w:val="Default"/>
    <w:basedOn w:val="44"/>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82">
    <w:name w:val="纯文本 Char"/>
    <w:qFormat/>
    <w:uiPriority w:val="0"/>
    <w:rPr>
      <w:rFonts w:ascii="宋体" w:hAnsi="Courier New" w:eastAsia="宋体" w:cs="Courier New"/>
      <w:szCs w:val="21"/>
    </w:rPr>
  </w:style>
  <w:style w:type="character" w:customStyle="1" w:styleId="83">
    <w:name w:val="纯文本 字符1"/>
    <w:qFormat/>
    <w:uiPriority w:val="0"/>
    <w:rPr>
      <w:rFonts w:ascii="宋体" w:hAnsi="Courier New"/>
    </w:rPr>
  </w:style>
  <w:style w:type="character" w:customStyle="1" w:styleId="84">
    <w:name w:val="批注文字 Char"/>
    <w:qFormat/>
    <w:uiPriority w:val="0"/>
    <w:rPr>
      <w:rFonts w:ascii="Times New Roman" w:hAnsi="Times New Roman"/>
      <w:kern w:val="2"/>
      <w:sz w:val="21"/>
      <w:szCs w:val="24"/>
    </w:rPr>
  </w:style>
  <w:style w:type="character" w:customStyle="1" w:styleId="85">
    <w:name w:val="apple-style-span"/>
    <w:qFormat/>
    <w:uiPriority w:val="0"/>
  </w:style>
  <w:style w:type="character" w:customStyle="1" w:styleId="86">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87">
    <w:name w:val="普通文字 Char Char2"/>
    <w:qFormat/>
    <w:uiPriority w:val="0"/>
    <w:rPr>
      <w:rFonts w:ascii="宋体" w:hAnsi="Courier New" w:eastAsia="宋体"/>
      <w:kern w:val="2"/>
      <w:sz w:val="21"/>
      <w:lang w:val="en-US" w:eastAsia="zh-CN" w:bidi="ar-SA"/>
    </w:rPr>
  </w:style>
  <w:style w:type="character" w:customStyle="1" w:styleId="88">
    <w:name w:val="正文文本缩进 字符"/>
    <w:qFormat/>
    <w:uiPriority w:val="0"/>
    <w:rPr>
      <w:rFonts w:ascii="仿宋_GB2312" w:hAnsi="Times New Roman" w:eastAsia="仿宋_GB2312" w:cs="Times New Roman"/>
      <w:sz w:val="32"/>
      <w:szCs w:val="20"/>
    </w:rPr>
  </w:style>
  <w:style w:type="character" w:customStyle="1" w:styleId="89">
    <w:name w:val="批注文字 字符2"/>
    <w:qFormat/>
    <w:uiPriority w:val="0"/>
    <w:rPr>
      <w:rFonts w:ascii="Times New Roman" w:hAnsi="Times New Roman"/>
      <w:kern w:val="2"/>
      <w:sz w:val="21"/>
      <w:szCs w:val="24"/>
    </w:rPr>
  </w:style>
  <w:style w:type="character" w:customStyle="1" w:styleId="90">
    <w:name w:val="批注文字 字符"/>
    <w:qFormat/>
    <w:uiPriority w:val="0"/>
    <w:rPr>
      <w:rFonts w:ascii="Times New Roman" w:hAnsi="Times New Roman"/>
      <w:kern w:val="2"/>
      <w:sz w:val="21"/>
      <w:szCs w:val="24"/>
    </w:rPr>
  </w:style>
  <w:style w:type="character" w:customStyle="1" w:styleId="91">
    <w:name w:val="NormalCharacter"/>
    <w:qFormat/>
    <w:uiPriority w:val="0"/>
    <w:rPr>
      <w:rFonts w:ascii="Times New Roman" w:hAnsi="Times New Roman" w:eastAsia="宋体" w:cs="Times New Roman"/>
    </w:rPr>
  </w:style>
  <w:style w:type="character" w:customStyle="1" w:styleId="92">
    <w:name w:val="标题 5 Char"/>
    <w:qFormat/>
    <w:uiPriority w:val="0"/>
    <w:rPr>
      <w:b/>
      <w:kern w:val="2"/>
      <w:sz w:val="28"/>
      <w:szCs w:val="24"/>
    </w:rPr>
  </w:style>
  <w:style w:type="character" w:customStyle="1" w:styleId="93">
    <w:name w:val="标题 5 Char1"/>
    <w:qFormat/>
    <w:uiPriority w:val="0"/>
    <w:rPr>
      <w:b/>
      <w:kern w:val="2"/>
      <w:sz w:val="28"/>
      <w:szCs w:val="24"/>
    </w:rPr>
  </w:style>
  <w:style w:type="character" w:customStyle="1" w:styleId="94">
    <w:name w:val="textcontents"/>
    <w:qFormat/>
    <w:uiPriority w:val="0"/>
  </w:style>
  <w:style w:type="character" w:customStyle="1" w:styleId="95">
    <w:name w:val="_Style 94"/>
    <w:unhideWhenUsed/>
    <w:qFormat/>
    <w:uiPriority w:val="99"/>
    <w:rPr>
      <w:color w:val="605E5C"/>
      <w:shd w:val="clear" w:color="auto" w:fill="E1DFDD"/>
    </w:rPr>
  </w:style>
  <w:style w:type="character" w:customStyle="1" w:styleId="96">
    <w:name w:val="标题 1 字符"/>
    <w:qFormat/>
    <w:uiPriority w:val="9"/>
    <w:rPr>
      <w:rFonts w:ascii="Times New Roman" w:hAnsi="Times New Roman" w:eastAsia="宋体" w:cs="Times New Roman"/>
      <w:b/>
      <w:bCs/>
      <w:kern w:val="44"/>
      <w:sz w:val="44"/>
      <w:szCs w:val="44"/>
    </w:rPr>
  </w:style>
  <w:style w:type="character" w:customStyle="1" w:styleId="97">
    <w:name w:val="纯文本 字符"/>
    <w:qFormat/>
    <w:uiPriority w:val="0"/>
    <w:rPr>
      <w:rFonts w:ascii="宋体" w:hAnsi="Courier New" w:eastAsia="宋体" w:cs="Courier New"/>
      <w:szCs w:val="21"/>
    </w:rPr>
  </w:style>
  <w:style w:type="character" w:customStyle="1" w:styleId="98">
    <w:name w:val="headline-content4"/>
    <w:qFormat/>
    <w:uiPriority w:val="0"/>
  </w:style>
  <w:style w:type="character" w:customStyle="1" w:styleId="99">
    <w:name w:val="纯文本 Char1"/>
    <w:qFormat/>
    <w:uiPriority w:val="0"/>
    <w:rPr>
      <w:rFonts w:ascii="宋体" w:hAnsi="Courier New" w:eastAsia="宋体" w:cs="Courier New"/>
      <w:szCs w:val="21"/>
    </w:rPr>
  </w:style>
  <w:style w:type="character" w:customStyle="1" w:styleId="100">
    <w:name w:val="批注文字 Char1"/>
    <w:semiHidden/>
    <w:qFormat/>
    <w:locked/>
    <w:uiPriority w:val="0"/>
    <w:rPr>
      <w:rFonts w:ascii="Times New Roman" w:hAnsi="Times New Roman"/>
      <w:kern w:val="2"/>
      <w:sz w:val="21"/>
      <w:szCs w:val="24"/>
    </w:rPr>
  </w:style>
  <w:style w:type="character" w:customStyle="1" w:styleId="101">
    <w:name w:val="font21"/>
    <w:basedOn w:val="49"/>
    <w:qFormat/>
    <w:uiPriority w:val="0"/>
    <w:rPr>
      <w:rFonts w:hint="eastAsia" w:ascii="宋体" w:hAnsi="宋体" w:eastAsia="宋体" w:cs="宋体"/>
      <w:color w:val="000000"/>
      <w:sz w:val="22"/>
      <w:szCs w:val="22"/>
      <w:u w:val="none"/>
    </w:rPr>
  </w:style>
  <w:style w:type="character" w:customStyle="1" w:styleId="102">
    <w:name w:val="case31"/>
    <w:qFormat/>
    <w:uiPriority w:val="0"/>
    <w:rPr>
      <w:rFonts w:hint="default" w:ascii="_x000B__x000C_" w:hAnsi="_x000B__x000C_"/>
      <w:sz w:val="21"/>
      <w:szCs w:val="21"/>
    </w:rPr>
  </w:style>
  <w:style w:type="character" w:customStyle="1" w:styleId="103">
    <w:name w:val="font51"/>
    <w:basedOn w:val="49"/>
    <w:qFormat/>
    <w:uiPriority w:val="0"/>
    <w:rPr>
      <w:rFonts w:hint="eastAsia" w:ascii="宋体" w:hAnsi="宋体" w:eastAsia="宋体" w:cs="宋体"/>
      <w:b/>
      <w:bCs/>
      <w:color w:val="000000"/>
      <w:sz w:val="22"/>
      <w:szCs w:val="22"/>
      <w:u w:val="none"/>
    </w:rPr>
  </w:style>
  <w:style w:type="paragraph" w:customStyle="1" w:styleId="104">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05">
    <w:name w:val="Char1"/>
    <w:basedOn w:val="1"/>
    <w:qFormat/>
    <w:uiPriority w:val="0"/>
    <w:rPr>
      <w:szCs w:val="21"/>
    </w:rPr>
  </w:style>
  <w:style w:type="paragraph" w:customStyle="1" w:styleId="106">
    <w:name w:val="表格"/>
    <w:basedOn w:val="1"/>
    <w:qFormat/>
    <w:uiPriority w:val="0"/>
    <w:pPr>
      <w:spacing w:line="400" w:lineRule="exact"/>
    </w:pPr>
    <w:rPr>
      <w:sz w:val="24"/>
    </w:rPr>
  </w:style>
  <w:style w:type="paragraph" w:customStyle="1" w:styleId="107">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08">
    <w:name w:val="样式"/>
    <w:qFormat/>
    <w:uiPriority w:val="0"/>
    <w:pPr>
      <w:widowControl w:val="0"/>
      <w:autoSpaceDE w:val="0"/>
      <w:autoSpaceDN w:val="0"/>
      <w:adjustRightInd w:val="0"/>
      <w:jc w:val="center"/>
    </w:pPr>
    <w:rPr>
      <w:rFonts w:ascii="宋体" w:hAnsi="宋体" w:eastAsia="宋体" w:cs="宋体"/>
      <w:sz w:val="24"/>
      <w:szCs w:val="24"/>
      <w:lang w:val="en-US" w:eastAsia="zh-CN" w:bidi="ar-SA"/>
    </w:rPr>
  </w:style>
  <w:style w:type="paragraph" w:customStyle="1" w:styleId="109">
    <w:name w:val="Table Paragraph"/>
    <w:basedOn w:val="1"/>
    <w:qFormat/>
    <w:uiPriority w:val="1"/>
    <w:pPr>
      <w:jc w:val="left"/>
    </w:pPr>
    <w:rPr>
      <w:rFonts w:ascii="Calibri" w:hAnsi="Calibri" w:eastAsia="宋体" w:cs="Times New Roman"/>
      <w:kern w:val="0"/>
      <w:sz w:val="22"/>
      <w:szCs w:val="22"/>
      <w:lang w:eastAsia="en-US"/>
    </w:rPr>
  </w:style>
  <w:style w:type="paragraph" w:customStyle="1" w:styleId="110">
    <w:name w:val="列出段落1"/>
    <w:basedOn w:val="1"/>
    <w:qFormat/>
    <w:uiPriority w:val="0"/>
    <w:pPr>
      <w:ind w:firstLine="420" w:firstLineChars="200"/>
    </w:pPr>
    <w:rPr>
      <w:szCs w:val="21"/>
    </w:rPr>
  </w:style>
  <w:style w:type="paragraph" w:customStyle="1" w:styleId="111">
    <w:name w:val="样式 首行缩进:  2 字符"/>
    <w:basedOn w:val="1"/>
    <w:qFormat/>
    <w:uiPriority w:val="0"/>
    <w:pPr>
      <w:spacing w:line="400" w:lineRule="exact"/>
      <w:ind w:firstLine="200" w:firstLineChars="200"/>
    </w:pPr>
    <w:rPr>
      <w:rFonts w:cs="宋体"/>
      <w:sz w:val="24"/>
    </w:rPr>
  </w:style>
  <w:style w:type="paragraph" w:customStyle="1" w:styleId="112">
    <w:name w:val="正文首行缩进两字符"/>
    <w:basedOn w:val="1"/>
    <w:qFormat/>
    <w:uiPriority w:val="0"/>
    <w:pPr>
      <w:spacing w:line="360" w:lineRule="auto"/>
      <w:ind w:firstLine="200" w:firstLineChars="200"/>
    </w:pPr>
  </w:style>
  <w:style w:type="paragraph" w:styleId="113">
    <w:name w:val="List Paragraph"/>
    <w:basedOn w:val="1"/>
    <w:qFormat/>
    <w:uiPriority w:val="34"/>
    <w:pPr>
      <w:ind w:firstLine="420" w:firstLineChars="200"/>
    </w:pPr>
  </w:style>
  <w:style w:type="paragraph" w:customStyle="1" w:styleId="114">
    <w:name w:val="Plain Text"/>
    <w:basedOn w:val="1"/>
    <w:qFormat/>
    <w:uiPriority w:val="0"/>
    <w:rPr>
      <w:rFonts w:ascii="宋体" w:hAnsi="Courier New" w:cs="Century"/>
      <w:szCs w:val="21"/>
    </w:rPr>
  </w:style>
  <w:style w:type="paragraph" w:customStyle="1" w:styleId="115">
    <w:name w:val="No Spacing"/>
    <w:qFormat/>
    <w:uiPriority w:val="1"/>
    <w:pPr>
      <w:widowControl w:val="0"/>
      <w:jc w:val="center"/>
    </w:pPr>
    <w:rPr>
      <w:rFonts w:ascii="Times New Roman" w:hAnsi="Times New Roman" w:eastAsia="宋体" w:cs="Times New Roman"/>
      <w:kern w:val="2"/>
      <w:sz w:val="21"/>
      <w:szCs w:val="22"/>
      <w:lang w:val="en-US" w:eastAsia="zh-CN" w:bidi="ar-SA"/>
    </w:rPr>
  </w:style>
  <w:style w:type="paragraph" w:customStyle="1" w:styleId="116">
    <w:name w:val="正文2"/>
    <w:basedOn w:val="1"/>
    <w:qFormat/>
    <w:uiPriority w:val="0"/>
    <w:pPr>
      <w:adjustRightInd w:val="0"/>
      <w:spacing w:before="156" w:line="360" w:lineRule="auto"/>
      <w:ind w:firstLine="510" w:firstLineChars="200"/>
    </w:pPr>
    <w:rPr>
      <w:sz w:val="24"/>
      <w:szCs w:val="20"/>
    </w:rPr>
  </w:style>
  <w:style w:type="paragraph" w:customStyle="1" w:styleId="117">
    <w:name w:val="正文段"/>
    <w:basedOn w:val="1"/>
    <w:qFormat/>
    <w:uiPriority w:val="0"/>
    <w:pPr>
      <w:widowControl/>
      <w:snapToGrid w:val="0"/>
      <w:spacing w:after="50" w:afterLines="50"/>
      <w:ind w:firstLine="200" w:firstLineChars="200"/>
    </w:pPr>
    <w:rPr>
      <w:kern w:val="0"/>
      <w:sz w:val="24"/>
      <w:szCs w:val="20"/>
    </w:rPr>
  </w:style>
  <w:style w:type="paragraph" w:customStyle="1" w:styleId="118">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19">
    <w:name w:val="默认段落字体 Para Char Char Char Char Char Char Char Char Char1 Char Char Char Char"/>
    <w:basedOn w:val="1"/>
    <w:qFormat/>
    <w:uiPriority w:val="0"/>
    <w:rPr>
      <w:rFonts w:ascii="Tahoma" w:hAnsi="Tahoma"/>
      <w:sz w:val="24"/>
      <w:szCs w:val="20"/>
    </w:rPr>
  </w:style>
  <w:style w:type="paragraph" w:customStyle="1" w:styleId="120">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21">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22">
    <w:name w:val="_Style 121"/>
    <w:unhideWhenUsed/>
    <w:qFormat/>
    <w:uiPriority w:val="99"/>
    <w:rPr>
      <w:rFonts w:ascii="Times New Roman" w:hAnsi="Times New Roman" w:eastAsia="宋体" w:cs="Times New Roman"/>
      <w:kern w:val="2"/>
      <w:sz w:val="21"/>
      <w:szCs w:val="24"/>
      <w:lang w:val="en-US" w:eastAsia="zh-CN" w:bidi="ar-SA"/>
    </w:rPr>
  </w:style>
  <w:style w:type="table" w:customStyle="1" w:styleId="123">
    <w:name w:val="Table Normal"/>
    <w:semiHidden/>
    <w:qFormat/>
    <w:uiPriority w:val="2"/>
    <w:pPr>
      <w:widowControl w:val="0"/>
    </w:pPr>
    <w:rPr>
      <w:rFonts w:ascii="Calibri" w:hAnsi="Calibri" w:eastAsia="Times New Roman"/>
      <w:sz w:val="22"/>
      <w:szCs w:val="22"/>
      <w:lang w:val="en-US" w:eastAsia="en-US" w:bidi="ar-S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jpeg"/><Relationship Id="rId18" Type="http://schemas.openxmlformats.org/officeDocument/2006/relationships/theme" Target="theme/theme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106</Pages>
  <Words>70373</Words>
  <Characters>73296</Characters>
  <Lines>357</Lines>
  <Paragraphs>100</Paragraphs>
  <TotalTime>226</TotalTime>
  <ScaleCrop>false</ScaleCrop>
  <LinksUpToDate>false</LinksUpToDate>
  <CharactersWithSpaces>79066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2020-10-18T10:17:00Z</dcterms:created>
  <dc:creator>番茄花园</dc:creator>
  <cp:lastModifiedBy>陈蓉</cp:lastModifiedBy>
  <cp:lastPrinted>2025-04-25T00:37:00Z</cp:lastPrinted>
  <dcterms:modified xsi:type="dcterms:W3CDTF">2026-05-19T07:27:20Z</dcterms:modified>
  <dc:title>公开招标采购文件范本</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7062B6A66CF545398E273E303B10B4CA</vt:lpwstr>
  </property>
  <property fmtid="{D5CDD505-2E9C-101B-9397-08002B2CF9AE}" pid="4" name="KSOTemplateDocerSaveRecord">
    <vt:lpwstr>eyJoZGlkIjoiODI1MmFhOTkyM2RjOTU3ZjhhMGJkN2ZlZWYxZGNkMzQiLCJ1c2VySWQiOiI2Nzc0Nzc2MjIifQ==</vt:lpwstr>
  </property>
</Properties>
</file>